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ascii="微软雅黑" w:hAnsi="微软雅黑" w:eastAsia="微软雅黑" w:cs="微软雅黑"/>
          <w:b/>
          <w:i w:val="0"/>
          <w:caps w:val="0"/>
          <w:color w:val="333333"/>
          <w:spacing w:val="0"/>
          <w:sz w:val="27"/>
          <w:szCs w:val="27"/>
        </w:rPr>
      </w:pPr>
      <w:r>
        <w:rPr>
          <w:rFonts w:hint="eastAsia" w:ascii="微软雅黑" w:hAnsi="微软雅黑" w:eastAsia="微软雅黑" w:cs="微软雅黑"/>
          <w:b/>
          <w:i w:val="0"/>
          <w:caps w:val="0"/>
          <w:color w:val="333333"/>
          <w:spacing w:val="0"/>
          <w:sz w:val="27"/>
          <w:szCs w:val="27"/>
          <w:bdr w:val="none" w:color="auto" w:sz="0" w:space="0"/>
          <w:shd w:val="clear" w:fill="FFFFFF"/>
        </w:rPr>
        <w:t>3.1.采购内容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采购包1：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采购包预算金额（元）: 1,145,300.00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采购包最高限价（元）: 1,145,300.00</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0"/>
        <w:gridCol w:w="913"/>
        <w:gridCol w:w="1130"/>
        <w:gridCol w:w="1049"/>
        <w:gridCol w:w="1092"/>
        <w:gridCol w:w="656"/>
        <w:gridCol w:w="656"/>
        <w:gridCol w:w="656"/>
        <w:gridCol w:w="656"/>
        <w:gridCol w:w="599"/>
        <w:gridCol w:w="59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808"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序号</w:t>
            </w:r>
          </w:p>
        </w:tc>
        <w:tc>
          <w:tcPr>
            <w:tcW w:w="145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采购品目名称</w:t>
            </w:r>
          </w:p>
        </w:tc>
        <w:tc>
          <w:tcPr>
            <w:tcW w:w="145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标的名称</w:t>
            </w:r>
          </w:p>
        </w:tc>
        <w:tc>
          <w:tcPr>
            <w:tcW w:w="145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数量</w:t>
            </w:r>
            <w:r>
              <w:rPr>
                <w:rFonts w:ascii="宋体" w:hAnsi="宋体" w:eastAsia="宋体" w:cs="宋体"/>
                <w:b/>
                <w:kern w:val="0"/>
                <w:sz w:val="24"/>
                <w:szCs w:val="24"/>
                <w:bdr w:val="none" w:color="auto" w:sz="0" w:space="0"/>
                <w:lang w:val="en-US" w:eastAsia="zh-CN" w:bidi="ar"/>
              </w:rPr>
              <w:br w:type="textWrapping"/>
            </w:r>
            <w:r>
              <w:rPr>
                <w:rFonts w:ascii="宋体" w:hAnsi="宋体" w:eastAsia="宋体" w:cs="宋体"/>
                <w:b/>
                <w:kern w:val="0"/>
                <w:sz w:val="24"/>
                <w:szCs w:val="24"/>
                <w:bdr w:val="none" w:color="auto" w:sz="0" w:space="0"/>
                <w:lang w:val="en-US" w:eastAsia="zh-CN" w:bidi="ar"/>
              </w:rPr>
              <w:t>(计量单位)</w:t>
            </w:r>
          </w:p>
        </w:tc>
        <w:tc>
          <w:tcPr>
            <w:tcW w:w="145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标的金额 （元）</w:t>
            </w:r>
          </w:p>
        </w:tc>
        <w:tc>
          <w:tcPr>
            <w:tcW w:w="145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所属行业</w:t>
            </w:r>
          </w:p>
        </w:tc>
        <w:tc>
          <w:tcPr>
            <w:tcW w:w="145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是否涉及核心产品</w:t>
            </w:r>
          </w:p>
        </w:tc>
        <w:tc>
          <w:tcPr>
            <w:tcW w:w="145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是否涉及采购进口产品</w:t>
            </w:r>
          </w:p>
        </w:tc>
        <w:tc>
          <w:tcPr>
            <w:tcW w:w="145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是否涉及强制采购节能产品</w:t>
            </w:r>
          </w:p>
        </w:tc>
        <w:tc>
          <w:tcPr>
            <w:tcW w:w="113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是否涉及优先采购节能产品</w:t>
            </w:r>
          </w:p>
        </w:tc>
        <w:tc>
          <w:tcPr>
            <w:tcW w:w="113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是否涉及优先采购环境标志产品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C21040000 物业管理服务</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四川省邛崃市高埂中学物业管理服务</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1.00（项）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1,145,300.00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物业管理</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是否适用本国产品标准：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采购包1：否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i w:val="0"/>
          <w:caps w:val="0"/>
          <w:color w:val="333333"/>
          <w:spacing w:val="0"/>
          <w:sz w:val="24"/>
          <w:szCs w:val="24"/>
        </w:rPr>
      </w:pPr>
      <w:r>
        <w:rPr>
          <w:rFonts w:hint="eastAsia" w:ascii="微软雅黑" w:hAnsi="微软雅黑" w:eastAsia="微软雅黑" w:cs="微软雅黑"/>
          <w:b/>
          <w:i w:val="0"/>
          <w:caps w:val="0"/>
          <w:color w:val="333333"/>
          <w:spacing w:val="0"/>
          <w:sz w:val="24"/>
          <w:szCs w:val="24"/>
          <w:bdr w:val="none" w:color="auto" w:sz="0" w:space="0"/>
          <w:shd w:val="clear" w:fill="FFFFFF"/>
        </w:rPr>
        <w:t>报价要求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38"/>
        <w:gridCol w:w="1985"/>
        <w:gridCol w:w="1400"/>
        <w:gridCol w:w="1290"/>
        <w:gridCol w:w="1122"/>
        <w:gridCol w:w="171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81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序号</w:t>
            </w:r>
          </w:p>
        </w:tc>
        <w:tc>
          <w:tcPr>
            <w:tcW w:w="302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报价内容</w:t>
            </w:r>
          </w:p>
        </w:tc>
        <w:tc>
          <w:tcPr>
            <w:tcW w:w="201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数量（计量单位）</w:t>
            </w:r>
          </w:p>
        </w:tc>
        <w:tc>
          <w:tcPr>
            <w:tcW w:w="241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最高限价</w:t>
            </w:r>
          </w:p>
        </w:tc>
        <w:tc>
          <w:tcPr>
            <w:tcW w:w="201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价款形式</w:t>
            </w:r>
          </w:p>
        </w:tc>
        <w:tc>
          <w:tcPr>
            <w:tcW w:w="342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报价说明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四川省邛崃市高埂中学物业管理服务</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1,145,300.00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按一年报价</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★注：本采购包涉及采购货物的，供应商响应产品应当明确品牌和规格型号并指向唯一产品，不能指向唯一产品的，应通过报价表唯一产品说明栏补充说明。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jc w:val="left"/>
        <w:rPr>
          <w:rFonts w:hint="eastAsia" w:ascii="微软雅黑" w:hAnsi="微软雅黑" w:eastAsia="微软雅黑" w:cs="微软雅黑"/>
          <w:b/>
          <w:i w:val="0"/>
          <w:caps w:val="0"/>
          <w:color w:val="333333"/>
          <w:spacing w:val="0"/>
          <w:sz w:val="24"/>
          <w:szCs w:val="24"/>
        </w:rPr>
      </w:pPr>
      <w:r>
        <w:rPr>
          <w:rFonts w:hint="eastAsia" w:ascii="微软雅黑" w:hAnsi="微软雅黑" w:eastAsia="微软雅黑" w:cs="微软雅黑"/>
          <w:b/>
          <w:i w:val="0"/>
          <w:caps w:val="0"/>
          <w:color w:val="333333"/>
          <w:spacing w:val="0"/>
          <w:sz w:val="24"/>
          <w:szCs w:val="24"/>
          <w:bdr w:val="none" w:color="auto" w:sz="0" w:space="0"/>
          <w:shd w:val="clear" w:fill="FFFFFF"/>
        </w:rPr>
        <w:t>本项目涉及核心产品：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92"/>
        <w:gridCol w:w="2518"/>
        <w:gridCol w:w="2518"/>
        <w:gridCol w:w="25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47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序号</w:t>
            </w:r>
          </w:p>
        </w:tc>
        <w:tc>
          <w:tcPr>
            <w:tcW w:w="44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采购品目名称</w:t>
            </w:r>
          </w:p>
        </w:tc>
        <w:tc>
          <w:tcPr>
            <w:tcW w:w="44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标的名称</w:t>
            </w:r>
          </w:p>
        </w:tc>
        <w:tc>
          <w:tcPr>
            <w:tcW w:w="44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产品名称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注：涉及核心产品的，具体评审规定见第五章。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jc w:val="left"/>
        <w:rPr>
          <w:rFonts w:hint="eastAsia" w:ascii="微软雅黑" w:hAnsi="微软雅黑" w:eastAsia="微软雅黑" w:cs="微软雅黑"/>
          <w:b/>
          <w:i w:val="0"/>
          <w:caps w:val="0"/>
          <w:color w:val="333333"/>
          <w:spacing w:val="0"/>
          <w:sz w:val="24"/>
          <w:szCs w:val="24"/>
        </w:rPr>
      </w:pPr>
      <w:r>
        <w:rPr>
          <w:rFonts w:hint="eastAsia" w:ascii="微软雅黑" w:hAnsi="微软雅黑" w:eastAsia="微软雅黑" w:cs="微软雅黑"/>
          <w:b/>
          <w:i w:val="0"/>
          <w:caps w:val="0"/>
          <w:color w:val="333333"/>
          <w:spacing w:val="0"/>
          <w:sz w:val="24"/>
          <w:szCs w:val="24"/>
          <w:bdr w:val="none" w:color="auto" w:sz="0" w:space="0"/>
          <w:shd w:val="clear" w:fill="FFFFFF"/>
        </w:rPr>
        <w:t>本项目涉及采购进口产品：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92"/>
        <w:gridCol w:w="2518"/>
        <w:gridCol w:w="2518"/>
        <w:gridCol w:w="25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147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序号</w:t>
            </w:r>
          </w:p>
        </w:tc>
        <w:tc>
          <w:tcPr>
            <w:tcW w:w="44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采购品目名称</w:t>
            </w:r>
          </w:p>
        </w:tc>
        <w:tc>
          <w:tcPr>
            <w:tcW w:w="44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标的名称</w:t>
            </w:r>
          </w:p>
        </w:tc>
        <w:tc>
          <w:tcPr>
            <w:tcW w:w="44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产品名称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★注：不涉及采购进口产品时，供应商不得提供进口产品进行响应；涉及采购进口产品时，如国产产品满足采购需求，也可提供国产产品进行响应。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jc w:val="left"/>
        <w:rPr>
          <w:rFonts w:hint="eastAsia" w:ascii="微软雅黑" w:hAnsi="微软雅黑" w:eastAsia="微软雅黑" w:cs="微软雅黑"/>
          <w:b/>
          <w:i w:val="0"/>
          <w:caps w:val="0"/>
          <w:color w:val="333333"/>
          <w:spacing w:val="0"/>
          <w:sz w:val="24"/>
          <w:szCs w:val="24"/>
        </w:rPr>
      </w:pPr>
      <w:r>
        <w:rPr>
          <w:rFonts w:hint="eastAsia" w:ascii="微软雅黑" w:hAnsi="微软雅黑" w:eastAsia="微软雅黑" w:cs="微软雅黑"/>
          <w:b/>
          <w:i w:val="0"/>
          <w:caps w:val="0"/>
          <w:color w:val="333333"/>
          <w:spacing w:val="0"/>
          <w:sz w:val="24"/>
          <w:szCs w:val="24"/>
          <w:bdr w:val="none" w:color="auto" w:sz="0" w:space="0"/>
          <w:shd w:val="clear" w:fill="FFFFFF"/>
        </w:rPr>
        <w:t>本项目涉及强制采购节能产品：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92"/>
        <w:gridCol w:w="2518"/>
        <w:gridCol w:w="2518"/>
        <w:gridCol w:w="25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47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序号</w:t>
            </w:r>
          </w:p>
        </w:tc>
        <w:tc>
          <w:tcPr>
            <w:tcW w:w="44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采购品目名称</w:t>
            </w:r>
          </w:p>
        </w:tc>
        <w:tc>
          <w:tcPr>
            <w:tcW w:w="44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标的名称</w:t>
            </w:r>
          </w:p>
        </w:tc>
        <w:tc>
          <w:tcPr>
            <w:tcW w:w="44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产品名称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jc w:val="left"/>
        <w:rPr>
          <w:rFonts w:hint="eastAsia" w:ascii="微软雅黑" w:hAnsi="微软雅黑" w:eastAsia="微软雅黑" w:cs="微软雅黑"/>
          <w:b/>
          <w:i w:val="0"/>
          <w:caps w:val="0"/>
          <w:color w:val="333333"/>
          <w:spacing w:val="0"/>
          <w:sz w:val="24"/>
          <w:szCs w:val="24"/>
        </w:rPr>
      </w:pPr>
      <w:r>
        <w:rPr>
          <w:rFonts w:hint="eastAsia" w:ascii="微软雅黑" w:hAnsi="微软雅黑" w:eastAsia="微软雅黑" w:cs="微软雅黑"/>
          <w:b/>
          <w:i w:val="0"/>
          <w:caps w:val="0"/>
          <w:color w:val="333333"/>
          <w:spacing w:val="0"/>
          <w:sz w:val="24"/>
          <w:szCs w:val="24"/>
          <w:bdr w:val="none" w:color="auto" w:sz="0" w:space="0"/>
          <w:shd w:val="clear" w:fill="FFFFFF"/>
        </w:rPr>
        <w:t>本项目涉及优先采购节能产品：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92"/>
        <w:gridCol w:w="2518"/>
        <w:gridCol w:w="2518"/>
        <w:gridCol w:w="25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47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序号</w:t>
            </w:r>
          </w:p>
        </w:tc>
        <w:tc>
          <w:tcPr>
            <w:tcW w:w="44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采购品目名称</w:t>
            </w:r>
          </w:p>
        </w:tc>
        <w:tc>
          <w:tcPr>
            <w:tcW w:w="44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标的名称</w:t>
            </w:r>
          </w:p>
        </w:tc>
        <w:tc>
          <w:tcPr>
            <w:tcW w:w="44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产品名称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jc w:val="left"/>
        <w:rPr>
          <w:rFonts w:hint="eastAsia" w:ascii="微软雅黑" w:hAnsi="微软雅黑" w:eastAsia="微软雅黑" w:cs="微软雅黑"/>
          <w:b/>
          <w:i w:val="0"/>
          <w:caps w:val="0"/>
          <w:color w:val="333333"/>
          <w:spacing w:val="0"/>
          <w:sz w:val="24"/>
          <w:szCs w:val="24"/>
        </w:rPr>
      </w:pPr>
      <w:r>
        <w:rPr>
          <w:rFonts w:hint="eastAsia" w:ascii="微软雅黑" w:hAnsi="微软雅黑" w:eastAsia="微软雅黑" w:cs="微软雅黑"/>
          <w:b/>
          <w:i w:val="0"/>
          <w:caps w:val="0"/>
          <w:color w:val="333333"/>
          <w:spacing w:val="0"/>
          <w:sz w:val="24"/>
          <w:szCs w:val="24"/>
          <w:bdr w:val="none" w:color="auto" w:sz="0" w:space="0"/>
          <w:shd w:val="clear" w:fill="FFFFFF"/>
        </w:rPr>
        <w:t>本项目涉及优先采购环境标志产品：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92"/>
        <w:gridCol w:w="2518"/>
        <w:gridCol w:w="2518"/>
        <w:gridCol w:w="25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47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序号</w:t>
            </w:r>
          </w:p>
        </w:tc>
        <w:tc>
          <w:tcPr>
            <w:tcW w:w="44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采购品目名称</w:t>
            </w:r>
          </w:p>
        </w:tc>
        <w:tc>
          <w:tcPr>
            <w:tcW w:w="44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标的名称</w:t>
            </w:r>
          </w:p>
        </w:tc>
        <w:tc>
          <w:tcPr>
            <w:tcW w:w="44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产品名称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i w:val="0"/>
          <w:caps w:val="0"/>
          <w:color w:val="333333"/>
          <w:spacing w:val="0"/>
          <w:sz w:val="27"/>
          <w:szCs w:val="27"/>
        </w:rPr>
      </w:pPr>
      <w:r>
        <w:rPr>
          <w:rFonts w:hint="eastAsia" w:ascii="微软雅黑" w:hAnsi="微软雅黑" w:eastAsia="微软雅黑" w:cs="微软雅黑"/>
          <w:b/>
          <w:i w:val="0"/>
          <w:caps w:val="0"/>
          <w:color w:val="333333"/>
          <w:spacing w:val="0"/>
          <w:sz w:val="27"/>
          <w:szCs w:val="27"/>
          <w:bdr w:val="none" w:color="auto" w:sz="0" w:space="0"/>
          <w:shd w:val="clear" w:fill="FFFFFF"/>
        </w:rPr>
        <w:t>3.2.技术要求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采购包1：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标的名称：四川省邛崃市高埂中学物业管理服务</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7"/>
        <w:gridCol w:w="493"/>
        <w:gridCol w:w="554"/>
        <w:gridCol w:w="701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3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序号</w:t>
            </w:r>
          </w:p>
        </w:tc>
        <w:tc>
          <w:tcPr>
            <w:tcW w:w="102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符号标识</w:t>
            </w:r>
          </w:p>
        </w:tc>
        <w:tc>
          <w:tcPr>
            <w:tcW w:w="264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技术要求名称</w:t>
            </w:r>
          </w:p>
        </w:tc>
        <w:tc>
          <w:tcPr>
            <w:tcW w:w="1029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技术参数与性能指标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邛崃市高埂中学物业采购需求编制</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0"/>
              <w:jc w:val="both"/>
              <w:rPr>
                <w:sz w:val="24"/>
                <w:szCs w:val="24"/>
              </w:rPr>
            </w:pPr>
            <w:r>
              <w:rPr>
                <w:rFonts w:ascii="方正仿宋_GBK" w:hAnsi="方正仿宋_GBK" w:eastAsia="方正仿宋_GBK" w:cs="方正仿宋_GBK"/>
                <w:sz w:val="24"/>
                <w:szCs w:val="24"/>
                <w:bdr w:val="none" w:color="auto" w:sz="0" w:space="0"/>
              </w:rPr>
              <w:t>技术、服务、商务及其他要求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一、物业概况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（一）物业位置:四川省邛崃市高埂中学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二）采购范围概况：服务面积约82041平方米，建筑物16幢，建筑面积54614平方米，其中学生宿舍5幢共29层，学生2800人，其中住校生人数2249人。按要求对学校校内清洁、绿化带内卫生管护、学生宿舍管理提供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二、物业服务管理要求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（一）服务要求：</w:t>
            </w:r>
            <w:r>
              <w:rPr>
                <w:rFonts w:ascii="Calibri" w:hAnsi="Calibri" w:cs="Calibri"/>
                <w:sz w:val="24"/>
                <w:szCs w:val="24"/>
                <w:bdr w:val="none" w:color="auto" w:sz="0" w:space="0"/>
              </w:rPr>
              <w:t>本项目配置总人数不低于23人，其中项目经理1人，环境维护人员6人，生活指导老师16人（含宿舍主管1人 ，教官2人，普通生活老师13人）。为本项目定员定岗固定员工、岗位之间互相不兼岗，只针对本项目提供物业服务，不得兼职，年龄在法定劳动年龄内。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Style w:val="7"/>
                <w:rFonts w:hint="eastAsia" w:ascii="方正仿宋_GBK" w:hAnsi="方正仿宋_GBK" w:eastAsia="方正仿宋_GBK" w:cs="方正仿宋_GBK"/>
                <w:sz w:val="24"/>
                <w:szCs w:val="24"/>
                <w:bdr w:val="none" w:color="auto" w:sz="0" w:space="0"/>
              </w:rPr>
              <w:t>1、项目经理岗位职责及要求：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1.1 岗位职责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全面负责校园物业服务：统筹环境维护、宿舍管理等物业工作，保障教学与生活秩序。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对接学校管理：对接德育处等相关部门，落实学校要求；参加例会、汇报工作、接受检查、落实整改。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团队管理：管理全体物业员工（环境维护人员、生活老师等），负责排班、考勤、培训、考核、纪律监督。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投诉与服务处理：处理师生、家长、校方投诉，做到接诉即办、闭环反馈、零重复投诉。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1.2 服务要求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服务态度：文明礼貌、热情耐心、尊重师生；着装规范、佩戴工牌、言行得体；不与师生争执、不推诿、不敷衍。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工作纪律：按时到岗、坚守岗位；不迟到早退、不脱岗睡岗、不玩手机闲聊；服从学校安排，配合大型活动、迎检、应急任务。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应急要求：突发事件第一时间到场、处置、上报、善后；保障师生安全，减少影响。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职业素养：懂校园管理、廉洁自律、以身作则；保护学生隐私、维护学校声誉。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Style w:val="7"/>
                <w:rFonts w:hint="eastAsia" w:ascii="方正仿宋_GBK" w:hAnsi="方正仿宋_GBK" w:eastAsia="方正仿宋_GBK" w:cs="方正仿宋_GBK"/>
                <w:sz w:val="24"/>
                <w:szCs w:val="24"/>
                <w:bdr w:val="none" w:color="auto" w:sz="0" w:space="0"/>
              </w:rPr>
              <w:t>2、环境维护人员岗位职责及要求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480"/>
              <w:jc w:val="left"/>
              <w:rPr>
                <w:sz w:val="24"/>
                <w:szCs w:val="24"/>
              </w:rPr>
            </w:pPr>
            <w:r>
              <w:rPr>
                <w:rFonts w:hint="eastAsia" w:ascii="方正仿宋_GBK" w:hAnsi="方正仿宋_GBK" w:eastAsia="方正仿宋_GBK" w:cs="方正仿宋_GBK"/>
                <w:sz w:val="24"/>
                <w:szCs w:val="24"/>
                <w:bdr w:val="none" w:color="auto" w:sz="0" w:space="0"/>
              </w:rPr>
              <w:t>2.1 工作时间：工作日：上午上班：7：30—11：30。下午上班：13：30—17：30，不间断开展保洁工作。因特殊情况以学校具体要求为准。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480"/>
              <w:jc w:val="left"/>
              <w:rPr>
                <w:sz w:val="24"/>
                <w:szCs w:val="24"/>
              </w:rPr>
            </w:pPr>
            <w:r>
              <w:rPr>
                <w:rFonts w:hint="eastAsia" w:ascii="方正仿宋_GBK" w:hAnsi="方正仿宋_GBK" w:eastAsia="方正仿宋_GBK" w:cs="方正仿宋_GBK"/>
                <w:sz w:val="24"/>
                <w:szCs w:val="24"/>
                <w:bdr w:val="none" w:color="auto" w:sz="0" w:space="0"/>
              </w:rPr>
              <w:t>2.2工作范围包括：校园内的道路、体育馆1间、运动场、实验楼、科艺楼、办公楼公共区域及卫生间、领导办公室、会议室3间、阶梯教室2间、绿化带内等）所有公共区域不间断开展保洁工作，厕所每天上下午至少各清洁一次，其余时间进行保洁，确保校园干净卫生。具体内容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480"/>
              <w:jc w:val="left"/>
              <w:rPr>
                <w:sz w:val="24"/>
                <w:szCs w:val="24"/>
              </w:rPr>
            </w:pPr>
            <w:r>
              <w:rPr>
                <w:rFonts w:hint="eastAsia" w:ascii="方正仿宋_GBK" w:hAnsi="方正仿宋_GBK" w:eastAsia="方正仿宋_GBK" w:cs="方正仿宋_GBK"/>
                <w:sz w:val="24"/>
                <w:szCs w:val="24"/>
                <w:bdr w:val="none" w:color="auto" w:sz="0" w:space="0"/>
              </w:rPr>
              <w:t>（1）卫生间卫生标准：门及墙体无灰尘、无污油迹、干净干爽、无乱涂写张贴；水槽及洗手盆内无杂物，干净卫生，无污、积水；马桶等洁具明亮干净，大小便槽无尿碱、无水锈、无污渍、无异味、厕区内无污垢污物、及时冲水，保持地面干燥卫生；地面洁净、无灰尘、无水渍、无污迹污色，无果皮纸屑、烟头等杂物，保持干燥；洗手台、拖把池干洁明亮、无污迹、无油漆等凝固物、无乱张贴物，无水渍残留，保持透亮；保持空气清新，定期消毒，做好污染及安全防护措施；卫生用具放回原位，清洗干净，摆放整齐；每日清理垃圾桶垃圾，每天更换垃圾袋。天花板无蜘蛛网、蚁虫窝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2）走廊、楼梯卫生标准：天花板无蜘蛛网、蚁虫窝巢；墙面无鞋印等污迹，瓷砖干净，无灰尘泥土，无乱涂写、乱张贴；门窗（包括窗帘、窗台、门饰等）干净明亮、无灰尘、污油迹，无乱涂写张贴；扶梯无灰尘、无污迹、无蛛网，无乱涂写、乱张贴；地面无纸屑、果皮、烟头等杂物，无水渍、无泥土；行政楼二楼厅口玻璃门干净透明、无污迹、无油漆等凝固物、无张贴物，干净明亮。卫生工具放回原位，清洗干净，摆放整齐；每日清理垃圾桶垃圾，每天更换垃圾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3）公共区域卫生标准：清洁区清扫及时、彻底，无遗漏区域。打扫干净，区内无纸屑、树叶、烟头、果皮、瓜子皮等杂物；垃圾及时入在垃圾池内，不向下水道内倒垃圾；水泥地面洁净、无土；墙壁洁净，无乱贴、乱画现象；管理美化区域，区内无杂物，经常保持洁净。工作日期间每天下班前安排一名环境维护人员利用三十分钟时间对卫生间进行巡视，及时清理建筑物墙角杂草。及时关闭垃圾池大门并清理垃圾池周边的垃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4）办公室、会议室卫生标准：3间领导办公室及3间会议室每天至少保洁一次。门及墙体无灰尘、无污油迹、干净干爽、无乱涂写张贴；地面洁净、无灰尘、无水渍、无污迹污色，无果皮纸屑、烟头等杂物，保持干燥；办公桌凳干净，物件摆放有序；玻璃干净透明、无污迹、无油漆等凝固物、无张贴物，干净明亮；卫生工具放回原位，清洗干净，摆放整齐；每日清理垃圾桶垃圾，每天更换垃圾袋。（清洁人员负责上述区域以及区域内（护栏、天花板、门窗、玻璃、阳台、瓷砖、垃圾桶等）的擦抹及清扫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（5）环境消毒标准：按学校要求定期组织人员对校园公共区域、教室、厕所、垃圾中转站、垃圾收集容器等进行消毒（药品由学校提供、消毒器具由供应商负责）。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（6）教师公寓卫生标准：4栋教师公寓每周各至少保洁一次。清洁人员负责上述区域内（护栏、楼梯、过道、天花板、瓷砖、墙角杂草）等的擦抹及清扫工作。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2.3工作纪律及要求：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（1） 按要求着装，并保持干净、平整，无明显污迹、破损；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（2）关心爱护学生，文明用语，严禁打骂和侮辱学生；热情服务，礼貌待人，团结互助，服从管理，尽职尽责;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（3）每天对所属区域垃圾杂物进行收集清理；每日做好保洁工具、设备的清洁及保养工作，以防丢失或造成工具损坏；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4）高空操作时，必须双脚踏在凳子上，不得单脚踏在凳子上，以免摔伤；不得用湿手接触电源插座，以免触电。若因此产生的安全事故，责任由供应商负责，采购人对此不承担任何的责任和义务。清洁作业和巡查时遇到部分机器、设备故障或突发性事件应急处理方案，有现场处理措施、处理记录并单独体现在响应文件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（5）完成学校和项目部临时赋予的其它工作任务。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Style w:val="7"/>
                <w:rFonts w:hint="eastAsia" w:ascii="方正仿宋_GBK" w:hAnsi="方正仿宋_GBK" w:eastAsia="方正仿宋_GBK" w:cs="方正仿宋_GBK"/>
                <w:sz w:val="24"/>
                <w:szCs w:val="24"/>
                <w:bdr w:val="none" w:color="auto" w:sz="0" w:space="0"/>
              </w:rPr>
              <w:t>3．生活指导老师岗位职责及要求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Style w:val="7"/>
                <w:rFonts w:hint="eastAsia" w:ascii="方正仿宋_GBK" w:hAnsi="方正仿宋_GBK" w:eastAsia="方正仿宋_GBK" w:cs="方正仿宋_GBK"/>
                <w:sz w:val="24"/>
                <w:szCs w:val="24"/>
                <w:bdr w:val="none" w:color="auto" w:sz="0" w:space="0"/>
              </w:rPr>
              <w:t>3.1宿舍主管岗位职责及要求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970"/>
              <w:jc w:val="both"/>
              <w:rPr>
                <w:sz w:val="24"/>
                <w:szCs w:val="24"/>
              </w:rPr>
            </w:pPr>
            <w:r>
              <w:rPr>
                <w:rFonts w:hint="eastAsia" w:ascii="方正仿宋_GBK" w:hAnsi="方正仿宋_GBK" w:eastAsia="方正仿宋_GBK" w:cs="方正仿宋_GBK"/>
                <w:sz w:val="24"/>
                <w:szCs w:val="24"/>
                <w:bdr w:val="none" w:color="auto" w:sz="0" w:space="0"/>
              </w:rPr>
              <w:t>3.1.1岗位职责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（1）日常管理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全面负责学生宿舍区日常管理、卫生、纪律、安全、内务检查。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制定宿舍管理制度、作息制度、卫生标准、奖惩细则并监督执行。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组织宿舍日常巡查、晚点名、查寝，及时处理违纪、夜不归宿、矛盾纠纷。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（2）人员管理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管理普通生活老师、排班、考勤、培训、考核。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监督员工服务态度、仪容仪表、纪律执行，处理员工投诉与工作问题。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（3）卫生与内务管理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制定宿舍卫生标准，组织每日清扫、每周大扫除、定期消杀（蚊蝇、蟑螂、公共区域消毒）。</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检查学生内务：被褥、物品摆放、地面、门窗、卫生间、阳台等，督促整改。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(4)安全管理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落实消防安全：消防设施、通道、应急灯、疏散标识检查；严禁私拉电线、使用大功率电器、明火、蚊香。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水电安全：巡查水电线路、插座、空调、热水器，发现漏水、漏电、损坏及时报修。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突发事件：学生生病、受伤、突发矛盾、火灾、停电、停水等，第一时间处置、上报、记录。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(5)学生服务与沟通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关心学生生活、心理、情绪，耐心解答学生、家长、老师咨询。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处理学生报修（门窗、水电、家具、空调等），跟踪维修闭环。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对接学校德育处、班主任、年级组，反馈学生宿舍表现、违纪情况、特殊学生情况。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定期向物业项目经理、学校主管部门汇报工作。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3.1.2  服务要求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（1）服务态度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文明礼貌、耐心细致、态度和蔼，尊重学生人格，不体罚、不辱骂、不讽刺。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着装整洁、佩戴工牌、言行规范，以身作则。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（2）应急处置要求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学生突发疾病：立即送医、联系班主任 / 家长、记录情况。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打架 / 欺凌：立即制止、隔离、上报学校、做好笔录、保护学生。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火灾：立即报警、组织疏散、初期灭火、保护现场。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停电 / 停水：安抚学生、排查原因、及时恢复、上报。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（3）其他要求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完全理解和响应采购人关于学校宿舍管理的其他相关要求，积极配合采购人的需求。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Style w:val="7"/>
                <w:rFonts w:hint="eastAsia" w:ascii="方正仿宋_GBK" w:hAnsi="方正仿宋_GBK" w:eastAsia="方正仿宋_GBK" w:cs="方正仿宋_GBK"/>
                <w:sz w:val="24"/>
                <w:szCs w:val="24"/>
                <w:bdr w:val="none" w:color="auto" w:sz="0" w:space="0"/>
              </w:rPr>
              <w:t>3.2管理教官岗位职责及要求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3.2.1人员要求：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（1）因宿舍管理工作特殊性，共需教官2人（男性和女性各1人)。要求所有人员品行端正，无犯罪记录，具备一定思想素质和工作能力，有C2以上机动车驾驶证且能熟练驾驶小汽车、能与学生友好交流。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（2）男性教官负责管理男生宿舍，女性教官负责管理女生宿舍。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3.2.2工作纪律要求：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（1）学生在校期间必须住在学校，不得擅自离岗离校，且保证全天手机畅通。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（2）虚心接受学校相关部门人员的业务指导和工作质量监督。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（3）严格遵守学校制定的相关规章制度；统一着装，衣帽整洁、文明礼貌，不做有损自身职业形象和学校形象的事情。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3.2.3工作职责：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（1）安全与设施管理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default" w:ascii="Calibri" w:hAnsi="Calibri" w:cs="Calibri"/>
                <w:sz w:val="24"/>
                <w:szCs w:val="24"/>
                <w:bdr w:val="none" w:color="auto" w:sz="0" w:space="0"/>
              </w:rPr>
              <w:t>   </w:t>
            </w:r>
            <w:r>
              <w:rPr>
                <w:rFonts w:hint="eastAsia" w:ascii="方正仿宋_GBK" w:hAnsi="方正仿宋_GBK" w:eastAsia="方正仿宋_GBK" w:cs="方正仿宋_GBK"/>
                <w:sz w:val="24"/>
                <w:szCs w:val="24"/>
                <w:bdr w:val="none" w:color="auto" w:sz="0" w:space="0"/>
              </w:rPr>
              <w:t>组织查房点名：每晚固定时间（如下自习后10分钟）核对人数，记录未归、晚归情况，查明去向并上报。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default" w:ascii="Calibri" w:hAnsi="Calibri" w:cs="Calibri"/>
                <w:sz w:val="24"/>
                <w:szCs w:val="24"/>
                <w:bdr w:val="none" w:color="auto" w:sz="0" w:space="0"/>
              </w:rPr>
              <w:t>   </w:t>
            </w:r>
            <w:r>
              <w:rPr>
                <w:rFonts w:hint="eastAsia" w:ascii="方正仿宋_GBK" w:hAnsi="方正仿宋_GBK" w:eastAsia="方正仿宋_GBK" w:cs="方正仿宋_GBK"/>
                <w:sz w:val="24"/>
                <w:szCs w:val="24"/>
                <w:bdr w:val="none" w:color="auto" w:sz="0" w:space="0"/>
              </w:rPr>
              <w:t>组织违禁品检查：不定期组织公寓管理员对学生宿舍排查管制刀具、打火机、大功率电器。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default" w:ascii="Calibri" w:hAnsi="Calibri" w:cs="Calibri"/>
                <w:sz w:val="24"/>
                <w:szCs w:val="24"/>
                <w:bdr w:val="none" w:color="auto" w:sz="0" w:space="0"/>
              </w:rPr>
              <w:t>   </w:t>
            </w:r>
            <w:r>
              <w:rPr>
                <w:rFonts w:hint="eastAsia" w:ascii="方正仿宋_GBK" w:hAnsi="方正仿宋_GBK" w:eastAsia="方正仿宋_GBK" w:cs="方正仿宋_GBK"/>
                <w:sz w:val="24"/>
                <w:szCs w:val="24"/>
                <w:bdr w:val="none" w:color="auto" w:sz="0" w:space="0"/>
              </w:rPr>
              <w:t>协调设施报修：巡查门窗、水电、床铺等，发现隐患立即上报后勤服务中心。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default" w:ascii="Calibri" w:hAnsi="Calibri" w:cs="Calibri"/>
                <w:sz w:val="24"/>
                <w:szCs w:val="24"/>
                <w:bdr w:val="none" w:color="auto" w:sz="0" w:space="0"/>
              </w:rPr>
              <w:t>   </w:t>
            </w:r>
            <w:r>
              <w:rPr>
                <w:rFonts w:hint="eastAsia" w:ascii="方正仿宋_GBK" w:hAnsi="方正仿宋_GBK" w:eastAsia="方正仿宋_GBK" w:cs="方正仿宋_GBK"/>
                <w:sz w:val="24"/>
                <w:szCs w:val="24"/>
                <w:bdr w:val="none" w:color="auto" w:sz="0" w:space="0"/>
              </w:rPr>
              <w:t>负责消防管理：确保通道畅通，定期检查灭火器、应急灯，组织学生参与消防演练。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（2）纪律与行为规范管理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default" w:ascii="Calibri" w:hAnsi="Calibri" w:cs="Calibri"/>
                <w:sz w:val="24"/>
                <w:szCs w:val="24"/>
                <w:bdr w:val="none" w:color="auto" w:sz="0" w:space="0"/>
              </w:rPr>
              <w:t>   </w:t>
            </w:r>
            <w:r>
              <w:rPr>
                <w:rFonts w:hint="eastAsia" w:ascii="方正仿宋_GBK" w:hAnsi="方正仿宋_GBK" w:eastAsia="方正仿宋_GBK" w:cs="方正仿宋_GBK"/>
                <w:sz w:val="24"/>
                <w:szCs w:val="24"/>
                <w:bdr w:val="none" w:color="auto" w:sz="0" w:space="0"/>
              </w:rPr>
              <w:t>作息管控：督促按时起床、就寝、熄灯，管理午休/晚休秩序，制止喧哗、打闹等违纪行为。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default" w:ascii="Calibri" w:hAnsi="Calibri" w:cs="Calibri"/>
                <w:sz w:val="24"/>
                <w:szCs w:val="24"/>
                <w:bdr w:val="none" w:color="auto" w:sz="0" w:space="0"/>
              </w:rPr>
              <w:t>   </w:t>
            </w:r>
            <w:r>
              <w:rPr>
                <w:rFonts w:hint="eastAsia" w:ascii="方正仿宋_GBK" w:hAnsi="方正仿宋_GBK" w:eastAsia="方正仿宋_GBK" w:cs="方正仿宋_GBK"/>
                <w:sz w:val="24"/>
                <w:szCs w:val="24"/>
                <w:bdr w:val="none" w:color="auto" w:sz="0" w:space="0"/>
              </w:rPr>
              <w:t>内务标准：指导并检查军被叠放、物品摆放（“一条线”标准），每日通报评分，纳入班级考核。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default" w:ascii="Calibri" w:hAnsi="Calibri" w:cs="Calibri"/>
                <w:sz w:val="24"/>
                <w:szCs w:val="24"/>
                <w:bdr w:val="none" w:color="auto" w:sz="0" w:space="0"/>
              </w:rPr>
              <w:t>   </w:t>
            </w:r>
            <w:r>
              <w:rPr>
                <w:rFonts w:hint="eastAsia" w:ascii="方正仿宋_GBK" w:hAnsi="方正仿宋_GBK" w:eastAsia="方正仿宋_GBK" w:cs="方正仿宋_GBK"/>
                <w:sz w:val="24"/>
                <w:szCs w:val="24"/>
                <w:bdr w:val="none" w:color="auto" w:sz="0" w:space="0"/>
              </w:rPr>
              <w:t>行为纠察：制止宿舍内吸烟、饮酒、赌博、打架等行为，严防校园欺凌并及时干预上报。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default" w:ascii="Calibri" w:hAnsi="Calibri" w:cs="Calibri"/>
                <w:sz w:val="24"/>
                <w:szCs w:val="24"/>
                <w:bdr w:val="none" w:color="auto" w:sz="0" w:space="0"/>
              </w:rPr>
              <w:t>   </w:t>
            </w:r>
            <w:r>
              <w:rPr>
                <w:rFonts w:hint="eastAsia" w:ascii="方正仿宋_GBK" w:hAnsi="方正仿宋_GBK" w:eastAsia="方正仿宋_GBK" w:cs="方正仿宋_GBK"/>
                <w:sz w:val="24"/>
                <w:szCs w:val="24"/>
                <w:bdr w:val="none" w:color="auto" w:sz="0" w:space="0"/>
              </w:rPr>
              <w:t>门禁管理：上课期间锁门，非规定时间进出需凭班主任签字的请假条并登记。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（3）卫生与环境管理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default" w:ascii="Calibri" w:hAnsi="Calibri" w:cs="Calibri"/>
                <w:sz w:val="24"/>
                <w:szCs w:val="24"/>
                <w:bdr w:val="none" w:color="auto" w:sz="0" w:space="0"/>
              </w:rPr>
              <w:t>   </w:t>
            </w:r>
            <w:r>
              <w:rPr>
                <w:rFonts w:hint="eastAsia" w:ascii="方正仿宋_GBK" w:hAnsi="方正仿宋_GBK" w:eastAsia="方正仿宋_GBK" w:cs="方正仿宋_GBK"/>
                <w:sz w:val="24"/>
                <w:szCs w:val="24"/>
                <w:bdr w:val="none" w:color="auto" w:sz="0" w:space="0"/>
              </w:rPr>
              <w:t>日常保洁：打扫走廊、楼梯等公共区域，监督垃圾袋装化下楼。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default" w:ascii="Calibri" w:hAnsi="Calibri" w:cs="Calibri"/>
                <w:sz w:val="24"/>
                <w:szCs w:val="24"/>
                <w:bdr w:val="none" w:color="auto" w:sz="0" w:space="0"/>
              </w:rPr>
              <w:t>   </w:t>
            </w:r>
            <w:r>
              <w:rPr>
                <w:rFonts w:hint="eastAsia" w:ascii="方正仿宋_GBK" w:hAnsi="方正仿宋_GBK" w:eastAsia="方正仿宋_GBK" w:cs="方正仿宋_GBK"/>
                <w:sz w:val="24"/>
                <w:szCs w:val="24"/>
                <w:bdr w:val="none" w:color="auto" w:sz="0" w:space="0"/>
              </w:rPr>
              <w:t>卫生检查：每日上下午检查宿舍内部（地面、床铺、阳台、卫生间），评分并督促整改。督促学生按标准做好寝室内务卫生，保持宿舍内务卫生清洁整齐，做好每日登记公布反馈工作，检查发现问题必须及时通知班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default" w:ascii="Calibri" w:hAnsi="Calibri" w:cs="Calibri"/>
                <w:sz w:val="24"/>
                <w:szCs w:val="24"/>
                <w:bdr w:val="none" w:color="auto" w:sz="0" w:space="0"/>
              </w:rPr>
              <w:t>   </w:t>
            </w:r>
            <w:r>
              <w:rPr>
                <w:rFonts w:hint="eastAsia" w:ascii="方正仿宋_GBK" w:hAnsi="方正仿宋_GBK" w:eastAsia="方正仿宋_GBK" w:cs="方正仿宋_GBK"/>
                <w:sz w:val="24"/>
                <w:szCs w:val="24"/>
                <w:bdr w:val="none" w:color="auto" w:sz="0" w:space="0"/>
              </w:rPr>
              <w:t>防疫消杀：协助后勤服务中心在流感等传染病高发期，对学生宿舍进行通风和消毒。</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（4）学生服务与心理关怀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default" w:ascii="Calibri" w:hAnsi="Calibri" w:cs="Calibri"/>
                <w:sz w:val="24"/>
                <w:szCs w:val="24"/>
                <w:bdr w:val="none" w:color="auto" w:sz="0" w:space="0"/>
              </w:rPr>
              <w:t>     </w:t>
            </w:r>
            <w:r>
              <w:rPr>
                <w:rFonts w:hint="eastAsia" w:ascii="方正仿宋_GBK" w:hAnsi="方正仿宋_GBK" w:eastAsia="方正仿宋_GBK" w:cs="方正仿宋_GBK"/>
                <w:sz w:val="24"/>
                <w:szCs w:val="24"/>
                <w:bdr w:val="none" w:color="auto" w:sz="0" w:space="0"/>
              </w:rPr>
              <w:t>应急处理：夜间若有突发疾病、受伤学生，应及时联系学生发展中心或拨打120并进行初步救助。若需要送医的，管理教官负责将突发疾病、受伤学生安全送至相关医院，待家长到场后才能离开返校。期间产生的差旅费按照学校相关规定执行，由学校单独支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default" w:ascii="Calibri" w:hAnsi="Calibri" w:cs="Calibri"/>
                <w:sz w:val="24"/>
                <w:szCs w:val="24"/>
                <w:bdr w:val="none" w:color="auto" w:sz="0" w:space="0"/>
              </w:rPr>
              <w:t>   </w:t>
            </w:r>
            <w:r>
              <w:rPr>
                <w:rFonts w:hint="eastAsia" w:ascii="方正仿宋_GBK" w:hAnsi="方正仿宋_GBK" w:eastAsia="方正仿宋_GBK" w:cs="方正仿宋_GBK"/>
                <w:sz w:val="24"/>
                <w:szCs w:val="24"/>
                <w:bdr w:val="none" w:color="auto" w:sz="0" w:space="0"/>
              </w:rPr>
              <w:t>心理观察：关注情绪异常、行为孤僻或受欺凌学生，主动谈心并及时报告班主任或心理老师。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default" w:ascii="Calibri" w:hAnsi="Calibri" w:cs="Calibri"/>
                <w:sz w:val="24"/>
                <w:szCs w:val="24"/>
                <w:bdr w:val="none" w:color="auto" w:sz="0" w:space="0"/>
              </w:rPr>
              <w:t>   </w:t>
            </w:r>
            <w:r>
              <w:rPr>
                <w:rFonts w:hint="eastAsia" w:ascii="方正仿宋_GBK" w:hAnsi="方正仿宋_GBK" w:eastAsia="方正仿宋_GBK" w:cs="方正仿宋_GBK"/>
                <w:sz w:val="24"/>
                <w:szCs w:val="24"/>
                <w:bdr w:val="none" w:color="auto" w:sz="0" w:space="0"/>
              </w:rPr>
              <w:t>矛盾调解：及时处理宿舍内部的人际冲突，防止矛盾升级。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（5）沟通与协同工作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default" w:ascii="Calibri" w:hAnsi="Calibri" w:cs="Calibri"/>
                <w:sz w:val="24"/>
                <w:szCs w:val="24"/>
                <w:bdr w:val="none" w:color="auto" w:sz="0" w:space="0"/>
              </w:rPr>
              <w:t>   </w:t>
            </w:r>
            <w:r>
              <w:rPr>
                <w:rFonts w:hint="eastAsia" w:ascii="方正仿宋_GBK" w:hAnsi="方正仿宋_GBK" w:eastAsia="方正仿宋_GBK" w:cs="方正仿宋_GBK"/>
                <w:sz w:val="24"/>
                <w:szCs w:val="24"/>
                <w:bdr w:val="none" w:color="auto" w:sz="0" w:space="0"/>
              </w:rPr>
              <w:t>与班主任对接：每日提交《宿舍管理日志》，记录缺勤、违纪、内务分数等。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default" w:ascii="Calibri" w:hAnsi="Calibri" w:cs="Calibri"/>
                <w:sz w:val="24"/>
                <w:szCs w:val="24"/>
                <w:bdr w:val="none" w:color="auto" w:sz="0" w:space="0"/>
              </w:rPr>
              <w:t>   </w:t>
            </w:r>
            <w:r>
              <w:rPr>
                <w:rFonts w:hint="eastAsia" w:ascii="方正仿宋_GBK" w:hAnsi="方正仿宋_GBK" w:eastAsia="方正仿宋_GBK" w:cs="方正仿宋_GBK"/>
                <w:sz w:val="24"/>
                <w:szCs w:val="24"/>
                <w:bdr w:val="none" w:color="auto" w:sz="0" w:space="0"/>
              </w:rPr>
              <w:t>与家长沟通：学生严重违纪或发生意外时，协助班主任联系家长。</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default" w:ascii="Calibri" w:hAnsi="Calibri" w:cs="Calibri"/>
                <w:sz w:val="24"/>
                <w:szCs w:val="24"/>
                <w:bdr w:val="none" w:color="auto" w:sz="0" w:space="0"/>
              </w:rPr>
              <w:t>   </w:t>
            </w:r>
            <w:r>
              <w:rPr>
                <w:rFonts w:hint="eastAsia" w:ascii="方正仿宋_GBK" w:hAnsi="方正仿宋_GBK" w:eastAsia="方正仿宋_GBK" w:cs="方正仿宋_GBK"/>
                <w:sz w:val="24"/>
                <w:szCs w:val="24"/>
                <w:bdr w:val="none" w:color="auto" w:sz="0" w:space="0"/>
              </w:rPr>
              <w:t>与学校安保联动：配合处理夜间突发治安问题（如校外人员闯入、学生私自离校）。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default" w:ascii="Calibri" w:hAnsi="Calibri" w:cs="Calibri"/>
                <w:sz w:val="24"/>
                <w:szCs w:val="24"/>
                <w:bdr w:val="none" w:color="auto" w:sz="0" w:space="0"/>
              </w:rPr>
              <w:t>   </w:t>
            </w:r>
            <w:r>
              <w:rPr>
                <w:rFonts w:hint="eastAsia" w:ascii="方正仿宋_GBK" w:hAnsi="方正仿宋_GBK" w:eastAsia="方正仿宋_GBK" w:cs="方正仿宋_GBK"/>
                <w:sz w:val="24"/>
                <w:szCs w:val="24"/>
                <w:bdr w:val="none" w:color="auto" w:sz="0" w:space="0"/>
              </w:rPr>
              <w:t>例会制度：定期组织宿舍长会议，传达要求并收集学生意见。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Style w:val="7"/>
                <w:rFonts w:hint="eastAsia" w:ascii="方正仿宋_GBK" w:hAnsi="方正仿宋_GBK" w:eastAsia="方正仿宋_GBK" w:cs="方正仿宋_GBK"/>
                <w:sz w:val="24"/>
                <w:szCs w:val="24"/>
                <w:bdr w:val="none" w:color="auto" w:sz="0" w:space="0"/>
              </w:rPr>
              <w:t>3．3 普通生活老师岗位职责及要求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Style w:val="7"/>
                <w:rFonts w:hint="eastAsia" w:ascii="方正仿宋_GBK" w:hAnsi="方正仿宋_GBK" w:eastAsia="方正仿宋_GBK" w:cs="方正仿宋_GBK"/>
                <w:sz w:val="24"/>
                <w:szCs w:val="24"/>
                <w:bdr w:val="none" w:color="auto" w:sz="0" w:space="0"/>
              </w:rPr>
              <w:t>3.3.1工作职责：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（1）负责学生宿舍区域内安全管理、公物管理、卫生管理、纪律管理等工作。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（2）负责对违规使用电器、管制器械、烟酒以及其他违禁物品的安全检查、记录、整改。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（3）负责检查学生宿舍内设备设施的运行情况，包括水管、灯具、地漏、水箱、开关、电器、门窗等。做好财产保管、登记、核实及报修。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（4）负责学生宿舍卫生和个人内务规范、检查、评比、整改等。指引新生入住宿舍，对新生内务整理等进行培训。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（5）负责做好学生宿舍大门和水电的开关。</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（6）负责学生午休、晚寝考勤、纪律管理及上报、记录等相关工作。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（7）协助学校做好学生在宿舍期间的违规违纪检查、防范、记录和教育整改工作。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（8）协助学校做好传染性疾病防控、应急疏散等突发事件应急处理工作。每日学生出寝完毕后，对所有学生宿舍进行消毒消杀工作。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（9）负责学生临时进出公寓的安全管理，施工、维修人员的管理工作。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（10）负责学生寝室公共区域的所有场地、走道、楼道等场地卫生，每日全面打扫至少一次，重点地区要清扫多次，必须保持学生公寓环境的清洁卫生。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（11）负责宿舍卫生工具的领取与发放。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（12）学校重大活动或集体活动期间，协助学校相关部门做好学生秩序维护。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（13）完成学校临时交办的其它工作任务。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Style w:val="7"/>
                <w:rFonts w:hint="eastAsia" w:ascii="方正仿宋_GBK" w:hAnsi="方正仿宋_GBK" w:eastAsia="方正仿宋_GBK" w:cs="方正仿宋_GBK"/>
                <w:sz w:val="24"/>
                <w:szCs w:val="24"/>
                <w:bdr w:val="none" w:color="auto" w:sz="0" w:space="0"/>
              </w:rPr>
              <w:t>3.3.2服务要求：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1）早上在学校起床号前10分钟必须全部到岗到位，打开公寓楼大门及电灯，起床号响后，立即督促学生起床、整理内务、打扫宿舍内卫生，清空宿舍内学生，确保学生按时参加早读(或学校安排的其他工作)。严禁学生餐后和学生上课期间私自回到宿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720"/>
              <w:rPr>
                <w:sz w:val="24"/>
                <w:szCs w:val="24"/>
              </w:rPr>
            </w:pPr>
            <w:r>
              <w:rPr>
                <w:rFonts w:hint="eastAsia" w:ascii="方正仿宋_GBK" w:hAnsi="方正仿宋_GBK" w:eastAsia="方正仿宋_GBK" w:cs="方正仿宋_GBK"/>
                <w:sz w:val="24"/>
                <w:szCs w:val="24"/>
                <w:bdr w:val="none" w:color="auto" w:sz="0" w:space="0"/>
              </w:rPr>
              <w:t>（2）学生离开寝室后，及时开展寝室内务卫生的检查、登记、公示工作，及时向班主任和学生发展中心反馈检查结果。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720"/>
              <w:rPr>
                <w:sz w:val="24"/>
                <w:szCs w:val="24"/>
              </w:rPr>
            </w:pPr>
            <w:r>
              <w:rPr>
                <w:rFonts w:hint="eastAsia" w:ascii="方正仿宋_GBK" w:hAnsi="方正仿宋_GBK" w:eastAsia="方正仿宋_GBK" w:cs="方正仿宋_GBK"/>
                <w:sz w:val="24"/>
                <w:szCs w:val="24"/>
                <w:bdr w:val="none" w:color="auto" w:sz="0" w:space="0"/>
              </w:rPr>
              <w:t>（3）学生上课期间（包括早晚自习），不得随意允许学生进入宿舍，如特殊情况要进宿舍，必须按照请假程序和纪律要求执行，管理员还要做好登记、监管工作。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4）晚自习结束后，立即到各自负责的楼层进行巡查，不得脱岗。严格执行寝室点名登记制度，确保应到学生全部在寝室。晚上11点前，全员在岗不间断巡查就寝纪律，督促学生在下晚自习后30分钟内完成洗漱，按时就寝，拉熄灯后关闭宿舍电源，保证学生公寓处于安静状态。11点后，由值班人员对学生寝室进行不低于三次(时间间隔在30分钟以上)的就寝纪律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（5）发现学生在学生公寓内打架斗殴、抽烟、喝酒、赌博、串寝，或在寝室走廊打闹等违反校规校纪的行为应当立即制止并耐心教育，并及时向学校学生发展中心反映具体情况。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（6）发现学生出现生理或心理异常情况要及时介入处置并向班主任或学校值班人员报告。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720"/>
              <w:rPr>
                <w:sz w:val="24"/>
                <w:szCs w:val="24"/>
              </w:rPr>
            </w:pPr>
            <w:r>
              <w:rPr>
                <w:rFonts w:hint="eastAsia" w:ascii="方正仿宋_GBK" w:hAnsi="方正仿宋_GBK" w:eastAsia="方正仿宋_GBK" w:cs="方正仿宋_GBK"/>
                <w:sz w:val="24"/>
                <w:szCs w:val="24"/>
                <w:bdr w:val="none" w:color="auto" w:sz="0" w:space="0"/>
              </w:rPr>
              <w:t>（7）制止外来人员未经同意进入学生公寓，不允许男性家长亲友及无关人员进去女生宿舍，每日上午学生离开宿舍后要逐一检查各个寝室的内务和物品摆放情况。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8）保管好学生宿舍钥匙，严格宿舍钥匙借用手续，管理员保管的寝室钥匙不出借，有特殊情况需要出借，必须要求借用人员登记出借时间和钥匙归还时间。学生发展中心调整宿舍时，学生公寓管理员要协助后勤服务中心退领寝室钥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（9）做好国家法定节假日、归宿假时留校学生的管理工作，留校学生必须要有班主任签字的申请书。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10）做好寝室公物日常管理与每日检查登记工作，配合学校后勤服务中心进行常规公物检查工作。对故意破坏公物的现象应当立即制止，严肃批评，耐心教育，并上报后勤服务中心和学生发展中心，根据损坏情况照价赔偿，及时安排相关人员进行维修，及时向学生发展中心和后勤服务中心反馈。学生期末（毕业）离校时，应认真清点宿舍公物；对损坏、丢失公物的要办理赔偿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480"/>
              <w:rPr>
                <w:sz w:val="24"/>
                <w:szCs w:val="24"/>
              </w:rPr>
            </w:pPr>
            <w:r>
              <w:rPr>
                <w:rFonts w:hint="eastAsia" w:ascii="方正仿宋_GBK" w:hAnsi="方正仿宋_GBK" w:eastAsia="方正仿宋_GBK" w:cs="方正仿宋_GBK"/>
                <w:sz w:val="24"/>
                <w:szCs w:val="24"/>
                <w:bdr w:val="none" w:color="auto" w:sz="0" w:space="0"/>
              </w:rPr>
              <w:t>（11）热情接待来访家长，向家长汇报学生在校的生活情况，与家长配合帮助学生养成良好的生活习惯和卫生习惯。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480"/>
              <w:rPr>
                <w:sz w:val="24"/>
                <w:szCs w:val="24"/>
              </w:rPr>
            </w:pPr>
            <w:r>
              <w:rPr>
                <w:rFonts w:hint="eastAsia" w:ascii="方正仿宋_GBK" w:hAnsi="方正仿宋_GBK" w:eastAsia="方正仿宋_GBK" w:cs="方正仿宋_GBK"/>
                <w:sz w:val="24"/>
                <w:szCs w:val="24"/>
                <w:bdr w:val="none" w:color="auto" w:sz="0" w:space="0"/>
              </w:rPr>
              <w:t>（12）严格按照校方要求做好传染病防控工作，做好学生宿舍的消毒消杀工作。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Style w:val="7"/>
                <w:rFonts w:hint="eastAsia" w:ascii="方正仿宋_GBK" w:hAnsi="方正仿宋_GBK" w:eastAsia="方正仿宋_GBK" w:cs="方正仿宋_GBK"/>
                <w:sz w:val="24"/>
                <w:szCs w:val="24"/>
                <w:bdr w:val="none" w:color="auto" w:sz="0" w:space="0"/>
              </w:rPr>
              <w:t>3.3.3工作纪律要求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1）因学生公寓管理是全日制，普通生活老师须24小时轮流在岗，每周一至周五之间正常上班，普通生活老师应在周五学生全部离校后才能离开学校，学生返校当天15:00前到达岗位履行职责。周末、节假日及寒暑假期间根据学校工作安排，实行轮流值班，负责托管学生的就寝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（2）上班时间应严格要求自己，加强学习，熟悉学校《住宿生管理条例》，注重工作方式方法，不体罚学生，不讲粗话脏话，不野蛮暴力管理，着装得体大方，树立良好的形象，为学生做表率。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3）做好学生管理工作，应严而有爱，树立服务意识，切实为学生解决一些力所能及的事情。若遇学生生病，要主动予以关心，照顾，并及时与学生家长联系或班主任联系。当班管理人员负责填写《楼管工作日志》及《宿舍安全日查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（4）不得私拿、使用学生个人物品和学校财产。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（5）严禁向学生兜售日常生活用品和食品。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（6）不得与学生建立超出管理职责范围的亲密关系。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rPr>
                <w:sz w:val="24"/>
                <w:szCs w:val="24"/>
              </w:rPr>
            </w:pPr>
            <w:r>
              <w:rPr>
                <w:rFonts w:hint="eastAsia" w:ascii="方正仿宋_GBK" w:hAnsi="方正仿宋_GBK" w:eastAsia="方正仿宋_GBK" w:cs="方正仿宋_GBK"/>
                <w:sz w:val="24"/>
                <w:szCs w:val="24"/>
                <w:bdr w:val="none" w:color="auto" w:sz="0" w:space="0"/>
              </w:rPr>
              <w:t>（7）突发事件要及时向教官、物业经理和学校汇报，不得隐瞒、谎报、缓报。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ascii="仿宋_GB2312" w:hAnsi="Calibri" w:eastAsia="仿宋_GB2312" w:cs="仿宋_GB2312"/>
                <w:sz w:val="24"/>
                <w:szCs w:val="24"/>
                <w:bdr w:val="none" w:color="auto" w:sz="0" w:space="0"/>
              </w:rPr>
              <w:t>（</w:t>
            </w:r>
            <w:r>
              <w:rPr>
                <w:rFonts w:hint="eastAsia" w:ascii="仿宋_GB2312" w:hAnsi="Calibri" w:eastAsia="仿宋_GB2312" w:cs="仿宋_GB2312"/>
                <w:sz w:val="24"/>
                <w:szCs w:val="24"/>
                <w:bdr w:val="none" w:color="auto" w:sz="0" w:space="0"/>
              </w:rPr>
              <w:t>二）人员配置要求：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供应商须承诺：为本项目配置服务人员数量不少于23人，采购人有权根据实际情况调整节假日及寒暑假期间的岗位设置。</w:t>
            </w:r>
          </w:p>
          <w:tbl>
            <w:tblPr>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84"/>
              <w:gridCol w:w="821"/>
              <w:gridCol w:w="658"/>
              <w:gridCol w:w="1403"/>
              <w:gridCol w:w="3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8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both"/>
                    <w:rPr>
                      <w:sz w:val="24"/>
                      <w:szCs w:val="24"/>
                    </w:rPr>
                  </w:pPr>
                  <w:r>
                    <w:rPr>
                      <w:rFonts w:hint="eastAsia" w:ascii="仿宋_GB2312" w:hAnsi="Calibri" w:eastAsia="仿宋_GB2312" w:cs="仿宋_GB2312"/>
                      <w:sz w:val="24"/>
                      <w:szCs w:val="24"/>
                      <w:bdr w:val="none" w:color="auto" w:sz="0" w:space="0"/>
                    </w:rPr>
                    <w:t>序号</w:t>
                  </w:r>
                </w:p>
              </w:tc>
              <w:tc>
                <w:tcPr>
                  <w:tcW w:w="825" w:type="dxa"/>
                  <w:tcBorders>
                    <w:top w:val="single" w:color="000000" w:sz="6" w:space="0"/>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both"/>
                    <w:rPr>
                      <w:sz w:val="24"/>
                      <w:szCs w:val="24"/>
                    </w:rPr>
                  </w:pPr>
                  <w:r>
                    <w:rPr>
                      <w:rFonts w:hint="eastAsia" w:ascii="仿宋_GB2312" w:hAnsi="Calibri" w:eastAsia="仿宋_GB2312" w:cs="仿宋_GB2312"/>
                      <w:sz w:val="24"/>
                      <w:szCs w:val="24"/>
                      <w:bdr w:val="none" w:color="auto" w:sz="0" w:space="0"/>
                    </w:rPr>
                    <w:t>岗位</w:t>
                  </w:r>
                </w:p>
              </w:tc>
              <w:tc>
                <w:tcPr>
                  <w:tcW w:w="660" w:type="dxa"/>
                  <w:tcBorders>
                    <w:top w:val="single" w:color="000000" w:sz="6" w:space="0"/>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both"/>
                    <w:rPr>
                      <w:sz w:val="24"/>
                      <w:szCs w:val="24"/>
                    </w:rPr>
                  </w:pPr>
                  <w:r>
                    <w:rPr>
                      <w:rFonts w:hint="eastAsia" w:ascii="仿宋_GB2312" w:hAnsi="Calibri" w:eastAsia="仿宋_GB2312" w:cs="仿宋_GB2312"/>
                      <w:sz w:val="24"/>
                      <w:szCs w:val="24"/>
                      <w:bdr w:val="none" w:color="auto" w:sz="0" w:space="0"/>
                    </w:rPr>
                    <w:t>人数</w:t>
                  </w:r>
                </w:p>
              </w:tc>
              <w:tc>
                <w:tcPr>
                  <w:tcW w:w="1410" w:type="dxa"/>
                  <w:tcBorders>
                    <w:top w:val="single" w:color="000000" w:sz="6" w:space="0"/>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both"/>
                    <w:rPr>
                      <w:sz w:val="24"/>
                      <w:szCs w:val="24"/>
                    </w:rPr>
                  </w:pPr>
                  <w:r>
                    <w:rPr>
                      <w:rFonts w:hint="eastAsia" w:ascii="仿宋_GB2312" w:hAnsi="Calibri" w:eastAsia="仿宋_GB2312" w:cs="仿宋_GB2312"/>
                      <w:sz w:val="24"/>
                      <w:szCs w:val="24"/>
                      <w:bdr w:val="none" w:color="auto" w:sz="0" w:space="0"/>
                    </w:rPr>
                    <w:t>人员要求</w:t>
                  </w:r>
                </w:p>
              </w:tc>
              <w:tc>
                <w:tcPr>
                  <w:tcW w:w="3330" w:type="dxa"/>
                  <w:tcBorders>
                    <w:top w:val="single" w:color="000000" w:sz="6" w:space="0"/>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both"/>
                    <w:rPr>
                      <w:sz w:val="24"/>
                      <w:szCs w:val="24"/>
                    </w:rPr>
                  </w:pPr>
                  <w:r>
                    <w:rPr>
                      <w:rFonts w:hint="eastAsia" w:ascii="仿宋_GB2312" w:hAnsi="Calibri" w:eastAsia="仿宋_GB2312" w:cs="仿宋_GB2312"/>
                      <w:sz w:val="24"/>
                      <w:szCs w:val="24"/>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8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both"/>
                    <w:rPr>
                      <w:sz w:val="24"/>
                      <w:szCs w:val="24"/>
                    </w:rPr>
                  </w:pPr>
                  <w:r>
                    <w:rPr>
                      <w:rFonts w:hint="eastAsia" w:ascii="仿宋_GB2312" w:hAnsi="Calibri" w:eastAsia="仿宋_GB2312" w:cs="仿宋_GB2312"/>
                      <w:sz w:val="24"/>
                      <w:szCs w:val="24"/>
                      <w:bdr w:val="none" w:color="auto" w:sz="0" w:space="0"/>
                    </w:rPr>
                    <w:t>1</w:t>
                  </w:r>
                </w:p>
              </w:tc>
              <w:tc>
                <w:tcPr>
                  <w:tcW w:w="825" w:type="dxa"/>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both"/>
                    <w:rPr>
                      <w:sz w:val="24"/>
                      <w:szCs w:val="24"/>
                    </w:rPr>
                  </w:pPr>
                  <w:r>
                    <w:rPr>
                      <w:rFonts w:hint="eastAsia" w:ascii="仿宋_GB2312" w:hAnsi="Calibri" w:eastAsia="仿宋_GB2312" w:cs="仿宋_GB2312"/>
                      <w:sz w:val="24"/>
                      <w:szCs w:val="24"/>
                      <w:bdr w:val="none" w:color="auto" w:sz="0" w:space="0"/>
                    </w:rPr>
                    <w:t>项目经理</w:t>
                  </w:r>
                </w:p>
              </w:tc>
              <w:tc>
                <w:tcPr>
                  <w:tcW w:w="660" w:type="dxa"/>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both"/>
                    <w:rPr>
                      <w:sz w:val="24"/>
                      <w:szCs w:val="24"/>
                    </w:rPr>
                  </w:pPr>
                  <w:r>
                    <w:rPr>
                      <w:rFonts w:hint="eastAsia" w:ascii="仿宋_GB2312" w:hAnsi="Calibri" w:eastAsia="仿宋_GB2312" w:cs="仿宋_GB2312"/>
                      <w:sz w:val="24"/>
                      <w:szCs w:val="24"/>
                      <w:bdr w:val="none" w:color="auto" w:sz="0" w:space="0"/>
                    </w:rPr>
                    <w:t>1人</w:t>
                  </w:r>
                </w:p>
              </w:tc>
              <w:tc>
                <w:tcPr>
                  <w:tcW w:w="1410" w:type="dxa"/>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both"/>
                    <w:rPr>
                      <w:sz w:val="24"/>
                      <w:szCs w:val="24"/>
                    </w:rPr>
                  </w:pPr>
                  <w:r>
                    <w:rPr>
                      <w:rFonts w:hint="eastAsia" w:ascii="仿宋_GB2312" w:hAnsi="Calibri" w:eastAsia="仿宋_GB2312" w:cs="仿宋_GB2312"/>
                      <w:sz w:val="24"/>
                      <w:szCs w:val="24"/>
                      <w:bdr w:val="none" w:color="auto" w:sz="0" w:space="0"/>
                    </w:rPr>
                    <w:t>男女不限，女性低于45岁，男性低于50岁，普通话流利，身体健康，形象良好，动作麻利，责任心强，服务态度好，具有良好的沟通能力，能熟练使用电脑办公软件，组织和管理能力强；无犯罪记录。岗位因工作特殊性，因此有年龄要求。</w:t>
                  </w:r>
                </w:p>
              </w:tc>
              <w:tc>
                <w:tcPr>
                  <w:tcW w:w="3330" w:type="dxa"/>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rPr>
                      <w:sz w:val="24"/>
                      <w:szCs w:val="24"/>
                    </w:rPr>
                  </w:pPr>
                  <w:r>
                    <w:rPr>
                      <w:rFonts w:hint="eastAsia" w:ascii="仿宋_GB2312" w:hAnsi="Calibri" w:eastAsia="仿宋_GB2312" w:cs="仿宋_GB2312"/>
                      <w:sz w:val="24"/>
                      <w:szCs w:val="24"/>
                      <w:bdr w:val="none" w:color="auto" w:sz="0" w:space="0"/>
                    </w:rPr>
                    <w:t>具有本科及以上学历、应急管理部门颁发的安全生产知识和管理能力考核合格证、红十字救护员证书、具有5年及以上非住宅类物业管理项目项目经理管理的工作经验。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both"/>
                    <w:rPr>
                      <w:sz w:val="24"/>
                      <w:szCs w:val="24"/>
                    </w:rPr>
                  </w:pPr>
                  <w:r>
                    <w:rPr>
                      <w:rFonts w:hint="eastAsia" w:ascii="仿宋_GB2312" w:hAnsi="Calibri" w:eastAsia="仿宋_GB2312" w:cs="仿宋_GB2312"/>
                      <w:sz w:val="24"/>
                      <w:szCs w:val="24"/>
                      <w:bdr w:val="none" w:color="auto" w:sz="0" w:space="0"/>
                    </w:rPr>
                    <w:t>（响应文件提供：1、有效的身份证扫描件；2、本科及以上学历，提供毕业证件扫描件及学信网查询截图；3、应急管理部门颁发的安全生产知识和管理能力考核合格证（其他生产经营单位）扫描件及官网查询截图；4、红十字救护员证书扫描件；5、有效期内的健康证扫描件；6、提供业主单位出具的有效的工作经验证明材料（加盖业主单位公章）。若拟派人员单个项目的服务时间少于5年的，则可提供多个项目且服务时间可累计；若拟派人员在同时段同时为2个及以上的项目提供服务的，则该时段只能计算一次服务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8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both"/>
                    <w:rPr>
                      <w:sz w:val="24"/>
                      <w:szCs w:val="24"/>
                    </w:rPr>
                  </w:pPr>
                  <w:r>
                    <w:rPr>
                      <w:rFonts w:hint="eastAsia" w:ascii="仿宋_GB2312" w:hAnsi="Calibri" w:eastAsia="仿宋_GB2312" w:cs="仿宋_GB2312"/>
                      <w:sz w:val="24"/>
                      <w:szCs w:val="24"/>
                      <w:bdr w:val="none" w:color="auto" w:sz="0" w:space="0"/>
                    </w:rPr>
                    <w:t>2</w:t>
                  </w:r>
                </w:p>
              </w:tc>
              <w:tc>
                <w:tcPr>
                  <w:tcW w:w="825" w:type="dxa"/>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both"/>
                    <w:rPr>
                      <w:sz w:val="24"/>
                      <w:szCs w:val="24"/>
                    </w:rPr>
                  </w:pPr>
                  <w:r>
                    <w:rPr>
                      <w:rFonts w:hint="eastAsia" w:ascii="仿宋_GB2312" w:hAnsi="Calibri" w:eastAsia="仿宋_GB2312" w:cs="仿宋_GB2312"/>
                      <w:sz w:val="24"/>
                      <w:szCs w:val="24"/>
                      <w:bdr w:val="none" w:color="auto" w:sz="0" w:space="0"/>
                    </w:rPr>
                    <w:t>环境维护人员</w:t>
                  </w:r>
                </w:p>
              </w:tc>
              <w:tc>
                <w:tcPr>
                  <w:tcW w:w="660" w:type="dxa"/>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rPr>
                      <w:sz w:val="24"/>
                      <w:szCs w:val="24"/>
                    </w:rPr>
                  </w:pPr>
                  <w:r>
                    <w:rPr>
                      <w:rFonts w:hint="eastAsia" w:ascii="仿宋_GB2312" w:hAnsi="Calibri" w:eastAsia="仿宋_GB2312" w:cs="仿宋_GB2312"/>
                      <w:sz w:val="24"/>
                      <w:szCs w:val="24"/>
                      <w:bdr w:val="none" w:color="auto" w:sz="0" w:space="0"/>
                    </w:rPr>
                    <w:t>6人</w:t>
                  </w:r>
                </w:p>
              </w:tc>
              <w:tc>
                <w:tcPr>
                  <w:tcW w:w="1410" w:type="dxa"/>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both"/>
                    <w:rPr>
                      <w:sz w:val="24"/>
                      <w:szCs w:val="24"/>
                    </w:rPr>
                  </w:pPr>
                  <w:r>
                    <w:rPr>
                      <w:rFonts w:hint="eastAsia" w:ascii="仿宋_GB2312" w:hAnsi="Calibri" w:eastAsia="仿宋_GB2312" w:cs="仿宋_GB2312"/>
                      <w:sz w:val="24"/>
                      <w:szCs w:val="24"/>
                      <w:bdr w:val="none" w:color="auto" w:sz="0" w:space="0"/>
                    </w:rPr>
                    <w:t>男女不限，法定劳动年龄内，身体健康，整体形象端正，动作麻利，责任心强，服务态度好，无犯罪记录。</w:t>
                  </w:r>
                </w:p>
              </w:tc>
              <w:tc>
                <w:tcPr>
                  <w:tcW w:w="3330" w:type="dxa"/>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both"/>
                    <w:rPr>
                      <w:sz w:val="24"/>
                      <w:szCs w:val="24"/>
                    </w:rPr>
                  </w:pPr>
                  <w:r>
                    <w:rPr>
                      <w:rFonts w:hint="eastAsia" w:ascii="仿宋_GB2312" w:hAnsi="Calibri" w:eastAsia="仿宋_GB2312" w:cs="仿宋_GB2312"/>
                      <w:sz w:val="24"/>
                      <w:szCs w:val="24"/>
                      <w:bdr w:val="none" w:color="auto" w:sz="0" w:space="0"/>
                    </w:rPr>
                    <w:t>响应文件提供以下相关证件： 1、有效的身份证扫描件；2、具有有效期内的健康证（提供承诺函）。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6" w:hRule="atLeast"/>
              </w:trPr>
              <w:tc>
                <w:tcPr>
                  <w:tcW w:w="58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both"/>
                    <w:rPr>
                      <w:sz w:val="24"/>
                      <w:szCs w:val="24"/>
                    </w:rPr>
                  </w:pPr>
                  <w:r>
                    <w:rPr>
                      <w:rFonts w:hint="eastAsia" w:ascii="仿宋_GB2312" w:hAnsi="Calibri" w:eastAsia="仿宋_GB2312" w:cs="仿宋_GB2312"/>
                      <w:sz w:val="24"/>
                      <w:szCs w:val="24"/>
                      <w:bdr w:val="none" w:color="auto" w:sz="0" w:space="0"/>
                    </w:rPr>
                    <w:t>3</w:t>
                  </w:r>
                </w:p>
              </w:tc>
              <w:tc>
                <w:tcPr>
                  <w:tcW w:w="825" w:type="dxa"/>
                  <w:tcBorders>
                    <w:top w:val="nil"/>
                    <w:left w:val="nil"/>
                    <w:bottom w:val="nil"/>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both"/>
                    <w:rPr>
                      <w:sz w:val="24"/>
                      <w:szCs w:val="24"/>
                    </w:rPr>
                  </w:pPr>
                  <w:r>
                    <w:rPr>
                      <w:rFonts w:hint="eastAsia" w:ascii="仿宋_GB2312" w:hAnsi="Calibri" w:eastAsia="仿宋_GB2312" w:cs="仿宋_GB2312"/>
                      <w:sz w:val="24"/>
                      <w:szCs w:val="24"/>
                      <w:bdr w:val="none" w:color="auto" w:sz="0" w:space="0"/>
                    </w:rPr>
                    <w:t>生活指导老师</w:t>
                  </w:r>
                </w:p>
              </w:tc>
              <w:tc>
                <w:tcPr>
                  <w:tcW w:w="660" w:type="dxa"/>
                  <w:tcBorders>
                    <w:top w:val="nil"/>
                    <w:left w:val="nil"/>
                    <w:bottom w:val="nil"/>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both"/>
                    <w:rPr>
                      <w:sz w:val="24"/>
                      <w:szCs w:val="24"/>
                    </w:rPr>
                  </w:pPr>
                  <w:r>
                    <w:rPr>
                      <w:rFonts w:hint="eastAsia" w:ascii="仿宋_GB2312" w:hAnsi="Calibri" w:eastAsia="仿宋_GB2312" w:cs="仿宋_GB2312"/>
                      <w:sz w:val="24"/>
                      <w:szCs w:val="24"/>
                      <w:bdr w:val="none" w:color="auto" w:sz="0" w:space="0"/>
                    </w:rPr>
                    <w:t>16人</w:t>
                  </w:r>
                </w:p>
              </w:tc>
              <w:tc>
                <w:tcPr>
                  <w:tcW w:w="1410" w:type="dxa"/>
                  <w:tcBorders>
                    <w:top w:val="nil"/>
                    <w:left w:val="nil"/>
                    <w:bottom w:val="nil"/>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both"/>
                    <w:rPr>
                      <w:sz w:val="24"/>
                      <w:szCs w:val="24"/>
                    </w:rPr>
                  </w:pPr>
                  <w:r>
                    <w:rPr>
                      <w:rFonts w:hint="eastAsia" w:ascii="仿宋_GB2312" w:hAnsi="Calibri" w:eastAsia="仿宋_GB2312" w:cs="仿宋_GB2312"/>
                      <w:sz w:val="24"/>
                      <w:szCs w:val="24"/>
                      <w:bdr w:val="none" w:color="auto" w:sz="0" w:space="0"/>
                    </w:rPr>
                    <w:t>其中，女性人数不低于10人，身体健康，整体形象端正，动作麻利，责任心强，服务态度好，无犯罪记录。部分岗位因工作特殊性，因此有年龄要求。</w:t>
                  </w:r>
                </w:p>
              </w:tc>
              <w:tc>
                <w:tcPr>
                  <w:tcW w:w="3330" w:type="dxa"/>
                  <w:tcBorders>
                    <w:top w:val="nil"/>
                    <w:left w:val="nil"/>
                    <w:bottom w:val="nil"/>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rPr>
                      <w:sz w:val="24"/>
                      <w:szCs w:val="24"/>
                    </w:rPr>
                  </w:pPr>
                  <w:r>
                    <w:rPr>
                      <w:rFonts w:hint="eastAsia" w:ascii="仿宋_GB2312" w:hAnsi="Calibri" w:eastAsia="仿宋_GB2312" w:cs="仿宋_GB2312"/>
                      <w:sz w:val="24"/>
                      <w:szCs w:val="24"/>
                      <w:bdr w:val="none" w:color="auto" w:sz="0" w:space="0"/>
                    </w:rPr>
                    <w:t>一、宿舍主管1名，限女性，具有2年以上学校生活老师工作经验。</w:t>
                  </w:r>
                  <w:r>
                    <w:rPr>
                      <w:rFonts w:hint="default" w:ascii="Calibri" w:hAnsi="Calibri" w:cs="Calibri"/>
                      <w:sz w:val="24"/>
                      <w:szCs w:val="24"/>
                      <w:bdr w:val="none" w:color="auto" w:sz="0" w:space="0"/>
                    </w:rPr>
                    <w:t> </w:t>
                  </w:r>
                  <w:r>
                    <w:rPr>
                      <w:rFonts w:hint="eastAsia" w:ascii="仿宋_GB2312" w:hAnsi="Calibri" w:eastAsia="仿宋_GB2312" w:cs="仿宋_GB2312"/>
                      <w:sz w:val="24"/>
                      <w:szCs w:val="24"/>
                      <w:bdr w:val="none" w:color="auto" w:sz="0" w:space="0"/>
                    </w:rPr>
                    <w:t>响应文件提供：1、有效的身份证扫描件（低于50岁）；2、大专及以上毕业证件扫描件及学信网查询截图；3、红十字救护员证书扫描件；4、有效期内的健康证扫描件；5、提供业主单位出具的加盖公章的有效的工作经验证明材料；若拟派人员单个项目的服务时间少于2年的，则可提供多个项目且服务时间可累计；若拟派人员在同时段同时为2个及以上的项目提供服务的，则该时段只能计算一次服务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rPr>
                      <w:sz w:val="24"/>
                      <w:szCs w:val="24"/>
                    </w:rPr>
                  </w:pPr>
                  <w:r>
                    <w:rPr>
                      <w:rFonts w:hint="eastAsia" w:ascii="仿宋_GB2312" w:hAnsi="Calibri" w:eastAsia="仿宋_GB2312" w:cs="仿宋_GB2312"/>
                      <w:sz w:val="24"/>
                      <w:szCs w:val="24"/>
                      <w:bdr w:val="none" w:color="auto" w:sz="0" w:space="0"/>
                    </w:rPr>
                    <w:t>二、教官2名，要求如下：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rPr>
                      <w:sz w:val="24"/>
                      <w:szCs w:val="24"/>
                    </w:rPr>
                  </w:pPr>
                  <w:r>
                    <w:rPr>
                      <w:rFonts w:hint="eastAsia" w:ascii="仿宋_GB2312" w:hAnsi="Calibri" w:eastAsia="仿宋_GB2312" w:cs="仿宋_GB2312"/>
                      <w:sz w:val="24"/>
                      <w:szCs w:val="24"/>
                      <w:bdr w:val="none" w:color="auto" w:sz="0" w:space="0"/>
                    </w:rPr>
                    <w:t>1、女性教官1名，响应文件提供：1、有效期内的身份证扫描件（低于50岁）；2、大专及以上毕业证件扫描件及学信网查询截图；3、红十字救护员证书扫描件；4、有效期内的健康证扫描件。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rPr>
                      <w:sz w:val="24"/>
                      <w:szCs w:val="24"/>
                    </w:rPr>
                  </w:pPr>
                  <w:r>
                    <w:rPr>
                      <w:rFonts w:hint="eastAsia" w:ascii="仿宋_GB2312" w:hAnsi="Calibri" w:eastAsia="仿宋_GB2312" w:cs="仿宋_GB2312"/>
                      <w:sz w:val="24"/>
                      <w:szCs w:val="24"/>
                      <w:bdr w:val="none" w:color="auto" w:sz="0" w:space="0"/>
                    </w:rPr>
                    <w:t>2、男性教官1名，响应文件提供：1、有效期内的身份证扫描件（低于55岁）；2、大专及以上毕业证件扫描件及学信网查询截图；3、军人退伍证扫描件。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rPr>
                      <w:sz w:val="24"/>
                      <w:szCs w:val="24"/>
                    </w:rPr>
                  </w:pPr>
                  <w:r>
                    <w:rPr>
                      <w:rFonts w:hint="eastAsia" w:ascii="仿宋_GB2312" w:hAnsi="Calibri" w:eastAsia="仿宋_GB2312" w:cs="仿宋_GB2312"/>
                      <w:sz w:val="24"/>
                      <w:szCs w:val="24"/>
                      <w:bdr w:val="none" w:color="auto" w:sz="0" w:space="0"/>
                    </w:rPr>
                    <w:t>三、普通生活老师13名，承诺拟派人员在法定劳动年龄内，具有2年以上类似项目工作经验，无犯罪记录（提供承诺函）。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8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0"/>
                    <w:rPr>
                      <w:sz w:val="24"/>
                      <w:szCs w:val="24"/>
                    </w:rPr>
                  </w:pPr>
                  <w:r>
                    <w:rPr>
                      <w:rFonts w:hint="default" w:ascii="Calibri" w:hAnsi="Calibri" w:cs="Calibri"/>
                      <w:sz w:val="24"/>
                      <w:szCs w:val="24"/>
                      <w:bdr w:val="none" w:color="auto" w:sz="0" w:space="0"/>
                    </w:rPr>
                    <w:t> </w:t>
                  </w:r>
                </w:p>
              </w:tc>
              <w:tc>
                <w:tcPr>
                  <w:tcW w:w="825" w:type="dxa"/>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0"/>
                    <w:rPr>
                      <w:sz w:val="24"/>
                      <w:szCs w:val="24"/>
                    </w:rPr>
                  </w:pPr>
                  <w:r>
                    <w:rPr>
                      <w:rFonts w:hint="eastAsia" w:ascii="仿宋_GB2312" w:hAnsi="Calibri" w:eastAsia="仿宋_GB2312" w:cs="仿宋_GB2312"/>
                      <w:sz w:val="24"/>
                      <w:szCs w:val="24"/>
                      <w:bdr w:val="none" w:color="auto" w:sz="0" w:space="0"/>
                    </w:rPr>
                    <w:t>合计</w:t>
                  </w:r>
                </w:p>
              </w:tc>
              <w:tc>
                <w:tcPr>
                  <w:tcW w:w="660" w:type="dxa"/>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0"/>
                    <w:rPr>
                      <w:sz w:val="24"/>
                      <w:szCs w:val="24"/>
                    </w:rPr>
                  </w:pPr>
                  <w:r>
                    <w:rPr>
                      <w:rFonts w:hint="eastAsia" w:ascii="仿宋_GB2312" w:hAnsi="Calibri" w:eastAsia="仿宋_GB2312" w:cs="仿宋_GB2312"/>
                      <w:sz w:val="24"/>
                      <w:szCs w:val="24"/>
                      <w:bdr w:val="none" w:color="auto" w:sz="0" w:space="0"/>
                    </w:rPr>
                    <w:t>23人</w:t>
                  </w:r>
                </w:p>
              </w:tc>
              <w:tc>
                <w:tcPr>
                  <w:tcW w:w="1410" w:type="dxa"/>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0"/>
                    <w:rPr>
                      <w:sz w:val="24"/>
                      <w:szCs w:val="24"/>
                    </w:rPr>
                  </w:pPr>
                  <w:r>
                    <w:rPr>
                      <w:rFonts w:hint="eastAsia" w:ascii="仿宋_GB2312" w:hAnsi="Calibri" w:eastAsia="仿宋_GB2312" w:cs="仿宋_GB2312"/>
                      <w:sz w:val="24"/>
                      <w:szCs w:val="24"/>
                      <w:bdr w:val="none" w:color="auto" w:sz="0" w:space="0"/>
                    </w:rPr>
                    <w:t>/</w:t>
                  </w:r>
                </w:p>
              </w:tc>
              <w:tc>
                <w:tcPr>
                  <w:tcW w:w="3330" w:type="dxa"/>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0"/>
                    <w:rPr>
                      <w:sz w:val="24"/>
                      <w:szCs w:val="24"/>
                    </w:rPr>
                  </w:pPr>
                  <w:r>
                    <w:rPr>
                      <w:rFonts w:hint="eastAsia" w:ascii="仿宋_GB2312" w:hAnsi="Calibri" w:eastAsia="仿宋_GB2312" w:cs="仿宋_GB2312"/>
                      <w:sz w:val="24"/>
                      <w:szCs w:val="24"/>
                      <w:bdr w:val="none" w:color="auto" w:sz="0" w:space="0"/>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注：所有人员上班时间按国家法定工作时间工作日8小时工作制计算；同时生活老师按采购人指定时间工作，并符合相关劳动法律法规。所有拟派服务人员按要求统一着装。采购人有权根据实际情况调整岗位设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（三）物业服务公司与其员工之间发生纠纷问题，由物业服务公司自行解决。物业服务公司须保障所有员工待遇不得低于所在区域最新最低工资标准。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四）物业服务公司应积极做好工作人员的安全防护教育，按采购人要求搞好安全生产工作。物业服务公司委派的服务人员在工作中受到伤害或遇到其他事故伤害时，所产生的责任及发生的所有费用均由物业服务公司自行承担和解决。</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五）物业服务公司应当建立激励机制，每季度评选优秀员工不低于总人数的百分之十，应发放一定奖金给予每位优秀员工进行奖励，奖金费用由供应商承担并计入分项报价中，以此提高员工工作积极性，让其融入到团队当中，更好地服务于采购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六）为保障本项目服务质量，本项目服务人数配置23人，只服务于本项目，不得兼职，且均为本项目实际在岗人数，供应商人须按照采购人要求进行人员岗位分配，所有人员在规定上班时间内应在岗并履职到位；所有服务人员无犯罪记录、无精神类疾病史、身体健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七）因接待及临时突发任务等需要，供应商需接到采购人通知后临时派遣人员到本项目提供服务，派遣人员不属于本项目编制，但需要供应商承担费用，每年2次，每次至少4人、每人至少4个小时，临时人员劳动报酬及工伤保险费用由供应商承担，由供应商承担并计入分项报价中，相关人员的安全责任由供应商自行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八）采购人有权要求投供应商在签订合同前须将所有在响应文件中提供的相关有效证书及证明材料原件（含人员证书原件、学历类须提供学信网网页查询截图）交由进行查验审核，若采购人在查验审核中发现上述相关证书或证明材料原件无效、存在虚假或与响应文件不符，将视为供应商提供虚假材料谋取中标，并报同级财政同意，采购人有权不与中标人签订合同，由此造成采购人经济损失的，应给予采购人经济赔偿。【说明：提供承诺函并进行电子签章，格式自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九）供应商入场时，供应商派驻的持证上岗人员须与响应文件、合同签订时指派的人员一致，因特殊情况的调整，需经采购人同意认可方可更换同条件人员。如进场时和服务过程中出现随意更换物业服务人员，采购人有权终止与中标人的服务合同，并处以5000元/次的处罚和扣款。若供应商提供的持证上岗人员与响应文件、合同签订时指派的人员不一致，采购人临时组建团队进场，所有费用由责任人承担。供应商派驻的人员应按照统一着装（人员服装由成交供应商自行提供，应款式、颜色统一），干净整洁，工作服表面、衣领、袖口没有明显污渍；派驻的所有人员应无犯罪违法记录、具有独立承担民事责任的能力，身体健康、无传染性疾病。【说明：提供承诺函并加盖电子签章，格式自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十）本项目所有物业服务人员应无不良习惯，无精神疾病。供应商拟派人员聘用前应进行入职背景调查，上岗前必须进行保密教育培训，签订保密承诺书和岗位责任书；供应商应保证派驻至本项目的人员无犯罪记录。物业服务单位应当做好派驻人员的日常保密培训和保密检查，一旦发现违规行为应立即采取调离或辞退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（十一）本项目所有物业服务人员的疾病及人身安全由供应商承担，采购人不承担物业员工疾病及人身安全责任。供应商严格按照谈判文件要求进行人员配置，供应商在撤换项目经理前必须征得采购人同意。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十二）供应商承诺为本项目提供服务的所有人员年龄均符合采购需求中年龄要求，全员签订全日制《劳动合同》（非劳务合同）（临时派遣人员除外），供应商应为拟派人员全员购买社会保险（临时派遣人员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（十三）供应商录用员工应履历清楚，无犯罪记录，心理健康，供应商须承诺派往本项目所有服务人员到岗时提供《无违法犯罪记录证明》。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（十四）</w:t>
            </w:r>
            <w:r>
              <w:rPr>
                <w:rFonts w:hint="default" w:ascii="Calibri" w:hAnsi="Calibri" w:cs="Calibri"/>
                <w:sz w:val="24"/>
                <w:szCs w:val="24"/>
                <w:bdr w:val="none" w:color="auto" w:sz="0" w:space="0"/>
              </w:rPr>
              <w:t> </w:t>
            </w:r>
            <w:r>
              <w:rPr>
                <w:rFonts w:hint="eastAsia" w:ascii="仿宋_GB2312" w:hAnsi="Calibri" w:eastAsia="仿宋_GB2312" w:cs="仿宋_GB2312"/>
                <w:sz w:val="24"/>
                <w:szCs w:val="24"/>
                <w:bdr w:val="none" w:color="auto" w:sz="0" w:space="0"/>
              </w:rPr>
              <w:t>供应商提供2023年1月1日（含）以来非住宅类物业服务项目业绩至少2个（需提供业主联系人及联系电话），服务内容至少包含环境卫生维护服务（或相同语意内容）、宿舍服务（或相同语意内容）服务内容其中一项，并获得服务业主综合评价为满意或优秀或相同语意评价。【说明：①提供完整合同复印件以及合同期内资金支付凭证或发票复印件（如为分期付款的，至少提供一次付款凭证或发票）；②合同以签订时间为准（无签订时间的以履约开始时间）；③单个合同中应全部体现相应服务内容及物业类型；④综合评价需业主单位盖公章的书面评价证明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（十五）针对本项目制定项目服务方案（说明：提供服务方案）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（1）整体设计方案应包含项目分析、机构设置、服务方案、管理制度、管理机构图（明确项目经理姓名及联系电话）；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（2）项目管理机构设置应包含管理模式、培训计划；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3）环境卫生服务方案：包括但不限于岗位职责、服务标准和服务规程、人员培训和考核办法、公共环境卫生服务方案。供应商应在响应文件针对本项目服务方案中提供“灭四害”消杀和防疫服务方案，妥善投放药物，响应文件提供消杀记录样表，在响应文件的报价明细表及服务方案中体现各消杀物资名称、数量、金额及使用方法和安全防护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（4）宿舍（公寓）管理服务方案：包括但不限于岗位职责、服务标准和服务规程、人员培训和考核办法、公寓管理具体措施服务、相应承诺及服务特色方案。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（5）综合服务方案：包括但不限于岗位职责、服务标准和服务规程、人员培训和考核办法。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（6）供应商针对本项目的服务区域有针对性地提供应急预案，包括但不限于：火灾应急预案、公共卫生事件的应急预案等。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宋体" w:hAnsi="宋体" w:eastAsia="宋体" w:cs="宋体"/>
                <w:sz w:val="24"/>
                <w:szCs w:val="24"/>
                <w:bdr w:val="none" w:color="auto" w:sz="0" w:space="0"/>
              </w:rPr>
              <w:t>注：针对本项目制定项目服务方案内容中，若出现项目名称、地址、物业类型、采购人单位名称与本项目采购需求不一致的，或有漏项、描述错误、前后矛盾、服务内容和标准低于招标文件的，或响应文件的服务方案组成有漏项的、方案内容描述错误的，仅有框架或标题无方案内容的，或照搬其他地区及项目的内容的，明显复制或套用其他项目或公司方案内容，或引用标准错误等，视为未实质性响应本项目，响应文件将作废标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三、报价要求：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1.本项目最高限价为人民币114.53万元/年，供应商报价高于最高限价的，其响应文件将按无效投标文件处理。成交后拟派本项目的服务人员提前10天到采购人处进行岗前专业技能培训且产生的一切费用由成交供应商自行承担。（供应商提供承诺函并加盖供应商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2.</w:t>
            </w:r>
            <w:r>
              <w:rPr>
                <w:rFonts w:hint="default" w:ascii="Calibri" w:hAnsi="Calibri" w:cs="Calibri"/>
                <w:sz w:val="24"/>
                <w:szCs w:val="24"/>
                <w:bdr w:val="none" w:color="auto" w:sz="0" w:space="0"/>
              </w:rPr>
              <w:t> </w:t>
            </w:r>
            <w:r>
              <w:rPr>
                <w:rFonts w:hint="eastAsia" w:ascii="仿宋_GB2312" w:hAnsi="Calibri" w:eastAsia="仿宋_GB2312" w:cs="仿宋_GB2312"/>
                <w:sz w:val="24"/>
                <w:szCs w:val="24"/>
                <w:bdr w:val="none" w:color="auto" w:sz="0" w:space="0"/>
              </w:rPr>
              <w:t>供应商报价应符合国家法律法规、政府采购及国家相关政策规定。供应商报价应包含所有人力成本及履行本项目服务要求的所有成本，提供物业管理服务涉及的所有人力成本（包含工资、社会保险、住房公积金、法定休假日及休息日加班费用、延时加班费用等）、教育经费、工会经费、残疾人经费、企业管理费、消杀费用、合理利润、员工福利和奖金、法定税金（至少包含增值税及其附加）等完成本项目物业服务所需要的一切开支费用逐一填入报价明细表中，各明细费用也不得以免费或无偿、赠送或零报价提供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2.1 物业服务人员工资标准不得低于项目所在地《成都市人民政府关于调整全市最低工资标准的通知》成府规〔2025〕4号文的规定。服务期内最低工资有调整的，按照最新的政策要求执行。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2.2 所有物业服务人员须按照国家规定购买社会保险及医疗保险（包括养老保险、医疗保险、失业保险、工伤保险、生育保险等规定险种），所有临时人员须按照国家规定购买工伤保险。缴费基数和缴费比例不得低于成都市城镇职工最新最低社保标准，响应文件明确缴费比例及金额以及计算公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2.3 加班费：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rPr>
                <w:sz w:val="24"/>
                <w:szCs w:val="24"/>
              </w:rPr>
            </w:pPr>
            <w:r>
              <w:rPr>
                <w:rFonts w:hint="eastAsia" w:ascii="仿宋_GB2312" w:hAnsi="Calibri" w:eastAsia="仿宋_GB2312" w:cs="仿宋_GB2312"/>
                <w:sz w:val="24"/>
                <w:szCs w:val="24"/>
                <w:bdr w:val="none" w:color="auto" w:sz="0" w:space="0"/>
              </w:rPr>
              <w:t>（1）法定节假日加班：按规定元旦、春节、清明节、劳动节、端午节、中秋节、国庆节，共13 天。法定节假日环境维护人员每天2人在岗，工作时间按4小时计算。其他岗位不涉及法定节假日加班。按照国家相关规定及招标文件要求逐一分项列明并计入报价明细表中，不允许缺项。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2）双休日（休息日）加班费：生活指导老师每天2人在岗，上岗时间为4小时；双休日环境维护人员每天1人在岗，上岗时间为4小时，需体现日工资、小时工资和计算过程。休息日工资按日工资的2倍计算并支付。供应商组价时不允许以调休等方式不计算相关费用，休息日按全年104天计算。其他岗位不涉及双休日加班。按照国家相关规定及招标文件要求逐一分项列明并计入报价明细表中，不允许缺项。</w:t>
            </w:r>
            <w:r>
              <w:rPr>
                <w:rFonts w:hint="default" w:ascii="Calibri" w:hAnsi="Calibri" w:cs="Calibri"/>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3）延时加班费：按照国家相关规定及招标文件要求逐一分项列明并计入报价明细表中。需体现日工资、小时工资和计算过程。环境维护人员1人按工作日延时半个小时计算。其他岗位不涉及延时加班。供应商组价时不允许以调休等方式不计算相关费用，不允许缺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2.4 法定计提费用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（1）本项目应分摊的工会经费：无论供应商是否成立工会组织都应按照国家法定要求进入费用报价。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《中华人民共和国工会法》第四十三条规定：“建立工会组织的用人单位按每月全部职工工资总额的百分之二向工会拨缴的经费。”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《中国工会章程》第三十八条规定：“未成立工会的企业、事业单位、机关和其他社会组织，按工资总额的百分之二向上级工会拨缴工会建会筹备金。</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（2）本项目应分摊的教育经费：按照国家法定要求计入费用报价。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国务院关于大力推进职业教育改革与发展的决定》（国发〔2002〕16号）第十九条“各类企业要按《中华人民共和国职业教育法》的规定实施职业教育和职工培训，承担相应的费用一般企业按照职工工资总额的1.5％足额提取教育培训经费，从业人员技术素质要求高、培训任务重、经济效益较好的企业可按2.5％提取，列入成本开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（3）本项目应分摊的残疾人就业保障金：</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残疾人就业保障金应符合财政部及成都市[《成都市残疾人就业保障金征收使用管理实施细则》成财规〔2021〕1号）]等相关规定。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2.5住房公积金：按照《成都住房公积金缴存管理办法》（成公积金（2021）7号及《成都住房公积金缴存管理实施细则》（成公积金（2021）42号）等相关规定要求进行报价缴存，住房公积金年缴纳额=本项目人员年工资总额×比例（比例取值在5%-12%之间）。公积金的报价缴存应符合《成都住房公积金缴存管理办法》及《成都住房公积金缴存管理实施细则》等相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2.6 员工服装费，按照招标文件要求逐一分项列明并计入报价明细表中，不允许缺项。响应文件报价明确各岗位配置服装数量、单价、总数、总价等。供应商服务过程中的机具、耗材由供应商承担。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2.7 招标文件约定应由供应商承担的费用：按照招标文件要求逐一分项列明并计入报价明细表中，不允许缺项。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2.8 员工奖金：由供应商按自身经验结合本项目情况计算。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2.9 企业管理费：由供应商按自身经验结合本项目情况计算。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2.10 利润：由供应商按自身经验结合本项目情况计算。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2.11 税费：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增值税：供应商应明确增值税纳税人身份，即明确是增值税一般纳税人还是小规模纳税人，且在投标报价中应明确税金比率增值税税率，服务期内增值税税率有变化的，也应明确税率（含附加）。提供税务系统增值税纳税人身份截图（截图时间显示为开标前三个月以内），投标报价明细表中须明确税金比率，未按要求响应的视为未实质性响应）。</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供应商增值税税率应符合供应商增值税纳税人身份变化及现行政府政策法规（提供承诺函）。涉及供应商在服务期内增值税纳税人身份有变化的，应按增值税纳税人身份变化前后进行分段计算税金并平均到服务期内，若未按要求进行分段计算的，视为未实质性响应。</w:t>
            </w:r>
            <w:r>
              <w:rPr>
                <w:rFonts w:hint="default" w:ascii="Calibri" w:hAnsi="Calibri" w:cs="Calibri"/>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投标报价中税率享受减免税的供应商，应提供相关政策文件和证明材料，若未按要求提供，视为未实质性响应。</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2.12本项目报价时不得以各行政区域、地方政策针对拟派人员的各项补贴、减免、奖金、福利、赠与作为组价因素（此条不影响供应商实际所享受的优惠减免），报价明细表中各明细费用的报价也不得免费或无偿、赠送或零报价提供服务，否则视为未实质性响应。</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2.13</w:t>
            </w:r>
            <w:r>
              <w:rPr>
                <w:rFonts w:hint="default" w:ascii="Calibri" w:hAnsi="Calibri" w:cs="Calibri"/>
                <w:sz w:val="24"/>
                <w:szCs w:val="24"/>
                <w:bdr w:val="none" w:color="auto" w:sz="0" w:space="0"/>
              </w:rPr>
              <w:t> </w:t>
            </w:r>
            <w:r>
              <w:rPr>
                <w:rFonts w:hint="eastAsia" w:ascii="仿宋_GB2312" w:hAnsi="Calibri" w:eastAsia="仿宋_GB2312" w:cs="仿宋_GB2312"/>
                <w:sz w:val="24"/>
                <w:szCs w:val="24"/>
                <w:bdr w:val="none" w:color="auto" w:sz="0" w:space="0"/>
              </w:rPr>
              <w:t>各项报价（包括各分项报价）以人民币（元）为单位，涉及小数的按四舍五入法仅限保留到小数点后 2 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3.供应商的报价应按谈判文件要求提供分项报价明细表（附件1）逐项计入投标总报价，如未提供分项报价明细表或报价明细表中出现缺项、未按要求逐一列明各费用项目与报价、或报价等不满足招标文件要求的，则视为未实质性响应。</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4．供应商在报价时须完整提交总报价及全部分项明细报价。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640"/>
              <w:jc w:val="both"/>
              <w:rPr>
                <w:sz w:val="24"/>
                <w:szCs w:val="24"/>
              </w:rPr>
            </w:pPr>
            <w:r>
              <w:rPr>
                <w:rFonts w:hint="eastAsia" w:ascii="仿宋_GB2312" w:hAnsi="Calibri" w:eastAsia="仿宋_GB2312" w:cs="仿宋_GB2312"/>
                <w:sz w:val="24"/>
                <w:szCs w:val="24"/>
                <w:bdr w:val="none" w:color="auto" w:sz="0" w:space="0"/>
              </w:rPr>
              <w:t>附件1：报价明细表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Style w:val="7"/>
                <w:rFonts w:hint="eastAsia" w:ascii="仿宋_GB2312" w:hAnsi="Calibri" w:eastAsia="仿宋_GB2312" w:cs="仿宋_GB2312"/>
                <w:sz w:val="24"/>
                <w:szCs w:val="24"/>
                <w:bdr w:val="none" w:color="auto" w:sz="0" w:space="0"/>
              </w:rPr>
              <w:t>表一：人员费用</w:t>
            </w:r>
          </w:p>
          <w:tbl>
            <w:tblPr>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90"/>
              <w:gridCol w:w="451"/>
              <w:gridCol w:w="692"/>
              <w:gridCol w:w="692"/>
              <w:gridCol w:w="692"/>
              <w:gridCol w:w="933"/>
              <w:gridCol w:w="825"/>
              <w:gridCol w:w="735"/>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690" w:type="dxa"/>
                  <w:vMerge w:val="restart"/>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Style w:val="7"/>
                      <w:rFonts w:hint="eastAsia" w:ascii="仿宋_GB2312" w:hAnsi="Calibri" w:eastAsia="仿宋_GB2312" w:cs="仿宋_GB2312"/>
                      <w:sz w:val="24"/>
                      <w:szCs w:val="24"/>
                      <w:bdr w:val="none" w:color="auto" w:sz="0" w:space="0"/>
                    </w:rPr>
                    <w:t>岗位</w:t>
                  </w:r>
                </w:p>
              </w:tc>
              <w:tc>
                <w:tcPr>
                  <w:tcW w:w="450" w:type="dxa"/>
                  <w:vMerge w:val="restart"/>
                  <w:tcBorders>
                    <w:top w:val="single" w:color="000000" w:sz="6" w:space="0"/>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Style w:val="7"/>
                      <w:rFonts w:hint="eastAsia" w:ascii="仿宋_GB2312" w:hAnsi="Calibri" w:eastAsia="仿宋_GB2312" w:cs="仿宋_GB2312"/>
                      <w:sz w:val="24"/>
                      <w:szCs w:val="24"/>
                      <w:bdr w:val="none" w:color="auto" w:sz="0" w:space="0"/>
                    </w:rPr>
                    <w:t>人数</w:t>
                  </w:r>
                </w:p>
              </w:tc>
              <w:tc>
                <w:tcPr>
                  <w:tcW w:w="690" w:type="dxa"/>
                  <w:vMerge w:val="restart"/>
                  <w:tcBorders>
                    <w:top w:val="single" w:color="000000" w:sz="6" w:space="0"/>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Style w:val="7"/>
                      <w:rFonts w:hint="eastAsia" w:ascii="仿宋_GB2312" w:hAnsi="Calibri" w:eastAsia="仿宋_GB2312" w:cs="仿宋_GB2312"/>
                      <w:sz w:val="24"/>
                      <w:szCs w:val="24"/>
                      <w:bdr w:val="none" w:color="auto" w:sz="0" w:space="0"/>
                    </w:rPr>
                    <w:t>员工基本工资（元/人/月）</w:t>
                  </w:r>
                </w:p>
              </w:tc>
              <w:tc>
                <w:tcPr>
                  <w:tcW w:w="690" w:type="dxa"/>
                  <w:vMerge w:val="restart"/>
                  <w:tcBorders>
                    <w:top w:val="single" w:color="000000" w:sz="6" w:space="0"/>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Style w:val="7"/>
                      <w:rFonts w:hint="eastAsia" w:ascii="仿宋_GB2312" w:hAnsi="Calibri" w:eastAsia="仿宋_GB2312" w:cs="仿宋_GB2312"/>
                      <w:sz w:val="24"/>
                      <w:szCs w:val="24"/>
                      <w:bdr w:val="none" w:color="auto" w:sz="0" w:space="0"/>
                    </w:rPr>
                    <w:t>社会保险（元/人/月）</w:t>
                  </w:r>
                </w:p>
              </w:tc>
              <w:tc>
                <w:tcPr>
                  <w:tcW w:w="690" w:type="dxa"/>
                  <w:vMerge w:val="restart"/>
                  <w:tcBorders>
                    <w:top w:val="single" w:color="000000" w:sz="6" w:space="0"/>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Style w:val="7"/>
                      <w:rFonts w:hint="eastAsia" w:ascii="仿宋_GB2312" w:hAnsi="Calibri" w:eastAsia="仿宋_GB2312" w:cs="仿宋_GB2312"/>
                      <w:sz w:val="24"/>
                      <w:szCs w:val="24"/>
                      <w:bdr w:val="none" w:color="auto" w:sz="0" w:space="0"/>
                    </w:rPr>
                    <w:t>公积金（元/人/月）</w:t>
                  </w:r>
                </w:p>
              </w:tc>
              <w:tc>
                <w:tcPr>
                  <w:tcW w:w="930" w:type="dxa"/>
                  <w:vMerge w:val="restart"/>
                  <w:tcBorders>
                    <w:top w:val="single" w:color="000000" w:sz="6" w:space="0"/>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Style w:val="7"/>
                      <w:rFonts w:hint="eastAsia" w:ascii="仿宋_GB2312" w:hAnsi="Calibri" w:eastAsia="仿宋_GB2312" w:cs="仿宋_GB2312"/>
                      <w:sz w:val="24"/>
                      <w:szCs w:val="24"/>
                      <w:bdr w:val="none" w:color="auto" w:sz="0" w:space="0"/>
                    </w:rPr>
                    <w:t>岗位人员基本费用小计【（基本工资+五险一金）*12月*人数】（元/年）</w:t>
                  </w:r>
                </w:p>
              </w:tc>
              <w:tc>
                <w:tcPr>
                  <w:tcW w:w="1545" w:type="dxa"/>
                  <w:gridSpan w:val="2"/>
                  <w:tcBorders>
                    <w:top w:val="single" w:color="000000" w:sz="6" w:space="0"/>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Style w:val="7"/>
                      <w:rFonts w:hint="eastAsia" w:ascii="仿宋_GB2312" w:hAnsi="Calibri" w:eastAsia="仿宋_GB2312" w:cs="仿宋_GB2312"/>
                      <w:sz w:val="24"/>
                      <w:szCs w:val="24"/>
                      <w:bdr w:val="none" w:color="auto" w:sz="0" w:space="0"/>
                    </w:rPr>
                    <w:t>加班工资</w:t>
                  </w:r>
                </w:p>
              </w:tc>
              <w:tc>
                <w:tcPr>
                  <w:tcW w:w="690" w:type="dxa"/>
                  <w:vMerge w:val="restart"/>
                  <w:tcBorders>
                    <w:top w:val="single" w:color="000000" w:sz="6" w:space="0"/>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Fonts w:hint="eastAsia" w:ascii="仿宋_GB2312" w:hAnsi="Calibri" w:eastAsia="仿宋_GB2312" w:cs="仿宋_GB2312"/>
                      <w:sz w:val="24"/>
                      <w:szCs w:val="24"/>
                      <w:bdr w:val="none" w:color="auto" w:sz="0" w:space="0"/>
                    </w:rPr>
                    <w:t>小计（元/年）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690" w:type="dxa"/>
                  <w:vMerge w:val="continue"/>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45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9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9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9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93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825" w:type="dxa"/>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Style w:val="7"/>
                      <w:rFonts w:hint="eastAsia" w:ascii="仿宋_GB2312" w:hAnsi="Calibri" w:eastAsia="仿宋_GB2312" w:cs="仿宋_GB2312"/>
                      <w:sz w:val="24"/>
                      <w:szCs w:val="24"/>
                      <w:bdr w:val="none" w:color="auto" w:sz="0" w:space="0"/>
                    </w:rPr>
                    <w:t>休息日及延时加班工资（元/年）</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both"/>
                    <w:rPr>
                      <w:sz w:val="24"/>
                      <w:szCs w:val="24"/>
                    </w:rPr>
                  </w:pPr>
                  <w:r>
                    <w:rPr>
                      <w:rStyle w:val="7"/>
                      <w:rFonts w:hint="eastAsia" w:ascii="仿宋_GB2312" w:hAnsi="Calibri" w:eastAsia="仿宋_GB2312" w:cs="仿宋_GB2312"/>
                      <w:sz w:val="24"/>
                      <w:szCs w:val="24"/>
                      <w:bdr w:val="none" w:color="auto" w:sz="0" w:space="0"/>
                    </w:rPr>
                    <w:t>法定休假日加班工资（元/年）</w:t>
                  </w:r>
                </w:p>
              </w:tc>
              <w:tc>
                <w:tcPr>
                  <w:tcW w:w="69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Fonts w:hint="eastAsia" w:ascii="仿宋_GB2312" w:hAnsi="Calibri" w:eastAsia="仿宋_GB2312" w:cs="仿宋_GB2312"/>
                      <w:sz w:val="24"/>
                      <w:szCs w:val="24"/>
                      <w:bdr w:val="none" w:color="auto" w:sz="0" w:space="0"/>
                    </w:rPr>
                    <w:t>项目经理</w:t>
                  </w:r>
                </w:p>
              </w:tc>
              <w:tc>
                <w:tcPr>
                  <w:tcW w:w="450"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90"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90"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90"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930"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825"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90"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0"/>
                    <w:jc w:val="both"/>
                    <w:rPr>
                      <w:sz w:val="24"/>
                      <w:szCs w:val="24"/>
                    </w:rPr>
                  </w:pPr>
                  <w:r>
                    <w:rPr>
                      <w:rFonts w:hint="eastAsia" w:ascii="仿宋_GB2312" w:hAnsi="Calibri" w:eastAsia="仿宋_GB2312" w:cs="仿宋_GB2312"/>
                      <w:sz w:val="24"/>
                      <w:szCs w:val="24"/>
                      <w:bdr w:val="none" w:color="auto" w:sz="0" w:space="0"/>
                    </w:rPr>
                    <w:t>生活老师人员</w:t>
                  </w:r>
                </w:p>
              </w:tc>
              <w:tc>
                <w:tcPr>
                  <w:tcW w:w="450"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90"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90"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90"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930"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825"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90"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0"/>
                    <w:jc w:val="both"/>
                    <w:rPr>
                      <w:sz w:val="24"/>
                      <w:szCs w:val="24"/>
                    </w:rPr>
                  </w:pPr>
                  <w:r>
                    <w:rPr>
                      <w:rFonts w:hint="eastAsia" w:ascii="仿宋_GB2312" w:hAnsi="Calibri" w:eastAsia="仿宋_GB2312" w:cs="仿宋_GB2312"/>
                      <w:sz w:val="24"/>
                      <w:szCs w:val="24"/>
                      <w:bdr w:val="none" w:color="auto" w:sz="0" w:space="0"/>
                    </w:rPr>
                    <w:t>环境卫生服务人 员</w:t>
                  </w:r>
                </w:p>
              </w:tc>
              <w:tc>
                <w:tcPr>
                  <w:tcW w:w="450"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90"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90"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90"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930"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825"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90"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0"/>
                    <w:jc w:val="center"/>
                    <w:rPr>
                      <w:sz w:val="24"/>
                      <w:szCs w:val="24"/>
                    </w:rPr>
                  </w:pPr>
                  <w:r>
                    <w:rPr>
                      <w:rFonts w:hint="eastAsia" w:ascii="仿宋_GB2312" w:hAnsi="Calibri" w:eastAsia="仿宋_GB2312" w:cs="仿宋_GB2312"/>
                      <w:sz w:val="24"/>
                      <w:szCs w:val="24"/>
                      <w:bdr w:val="none" w:color="auto" w:sz="0" w:space="0"/>
                    </w:rPr>
                    <w:t>法定计提费用（元/年）</w:t>
                  </w:r>
                </w:p>
              </w:tc>
              <w:tc>
                <w:tcPr>
                  <w:tcW w:w="5010" w:type="dxa"/>
                  <w:gridSpan w:val="7"/>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90"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tcBorders>
                    <w:top w:val="nil"/>
                    <w:left w:val="single" w:color="000000" w:sz="6" w:space="0"/>
                    <w:bottom w:val="nil"/>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0"/>
                    <w:jc w:val="center"/>
                    <w:rPr>
                      <w:sz w:val="24"/>
                      <w:szCs w:val="24"/>
                    </w:rPr>
                  </w:pPr>
                  <w:r>
                    <w:rPr>
                      <w:rFonts w:hint="eastAsia" w:ascii="仿宋_GB2312" w:hAnsi="Calibri" w:eastAsia="仿宋_GB2312" w:cs="仿宋_GB2312"/>
                      <w:sz w:val="24"/>
                      <w:szCs w:val="24"/>
                      <w:bdr w:val="none" w:color="auto" w:sz="0" w:space="0"/>
                    </w:rPr>
                    <w:t>临时用工</w:t>
                  </w:r>
                </w:p>
              </w:tc>
              <w:tc>
                <w:tcPr>
                  <w:tcW w:w="5700" w:type="dxa"/>
                  <w:gridSpan w:val="8"/>
                  <w:tcBorders>
                    <w:top w:val="nil"/>
                    <w:left w:val="nil"/>
                    <w:bottom w:val="nil"/>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690" w:type="dxa"/>
                  <w:tcBorders>
                    <w:top w:val="single" w:color="000000" w:sz="6" w:space="0"/>
                    <w:left w:val="single" w:color="000000" w:sz="6" w:space="0"/>
                    <w:bottom w:val="nil"/>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0"/>
                    <w:jc w:val="both"/>
                    <w:rPr>
                      <w:sz w:val="24"/>
                      <w:szCs w:val="24"/>
                    </w:rPr>
                  </w:pPr>
                  <w:r>
                    <w:rPr>
                      <w:rFonts w:hint="eastAsia" w:ascii="仿宋_GB2312" w:hAnsi="Calibri" w:eastAsia="仿宋_GB2312" w:cs="仿宋_GB2312"/>
                      <w:sz w:val="24"/>
                      <w:szCs w:val="24"/>
                      <w:bdr w:val="none" w:color="auto" w:sz="0" w:space="0"/>
                    </w:rPr>
                    <w:t>员工福利、奖金</w:t>
                  </w:r>
                </w:p>
              </w:tc>
              <w:tc>
                <w:tcPr>
                  <w:tcW w:w="5700" w:type="dxa"/>
                  <w:gridSpan w:val="8"/>
                  <w:tcBorders>
                    <w:top w:val="single" w:color="000000" w:sz="6" w:space="0"/>
                    <w:left w:val="nil"/>
                    <w:bottom w:val="nil"/>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0"/>
                    <w:jc w:val="both"/>
                    <w:rPr>
                      <w:sz w:val="24"/>
                      <w:szCs w:val="24"/>
                    </w:rPr>
                  </w:pPr>
                  <w:r>
                    <w:rPr>
                      <w:rStyle w:val="7"/>
                      <w:rFonts w:hint="eastAsia" w:ascii="仿宋_GB2312" w:hAnsi="Calibri" w:eastAsia="仿宋_GB2312" w:cs="仿宋_GB2312"/>
                      <w:sz w:val="24"/>
                      <w:szCs w:val="24"/>
                      <w:bdr w:val="none" w:color="auto" w:sz="0" w:space="0"/>
                    </w:rPr>
                    <w:t>合计</w:t>
                  </w:r>
                </w:p>
              </w:tc>
              <w:tc>
                <w:tcPr>
                  <w:tcW w:w="5700" w:type="dxa"/>
                  <w:gridSpan w:val="8"/>
                  <w:tcBorders>
                    <w:top w:val="single" w:color="000000" w:sz="6" w:space="0"/>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Style w:val="7"/>
                      <w:rFonts w:hint="default" w:ascii="Calibri" w:hAnsi="Calibri" w:cs="Calibri"/>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Style w:val="7"/>
                      <w:rFonts w:hint="default" w:ascii="Calibri" w:hAnsi="Calibri" w:cs="Calibri"/>
                      <w:sz w:val="24"/>
                      <w:szCs w:val="24"/>
                      <w:bdr w:val="none" w:color="auto" w:sz="0" w:space="0"/>
                    </w:rPr>
                    <w:t>           </w:t>
                  </w:r>
                  <w:r>
                    <w:rPr>
                      <w:rStyle w:val="7"/>
                      <w:rFonts w:hint="eastAsia" w:ascii="仿宋_GB2312" w:hAnsi="Calibri" w:eastAsia="仿宋_GB2312" w:cs="仿宋_GB2312"/>
                      <w:sz w:val="24"/>
                      <w:szCs w:val="24"/>
                      <w:bdr w:val="none" w:color="auto" w:sz="0" w:space="0"/>
                    </w:rPr>
                    <w:t>元/年（小写）</w:t>
                  </w:r>
                  <w:r>
                    <w:rPr>
                      <w:rStyle w:val="7"/>
                      <w:rFonts w:hint="default" w:ascii="Calibri" w:hAnsi="Calibri" w:cs="Calibri"/>
                      <w:sz w:val="24"/>
                      <w:szCs w:val="24"/>
                      <w:bdr w:val="none" w:color="auto" w:sz="0" w:space="0"/>
                    </w:rPr>
                    <w:t>     </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2"/>
              <w:rPr>
                <w:sz w:val="24"/>
                <w:szCs w:val="24"/>
              </w:rPr>
            </w:pPr>
            <w:r>
              <w:rPr>
                <w:rStyle w:val="7"/>
                <w:rFonts w:hint="eastAsia" w:ascii="仿宋_GB2312" w:hAnsi="Calibri" w:eastAsia="仿宋_GB2312" w:cs="仿宋_GB2312"/>
                <w:sz w:val="24"/>
                <w:szCs w:val="24"/>
                <w:bdr w:val="none" w:color="auto" w:sz="0" w:space="0"/>
              </w:rPr>
              <w:t>表二：其他费用</w:t>
            </w:r>
          </w:p>
          <w:tbl>
            <w:tblPr>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50"/>
              <w:gridCol w:w="1500"/>
              <w:gridCol w:w="960"/>
              <w:gridCol w:w="2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5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Style w:val="7"/>
                      <w:rFonts w:hint="eastAsia" w:ascii="仿宋_GB2312" w:hAnsi="Calibri" w:eastAsia="仿宋_GB2312" w:cs="仿宋_GB2312"/>
                      <w:sz w:val="24"/>
                      <w:szCs w:val="24"/>
                      <w:bdr w:val="none" w:color="auto" w:sz="0" w:space="0"/>
                    </w:rPr>
                    <w:t>序号</w:t>
                  </w:r>
                </w:p>
              </w:tc>
              <w:tc>
                <w:tcPr>
                  <w:tcW w:w="1500" w:type="dxa"/>
                  <w:tcBorders>
                    <w:top w:val="single" w:color="000000" w:sz="6" w:space="0"/>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Style w:val="7"/>
                      <w:rFonts w:hint="eastAsia" w:ascii="仿宋_GB2312" w:hAnsi="Calibri" w:eastAsia="仿宋_GB2312" w:cs="仿宋_GB2312"/>
                      <w:sz w:val="24"/>
                      <w:szCs w:val="24"/>
                      <w:bdr w:val="none" w:color="auto" w:sz="0" w:space="0"/>
                    </w:rPr>
                    <w:t>费用类别</w:t>
                  </w:r>
                </w:p>
              </w:tc>
              <w:tc>
                <w:tcPr>
                  <w:tcW w:w="960" w:type="dxa"/>
                  <w:tcBorders>
                    <w:top w:val="single" w:color="000000" w:sz="6" w:space="0"/>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Style w:val="7"/>
                      <w:rFonts w:hint="eastAsia" w:ascii="仿宋_GB2312" w:hAnsi="Calibri" w:eastAsia="仿宋_GB2312" w:cs="仿宋_GB2312"/>
                      <w:sz w:val="24"/>
                      <w:szCs w:val="24"/>
                      <w:bdr w:val="none" w:color="auto" w:sz="0" w:space="0"/>
                    </w:rPr>
                    <w:t>小计（元/年）</w:t>
                  </w:r>
                </w:p>
              </w:tc>
              <w:tc>
                <w:tcPr>
                  <w:tcW w:w="2385" w:type="dxa"/>
                  <w:tcBorders>
                    <w:top w:val="single" w:color="000000" w:sz="6" w:space="0"/>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Style w:val="7"/>
                      <w:rFonts w:hint="eastAsia" w:ascii="仿宋_GB2312" w:hAnsi="Calibri" w:eastAsia="仿宋_GB2312" w:cs="仿宋_GB2312"/>
                      <w:sz w:val="24"/>
                      <w:szCs w:val="24"/>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Style w:val="7"/>
                      <w:rFonts w:hint="eastAsia" w:ascii="仿宋_GB2312" w:hAnsi="Calibri" w:eastAsia="仿宋_GB2312" w:cs="仿宋_GB2312"/>
                      <w:sz w:val="24"/>
                      <w:szCs w:val="24"/>
                      <w:bdr w:val="none" w:color="auto" w:sz="0" w:space="0"/>
                    </w:rPr>
                    <w:t>1</w:t>
                  </w:r>
                </w:p>
              </w:tc>
              <w:tc>
                <w:tcPr>
                  <w:tcW w:w="1500" w:type="dxa"/>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both"/>
                    <w:rPr>
                      <w:sz w:val="24"/>
                      <w:szCs w:val="24"/>
                    </w:rPr>
                  </w:pPr>
                  <w:r>
                    <w:rPr>
                      <w:rFonts w:hint="eastAsia" w:ascii="仿宋_GB2312" w:hAnsi="Calibri" w:eastAsia="仿宋_GB2312" w:cs="仿宋_GB2312"/>
                      <w:sz w:val="24"/>
                      <w:szCs w:val="24"/>
                      <w:bdr w:val="none" w:color="auto" w:sz="0" w:space="0"/>
                    </w:rPr>
                    <w:t>服装费</w:t>
                  </w:r>
                </w:p>
              </w:tc>
              <w:tc>
                <w:tcPr>
                  <w:tcW w:w="960"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2385"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0"/>
                    <w:jc w:val="center"/>
                    <w:rPr>
                      <w:sz w:val="24"/>
                      <w:szCs w:val="24"/>
                    </w:rPr>
                  </w:pPr>
                  <w:r>
                    <w:rPr>
                      <w:rStyle w:val="7"/>
                      <w:rFonts w:hint="eastAsia" w:ascii="仿宋_GB2312" w:hAnsi="Calibri" w:eastAsia="仿宋_GB2312" w:cs="仿宋_GB2312"/>
                      <w:sz w:val="24"/>
                      <w:szCs w:val="24"/>
                      <w:bdr w:val="none" w:color="auto" w:sz="0" w:space="0"/>
                    </w:rPr>
                    <w:t>2</w:t>
                  </w:r>
                </w:p>
              </w:tc>
              <w:tc>
                <w:tcPr>
                  <w:tcW w:w="1500" w:type="dxa"/>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both"/>
                    <w:rPr>
                      <w:sz w:val="24"/>
                      <w:szCs w:val="24"/>
                    </w:rPr>
                  </w:pPr>
                  <w:r>
                    <w:rPr>
                      <w:rFonts w:hint="eastAsia" w:ascii="仿宋_GB2312" w:hAnsi="Calibri" w:eastAsia="仿宋_GB2312" w:cs="仿宋_GB2312"/>
                      <w:sz w:val="24"/>
                      <w:szCs w:val="24"/>
                      <w:bdr w:val="none" w:color="auto" w:sz="0" w:space="0"/>
                    </w:rPr>
                    <w:t>招标文件约定应由供应商承担的费用</w:t>
                  </w:r>
                </w:p>
              </w:tc>
              <w:tc>
                <w:tcPr>
                  <w:tcW w:w="960"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2385"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0"/>
                    <w:jc w:val="center"/>
                    <w:rPr>
                      <w:sz w:val="24"/>
                      <w:szCs w:val="24"/>
                    </w:rPr>
                  </w:pPr>
                  <w:r>
                    <w:rPr>
                      <w:rStyle w:val="7"/>
                      <w:rFonts w:hint="eastAsia" w:ascii="仿宋_GB2312" w:hAnsi="Calibri" w:eastAsia="仿宋_GB2312" w:cs="仿宋_GB2312"/>
                      <w:sz w:val="24"/>
                      <w:szCs w:val="24"/>
                      <w:bdr w:val="none" w:color="auto" w:sz="0" w:space="0"/>
                    </w:rPr>
                    <w:t>3</w:t>
                  </w:r>
                </w:p>
              </w:tc>
              <w:tc>
                <w:tcPr>
                  <w:tcW w:w="1500" w:type="dxa"/>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Fonts w:hint="eastAsia" w:ascii="仿宋_GB2312" w:hAnsi="Calibri" w:eastAsia="仿宋_GB2312" w:cs="仿宋_GB2312"/>
                      <w:sz w:val="24"/>
                      <w:szCs w:val="24"/>
                      <w:bdr w:val="none" w:color="auto" w:sz="0" w:space="0"/>
                    </w:rPr>
                    <w:t>...</w:t>
                  </w:r>
                </w:p>
              </w:tc>
              <w:tc>
                <w:tcPr>
                  <w:tcW w:w="960"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2385"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250" w:type="dxa"/>
                  <w:gridSpan w:val="2"/>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0"/>
                    <w:jc w:val="center"/>
                    <w:rPr>
                      <w:sz w:val="24"/>
                      <w:szCs w:val="24"/>
                    </w:rPr>
                  </w:pPr>
                  <w:r>
                    <w:rPr>
                      <w:rStyle w:val="7"/>
                      <w:rFonts w:hint="eastAsia" w:ascii="仿宋_GB2312" w:hAnsi="Calibri" w:eastAsia="仿宋_GB2312" w:cs="仿宋_GB2312"/>
                      <w:sz w:val="24"/>
                      <w:szCs w:val="24"/>
                      <w:bdr w:val="none" w:color="auto" w:sz="0" w:space="0"/>
                    </w:rPr>
                    <w:t>合计</w:t>
                  </w:r>
                </w:p>
              </w:tc>
              <w:tc>
                <w:tcPr>
                  <w:tcW w:w="3360" w:type="dxa"/>
                  <w:gridSpan w:val="2"/>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Style w:val="7"/>
                      <w:rFonts w:hint="eastAsia" w:ascii="仿宋_GB2312" w:hAnsi="Calibri" w:eastAsia="仿宋_GB2312" w:cs="仿宋_GB2312"/>
                      <w:sz w:val="24"/>
                      <w:szCs w:val="24"/>
                      <w:bdr w:val="none" w:color="auto" w:sz="0" w:space="0"/>
                    </w:rPr>
                    <w:t>元/年（小写）</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Style w:val="7"/>
                <w:rFonts w:hint="eastAsia" w:ascii="仿宋_GB2312" w:hAnsi="Calibri" w:eastAsia="仿宋_GB2312" w:cs="仿宋_GB2312"/>
                <w:sz w:val="24"/>
                <w:szCs w:val="24"/>
                <w:bdr w:val="none" w:color="auto" w:sz="0" w:space="0"/>
              </w:rPr>
              <w:t>表三：投标报价</w:t>
            </w:r>
          </w:p>
          <w:tbl>
            <w:tblPr>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05"/>
              <w:gridCol w:w="1830"/>
              <w:gridCol w:w="3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Style w:val="7"/>
                      <w:rFonts w:hint="eastAsia" w:ascii="仿宋_GB2312" w:hAnsi="Calibri" w:eastAsia="仿宋_GB2312" w:cs="仿宋_GB2312"/>
                      <w:sz w:val="24"/>
                      <w:szCs w:val="24"/>
                      <w:bdr w:val="none" w:color="auto" w:sz="0" w:space="0"/>
                    </w:rPr>
                    <w:t>序号</w:t>
                  </w:r>
                </w:p>
              </w:tc>
              <w:tc>
                <w:tcPr>
                  <w:tcW w:w="1830" w:type="dxa"/>
                  <w:tcBorders>
                    <w:top w:val="single" w:color="000000" w:sz="6" w:space="0"/>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Style w:val="7"/>
                      <w:rFonts w:hint="eastAsia" w:ascii="仿宋_GB2312" w:hAnsi="Calibri" w:eastAsia="仿宋_GB2312" w:cs="仿宋_GB2312"/>
                      <w:sz w:val="24"/>
                      <w:szCs w:val="24"/>
                      <w:bdr w:val="none" w:color="auto" w:sz="0" w:space="0"/>
                    </w:rPr>
                    <w:t>费用类别</w:t>
                  </w:r>
                </w:p>
              </w:tc>
              <w:tc>
                <w:tcPr>
                  <w:tcW w:w="3060" w:type="dxa"/>
                  <w:tcBorders>
                    <w:top w:val="single" w:color="000000" w:sz="6" w:space="0"/>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Style w:val="7"/>
                      <w:rFonts w:hint="eastAsia" w:ascii="仿宋_GB2312" w:hAnsi="Calibri" w:eastAsia="仿宋_GB2312" w:cs="仿宋_GB2312"/>
                      <w:sz w:val="24"/>
                      <w:szCs w:val="24"/>
                      <w:bdr w:val="none" w:color="auto" w:sz="0" w:space="0"/>
                    </w:rPr>
                    <w:t>小计（元/年）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Fonts w:hint="eastAsia" w:ascii="仿宋_GB2312" w:hAnsi="Calibri" w:eastAsia="仿宋_GB2312" w:cs="仿宋_GB2312"/>
                      <w:sz w:val="24"/>
                      <w:szCs w:val="24"/>
                      <w:bdr w:val="none" w:color="auto" w:sz="0" w:space="0"/>
                    </w:rPr>
                    <w:t>1</w:t>
                  </w:r>
                </w:p>
              </w:tc>
              <w:tc>
                <w:tcPr>
                  <w:tcW w:w="1830" w:type="dxa"/>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Fonts w:hint="eastAsia" w:ascii="仿宋_GB2312" w:hAnsi="Calibri" w:eastAsia="仿宋_GB2312" w:cs="仿宋_GB2312"/>
                      <w:sz w:val="24"/>
                      <w:szCs w:val="24"/>
                      <w:bdr w:val="none" w:color="auto" w:sz="0" w:space="0"/>
                    </w:rPr>
                    <w:t>表一：人员费用</w:t>
                  </w:r>
                </w:p>
              </w:tc>
              <w:tc>
                <w:tcPr>
                  <w:tcW w:w="3060"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0"/>
                    <w:jc w:val="center"/>
                    <w:rPr>
                      <w:sz w:val="24"/>
                      <w:szCs w:val="24"/>
                    </w:rPr>
                  </w:pPr>
                  <w:r>
                    <w:rPr>
                      <w:rFonts w:hint="eastAsia" w:ascii="仿宋_GB2312" w:hAnsi="Calibri" w:eastAsia="仿宋_GB2312" w:cs="仿宋_GB2312"/>
                      <w:sz w:val="24"/>
                      <w:szCs w:val="24"/>
                      <w:bdr w:val="none" w:color="auto" w:sz="0" w:space="0"/>
                    </w:rPr>
                    <w:t>2</w:t>
                  </w:r>
                </w:p>
              </w:tc>
              <w:tc>
                <w:tcPr>
                  <w:tcW w:w="1830" w:type="dxa"/>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Fonts w:hint="eastAsia" w:ascii="仿宋_GB2312" w:hAnsi="Calibri" w:eastAsia="仿宋_GB2312" w:cs="仿宋_GB2312"/>
                      <w:sz w:val="24"/>
                      <w:szCs w:val="24"/>
                      <w:bdr w:val="none" w:color="auto" w:sz="0" w:space="0"/>
                    </w:rPr>
                    <w:t>表二：其他费用</w:t>
                  </w:r>
                </w:p>
              </w:tc>
              <w:tc>
                <w:tcPr>
                  <w:tcW w:w="3060"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0"/>
                    <w:jc w:val="center"/>
                    <w:rPr>
                      <w:sz w:val="24"/>
                      <w:szCs w:val="24"/>
                    </w:rPr>
                  </w:pPr>
                  <w:r>
                    <w:rPr>
                      <w:rFonts w:hint="eastAsia" w:ascii="仿宋_GB2312" w:hAnsi="Calibri" w:eastAsia="仿宋_GB2312" w:cs="仿宋_GB2312"/>
                      <w:sz w:val="24"/>
                      <w:szCs w:val="24"/>
                      <w:bdr w:val="none" w:color="auto" w:sz="0" w:space="0"/>
                    </w:rPr>
                    <w:t>3</w:t>
                  </w:r>
                </w:p>
              </w:tc>
              <w:tc>
                <w:tcPr>
                  <w:tcW w:w="1830" w:type="dxa"/>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Fonts w:hint="eastAsia" w:ascii="仿宋_GB2312" w:hAnsi="Calibri" w:eastAsia="仿宋_GB2312" w:cs="仿宋_GB2312"/>
                      <w:sz w:val="24"/>
                      <w:szCs w:val="24"/>
                      <w:bdr w:val="none" w:color="auto" w:sz="0" w:space="0"/>
                    </w:rPr>
                    <w:t>企业管理费</w:t>
                  </w:r>
                </w:p>
              </w:tc>
              <w:tc>
                <w:tcPr>
                  <w:tcW w:w="3060"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0"/>
                    <w:jc w:val="center"/>
                    <w:rPr>
                      <w:sz w:val="24"/>
                      <w:szCs w:val="24"/>
                    </w:rPr>
                  </w:pPr>
                  <w:r>
                    <w:rPr>
                      <w:rFonts w:hint="eastAsia" w:ascii="仿宋_GB2312" w:hAnsi="Calibri" w:eastAsia="仿宋_GB2312" w:cs="仿宋_GB2312"/>
                      <w:sz w:val="24"/>
                      <w:szCs w:val="24"/>
                      <w:bdr w:val="none" w:color="auto" w:sz="0" w:space="0"/>
                    </w:rPr>
                    <w:t>4</w:t>
                  </w:r>
                </w:p>
              </w:tc>
              <w:tc>
                <w:tcPr>
                  <w:tcW w:w="1830" w:type="dxa"/>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Fonts w:hint="eastAsia" w:ascii="仿宋_GB2312" w:hAnsi="Calibri" w:eastAsia="仿宋_GB2312" w:cs="仿宋_GB2312"/>
                      <w:sz w:val="24"/>
                      <w:szCs w:val="24"/>
                      <w:bdr w:val="none" w:color="auto" w:sz="0" w:space="0"/>
                    </w:rPr>
                    <w:t>企业合理利润</w:t>
                  </w:r>
                </w:p>
              </w:tc>
              <w:tc>
                <w:tcPr>
                  <w:tcW w:w="3060"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0"/>
                    <w:jc w:val="center"/>
                    <w:rPr>
                      <w:sz w:val="24"/>
                      <w:szCs w:val="24"/>
                    </w:rPr>
                  </w:pPr>
                  <w:r>
                    <w:rPr>
                      <w:rFonts w:hint="eastAsia" w:ascii="仿宋_GB2312" w:hAnsi="Calibri" w:eastAsia="仿宋_GB2312" w:cs="仿宋_GB2312"/>
                      <w:sz w:val="24"/>
                      <w:szCs w:val="24"/>
                      <w:bdr w:val="none" w:color="auto" w:sz="0" w:space="0"/>
                    </w:rPr>
                    <w:t>5</w:t>
                  </w:r>
                </w:p>
              </w:tc>
              <w:tc>
                <w:tcPr>
                  <w:tcW w:w="1830" w:type="dxa"/>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Fonts w:hint="eastAsia" w:ascii="仿宋_GB2312" w:hAnsi="Calibri" w:eastAsia="仿宋_GB2312" w:cs="仿宋_GB2312"/>
                      <w:sz w:val="24"/>
                      <w:szCs w:val="24"/>
                      <w:bdr w:val="none" w:color="auto" w:sz="0" w:space="0"/>
                    </w:rPr>
                    <w:t>税费</w:t>
                  </w:r>
                </w:p>
              </w:tc>
              <w:tc>
                <w:tcPr>
                  <w:tcW w:w="3060"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0"/>
                    <w:jc w:val="center"/>
                    <w:rPr>
                      <w:sz w:val="24"/>
                      <w:szCs w:val="24"/>
                    </w:rPr>
                  </w:pPr>
                  <w:r>
                    <w:rPr>
                      <w:rFonts w:hint="eastAsia" w:ascii="仿宋_GB2312" w:hAnsi="Calibri" w:eastAsia="仿宋_GB2312" w:cs="仿宋_GB2312"/>
                      <w:sz w:val="24"/>
                      <w:szCs w:val="24"/>
                      <w:bdr w:val="none" w:color="auto" w:sz="0" w:space="0"/>
                    </w:rPr>
                    <w:t>6</w:t>
                  </w:r>
                </w:p>
              </w:tc>
              <w:tc>
                <w:tcPr>
                  <w:tcW w:w="1830" w:type="dxa"/>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Fonts w:hint="eastAsia" w:ascii="仿宋_GB2312" w:hAnsi="Calibri" w:eastAsia="仿宋_GB2312" w:cs="仿宋_GB2312"/>
                      <w:sz w:val="24"/>
                      <w:szCs w:val="24"/>
                      <w:bdr w:val="none" w:color="auto" w:sz="0" w:space="0"/>
                    </w:rPr>
                    <w:t>...</w:t>
                  </w:r>
                </w:p>
              </w:tc>
              <w:tc>
                <w:tcPr>
                  <w:tcW w:w="3060"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535" w:type="dxa"/>
                  <w:gridSpan w:val="2"/>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0"/>
                    <w:jc w:val="center"/>
                    <w:rPr>
                      <w:sz w:val="24"/>
                      <w:szCs w:val="24"/>
                    </w:rPr>
                  </w:pPr>
                  <w:r>
                    <w:rPr>
                      <w:rFonts w:hint="eastAsia" w:ascii="仿宋_GB2312" w:hAnsi="Calibri" w:eastAsia="仿宋_GB2312" w:cs="仿宋_GB2312"/>
                      <w:sz w:val="24"/>
                      <w:szCs w:val="24"/>
                      <w:bdr w:val="none" w:color="auto" w:sz="0" w:space="0"/>
                    </w:rPr>
                    <w:t>投标报价（合计）</w:t>
                  </w:r>
                </w:p>
              </w:tc>
              <w:tc>
                <w:tcPr>
                  <w:tcW w:w="3060" w:type="dxa"/>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Style w:val="7"/>
                      <w:rFonts w:hint="eastAsia" w:ascii="仿宋_GB2312" w:hAnsi="Calibri" w:eastAsia="仿宋_GB2312" w:cs="仿宋_GB2312"/>
                      <w:sz w:val="24"/>
                      <w:szCs w:val="24"/>
                      <w:bdr w:val="none" w:color="auto" w:sz="0" w:space="0"/>
                    </w:rPr>
                    <w:t>元/年（小写）</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both"/>
              <w:rPr>
                <w:sz w:val="24"/>
                <w:szCs w:val="24"/>
              </w:rPr>
            </w:pPr>
            <w:r>
              <w:rPr>
                <w:rFonts w:hint="eastAsia" w:ascii="仿宋_GB2312" w:hAnsi="Calibri" w:eastAsia="仿宋_GB2312" w:cs="仿宋_GB2312"/>
                <w:sz w:val="24"/>
                <w:szCs w:val="24"/>
                <w:bdr w:val="none" w:color="auto" w:sz="0" w:space="0"/>
              </w:rPr>
              <w:t>备注：1、工资、社保、加班费和法定计提费用须列明计算过程；2、报价如有上述表格未列明部分及其他说明，需自行增加，但不能删减；3、不满足本条备注的，视为未实质性响应。</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四、商务要求（实质性要求）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1.本项目服务期为三年，合同原则上一年一签，经年度考核合格后，方可续签下一年物业服务合同。（具体情形以双方签订的合同约定为准）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2.如因乙方工作人员在履行职务过程中的的疏忽、失职、过错等故意或者过失原因给采购人造成损失或侵害，包括但不限于采购人本身的财产损失、由此而导致的采购人对任何第三方的法律责任等，乙方对此均应承担全部的赔偿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3.供应商须对其物业从业人员的疾病和人身安全等负全责，采购人对此不承担任何的责任和义务。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4.本项目的物业服务费采用包干制的形式，供应商应根据管理服务内容进行测算定价。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5.人员全部到岗时间：合同签订生效之日起一周内。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6.履约保证金：无。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五</w:t>
            </w:r>
            <w:r>
              <w:rPr>
                <w:rStyle w:val="7"/>
                <w:rFonts w:hint="eastAsia" w:ascii="方正仿宋_GBK" w:hAnsi="方正仿宋_GBK" w:eastAsia="方正仿宋_GBK" w:cs="方正仿宋_GBK"/>
                <w:sz w:val="24"/>
                <w:szCs w:val="24"/>
                <w:bdr w:val="none" w:color="auto" w:sz="0" w:space="0"/>
              </w:rPr>
              <w:t>、其他要求：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（1）服务期内，因供应商自身原因造成采购合同终止或考核不合格无法签订下一年度合同的，因此产生的所有经济损失由供应商自行承担，如给采购人造成经济损失的，将依法追究其法律责任。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2）供应商为本项目配置的工作人员，应向采购人进行备案，经采购人审核通过后方可上岗，服务期内，采购人有权要求对不合格的工作人员进行更换，并在接到通知3个工作日内完成缺口人员的补充。所有物业管理服务人员实行标准工时工作制和月工资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（3）供应商应及时发放工作人员的劳资，如因劳资问题影响学校日常工作，采购人将拒绝支付服务费用和扣除履约保证金，直至终止合同。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（4）如因采购人工作需要，可以就人员安排、人员要求与配置、岗位职责、服务职责、职业纪律、岗位规范、奖惩制度等进行调整。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（5）供应商每年须为所有岗位服务人员购置全新的工作服，每人至少购置4套。服务人员工作期间必须穿着统一的工作服；工作服应勤洗勤换、无异味、无破损、无明显褶皱。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六、物业服务月度考核内容及考核运用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2550" w:type="dxa"/>
                  <w:tcBorders>
                    <w:top w:val="nil"/>
                    <w:left w:val="nil"/>
                    <w:bottom w:val="nil"/>
                    <w:right w:val="nil"/>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640"/>
                    <w:jc w:val="both"/>
                    <w:rPr>
                      <w:sz w:val="24"/>
                      <w:szCs w:val="24"/>
                    </w:rPr>
                  </w:pPr>
                  <w:r>
                    <w:rPr>
                      <w:rFonts w:hint="eastAsia" w:ascii="方正仿宋_GBK" w:hAnsi="方正仿宋_GBK" w:eastAsia="方正仿宋_GBK" w:cs="方正仿宋_GBK"/>
                      <w:sz w:val="24"/>
                      <w:szCs w:val="24"/>
                      <w:bdr w:val="none" w:color="auto" w:sz="0" w:space="0"/>
                    </w:rPr>
                    <w:t>1.卫生管理月考核表</w:t>
                  </w:r>
                </w:p>
                <w:tbl>
                  <w:tblPr>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
                    <w:gridCol w:w="830"/>
                    <w:gridCol w:w="1170"/>
                    <w:gridCol w:w="830"/>
                    <w:gridCol w:w="830"/>
                    <w:gridCol w:w="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序号</w:t>
                        </w:r>
                      </w:p>
                    </w:tc>
                    <w:tc>
                      <w:tcPr>
                        <w:tcW w:w="285" w:type="dxa"/>
                        <w:tcBorders>
                          <w:top w:val="single" w:color="000000" w:sz="6" w:space="0"/>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项目</w:t>
                        </w:r>
                      </w:p>
                    </w:tc>
                    <w:tc>
                      <w:tcPr>
                        <w:tcW w:w="1350" w:type="dxa"/>
                        <w:tcBorders>
                          <w:top w:val="single" w:color="000000" w:sz="6" w:space="0"/>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考核范围</w:t>
                        </w:r>
                      </w:p>
                    </w:tc>
                    <w:tc>
                      <w:tcPr>
                        <w:tcW w:w="225" w:type="dxa"/>
                        <w:tcBorders>
                          <w:top w:val="single" w:color="000000" w:sz="6" w:space="0"/>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分值</w:t>
                        </w:r>
                      </w:p>
                    </w:tc>
                    <w:tc>
                      <w:tcPr>
                        <w:tcW w:w="180" w:type="dxa"/>
                        <w:tcBorders>
                          <w:top w:val="single" w:color="000000" w:sz="6" w:space="0"/>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扣分</w:t>
                        </w:r>
                      </w:p>
                    </w:tc>
                    <w:tc>
                      <w:tcPr>
                        <w:tcW w:w="180" w:type="dxa"/>
                        <w:tcBorders>
                          <w:top w:val="single" w:color="000000" w:sz="6" w:space="0"/>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实得分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1</w:t>
                        </w:r>
                      </w:p>
                    </w:tc>
                    <w:tc>
                      <w:tcPr>
                        <w:tcW w:w="285" w:type="dxa"/>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0"/>
                          <w:jc w:val="both"/>
                          <w:rPr>
                            <w:sz w:val="24"/>
                            <w:szCs w:val="24"/>
                          </w:rPr>
                        </w:pPr>
                        <w:r>
                          <w:rPr>
                            <w:rFonts w:hint="eastAsia" w:ascii="方正仿宋_GBK" w:hAnsi="方正仿宋_GBK" w:eastAsia="方正仿宋_GBK" w:cs="方正仿宋_GBK"/>
                            <w:sz w:val="24"/>
                            <w:szCs w:val="24"/>
                            <w:bdr w:val="none" w:color="auto" w:sz="0" w:space="0"/>
                          </w:rPr>
                          <w:t>行政区域</w:t>
                        </w:r>
                      </w:p>
                    </w:tc>
                    <w:tc>
                      <w:tcPr>
                        <w:tcW w:w="1350" w:type="dxa"/>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0"/>
                          <w:jc w:val="both"/>
                          <w:rPr>
                            <w:sz w:val="24"/>
                            <w:szCs w:val="24"/>
                          </w:rPr>
                        </w:pPr>
                        <w:r>
                          <w:rPr>
                            <w:rFonts w:hint="eastAsia" w:ascii="方正仿宋_GBK" w:hAnsi="方正仿宋_GBK" w:eastAsia="方正仿宋_GBK" w:cs="方正仿宋_GBK"/>
                            <w:sz w:val="24"/>
                            <w:szCs w:val="24"/>
                            <w:bdr w:val="none" w:color="auto" w:sz="0" w:space="0"/>
                          </w:rPr>
                          <w:t>卫生箱（桶）、指示牌、消防箱、灯具等设施干净、无积尘、无污物；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楼道地面干净整洁，无痰迹、无污物、无堆放垃圾、满溢；厕所清洁，便池、水池、地面、管道无积水、无堵塞、无异味；</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墙面洁净无污迹；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屋顶无蛛网；</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扶手、栏杆无集尘；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墙面和玻璃洁净；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指定办公室、会议室干净、整洁、家具无积尘；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每发现一处扣1分。</w:t>
                        </w:r>
                      </w:p>
                    </w:tc>
                    <w:tc>
                      <w:tcPr>
                        <w:tcW w:w="225" w:type="dxa"/>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35分</w:t>
                        </w:r>
                      </w:p>
                    </w:tc>
                    <w:tc>
                      <w:tcPr>
                        <w:tcW w:w="180"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80"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2</w:t>
                        </w:r>
                      </w:p>
                    </w:tc>
                    <w:tc>
                      <w:tcPr>
                        <w:tcW w:w="285" w:type="dxa"/>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0"/>
                          <w:jc w:val="both"/>
                          <w:rPr>
                            <w:sz w:val="24"/>
                            <w:szCs w:val="24"/>
                          </w:rPr>
                        </w:pPr>
                        <w:r>
                          <w:rPr>
                            <w:rFonts w:hint="eastAsia" w:ascii="方正仿宋_GBK" w:hAnsi="方正仿宋_GBK" w:eastAsia="方正仿宋_GBK" w:cs="方正仿宋_GBK"/>
                            <w:sz w:val="24"/>
                            <w:szCs w:val="24"/>
                            <w:bdr w:val="none" w:color="auto" w:sz="0" w:space="0"/>
                          </w:rPr>
                          <w:t>教室等公共区域</w:t>
                        </w:r>
                      </w:p>
                    </w:tc>
                    <w:tc>
                      <w:tcPr>
                        <w:tcW w:w="1350" w:type="dxa"/>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地面洁净，无垃圾；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窗台干净，无灰尘。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每发现一处扣1分</w:t>
                        </w:r>
                      </w:p>
                    </w:tc>
                    <w:tc>
                      <w:tcPr>
                        <w:tcW w:w="225" w:type="dxa"/>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35分</w:t>
                        </w:r>
                      </w:p>
                    </w:tc>
                    <w:tc>
                      <w:tcPr>
                        <w:tcW w:w="180"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80"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3</w:t>
                        </w:r>
                      </w:p>
                    </w:tc>
                    <w:tc>
                      <w:tcPr>
                        <w:tcW w:w="285" w:type="dxa"/>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0"/>
                          <w:jc w:val="both"/>
                          <w:rPr>
                            <w:sz w:val="24"/>
                            <w:szCs w:val="24"/>
                          </w:rPr>
                        </w:pPr>
                        <w:r>
                          <w:rPr>
                            <w:rFonts w:hint="eastAsia" w:ascii="方正仿宋_GBK" w:hAnsi="方正仿宋_GBK" w:eastAsia="方正仿宋_GBK" w:cs="方正仿宋_GBK"/>
                            <w:sz w:val="24"/>
                            <w:szCs w:val="24"/>
                            <w:bdr w:val="none" w:color="auto" w:sz="0" w:space="0"/>
                          </w:rPr>
                          <w:t>整体环境卫生</w:t>
                        </w:r>
                      </w:p>
                    </w:tc>
                    <w:tc>
                      <w:tcPr>
                        <w:tcW w:w="1350" w:type="dxa"/>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随时保持地面干净、整洁、无纸屑，楼栋散水沟无杂物、沟底无淤泥、散水口无堵塞；</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花台（池）内无纸屑、烟头等杂物；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随时保持建筑物阳（平）台、上人屋顶平台干净、无杂物；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随时保持宣传栏、塑胶操场干净、无污渍、无灰尘；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会议室、学术交流厅、多功能厅随时保持干净、无纸屑；</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门窗玻璃整洁透明、无灰尘；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室内无蜘蛛网；家具干净整洁、摆放有序；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卫生间干净无异味；</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按照要求负责全校范围内的灭蚊灭鼠和药物消杀、消毒工作。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每发现一处扣1分</w:t>
                        </w:r>
                      </w:p>
                    </w:tc>
                    <w:tc>
                      <w:tcPr>
                        <w:tcW w:w="225" w:type="dxa"/>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30分</w:t>
                        </w:r>
                      </w:p>
                    </w:tc>
                    <w:tc>
                      <w:tcPr>
                        <w:tcW w:w="180"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80" w:type="dxa"/>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755" w:type="dxa"/>
                        <w:gridSpan w:val="3"/>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本月考核总得分</w:t>
                        </w:r>
                      </w:p>
                    </w:tc>
                    <w:tc>
                      <w:tcPr>
                        <w:tcW w:w="585" w:type="dxa"/>
                        <w:gridSpan w:val="3"/>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bl>
                <w:p>
                  <w:pPr>
                    <w:wordWrap w:val="0"/>
                    <w:spacing w:before="0" w:beforeAutospacing="0" w:after="0" w:afterAutospacing="0" w:line="480" w:lineRule="atLeast"/>
                    <w:ind w:left="0" w:right="0" w:firstLine="0"/>
                    <w:textAlignment w:val="top"/>
                    <w:rPr>
                      <w:sz w:val="24"/>
                      <w:szCs w:val="24"/>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480"/>
              <w:jc w:val="both"/>
              <w:rPr>
                <w:sz w:val="24"/>
                <w:szCs w:val="24"/>
              </w:rPr>
            </w:pPr>
            <w:r>
              <w:rPr>
                <w:rFonts w:hint="default" w:ascii="Calibri" w:hAnsi="Calibri" w:cs="Calibri"/>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480"/>
              <w:jc w:val="both"/>
              <w:rPr>
                <w:sz w:val="24"/>
                <w:szCs w:val="24"/>
              </w:rPr>
            </w:pPr>
            <w:r>
              <w:rPr>
                <w:rFonts w:hint="default" w:ascii="Calibri" w:hAnsi="Calibri" w:cs="Calibri"/>
                <w:sz w:val="24"/>
                <w:szCs w:val="24"/>
                <w:bdr w:val="none" w:color="auto" w:sz="0" w:space="0"/>
              </w:rPr>
              <w:t>   </w:t>
            </w:r>
            <w:r>
              <w:rPr>
                <w:rFonts w:hint="eastAsia" w:ascii="方正仿宋_GBK" w:hAnsi="方正仿宋_GBK" w:eastAsia="方正仿宋_GBK" w:cs="方正仿宋_GBK"/>
                <w:sz w:val="24"/>
                <w:szCs w:val="24"/>
                <w:bdr w:val="none" w:color="auto" w:sz="0" w:space="0"/>
              </w:rPr>
              <w:t>2.学生公寓管理月考核表</w:t>
            </w:r>
          </w:p>
          <w:tbl>
            <w:tblPr>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
              <w:gridCol w:w="830"/>
              <w:gridCol w:w="1410"/>
              <w:gridCol w:w="830"/>
              <w:gridCol w:w="830"/>
              <w:gridCol w:w="830"/>
              <w:gridCol w:w="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序号</w:t>
                  </w:r>
                </w:p>
              </w:tc>
              <w:tc>
                <w:tcPr>
                  <w:tcW w:w="360" w:type="dxa"/>
                  <w:tcBorders>
                    <w:top w:val="single" w:color="000000" w:sz="6" w:space="0"/>
                    <w:left w:val="nil"/>
                    <w:bottom w:val="nil"/>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项目</w:t>
                  </w:r>
                </w:p>
              </w:tc>
              <w:tc>
                <w:tcPr>
                  <w:tcW w:w="1410" w:type="dxa"/>
                  <w:tcBorders>
                    <w:top w:val="single" w:color="000000" w:sz="6" w:space="0"/>
                    <w:left w:val="nil"/>
                    <w:bottom w:val="nil"/>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管理范围</w:t>
                  </w:r>
                </w:p>
              </w:tc>
              <w:tc>
                <w:tcPr>
                  <w:tcW w:w="195" w:type="dxa"/>
                  <w:tcBorders>
                    <w:top w:val="single" w:color="000000" w:sz="6" w:space="0"/>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分值</w:t>
                  </w:r>
                </w:p>
              </w:tc>
              <w:tc>
                <w:tcPr>
                  <w:tcW w:w="195" w:type="dxa"/>
                  <w:tcBorders>
                    <w:top w:val="single" w:color="000000" w:sz="6" w:space="0"/>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扣分</w:t>
                  </w:r>
                </w:p>
              </w:tc>
              <w:tc>
                <w:tcPr>
                  <w:tcW w:w="240" w:type="dxa"/>
                  <w:tcBorders>
                    <w:top w:val="single" w:color="000000" w:sz="6" w:space="0"/>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实得分</w:t>
                  </w:r>
                </w:p>
              </w:tc>
              <w:tc>
                <w:tcPr>
                  <w:tcW w:w="6" w:type="dxa"/>
                  <w:tcBorders>
                    <w:top w:val="nil"/>
                    <w:left w:val="nil"/>
                    <w:bottom w:val="nil"/>
                    <w:right w:val="nil"/>
                  </w:tcBorders>
                  <w:shd w:val="clear"/>
                  <w:tcMar>
                    <w:left w:w="12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0"/>
                    <w:jc w:val="both"/>
                    <w:rPr>
                      <w:sz w:val="24"/>
                      <w:szCs w:val="24"/>
                    </w:rPr>
                  </w:pPr>
                  <w:r>
                    <w:rPr>
                      <w:rFonts w:hint="default" w:ascii="Calibri" w:hAnsi="Calibri" w:cs="Calibri"/>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5" w:hRule="atLeast"/>
              </w:trPr>
              <w:tc>
                <w:tcPr>
                  <w:tcW w:w="150"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1</w:t>
                  </w:r>
                </w:p>
              </w:tc>
              <w:tc>
                <w:tcPr>
                  <w:tcW w:w="360" w:type="dxa"/>
                  <w:vMerge w:val="restart"/>
                  <w:tcBorders>
                    <w:top w:val="single" w:color="000000" w:sz="6" w:space="0"/>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行为管理</w:t>
                  </w:r>
                </w:p>
              </w:tc>
              <w:tc>
                <w:tcPr>
                  <w:tcW w:w="1410" w:type="dxa"/>
                  <w:vMerge w:val="restart"/>
                  <w:tcBorders>
                    <w:top w:val="single" w:color="000000" w:sz="6" w:space="0"/>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宿舍内外墙上有人为污迹、鞋印或有故意损坏痕迹等，恶意踢门，损坏公物；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在宿舍抽烟、喝酒、拉帮结派，吵架斗殴；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不遵守作息制度，在宿舍内大声喧哗、故意起哄，影响他人正常学习和休息；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向窗外、走廊泼水或乱扔乱丢垃圾。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每发现一次扣2分。</w:t>
                  </w:r>
                </w:p>
              </w:tc>
              <w:tc>
                <w:tcPr>
                  <w:tcW w:w="195" w:type="dxa"/>
                  <w:vMerge w:val="restart"/>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30分</w:t>
                  </w:r>
                </w:p>
              </w:tc>
              <w:tc>
                <w:tcPr>
                  <w:tcW w:w="195" w:type="dxa"/>
                  <w:vMerge w:val="restart"/>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240" w:type="dxa"/>
                  <w:vMerge w:val="restart"/>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 w:type="dxa"/>
                  <w:tcBorders>
                    <w:top w:val="nil"/>
                    <w:left w:val="nil"/>
                    <w:bottom w:val="nil"/>
                    <w:right w:val="nil"/>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5" w:hRule="atLeast"/>
              </w:trPr>
              <w:tc>
                <w:tcPr>
                  <w:tcW w:w="15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36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41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95"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95"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24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 w:type="dxa"/>
                  <w:tcBorders>
                    <w:top w:val="nil"/>
                    <w:left w:val="nil"/>
                    <w:bottom w:val="nil"/>
                    <w:right w:val="nil"/>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5" w:hRule="atLeast"/>
              </w:trPr>
              <w:tc>
                <w:tcPr>
                  <w:tcW w:w="150"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2</w:t>
                  </w:r>
                </w:p>
              </w:tc>
              <w:tc>
                <w:tcPr>
                  <w:tcW w:w="360" w:type="dxa"/>
                  <w:vMerge w:val="restart"/>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卫生管理</w:t>
                  </w:r>
                </w:p>
              </w:tc>
              <w:tc>
                <w:tcPr>
                  <w:tcW w:w="1410" w:type="dxa"/>
                  <w:vMerge w:val="restart"/>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寝室内个人物品摆放不整齐；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在寝室内乱贴乱画、乱钉钉子、乱拉绳；</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不叠被子、室内垃圾不及时清理；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门前地面乱丢乱扔垃圾、乱倒水；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室内空气异味重，不及时进行通风；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室内地面、墙面、窗台、不干净。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default" w:ascii="Calibri" w:hAnsi="Calibri" w:cs="Calibri"/>
                      <w:sz w:val="24"/>
                      <w:szCs w:val="24"/>
                      <w:bdr w:val="none" w:color="auto" w:sz="0" w:space="0"/>
                    </w:rPr>
                    <w:t>  </w:t>
                  </w:r>
                  <w:r>
                    <w:rPr>
                      <w:rFonts w:hint="eastAsia" w:ascii="方正仿宋_GBK" w:hAnsi="方正仿宋_GBK" w:eastAsia="方正仿宋_GBK" w:cs="方正仿宋_GBK"/>
                      <w:sz w:val="24"/>
                      <w:szCs w:val="24"/>
                      <w:bdr w:val="none" w:color="auto" w:sz="0" w:space="0"/>
                    </w:rPr>
                    <w:t>每发现一次扣1分</w:t>
                  </w:r>
                </w:p>
              </w:tc>
              <w:tc>
                <w:tcPr>
                  <w:tcW w:w="195" w:type="dxa"/>
                  <w:vMerge w:val="restart"/>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30分　</w:t>
                  </w:r>
                </w:p>
              </w:tc>
              <w:tc>
                <w:tcPr>
                  <w:tcW w:w="195" w:type="dxa"/>
                  <w:vMerge w:val="restart"/>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240" w:type="dxa"/>
                  <w:vMerge w:val="restart"/>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 w:type="dxa"/>
                  <w:tcBorders>
                    <w:top w:val="nil"/>
                    <w:left w:val="nil"/>
                    <w:bottom w:val="nil"/>
                    <w:right w:val="nil"/>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5" w:hRule="atLeast"/>
              </w:trPr>
              <w:tc>
                <w:tcPr>
                  <w:tcW w:w="15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36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41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95"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95"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24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 w:type="dxa"/>
                  <w:tcBorders>
                    <w:top w:val="nil"/>
                    <w:left w:val="nil"/>
                    <w:bottom w:val="nil"/>
                    <w:right w:val="nil"/>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5" w:hRule="atLeast"/>
              </w:trPr>
              <w:tc>
                <w:tcPr>
                  <w:tcW w:w="150" w:type="dxa"/>
                  <w:vMerge w:val="restart"/>
                  <w:tcBorders>
                    <w:top w:val="nil"/>
                    <w:left w:val="single" w:color="000000" w:sz="6" w:space="0"/>
                    <w:bottom w:val="nil"/>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3</w:t>
                  </w:r>
                </w:p>
              </w:tc>
              <w:tc>
                <w:tcPr>
                  <w:tcW w:w="360" w:type="dxa"/>
                  <w:vMerge w:val="restart"/>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安全管理</w:t>
                  </w:r>
                </w:p>
              </w:tc>
              <w:tc>
                <w:tcPr>
                  <w:tcW w:w="1410" w:type="dxa"/>
                  <w:vMerge w:val="restart"/>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违章使用电器、在宿舍内违章使用蜡烛等明火；</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收藏或使用管制刀具、钢管等违禁器械，擅自携带易燃易爆等危险物品进宿舍；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破坏寝室内的防火和安全设施；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擅自留宿外人；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无视安全，翻爬宿舍阳台、窗户、落水管；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晚归寝、夜不归宿；</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每发现一次扣3分</w:t>
                  </w:r>
                </w:p>
              </w:tc>
              <w:tc>
                <w:tcPr>
                  <w:tcW w:w="195" w:type="dxa"/>
                  <w:vMerge w:val="restart"/>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30分　</w:t>
                  </w:r>
                </w:p>
              </w:tc>
              <w:tc>
                <w:tcPr>
                  <w:tcW w:w="195" w:type="dxa"/>
                  <w:vMerge w:val="restart"/>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240" w:type="dxa"/>
                  <w:vMerge w:val="restart"/>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 w:type="dxa"/>
                  <w:tcBorders>
                    <w:top w:val="nil"/>
                    <w:left w:val="nil"/>
                    <w:bottom w:val="nil"/>
                    <w:right w:val="nil"/>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5" w:hRule="atLeast"/>
              </w:trPr>
              <w:tc>
                <w:tcPr>
                  <w:tcW w:w="150" w:type="dxa"/>
                  <w:vMerge w:val="continue"/>
                  <w:tcBorders>
                    <w:top w:val="nil"/>
                    <w:left w:val="single" w:color="000000" w:sz="6" w:space="0"/>
                    <w:bottom w:val="nil"/>
                    <w:right w:val="single" w:color="000000" w:sz="6" w:space="0"/>
                  </w:tcBorders>
                  <w:shd w:val="clear"/>
                  <w:tcMar>
                    <w:left w:w="105" w:type="dxa"/>
                    <w:right w:w="105" w:type="dxa"/>
                  </w:tcMar>
                  <w:vAlign w:val="top"/>
                </w:tcPr>
                <w:p>
                  <w:pPr>
                    <w:rPr>
                      <w:rFonts w:hint="eastAsia" w:ascii="宋体"/>
                      <w:sz w:val="24"/>
                      <w:szCs w:val="24"/>
                    </w:rPr>
                  </w:pPr>
                </w:p>
              </w:tc>
              <w:tc>
                <w:tcPr>
                  <w:tcW w:w="36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41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95"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95"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24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 w:type="dxa"/>
                  <w:tcBorders>
                    <w:top w:val="nil"/>
                    <w:left w:val="nil"/>
                    <w:bottom w:val="nil"/>
                    <w:right w:val="nil"/>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5" w:hRule="atLeast"/>
              </w:trPr>
              <w:tc>
                <w:tcPr>
                  <w:tcW w:w="150" w:type="dxa"/>
                  <w:vMerge w:val="continue"/>
                  <w:tcBorders>
                    <w:top w:val="nil"/>
                    <w:left w:val="single" w:color="000000" w:sz="6" w:space="0"/>
                    <w:bottom w:val="nil"/>
                    <w:right w:val="single" w:color="000000" w:sz="6" w:space="0"/>
                  </w:tcBorders>
                  <w:shd w:val="clear"/>
                  <w:tcMar>
                    <w:left w:w="105" w:type="dxa"/>
                    <w:right w:w="105" w:type="dxa"/>
                  </w:tcMar>
                  <w:vAlign w:val="top"/>
                </w:tcPr>
                <w:p>
                  <w:pPr>
                    <w:rPr>
                      <w:rFonts w:hint="eastAsia" w:ascii="宋体"/>
                      <w:sz w:val="24"/>
                      <w:szCs w:val="24"/>
                    </w:rPr>
                  </w:pPr>
                </w:p>
              </w:tc>
              <w:tc>
                <w:tcPr>
                  <w:tcW w:w="36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41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95"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95"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24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 w:type="dxa"/>
                  <w:tcBorders>
                    <w:top w:val="nil"/>
                    <w:left w:val="nil"/>
                    <w:bottom w:val="nil"/>
                    <w:right w:val="nil"/>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5" w:hRule="atLeast"/>
              </w:trPr>
              <w:tc>
                <w:tcPr>
                  <w:tcW w:w="150" w:type="dxa"/>
                  <w:vMerge w:val="continue"/>
                  <w:tcBorders>
                    <w:top w:val="nil"/>
                    <w:left w:val="single" w:color="000000" w:sz="6" w:space="0"/>
                    <w:bottom w:val="nil"/>
                    <w:right w:val="single" w:color="000000" w:sz="6" w:space="0"/>
                  </w:tcBorders>
                  <w:shd w:val="clear"/>
                  <w:tcMar>
                    <w:left w:w="105" w:type="dxa"/>
                    <w:right w:w="105" w:type="dxa"/>
                  </w:tcMar>
                  <w:vAlign w:val="top"/>
                </w:tcPr>
                <w:p>
                  <w:pPr>
                    <w:rPr>
                      <w:rFonts w:hint="eastAsia" w:ascii="宋体"/>
                      <w:sz w:val="24"/>
                      <w:szCs w:val="24"/>
                    </w:rPr>
                  </w:pPr>
                </w:p>
              </w:tc>
              <w:tc>
                <w:tcPr>
                  <w:tcW w:w="36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41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95"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95"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24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 w:type="dxa"/>
                  <w:tcBorders>
                    <w:top w:val="nil"/>
                    <w:left w:val="nil"/>
                    <w:bottom w:val="nil"/>
                    <w:right w:val="nil"/>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5" w:hRule="atLeast"/>
              </w:trPr>
              <w:tc>
                <w:tcPr>
                  <w:tcW w:w="150" w:type="dxa"/>
                  <w:vMerge w:val="restart"/>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4</w:t>
                  </w:r>
                </w:p>
              </w:tc>
              <w:tc>
                <w:tcPr>
                  <w:tcW w:w="360" w:type="dxa"/>
                  <w:vMerge w:val="restart"/>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出勤管理</w:t>
                  </w:r>
                </w:p>
              </w:tc>
              <w:tc>
                <w:tcPr>
                  <w:tcW w:w="1410" w:type="dxa"/>
                  <w:vMerge w:val="restart"/>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学生上课时间不按要求请假，逗留寝室，每发现一人扣2分。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default" w:ascii="Calibri" w:hAnsi="Calibri" w:cs="Calibri"/>
                      <w:sz w:val="24"/>
                      <w:szCs w:val="24"/>
                      <w:bdr w:val="none" w:color="auto" w:sz="0" w:space="0"/>
                    </w:rPr>
                    <w:t>  </w:t>
                  </w:r>
                  <w:r>
                    <w:rPr>
                      <w:rFonts w:hint="eastAsia" w:ascii="方正仿宋_GBK" w:hAnsi="方正仿宋_GBK" w:eastAsia="方正仿宋_GBK" w:cs="方正仿宋_GBK"/>
                      <w:sz w:val="24"/>
                      <w:szCs w:val="24"/>
                      <w:bdr w:val="none" w:color="auto" w:sz="0" w:space="0"/>
                    </w:rPr>
                    <w:t>物业人员在规定时间内，每道学生公寓出入口门不少于2名，每发现少一人扣1分。</w:t>
                  </w:r>
                </w:p>
              </w:tc>
              <w:tc>
                <w:tcPr>
                  <w:tcW w:w="195" w:type="dxa"/>
                  <w:vMerge w:val="restart"/>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10分</w:t>
                  </w:r>
                </w:p>
              </w:tc>
              <w:tc>
                <w:tcPr>
                  <w:tcW w:w="195" w:type="dxa"/>
                  <w:vMerge w:val="restart"/>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240" w:type="dxa"/>
                  <w:vMerge w:val="restart"/>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 w:type="dxa"/>
                  <w:tcBorders>
                    <w:top w:val="nil"/>
                    <w:left w:val="nil"/>
                    <w:bottom w:val="nil"/>
                    <w:right w:val="nil"/>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5" w:hRule="atLeast"/>
              </w:trPr>
              <w:tc>
                <w:tcPr>
                  <w:tcW w:w="150" w:type="dxa"/>
                  <w:vMerge w:val="continue"/>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36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41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95"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95"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24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 w:type="dxa"/>
                  <w:tcBorders>
                    <w:top w:val="nil"/>
                    <w:left w:val="nil"/>
                    <w:bottom w:val="nil"/>
                    <w:right w:val="nil"/>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5" w:hRule="atLeast"/>
              </w:trPr>
              <w:tc>
                <w:tcPr>
                  <w:tcW w:w="150" w:type="dxa"/>
                  <w:vMerge w:val="continue"/>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36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41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95"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95"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24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 w:type="dxa"/>
                  <w:tcBorders>
                    <w:top w:val="nil"/>
                    <w:left w:val="nil"/>
                    <w:bottom w:val="nil"/>
                    <w:right w:val="nil"/>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920" w:type="dxa"/>
                  <w:gridSpan w:val="3"/>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380"/>
                    <w:jc w:val="both"/>
                    <w:rPr>
                      <w:sz w:val="24"/>
                      <w:szCs w:val="24"/>
                    </w:rPr>
                  </w:pPr>
                  <w:r>
                    <w:rPr>
                      <w:rFonts w:hint="eastAsia" w:ascii="方正仿宋_GBK" w:hAnsi="方正仿宋_GBK" w:eastAsia="方正仿宋_GBK" w:cs="方正仿宋_GBK"/>
                      <w:sz w:val="24"/>
                      <w:szCs w:val="24"/>
                      <w:bdr w:val="none" w:color="auto" w:sz="0" w:space="0"/>
                    </w:rPr>
                    <w:t>本月考核总得分</w:t>
                  </w:r>
                </w:p>
              </w:tc>
              <w:tc>
                <w:tcPr>
                  <w:tcW w:w="630" w:type="dxa"/>
                  <w:gridSpan w:val="3"/>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 w:type="dxa"/>
                  <w:tcBorders>
                    <w:top w:val="nil"/>
                    <w:left w:val="nil"/>
                    <w:bottom w:val="nil"/>
                    <w:right w:val="nil"/>
                  </w:tcBorders>
                  <w:shd w:val="clear"/>
                  <w:tcMar>
                    <w:left w:w="12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65" w:afterAutospacing="0" w:line="480" w:lineRule="atLeast"/>
                    <w:ind w:left="0" w:right="0" w:firstLine="0"/>
                    <w:jc w:val="both"/>
                    <w:rPr>
                      <w:sz w:val="24"/>
                      <w:szCs w:val="24"/>
                    </w:rPr>
                  </w:pPr>
                  <w:r>
                    <w:rPr>
                      <w:rFonts w:hint="default" w:ascii="Calibri" w:hAnsi="Calibri" w:cs="Calibri"/>
                      <w:sz w:val="24"/>
                      <w:szCs w:val="24"/>
                      <w:bdr w:val="none" w:color="auto" w:sz="0" w:space="0"/>
                    </w:rPr>
                    <w:t> </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方正仿宋_GBK" w:hAnsi="方正仿宋_GBK" w:eastAsia="方正仿宋_GBK" w:cs="方正仿宋_GBK"/>
                <w:sz w:val="24"/>
                <w:szCs w:val="24"/>
                <w:bdr w:val="none" w:color="auto" w:sz="0" w:space="0"/>
              </w:rPr>
              <w:t>考核形式及运用：学校学生服务中心和后勤服务中心每周对物业服务工作进行检查，每月根据周检查结果进行综合考核，考核满分为100分，取当月各周得分平均值。月综合考核分在90（含）分以上为服务质量一级；月综合考核分在80分（含）-90（不 含）分为服务质量二级；月综合考核分在70分（含）-80分（不含）为服务质量三级；月综合考核分在70分（不含）以下为服务质量四级。若考核结果低于90分，每扣一分扣2000元。累计三个月考核结果为服务质量三级及以下的或者累计两个月考核结果为四级的，视为年度考核不合格，学校有权要求终止合同，由供应商承担违约和赔偿责任。年度考核合格后方可续签下一年度合同。环境维护和生活老师考核各占比50%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i w:val="0"/>
          <w:caps w:val="0"/>
          <w:color w:val="333333"/>
          <w:spacing w:val="0"/>
          <w:sz w:val="27"/>
          <w:szCs w:val="27"/>
        </w:rPr>
      </w:pPr>
      <w:r>
        <w:rPr>
          <w:rFonts w:hint="eastAsia" w:ascii="微软雅黑" w:hAnsi="微软雅黑" w:eastAsia="微软雅黑" w:cs="微软雅黑"/>
          <w:b/>
          <w:i w:val="0"/>
          <w:caps w:val="0"/>
          <w:color w:val="333333"/>
          <w:spacing w:val="0"/>
          <w:sz w:val="27"/>
          <w:szCs w:val="27"/>
          <w:bdr w:val="none" w:color="auto" w:sz="0" w:space="0"/>
          <w:shd w:val="clear" w:fill="FFFFFF"/>
        </w:rPr>
        <w:t>3.3.服务要求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jc w:val="left"/>
        <w:rPr>
          <w:rFonts w:hint="eastAsia" w:ascii="微软雅黑" w:hAnsi="微软雅黑" w:eastAsia="微软雅黑" w:cs="微软雅黑"/>
          <w:b/>
          <w:i w:val="0"/>
          <w:caps w:val="0"/>
          <w:color w:val="333333"/>
          <w:spacing w:val="0"/>
          <w:sz w:val="24"/>
          <w:szCs w:val="24"/>
        </w:rPr>
      </w:pPr>
      <w:r>
        <w:rPr>
          <w:rFonts w:hint="eastAsia" w:ascii="微软雅黑" w:hAnsi="微软雅黑" w:eastAsia="微软雅黑" w:cs="微软雅黑"/>
          <w:b/>
          <w:i w:val="0"/>
          <w:caps w:val="0"/>
          <w:color w:val="333333"/>
          <w:spacing w:val="0"/>
          <w:sz w:val="24"/>
          <w:szCs w:val="24"/>
          <w:bdr w:val="none" w:color="auto" w:sz="0" w:space="0"/>
          <w:shd w:val="clear" w:fill="FFFFFF"/>
        </w:rPr>
        <w:t>3.3.1.服务内容要求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13"/>
        <w:gridCol w:w="765"/>
        <w:gridCol w:w="1603"/>
        <w:gridCol w:w="5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3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序号</w:t>
            </w:r>
          </w:p>
        </w:tc>
        <w:tc>
          <w:tcPr>
            <w:tcW w:w="102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符号标识</w:t>
            </w:r>
          </w:p>
        </w:tc>
        <w:tc>
          <w:tcPr>
            <w:tcW w:w="264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服务要求名称</w:t>
            </w:r>
          </w:p>
        </w:tc>
        <w:tc>
          <w:tcPr>
            <w:tcW w:w="1029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服务要求内容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无</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i w:val="0"/>
          <w:caps w:val="0"/>
          <w:color w:val="333333"/>
          <w:spacing w:val="0"/>
          <w:sz w:val="24"/>
          <w:szCs w:val="24"/>
        </w:rPr>
      </w:pPr>
      <w:r>
        <w:rPr>
          <w:rFonts w:hint="eastAsia" w:ascii="微软雅黑" w:hAnsi="微软雅黑" w:eastAsia="微软雅黑" w:cs="微软雅黑"/>
          <w:b/>
          <w:i w:val="0"/>
          <w:caps w:val="0"/>
          <w:color w:val="333333"/>
          <w:spacing w:val="0"/>
          <w:sz w:val="24"/>
          <w:szCs w:val="24"/>
          <w:bdr w:val="none" w:color="auto" w:sz="0" w:space="0"/>
          <w:shd w:val="clear" w:fill="FFFFFF"/>
        </w:rPr>
        <w:t>3.3.2.商务要求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0"/>
        <w:gridCol w:w="610"/>
        <w:gridCol w:w="1283"/>
        <w:gridCol w:w="611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3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序号</w:t>
            </w:r>
          </w:p>
        </w:tc>
        <w:tc>
          <w:tcPr>
            <w:tcW w:w="102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符号标识</w:t>
            </w:r>
          </w:p>
        </w:tc>
        <w:tc>
          <w:tcPr>
            <w:tcW w:w="264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商务要求名称</w:t>
            </w:r>
          </w:p>
        </w:tc>
        <w:tc>
          <w:tcPr>
            <w:tcW w:w="1029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sz w:val="24"/>
                <w:szCs w:val="24"/>
              </w:rPr>
            </w:pPr>
            <w:r>
              <w:rPr>
                <w:rFonts w:ascii="宋体" w:hAnsi="宋体" w:eastAsia="宋体" w:cs="宋体"/>
                <w:b/>
                <w:kern w:val="0"/>
                <w:sz w:val="24"/>
                <w:szCs w:val="24"/>
                <w:bdr w:val="none" w:color="auto" w:sz="0" w:space="0"/>
                <w:lang w:val="en-US" w:eastAsia="zh-CN" w:bidi="ar"/>
              </w:rPr>
              <w:t>商务要求内容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服务期限</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1096日（本项目服务期限3年，合同一年一签）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服务地点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四川省邛崃市高埂中学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验收、交付标准和方法</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每月开展物业服务月度考核 1.卫生管理月考核占比50% 2.学生公寓管理月考核占比50% 3.其他未尽事宜应参照《财政部关于进一步加强政府采购需求和履约验收管理的指导意见》（财库〔2016〕205号）的要求进行验收。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支付方式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分期付款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付款进度安排</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1、进度款，每月服务费在每月综合考核后于次月5日前支付，达到付款条件起5日内，支付合同总金额的8.00%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2、进度款，每月服务费在每月综合考核后于次月5日前支付，达到付款条件起5日内，支付合同总金额的8.00%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3、进度款，每月服务费在每月综合考核后于次月5日前支付，达到付款条件起5日内，支付合同总金额的8.00%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4、进度款，每月服务费在每月综合考核后于次月5日前支付，达到付款条件起5日内，支付合同总金额的8.00%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5、进度款，每月服务费在每月综合考核后于次月5日前支付，达到付款条件起5日内，支付合同总金额的8.00%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6、进度款，每月服务费在每月综合考核后于次月5日前支付，达到付款条件起5日内，支付合同总金额的8.00%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7、进度款，每月服务费在每月综合考核后于次月5日前支付，达到付款条件起5日内，支付合同总金额的8.00%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8、进度款，每月服务费在每月综合考核后于次月5日前支付，达到付款条件起5日内，支付合同总金额的8.00%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9、进度款，每月服务费在每月综合考核后于次月5日前支付，达到付款条件起5日内，支付合同总金额的8.00%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10、进度款，每月服务费在每月综合考核后于次月5日前支付，达到付款条件起5日内，支付合同总金额的8.00%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11、进度款，每月服务费在每月综合考核后于次月5日前支付，达到付款条件起5日内，支付合同总金额的8.00%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12、尾款，每月服务费在每月综合考核后于次月5日前支付，达到付款条件起5日内，支付合同总金额的12.00%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bookmarkStart w:id="0" w:name="_GoBack"/>
            <w:bookmarkEnd w:id="0"/>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违约责任与解决争议的方法</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项目实施过程中如发生争议，双方应本着互相尊重、友好合作的原则，互相协商，妥善解决 ；协商不成的，任何一方均有权向采购人所在地有管辖权的人民法院提起诉讼。</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i w:val="0"/>
          <w:caps w:val="0"/>
          <w:color w:val="333333"/>
          <w:spacing w:val="0"/>
          <w:sz w:val="27"/>
          <w:szCs w:val="27"/>
        </w:rPr>
      </w:pPr>
      <w:r>
        <w:rPr>
          <w:rFonts w:hint="eastAsia" w:ascii="微软雅黑" w:hAnsi="微软雅黑" w:eastAsia="微软雅黑" w:cs="微软雅黑"/>
          <w:b/>
          <w:i w:val="0"/>
          <w:caps w:val="0"/>
          <w:color w:val="333333"/>
          <w:spacing w:val="0"/>
          <w:sz w:val="27"/>
          <w:szCs w:val="27"/>
          <w:bdr w:val="none" w:color="auto" w:sz="0" w:space="0"/>
          <w:shd w:val="clear" w:fill="FFFFFF"/>
        </w:rPr>
        <w:t>3.4.其他要求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采购包1：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D12217"/>
    <w:rsid w:val="38407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2022-11-03T01:17:00Z</dcterms:created>
  <dc:creator>Dell</dc:creator>
  <cp:lastModifiedBy>Dell</cp:lastModifiedBy>
  <dcterms:modified xsi:type="dcterms:W3CDTF">2026-05-29T04:30:43Z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B78E0020854F4B10AF16DBC7DB201FEB</vt:lpwstr>
  </property>
</Properties>
</file>