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版本号：N510682202600005020260508001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医疗责任保险服务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N5106822026000050</w:t>
      </w:r>
    </w:p>
    <w:p>
      <w:pPr>
        <w:pStyle w:val="null3"/>
        <w:jc w:val="center"/>
        <w:outlineLvl w:val="2"/>
      </w:pPr>
      <w:r>
        <w:rPr>
          <w:rFonts w:ascii="仿宋_GB2312" w:hAnsi="仿宋_GB2312" w:cs="仿宋_GB2312" w:eastAsia="仿宋_GB2312"/>
          <w:sz w:val="28"/>
          <w:b/>
        </w:rPr>
        <w:t>什邡市中医医院</w:t>
      </w:r>
    </w:p>
    <w:p>
      <w:pPr>
        <w:pStyle w:val="null3"/>
        <w:jc w:val="center"/>
        <w:outlineLvl w:val="2"/>
      </w:pPr>
      <w:r>
        <w:rPr>
          <w:rFonts w:ascii="仿宋_GB2312" w:hAnsi="仿宋_GB2312" w:cs="仿宋_GB2312" w:eastAsia="仿宋_GB2312"/>
          <w:sz w:val="28"/>
          <w:b/>
        </w:rPr>
        <w:t>四川丰瑞招标代理有限公司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四川丰瑞招标代理有限公司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什邡市中医医院</w:t>
      </w:r>
      <w:r>
        <w:rPr>
          <w:rFonts w:ascii="仿宋_GB2312" w:hAnsi="仿宋_GB2312" w:cs="仿宋_GB2312" w:eastAsia="仿宋_GB2312"/>
        </w:rPr>
        <w:t xml:space="preserve"> 委托，拟对 </w:t>
      </w:r>
      <w:r>
        <w:rPr>
          <w:rFonts w:ascii="仿宋_GB2312" w:hAnsi="仿宋_GB2312" w:cs="仿宋_GB2312" w:eastAsia="仿宋_GB2312"/>
        </w:rPr>
        <w:t>医疗责任保险服务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德阳市什邡市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N5106822026000050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医疗责任保险服务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医疗责任保险服务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1、根据采购项目提出的特殊条件（描述：①具有有效的《中华人民共和国保险许可证》提供复印件/扫描件并进行电子签章； ②允许分公司或分支机构参与竞争。（非独立法人分支机构参加需提供具有独立法人资格的总公司针对本项目的授权书或经总公司出具愿为其参与本项目投标以及履约行为承担民事责任的承诺函，并提供分支机构“统一社会信用代码营业执照副本”））</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什邡市中医医院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四川省什邡市西顺城街207号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陆女士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0838-5963392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四川丰瑞招标代理有限公司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四川省德阳市长江东路211号1栋F7-1号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 肖女士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0838-2225688、0838-2533699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格〔2002〕1980号和财库〔2018〕2号文件规定收取，采购代理服务收费按差额定率累进法计算，三年中标/成交金额100万以下1.5％；100万—500万0.8％；500万—1000万0.45％；按以上标准下浮20%。本次代理服务费由成交供应商支付，各供应商报价应当包含代理费用。 户名：四川丰瑞招标代理有限公司； 开 户 行：中国工商银行德阳市分行东大街支行； 银行账号：2305 3631 1902 0155 277； 工行行号：102658036315。 注：无论何种原因，供应商拒绝签订合同的，或因不可抗力或因验收不合格等因素与供应商终止合同的，代理费由成交供应商承担。第二、三年如果采购人原因不续签合同，代理费据实结算。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什邡市中医医院</w:t>
      </w:r>
      <w:r>
        <w:rPr>
          <w:rFonts w:ascii="仿宋_GB2312" w:hAnsi="仿宋_GB2312" w:cs="仿宋_GB2312" w:eastAsia="仿宋_GB2312"/>
        </w:rPr>
        <w:t xml:space="preserve"> 和 </w:t>
      </w:r>
      <w:r>
        <w:rPr>
          <w:rFonts w:ascii="仿宋_GB2312" w:hAnsi="仿宋_GB2312" w:cs="仿宋_GB2312" w:eastAsia="仿宋_GB2312"/>
        </w:rPr>
        <w:t>四川丰瑞招标代理有限公司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什邡市中医医院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四川丰瑞招标代理有限公司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保单生效后供应商提出验收申请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根据采购文件、供应商响应文件、合同约定的每一项技术/服务要求的履约情况进行验收，验收内容要包括所有客观、量化指标。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按照采购文件、供应商响应文件、合同约定的每一项商务要求的履约情况进行验收，验收内容要包括所有客观、量化指标。</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响应文件及承诺与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双方如对质量要求和技术指标的约定标准有相互抵触或异议的事项，由采购人在采购文件和供应商响应文件中按质量要求和技术指标比较优胜的原则确定该项的约定标准进行验收。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什邡市中医医院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四川丰瑞招标代理有限公司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四川丰瑞招标代理有限公司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联系人：陆女士</w:t>
      </w:r>
    </w:p>
    <w:p>
      <w:pPr>
        <w:pStyle w:val="null3"/>
        <w:jc w:val="left"/>
      </w:pPr>
      <w:r>
        <w:rPr>
          <w:rFonts w:ascii="仿宋_GB2312" w:hAnsi="仿宋_GB2312" w:cs="仿宋_GB2312" w:eastAsia="仿宋_GB2312"/>
        </w:rPr>
        <w:t>联系电话：0838-5963392</w:t>
      </w:r>
    </w:p>
    <w:p>
      <w:pPr>
        <w:pStyle w:val="null3"/>
        <w:jc w:val="left"/>
      </w:pPr>
      <w:r>
        <w:rPr>
          <w:rFonts w:ascii="仿宋_GB2312" w:hAnsi="仿宋_GB2312" w:cs="仿宋_GB2312" w:eastAsia="仿宋_GB2312"/>
        </w:rPr>
        <w:t>地址：四川省什邡市西顺城街207号</w:t>
      </w:r>
    </w:p>
    <w:p>
      <w:pPr>
        <w:pStyle w:val="null3"/>
        <w:jc w:val="left"/>
      </w:pPr>
      <w:r>
        <w:rPr>
          <w:rFonts w:ascii="仿宋_GB2312" w:hAnsi="仿宋_GB2312" w:cs="仿宋_GB2312" w:eastAsia="仿宋_GB2312"/>
        </w:rPr>
        <w:t>邮编：618400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 肖女士</w:t>
      </w:r>
    </w:p>
    <w:p>
      <w:pPr>
        <w:pStyle w:val="null3"/>
        <w:jc w:val="left"/>
      </w:pPr>
      <w:r>
        <w:rPr>
          <w:rFonts w:ascii="仿宋_GB2312" w:hAnsi="仿宋_GB2312" w:cs="仿宋_GB2312" w:eastAsia="仿宋_GB2312"/>
        </w:rPr>
        <w:t>联系电话：0838-2225688、2533699</w:t>
      </w:r>
    </w:p>
    <w:p>
      <w:pPr>
        <w:pStyle w:val="null3"/>
        <w:jc w:val="left"/>
      </w:pPr>
      <w:r>
        <w:rPr>
          <w:rFonts w:ascii="仿宋_GB2312" w:hAnsi="仿宋_GB2312" w:cs="仿宋_GB2312" w:eastAsia="仿宋_GB2312"/>
        </w:rPr>
        <w:t>地址：四川省德阳市长江东路211号1栋F7-1号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C18040199 其他商业保险服务</w:t>
            </w:r>
          </w:p>
        </w:tc>
        <w:tc>
          <w:tcPr>
            <w:tcW w:type="dxa" w:w="821"/>
          </w:tcPr>
          <w:p>
            <w:pPr>
              <w:pStyle w:val="null3"/>
              <w:jc w:val="left"/>
            </w:pPr>
            <w:r>
              <w:rPr>
                <w:rFonts w:ascii="仿宋_GB2312" w:hAnsi="仿宋_GB2312" w:cs="仿宋_GB2312" w:eastAsia="仿宋_GB2312"/>
              </w:rPr>
              <w:t>医疗责任保险服务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医疗责任保险服务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本次报价为1年服务费，报价包括服务全过程和采购文件规定的其它全部费用，采购人不再另行支付任何费用。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标的名称：医疗责任保险服务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医疗责任保险服务</w:t>
            </w:r>
          </w:p>
        </w:tc>
        <w:tc>
          <w:tcPr>
            <w:tcW w:type="dxa" w:w="5814"/>
          </w:tcPr>
          <w:p>
            <w:pPr>
              <w:pStyle w:val="null3"/>
              <w:ind w:firstLine="420"/>
              <w:jc w:val="both"/>
            </w:pPr>
            <w:r>
              <w:rPr>
                <w:rFonts w:ascii="仿宋_GB2312" w:hAnsi="仿宋_GB2312" w:cs="仿宋_GB2312" w:eastAsia="仿宋_GB2312"/>
                <w:sz w:val="24"/>
                <w:shd w:fill="FFFFFF" w:val="clear"/>
              </w:rPr>
              <w:t>一、服务要求</w:t>
            </w:r>
          </w:p>
          <w:p>
            <w:pPr>
              <w:pStyle w:val="null3"/>
              <w:ind w:firstLine="42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、采购单位：什邡市中医医院。</w:t>
            </w:r>
          </w:p>
          <w:p>
            <w:pPr>
              <w:pStyle w:val="null3"/>
              <w:ind w:firstLine="420"/>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、医院基本情况：</w:t>
            </w:r>
          </w:p>
          <w:p>
            <w:pPr>
              <w:pStyle w:val="null3"/>
              <w:ind w:firstLine="420"/>
              <w:jc w:val="both"/>
            </w:pPr>
            <w:r>
              <w:rPr>
                <w:rFonts w:ascii="仿宋_GB2312" w:hAnsi="仿宋_GB2312" w:cs="仿宋_GB2312" w:eastAsia="仿宋_GB2312"/>
                <w:sz w:val="24"/>
                <w:shd w:fill="FFFFFF" w:val="clear"/>
              </w:rPr>
              <w:t>医疗类别：三级乙等医疗机构。</w:t>
            </w:r>
          </w:p>
          <w:p>
            <w:pPr>
              <w:pStyle w:val="null3"/>
              <w:ind w:firstLine="420"/>
              <w:jc w:val="both"/>
            </w:pPr>
            <w:r>
              <w:rPr>
                <w:rFonts w:ascii="仿宋_GB2312" w:hAnsi="仿宋_GB2312" w:cs="仿宋_GB2312" w:eastAsia="仿宋_GB2312"/>
                <w:sz w:val="24"/>
                <w:shd w:fill="FFFFFF" w:val="clear"/>
              </w:rPr>
              <w:t>医疗机构床位数：310张、牙椅7张。</w:t>
            </w:r>
          </w:p>
          <w:p>
            <w:pPr>
              <w:pStyle w:val="null3"/>
              <w:ind w:firstLine="420"/>
              <w:jc w:val="both"/>
            </w:pPr>
            <w:r>
              <w:rPr>
                <w:rFonts w:ascii="仿宋_GB2312" w:hAnsi="仿宋_GB2312" w:cs="仿宋_GB2312" w:eastAsia="仿宋_GB2312"/>
                <w:sz w:val="24"/>
                <w:shd w:fill="FFFFFF" w:val="clear"/>
              </w:rPr>
              <w:t>医疗机构投保医务人员数：约340人（实际投保人数以采购人确认的参保人员名单为准）。</w:t>
            </w:r>
          </w:p>
          <w:p>
            <w:pPr>
              <w:pStyle w:val="null3"/>
              <w:ind w:firstLine="420"/>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、投保险种：医疗责任保险。</w:t>
            </w:r>
          </w:p>
          <w:p>
            <w:pPr>
              <w:pStyle w:val="null3"/>
              <w:ind w:firstLine="420"/>
              <w:jc w:val="both"/>
            </w:pPr>
            <w:r>
              <w:rPr>
                <w:rFonts w:ascii="仿宋_GB2312" w:hAnsi="仿宋_GB2312" w:cs="仿宋_GB2312" w:eastAsia="仿宋_GB2312"/>
                <w:sz w:val="24"/>
                <w:shd w:fill="FFFFFF" w:val="clear"/>
              </w:rPr>
              <w:t>★4、保险责任范围：</w:t>
            </w:r>
          </w:p>
          <w:p>
            <w:pPr>
              <w:pStyle w:val="null3"/>
              <w:ind w:firstLine="420"/>
              <w:jc w:val="both"/>
            </w:pPr>
            <w:r>
              <w:rPr>
                <w:rFonts w:ascii="仿宋_GB2312" w:hAnsi="仿宋_GB2312" w:cs="仿宋_GB2312" w:eastAsia="仿宋_GB2312"/>
                <w:sz w:val="24"/>
                <w:shd w:fill="FFFFFF" w:val="clear"/>
              </w:rPr>
              <w:t>（1）我院医务人员或外请医务人员在诊疗活动中，因执业过失造成患者人身损害首次向我院提出赔偿申请，依法应由我院承担的民事赔偿责任。</w:t>
            </w:r>
          </w:p>
          <w:p>
            <w:pPr>
              <w:pStyle w:val="null3"/>
              <w:ind w:firstLine="420"/>
              <w:jc w:val="both"/>
            </w:pPr>
            <w:r>
              <w:rPr>
                <w:rFonts w:ascii="仿宋_GB2312" w:hAnsi="仿宋_GB2312" w:cs="仿宋_GB2312" w:eastAsia="仿宋_GB2312"/>
                <w:sz w:val="24"/>
                <w:shd w:fill="FFFFFF" w:val="clear"/>
              </w:rPr>
              <w:t>（2）保险责任事故发生后，事先经承保公司书面同意的法律费用，包括查勘费、取证费、仲裁或诉讼费、案件受理费、律师费等。</w:t>
            </w:r>
          </w:p>
          <w:p>
            <w:pPr>
              <w:pStyle w:val="null3"/>
              <w:ind w:firstLine="420"/>
              <w:jc w:val="both"/>
            </w:pPr>
            <w:r>
              <w:rPr>
                <w:rFonts w:ascii="仿宋_GB2312" w:hAnsi="仿宋_GB2312" w:cs="仿宋_GB2312" w:eastAsia="仿宋_GB2312"/>
                <w:sz w:val="24"/>
                <w:shd w:fill="FFFFFF" w:val="clear"/>
              </w:rPr>
              <w:t>（3）保险赔偿限额：医疗责任保险累计责任限额：400万元，每次事故每人责任限额：49万元（其中每人精神损害责任限额14.7万元）；法律费用责任累计限额：40万元（每次事故限额4.6万元）。</w:t>
            </w:r>
          </w:p>
          <w:p>
            <w:pPr>
              <w:pStyle w:val="null3"/>
              <w:ind w:firstLine="420"/>
              <w:jc w:val="both"/>
            </w:pPr>
            <w:r>
              <w:rPr>
                <w:rFonts w:ascii="仿宋_GB2312" w:hAnsi="仿宋_GB2312" w:cs="仿宋_GB2312" w:eastAsia="仿宋_GB2312"/>
                <w:sz w:val="24"/>
                <w:shd w:fill="FFFFFF" w:val="clear"/>
              </w:rPr>
              <w:t>（4）附加外请医务人员医疗责任限额：累计责任限额100万元，每人责任限额49万元。</w:t>
            </w:r>
          </w:p>
          <w:p>
            <w:pPr>
              <w:pStyle w:val="null3"/>
              <w:ind w:firstLine="420"/>
              <w:jc w:val="both"/>
            </w:pPr>
            <w:r>
              <w:rPr>
                <w:rFonts w:ascii="仿宋_GB2312" w:hAnsi="仿宋_GB2312" w:cs="仿宋_GB2312" w:eastAsia="仿宋_GB2312"/>
                <w:sz w:val="24"/>
                <w:shd w:fill="FFFFFF" w:val="clear"/>
              </w:rPr>
              <w:t>（5）免赔额（率）：每次事故每人免赔额2000元或核定损失金额的5%，两者以高者为准。</w:t>
            </w:r>
          </w:p>
          <w:p>
            <w:pPr>
              <w:pStyle w:val="null3"/>
              <w:ind w:firstLine="420"/>
              <w:jc w:val="both"/>
            </w:pPr>
            <w:r>
              <w:rPr>
                <w:rFonts w:ascii="仿宋_GB2312" w:hAnsi="仿宋_GB2312" w:cs="仿宋_GB2312" w:eastAsia="仿宋_GB2312"/>
                <w:sz w:val="24"/>
                <w:shd w:fill="FFFFFF" w:val="clear"/>
              </w:rPr>
              <w:t>（6）生效时间：2026年7月5日-2029年7月4日，为期3年医疗责任保险服务。</w:t>
            </w:r>
          </w:p>
          <w:p>
            <w:pPr>
              <w:pStyle w:val="null3"/>
              <w:ind w:firstLine="420"/>
              <w:jc w:val="both"/>
            </w:pPr>
            <w:r>
              <w:rPr>
                <w:rFonts w:ascii="仿宋_GB2312" w:hAnsi="仿宋_GB2312" w:cs="仿宋_GB2312" w:eastAsia="仿宋_GB2312"/>
                <w:sz w:val="24"/>
                <w:shd w:fill="FFFFFF" w:val="clear"/>
              </w:rPr>
              <w:t>二、其他服务需求</w:t>
            </w:r>
          </w:p>
          <w:p>
            <w:pPr>
              <w:pStyle w:val="null3"/>
              <w:ind w:firstLine="420"/>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 xml:space="preserve">服务团队。供应商应成立专门的服务团队，配备至少3人以上，其中医学、法律、财会等专业背景的专职服务人员队伍，人员结构合理，满足采购人日常工作需要，负责做好与采购人及其参与人的沟通协调、咨询、费用支付、投诉等服务。 </w:t>
            </w:r>
          </w:p>
          <w:p>
            <w:pPr>
              <w:pStyle w:val="null3"/>
              <w:ind w:firstLine="420"/>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理赔服务。供应商须成立理赔服务团队，由专人负责被保险人的理赔事宜（上门收取资料、咨询等），以便更好地保证服务质量和时效。</w:t>
            </w:r>
          </w:p>
          <w:p>
            <w:pPr>
              <w:pStyle w:val="null3"/>
              <w:ind w:firstLine="420"/>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理赔时效。被保险人发生保险事故后，向供应商报案后，供应商须在收到符合理赔规定且齐全的理赔单证后10个工作日内作出理赔结论。</w:t>
            </w:r>
          </w:p>
          <w:p>
            <w:pPr>
              <w:pStyle w:val="null3"/>
              <w:ind w:firstLine="420"/>
              <w:jc w:val="both"/>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理赔通知。供应商须在理赔结束划款后2个工作日内通过短信、电话或书面等形式告知被保险人理赔情况。</w:t>
            </w:r>
          </w:p>
          <w:p>
            <w:pPr>
              <w:pStyle w:val="null3"/>
              <w:ind w:firstLine="420"/>
              <w:jc w:val="both"/>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差错赔付。供应商应协调好内部各部门，特别是业务经办部门与客户服务部门的关系，不得相互推诿、丢失理赔资料。如出现上述问题，供应商须按被保险人索赔申请金额进行全额赔偿，被保险人不再提供理赔相关资料。</w:t>
            </w:r>
          </w:p>
          <w:p>
            <w:pPr>
              <w:pStyle w:val="null3"/>
              <w:ind w:firstLine="420"/>
              <w:jc w:val="both"/>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成交供应商收到成交通知后须10日内完成参保手续。</w:t>
            </w:r>
          </w:p>
          <w:p>
            <w:pPr>
              <w:pStyle w:val="null3"/>
              <w:ind w:firstLine="420"/>
              <w:jc w:val="both"/>
            </w:pPr>
            <w:r>
              <w:rPr>
                <w:rFonts w:ascii="仿宋_GB2312" w:hAnsi="仿宋_GB2312" w:cs="仿宋_GB2312" w:eastAsia="仿宋_GB2312"/>
                <w:sz w:val="24"/>
                <w:shd w:fill="FFFFFF" w:val="clear"/>
              </w:rPr>
              <w:t>三、后续服务：</w:t>
            </w:r>
          </w:p>
          <w:p>
            <w:pPr>
              <w:pStyle w:val="null3"/>
              <w:ind w:firstLine="420"/>
              <w:jc w:val="both"/>
            </w:pPr>
            <w:r>
              <w:rPr>
                <w:rFonts w:ascii="仿宋_GB2312" w:hAnsi="仿宋_GB2312" w:cs="仿宋_GB2312" w:eastAsia="仿宋_GB2312"/>
                <w:sz w:val="24"/>
                <w:shd w:fill="FFFFFF" w:val="clear"/>
              </w:rPr>
              <w:t>供应商网点辐射面；上下保险机构是否联网及级次；服务网点数量；配备具有医学、法律、财会等专业背景的专职服务人员队伍；直接从事保险服务人员人数。</w:t>
            </w:r>
          </w:p>
          <w:p>
            <w:pPr>
              <w:pStyle w:val="null3"/>
              <w:ind w:firstLine="420"/>
              <w:jc w:val="both"/>
            </w:pPr>
            <w:r>
              <w:rPr>
                <w:rFonts w:ascii="仿宋_GB2312" w:hAnsi="仿宋_GB2312" w:cs="仿宋_GB2312" w:eastAsia="仿宋_GB2312"/>
                <w:sz w:val="24"/>
                <w:shd w:fill="FFFFFF" w:val="clear"/>
              </w:rPr>
              <w:t>四、其它要求：</w:t>
            </w:r>
          </w:p>
          <w:p>
            <w:pPr>
              <w:pStyle w:val="null3"/>
              <w:ind w:firstLine="420"/>
              <w:jc w:val="both"/>
            </w:pPr>
            <w:r>
              <w:rPr>
                <w:rFonts w:ascii="仿宋_GB2312" w:hAnsi="仿宋_GB2312" w:cs="仿宋_GB2312" w:eastAsia="仿宋_GB2312"/>
                <w:sz w:val="24"/>
                <w:shd w:fill="FFFFFF" w:val="clear"/>
              </w:rPr>
              <w:t>★1.成交供应商在办理承保、理赔及查勘过程中发生的人身及设备事故由成交供应商自行负责。</w:t>
            </w:r>
          </w:p>
          <w:p>
            <w:pPr>
              <w:pStyle w:val="null3"/>
              <w:ind w:firstLine="420"/>
              <w:jc w:val="both"/>
            </w:pPr>
            <w:r>
              <w:rPr>
                <w:rFonts w:ascii="仿宋_GB2312" w:hAnsi="仿宋_GB2312" w:cs="仿宋_GB2312" w:eastAsia="仿宋_GB2312"/>
                <w:sz w:val="24"/>
                <w:shd w:fill="FFFFFF" w:val="clear"/>
              </w:rPr>
              <w:t>★2.成交供应商应当妥善保管采购人提供的参保人员资料，保守各项秘密，不得外泄，不得私自利用采购人提供的信息为自己谋利或提供给第三方。</w:t>
            </w:r>
          </w:p>
          <w:p>
            <w:pPr>
              <w:pStyle w:val="null3"/>
              <w:ind w:firstLine="420"/>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本次报价为1年服务费，报价应是最终用户验收合格后的报价，包括服务全过程和采购文件规定的其它全部费用。</w:t>
            </w:r>
          </w:p>
          <w:p>
            <w:pPr>
              <w:pStyle w:val="null3"/>
              <w:ind w:firstLine="420"/>
              <w:jc w:val="both"/>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本采购项目执行“一采三年，合同一年一签”，每年期满后，采购人根据相关政策以及成交供应商服务质量与成交供应商续签下一年合同，但成交单价（金额）不予调整。一年合同期满但采购人未获得预算批复或需求取消，则经采购人提前书面告知成交供应商后，合同到期终止，不再顺延。</w:t>
            </w:r>
          </w:p>
          <w:p>
            <w:pPr>
              <w:pStyle w:val="null3"/>
              <w:ind w:firstLine="420"/>
              <w:jc w:val="both"/>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成交供应商收到保险费即刻出具保险单并提供相关票据。</w:t>
            </w:r>
          </w:p>
          <w:p>
            <w:pPr>
              <w:pStyle w:val="null3"/>
              <w:jc w:val="left"/>
            </w:pPr>
            <w:r>
              <w:rPr>
                <w:rFonts w:ascii="仿宋_GB2312" w:hAnsi="仿宋_GB2312" w:cs="仿宋_GB2312" w:eastAsia="仿宋_GB2312"/>
                <w:sz w:val="24"/>
              </w:rPr>
              <w:t>注：以上标注★号的要求为实质性要求，供应商须提供单独承诺函予以响应；未按要求承诺或不满足实质性要求的，将作无效响应处理。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4"/>
              </w:rPr>
              <w:t>供应商提供自2023年1月1日（含）至递交响应文件截止日的类似项目业绩。类似业绩类型：医疗类责任险（业绩认定仅限供应商自身业绩。若供应商为总公司，则只承认其总公司业绩；若供应商为分支机构，则供应商的总公司或上级机构或平级机构或下属分支公司的业绩均不予认定。） 注：提供中标（成交）通知书或保险合同（协议）复印件或保单抄件复印件加盖供应商公章。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综合偿付能力充足率</w:t>
            </w:r>
          </w:p>
        </w:tc>
        <w:tc>
          <w:tcPr>
            <w:tcW w:type="dxa" w:w="5814"/>
          </w:tcPr>
          <w:p>
            <w:pPr>
              <w:pStyle w:val="null3"/>
              <w:jc w:val="left"/>
            </w:pPr>
            <w:r>
              <w:rPr>
                <w:rFonts w:ascii="仿宋_GB2312" w:hAnsi="仿宋_GB2312" w:cs="仿宋_GB2312" w:eastAsia="仿宋_GB2312"/>
                <w:sz w:val="24"/>
              </w:rPr>
              <w:t>提供供应商2023年度或2024年度“中国保险行业协会”网站下载的综合偿付能力报告复印件，并加盖供应商公章，未提供或未盖章不得分。（提供复印件加盖供应商公章）</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sz w:val="24"/>
              </w:rPr>
              <w:t>供应商针对本项目提供的服务方案包括：</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投保、咨询服务流程；</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详细的理赔条款；</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服务团队；</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服务响应时间承诺；</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后续服务；</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理赔时效。</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承保服务</w:t>
            </w:r>
          </w:p>
        </w:tc>
        <w:tc>
          <w:tcPr>
            <w:tcW w:type="dxa" w:w="5814"/>
          </w:tcPr>
          <w:p>
            <w:pPr>
              <w:pStyle w:val="null3"/>
              <w:jc w:val="left"/>
            </w:pPr>
            <w:r>
              <w:rPr>
                <w:rFonts w:ascii="仿宋_GB2312" w:hAnsi="仿宋_GB2312" w:cs="仿宋_GB2312" w:eastAsia="仿宋_GB2312"/>
                <w:sz w:val="24"/>
              </w:rPr>
              <w:t>供应商针对本项目提供的</w:t>
            </w:r>
            <w:r>
              <w:rPr>
                <w:rFonts w:ascii="仿宋_GB2312" w:hAnsi="仿宋_GB2312" w:cs="仿宋_GB2312" w:eastAsia="仿宋_GB2312"/>
                <w:sz w:val="24"/>
              </w:rPr>
              <w:t>承保服务方案</w:t>
            </w:r>
            <w:r>
              <w:rPr>
                <w:rFonts w:ascii="仿宋_GB2312" w:hAnsi="仿宋_GB2312" w:cs="仿宋_GB2312" w:eastAsia="仿宋_GB2312"/>
                <w:sz w:val="24"/>
              </w:rPr>
              <w:t>包括：</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承保方案保障措施；</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承保方案实施步骤</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理赔服务</w:t>
            </w:r>
          </w:p>
        </w:tc>
        <w:tc>
          <w:tcPr>
            <w:tcW w:type="dxa" w:w="5814"/>
          </w:tcPr>
          <w:p>
            <w:pPr>
              <w:pStyle w:val="null3"/>
              <w:jc w:val="left"/>
            </w:pPr>
            <w:r>
              <w:rPr>
                <w:rFonts w:ascii="仿宋_GB2312" w:hAnsi="仿宋_GB2312" w:cs="仿宋_GB2312" w:eastAsia="仿宋_GB2312"/>
                <w:sz w:val="24"/>
              </w:rPr>
              <w:t>供应商针对本项目提供的理赔服务</w:t>
            </w:r>
            <w:r>
              <w:rPr>
                <w:rFonts w:ascii="仿宋_GB2312" w:hAnsi="仿宋_GB2312" w:cs="仿宋_GB2312" w:eastAsia="仿宋_GB2312"/>
                <w:sz w:val="24"/>
              </w:rPr>
              <w:t>方案</w:t>
            </w:r>
            <w:r>
              <w:rPr>
                <w:rFonts w:ascii="仿宋_GB2312" w:hAnsi="仿宋_GB2312" w:cs="仿宋_GB2312" w:eastAsia="仿宋_GB2312"/>
                <w:sz w:val="24"/>
              </w:rPr>
              <w:t>包括：</w:t>
            </w:r>
            <w:r>
              <w:rPr>
                <w:rFonts w:ascii="仿宋_GB2312" w:hAnsi="仿宋_GB2312" w:cs="仿宋_GB2312" w:eastAsia="仿宋_GB2312"/>
                <w:sz w:val="24"/>
              </w:rPr>
              <w:t>1</w:t>
            </w:r>
            <w:r>
              <w:rPr>
                <w:rFonts w:ascii="仿宋_GB2312" w:hAnsi="仿宋_GB2312" w:cs="仿宋_GB2312" w:eastAsia="仿宋_GB2312"/>
                <w:sz w:val="24"/>
              </w:rPr>
              <w:t>、服务响应时间承诺；2、服务措施；3、应急预案；4、售后延续性服务；5、理赔时间进度表；6、理赔措施及流程图；7、理赔条款；8、培训方案；9、理赔查询服务；10、统计分析报告服务</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一采三年，合同一年一签，总服务期 3 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什邡市中医医院内。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1、成交供应商与采购人签订所涉及服务年份合同之日起，达到付款条件起30日内，据实结算说明为支付当年100%保费（根据投保医务人员数量据实结算）</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 质量瑕疵的违约责任 乙方提供的保险服务不符合合同约定的服务要求，甲方有权要求乙方采取更正保单、足额理赔、完善服务等补救措施，或减少价款、退还费用，并承担由此给甲方造成的损失。具体要求为：乙方应在收到甲方通知后 24 小时内响应，3 个工作日内完成整改；造成甲方或被保险人损失的，由乙方全额赔偿。 2. 迟延履行的违约责任 2.1乙方应按照本合同规定的时间办理承保、出单、理赔及服务交付。在履行合同过程中，如果乙方遇到可能影响按时提供服务的情形时，应及时以书面形式将迟延的事实、可能迟延的期限和理由通知甲方。甲方在收到乙方通知后，应尽快对情况进行评价，并确定是否同意延期提供服务。 2.2如果乙方没有按照合同规定的时间出单、理赔或提供相关服务，甲方有权从服务款中扣除误期赔偿费而不影响合同项下的其他补救方法，赔偿费的计算方法为：每逾期一日，按逾期对应服务金额的0.1%支付违约金，累计不超过合同总价的5%。如果涉及公共利益，且赔偿金额无法弥补公共利益损失，甲方可要求继续履行或者采取其他补救措施。 2.3 迟延支付的违约责任 甲方存在迟延支付乙方合同款项的，应当支付逾期付款利息，计算方法为：按逾期金额×全国银行间同业拆借中心公布的贷款市场报价利率（LPR）计算逾期利息。 3. 违法分包、转包的违约责任 乙方将项目转包、违法分包的，甲方可以解除合同，并要求乙方承担如下违约责任：乙方支付合同总价5%的违约金，退还已收款项，赔偿甲方全部损失，并由乙方承担全部法律责任。 二、争议解决办法：合同履行期间,若双方发生争议，可协商或由有关部门调解解决，协商或调解不成的，由当事人向采购人项目所在地人民法院提起诉讼。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温馨提示：一、供应商需要提供“评审方法、细则及标准”要求的评分项的相关资料，以便评分。二、为避免因采购人/代理机构未及时收到质疑函，质疑供应商可在寄出质疑函前联系采购人/代理机构，确定收件单位的地址收件人和收件人联系方式，并提供邮寄件的单号和有效查询方式。三、本项目若涉及到的标准、规范、规程不是最新实施的或年代号错误的，以最新施行的版本为准。若有已废止的，则不作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第三章“技术、服务及其他要求”中“3.2.技术要求”，“3.3.服务要求”均可变动。</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第七章“拟签订采购合同文本”均可变动。</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 供应商需在项目电子化交易系统中按要求填写《投标（响应）函》完成承诺并进行电子签章。 2.（1）供应商若为企业法人或个体工商户：提供“统一社会信用代码营业执照”；（2）若为事业法人：提供“统一社会信用代码法人登记证书”；（3）若为其他组织：提供“对应主管部门颁发的准许执业证明文件或营业执照”；（4）若为自然人：提供“身份证明材料”；供应商需在项目电子化交易系统中按要求上传相应证明文件并进行电子签章。（5）供应商属于银行、保险、石油石化、电力、电信等有行业特殊情况的，提供企业分支机构营业执照或统一社会信用代码的营业执照（扫描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2.供应商根据自身情况选择提供其中任意一项： （1）可提供2024或2025年度经审计的财务报告（包含审计报告和审计报告中所涉及的财务报表和报表附注）。 （2）可提供2024或2025年度未经审计的财务报告（包括资产负债表、利润表、现金流量表）。 （3）可提供截至投标/响应文件提交截止日一年内银行出具的资信证明。 （4）供应商注册时间截至提交投标/响应文件截止之日前不足一年的，也可提供在相关主管部门备案的公司章程等证明材料。 供应商需在使用投标（响应）客户端编制投标/响应文件时，按要求上传相应证明材料并进行电子签章。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根据采购项目提出的特殊条件</w:t>
            </w:r>
          </w:p>
        </w:tc>
        <w:tc>
          <w:tcPr>
            <w:tcW w:type="dxa" w:w="3322"/>
          </w:tcPr>
          <w:p>
            <w:pPr>
              <w:pStyle w:val="null3"/>
              <w:jc w:val="left"/>
            </w:pPr>
            <w:r>
              <w:rPr>
                <w:rFonts w:ascii="仿宋_GB2312" w:hAnsi="仿宋_GB2312" w:cs="仿宋_GB2312" w:eastAsia="仿宋_GB2312"/>
              </w:rPr>
              <w:t>①具有有效的《中华人民共和国保险许可证》提供复印件/扫描件并进行电子签章； ②允许分公司或分支机构参与竞争。（非独立法人分支机构参加需提供具有独立法人资格的总公司针对本项目的授权书或经总公司出具愿为其参与本项目投标以及履约行为承担民事责任的承诺函，并提供分支机构“统一社会信用代码营业执照副本”）</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1.第三章技术、服务及其他要求中带“★”的实质性要求。 2.不属于响应无效的供应商。</w:t>
            </w:r>
          </w:p>
        </w:tc>
        <w:tc>
          <w:tcPr>
            <w:tcW w:type="dxa" w:w="3322"/>
          </w:tcPr>
          <w:p>
            <w:pPr>
              <w:pStyle w:val="null3"/>
              <w:jc w:val="left"/>
            </w:pPr>
            <w:r>
              <w:rPr>
                <w:rFonts w:ascii="仿宋_GB2312" w:hAnsi="仿宋_GB2312" w:cs="仿宋_GB2312" w:eastAsia="仿宋_GB2312"/>
              </w:rPr>
              <w:t>1. 供应商须针对采购文件要求作响应（凡采购文件要求提供的证明材料，均应在响应文件中一并提交）。 2.根据采购文件的要求不属于响应无效的供应商。</w:t>
            </w:r>
          </w:p>
        </w:tc>
        <w:tc>
          <w:tcPr>
            <w:tcW w:type="dxa" w:w="1661"/>
          </w:tcPr>
          <w:p>
            <w:pPr>
              <w:pStyle w:val="null3"/>
              <w:jc w:val="left"/>
            </w:pPr>
            <w:r>
              <w:rPr>
                <w:rFonts w:ascii="仿宋_GB2312" w:hAnsi="仿宋_GB2312" w:cs="仿宋_GB2312" w:eastAsia="仿宋_GB2312"/>
              </w:rPr>
              <w:t>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综合偿付能力充足率</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2023年1月1日（含）至递交响应文件截止日的类似项目业绩，有1个得1分，最多得10分。类似业绩类型：医疗类责任险（业绩认定仅限供应商自身业绩。若供应商为总公司，则只承认其总公司业绩；若供应商为分支机构，则供应商的总公司或上级机构或平级机构或下属分支公司的业绩均不予认定。） 注：提供中标（成交）通知书或保险合同（协议）复印件或保单抄件复印件加盖供应商公章。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综合偿付能力充足率</w:t>
            </w:r>
          </w:p>
        </w:tc>
        <w:tc>
          <w:tcPr>
            <w:tcW w:type="dxa" w:w="2575"/>
          </w:tcPr>
          <w:p>
            <w:pPr>
              <w:pStyle w:val="null3"/>
              <w:jc w:val="left"/>
            </w:pPr>
            <w:r>
              <w:rPr>
                <w:rFonts w:ascii="仿宋_GB2312" w:hAnsi="仿宋_GB2312" w:cs="仿宋_GB2312" w:eastAsia="仿宋_GB2312"/>
              </w:rPr>
              <w:t>综合偿付能力充足率：1、综合偿付能力充足率高于230%(含230%)，得16分； 2、综合偿付能力充足率在210%（含210%）到230%（不含）之间，得12分； 3、综合偿付能力充足率在190%（含190%）到210%（不含）之间，得8分； 4、综合偿付能力充足率在170%（含170%）到190%（不含）之间，得4分； 5、综合偿付能力充足率在150%（含150%）到170%（不含）之间，得2分；6、综合偿付能力充足率在150%（不含）以下的，得0分。 注：提供供应商2023年度或2024年度“中国保险行业协会”网站下载的综合偿付能力报告复印件，并加盖供应商公章，未提供或未盖章不得分。（提供复印件加盖供应商公章）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进行评审，方案包括：1、投保、咨询服务流程；2、详细的理赔条款；3、服务团队；4、服务响应时间承诺；5、后续服务；6、理赔时效。以上6项内容完全符合项目实际需求及项目情况的得 24分；每缺少一项内容或不满足需求扣 4分，其中每有一处内容有缺陷的扣2分，扣完为止。 说明：完全符合项目实际需求及项目情况是指：方案包含上述内容的文字、图片、表格或其他形式呈现方案内容，方案内容符合行业政策、满足本项目要求；内容存在缺陷是指：①方案内容生搬硬造、非专门针对本项目或内容脱离项目实际情况、套用其他项目方案、内容前后矛盾、涉及的规范及标准错误、项目名称错误、实施地点错误，②内容仅有框架、标题但未对本项目进行阐述的情形中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承保服务</w:t>
            </w:r>
          </w:p>
        </w:tc>
        <w:tc>
          <w:tcPr>
            <w:tcW w:type="dxa" w:w="2575"/>
          </w:tcPr>
          <w:p>
            <w:pPr>
              <w:pStyle w:val="null3"/>
              <w:jc w:val="left"/>
            </w:pPr>
            <w:r>
              <w:rPr>
                <w:rFonts w:ascii="仿宋_GB2312" w:hAnsi="仿宋_GB2312" w:cs="仿宋_GB2312" w:eastAsia="仿宋_GB2312"/>
              </w:rPr>
              <w:t>供应商针对本项目提供的承保服务方案，包括：1、承保方案保障措施；2、承保方案实施步骤。涵盖以上2项内容且不存在缺陷得10分，在以上2项内容的基础上，每缺少一项内容扣5分，每有一处内容存在缺陷扣2.5分，扣完为止。说明：完全符合项目实际需求及项目情况是指：方案包含上述内容的文字、图片、表格或其他形式呈现方案内容，方案内容符合行业政策、满足本项目要求；内容存在缺陷是指：①方案内容生搬硬造、非专门针对本项目或内容脱离项目实际情况、套用其他项目方案、内容前后矛盾、涉及的规范及标准错误、项目名称错误、实施地点错误，②内容仅有框架、标题但未对本项目进行阐述的情形中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理赔服务</w:t>
            </w:r>
          </w:p>
        </w:tc>
        <w:tc>
          <w:tcPr>
            <w:tcW w:type="dxa" w:w="2575"/>
          </w:tcPr>
          <w:p>
            <w:pPr>
              <w:pStyle w:val="null3"/>
              <w:jc w:val="left"/>
            </w:pPr>
            <w:r>
              <w:rPr>
                <w:rFonts w:ascii="仿宋_GB2312" w:hAnsi="仿宋_GB2312" w:cs="仿宋_GB2312" w:eastAsia="仿宋_GB2312"/>
              </w:rPr>
              <w:t>供应商针对本项目提供的理赔服务方案，包括：1、服务响应时间承诺；2、服务措施；3、应急预案；4、售后延续性服务；5、理赔时间进度表；6、理赔措施及流程图；7、理赔条款；8、培训方案；9、理赔查询服务；10、统计分析报告服务。涵盖以上10项内容且不存在缺陷得30分，在以上10项内容的基础上，每缺少一项内容扣3分，每有一处内容存在缺陷扣1.5分，扣完为止。说明：完全符合项目实际需求及项目情况是指：方案包含上述内容的文字、图片、表格或其他形式呈现方案内容，方案内容符合行业政策、满足本项目要求；内容存在缺陷是指：①方案内容生搬硬造、非专门针对本项目或内容脱离项目实际情况、套用其他项目方案、内容前后矛盾、涉及的规范及标准错误、项目名称错误、实施地点错误，②内容仅有框架、标题但未对本项目进行阐述的情形中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1.经磋商小组评审，通过资格和符合性审查，且磋商报价最低的供应商的磋商报价作为评审基准价。 2.磋商报价得分=(评审基准价／磋商报价)×分值。评审价格=响应报价。经价格调整后的评审价格=响应报价×（1-价格调整比例）基准价=经价格调整后评审价格的最低值。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