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版本号：N510704202600002820260430001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中国科技城大数据中心运营服务项目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N5107042026000028</w:t>
      </w:r>
    </w:p>
    <w:p>
      <w:pPr>
        <w:pStyle w:val="null3"/>
        <w:jc w:val="left"/>
        <w:outlineLvl w:val="2"/>
      </w:pPr>
      <w:r>
        <w:rPr>
          <w:rFonts w:ascii="仿宋_GB2312" w:hAnsi="仿宋_GB2312" w:cs="仿宋_GB2312" w:eastAsia="仿宋_GB2312"/>
          <w:sz w:val="28"/>
          <w:b/>
        </w:rPr>
        <w:t>绵阳市游仙区大数据服务中心</w:t>
      </w:r>
    </w:p>
    <w:p>
      <w:pPr>
        <w:pStyle w:val="null3"/>
        <w:jc w:val="center"/>
        <w:outlineLvl w:val="2"/>
      </w:pPr>
      <w:r>
        <w:rPr>
          <w:rFonts w:ascii="仿宋_GB2312" w:hAnsi="仿宋_GB2312" w:cs="仿宋_GB2312" w:eastAsia="仿宋_GB2312"/>
          <w:sz w:val="28"/>
          <w:b/>
        </w:rPr>
        <w:t>四川国锃招标代理有限公司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四川国锃招标代理有限公司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绵阳市游仙区大数据服务中心</w:t>
      </w:r>
      <w:r>
        <w:rPr>
          <w:rFonts w:ascii="仿宋_GB2312" w:hAnsi="仿宋_GB2312" w:cs="仿宋_GB2312" w:eastAsia="仿宋_GB2312"/>
        </w:rPr>
        <w:t xml:space="preserve"> 委托，拟对 </w:t>
      </w:r>
      <w:r>
        <w:rPr>
          <w:rFonts w:ascii="仿宋_GB2312" w:hAnsi="仿宋_GB2312" w:cs="仿宋_GB2312" w:eastAsia="仿宋_GB2312"/>
        </w:rPr>
        <w:t>中国科技城大数据中心运营服务项目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绵阳市游仙区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N5107042026000028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中国科技城大数据中心运营服务项目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为保障数据中心持续稳定运行，为全区信息化系统提供支撑，绵阳市游仙区大数据服务中心启动本次运营服务项目。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jc w:val="left"/>
      </w:pPr>
      <w:r>
        <w:rPr>
          <w:rFonts w:ascii="仿宋_GB2312" w:hAnsi="仿宋_GB2312" w:cs="仿宋_GB2312" w:eastAsia="仿宋_GB2312"/>
        </w:rPr>
        <w:t>采购包2：专门面向中小企业采购。</w:t>
      </w:r>
    </w:p>
    <w:p>
      <w:pPr>
        <w:pStyle w:val="null3"/>
        <w:jc w:val="left"/>
      </w:pPr>
      <w:r>
        <w:rPr>
          <w:rFonts w:ascii="仿宋_GB2312" w:hAnsi="仿宋_GB2312" w:cs="仿宋_GB2312" w:eastAsia="仿宋_GB2312"/>
        </w:rPr>
        <w:t>采购包3：专门面向中小企业采购。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具有公安部第三研究所颁发的有效的《网络安全服务认证证书等级保护测评服务认证》或《网络安全等级测评与检测评估机构服务认证证书》证书。（描述：提供公安部第三研究所颁发的有效的《网络安全服务认证证书等级保护测评服务认证》证书或《网络安全等级测评与检测评估机构服务认证证书》证书扫描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绵阳市游仙区大数据服务中心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四川省绵阳市一环路东段139号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周铭</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13518312542</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四川国锃招标代理有限公司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绵阳市科创园区科技路5号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袁月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18009050628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采购包1：4,852,200.00元</w:t>
            </w:r>
          </w:p>
          <w:p>
            <w:pPr>
              <w:pStyle w:val="null3"/>
              <w:jc w:val="left"/>
            </w:pPr>
            <w:r>
              <w:rPr>
                <w:rFonts w:ascii="仿宋_GB2312" w:hAnsi="仿宋_GB2312" w:cs="仿宋_GB2312" w:eastAsia="仿宋_GB2312"/>
              </w:rPr>
              <w:t>采购包2：100,000.00元</w:t>
            </w:r>
          </w:p>
          <w:p>
            <w:pPr>
              <w:pStyle w:val="null3"/>
              <w:jc w:val="left"/>
            </w:pPr>
            <w:r>
              <w:rPr>
                <w:rFonts w:ascii="仿宋_GB2312" w:hAnsi="仿宋_GB2312" w:cs="仿宋_GB2312" w:eastAsia="仿宋_GB2312"/>
              </w:rPr>
              <w:t>采购包3：75,000.00元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p>
          <w:p>
            <w:pPr>
              <w:pStyle w:val="null3"/>
              <w:jc w:val="left"/>
            </w:pPr>
            <w:r>
              <w:rPr>
                <w:rFonts w:ascii="仿宋_GB2312" w:hAnsi="仿宋_GB2312" w:cs="仿宋_GB2312" w:eastAsia="仿宋_GB2312"/>
              </w:rPr>
              <w:t>采购包3：综合评分法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采购包3：不接受联合体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p>
            <w:pPr>
              <w:pStyle w:val="null3"/>
              <w:jc w:val="left"/>
            </w:pPr>
            <w:r>
              <w:rPr>
                <w:rFonts w:ascii="仿宋_GB2312" w:hAnsi="仿宋_GB2312" w:cs="仿宋_GB2312" w:eastAsia="仿宋_GB2312"/>
              </w:rPr>
              <w:t>采购包2：不收取</w:t>
            </w:r>
          </w:p>
          <w:p>
            <w:pPr>
              <w:pStyle w:val="null3"/>
              <w:jc w:val="left"/>
            </w:pPr>
            <w:r>
              <w:rPr>
                <w:rFonts w:ascii="仿宋_GB2312" w:hAnsi="仿宋_GB2312" w:cs="仿宋_GB2312" w:eastAsia="仿宋_GB2312"/>
              </w:rPr>
              <w:t>采购包3：不收取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 代理服务费参照原国家计委价格(2002)1980号文件相关收费标准下浮20%*3年（单个项目（包件）不足5000元，按5000元）计取，由中标人在领取中标通知书前一次性向乙方付清。</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pPr>
            <w:r>
              <w:rPr>
                <w:rFonts w:ascii="仿宋_GB2312" w:hAnsi="仿宋_GB2312" w:cs="仿宋_GB2312" w:eastAsia="仿宋_GB2312"/>
              </w:rPr>
              <w:t>采购包3：否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绵阳市游仙区大数据服务中心</w:t>
      </w:r>
      <w:r>
        <w:rPr>
          <w:rFonts w:ascii="仿宋_GB2312" w:hAnsi="仿宋_GB2312" w:cs="仿宋_GB2312" w:eastAsia="仿宋_GB2312"/>
        </w:rPr>
        <w:t xml:space="preserve"> 和 </w:t>
      </w:r>
      <w:r>
        <w:rPr>
          <w:rFonts w:ascii="仿宋_GB2312" w:hAnsi="仿宋_GB2312" w:cs="仿宋_GB2312" w:eastAsia="仿宋_GB2312"/>
        </w:rPr>
        <w:t>四川国锃招标代理有限公司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绵阳市游仙区大数据服务中心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四川国锃招标代理有限公司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jc w:val="left"/>
      </w:pPr>
      <w:r>
        <w:rPr>
          <w:rFonts w:ascii="仿宋_GB2312" w:hAnsi="仿宋_GB2312" w:cs="仿宋_GB2312" w:eastAsia="仿宋_GB2312"/>
        </w:rPr>
        <w:t>采购包2：</w:t>
      </w:r>
      <w:r>
        <w:rPr>
          <w:rFonts w:ascii="仿宋_GB2312" w:hAnsi="仿宋_GB2312" w:cs="仿宋_GB2312" w:eastAsia="仿宋_GB2312"/>
        </w:rPr>
        <w:t>是</w:t>
      </w:r>
    </w:p>
    <w:p>
      <w:pPr>
        <w:pStyle w:val="null3"/>
        <w:jc w:val="left"/>
      </w:pPr>
      <w:r>
        <w:rPr>
          <w:rFonts w:ascii="仿宋_GB2312" w:hAnsi="仿宋_GB2312" w:cs="仿宋_GB2312" w:eastAsia="仿宋_GB2312"/>
        </w:rPr>
        <w:t>采购包3：</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服务期满后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服务期满后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采购包3：</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服务期满后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r>
        <w:rPr>
          <w:rFonts w:ascii="仿宋_GB2312" w:hAnsi="仿宋_GB2312" w:cs="仿宋_GB2312" w:eastAsia="仿宋_GB2312"/>
        </w:rPr>
        <w:t>/</w:t>
      </w:r>
    </w:p>
    <w:p>
      <w:pPr>
        <w:pStyle w:val="null3"/>
        <w:jc w:val="left"/>
      </w:pPr>
      <w:r>
        <w:rPr>
          <w:rFonts w:ascii="仿宋_GB2312" w:hAnsi="仿宋_GB2312" w:cs="仿宋_GB2312" w:eastAsia="仿宋_GB2312"/>
        </w:rPr>
        <w:t>采购包3：</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根据招标文件和投标文件的相关内容逐一进行验收。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根据招标文件和投标文件的相关内容逐一进行验收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根据招标文件和投标文件的相关内容逐一进行验收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根据招标文件和投标文件的相关内容逐一进行验收。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根据招标文件和投标文件的相关内容逐一进行验收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根据招标文件和投标文件的相关内容逐一进行验收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绵阳市财政局关于进一步做好政府采购项目履约验收工作的通知》(绵财采〔2021〕15号)的要求进行验收；政府采购项目履约验收工作由采购人负责。</w:t>
      </w:r>
    </w:p>
    <w:p>
      <w:pPr>
        <w:pStyle w:val="null3"/>
        <w:jc w:val="left"/>
      </w:pPr>
      <w:r>
        <w:rPr>
          <w:rFonts w:ascii="仿宋_GB2312" w:hAnsi="仿宋_GB2312" w:cs="仿宋_GB2312" w:eastAsia="仿宋_GB2312"/>
        </w:rPr>
        <w:t>采购包2：</w:t>
      </w:r>
      <w:r>
        <w:rPr>
          <w:rFonts w:ascii="仿宋_GB2312" w:hAnsi="仿宋_GB2312" w:cs="仿宋_GB2312" w:eastAsia="仿宋_GB2312"/>
        </w:rPr>
        <w:t>严格按照《财政部关于进一步加强政府采购需求和履约验收管理的指导意见》（财库〔2016〕205号）、《绵阳市财政局关于进一步做好政府采购项目履约验收工作的通知》(绵财采〔2021〕15号)的要求进行验收；政府采购项目履约验收工作由采购人负责。</w:t>
      </w:r>
    </w:p>
    <w:p>
      <w:pPr>
        <w:pStyle w:val="null3"/>
        <w:jc w:val="left"/>
      </w:pPr>
      <w:r>
        <w:rPr>
          <w:rFonts w:ascii="仿宋_GB2312" w:hAnsi="仿宋_GB2312" w:cs="仿宋_GB2312" w:eastAsia="仿宋_GB2312"/>
        </w:rPr>
        <w:t>采购包3：</w:t>
      </w:r>
      <w:r>
        <w:rPr>
          <w:rFonts w:ascii="仿宋_GB2312" w:hAnsi="仿宋_GB2312" w:cs="仿宋_GB2312" w:eastAsia="仿宋_GB2312"/>
        </w:rPr>
        <w:t>严格按照《财政部关于进一步加强政府采购需求和履约验收管理的指导意见》（财库〔2016〕205号）、《绵阳市财政局关于进一步做好政府采购项目履约验收工作的通知》(绵财采〔2021〕15号)的要求进行验收；政府采购项目履约验收工作由采购人负责</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r>
        <w:rPr>
          <w:rFonts w:ascii="仿宋_GB2312" w:hAnsi="仿宋_GB2312" w:cs="仿宋_GB2312" w:eastAsia="仿宋_GB2312"/>
        </w:rPr>
        <w:t>/</w:t>
      </w:r>
    </w:p>
    <w:p>
      <w:pPr>
        <w:pStyle w:val="null3"/>
        <w:jc w:val="left"/>
      </w:pPr>
      <w:r>
        <w:rPr>
          <w:rFonts w:ascii="仿宋_GB2312" w:hAnsi="仿宋_GB2312" w:cs="仿宋_GB2312" w:eastAsia="仿宋_GB2312"/>
        </w:rPr>
        <w:t>采购包3：</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绵阳市游仙区大数据服务中心</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四川国锃招标代理有限公司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四川国锃招标代理有限公司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联系人：周铭</w:t>
      </w:r>
    </w:p>
    <w:p>
      <w:pPr>
        <w:pStyle w:val="null3"/>
        <w:jc w:val="left"/>
      </w:pPr>
      <w:r>
        <w:rPr>
          <w:rFonts w:ascii="仿宋_GB2312" w:hAnsi="仿宋_GB2312" w:cs="仿宋_GB2312" w:eastAsia="仿宋_GB2312"/>
        </w:rPr>
        <w:t>联系电话：13518312542</w:t>
      </w:r>
    </w:p>
    <w:p>
      <w:pPr>
        <w:pStyle w:val="null3"/>
        <w:jc w:val="left"/>
      </w:pPr>
      <w:r>
        <w:rPr>
          <w:rFonts w:ascii="仿宋_GB2312" w:hAnsi="仿宋_GB2312" w:cs="仿宋_GB2312" w:eastAsia="仿宋_GB2312"/>
        </w:rPr>
        <w:t>地址：四川省绵阳市一环路东段139号</w:t>
      </w:r>
    </w:p>
    <w:p>
      <w:pPr>
        <w:pStyle w:val="null3"/>
        <w:jc w:val="left"/>
      </w:pPr>
      <w:r>
        <w:rPr>
          <w:rFonts w:ascii="仿宋_GB2312" w:hAnsi="仿宋_GB2312" w:cs="仿宋_GB2312" w:eastAsia="仿宋_GB2312"/>
        </w:rPr>
        <w:t>邮编：621000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联系人：袁月</w:t>
      </w:r>
    </w:p>
    <w:p>
      <w:pPr>
        <w:pStyle w:val="null3"/>
        <w:jc w:val="left"/>
      </w:pPr>
      <w:r>
        <w:rPr>
          <w:rFonts w:ascii="仿宋_GB2312" w:hAnsi="仿宋_GB2312" w:cs="仿宋_GB2312" w:eastAsia="仿宋_GB2312"/>
        </w:rPr>
        <w:t>联系电话：18009050628</w:t>
      </w:r>
    </w:p>
    <w:p>
      <w:pPr>
        <w:pStyle w:val="null3"/>
        <w:jc w:val="left"/>
      </w:pPr>
      <w:r>
        <w:rPr>
          <w:rFonts w:ascii="仿宋_GB2312" w:hAnsi="仿宋_GB2312" w:cs="仿宋_GB2312" w:eastAsia="仿宋_GB2312"/>
        </w:rPr>
        <w:t>地址：绵阳市科创园区科技路5号2楼</w:t>
      </w:r>
    </w:p>
    <w:p>
      <w:pPr>
        <w:pStyle w:val="null3"/>
        <w:jc w:val="left"/>
      </w:pPr>
      <w:r>
        <w:rPr>
          <w:rFonts w:ascii="仿宋_GB2312" w:hAnsi="仿宋_GB2312" w:cs="仿宋_GB2312" w:eastAsia="仿宋_GB2312"/>
        </w:rPr>
        <w:t>邮编：621000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jc w:val="left"/>
      </w:pPr>
      <w:r>
        <w:rPr>
          <w:rFonts w:ascii="仿宋_GB2312" w:hAnsi="仿宋_GB2312" w:cs="仿宋_GB2312" w:eastAsia="仿宋_GB2312"/>
        </w:rPr>
        <w:t>采购包3：不需要样品评审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4,852,200.00</w:t>
      </w:r>
    </w:p>
    <w:p>
      <w:pPr>
        <w:pStyle w:val="null3"/>
        <w:jc w:val="left"/>
      </w:pPr>
      <w:r>
        <w:rPr>
          <w:rFonts w:ascii="仿宋_GB2312" w:hAnsi="仿宋_GB2312" w:cs="仿宋_GB2312" w:eastAsia="仿宋_GB2312"/>
        </w:rPr>
        <w:t>采购包最高限价（元）: 4,852,200.00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C16089900 其他运营服务</w:t>
            </w:r>
          </w:p>
        </w:tc>
        <w:tc>
          <w:tcPr>
            <w:tcW w:type="dxa" w:w="821"/>
          </w:tcPr>
          <w:p>
            <w:pPr>
              <w:pStyle w:val="null3"/>
              <w:jc w:val="left"/>
            </w:pPr>
            <w:r>
              <w:rPr>
                <w:rFonts w:ascii="仿宋_GB2312" w:hAnsi="仿宋_GB2312" w:cs="仿宋_GB2312" w:eastAsia="仿宋_GB2312"/>
              </w:rPr>
              <w:t>平台运营服务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4,852,200.00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100,000.00</w:t>
      </w:r>
    </w:p>
    <w:p>
      <w:pPr>
        <w:pStyle w:val="null3"/>
        <w:jc w:val="left"/>
      </w:pPr>
      <w:r>
        <w:rPr>
          <w:rFonts w:ascii="仿宋_GB2312" w:hAnsi="仿宋_GB2312" w:cs="仿宋_GB2312" w:eastAsia="仿宋_GB2312"/>
        </w:rPr>
        <w:t>采购包最高限价（元）: 100,000.00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C16089900 其他运营服务</w:t>
            </w:r>
          </w:p>
        </w:tc>
        <w:tc>
          <w:tcPr>
            <w:tcW w:type="dxa" w:w="821"/>
          </w:tcPr>
          <w:p>
            <w:pPr>
              <w:pStyle w:val="null3"/>
              <w:jc w:val="left"/>
            </w:pPr>
            <w:r>
              <w:rPr>
                <w:rFonts w:ascii="仿宋_GB2312" w:hAnsi="仿宋_GB2312" w:cs="仿宋_GB2312" w:eastAsia="仿宋_GB2312"/>
              </w:rPr>
              <w:t>监理服务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100,000.00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75,000.00</w:t>
      </w:r>
    </w:p>
    <w:p>
      <w:pPr>
        <w:pStyle w:val="null3"/>
        <w:jc w:val="left"/>
      </w:pPr>
      <w:r>
        <w:rPr>
          <w:rFonts w:ascii="仿宋_GB2312" w:hAnsi="仿宋_GB2312" w:cs="仿宋_GB2312" w:eastAsia="仿宋_GB2312"/>
        </w:rPr>
        <w:t>采购包最高限价（元）: 75,000.00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C16089900 其他运营服务</w:t>
            </w:r>
          </w:p>
        </w:tc>
        <w:tc>
          <w:tcPr>
            <w:tcW w:type="dxa" w:w="821"/>
          </w:tcPr>
          <w:p>
            <w:pPr>
              <w:pStyle w:val="null3"/>
              <w:jc w:val="left"/>
            </w:pPr>
            <w:r>
              <w:rPr>
                <w:rFonts w:ascii="仿宋_GB2312" w:hAnsi="仿宋_GB2312" w:cs="仿宋_GB2312" w:eastAsia="仿宋_GB2312"/>
              </w:rPr>
              <w:t>等级保护测评服务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75,000.00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pPr>
      <w:r>
        <w:rPr>
          <w:rFonts w:ascii="仿宋_GB2312" w:hAnsi="仿宋_GB2312" w:cs="仿宋_GB2312" w:eastAsia="仿宋_GB2312"/>
        </w:rPr>
        <w:t>采购包3：否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平台运营服务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4,852,200.00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监理服务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等级保护测评服务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75,000.00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标的名称：平台运营服务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560"/>
              <w:jc w:val="left"/>
            </w:pPr>
            <w:r>
              <w:rPr>
                <w:rFonts w:ascii="仿宋_GB2312" w:hAnsi="仿宋_GB2312" w:cs="仿宋_GB2312" w:eastAsia="仿宋_GB2312"/>
                <w:sz w:val="28"/>
              </w:rPr>
              <w:t>★（一）</w:t>
            </w:r>
            <w:r>
              <w:rPr>
                <w:rFonts w:ascii="仿宋_GB2312" w:hAnsi="仿宋_GB2312" w:cs="仿宋_GB2312" w:eastAsia="仿宋_GB2312"/>
                <w:sz w:val="28"/>
              </w:rPr>
              <w:t>服务</w:t>
            </w:r>
            <w:r>
              <w:rPr>
                <w:rFonts w:ascii="仿宋_GB2312" w:hAnsi="仿宋_GB2312" w:cs="仿宋_GB2312" w:eastAsia="仿宋_GB2312"/>
                <w:sz w:val="28"/>
              </w:rPr>
              <w:t>清单</w:t>
            </w:r>
          </w:p>
          <w:tbl>
            <w:tblPr>
              <w:tblBorders>
                <w:top w:val="none" w:color="000000" w:sz="4"/>
                <w:left w:val="none" w:color="000000" w:sz="4"/>
                <w:bottom w:val="none" w:color="000000" w:sz="4"/>
                <w:right w:val="none" w:color="000000" w:sz="4"/>
                <w:insideH w:val="none"/>
                <w:insideV w:val="none"/>
              </w:tblBorders>
            </w:tblPr>
            <w:tblGrid>
              <w:gridCol w:w="635"/>
              <w:gridCol w:w="706"/>
              <w:gridCol w:w="3191"/>
              <w:gridCol w:w="1063"/>
            </w:tblGrid>
            <w:tr>
              <w:tc>
                <w:tcPr>
                  <w:tcW w:type="dxa" w:w="63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序号</w:t>
                  </w:r>
                </w:p>
              </w:tc>
              <w:tc>
                <w:tcPr>
                  <w:tcW w:type="dxa" w:w="70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类别项</w:t>
                  </w:r>
                </w:p>
              </w:tc>
              <w:tc>
                <w:tcPr>
                  <w:tcW w:type="dxa" w:w="319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名称</w:t>
                  </w:r>
                </w:p>
              </w:tc>
              <w:tc>
                <w:tcPr>
                  <w:tcW w:type="dxa" w:w="106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数量</w:t>
                  </w:r>
                </w:p>
              </w:tc>
            </w:tr>
            <w:tr>
              <w:tc>
                <w:tcPr>
                  <w:tcW w:type="dxa" w:w="6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70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基础</w:t>
                  </w:r>
                  <w:r>
                    <w:rPr>
                      <w:rFonts w:ascii="仿宋_GB2312" w:hAnsi="仿宋_GB2312" w:cs="仿宋_GB2312" w:eastAsia="仿宋_GB2312"/>
                      <w:sz w:val="28"/>
                    </w:rPr>
                    <w:t>环境</w:t>
                  </w:r>
                </w:p>
              </w:tc>
              <w:tc>
                <w:tcPr>
                  <w:tcW w:type="dxa" w:w="3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CPU</w:t>
                  </w:r>
                </w:p>
              </w:tc>
              <w:tc>
                <w:tcPr>
                  <w:tcW w:type="dxa" w:w="10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r>
            <w:tr>
              <w:tc>
                <w:tcPr>
                  <w:tcW w:type="dxa" w:w="6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706"/>
                  <w:vMerge/>
                  <w:tcBorders>
                    <w:top w:val="none" w:color="000000" w:sz="4"/>
                    <w:left w:val="none" w:color="000000" w:sz="4"/>
                    <w:bottom w:val="single" w:color="000000" w:sz="4"/>
                    <w:right w:val="single" w:color="000000" w:sz="4"/>
                  </w:tcBorders>
                </w:tcPr>
                <w:p/>
              </w:tc>
              <w:tc>
                <w:tcPr>
                  <w:tcW w:type="dxa" w:w="3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内存</w:t>
                  </w:r>
                </w:p>
              </w:tc>
              <w:tc>
                <w:tcPr>
                  <w:tcW w:type="dxa" w:w="10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r>
            <w:tr>
              <w:tc>
                <w:tcPr>
                  <w:tcW w:type="dxa" w:w="6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706"/>
                  <w:vMerge/>
                  <w:tcBorders>
                    <w:top w:val="none" w:color="000000" w:sz="4"/>
                    <w:left w:val="none" w:color="000000" w:sz="4"/>
                    <w:bottom w:val="single" w:color="000000" w:sz="4"/>
                    <w:right w:val="single" w:color="000000" w:sz="4"/>
                  </w:tcBorders>
                </w:tcPr>
                <w:p/>
              </w:tc>
              <w:tc>
                <w:tcPr>
                  <w:tcW w:type="dxa" w:w="3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存储</w:t>
                  </w:r>
                  <w:r>
                    <w:rPr>
                      <w:rFonts w:ascii="仿宋_GB2312" w:hAnsi="仿宋_GB2312" w:cs="仿宋_GB2312" w:eastAsia="仿宋_GB2312"/>
                      <w:sz w:val="28"/>
                    </w:rPr>
                    <w:t>服务</w:t>
                  </w:r>
                </w:p>
              </w:tc>
              <w:tc>
                <w:tcPr>
                  <w:tcW w:type="dxa" w:w="10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r>
            <w:tr>
              <w:tc>
                <w:tcPr>
                  <w:tcW w:type="dxa" w:w="6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706"/>
                  <w:vMerge/>
                  <w:tcBorders>
                    <w:top w:val="none" w:color="000000" w:sz="4"/>
                    <w:left w:val="none" w:color="000000" w:sz="4"/>
                    <w:bottom w:val="single" w:color="000000" w:sz="4"/>
                    <w:right w:val="single" w:color="000000" w:sz="4"/>
                  </w:tcBorders>
                </w:tcPr>
                <w:p/>
              </w:tc>
              <w:tc>
                <w:tcPr>
                  <w:tcW w:type="dxa" w:w="3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镜像服务</w:t>
                  </w:r>
                </w:p>
              </w:tc>
              <w:tc>
                <w:tcPr>
                  <w:tcW w:type="dxa" w:w="10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22</w:t>
                  </w:r>
                </w:p>
              </w:tc>
            </w:tr>
            <w:tr>
              <w:tc>
                <w:tcPr>
                  <w:tcW w:type="dxa" w:w="6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706"/>
                  <w:vMerge/>
                  <w:tcBorders>
                    <w:top w:val="none" w:color="000000" w:sz="4"/>
                    <w:left w:val="none" w:color="000000" w:sz="4"/>
                    <w:bottom w:val="single" w:color="000000" w:sz="4"/>
                    <w:right w:val="single" w:color="000000" w:sz="4"/>
                  </w:tcBorders>
                </w:tcPr>
                <w:p/>
              </w:tc>
              <w:tc>
                <w:tcPr>
                  <w:tcW w:type="dxa" w:w="3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虚拟私有</w:t>
                  </w:r>
                  <w:r>
                    <w:rPr>
                      <w:rFonts w:ascii="仿宋_GB2312" w:hAnsi="仿宋_GB2312" w:cs="仿宋_GB2312" w:eastAsia="仿宋_GB2312"/>
                      <w:sz w:val="28"/>
                    </w:rPr>
                    <w:t>服务</w:t>
                  </w:r>
                </w:p>
              </w:tc>
              <w:tc>
                <w:tcPr>
                  <w:tcW w:type="dxa" w:w="10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177</w:t>
                  </w:r>
                </w:p>
              </w:tc>
            </w:tr>
            <w:tr>
              <w:tc>
                <w:tcPr>
                  <w:tcW w:type="dxa" w:w="6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706"/>
                  <w:vMerge/>
                  <w:tcBorders>
                    <w:top w:val="none" w:color="000000" w:sz="4"/>
                    <w:left w:val="none" w:color="000000" w:sz="4"/>
                    <w:bottom w:val="single" w:color="000000" w:sz="4"/>
                    <w:right w:val="single" w:color="000000" w:sz="4"/>
                  </w:tcBorders>
                </w:tcPr>
                <w:p/>
              </w:tc>
              <w:tc>
                <w:tcPr>
                  <w:tcW w:type="dxa" w:w="3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NAT网关服务</w:t>
                  </w:r>
                </w:p>
              </w:tc>
              <w:tc>
                <w:tcPr>
                  <w:tcW w:type="dxa" w:w="10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r>
            <w:tr>
              <w:tc>
                <w:tcPr>
                  <w:tcW w:type="dxa" w:w="6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706"/>
                  <w:vMerge/>
                  <w:tcBorders>
                    <w:top w:val="none" w:color="000000" w:sz="4"/>
                    <w:left w:val="none" w:color="000000" w:sz="4"/>
                    <w:bottom w:val="single" w:color="000000" w:sz="4"/>
                    <w:right w:val="single" w:color="000000" w:sz="4"/>
                  </w:tcBorders>
                </w:tcPr>
                <w:p/>
              </w:tc>
              <w:tc>
                <w:tcPr>
                  <w:tcW w:type="dxa" w:w="3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RICI智能化内容管理系统</w:t>
                  </w:r>
                </w:p>
              </w:tc>
              <w:tc>
                <w:tcPr>
                  <w:tcW w:type="dxa" w:w="10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r>
            <w:tr>
              <w:tc>
                <w:tcPr>
                  <w:tcW w:type="dxa" w:w="6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706"/>
                  <w:vMerge/>
                  <w:tcBorders>
                    <w:top w:val="none" w:color="000000" w:sz="4"/>
                    <w:left w:val="none" w:color="000000" w:sz="4"/>
                    <w:bottom w:val="single" w:color="000000" w:sz="4"/>
                    <w:right w:val="single" w:color="000000" w:sz="4"/>
                  </w:tcBorders>
                </w:tcPr>
                <w:p/>
              </w:tc>
              <w:tc>
                <w:tcPr>
                  <w:tcW w:type="dxa" w:w="3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视频直播流量包</w:t>
                  </w:r>
                </w:p>
              </w:tc>
              <w:tc>
                <w:tcPr>
                  <w:tcW w:type="dxa" w:w="10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r>
            <w:tr>
              <w:tc>
                <w:tcPr>
                  <w:tcW w:type="dxa" w:w="6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706"/>
                  <w:vMerge/>
                  <w:tcBorders>
                    <w:top w:val="none" w:color="000000" w:sz="4"/>
                    <w:left w:val="none" w:color="000000" w:sz="4"/>
                    <w:bottom w:val="single" w:color="000000" w:sz="4"/>
                    <w:right w:val="single" w:color="000000" w:sz="4"/>
                  </w:tcBorders>
                </w:tcPr>
                <w:p/>
              </w:tc>
              <w:tc>
                <w:tcPr>
                  <w:tcW w:type="dxa" w:w="3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CDN流量包</w:t>
                  </w:r>
                </w:p>
              </w:tc>
              <w:tc>
                <w:tcPr>
                  <w:tcW w:type="dxa" w:w="10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r>
            <w:tr>
              <w:tc>
                <w:tcPr>
                  <w:tcW w:type="dxa" w:w="6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706"/>
                  <w:vMerge/>
                  <w:tcBorders>
                    <w:top w:val="none" w:color="000000" w:sz="4"/>
                    <w:left w:val="none" w:color="000000" w:sz="4"/>
                    <w:bottom w:val="single" w:color="000000" w:sz="4"/>
                    <w:right w:val="single" w:color="000000" w:sz="4"/>
                  </w:tcBorders>
                </w:tcPr>
                <w:p/>
              </w:tc>
              <w:tc>
                <w:tcPr>
                  <w:tcW w:type="dxa" w:w="3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操作系统</w:t>
                  </w:r>
                </w:p>
              </w:tc>
              <w:tc>
                <w:tcPr>
                  <w:tcW w:type="dxa" w:w="10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10</w:t>
                  </w:r>
                </w:p>
              </w:tc>
            </w:tr>
            <w:tr>
              <w:tc>
                <w:tcPr>
                  <w:tcW w:type="dxa" w:w="6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706"/>
                  <w:vMerge/>
                  <w:tcBorders>
                    <w:top w:val="none" w:color="000000" w:sz="4"/>
                    <w:left w:val="none" w:color="000000" w:sz="4"/>
                    <w:bottom w:val="single" w:color="000000" w:sz="4"/>
                    <w:right w:val="single" w:color="000000" w:sz="4"/>
                  </w:tcBorders>
                </w:tcPr>
                <w:p/>
              </w:tc>
              <w:tc>
                <w:tcPr>
                  <w:tcW w:type="dxa" w:w="3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数据库软件</w:t>
                  </w:r>
                </w:p>
              </w:tc>
              <w:tc>
                <w:tcPr>
                  <w:tcW w:type="dxa" w:w="10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r>
            <w:tr>
              <w:tc>
                <w:tcPr>
                  <w:tcW w:type="dxa" w:w="6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706"/>
                  <w:vMerge/>
                  <w:tcBorders>
                    <w:top w:val="none" w:color="000000" w:sz="4"/>
                    <w:left w:val="none" w:color="000000" w:sz="4"/>
                    <w:bottom w:val="single" w:color="000000" w:sz="4"/>
                    <w:right w:val="single" w:color="000000" w:sz="4"/>
                  </w:tcBorders>
                </w:tcPr>
                <w:p/>
              </w:tc>
              <w:tc>
                <w:tcPr>
                  <w:tcW w:type="dxa" w:w="3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中间件</w:t>
                  </w:r>
                </w:p>
              </w:tc>
              <w:tc>
                <w:tcPr>
                  <w:tcW w:type="dxa" w:w="10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r>
            <w:tr>
              <w:tc>
                <w:tcPr>
                  <w:tcW w:type="dxa" w:w="6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706"/>
                  <w:vMerge/>
                  <w:tcBorders>
                    <w:top w:val="none" w:color="000000" w:sz="4"/>
                    <w:left w:val="none" w:color="000000" w:sz="4"/>
                    <w:bottom w:val="single" w:color="000000" w:sz="4"/>
                    <w:right w:val="single" w:color="000000" w:sz="4"/>
                  </w:tcBorders>
                </w:tcPr>
                <w:p/>
              </w:tc>
              <w:tc>
                <w:tcPr>
                  <w:tcW w:type="dxa" w:w="3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算力服务</w:t>
                  </w:r>
                </w:p>
              </w:tc>
              <w:tc>
                <w:tcPr>
                  <w:tcW w:type="dxa" w:w="10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r>
            <w:tr>
              <w:tc>
                <w:tcPr>
                  <w:tcW w:type="dxa" w:w="6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706"/>
                  <w:vMerge/>
                  <w:tcBorders>
                    <w:top w:val="none" w:color="000000" w:sz="4"/>
                    <w:left w:val="none" w:color="000000" w:sz="4"/>
                    <w:bottom w:val="single" w:color="000000" w:sz="4"/>
                    <w:right w:val="single" w:color="000000" w:sz="4"/>
                  </w:tcBorders>
                </w:tcPr>
                <w:p/>
              </w:tc>
              <w:tc>
                <w:tcPr>
                  <w:tcW w:type="dxa" w:w="3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专线</w:t>
                  </w:r>
                  <w:r>
                    <w:rPr>
                      <w:rFonts w:ascii="仿宋_GB2312" w:hAnsi="仿宋_GB2312" w:cs="仿宋_GB2312" w:eastAsia="仿宋_GB2312"/>
                      <w:sz w:val="28"/>
                    </w:rPr>
                    <w:t>服务</w:t>
                  </w:r>
                </w:p>
              </w:tc>
              <w:tc>
                <w:tcPr>
                  <w:tcW w:type="dxa" w:w="10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r>
            <w:tr>
              <w:tc>
                <w:tcPr>
                  <w:tcW w:type="dxa" w:w="6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70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网络安全</w:t>
                  </w:r>
                </w:p>
              </w:tc>
              <w:tc>
                <w:tcPr>
                  <w:tcW w:type="dxa" w:w="3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Web应用防火墙</w:t>
                  </w:r>
                </w:p>
              </w:tc>
              <w:tc>
                <w:tcPr>
                  <w:tcW w:type="dxa" w:w="10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r>
            <w:tr>
              <w:tc>
                <w:tcPr>
                  <w:tcW w:type="dxa" w:w="6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706"/>
                  <w:vMerge/>
                  <w:tcBorders>
                    <w:top w:val="none" w:color="000000" w:sz="4"/>
                    <w:left w:val="none" w:color="000000" w:sz="4"/>
                    <w:bottom w:val="single" w:color="000000" w:sz="4"/>
                    <w:right w:val="single" w:color="000000" w:sz="4"/>
                  </w:tcBorders>
                </w:tcPr>
                <w:p/>
              </w:tc>
              <w:tc>
                <w:tcPr>
                  <w:tcW w:type="dxa" w:w="3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堡垒机</w:t>
                  </w:r>
                </w:p>
              </w:tc>
              <w:tc>
                <w:tcPr>
                  <w:tcW w:type="dxa" w:w="10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r>
            <w:tr>
              <w:tc>
                <w:tcPr>
                  <w:tcW w:type="dxa" w:w="6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706"/>
                  <w:vMerge/>
                  <w:tcBorders>
                    <w:top w:val="none" w:color="000000" w:sz="4"/>
                    <w:left w:val="none" w:color="000000" w:sz="4"/>
                    <w:bottom w:val="single" w:color="000000" w:sz="4"/>
                    <w:right w:val="single" w:color="000000" w:sz="4"/>
                  </w:tcBorders>
                </w:tcPr>
                <w:p/>
              </w:tc>
              <w:tc>
                <w:tcPr>
                  <w:tcW w:type="dxa" w:w="3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日志审计</w:t>
                  </w:r>
                </w:p>
              </w:tc>
              <w:tc>
                <w:tcPr>
                  <w:tcW w:type="dxa" w:w="10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r>
            <w:tr>
              <w:tc>
                <w:tcPr>
                  <w:tcW w:type="dxa" w:w="6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706"/>
                  <w:vMerge/>
                  <w:tcBorders>
                    <w:top w:val="none" w:color="000000" w:sz="4"/>
                    <w:left w:val="none" w:color="000000" w:sz="4"/>
                    <w:bottom w:val="single" w:color="000000" w:sz="4"/>
                    <w:right w:val="single" w:color="000000" w:sz="4"/>
                  </w:tcBorders>
                </w:tcPr>
                <w:p/>
              </w:tc>
              <w:tc>
                <w:tcPr>
                  <w:tcW w:type="dxa" w:w="3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主机安全</w:t>
                  </w:r>
                </w:p>
              </w:tc>
              <w:tc>
                <w:tcPr>
                  <w:tcW w:type="dxa" w:w="10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65</w:t>
                  </w:r>
                </w:p>
              </w:tc>
            </w:tr>
            <w:tr>
              <w:tc>
                <w:tcPr>
                  <w:tcW w:type="dxa" w:w="6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706"/>
                  <w:vMerge/>
                  <w:tcBorders>
                    <w:top w:val="none" w:color="000000" w:sz="4"/>
                    <w:left w:val="none" w:color="000000" w:sz="4"/>
                    <w:bottom w:val="single" w:color="000000" w:sz="4"/>
                    <w:right w:val="single" w:color="000000" w:sz="4"/>
                  </w:tcBorders>
                </w:tcPr>
                <w:p/>
              </w:tc>
              <w:tc>
                <w:tcPr>
                  <w:tcW w:type="dxa" w:w="3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虚拟</w:t>
                  </w:r>
                  <w:r>
                    <w:rPr>
                      <w:rFonts w:ascii="仿宋_GB2312" w:hAnsi="仿宋_GB2312" w:cs="仿宋_GB2312" w:eastAsia="仿宋_GB2312"/>
                      <w:sz w:val="28"/>
                    </w:rPr>
                    <w:t>VPN授权</w:t>
                  </w:r>
                </w:p>
              </w:tc>
              <w:tc>
                <w:tcPr>
                  <w:tcW w:type="dxa" w:w="10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120</w:t>
                  </w:r>
                </w:p>
              </w:tc>
            </w:tr>
            <w:tr>
              <w:tc>
                <w:tcPr>
                  <w:tcW w:type="dxa" w:w="6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706"/>
                  <w:vMerge/>
                  <w:tcBorders>
                    <w:top w:val="none" w:color="000000" w:sz="4"/>
                    <w:left w:val="none" w:color="000000" w:sz="4"/>
                    <w:bottom w:val="single" w:color="000000" w:sz="4"/>
                    <w:right w:val="single" w:color="000000" w:sz="4"/>
                  </w:tcBorders>
                </w:tcPr>
                <w:p/>
              </w:tc>
              <w:tc>
                <w:tcPr>
                  <w:tcW w:type="dxa" w:w="3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证书管理服务</w:t>
                  </w:r>
                </w:p>
              </w:tc>
              <w:tc>
                <w:tcPr>
                  <w:tcW w:type="dxa" w:w="10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r>
            <w:tr>
              <w:tc>
                <w:tcPr>
                  <w:tcW w:type="dxa" w:w="6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706"/>
                  <w:vMerge/>
                  <w:tcBorders>
                    <w:top w:val="none" w:color="000000" w:sz="4"/>
                    <w:left w:val="none" w:color="000000" w:sz="4"/>
                    <w:bottom w:val="single" w:color="000000" w:sz="4"/>
                    <w:right w:val="single" w:color="000000" w:sz="4"/>
                  </w:tcBorders>
                </w:tcPr>
                <w:p/>
              </w:tc>
              <w:tc>
                <w:tcPr>
                  <w:tcW w:type="dxa" w:w="3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下一代防火墙</w:t>
                  </w:r>
                </w:p>
              </w:tc>
              <w:tc>
                <w:tcPr>
                  <w:tcW w:type="dxa" w:w="10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r>
            <w:tr>
              <w:tc>
                <w:tcPr>
                  <w:tcW w:type="dxa" w:w="6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706"/>
                  <w:vMerge/>
                  <w:tcBorders>
                    <w:top w:val="none" w:color="000000" w:sz="4"/>
                    <w:left w:val="none" w:color="000000" w:sz="4"/>
                    <w:bottom w:val="single" w:color="000000" w:sz="4"/>
                    <w:right w:val="single" w:color="000000" w:sz="4"/>
                  </w:tcBorders>
                </w:tcPr>
                <w:p/>
              </w:tc>
              <w:tc>
                <w:tcPr>
                  <w:tcW w:type="dxa" w:w="3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DDoS高防</w:t>
                  </w:r>
                </w:p>
              </w:tc>
              <w:tc>
                <w:tcPr>
                  <w:tcW w:type="dxa" w:w="10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r>
            <w:tr>
              <w:tc>
                <w:tcPr>
                  <w:tcW w:type="dxa" w:w="6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706"/>
                  <w:vMerge/>
                  <w:tcBorders>
                    <w:top w:val="none" w:color="000000" w:sz="4"/>
                    <w:left w:val="none" w:color="000000" w:sz="4"/>
                    <w:bottom w:val="single" w:color="000000" w:sz="4"/>
                    <w:right w:val="single" w:color="000000" w:sz="4"/>
                  </w:tcBorders>
                </w:tcPr>
                <w:p/>
              </w:tc>
              <w:tc>
                <w:tcPr>
                  <w:tcW w:type="dxa" w:w="3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数据库审计</w:t>
                  </w:r>
                </w:p>
              </w:tc>
              <w:tc>
                <w:tcPr>
                  <w:tcW w:type="dxa" w:w="10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r>
            <w:tr>
              <w:tc>
                <w:tcPr>
                  <w:tcW w:type="dxa" w:w="6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center"/>
                  </w:pPr>
                </w:p>
              </w:tc>
              <w:tc>
                <w:tcPr>
                  <w:tcW w:type="dxa" w:w="7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运维开发</w:t>
                  </w:r>
                </w:p>
              </w:tc>
              <w:tc>
                <w:tcPr>
                  <w:tcW w:type="dxa" w:w="31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政务通</w:t>
                  </w:r>
                  <w:r>
                    <w:rPr>
                      <w:rFonts w:ascii="仿宋_GB2312" w:hAnsi="仿宋_GB2312" w:cs="仿宋_GB2312" w:eastAsia="仿宋_GB2312"/>
                      <w:sz w:val="28"/>
                    </w:rPr>
                    <w:t>运维</w:t>
                  </w:r>
                </w:p>
              </w:tc>
              <w:tc>
                <w:tcPr>
                  <w:tcW w:type="dxa" w:w="10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r>
          </w:tbl>
          <w:p>
            <w:pPr>
              <w:pStyle w:val="null3"/>
              <w:ind w:firstLine="560"/>
              <w:jc w:val="left"/>
            </w:pPr>
            <w:r>
              <w:rPr>
                <w:rFonts w:ascii="仿宋_GB2312" w:hAnsi="仿宋_GB2312" w:cs="仿宋_GB2312" w:eastAsia="仿宋_GB2312"/>
                <w:sz w:val="28"/>
              </w:rPr>
              <w:t>（二）技术要求</w:t>
            </w:r>
          </w:p>
          <w:p>
            <w:pPr>
              <w:pStyle w:val="null3"/>
              <w:jc w:val="left"/>
              <w:outlineLvl w:val="3"/>
            </w:pPr>
            <w:r>
              <w:rPr>
                <w:rFonts w:ascii="仿宋_GB2312" w:hAnsi="仿宋_GB2312" w:cs="仿宋_GB2312" w:eastAsia="仿宋_GB2312"/>
                <w:sz w:val="28"/>
                <w:b/>
              </w:rPr>
              <w:t>1总体技术要求</w:t>
            </w:r>
          </w:p>
          <w:p>
            <w:pPr>
              <w:pStyle w:val="null3"/>
              <w:ind w:firstLine="562"/>
              <w:jc w:val="left"/>
            </w:pPr>
            <w:r>
              <w:rPr>
                <w:rFonts w:ascii="仿宋_GB2312" w:hAnsi="仿宋_GB2312" w:cs="仿宋_GB2312" w:eastAsia="仿宋_GB2312"/>
                <w:sz w:val="28"/>
                <w:b/>
              </w:rPr>
              <w:t>★</w:t>
            </w:r>
            <w:r>
              <w:rPr>
                <w:rFonts w:ascii="仿宋_GB2312" w:hAnsi="仿宋_GB2312" w:cs="仿宋_GB2312" w:eastAsia="仿宋_GB2312"/>
                <w:sz w:val="28"/>
                <w:b/>
              </w:rPr>
              <w:t>1.1机房环境要求</w:t>
            </w:r>
          </w:p>
          <w:tbl>
            <w:tblPr>
              <w:tblBorders>
                <w:top w:val="none" w:color="000000" w:sz="4"/>
                <w:left w:val="none" w:color="000000" w:sz="4"/>
                <w:bottom w:val="none" w:color="000000" w:sz="4"/>
                <w:right w:val="none" w:color="000000" w:sz="4"/>
                <w:insideH w:val="none"/>
                <w:insideV w:val="none"/>
              </w:tblBorders>
            </w:tblPr>
            <w:tblGrid>
              <w:gridCol w:w="620"/>
              <w:gridCol w:w="1212"/>
              <w:gridCol w:w="3754"/>
            </w:tblGrid>
            <w:tr>
              <w:tc>
                <w:tcPr>
                  <w:tcW w:type="dxa" w:w="62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序号</w:t>
                  </w:r>
                </w:p>
              </w:tc>
              <w:tc>
                <w:tcPr>
                  <w:tcW w:type="dxa" w:w="121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指标项</w:t>
                  </w:r>
                </w:p>
              </w:tc>
              <w:tc>
                <w:tcPr>
                  <w:tcW w:type="dxa" w:w="375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指标要求</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21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基本要求</w:t>
                  </w:r>
                </w:p>
              </w:tc>
              <w:tc>
                <w:tcPr>
                  <w:tcW w:type="dxa" w:w="375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机房所在建筑物需具备防震、防雷、防风、防雨和防水能力，地面承重</w:t>
                  </w:r>
                  <w:r>
                    <w:rPr>
                      <w:rFonts w:ascii="仿宋_GB2312" w:hAnsi="仿宋_GB2312" w:cs="仿宋_GB2312" w:eastAsia="仿宋_GB2312"/>
                      <w:sz w:val="28"/>
                    </w:rPr>
                    <w:t>≥8kN/㎡，墙面防火等级不低于A级；</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1212"/>
                  <w:vMerge/>
                  <w:tcBorders>
                    <w:top w:val="none" w:color="000000" w:sz="4"/>
                    <w:left w:val="none" w:color="000000" w:sz="4"/>
                    <w:bottom w:val="single" w:color="000000" w:sz="4"/>
                    <w:right w:val="single" w:color="000000" w:sz="4"/>
                  </w:tcBorders>
                </w:tcPr>
                <w:p/>
              </w:tc>
              <w:tc>
                <w:tcPr>
                  <w:tcW w:type="dxa" w:w="375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部署机房门禁系统、高清视频监控系统；</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1212"/>
                  <w:vMerge/>
                  <w:tcBorders>
                    <w:top w:val="none" w:color="000000" w:sz="4"/>
                    <w:left w:val="none" w:color="000000" w:sz="4"/>
                    <w:bottom w:val="single" w:color="000000" w:sz="4"/>
                    <w:right w:val="single" w:color="000000" w:sz="4"/>
                  </w:tcBorders>
                </w:tcPr>
                <w:p/>
              </w:tc>
              <w:tc>
                <w:tcPr>
                  <w:tcW w:type="dxa" w:w="375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配置精密空调系统</w:t>
                  </w:r>
                  <w:r>
                    <w:rPr>
                      <w:rFonts w:ascii="仿宋_GB2312" w:hAnsi="仿宋_GB2312" w:cs="仿宋_GB2312" w:eastAsia="仿宋_GB2312"/>
                      <w:sz w:val="28"/>
                    </w:rPr>
                    <w:t>，</w:t>
                  </w:r>
                  <w:r>
                    <w:rPr>
                      <w:rFonts w:ascii="仿宋_GB2312" w:hAnsi="仿宋_GB2312" w:cs="仿宋_GB2312" w:eastAsia="仿宋_GB2312"/>
                      <w:sz w:val="28"/>
                    </w:rPr>
                    <w:t>配备温湿度传感器，实时监测并联动空调调节；</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1212"/>
                  <w:vMerge/>
                  <w:tcBorders>
                    <w:top w:val="none" w:color="000000" w:sz="4"/>
                    <w:left w:val="none" w:color="000000" w:sz="4"/>
                    <w:bottom w:val="single" w:color="000000" w:sz="4"/>
                    <w:right w:val="single" w:color="000000" w:sz="4"/>
                  </w:tcBorders>
                </w:tcPr>
                <w:p/>
              </w:tc>
              <w:tc>
                <w:tcPr>
                  <w:tcW w:type="dxa" w:w="375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建立机房出入登记、设备操作登记制度，登记记录保存期限</w:t>
                  </w:r>
                  <w:r>
                    <w:rPr>
                      <w:rFonts w:ascii="仿宋_GB2312" w:hAnsi="仿宋_GB2312" w:cs="仿宋_GB2312" w:eastAsia="仿宋_GB2312"/>
                      <w:sz w:val="28"/>
                    </w:rPr>
                    <w:t>≥3年；配备专职机房管理员，每日不少于2次现场巡查；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1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场地</w:t>
                  </w:r>
                </w:p>
              </w:tc>
              <w:tc>
                <w:tcPr>
                  <w:tcW w:type="dxa" w:w="375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机房须在绵阳市</w:t>
                  </w:r>
                  <w:r>
                    <w:rPr>
                      <w:rFonts w:ascii="仿宋_GB2312" w:hAnsi="仿宋_GB2312" w:cs="仿宋_GB2312" w:eastAsia="仿宋_GB2312"/>
                      <w:sz w:val="28"/>
                    </w:rPr>
                    <w:t>市辖区</w:t>
                  </w:r>
                  <w:r>
                    <w:rPr>
                      <w:rFonts w:ascii="仿宋_GB2312" w:hAnsi="仿宋_GB2312" w:cs="仿宋_GB2312" w:eastAsia="仿宋_GB2312"/>
                      <w:sz w:val="28"/>
                    </w:rPr>
                    <w:t>范围</w:t>
                  </w:r>
                  <w:r>
                    <w:rPr>
                      <w:rFonts w:ascii="仿宋_GB2312" w:hAnsi="仿宋_GB2312" w:cs="仿宋_GB2312" w:eastAsia="仿宋_GB2312"/>
                      <w:sz w:val="28"/>
                    </w:rPr>
                    <w:t>内</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6</w:t>
                  </w:r>
                </w:p>
              </w:tc>
              <w:tc>
                <w:tcPr>
                  <w:tcW w:type="dxa" w:w="1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基础设施可用性</w:t>
                  </w:r>
                </w:p>
              </w:tc>
              <w:tc>
                <w:tcPr>
                  <w:tcW w:type="dxa" w:w="375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基础设施（供电、空调、网络）可用性达到</w:t>
                  </w:r>
                  <w:r>
                    <w:rPr>
                      <w:rFonts w:ascii="仿宋_GB2312" w:hAnsi="仿宋_GB2312" w:cs="仿宋_GB2312" w:eastAsia="仿宋_GB2312"/>
                      <w:sz w:val="28"/>
                    </w:rPr>
                    <w:t>T3标准</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7</w:t>
                  </w:r>
                </w:p>
              </w:tc>
              <w:tc>
                <w:tcPr>
                  <w:tcW w:type="dxa" w:w="12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机房标准</w:t>
                  </w:r>
                </w:p>
              </w:tc>
              <w:tc>
                <w:tcPr>
                  <w:tcW w:type="dxa" w:w="375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符合《数据中心设计规范》（</w:t>
                  </w:r>
                  <w:r>
                    <w:rPr>
                      <w:rFonts w:ascii="仿宋_GB2312" w:hAnsi="仿宋_GB2312" w:cs="仿宋_GB2312" w:eastAsia="仿宋_GB2312"/>
                      <w:sz w:val="28"/>
                    </w:rPr>
                    <w:t>GB50174-2017）中B级机房</w:t>
                  </w:r>
                  <w:r>
                    <w:rPr>
                      <w:rFonts w:ascii="仿宋_GB2312" w:hAnsi="仿宋_GB2312" w:cs="仿宋_GB2312" w:eastAsia="仿宋_GB2312"/>
                      <w:sz w:val="28"/>
                    </w:rPr>
                    <w:t>标准</w:t>
                  </w:r>
                  <w:r>
                    <w:rPr>
                      <w:rFonts w:ascii="仿宋_GB2312" w:hAnsi="仿宋_GB2312" w:cs="仿宋_GB2312" w:eastAsia="仿宋_GB2312"/>
                      <w:sz w:val="28"/>
                    </w:rPr>
                    <w:t>，包括供电系统、消防系统、接地系统；</w:t>
                  </w:r>
                </w:p>
              </w:tc>
            </w:tr>
          </w:tbl>
          <w:p>
            <w:pPr>
              <w:pStyle w:val="null3"/>
              <w:ind w:firstLine="562"/>
              <w:jc w:val="left"/>
            </w:pPr>
            <w:r>
              <w:rPr>
                <w:rFonts w:ascii="仿宋_GB2312" w:hAnsi="仿宋_GB2312" w:cs="仿宋_GB2312" w:eastAsia="仿宋_GB2312"/>
                <w:sz w:val="28"/>
                <w:b/>
              </w:rPr>
              <w:t>★</w:t>
            </w:r>
            <w:r>
              <w:rPr>
                <w:rFonts w:ascii="仿宋_GB2312" w:hAnsi="仿宋_GB2312" w:cs="仿宋_GB2312" w:eastAsia="仿宋_GB2312"/>
                <w:sz w:val="28"/>
                <w:b/>
              </w:rPr>
              <w:t>1.2数字底座整体架构要求</w:t>
            </w:r>
          </w:p>
          <w:p>
            <w:pPr>
              <w:pStyle w:val="null3"/>
              <w:ind w:firstLine="480"/>
              <w:jc w:val="left"/>
            </w:pPr>
            <w:r>
              <w:rPr>
                <w:rFonts w:ascii="仿宋_GB2312" w:hAnsi="仿宋_GB2312" w:cs="仿宋_GB2312" w:eastAsia="仿宋_GB2312"/>
                <w:sz w:val="28"/>
              </w:rPr>
              <w:t>中国科技城大数据中心数字底座主要由政务外网应用区、互联网应用区和统一运维管理区三部分组成，数字底座总体网络架构主要由电子政务外网和互联网两大网络区域组成。基于网络安全和业务需求，政务外网应用区和互联网应用区进行逻辑隔离，通过跨域安全隔离交换系统实现两个区域间数据安全交换进行。</w:t>
            </w:r>
          </w:p>
          <w:p>
            <w:pPr>
              <w:pStyle w:val="null3"/>
              <w:ind w:firstLine="480"/>
              <w:jc w:val="left"/>
            </w:pPr>
            <w:r>
              <w:rPr>
                <w:rFonts w:ascii="仿宋_GB2312" w:hAnsi="仿宋_GB2312" w:cs="仿宋_GB2312" w:eastAsia="仿宋_GB2312"/>
                <w:sz w:val="28"/>
              </w:rPr>
              <w:t>政务外网应用区主要满足各政务部门办公管理、内部审批、协调监督等面向电子政务业务需求。</w:t>
            </w:r>
          </w:p>
          <w:p>
            <w:pPr>
              <w:pStyle w:val="null3"/>
              <w:ind w:firstLine="480"/>
              <w:jc w:val="left"/>
            </w:pPr>
            <w:r>
              <w:rPr>
                <w:rFonts w:ascii="仿宋_GB2312" w:hAnsi="仿宋_GB2312" w:cs="仿宋_GB2312" w:eastAsia="仿宋_GB2312"/>
                <w:sz w:val="28"/>
              </w:rPr>
              <w:t>互联网应用区主要满足各政务部门社会管理、公共服务等面向社会服务的互联网的业务需要，为各部门提供面向互联网的服务。</w:t>
            </w:r>
          </w:p>
          <w:p>
            <w:pPr>
              <w:pStyle w:val="null3"/>
              <w:ind w:firstLine="480"/>
              <w:jc w:val="left"/>
            </w:pPr>
            <w:r>
              <w:rPr>
                <w:rFonts w:ascii="仿宋_GB2312" w:hAnsi="仿宋_GB2312" w:cs="仿宋_GB2312" w:eastAsia="仿宋_GB2312"/>
                <w:sz w:val="28"/>
              </w:rPr>
              <w:t>集中统一运维管理区，包括运营管理与运维管理。提供主机安全服务、漏洞扫描服务、堡垒机服务、审计服务（日志审计和数据库审计）、应用安全服务（</w:t>
            </w:r>
            <w:r>
              <w:rPr>
                <w:rFonts w:ascii="仿宋_GB2312" w:hAnsi="仿宋_GB2312" w:cs="仿宋_GB2312" w:eastAsia="仿宋_GB2312"/>
                <w:sz w:val="28"/>
              </w:rPr>
              <w:t>web应用防火墙）。</w:t>
            </w:r>
          </w:p>
          <w:p>
            <w:pPr>
              <w:pStyle w:val="null3"/>
              <w:ind w:firstLine="480"/>
              <w:jc w:val="left"/>
            </w:pPr>
            <w:r>
              <w:rPr>
                <w:rFonts w:ascii="仿宋_GB2312" w:hAnsi="仿宋_GB2312" w:cs="仿宋_GB2312" w:eastAsia="仿宋_GB2312"/>
                <w:sz w:val="28"/>
              </w:rPr>
              <w:t>数字底座能够为不同</w:t>
            </w:r>
            <w:r>
              <w:rPr>
                <w:rFonts w:ascii="仿宋_GB2312" w:hAnsi="仿宋_GB2312" w:cs="仿宋_GB2312" w:eastAsia="仿宋_GB2312"/>
                <w:sz w:val="28"/>
              </w:rPr>
              <w:t>用户</w:t>
            </w:r>
            <w:r>
              <w:rPr>
                <w:rFonts w:ascii="仿宋_GB2312" w:hAnsi="仿宋_GB2312" w:cs="仿宋_GB2312" w:eastAsia="仿宋_GB2312"/>
                <w:sz w:val="28"/>
              </w:rPr>
              <w:t>和应用在平台上提供划分各自的逻辑隔离区及定义内部的资源联网环境。数字底座配置跨域安全隔离交换系统，可根据不同用户的业务使用情况设置不同的安全交互策略。</w:t>
            </w:r>
          </w:p>
          <w:p>
            <w:pPr>
              <w:pStyle w:val="null3"/>
              <w:ind w:firstLine="480"/>
              <w:jc w:val="left"/>
            </w:pPr>
            <w:r>
              <w:rPr>
                <w:rFonts w:ascii="仿宋_GB2312" w:hAnsi="仿宋_GB2312" w:cs="仿宋_GB2312" w:eastAsia="仿宋_GB2312"/>
                <w:sz w:val="28"/>
              </w:rPr>
              <w:t>本项目须实现分区、分域的管理三大区域，即政务外网应用区、互联网应用区及</w:t>
            </w:r>
            <w:r>
              <w:rPr>
                <w:rFonts w:ascii="仿宋_GB2312" w:hAnsi="仿宋_GB2312" w:cs="仿宋_GB2312" w:eastAsia="仿宋_GB2312"/>
                <w:sz w:val="28"/>
              </w:rPr>
              <w:t>集中</w:t>
            </w:r>
            <w:r>
              <w:rPr>
                <w:rFonts w:ascii="仿宋_GB2312" w:hAnsi="仿宋_GB2312" w:cs="仿宋_GB2312" w:eastAsia="仿宋_GB2312"/>
                <w:sz w:val="28"/>
              </w:rPr>
              <w:t>统一运维管理区，在计算、存储、网络、安全资源层面的各个子区实现独立。</w:t>
            </w:r>
          </w:p>
          <w:p>
            <w:pPr>
              <w:pStyle w:val="null3"/>
              <w:ind w:firstLine="562"/>
              <w:jc w:val="left"/>
            </w:pPr>
            <w:r>
              <w:rPr>
                <w:rFonts w:ascii="仿宋_GB2312" w:hAnsi="仿宋_GB2312" w:cs="仿宋_GB2312" w:eastAsia="仿宋_GB2312"/>
                <w:sz w:val="28"/>
                <w:b/>
              </w:rPr>
              <w:t>★</w:t>
            </w:r>
            <w:r>
              <w:rPr>
                <w:rFonts w:ascii="仿宋_GB2312" w:hAnsi="仿宋_GB2312" w:cs="仿宋_GB2312" w:eastAsia="仿宋_GB2312"/>
                <w:sz w:val="28"/>
                <w:b/>
              </w:rPr>
              <w:t>1.3</w:t>
            </w:r>
            <w:r>
              <w:rPr>
                <w:rFonts w:ascii="仿宋_GB2312" w:hAnsi="仿宋_GB2312" w:cs="仿宋_GB2312" w:eastAsia="仿宋_GB2312"/>
                <w:sz w:val="28"/>
                <w:b/>
              </w:rPr>
              <w:t>迁移要求</w:t>
            </w:r>
          </w:p>
          <w:p>
            <w:pPr>
              <w:pStyle w:val="null3"/>
              <w:ind w:firstLine="480"/>
              <w:jc w:val="left"/>
            </w:pPr>
            <w:r>
              <w:rPr>
                <w:rFonts w:ascii="仿宋_GB2312" w:hAnsi="仿宋_GB2312" w:cs="仿宋_GB2312" w:eastAsia="仿宋_GB2312"/>
                <w:sz w:val="28"/>
              </w:rPr>
              <w:t>1.</w:t>
            </w:r>
            <w:r>
              <w:rPr>
                <w:rFonts w:ascii="仿宋_GB2312" w:hAnsi="仿宋_GB2312" w:cs="仿宋_GB2312" w:eastAsia="仿宋_GB2312"/>
                <w:sz w:val="28"/>
              </w:rPr>
              <w:t>为保证当前业务</w:t>
            </w:r>
            <w:r>
              <w:rPr>
                <w:rFonts w:ascii="仿宋_GB2312" w:hAnsi="仿宋_GB2312" w:cs="仿宋_GB2312" w:eastAsia="仿宋_GB2312"/>
                <w:sz w:val="28"/>
              </w:rPr>
              <w:t>平台</w:t>
            </w:r>
            <w:r>
              <w:rPr>
                <w:rFonts w:ascii="仿宋_GB2312" w:hAnsi="仿宋_GB2312" w:cs="仿宋_GB2312" w:eastAsia="仿宋_GB2312"/>
                <w:sz w:val="28"/>
              </w:rPr>
              <w:t>连续稳定运行，中标供应商须提供业务迁移服务。在此期间产生的全部迁移相关费用（如迁移工具、人员服务、业务软件系统部署和调试、数据迁移和验证等）由中标供应商承担，且在迁移过程中必须保证业务的稳定运行。</w:t>
            </w:r>
          </w:p>
          <w:p>
            <w:pPr>
              <w:pStyle w:val="null3"/>
              <w:ind w:firstLine="480"/>
              <w:jc w:val="left"/>
            </w:pPr>
            <w:r>
              <w:rPr>
                <w:rFonts w:ascii="仿宋_GB2312" w:hAnsi="仿宋_GB2312" w:cs="仿宋_GB2312" w:eastAsia="仿宋_GB2312"/>
                <w:sz w:val="28"/>
              </w:rPr>
              <w:t>2.</w:t>
            </w:r>
            <w:r>
              <w:rPr>
                <w:rFonts w:ascii="仿宋_GB2312" w:hAnsi="仿宋_GB2312" w:cs="仿宋_GB2312" w:eastAsia="仿宋_GB2312"/>
                <w:sz w:val="28"/>
              </w:rPr>
              <w:t>如中标供应商无法满足上述要求，采购人有权取消其中标资格并终止合同。由此造成的一切责任和后果由供应商承担。</w:t>
            </w:r>
          </w:p>
          <w:p>
            <w:pPr>
              <w:pStyle w:val="null3"/>
              <w:ind w:firstLine="480"/>
              <w:jc w:val="left"/>
            </w:pPr>
            <w:r>
              <w:rPr>
                <w:rFonts w:ascii="仿宋_GB2312" w:hAnsi="仿宋_GB2312" w:cs="仿宋_GB2312" w:eastAsia="仿宋_GB2312"/>
                <w:sz w:val="28"/>
                <w:b/>
              </w:rPr>
              <w:t>(针对“</w:t>
            </w:r>
            <w:r>
              <w:rPr>
                <w:rFonts w:ascii="仿宋_GB2312" w:hAnsi="仿宋_GB2312" w:cs="仿宋_GB2312" w:eastAsia="仿宋_GB2312"/>
                <w:sz w:val="28"/>
                <w:b/>
              </w:rPr>
              <w:t>1.3</w:t>
            </w:r>
            <w:r>
              <w:rPr>
                <w:rFonts w:ascii="仿宋_GB2312" w:hAnsi="仿宋_GB2312" w:cs="仿宋_GB2312" w:eastAsia="仿宋_GB2312"/>
                <w:sz w:val="28"/>
                <w:b/>
              </w:rPr>
              <w:t>迁移要求”的</w:t>
            </w:r>
            <w:r>
              <w:rPr>
                <w:rFonts w:ascii="仿宋_GB2312" w:hAnsi="仿宋_GB2312" w:cs="仿宋_GB2312" w:eastAsia="仿宋_GB2312"/>
                <w:sz w:val="28"/>
                <w:b/>
              </w:rPr>
              <w:t>两点，供应商应单独出具承诺函加盖公章，格式自拟)</w:t>
            </w:r>
          </w:p>
          <w:p>
            <w:pPr>
              <w:pStyle w:val="null3"/>
              <w:jc w:val="left"/>
              <w:outlineLvl w:val="3"/>
            </w:pPr>
            <w:r>
              <w:rPr>
                <w:rFonts w:ascii="仿宋_GB2312" w:hAnsi="仿宋_GB2312" w:cs="仿宋_GB2312" w:eastAsia="仿宋_GB2312"/>
                <w:sz w:val="28"/>
                <w:b/>
              </w:rPr>
              <w:t>2.</w:t>
            </w:r>
            <w:r>
              <w:rPr>
                <w:rFonts w:ascii="仿宋_GB2312" w:hAnsi="仿宋_GB2312" w:cs="仿宋_GB2312" w:eastAsia="仿宋_GB2312"/>
                <w:sz w:val="28"/>
                <w:b/>
              </w:rPr>
              <w:t>基础服务要求</w:t>
            </w:r>
          </w:p>
          <w:p>
            <w:pPr>
              <w:pStyle w:val="null3"/>
              <w:ind w:firstLine="562"/>
              <w:jc w:val="left"/>
            </w:pPr>
            <w:r>
              <w:rPr>
                <w:rFonts w:ascii="仿宋_GB2312" w:hAnsi="仿宋_GB2312" w:cs="仿宋_GB2312" w:eastAsia="仿宋_GB2312"/>
                <w:sz w:val="28"/>
                <w:b/>
              </w:rPr>
              <w:t>2.1</w:t>
            </w:r>
            <w:r>
              <w:rPr>
                <w:rFonts w:ascii="仿宋_GB2312" w:hAnsi="仿宋_GB2312" w:cs="仿宋_GB2312" w:eastAsia="仿宋_GB2312"/>
                <w:b/>
              </w:rPr>
              <w:t xml:space="preserve"> </w:t>
            </w:r>
            <w:r>
              <w:rPr>
                <w:rFonts w:ascii="仿宋_GB2312" w:hAnsi="仿宋_GB2312" w:cs="仿宋_GB2312" w:eastAsia="仿宋_GB2312"/>
                <w:sz w:val="28"/>
                <w:b/>
              </w:rPr>
              <w:t>数字底座管理平台要求</w:t>
            </w:r>
          </w:p>
          <w:tbl>
            <w:tblPr>
              <w:tblBorders>
                <w:top w:val="none" w:color="000000" w:sz="4"/>
                <w:left w:val="none" w:color="000000" w:sz="4"/>
                <w:bottom w:val="none" w:color="000000" w:sz="4"/>
                <w:right w:val="none" w:color="000000" w:sz="4"/>
                <w:insideH w:val="none"/>
                <w:insideV w:val="none"/>
              </w:tblBorders>
            </w:tblPr>
            <w:tblGrid>
              <w:gridCol w:w="516"/>
              <w:gridCol w:w="907"/>
              <w:gridCol w:w="4175"/>
            </w:tblGrid>
            <w:tr>
              <w:tc>
                <w:tcPr>
                  <w:tcW w:type="dxa" w:w="51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序号</w:t>
                  </w:r>
                </w:p>
              </w:tc>
              <w:tc>
                <w:tcPr>
                  <w:tcW w:type="dxa" w:w="90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指标项</w:t>
                  </w:r>
                </w:p>
              </w:tc>
              <w:tc>
                <w:tcPr>
                  <w:tcW w:type="dxa" w:w="417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指标要求</w:t>
                  </w:r>
                </w:p>
              </w:tc>
            </w:tr>
            <w:tr>
              <w:tc>
                <w:tcPr>
                  <w:tcW w:type="dxa" w:w="5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9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自助申请服务</w:t>
                  </w:r>
                </w:p>
              </w:tc>
              <w:tc>
                <w:tcPr>
                  <w:tcW w:type="dxa" w:w="4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支持用户自助申请服务。要求资源申请功能包含资源申请、资源变更、资源注销；</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需确保</w:t>
                  </w:r>
                  <w:r>
                    <w:rPr>
                      <w:rFonts w:ascii="仿宋_GB2312" w:hAnsi="仿宋_GB2312" w:cs="仿宋_GB2312" w:eastAsia="仿宋_GB2312"/>
                      <w:sz w:val="28"/>
                    </w:rPr>
                    <w:t>用户</w:t>
                  </w:r>
                  <w:r>
                    <w:rPr>
                      <w:rFonts w:ascii="仿宋_GB2312" w:hAnsi="仿宋_GB2312" w:cs="仿宋_GB2312" w:eastAsia="仿宋_GB2312"/>
                      <w:sz w:val="28"/>
                    </w:rPr>
                    <w:t>的资源申请可实现线上和线下同步进行：</w:t>
                  </w:r>
                </w:p>
                <w:p>
                  <w:pPr>
                    <w:pStyle w:val="null3"/>
                    <w:jc w:val="both"/>
                  </w:pPr>
                  <w:r>
                    <w:rPr>
                      <w:rFonts w:ascii="仿宋_GB2312" w:hAnsi="仿宋_GB2312" w:cs="仿宋_GB2312" w:eastAsia="仿宋_GB2312"/>
                      <w:sz w:val="28"/>
                    </w:rPr>
                    <w:t>a.线上通过申请流程来完成资源申请业务</w:t>
                  </w:r>
                </w:p>
                <w:p>
                  <w:pPr>
                    <w:pStyle w:val="null3"/>
                    <w:jc w:val="both"/>
                  </w:pPr>
                  <w:r>
                    <w:rPr>
                      <w:rFonts w:ascii="仿宋_GB2312" w:hAnsi="仿宋_GB2312" w:cs="仿宋_GB2312" w:eastAsia="仿宋_GB2312"/>
                      <w:sz w:val="28"/>
                    </w:rPr>
                    <w:t>b.线下通过系统打印出申请单，各审批部门签字盖章来完成资源的申请业务；</w:t>
                  </w:r>
                </w:p>
              </w:tc>
            </w:tr>
            <w:tr>
              <w:tc>
                <w:tcPr>
                  <w:tcW w:type="dxa" w:w="5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9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资源审批</w:t>
                  </w:r>
                </w:p>
              </w:tc>
              <w:tc>
                <w:tcPr>
                  <w:tcW w:type="dxa" w:w="4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支持资源审批功能。要求资源审批功能包含待办流程和已办流程两项，可以对资源申请单、资源变更单、资源注销单进行业务审批和查询；</w:t>
                  </w:r>
                </w:p>
              </w:tc>
            </w:tr>
            <w:tr>
              <w:tc>
                <w:tcPr>
                  <w:tcW w:type="dxa" w:w="5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9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统计报表</w:t>
                  </w:r>
                </w:p>
              </w:tc>
              <w:tc>
                <w:tcPr>
                  <w:tcW w:type="dxa" w:w="4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要求支持展示平台上部门统计、项目统计、业务系统统计、服务使用情况统计、服务器资源使用率统计，按时间段统计服务器资源使用峰值；</w:t>
                  </w:r>
                </w:p>
              </w:tc>
            </w:tr>
            <w:tr>
              <w:tc>
                <w:tcPr>
                  <w:tcW w:type="dxa" w:w="5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9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计量计费</w:t>
                  </w:r>
                </w:p>
              </w:tc>
              <w:tc>
                <w:tcPr>
                  <w:tcW w:type="dxa" w:w="4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支持计费，</w:t>
                  </w:r>
                  <w:r>
                    <w:rPr>
                      <w:rFonts w:ascii="仿宋_GB2312" w:hAnsi="仿宋_GB2312" w:cs="仿宋_GB2312" w:eastAsia="仿宋_GB2312"/>
                      <w:sz w:val="28"/>
                    </w:rPr>
                    <w:t>可</w:t>
                  </w:r>
                  <w:r>
                    <w:rPr>
                      <w:rFonts w:ascii="仿宋_GB2312" w:hAnsi="仿宋_GB2312" w:cs="仿宋_GB2312" w:eastAsia="仿宋_GB2312"/>
                      <w:sz w:val="28"/>
                    </w:rPr>
                    <w:t>统计已交付服务的费用。要求支持按部门、服务分类、服务名称、计费时间进行查询；</w:t>
                  </w:r>
                </w:p>
              </w:tc>
            </w:tr>
            <w:tr>
              <w:tc>
                <w:tcPr>
                  <w:tcW w:type="dxa" w:w="5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9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访问方式</w:t>
                  </w:r>
                </w:p>
              </w:tc>
              <w:tc>
                <w:tcPr>
                  <w:tcW w:type="dxa" w:w="4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服务需提供</w:t>
                  </w:r>
                  <w:r>
                    <w:rPr>
                      <w:rFonts w:ascii="仿宋_GB2312" w:hAnsi="仿宋_GB2312" w:cs="仿宋_GB2312" w:eastAsia="仿宋_GB2312"/>
                      <w:sz w:val="28"/>
                    </w:rPr>
                    <w:t>Web界面和API SDK两种访问方式，两种方式均通过标准的HTTP进行网络传输；</w:t>
                  </w:r>
                </w:p>
              </w:tc>
            </w:tr>
            <w:tr>
              <w:tc>
                <w:tcPr>
                  <w:tcW w:type="dxa" w:w="5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6</w:t>
                  </w:r>
                </w:p>
              </w:tc>
              <w:tc>
                <w:tcPr>
                  <w:tcW w:type="dxa" w:w="9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资源调整</w:t>
                  </w:r>
                </w:p>
              </w:tc>
              <w:tc>
                <w:tcPr>
                  <w:tcW w:type="dxa" w:w="4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需提供从基础到高级多种规格供选择，已经申请的服务实例可变更规格，支持资源的动态调整（可升可降），不影响业务正常开展；</w:t>
                  </w:r>
                </w:p>
              </w:tc>
            </w:tr>
            <w:tr>
              <w:tc>
                <w:tcPr>
                  <w:tcW w:type="dxa" w:w="5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7</w:t>
                  </w:r>
                </w:p>
              </w:tc>
              <w:tc>
                <w:tcPr>
                  <w:tcW w:type="dxa" w:w="9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资源内核</w:t>
                  </w:r>
                </w:p>
              </w:tc>
              <w:tc>
                <w:tcPr>
                  <w:tcW w:type="dxa" w:w="4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基于</w:t>
                  </w:r>
                  <w:r>
                    <w:rPr>
                      <w:rFonts w:ascii="仿宋_GB2312" w:hAnsi="仿宋_GB2312" w:cs="仿宋_GB2312" w:eastAsia="仿宋_GB2312"/>
                      <w:sz w:val="28"/>
                    </w:rPr>
                    <w:t>KVM资源内核把计算、存储、和网络安全设备成逻辑的资源池，通过标准API接口对接服务层，支持资源集群的大规模扩展；</w:t>
                  </w:r>
                </w:p>
              </w:tc>
            </w:tr>
            <w:tr>
              <w:tc>
                <w:tcPr>
                  <w:tcW w:type="dxa" w:w="5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8</w:t>
                  </w:r>
                </w:p>
              </w:tc>
              <w:tc>
                <w:tcPr>
                  <w:tcW w:type="dxa" w:w="9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平台运维</w:t>
                  </w:r>
                </w:p>
              </w:tc>
              <w:tc>
                <w:tcPr>
                  <w:tcW w:type="dxa" w:w="4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监控服务状态，管理物理资源及其软件工作负载的报警。提供运维管理相关工具如硬件管理，监控工具，用户管理，自动化部署，分析报表等，包括平台软件的安装部署与升级补丁，物理基础设施的监控与告警管理、日志管理等。</w:t>
                  </w:r>
                </w:p>
              </w:tc>
            </w:tr>
          </w:tbl>
          <w:p>
            <w:pPr>
              <w:pStyle w:val="null3"/>
              <w:jc w:val="left"/>
            </w:pPr>
            <w:r>
              <w:rPr>
                <w:rFonts w:ascii="仿宋_GB2312" w:hAnsi="仿宋_GB2312" w:cs="仿宋_GB2312" w:eastAsia="仿宋_GB2312"/>
                <w:sz w:val="28"/>
                <w:b/>
              </w:rPr>
              <w:t>2.2物理资源共享平台要求</w:t>
            </w:r>
          </w:p>
          <w:tbl>
            <w:tblPr>
              <w:tblBorders>
                <w:top w:val="none" w:color="000000" w:sz="4"/>
                <w:left w:val="none" w:color="000000" w:sz="4"/>
                <w:bottom w:val="none" w:color="000000" w:sz="4"/>
                <w:right w:val="none" w:color="000000" w:sz="4"/>
                <w:insideH w:val="none"/>
                <w:insideV w:val="none"/>
              </w:tblBorders>
            </w:tblPr>
            <w:tblGrid>
              <w:gridCol w:w="622"/>
              <w:gridCol w:w="1219"/>
              <w:gridCol w:w="3756"/>
            </w:tblGrid>
            <w:tr>
              <w:tc>
                <w:tcPr>
                  <w:tcW w:type="dxa" w:w="62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序号</w:t>
                  </w:r>
                </w:p>
              </w:tc>
              <w:tc>
                <w:tcPr>
                  <w:tcW w:type="dxa" w:w="121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指标项</w:t>
                  </w:r>
                </w:p>
              </w:tc>
              <w:tc>
                <w:tcPr>
                  <w:tcW w:type="dxa" w:w="375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指标要求</w:t>
                  </w:r>
                </w:p>
              </w:tc>
            </w:tr>
            <w:tr>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219"/>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基本功能</w:t>
                  </w:r>
                </w:p>
              </w:tc>
              <w:tc>
                <w:tcPr>
                  <w:tcW w:type="dxa" w:w="37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物理资源共享软件可以在线进行版本升级，不同版本之间可以向下兼容；</w:t>
                  </w:r>
                </w:p>
              </w:tc>
            </w:tr>
            <w:tr>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1219"/>
                  <w:vMerge/>
                  <w:tcBorders>
                    <w:top w:val="none" w:color="000000" w:sz="4"/>
                    <w:left w:val="none" w:color="000000" w:sz="4"/>
                    <w:bottom w:val="single" w:color="000000" w:sz="4"/>
                    <w:right w:val="single" w:color="000000" w:sz="4"/>
                  </w:tcBorders>
                </w:tcPr>
                <w:p/>
              </w:tc>
              <w:tc>
                <w:tcPr>
                  <w:tcW w:type="dxa" w:w="37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8"/>
                    </w:rPr>
                    <w:t>★</w:t>
                  </w:r>
                  <w:r>
                    <w:rPr>
                      <w:rFonts w:ascii="仿宋_GB2312" w:hAnsi="仿宋_GB2312" w:cs="仿宋_GB2312" w:eastAsia="仿宋_GB2312"/>
                      <w:sz w:val="28"/>
                    </w:rPr>
                    <w:t>资源共享工作站之间可以做到隔离保护，其中每一个发生故障都不会影响其它</w:t>
                  </w:r>
                  <w:r>
                    <w:rPr>
                      <w:rFonts w:ascii="仿宋_GB2312" w:hAnsi="仿宋_GB2312" w:cs="仿宋_GB2312" w:eastAsia="仿宋_GB2312"/>
                      <w:sz w:val="28"/>
                    </w:rPr>
                    <w:t>工作站</w:t>
                  </w:r>
                  <w:r>
                    <w:rPr>
                      <w:rFonts w:ascii="仿宋_GB2312" w:hAnsi="仿宋_GB2312" w:cs="仿宋_GB2312" w:eastAsia="仿宋_GB2312"/>
                      <w:sz w:val="28"/>
                    </w:rPr>
                    <w:t>运行，每个</w:t>
                  </w:r>
                  <w:r>
                    <w:rPr>
                      <w:rFonts w:ascii="仿宋_GB2312" w:hAnsi="仿宋_GB2312" w:cs="仿宋_GB2312" w:eastAsia="仿宋_GB2312"/>
                      <w:sz w:val="28"/>
                    </w:rPr>
                    <w:t>工作站</w:t>
                  </w:r>
                  <w:r>
                    <w:rPr>
                      <w:rFonts w:ascii="仿宋_GB2312" w:hAnsi="仿宋_GB2312" w:cs="仿宋_GB2312" w:eastAsia="仿宋_GB2312"/>
                      <w:sz w:val="28"/>
                    </w:rPr>
                    <w:t>上的用户权限只限于本资源共享工作站之内，以保障系统平台的安全性；</w:t>
                  </w:r>
                </w:p>
                <w:p>
                  <w:pPr>
                    <w:pStyle w:val="null3"/>
                    <w:jc w:val="left"/>
                  </w:pPr>
                  <w:r>
                    <w:rPr>
                      <w:rFonts w:ascii="仿宋_GB2312" w:hAnsi="仿宋_GB2312" w:cs="仿宋_GB2312" w:eastAsia="仿宋_GB2312"/>
                      <w:sz w:val="28"/>
                    </w:rPr>
                    <w:t>★需满足财政部 工业和信息化部关于印发《工作站政府采购需求标准（2023年版）》的通知中的全部实质性要求；</w:t>
                  </w:r>
                </w:p>
              </w:tc>
            </w:tr>
            <w:tr>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1219"/>
                  <w:vMerge/>
                  <w:tcBorders>
                    <w:top w:val="none" w:color="000000" w:sz="4"/>
                    <w:left w:val="none" w:color="000000" w:sz="4"/>
                    <w:bottom w:val="single" w:color="000000" w:sz="4"/>
                    <w:right w:val="single" w:color="000000" w:sz="4"/>
                  </w:tcBorders>
                </w:tcPr>
                <w:p/>
              </w:tc>
              <w:tc>
                <w:tcPr>
                  <w:tcW w:type="dxa" w:w="37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集群内的终端数量可以按需扩展。</w:t>
                  </w:r>
                </w:p>
              </w:tc>
            </w:tr>
          </w:tbl>
          <w:p>
            <w:pPr>
              <w:pStyle w:val="null3"/>
              <w:jc w:val="left"/>
            </w:pPr>
            <w:r>
              <w:rPr>
                <w:rFonts w:ascii="仿宋_GB2312" w:hAnsi="仿宋_GB2312" w:cs="仿宋_GB2312" w:eastAsia="仿宋_GB2312"/>
                <w:sz w:val="28"/>
                <w:b/>
              </w:rPr>
              <w:t>2.3计算资源服务要求</w:t>
            </w:r>
          </w:p>
          <w:p>
            <w:pPr>
              <w:pStyle w:val="null3"/>
              <w:jc w:val="left"/>
              <w:outlineLvl w:val="5"/>
            </w:pPr>
            <w:r>
              <w:rPr>
                <w:rFonts w:ascii="仿宋_GB2312" w:hAnsi="仿宋_GB2312" w:cs="仿宋_GB2312" w:eastAsia="仿宋_GB2312"/>
                <w:sz w:val="28"/>
                <w:b/>
              </w:rPr>
              <w:t>2.3.1多终端集群支撑服务要求</w:t>
            </w:r>
          </w:p>
          <w:tbl>
            <w:tblPr>
              <w:tblBorders>
                <w:top w:val="none" w:color="000000" w:sz="4"/>
                <w:left w:val="none" w:color="000000" w:sz="4"/>
                <w:bottom w:val="none" w:color="000000" w:sz="4"/>
                <w:right w:val="none" w:color="000000" w:sz="4"/>
                <w:insideH w:val="none"/>
                <w:insideV w:val="none"/>
              </w:tblBorders>
            </w:tblPr>
            <w:tblGrid>
              <w:gridCol w:w="524"/>
              <w:gridCol w:w="844"/>
              <w:gridCol w:w="4230"/>
            </w:tblGrid>
            <w:tr>
              <w:tc>
                <w:tcPr>
                  <w:tcW w:type="dxa" w:w="52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序号</w:t>
                  </w:r>
                </w:p>
              </w:tc>
              <w:tc>
                <w:tcPr>
                  <w:tcW w:type="dxa" w:w="84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指标项</w:t>
                  </w:r>
                </w:p>
              </w:tc>
              <w:tc>
                <w:tcPr>
                  <w:tcW w:type="dxa" w:w="423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指标要求</w:t>
                  </w:r>
                </w:p>
              </w:tc>
            </w:tr>
            <w:tr>
              <w:tc>
                <w:tcPr>
                  <w:tcW w:type="dxa" w:w="5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1</w:t>
                  </w:r>
                </w:p>
              </w:tc>
              <w:tc>
                <w:tcPr>
                  <w:tcW w:type="dxa" w:w="84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服务能力</w:t>
                  </w:r>
                </w:p>
              </w:tc>
              <w:tc>
                <w:tcPr>
                  <w:tcW w:type="dxa" w:w="4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中央处理能力核心主频不小于</w:t>
                  </w:r>
                  <w:r>
                    <w:rPr>
                      <w:rFonts w:ascii="仿宋_GB2312" w:hAnsi="仿宋_GB2312" w:cs="仿宋_GB2312" w:eastAsia="仿宋_GB2312"/>
                      <w:sz w:val="28"/>
                    </w:rPr>
                    <w:t>2.0GHz；内存不允许复用方式分配资源，性能不低于DDR4 2133MHz；</w:t>
                  </w:r>
                </w:p>
              </w:tc>
            </w:tr>
            <w:tr>
              <w:tc>
                <w:tcPr>
                  <w:tcW w:type="dxa" w:w="5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2</w:t>
                  </w:r>
                </w:p>
              </w:tc>
              <w:tc>
                <w:tcPr>
                  <w:tcW w:type="dxa" w:w="844"/>
                  <w:vMerge/>
                  <w:tcBorders>
                    <w:top w:val="none" w:color="000000" w:sz="4"/>
                    <w:left w:val="none" w:color="000000" w:sz="4"/>
                    <w:bottom w:val="single" w:color="000000" w:sz="4"/>
                    <w:right w:val="single" w:color="000000" w:sz="4"/>
                  </w:tcBorders>
                </w:tcPr>
                <w:p/>
              </w:tc>
              <w:tc>
                <w:tcPr>
                  <w:tcW w:type="dxa" w:w="4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指定中央处理服务、内存、镜像规格、登录鉴权方式可定制化开通；</w:t>
                  </w:r>
                </w:p>
              </w:tc>
            </w:tr>
            <w:tr>
              <w:tc>
                <w:tcPr>
                  <w:tcW w:type="dxa" w:w="5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3</w:t>
                  </w:r>
                </w:p>
              </w:tc>
              <w:tc>
                <w:tcPr>
                  <w:tcW w:type="dxa" w:w="844"/>
                  <w:vMerge/>
                  <w:tcBorders>
                    <w:top w:val="none" w:color="000000" w:sz="4"/>
                    <w:left w:val="none" w:color="000000" w:sz="4"/>
                    <w:bottom w:val="single" w:color="000000" w:sz="4"/>
                    <w:right w:val="single" w:color="000000" w:sz="4"/>
                  </w:tcBorders>
                </w:tcPr>
                <w:p/>
              </w:tc>
              <w:tc>
                <w:tcPr>
                  <w:tcW w:type="dxa" w:w="4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支持专有计算集群，指定基础环境支撑服务平台，承载关键业务系统，保障性能和安全隔离性；</w:t>
                  </w:r>
                </w:p>
              </w:tc>
            </w:tr>
            <w:tr>
              <w:tc>
                <w:tcPr>
                  <w:tcW w:type="dxa" w:w="5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4</w:t>
                  </w:r>
                </w:p>
              </w:tc>
              <w:tc>
                <w:tcPr>
                  <w:tcW w:type="dxa" w:w="84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管理功能</w:t>
                  </w:r>
                </w:p>
              </w:tc>
              <w:tc>
                <w:tcPr>
                  <w:tcW w:type="dxa" w:w="4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支持开放</w:t>
                  </w:r>
                  <w:r>
                    <w:rPr>
                      <w:rFonts w:ascii="仿宋_GB2312" w:hAnsi="仿宋_GB2312" w:cs="仿宋_GB2312" w:eastAsia="仿宋_GB2312"/>
                      <w:sz w:val="28"/>
                    </w:rPr>
                    <w:t>API接口；</w:t>
                  </w:r>
                </w:p>
              </w:tc>
            </w:tr>
            <w:tr>
              <w:tc>
                <w:tcPr>
                  <w:tcW w:type="dxa" w:w="5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5</w:t>
                  </w:r>
                </w:p>
              </w:tc>
              <w:tc>
                <w:tcPr>
                  <w:tcW w:type="dxa" w:w="844"/>
                  <w:vMerge/>
                  <w:tcBorders>
                    <w:top w:val="none" w:color="000000" w:sz="4"/>
                    <w:left w:val="none" w:color="000000" w:sz="4"/>
                    <w:bottom w:val="single" w:color="000000" w:sz="4"/>
                    <w:right w:val="single" w:color="000000" w:sz="4"/>
                  </w:tcBorders>
                </w:tcPr>
                <w:p/>
              </w:tc>
              <w:tc>
                <w:tcPr>
                  <w:tcW w:type="dxa" w:w="4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提供服务终端的快照备份、性能监测分析、异常告警、日志管理等功能；</w:t>
                  </w:r>
                </w:p>
              </w:tc>
            </w:tr>
            <w:tr>
              <w:tc>
                <w:tcPr>
                  <w:tcW w:type="dxa" w:w="5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6</w:t>
                  </w:r>
                </w:p>
              </w:tc>
              <w:tc>
                <w:tcPr>
                  <w:tcW w:type="dxa" w:w="844"/>
                  <w:vMerge/>
                  <w:tcBorders>
                    <w:top w:val="none" w:color="000000" w:sz="4"/>
                    <w:left w:val="none" w:color="000000" w:sz="4"/>
                    <w:bottom w:val="single" w:color="000000" w:sz="4"/>
                    <w:right w:val="single" w:color="000000" w:sz="4"/>
                  </w:tcBorders>
                </w:tcPr>
                <w:p/>
              </w:tc>
              <w:tc>
                <w:tcPr>
                  <w:tcW w:type="dxa" w:w="4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支持快照和自定义镜像能力，支持对运行或停止状态的服务终端主机生成快照，并提供快照回滚功能；</w:t>
                  </w:r>
                </w:p>
              </w:tc>
            </w:tr>
            <w:tr>
              <w:tc>
                <w:tcPr>
                  <w:tcW w:type="dxa" w:w="5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7</w:t>
                  </w:r>
                </w:p>
              </w:tc>
              <w:tc>
                <w:tcPr>
                  <w:tcW w:type="dxa" w:w="844"/>
                  <w:vMerge/>
                  <w:tcBorders>
                    <w:top w:val="none" w:color="000000" w:sz="4"/>
                    <w:left w:val="none" w:color="000000" w:sz="4"/>
                    <w:bottom w:val="single" w:color="000000" w:sz="4"/>
                    <w:right w:val="single" w:color="000000" w:sz="4"/>
                  </w:tcBorders>
                </w:tcPr>
                <w:p/>
              </w:tc>
              <w:tc>
                <w:tcPr>
                  <w:tcW w:type="dxa" w:w="4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监控：可实现对支撑服务的镜像及实例管理，并监控支撑服务运行状态；</w:t>
                  </w:r>
                </w:p>
              </w:tc>
            </w:tr>
            <w:tr>
              <w:tc>
                <w:tcPr>
                  <w:tcW w:type="dxa" w:w="5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8</w:t>
                  </w:r>
                </w:p>
              </w:tc>
              <w:tc>
                <w:tcPr>
                  <w:tcW w:type="dxa" w:w="84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安全防护</w:t>
                  </w:r>
                </w:p>
              </w:tc>
              <w:tc>
                <w:tcPr>
                  <w:tcW w:type="dxa" w:w="4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自定义防火墙功能，新创建的支撑服务要求默认防火墙中关闭除管理端口之外的所有端口；</w:t>
                  </w:r>
                </w:p>
              </w:tc>
            </w:tr>
            <w:tr>
              <w:tc>
                <w:tcPr>
                  <w:tcW w:type="dxa" w:w="5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9</w:t>
                  </w:r>
                </w:p>
              </w:tc>
              <w:tc>
                <w:tcPr>
                  <w:tcW w:type="dxa" w:w="844"/>
                  <w:vMerge/>
                  <w:tcBorders>
                    <w:top w:val="none" w:color="000000" w:sz="4"/>
                    <w:left w:val="none" w:color="000000" w:sz="4"/>
                    <w:bottom w:val="single" w:color="000000" w:sz="4"/>
                    <w:right w:val="single" w:color="000000" w:sz="4"/>
                  </w:tcBorders>
                </w:tcPr>
                <w:p/>
              </w:tc>
              <w:tc>
                <w:tcPr>
                  <w:tcW w:type="dxa" w:w="4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支持防</w:t>
                  </w:r>
                  <w:r>
                    <w:rPr>
                      <w:rFonts w:ascii="仿宋_GB2312" w:hAnsi="仿宋_GB2312" w:cs="仿宋_GB2312" w:eastAsia="仿宋_GB2312"/>
                      <w:sz w:val="28"/>
                    </w:rPr>
                    <w:t>ARP欺骗，支持防DDOS攻击；</w:t>
                  </w:r>
                </w:p>
              </w:tc>
            </w:tr>
            <w:tr>
              <w:tc>
                <w:tcPr>
                  <w:tcW w:type="dxa" w:w="5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0</w:t>
                  </w:r>
                </w:p>
              </w:tc>
              <w:tc>
                <w:tcPr>
                  <w:tcW w:type="dxa" w:w="844"/>
                  <w:vMerge/>
                  <w:tcBorders>
                    <w:top w:val="none" w:color="000000" w:sz="4"/>
                    <w:left w:val="none" w:color="000000" w:sz="4"/>
                    <w:bottom w:val="single" w:color="000000" w:sz="4"/>
                    <w:right w:val="single" w:color="000000" w:sz="4"/>
                  </w:tcBorders>
                </w:tcPr>
                <w:p/>
              </w:tc>
              <w:tc>
                <w:tcPr>
                  <w:tcW w:type="dxa" w:w="4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提供帐号防暴力破解功能，如提供连续密码输入错误帐号被锁定机制，提供密码复杂度强制要求检查机制；</w:t>
                  </w:r>
                </w:p>
              </w:tc>
            </w:tr>
            <w:tr>
              <w:tc>
                <w:tcPr>
                  <w:tcW w:type="dxa" w:w="5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1</w:t>
                  </w:r>
                </w:p>
              </w:tc>
              <w:tc>
                <w:tcPr>
                  <w:tcW w:type="dxa" w:w="84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高可用</w:t>
                  </w:r>
                </w:p>
              </w:tc>
              <w:tc>
                <w:tcPr>
                  <w:tcW w:type="dxa" w:w="4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无单点故障，能够在出现硬件故障的情况下自动迁移，确保业务连续，平均可用性不低于</w:t>
                  </w:r>
                  <w:r>
                    <w:rPr>
                      <w:rFonts w:ascii="仿宋_GB2312" w:hAnsi="仿宋_GB2312" w:cs="仿宋_GB2312" w:eastAsia="仿宋_GB2312"/>
                      <w:sz w:val="28"/>
                    </w:rPr>
                    <w:t>99.9%；</w:t>
                  </w:r>
                </w:p>
              </w:tc>
            </w:tr>
            <w:tr>
              <w:tc>
                <w:tcPr>
                  <w:tcW w:type="dxa" w:w="5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2</w:t>
                  </w:r>
                </w:p>
              </w:tc>
              <w:tc>
                <w:tcPr>
                  <w:tcW w:type="dxa" w:w="844"/>
                  <w:vMerge/>
                  <w:tcBorders>
                    <w:top w:val="none" w:color="000000" w:sz="4"/>
                    <w:left w:val="none" w:color="000000" w:sz="4"/>
                    <w:bottom w:val="single" w:color="000000" w:sz="4"/>
                    <w:right w:val="single" w:color="000000" w:sz="4"/>
                  </w:tcBorders>
                </w:tcPr>
                <w:p/>
              </w:tc>
              <w:tc>
                <w:tcPr>
                  <w:tcW w:type="dxa" w:w="4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支持平台内整机备份，可以将数据恢复到初始状态；</w:t>
                  </w:r>
                </w:p>
              </w:tc>
            </w:tr>
            <w:tr>
              <w:tc>
                <w:tcPr>
                  <w:tcW w:type="dxa" w:w="5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3</w:t>
                  </w:r>
                </w:p>
              </w:tc>
              <w:tc>
                <w:tcPr>
                  <w:tcW w:type="dxa" w:w="84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扩展性</w:t>
                  </w:r>
                </w:p>
              </w:tc>
              <w:tc>
                <w:tcPr>
                  <w:tcW w:type="dxa" w:w="4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支持并配置计算能力的垂直伸缩，支持对</w:t>
                  </w:r>
                  <w:r>
                    <w:rPr>
                      <w:rFonts w:ascii="仿宋_GB2312" w:hAnsi="仿宋_GB2312" w:cs="仿宋_GB2312" w:eastAsia="仿宋_GB2312"/>
                      <w:sz w:val="28"/>
                    </w:rPr>
                    <w:t>CPU和内存的升级与降级操作，支持增加、减少磁盘；</w:t>
                  </w:r>
                </w:p>
              </w:tc>
            </w:tr>
            <w:tr>
              <w:tc>
                <w:tcPr>
                  <w:tcW w:type="dxa" w:w="5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4</w:t>
                  </w:r>
                </w:p>
              </w:tc>
              <w:tc>
                <w:tcPr>
                  <w:tcW w:type="dxa" w:w="844"/>
                  <w:vMerge/>
                  <w:tcBorders>
                    <w:top w:val="none" w:color="000000" w:sz="4"/>
                    <w:left w:val="none" w:color="000000" w:sz="4"/>
                    <w:bottom w:val="single" w:color="000000" w:sz="4"/>
                    <w:right w:val="single" w:color="000000" w:sz="4"/>
                  </w:tcBorders>
                </w:tcPr>
                <w:p/>
              </w:tc>
              <w:tc>
                <w:tcPr>
                  <w:tcW w:type="dxa" w:w="4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支持计算能力的水平弹性伸缩，可根据定时、周期或监控策略，增加或减少弹性服务器实例；</w:t>
                  </w:r>
                </w:p>
              </w:tc>
            </w:tr>
            <w:tr>
              <w:tc>
                <w:tcPr>
                  <w:tcW w:type="dxa" w:w="5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5</w:t>
                  </w:r>
                </w:p>
              </w:tc>
              <w:tc>
                <w:tcPr>
                  <w:tcW w:type="dxa" w:w="84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镜像服务</w:t>
                  </w:r>
                </w:p>
              </w:tc>
              <w:tc>
                <w:tcPr>
                  <w:tcW w:type="dxa" w:w="4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支持功能镜像、自定义镜像、整机镜像、系统盘镜像、数据盘镜像；</w:t>
                  </w:r>
                </w:p>
              </w:tc>
            </w:tr>
            <w:tr>
              <w:tc>
                <w:tcPr>
                  <w:tcW w:type="dxa" w:w="5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6</w:t>
                  </w:r>
                </w:p>
              </w:tc>
              <w:tc>
                <w:tcPr>
                  <w:tcW w:type="dxa" w:w="844"/>
                  <w:vMerge/>
                  <w:tcBorders>
                    <w:top w:val="none" w:color="000000" w:sz="4"/>
                    <w:left w:val="none" w:color="000000" w:sz="4"/>
                    <w:bottom w:val="single" w:color="000000" w:sz="4"/>
                    <w:right w:val="single" w:color="000000" w:sz="4"/>
                  </w:tcBorders>
                </w:tcPr>
                <w:p/>
              </w:tc>
              <w:tc>
                <w:tcPr>
                  <w:tcW w:type="dxa" w:w="4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镜像支持</w:t>
                  </w:r>
                  <w:r>
                    <w:rPr>
                      <w:rFonts w:ascii="仿宋_GB2312" w:hAnsi="仿宋_GB2312" w:cs="仿宋_GB2312" w:eastAsia="仿宋_GB2312"/>
                      <w:sz w:val="28"/>
                    </w:rPr>
                    <w:t>Windows和Linux</w:t>
                  </w:r>
                  <w:r>
                    <w:rPr>
                      <w:rFonts w:ascii="仿宋_GB2312" w:hAnsi="仿宋_GB2312" w:cs="仿宋_GB2312" w:eastAsia="仿宋_GB2312"/>
                      <w:sz w:val="28"/>
                    </w:rPr>
                    <w:t>等</w:t>
                  </w:r>
                  <w:r>
                    <w:rPr>
                      <w:rFonts w:ascii="仿宋_GB2312" w:hAnsi="仿宋_GB2312" w:cs="仿宋_GB2312" w:eastAsia="仿宋_GB2312"/>
                      <w:sz w:val="28"/>
                    </w:rPr>
                    <w:t>操作系统版本，兼容常见的操作系统；</w:t>
                  </w:r>
                </w:p>
              </w:tc>
            </w:tr>
            <w:tr>
              <w:tc>
                <w:tcPr>
                  <w:tcW w:type="dxa" w:w="5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7</w:t>
                  </w:r>
                </w:p>
              </w:tc>
              <w:tc>
                <w:tcPr>
                  <w:tcW w:type="dxa" w:w="844"/>
                  <w:vMerge/>
                  <w:tcBorders>
                    <w:top w:val="none" w:color="000000" w:sz="4"/>
                    <w:left w:val="none" w:color="000000" w:sz="4"/>
                    <w:bottom w:val="single" w:color="000000" w:sz="4"/>
                    <w:right w:val="single" w:color="000000" w:sz="4"/>
                  </w:tcBorders>
                </w:tcPr>
                <w:p/>
              </w:tc>
              <w:tc>
                <w:tcPr>
                  <w:tcW w:type="dxa" w:w="4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通过支撑服务终端和外部镜像文件均可创建私有镜像；支持通过镜像批量创建服务应用；</w:t>
                  </w:r>
                </w:p>
              </w:tc>
            </w:tr>
            <w:tr>
              <w:tc>
                <w:tcPr>
                  <w:tcW w:type="dxa" w:w="5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18</w:t>
                  </w:r>
                </w:p>
              </w:tc>
              <w:tc>
                <w:tcPr>
                  <w:tcW w:type="dxa" w:w="844"/>
                  <w:vMerge/>
                  <w:tcBorders>
                    <w:top w:val="none" w:color="000000" w:sz="4"/>
                    <w:left w:val="none" w:color="000000" w:sz="4"/>
                    <w:bottom w:val="single" w:color="000000" w:sz="4"/>
                    <w:right w:val="single" w:color="000000" w:sz="4"/>
                  </w:tcBorders>
                </w:tcPr>
                <w:p/>
              </w:tc>
              <w:tc>
                <w:tcPr>
                  <w:tcW w:type="dxa" w:w="4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镜像后端对应的镜像文件进行多份冗余存储，具有高数据持久性；</w:t>
                  </w:r>
                </w:p>
              </w:tc>
            </w:tr>
            <w:tr>
              <w:tc>
                <w:tcPr>
                  <w:tcW w:type="dxa" w:w="5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19</w:t>
                  </w:r>
                </w:p>
              </w:tc>
              <w:tc>
                <w:tcPr>
                  <w:tcW w:type="dxa" w:w="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国产化支持</w:t>
                  </w:r>
                </w:p>
              </w:tc>
              <w:tc>
                <w:tcPr>
                  <w:tcW w:type="dxa" w:w="4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支持基于</w:t>
                  </w:r>
                  <w:r>
                    <w:rPr>
                      <w:rFonts w:ascii="仿宋_GB2312" w:hAnsi="仿宋_GB2312" w:cs="仿宋_GB2312" w:eastAsia="仿宋_GB2312"/>
                      <w:sz w:val="28"/>
                    </w:rPr>
                    <w:t>ARM架构。</w:t>
                  </w:r>
                </w:p>
              </w:tc>
            </w:tr>
          </w:tbl>
          <w:p>
            <w:pPr>
              <w:pStyle w:val="null3"/>
              <w:jc w:val="left"/>
              <w:outlineLvl w:val="5"/>
            </w:pPr>
            <w:r>
              <w:rPr>
                <w:rFonts w:ascii="仿宋_GB2312" w:hAnsi="仿宋_GB2312" w:cs="仿宋_GB2312" w:eastAsia="仿宋_GB2312"/>
                <w:sz w:val="28"/>
                <w:b/>
              </w:rPr>
              <w:t>2.3.2基础环境支撑服务要求</w:t>
            </w:r>
          </w:p>
          <w:tbl>
            <w:tblPr>
              <w:tblBorders>
                <w:top w:val="none" w:color="000000" w:sz="4"/>
                <w:left w:val="none" w:color="000000" w:sz="4"/>
                <w:bottom w:val="none" w:color="000000" w:sz="4"/>
                <w:right w:val="none" w:color="000000" w:sz="4"/>
                <w:insideH w:val="none"/>
                <w:insideV w:val="none"/>
              </w:tblBorders>
            </w:tblPr>
            <w:tblGrid>
              <w:gridCol w:w="515"/>
              <w:gridCol w:w="904"/>
              <w:gridCol w:w="4179"/>
            </w:tblGrid>
            <w:tr>
              <w:tc>
                <w:tcPr>
                  <w:tcW w:type="dxa" w:w="51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序号</w:t>
                  </w:r>
                </w:p>
              </w:tc>
              <w:tc>
                <w:tcPr>
                  <w:tcW w:type="dxa" w:w="90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指标项</w:t>
                  </w:r>
                </w:p>
              </w:tc>
              <w:tc>
                <w:tcPr>
                  <w:tcW w:type="dxa" w:w="417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指标要求</w:t>
                  </w:r>
                </w:p>
              </w:tc>
            </w:tr>
            <w:tr>
              <w:tc>
                <w:tcPr>
                  <w:tcW w:type="dxa" w:w="5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90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基本功能</w:t>
                  </w:r>
                </w:p>
              </w:tc>
              <w:tc>
                <w:tcPr>
                  <w:tcW w:type="dxa" w:w="4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自主生命周期管理，订购（创建）、扩容、退订（删除）；</w:t>
                  </w:r>
                </w:p>
              </w:tc>
            </w:tr>
            <w:tr>
              <w:tc>
                <w:tcPr>
                  <w:tcW w:type="dxa" w:w="5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904"/>
                  <w:vMerge/>
                  <w:tcBorders>
                    <w:top w:val="none" w:color="000000" w:sz="4"/>
                    <w:left w:val="none" w:color="000000" w:sz="4"/>
                    <w:bottom w:val="single" w:color="000000" w:sz="4"/>
                    <w:right w:val="single" w:color="000000" w:sz="4"/>
                  </w:tcBorders>
                </w:tcPr>
                <w:p/>
              </w:tc>
              <w:tc>
                <w:tcPr>
                  <w:tcW w:type="dxa" w:w="4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提供基础环境支撑服务平台的日常操作管理能力，包括启动、停止、重启、</w:t>
                  </w:r>
                  <w:r>
                    <w:rPr>
                      <w:rFonts w:ascii="仿宋_GB2312" w:hAnsi="仿宋_GB2312" w:cs="仿宋_GB2312" w:eastAsia="仿宋_GB2312"/>
                      <w:sz w:val="28"/>
                    </w:rPr>
                    <w:t>SSH登录等；</w:t>
                  </w:r>
                </w:p>
              </w:tc>
            </w:tr>
            <w:tr>
              <w:tc>
                <w:tcPr>
                  <w:tcW w:type="dxa" w:w="5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904"/>
                  <w:vMerge/>
                  <w:tcBorders>
                    <w:top w:val="none" w:color="000000" w:sz="4"/>
                    <w:left w:val="none" w:color="000000" w:sz="4"/>
                    <w:bottom w:val="single" w:color="000000" w:sz="4"/>
                    <w:right w:val="single" w:color="000000" w:sz="4"/>
                  </w:tcBorders>
                </w:tcPr>
                <w:p/>
              </w:tc>
              <w:tc>
                <w:tcPr>
                  <w:tcW w:type="dxa" w:w="4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支持</w:t>
                  </w:r>
                  <w:r>
                    <w:rPr>
                      <w:rFonts w:ascii="仿宋_GB2312" w:hAnsi="仿宋_GB2312" w:cs="仿宋_GB2312" w:eastAsia="仿宋_GB2312"/>
                      <w:sz w:val="28"/>
                    </w:rPr>
                    <w:t>API，通过API调用完成基础环境支撑服务平台的生命周期管理；</w:t>
                  </w:r>
                </w:p>
              </w:tc>
            </w:tr>
            <w:tr>
              <w:tc>
                <w:tcPr>
                  <w:tcW w:type="dxa" w:w="5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904"/>
                  <w:vMerge/>
                  <w:tcBorders>
                    <w:top w:val="none" w:color="000000" w:sz="4"/>
                    <w:left w:val="none" w:color="000000" w:sz="4"/>
                    <w:bottom w:val="single" w:color="000000" w:sz="4"/>
                    <w:right w:val="single" w:color="000000" w:sz="4"/>
                  </w:tcBorders>
                </w:tcPr>
                <w:p/>
              </w:tc>
              <w:tc>
                <w:tcPr>
                  <w:tcW w:type="dxa" w:w="4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提供公共镜像，也支持基于公共镜像制作自定义的镜像，支持主流操作系统</w:t>
                  </w:r>
                  <w:r>
                    <w:rPr>
                      <w:rFonts w:ascii="仿宋_GB2312" w:hAnsi="仿宋_GB2312" w:cs="仿宋_GB2312" w:eastAsia="仿宋_GB2312"/>
                      <w:sz w:val="28"/>
                    </w:rPr>
                    <w:t>20+款；</w:t>
                  </w:r>
                </w:p>
              </w:tc>
            </w:tr>
            <w:tr>
              <w:tc>
                <w:tcPr>
                  <w:tcW w:type="dxa" w:w="5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90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存储</w:t>
                  </w:r>
                </w:p>
                <w:p>
                  <w:pPr>
                    <w:pStyle w:val="null3"/>
                    <w:jc w:val="center"/>
                  </w:pPr>
                  <w:r>
                    <w:rPr>
                      <w:rFonts w:ascii="仿宋_GB2312" w:hAnsi="仿宋_GB2312" w:cs="仿宋_GB2312" w:eastAsia="仿宋_GB2312"/>
                      <w:sz w:val="28"/>
                    </w:rPr>
                    <w:t>能力</w:t>
                  </w:r>
                </w:p>
              </w:tc>
              <w:tc>
                <w:tcPr>
                  <w:tcW w:type="dxa" w:w="4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提供带本地盘规格的机型，带高</w:t>
                  </w:r>
                  <w:r>
                    <w:rPr>
                      <w:rFonts w:ascii="仿宋_GB2312" w:hAnsi="仿宋_GB2312" w:cs="仿宋_GB2312" w:eastAsia="仿宋_GB2312"/>
                      <w:sz w:val="28"/>
                    </w:rPr>
                    <w:t>I/O和超高I/O规格；</w:t>
                  </w:r>
                </w:p>
              </w:tc>
            </w:tr>
            <w:tr>
              <w:tc>
                <w:tcPr>
                  <w:tcW w:type="dxa" w:w="5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6</w:t>
                  </w:r>
                </w:p>
              </w:tc>
              <w:tc>
                <w:tcPr>
                  <w:tcW w:type="dxa" w:w="904"/>
                  <w:vMerge/>
                  <w:tcBorders>
                    <w:top w:val="none" w:color="000000" w:sz="4"/>
                    <w:left w:val="none" w:color="000000" w:sz="4"/>
                    <w:bottom w:val="single" w:color="000000" w:sz="4"/>
                    <w:right w:val="single" w:color="000000" w:sz="4"/>
                  </w:tcBorders>
                </w:tcPr>
                <w:p/>
              </w:tc>
              <w:tc>
                <w:tcPr>
                  <w:tcW w:type="dxa" w:w="4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支持块存储共享卷，支持特殊应用场景（如</w:t>
                  </w:r>
                  <w:r>
                    <w:rPr>
                      <w:rFonts w:ascii="仿宋_GB2312" w:hAnsi="仿宋_GB2312" w:cs="仿宋_GB2312" w:eastAsia="仿宋_GB2312"/>
                      <w:sz w:val="28"/>
                    </w:rPr>
                    <w:t>OracleRAC），且存储容量弹性可变，满足用户不断发展的业务需要；</w:t>
                  </w:r>
                </w:p>
              </w:tc>
            </w:tr>
            <w:tr>
              <w:tc>
                <w:tcPr>
                  <w:tcW w:type="dxa" w:w="5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7</w:t>
                  </w:r>
                </w:p>
              </w:tc>
              <w:tc>
                <w:tcPr>
                  <w:tcW w:type="dxa" w:w="904"/>
                  <w:vMerge/>
                  <w:tcBorders>
                    <w:top w:val="none" w:color="000000" w:sz="4"/>
                    <w:left w:val="none" w:color="000000" w:sz="4"/>
                    <w:bottom w:val="single" w:color="000000" w:sz="4"/>
                    <w:right w:val="single" w:color="000000" w:sz="4"/>
                  </w:tcBorders>
                </w:tcPr>
                <w:p/>
              </w:tc>
              <w:tc>
                <w:tcPr>
                  <w:tcW w:type="dxa" w:w="4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支持挂载专属存储卷，用户独占分布式存储池或存储设备，不同用户的存储设备物理隔离；</w:t>
                  </w:r>
                </w:p>
              </w:tc>
            </w:tr>
            <w:tr>
              <w:tc>
                <w:tcPr>
                  <w:tcW w:type="dxa" w:w="5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8</w:t>
                  </w:r>
                </w:p>
              </w:tc>
              <w:tc>
                <w:tcPr>
                  <w:tcW w:type="dxa" w:w="904"/>
                  <w:vMerge/>
                  <w:tcBorders>
                    <w:top w:val="none" w:color="000000" w:sz="4"/>
                    <w:left w:val="none" w:color="000000" w:sz="4"/>
                    <w:bottom w:val="single" w:color="000000" w:sz="4"/>
                    <w:right w:val="single" w:color="000000" w:sz="4"/>
                  </w:tcBorders>
                </w:tcPr>
                <w:p/>
              </w:tc>
              <w:tc>
                <w:tcPr>
                  <w:tcW w:type="dxa" w:w="4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支持平台内整机备份，可以将数据恢复到初始状态；</w:t>
                  </w:r>
                </w:p>
              </w:tc>
            </w:tr>
            <w:tr>
              <w:tc>
                <w:tcPr>
                  <w:tcW w:type="dxa" w:w="5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9</w:t>
                  </w:r>
                </w:p>
              </w:tc>
              <w:tc>
                <w:tcPr>
                  <w:tcW w:type="dxa" w:w="904"/>
                  <w:vMerge/>
                  <w:tcBorders>
                    <w:top w:val="none" w:color="000000" w:sz="4"/>
                    <w:left w:val="none" w:color="000000" w:sz="4"/>
                    <w:bottom w:val="single" w:color="000000" w:sz="4"/>
                    <w:right w:val="single" w:color="000000" w:sz="4"/>
                  </w:tcBorders>
                </w:tcPr>
                <w:p/>
              </w:tc>
              <w:tc>
                <w:tcPr>
                  <w:tcW w:type="dxa" w:w="4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提供</w:t>
                  </w:r>
                  <w:r>
                    <w:rPr>
                      <w:rFonts w:ascii="仿宋_GB2312" w:hAnsi="仿宋_GB2312" w:cs="仿宋_GB2312" w:eastAsia="仿宋_GB2312"/>
                      <w:sz w:val="28"/>
                    </w:rPr>
                    <w:t>2T以上内存的物理机</w:t>
                  </w:r>
                </w:p>
              </w:tc>
            </w:tr>
            <w:tr>
              <w:tc>
                <w:tcPr>
                  <w:tcW w:type="dxa" w:w="5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10</w:t>
                  </w:r>
                </w:p>
              </w:tc>
              <w:tc>
                <w:tcPr>
                  <w:tcW w:type="dxa" w:w="90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数据</w:t>
                  </w:r>
                </w:p>
                <w:p>
                  <w:pPr>
                    <w:pStyle w:val="null3"/>
                    <w:jc w:val="center"/>
                  </w:pPr>
                  <w:r>
                    <w:rPr>
                      <w:rFonts w:ascii="仿宋_GB2312" w:hAnsi="仿宋_GB2312" w:cs="仿宋_GB2312" w:eastAsia="仿宋_GB2312"/>
                      <w:sz w:val="28"/>
                    </w:rPr>
                    <w:t>交换</w:t>
                  </w:r>
                </w:p>
                <w:p>
                  <w:pPr>
                    <w:pStyle w:val="null3"/>
                    <w:jc w:val="center"/>
                  </w:pPr>
                  <w:r>
                    <w:rPr>
                      <w:rFonts w:ascii="仿宋_GB2312" w:hAnsi="仿宋_GB2312" w:cs="仿宋_GB2312" w:eastAsia="仿宋_GB2312"/>
                      <w:sz w:val="28"/>
                    </w:rPr>
                    <w:t>能力</w:t>
                  </w:r>
                </w:p>
              </w:tc>
              <w:tc>
                <w:tcPr>
                  <w:tcW w:type="dxa" w:w="4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裸机网络结合</w:t>
                  </w:r>
                  <w:r>
                    <w:rPr>
                      <w:rFonts w:ascii="仿宋_GB2312" w:hAnsi="仿宋_GB2312" w:cs="仿宋_GB2312" w:eastAsia="仿宋_GB2312"/>
                      <w:sz w:val="28"/>
                    </w:rPr>
                    <w:t>VPC服务，可以使用子网等资源，为物理机提供VPN、专线接入等能力；</w:t>
                  </w:r>
                </w:p>
              </w:tc>
            </w:tr>
            <w:tr>
              <w:tc>
                <w:tcPr>
                  <w:tcW w:type="dxa" w:w="5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11</w:t>
                  </w:r>
                </w:p>
              </w:tc>
              <w:tc>
                <w:tcPr>
                  <w:tcW w:type="dxa" w:w="904"/>
                  <w:vMerge/>
                  <w:tcBorders>
                    <w:top w:val="none" w:color="000000" w:sz="4"/>
                    <w:left w:val="none" w:color="000000" w:sz="4"/>
                    <w:bottom w:val="single" w:color="000000" w:sz="4"/>
                    <w:right w:val="single" w:color="000000" w:sz="4"/>
                  </w:tcBorders>
                </w:tcPr>
                <w:p/>
              </w:tc>
              <w:tc>
                <w:tcPr>
                  <w:tcW w:type="dxa" w:w="4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支持安全组，申请时可以配置安全组；</w:t>
                  </w:r>
                </w:p>
              </w:tc>
            </w:tr>
            <w:tr>
              <w:tc>
                <w:tcPr>
                  <w:tcW w:type="dxa" w:w="5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12</w:t>
                  </w:r>
                </w:p>
              </w:tc>
              <w:tc>
                <w:tcPr>
                  <w:tcW w:type="dxa" w:w="904"/>
                  <w:vMerge/>
                  <w:tcBorders>
                    <w:top w:val="none" w:color="000000" w:sz="4"/>
                    <w:left w:val="none" w:color="000000" w:sz="4"/>
                    <w:bottom w:val="single" w:color="000000" w:sz="4"/>
                    <w:right w:val="single" w:color="000000" w:sz="4"/>
                  </w:tcBorders>
                </w:tcPr>
                <w:p/>
              </w:tc>
              <w:tc>
                <w:tcPr>
                  <w:tcW w:type="dxa" w:w="4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支持对接专线、虚拟防火墙；</w:t>
                  </w:r>
                </w:p>
              </w:tc>
            </w:tr>
            <w:tr>
              <w:tc>
                <w:tcPr>
                  <w:tcW w:type="dxa" w:w="5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13</w:t>
                  </w:r>
                </w:p>
              </w:tc>
              <w:tc>
                <w:tcPr>
                  <w:tcW w:type="dxa" w:w="90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运维</w:t>
                  </w:r>
                </w:p>
                <w:p>
                  <w:pPr>
                    <w:pStyle w:val="null3"/>
                    <w:jc w:val="center"/>
                  </w:pPr>
                  <w:r>
                    <w:rPr>
                      <w:rFonts w:ascii="仿宋_GB2312" w:hAnsi="仿宋_GB2312" w:cs="仿宋_GB2312" w:eastAsia="仿宋_GB2312"/>
                      <w:sz w:val="28"/>
                    </w:rPr>
                    <w:t>能力</w:t>
                  </w:r>
                </w:p>
              </w:tc>
              <w:tc>
                <w:tcPr>
                  <w:tcW w:type="dxa" w:w="4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提供通过带外方式远程登录，及时定位问题和处理故障；</w:t>
                  </w:r>
                </w:p>
              </w:tc>
            </w:tr>
            <w:tr>
              <w:tc>
                <w:tcPr>
                  <w:tcW w:type="dxa" w:w="5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14</w:t>
                  </w:r>
                </w:p>
              </w:tc>
              <w:tc>
                <w:tcPr>
                  <w:tcW w:type="dxa" w:w="904"/>
                  <w:vMerge/>
                  <w:tcBorders>
                    <w:top w:val="none" w:color="000000" w:sz="4"/>
                    <w:left w:val="none" w:color="000000" w:sz="4"/>
                    <w:bottom w:val="single" w:color="000000" w:sz="4"/>
                    <w:right w:val="single" w:color="000000" w:sz="4"/>
                  </w:tcBorders>
                </w:tcPr>
                <w:p/>
              </w:tc>
              <w:tc>
                <w:tcPr>
                  <w:tcW w:type="dxa" w:w="4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实现故障重建。故障场景下能够在新的物理机上恢复业务；</w:t>
                  </w:r>
                </w:p>
              </w:tc>
            </w:tr>
            <w:tr>
              <w:tc>
                <w:tcPr>
                  <w:tcW w:type="dxa" w:w="5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15</w:t>
                  </w:r>
                </w:p>
              </w:tc>
              <w:tc>
                <w:tcPr>
                  <w:tcW w:type="dxa" w:w="904"/>
                  <w:vMerge/>
                  <w:tcBorders>
                    <w:top w:val="none" w:color="000000" w:sz="4"/>
                    <w:left w:val="none" w:color="000000" w:sz="4"/>
                    <w:bottom w:val="single" w:color="000000" w:sz="4"/>
                    <w:right w:val="single" w:color="000000" w:sz="4"/>
                  </w:tcBorders>
                </w:tcPr>
                <w:p/>
              </w:tc>
              <w:tc>
                <w:tcPr>
                  <w:tcW w:type="dxa" w:w="4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w:t>
                  </w:r>
                  <w:r>
                    <w:rPr>
                      <w:rFonts w:ascii="仿宋_GB2312" w:hAnsi="仿宋_GB2312" w:cs="仿宋_GB2312" w:eastAsia="仿宋_GB2312"/>
                      <w:sz w:val="28"/>
                    </w:rPr>
                    <w:t>OS重装，支持租户自助重装现有OS；</w:t>
                  </w:r>
                </w:p>
              </w:tc>
            </w:tr>
            <w:tr>
              <w:tc>
                <w:tcPr>
                  <w:tcW w:type="dxa" w:w="5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16</w:t>
                  </w:r>
                </w:p>
              </w:tc>
              <w:tc>
                <w:tcPr>
                  <w:tcW w:type="dxa" w:w="90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安全</w:t>
                  </w:r>
                </w:p>
                <w:p>
                  <w:pPr>
                    <w:pStyle w:val="null3"/>
                    <w:jc w:val="center"/>
                  </w:pPr>
                  <w:r>
                    <w:rPr>
                      <w:rFonts w:ascii="仿宋_GB2312" w:hAnsi="仿宋_GB2312" w:cs="仿宋_GB2312" w:eastAsia="仿宋_GB2312"/>
                      <w:sz w:val="28"/>
                    </w:rPr>
                    <w:t>能力</w:t>
                  </w:r>
                </w:p>
              </w:tc>
              <w:tc>
                <w:tcPr>
                  <w:tcW w:type="dxa" w:w="4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支持防</w:t>
                  </w:r>
                  <w:r>
                    <w:rPr>
                      <w:rFonts w:ascii="仿宋_GB2312" w:hAnsi="仿宋_GB2312" w:cs="仿宋_GB2312" w:eastAsia="仿宋_GB2312"/>
                      <w:sz w:val="28"/>
                    </w:rPr>
                    <w:t>ARP欺骗，支持防DDOS攻击；</w:t>
                  </w:r>
                </w:p>
              </w:tc>
            </w:tr>
            <w:tr>
              <w:tc>
                <w:tcPr>
                  <w:tcW w:type="dxa" w:w="5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17</w:t>
                  </w:r>
                </w:p>
              </w:tc>
              <w:tc>
                <w:tcPr>
                  <w:tcW w:type="dxa" w:w="904"/>
                  <w:vMerge/>
                  <w:tcBorders>
                    <w:top w:val="none" w:color="000000" w:sz="4"/>
                    <w:left w:val="none" w:color="000000" w:sz="4"/>
                    <w:bottom w:val="single" w:color="000000" w:sz="4"/>
                    <w:right w:val="single" w:color="000000" w:sz="4"/>
                  </w:tcBorders>
                </w:tcPr>
                <w:p/>
              </w:tc>
              <w:tc>
                <w:tcPr>
                  <w:tcW w:type="dxa" w:w="4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自定义防火墙功能，新创建的应用支撑环境要求默认防火墙中关闭除管理端口之外的所有端口；</w:t>
                  </w:r>
                </w:p>
              </w:tc>
            </w:tr>
          </w:tbl>
          <w:p>
            <w:pPr>
              <w:pStyle w:val="null3"/>
              <w:jc w:val="left"/>
              <w:outlineLvl w:val="5"/>
            </w:pPr>
            <w:r>
              <w:rPr>
                <w:rFonts w:ascii="仿宋_GB2312" w:hAnsi="仿宋_GB2312" w:cs="仿宋_GB2312" w:eastAsia="仿宋_GB2312"/>
                <w:sz w:val="28"/>
                <w:b/>
              </w:rPr>
              <w:t>2.3.3计算资源池要求</w:t>
            </w:r>
          </w:p>
          <w:tbl>
            <w:tblPr>
              <w:tblBorders>
                <w:top w:val="none" w:color="000000" w:sz="4"/>
                <w:left w:val="none" w:color="000000" w:sz="4"/>
                <w:bottom w:val="none" w:color="000000" w:sz="4"/>
                <w:right w:val="none" w:color="000000" w:sz="4"/>
                <w:insideH w:val="none"/>
                <w:insideV w:val="none"/>
              </w:tblBorders>
            </w:tblPr>
            <w:tblGrid>
              <w:gridCol w:w="622"/>
              <w:gridCol w:w="1219"/>
              <w:gridCol w:w="3758"/>
            </w:tblGrid>
            <w:tr>
              <w:tc>
                <w:tcPr>
                  <w:tcW w:type="dxa" w:w="62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序号</w:t>
                  </w:r>
                </w:p>
              </w:tc>
              <w:tc>
                <w:tcPr>
                  <w:tcW w:type="dxa" w:w="121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指标项</w:t>
                  </w:r>
                </w:p>
              </w:tc>
              <w:tc>
                <w:tcPr>
                  <w:tcW w:type="dxa" w:w="375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指标要求</w:t>
                  </w:r>
                </w:p>
              </w:tc>
            </w:tr>
            <w:tr>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219"/>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资源基本功能</w:t>
                  </w:r>
                </w:p>
              </w:tc>
              <w:tc>
                <w:tcPr>
                  <w:tcW w:type="dxa" w:w="37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基于</w:t>
                  </w:r>
                  <w:r>
                    <w:rPr>
                      <w:rFonts w:ascii="仿宋_GB2312" w:hAnsi="仿宋_GB2312" w:cs="仿宋_GB2312" w:eastAsia="仿宋_GB2312"/>
                      <w:sz w:val="28"/>
                    </w:rPr>
                    <w:t>X86和自主可控的ARM架构服务器搭建混合计算资源池；</w:t>
                  </w:r>
                </w:p>
              </w:tc>
            </w:tr>
            <w:tr>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1219"/>
                  <w:vMerge/>
                  <w:tcBorders>
                    <w:top w:val="none" w:color="000000" w:sz="4"/>
                    <w:left w:val="none" w:color="000000" w:sz="4"/>
                    <w:bottom w:val="single" w:color="000000" w:sz="4"/>
                    <w:right w:val="single" w:color="000000" w:sz="4"/>
                  </w:tcBorders>
                </w:tcPr>
                <w:p/>
              </w:tc>
              <w:tc>
                <w:tcPr>
                  <w:tcW w:type="dxa" w:w="37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支持资源基本功能动态调整。</w:t>
                  </w:r>
                </w:p>
              </w:tc>
            </w:tr>
            <w:tr>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1219"/>
                  <w:vMerge/>
                  <w:tcBorders>
                    <w:top w:val="none" w:color="000000" w:sz="4"/>
                    <w:left w:val="none" w:color="000000" w:sz="4"/>
                    <w:bottom w:val="single" w:color="000000" w:sz="4"/>
                    <w:right w:val="single" w:color="000000" w:sz="4"/>
                  </w:tcBorders>
                </w:tcPr>
                <w:p/>
              </w:tc>
              <w:tc>
                <w:tcPr>
                  <w:tcW w:type="dxa" w:w="37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▲支持镜像导入，支持导入的镜像格式：vhd,vmdk,qcow2,raw（供应商需</w:t>
                  </w:r>
                  <w:r>
                    <w:rPr>
                      <w:rFonts w:ascii="仿宋_GB2312" w:hAnsi="仿宋_GB2312" w:cs="仿宋_GB2312" w:eastAsia="仿宋_GB2312"/>
                      <w:sz w:val="28"/>
                    </w:rPr>
                    <w:t>提供服务</w:t>
                  </w:r>
                  <w:r>
                    <w:rPr>
                      <w:rFonts w:ascii="仿宋_GB2312" w:hAnsi="仿宋_GB2312" w:cs="仿宋_GB2312" w:eastAsia="仿宋_GB2312"/>
                      <w:sz w:val="28"/>
                    </w:rPr>
                    <w:t>产品</w:t>
                  </w:r>
                  <w:r>
                    <w:rPr>
                      <w:rFonts w:ascii="仿宋_GB2312" w:hAnsi="仿宋_GB2312" w:cs="仿宋_GB2312" w:eastAsia="仿宋_GB2312"/>
                      <w:sz w:val="28"/>
                    </w:rPr>
                    <w:t>的</w:t>
                  </w:r>
                  <w:r>
                    <w:rPr>
                      <w:rFonts w:ascii="仿宋_GB2312" w:hAnsi="仿宋_GB2312" w:cs="仿宋_GB2312" w:eastAsia="仿宋_GB2312"/>
                      <w:sz w:val="28"/>
                    </w:rPr>
                    <w:t>官网截图或功能截图并加盖供应商公章）</w:t>
                  </w:r>
                </w:p>
              </w:tc>
            </w:tr>
            <w:tr>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1219"/>
                  <w:vMerge/>
                  <w:tcBorders>
                    <w:top w:val="none" w:color="000000" w:sz="4"/>
                    <w:left w:val="none" w:color="000000" w:sz="4"/>
                    <w:bottom w:val="single" w:color="000000" w:sz="4"/>
                    <w:right w:val="single" w:color="000000" w:sz="4"/>
                  </w:tcBorders>
                </w:tcPr>
                <w:p/>
              </w:tc>
              <w:tc>
                <w:tcPr>
                  <w:tcW w:type="dxa" w:w="37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删除用户磁盘时，支持选择是否彻底清除磁盘数据，避免利用工具对数据进行恢复，以保证数据的安全；</w:t>
                  </w:r>
                </w:p>
              </w:tc>
            </w:tr>
            <w:tr>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1219"/>
                  <w:vMerge/>
                  <w:tcBorders>
                    <w:top w:val="none" w:color="000000" w:sz="4"/>
                    <w:left w:val="none" w:color="000000" w:sz="4"/>
                    <w:bottom w:val="single" w:color="000000" w:sz="4"/>
                    <w:right w:val="single" w:color="000000" w:sz="4"/>
                  </w:tcBorders>
                </w:tcPr>
                <w:p/>
              </w:tc>
              <w:tc>
                <w:tcPr>
                  <w:tcW w:type="dxa" w:w="37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支持服务终端</w:t>
                  </w:r>
                  <w:r>
                    <w:rPr>
                      <w:rFonts w:ascii="仿宋_GB2312" w:hAnsi="仿宋_GB2312" w:cs="仿宋_GB2312" w:eastAsia="仿宋_GB2312"/>
                      <w:sz w:val="28"/>
                    </w:rPr>
                    <w:t>HA功能：资源系统在服务器硬件故障导致服务终端宕机的情况下，可自动地将服务终端在其它正常的服务器启动，恢复服务终端上业务运行；</w:t>
                  </w:r>
                </w:p>
              </w:tc>
            </w:tr>
            <w:tr>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6</w:t>
                  </w:r>
                </w:p>
              </w:tc>
              <w:tc>
                <w:tcPr>
                  <w:tcW w:type="dxa" w:w="4977"/>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★需满足财政部 工业和信息化部关于印发《通用服务器政府采购需求标准（2023年版）》的通知中的全部实质性要求</w:t>
                  </w:r>
                  <w:r>
                    <w:rPr>
                      <w:rFonts w:ascii="仿宋_GB2312" w:hAnsi="仿宋_GB2312" w:cs="仿宋_GB2312" w:eastAsia="仿宋_GB2312"/>
                      <w:sz w:val="28"/>
                    </w:rPr>
                    <w:t>。</w:t>
                  </w:r>
                </w:p>
              </w:tc>
            </w:tr>
          </w:tbl>
          <w:p>
            <w:pPr>
              <w:pStyle w:val="null3"/>
              <w:jc w:val="left"/>
            </w:pPr>
            <w:r>
              <w:rPr>
                <w:rFonts w:ascii="仿宋_GB2312" w:hAnsi="仿宋_GB2312" w:cs="仿宋_GB2312" w:eastAsia="仿宋_GB2312"/>
                <w:sz w:val="28"/>
                <w:b/>
              </w:rPr>
              <w:t>2.4存储资源服务要求</w:t>
            </w:r>
          </w:p>
          <w:p>
            <w:pPr>
              <w:pStyle w:val="null3"/>
              <w:jc w:val="left"/>
              <w:outlineLvl w:val="5"/>
            </w:pPr>
            <w:r>
              <w:rPr>
                <w:rFonts w:ascii="仿宋_GB2312" w:hAnsi="仿宋_GB2312" w:cs="仿宋_GB2312" w:eastAsia="仿宋_GB2312"/>
                <w:sz w:val="28"/>
                <w:b/>
              </w:rPr>
              <w:t>2.4.1</w:t>
            </w:r>
            <w:r>
              <w:rPr>
                <w:rFonts w:ascii="仿宋_GB2312" w:hAnsi="仿宋_GB2312" w:cs="仿宋_GB2312" w:eastAsia="仿宋_GB2312"/>
                <w:sz w:val="24"/>
                <w:b/>
              </w:rPr>
              <w:t xml:space="preserve"> </w:t>
            </w:r>
            <w:r>
              <w:rPr>
                <w:rFonts w:ascii="仿宋_GB2312" w:hAnsi="仿宋_GB2312" w:cs="仿宋_GB2312" w:eastAsia="仿宋_GB2312"/>
                <w:sz w:val="28"/>
                <w:b/>
              </w:rPr>
              <w:t>块存储要求</w:t>
            </w:r>
          </w:p>
          <w:tbl>
            <w:tblPr>
              <w:tblBorders>
                <w:top w:val="none" w:color="000000" w:sz="4"/>
                <w:left w:val="none" w:color="000000" w:sz="4"/>
                <w:bottom w:val="none" w:color="000000" w:sz="4"/>
                <w:right w:val="none" w:color="000000" w:sz="4"/>
                <w:insideH w:val="none"/>
                <w:insideV w:val="none"/>
              </w:tblBorders>
            </w:tblPr>
            <w:tblGrid>
              <w:gridCol w:w="504"/>
              <w:gridCol w:w="596"/>
              <w:gridCol w:w="4499"/>
            </w:tblGrid>
            <w:tr>
              <w:tc>
                <w:tcPr>
                  <w:tcW w:type="dxa" w:w="50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序号</w:t>
                  </w:r>
                </w:p>
              </w:tc>
              <w:tc>
                <w:tcPr>
                  <w:tcW w:type="dxa" w:w="59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指标项</w:t>
                  </w:r>
                </w:p>
              </w:tc>
              <w:tc>
                <w:tcPr>
                  <w:tcW w:type="dxa" w:w="449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指标要求</w:t>
                  </w:r>
                </w:p>
              </w:tc>
            </w:tr>
            <w:tr>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59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基本</w:t>
                  </w:r>
                </w:p>
                <w:p>
                  <w:pPr>
                    <w:pStyle w:val="null3"/>
                    <w:jc w:val="center"/>
                  </w:pPr>
                  <w:r>
                    <w:rPr>
                      <w:rFonts w:ascii="仿宋_GB2312" w:hAnsi="仿宋_GB2312" w:cs="仿宋_GB2312" w:eastAsia="仿宋_GB2312"/>
                      <w:sz w:val="28"/>
                    </w:rPr>
                    <w:t>功能</w:t>
                  </w:r>
                </w:p>
              </w:tc>
              <w:tc>
                <w:tcPr>
                  <w:tcW w:type="dxa" w:w="4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能够为</w:t>
                  </w:r>
                  <w:r>
                    <w:rPr>
                      <w:rFonts w:ascii="仿宋_GB2312" w:hAnsi="仿宋_GB2312" w:cs="仿宋_GB2312" w:eastAsia="仿宋_GB2312"/>
                      <w:sz w:val="28"/>
                    </w:rPr>
                    <w:t>server提供高I/O和超高I/O磁盘；</w:t>
                  </w:r>
                </w:p>
              </w:tc>
            </w:tr>
            <w:tr>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596"/>
                  <w:vMerge/>
                  <w:tcBorders>
                    <w:top w:val="none" w:color="000000" w:sz="4"/>
                    <w:left w:val="none" w:color="000000" w:sz="4"/>
                    <w:bottom w:val="single" w:color="000000" w:sz="4"/>
                    <w:right w:val="single" w:color="000000" w:sz="4"/>
                  </w:tcBorders>
                </w:tcPr>
                <w:p/>
              </w:tc>
              <w:tc>
                <w:tcPr>
                  <w:tcW w:type="dxa" w:w="4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提供专属存储集群，为关键业务系统或部门提供隔离的存储集群；</w:t>
                  </w:r>
                </w:p>
              </w:tc>
            </w:tr>
            <w:tr>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596"/>
                  <w:vMerge/>
                  <w:tcBorders>
                    <w:top w:val="none" w:color="000000" w:sz="4"/>
                    <w:left w:val="none" w:color="000000" w:sz="4"/>
                    <w:bottom w:val="single" w:color="000000" w:sz="4"/>
                    <w:right w:val="single" w:color="000000" w:sz="4"/>
                  </w:tcBorders>
                </w:tcPr>
                <w:p/>
              </w:tc>
              <w:tc>
                <w:tcPr>
                  <w:tcW w:type="dxa" w:w="4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支持磁盘的创建和删除，挂载与卸载等；</w:t>
                  </w:r>
                </w:p>
              </w:tc>
            </w:tr>
            <w:tr>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596"/>
                  <w:vMerge/>
                  <w:tcBorders>
                    <w:top w:val="none" w:color="000000" w:sz="4"/>
                    <w:left w:val="none" w:color="000000" w:sz="4"/>
                    <w:bottom w:val="single" w:color="000000" w:sz="4"/>
                    <w:right w:val="single" w:color="000000" w:sz="4"/>
                  </w:tcBorders>
                </w:tcPr>
                <w:p/>
              </w:tc>
              <w:tc>
                <w:tcPr>
                  <w:tcW w:type="dxa" w:w="4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提供快照的创建，删除，恢复到原磁盘，回滚等功能；</w:t>
                  </w:r>
                </w:p>
              </w:tc>
            </w:tr>
            <w:tr>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596"/>
                  <w:vMerge/>
                  <w:tcBorders>
                    <w:top w:val="none" w:color="000000" w:sz="4"/>
                    <w:left w:val="none" w:color="000000" w:sz="4"/>
                    <w:bottom w:val="single" w:color="000000" w:sz="4"/>
                    <w:right w:val="single" w:color="000000" w:sz="4"/>
                  </w:tcBorders>
                </w:tcPr>
                <w:p/>
              </w:tc>
              <w:tc>
                <w:tcPr>
                  <w:tcW w:type="dxa" w:w="4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提供控制台、</w:t>
                  </w:r>
                  <w:r>
                    <w:rPr>
                      <w:rFonts w:ascii="仿宋_GB2312" w:hAnsi="仿宋_GB2312" w:cs="仿宋_GB2312" w:eastAsia="仿宋_GB2312"/>
                      <w:sz w:val="28"/>
                    </w:rPr>
                    <w:t>API及远程终端等多种管理方式；</w:t>
                  </w:r>
                </w:p>
              </w:tc>
            </w:tr>
            <w:tr>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6</w:t>
                  </w:r>
                </w:p>
              </w:tc>
              <w:tc>
                <w:tcPr>
                  <w:tcW w:type="dxa" w:w="596"/>
                  <w:vMerge/>
                  <w:tcBorders>
                    <w:top w:val="none" w:color="000000" w:sz="4"/>
                    <w:left w:val="none" w:color="000000" w:sz="4"/>
                    <w:bottom w:val="single" w:color="000000" w:sz="4"/>
                    <w:right w:val="single" w:color="000000" w:sz="4"/>
                  </w:tcBorders>
                </w:tcPr>
                <w:p/>
              </w:tc>
              <w:tc>
                <w:tcPr>
                  <w:tcW w:type="dxa" w:w="4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能够进行块设备的在线备份，能够支持针对任意备份点进行回滚恢复等操作；</w:t>
                  </w:r>
                </w:p>
              </w:tc>
            </w:tr>
            <w:tr>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7</w:t>
                  </w:r>
                </w:p>
              </w:tc>
              <w:tc>
                <w:tcPr>
                  <w:tcW w:type="dxa" w:w="596"/>
                  <w:vMerge/>
                  <w:tcBorders>
                    <w:top w:val="none" w:color="000000" w:sz="4"/>
                    <w:left w:val="none" w:color="000000" w:sz="4"/>
                    <w:bottom w:val="single" w:color="000000" w:sz="4"/>
                    <w:right w:val="single" w:color="000000" w:sz="4"/>
                  </w:tcBorders>
                </w:tcPr>
                <w:p/>
              </w:tc>
              <w:tc>
                <w:tcPr>
                  <w:tcW w:type="dxa" w:w="4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▲支持单个磁盘最大32TB，支持单个主机最多挂载16块磁盘，满足大容量和大规格主机业务场景。（供应商需提供</w:t>
                  </w:r>
                  <w:r>
                    <w:rPr>
                      <w:rFonts w:ascii="仿宋_GB2312" w:hAnsi="仿宋_GB2312" w:cs="仿宋_GB2312" w:eastAsia="仿宋_GB2312"/>
                      <w:sz w:val="28"/>
                    </w:rPr>
                    <w:t>服务</w:t>
                  </w:r>
                  <w:r>
                    <w:rPr>
                      <w:rFonts w:ascii="仿宋_GB2312" w:hAnsi="仿宋_GB2312" w:cs="仿宋_GB2312" w:eastAsia="仿宋_GB2312"/>
                      <w:sz w:val="28"/>
                    </w:rPr>
                    <w:t>产品</w:t>
                  </w:r>
                  <w:r>
                    <w:rPr>
                      <w:rFonts w:ascii="仿宋_GB2312" w:hAnsi="仿宋_GB2312" w:cs="仿宋_GB2312" w:eastAsia="仿宋_GB2312"/>
                      <w:sz w:val="28"/>
                    </w:rPr>
                    <w:t>的</w:t>
                  </w:r>
                  <w:r>
                    <w:rPr>
                      <w:rFonts w:ascii="仿宋_GB2312" w:hAnsi="仿宋_GB2312" w:cs="仿宋_GB2312" w:eastAsia="仿宋_GB2312"/>
                      <w:sz w:val="28"/>
                    </w:rPr>
                    <w:t>官网截图或功能截图并加盖供应商公章）</w:t>
                  </w:r>
                </w:p>
              </w:tc>
            </w:tr>
            <w:tr>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8</w:t>
                  </w:r>
                </w:p>
              </w:tc>
              <w:tc>
                <w:tcPr>
                  <w:tcW w:type="dxa" w:w="5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高可用</w:t>
                  </w:r>
                </w:p>
              </w:tc>
              <w:tc>
                <w:tcPr>
                  <w:tcW w:type="dxa" w:w="4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无单点故障，</w:t>
                  </w:r>
                  <w:r>
                    <w:rPr>
                      <w:rFonts w:ascii="仿宋_GB2312" w:hAnsi="仿宋_GB2312" w:cs="仿宋_GB2312" w:eastAsia="仿宋_GB2312"/>
                      <w:sz w:val="28"/>
                    </w:rPr>
                    <w:t>3副本存储(每个server与存储均需要有3份分布于不同机架的副本)</w:t>
                  </w:r>
                </w:p>
              </w:tc>
            </w:tr>
          </w:tbl>
          <w:p>
            <w:pPr>
              <w:pStyle w:val="null3"/>
              <w:jc w:val="left"/>
              <w:outlineLvl w:val="5"/>
            </w:pPr>
            <w:r>
              <w:rPr>
                <w:rFonts w:ascii="仿宋_GB2312" w:hAnsi="仿宋_GB2312" w:cs="仿宋_GB2312" w:eastAsia="仿宋_GB2312"/>
                <w:sz w:val="28"/>
                <w:b/>
              </w:rPr>
              <w:t>2.4.2对象存储要求</w:t>
            </w:r>
          </w:p>
          <w:tbl>
            <w:tblPr>
              <w:tblBorders>
                <w:top w:val="none" w:color="000000" w:sz="4"/>
                <w:left w:val="none" w:color="000000" w:sz="4"/>
                <w:bottom w:val="none" w:color="000000" w:sz="4"/>
                <w:right w:val="none" w:color="000000" w:sz="4"/>
                <w:insideH w:val="none"/>
                <w:insideV w:val="none"/>
              </w:tblBorders>
            </w:tblPr>
            <w:tblGrid>
              <w:gridCol w:w="320"/>
              <w:gridCol w:w="453"/>
              <w:gridCol w:w="4824"/>
            </w:tblGrid>
            <w:tr>
              <w:tc>
                <w:tcPr>
                  <w:tcW w:type="dxa" w:w="32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序号</w:t>
                  </w:r>
                </w:p>
              </w:tc>
              <w:tc>
                <w:tcPr>
                  <w:tcW w:type="dxa" w:w="45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指标项</w:t>
                  </w:r>
                </w:p>
              </w:tc>
              <w:tc>
                <w:tcPr>
                  <w:tcW w:type="dxa" w:w="482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指标要求</w:t>
                  </w:r>
                </w:p>
              </w:tc>
            </w:tr>
            <w:tr>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45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基本功能</w:t>
                  </w:r>
                </w:p>
              </w:tc>
              <w:tc>
                <w:tcPr>
                  <w:tcW w:type="dxa" w:w="48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8"/>
                    </w:rPr>
                    <w:t>★</w:t>
                  </w:r>
                  <w:r>
                    <w:rPr>
                      <w:rFonts w:ascii="仿宋_GB2312" w:hAnsi="仿宋_GB2312" w:cs="仿宋_GB2312" w:eastAsia="仿宋_GB2312"/>
                      <w:sz w:val="28"/>
                    </w:rPr>
                    <w:t>根据实际业务需求，存储容量可弹性扩展，扩展过程不影响业务正常运行，可满足业务长期发展的存储需求；</w:t>
                  </w:r>
                </w:p>
              </w:tc>
            </w:tr>
            <w:tr>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453"/>
                  <w:vMerge/>
                  <w:tcBorders>
                    <w:top w:val="none" w:color="000000" w:sz="4"/>
                    <w:left w:val="none" w:color="000000" w:sz="4"/>
                    <w:bottom w:val="single" w:color="000000" w:sz="4"/>
                    <w:right w:val="single" w:color="000000" w:sz="4"/>
                  </w:tcBorders>
                </w:tcPr>
                <w:p/>
              </w:tc>
              <w:tc>
                <w:tcPr>
                  <w:tcW w:type="dxa" w:w="48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支持将数据以对象文件方式进行存储，用户可以通过调用</w:t>
                  </w:r>
                  <w:r>
                    <w:rPr>
                      <w:rFonts w:ascii="仿宋_GB2312" w:hAnsi="仿宋_GB2312" w:cs="仿宋_GB2312" w:eastAsia="仿宋_GB2312"/>
                      <w:sz w:val="28"/>
                    </w:rPr>
                    <w:t>API操纵存储的数据，实现在任何应用、任何时间、任何地点上传和下载数据；</w:t>
                  </w:r>
                </w:p>
              </w:tc>
            </w:tr>
            <w:tr>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453"/>
                  <w:vMerge/>
                  <w:tcBorders>
                    <w:top w:val="none" w:color="000000" w:sz="4"/>
                    <w:left w:val="none" w:color="000000" w:sz="4"/>
                    <w:bottom w:val="single" w:color="000000" w:sz="4"/>
                    <w:right w:val="single" w:color="000000" w:sz="4"/>
                  </w:tcBorders>
                </w:tcPr>
                <w:p/>
              </w:tc>
              <w:tc>
                <w:tcPr>
                  <w:tcW w:type="dxa" w:w="48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提供</w:t>
                  </w:r>
                  <w:r>
                    <w:rPr>
                      <w:rFonts w:ascii="仿宋_GB2312" w:hAnsi="仿宋_GB2312" w:cs="仿宋_GB2312" w:eastAsia="仿宋_GB2312"/>
                      <w:sz w:val="28"/>
                    </w:rPr>
                    <w:t>RESTful接口，支持http和https协议访问。</w:t>
                  </w:r>
                </w:p>
              </w:tc>
            </w:tr>
            <w:tr>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453"/>
                  <w:vMerge/>
                  <w:tcBorders>
                    <w:top w:val="none" w:color="000000" w:sz="4"/>
                    <w:left w:val="none" w:color="000000" w:sz="4"/>
                    <w:bottom w:val="single" w:color="000000" w:sz="4"/>
                    <w:right w:val="single" w:color="000000" w:sz="4"/>
                  </w:tcBorders>
                </w:tcPr>
                <w:p/>
              </w:tc>
              <w:tc>
                <w:tcPr>
                  <w:tcW w:type="dxa" w:w="48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提供日志记录功能，方便追查访问来源以及进行多维度的统计分析；</w:t>
                  </w:r>
                </w:p>
              </w:tc>
            </w:tr>
            <w:tr>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453"/>
                  <w:vMerge/>
                  <w:tcBorders>
                    <w:top w:val="none" w:color="000000" w:sz="4"/>
                    <w:left w:val="none" w:color="000000" w:sz="4"/>
                    <w:bottom w:val="single" w:color="000000" w:sz="4"/>
                    <w:right w:val="single" w:color="000000" w:sz="4"/>
                  </w:tcBorders>
                </w:tcPr>
                <w:p/>
              </w:tc>
              <w:tc>
                <w:tcPr>
                  <w:tcW w:type="dxa" w:w="48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支持统计与监控上传量、下载量、使用空间、可用空间等运行数据；</w:t>
                  </w:r>
                </w:p>
              </w:tc>
            </w:tr>
            <w:tr>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6</w:t>
                  </w:r>
                </w:p>
              </w:tc>
              <w:tc>
                <w:tcPr>
                  <w:tcW w:type="dxa" w:w="453"/>
                  <w:vMerge/>
                  <w:tcBorders>
                    <w:top w:val="none" w:color="000000" w:sz="4"/>
                    <w:left w:val="none" w:color="000000" w:sz="4"/>
                    <w:bottom w:val="single" w:color="000000" w:sz="4"/>
                    <w:right w:val="single" w:color="000000" w:sz="4"/>
                  </w:tcBorders>
                </w:tcPr>
                <w:p/>
              </w:tc>
              <w:tc>
                <w:tcPr>
                  <w:tcW w:type="dxa" w:w="48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支持大文件的分片并发上传和下载，支持断点续传；对于跨域访问的许可配置；</w:t>
                  </w:r>
                </w:p>
              </w:tc>
            </w:tr>
            <w:tr>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7</w:t>
                  </w:r>
                </w:p>
              </w:tc>
              <w:tc>
                <w:tcPr>
                  <w:tcW w:type="dxa" w:w="453"/>
                  <w:vMerge/>
                  <w:tcBorders>
                    <w:top w:val="none" w:color="000000" w:sz="4"/>
                    <w:left w:val="none" w:color="000000" w:sz="4"/>
                    <w:bottom w:val="single" w:color="000000" w:sz="4"/>
                    <w:right w:val="single" w:color="000000" w:sz="4"/>
                  </w:tcBorders>
                </w:tcPr>
                <w:p/>
              </w:tc>
              <w:tc>
                <w:tcPr>
                  <w:tcW w:type="dxa" w:w="48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记录对当前桶的访问记录；</w:t>
                  </w:r>
                </w:p>
              </w:tc>
            </w:tr>
            <w:tr>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8</w:t>
                  </w:r>
                </w:p>
              </w:tc>
              <w:tc>
                <w:tcPr>
                  <w:tcW w:type="dxa" w:w="453"/>
                  <w:vMerge/>
                  <w:tcBorders>
                    <w:top w:val="none" w:color="000000" w:sz="4"/>
                    <w:left w:val="none" w:color="000000" w:sz="4"/>
                    <w:bottom w:val="single" w:color="000000" w:sz="4"/>
                    <w:right w:val="single" w:color="000000" w:sz="4"/>
                  </w:tcBorders>
                </w:tcPr>
                <w:p/>
              </w:tc>
              <w:tc>
                <w:tcPr>
                  <w:tcW w:type="dxa" w:w="48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对于桶中文件设置按照过期时间或者指定时间之前删除，帮用户解决存储空间和成本；</w:t>
                  </w:r>
                </w:p>
              </w:tc>
            </w:tr>
            <w:tr>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9</w:t>
                  </w:r>
                </w:p>
              </w:tc>
              <w:tc>
                <w:tcPr>
                  <w:tcW w:type="dxa" w:w="45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安全性</w:t>
                  </w:r>
                </w:p>
              </w:tc>
              <w:tc>
                <w:tcPr>
                  <w:tcW w:type="dxa" w:w="48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具备完善的多用户隔离机制，保障用户数据的私密性；</w:t>
                  </w:r>
                </w:p>
              </w:tc>
            </w:tr>
            <w:tr>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r>
                    <w:rPr>
                      <w:rFonts w:ascii="仿宋_GB2312" w:hAnsi="仿宋_GB2312" w:cs="仿宋_GB2312" w:eastAsia="仿宋_GB2312"/>
                      <w:sz w:val="28"/>
                    </w:rPr>
                    <w:t>0</w:t>
                  </w:r>
                </w:p>
              </w:tc>
              <w:tc>
                <w:tcPr>
                  <w:tcW w:type="dxa" w:w="453"/>
                  <w:vMerge/>
                  <w:tcBorders>
                    <w:top w:val="none" w:color="000000" w:sz="4"/>
                    <w:left w:val="none" w:color="000000" w:sz="4"/>
                    <w:bottom w:val="single" w:color="000000" w:sz="4"/>
                    <w:right w:val="single" w:color="000000" w:sz="4"/>
                  </w:tcBorders>
                </w:tcPr>
                <w:p/>
              </w:tc>
              <w:tc>
                <w:tcPr>
                  <w:tcW w:type="dxa" w:w="48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具备多层次安全防护功能</w:t>
                  </w:r>
                  <w:r>
                    <w:rPr>
                      <w:rFonts w:ascii="仿宋_GB2312" w:hAnsi="仿宋_GB2312" w:cs="仿宋_GB2312" w:eastAsia="仿宋_GB2312"/>
                      <w:sz w:val="28"/>
                    </w:rPr>
                    <w:t>(密钥管理，防盗链等方式)；</w:t>
                  </w:r>
                </w:p>
              </w:tc>
            </w:tr>
            <w:tr>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r>
                    <w:rPr>
                      <w:rFonts w:ascii="仿宋_GB2312" w:hAnsi="仿宋_GB2312" w:cs="仿宋_GB2312" w:eastAsia="仿宋_GB2312"/>
                      <w:sz w:val="28"/>
                    </w:rPr>
                    <w:t>1</w:t>
                  </w:r>
                </w:p>
              </w:tc>
              <w:tc>
                <w:tcPr>
                  <w:tcW w:type="dxa" w:w="45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可靠性</w:t>
                  </w:r>
                </w:p>
              </w:tc>
              <w:tc>
                <w:tcPr>
                  <w:tcW w:type="dxa" w:w="48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支持对象存储系统跨机房部署，当某一机房发生不可预知的宕机事故时，对象存储系统仍能够为用户提供服务；提供</w:t>
                  </w:r>
                  <w:r>
                    <w:rPr>
                      <w:rFonts w:ascii="仿宋_GB2312" w:hAnsi="仿宋_GB2312" w:cs="仿宋_GB2312" w:eastAsia="仿宋_GB2312"/>
                      <w:sz w:val="28"/>
                    </w:rPr>
                    <w:t>Erasurecode(纠删码)实现数据冗余保护；</w:t>
                  </w:r>
                </w:p>
              </w:tc>
            </w:tr>
            <w:tr>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r>
                    <w:rPr>
                      <w:rFonts w:ascii="仿宋_GB2312" w:hAnsi="仿宋_GB2312" w:cs="仿宋_GB2312" w:eastAsia="仿宋_GB2312"/>
                      <w:sz w:val="28"/>
                    </w:rPr>
                    <w:t>2</w:t>
                  </w:r>
                </w:p>
              </w:tc>
              <w:tc>
                <w:tcPr>
                  <w:tcW w:type="dxa" w:w="453"/>
                  <w:vMerge/>
                  <w:tcBorders>
                    <w:top w:val="none" w:color="000000" w:sz="4"/>
                    <w:left w:val="none" w:color="000000" w:sz="4"/>
                    <w:bottom w:val="single" w:color="000000" w:sz="4"/>
                    <w:right w:val="single" w:color="000000" w:sz="4"/>
                  </w:tcBorders>
                </w:tcPr>
                <w:p/>
              </w:tc>
              <w:tc>
                <w:tcPr>
                  <w:tcW w:type="dxa" w:w="48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8"/>
                    </w:rPr>
                    <w:t>★</w:t>
                  </w:r>
                  <w:r>
                    <w:rPr>
                      <w:rFonts w:ascii="仿宋_GB2312" w:hAnsi="仿宋_GB2312" w:cs="仿宋_GB2312" w:eastAsia="仿宋_GB2312"/>
                      <w:sz w:val="28"/>
                    </w:rPr>
                    <w:t>服务可用性：</w:t>
                  </w:r>
                  <w:r>
                    <w:rPr>
                      <w:rFonts w:ascii="仿宋_GB2312" w:hAnsi="仿宋_GB2312" w:cs="仿宋_GB2312" w:eastAsia="仿宋_GB2312"/>
                      <w:sz w:val="28"/>
                    </w:rPr>
                    <w:t>年度服务可用性不低于</w:t>
                  </w:r>
                  <w:r>
                    <w:rPr>
                      <w:rFonts w:ascii="仿宋_GB2312" w:hAnsi="仿宋_GB2312" w:cs="仿宋_GB2312" w:eastAsia="仿宋_GB2312"/>
                      <w:sz w:val="28"/>
                    </w:rPr>
                    <w:t>99.9%</w:t>
                  </w:r>
                </w:p>
              </w:tc>
            </w:tr>
          </w:tbl>
          <w:p>
            <w:pPr>
              <w:pStyle w:val="null3"/>
              <w:jc w:val="left"/>
              <w:outlineLvl w:val="5"/>
            </w:pPr>
            <w:r>
              <w:rPr>
                <w:rFonts w:ascii="仿宋_GB2312" w:hAnsi="仿宋_GB2312" w:cs="仿宋_GB2312" w:eastAsia="仿宋_GB2312"/>
                <w:sz w:val="28"/>
                <w:b/>
              </w:rPr>
              <w:t>2.4.3文件存储要求</w:t>
            </w:r>
          </w:p>
          <w:tbl>
            <w:tblPr>
              <w:tblBorders>
                <w:top w:val="none" w:color="000000" w:sz="4"/>
                <w:left w:val="none" w:color="000000" w:sz="4"/>
                <w:bottom w:val="none" w:color="000000" w:sz="4"/>
                <w:right w:val="none" w:color="000000" w:sz="4"/>
                <w:insideH w:val="none"/>
                <w:insideV w:val="none"/>
              </w:tblBorders>
            </w:tblPr>
            <w:tblGrid>
              <w:gridCol w:w="523"/>
              <w:gridCol w:w="845"/>
              <w:gridCol w:w="4230"/>
            </w:tblGrid>
            <w:tr>
              <w:tc>
                <w:tcPr>
                  <w:tcW w:type="dxa" w:w="52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序号</w:t>
                  </w:r>
                </w:p>
              </w:tc>
              <w:tc>
                <w:tcPr>
                  <w:tcW w:type="dxa" w:w="84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指标项</w:t>
                  </w:r>
                </w:p>
              </w:tc>
              <w:tc>
                <w:tcPr>
                  <w:tcW w:type="dxa" w:w="423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指标要求</w:t>
                  </w:r>
                </w:p>
              </w:tc>
            </w:tr>
            <w:tr>
              <w:tc>
                <w:tcPr>
                  <w:tcW w:type="dxa" w:w="5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1</w:t>
                  </w:r>
                </w:p>
              </w:tc>
              <w:tc>
                <w:tcPr>
                  <w:tcW w:type="dxa" w:w="84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基本功能</w:t>
                  </w:r>
                </w:p>
              </w:tc>
              <w:tc>
                <w:tcPr>
                  <w:tcW w:type="dxa" w:w="4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w:t>
                  </w:r>
                  <w:r>
                    <w:rPr>
                      <w:rFonts w:ascii="仿宋_GB2312" w:hAnsi="仿宋_GB2312" w:cs="仿宋_GB2312" w:eastAsia="仿宋_GB2312"/>
                      <w:sz w:val="28"/>
                    </w:rPr>
                    <w:t>NFS协议；</w:t>
                  </w:r>
                </w:p>
              </w:tc>
            </w:tr>
            <w:tr>
              <w:tc>
                <w:tcPr>
                  <w:tcW w:type="dxa" w:w="5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2</w:t>
                  </w:r>
                </w:p>
              </w:tc>
              <w:tc>
                <w:tcPr>
                  <w:tcW w:type="dxa" w:w="845"/>
                  <w:vMerge/>
                  <w:tcBorders>
                    <w:top w:val="none" w:color="000000" w:sz="4"/>
                    <w:left w:val="none" w:color="000000" w:sz="4"/>
                    <w:bottom w:val="single" w:color="000000" w:sz="4"/>
                    <w:right w:val="single" w:color="000000" w:sz="4"/>
                  </w:tcBorders>
                </w:tcPr>
                <w:p/>
              </w:tc>
              <w:tc>
                <w:tcPr>
                  <w:tcW w:type="dxa" w:w="4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支持文件同步；</w:t>
                  </w:r>
                </w:p>
              </w:tc>
            </w:tr>
            <w:tr>
              <w:tc>
                <w:tcPr>
                  <w:tcW w:type="dxa" w:w="5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3</w:t>
                  </w:r>
                </w:p>
              </w:tc>
              <w:tc>
                <w:tcPr>
                  <w:tcW w:type="dxa" w:w="845"/>
                  <w:vMerge/>
                  <w:tcBorders>
                    <w:top w:val="none" w:color="000000" w:sz="4"/>
                    <w:left w:val="none" w:color="000000" w:sz="4"/>
                    <w:bottom w:val="single" w:color="000000" w:sz="4"/>
                    <w:right w:val="single" w:color="000000" w:sz="4"/>
                  </w:tcBorders>
                </w:tcPr>
                <w:p/>
              </w:tc>
              <w:tc>
                <w:tcPr>
                  <w:tcW w:type="dxa" w:w="4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支持虚机共享文件；</w:t>
                  </w:r>
                </w:p>
              </w:tc>
            </w:tr>
            <w:tr>
              <w:tc>
                <w:tcPr>
                  <w:tcW w:type="dxa" w:w="5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4</w:t>
                  </w:r>
                </w:p>
              </w:tc>
              <w:tc>
                <w:tcPr>
                  <w:tcW w:type="dxa" w:w="845"/>
                  <w:vMerge/>
                  <w:tcBorders>
                    <w:top w:val="none" w:color="000000" w:sz="4"/>
                    <w:left w:val="none" w:color="000000" w:sz="4"/>
                    <w:bottom w:val="single" w:color="000000" w:sz="4"/>
                    <w:right w:val="single" w:color="000000" w:sz="4"/>
                  </w:tcBorders>
                </w:tcPr>
                <w:p/>
              </w:tc>
              <w:tc>
                <w:tcPr>
                  <w:tcW w:type="dxa" w:w="4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支持备份，最</w:t>
                  </w:r>
                  <w:r>
                    <w:rPr>
                      <w:rFonts w:ascii="仿宋_GB2312" w:hAnsi="仿宋_GB2312" w:cs="仿宋_GB2312" w:eastAsia="仿宋_GB2312"/>
                      <w:sz w:val="28"/>
                    </w:rPr>
                    <w:t>少</w:t>
                  </w:r>
                  <w:r>
                    <w:rPr>
                      <w:rFonts w:ascii="仿宋_GB2312" w:hAnsi="仿宋_GB2312" w:cs="仿宋_GB2312" w:eastAsia="仿宋_GB2312"/>
                      <w:sz w:val="28"/>
                    </w:rPr>
                    <w:t>保留</w:t>
                  </w:r>
                  <w:r>
                    <w:rPr>
                      <w:rFonts w:ascii="仿宋_GB2312" w:hAnsi="仿宋_GB2312" w:cs="仿宋_GB2312" w:eastAsia="仿宋_GB2312"/>
                      <w:sz w:val="28"/>
                    </w:rPr>
                    <w:t>1</w:t>
                  </w:r>
                  <w:r>
                    <w:rPr>
                      <w:rFonts w:ascii="仿宋_GB2312" w:hAnsi="仿宋_GB2312" w:cs="仿宋_GB2312" w:eastAsia="仿宋_GB2312"/>
                      <w:sz w:val="28"/>
                    </w:rPr>
                    <w:t>0个备份，备份可跨资源池；</w:t>
                  </w:r>
                </w:p>
              </w:tc>
            </w:tr>
            <w:tr>
              <w:tc>
                <w:tcPr>
                  <w:tcW w:type="dxa" w:w="5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5</w:t>
                  </w:r>
                </w:p>
              </w:tc>
              <w:tc>
                <w:tcPr>
                  <w:tcW w:type="dxa" w:w="845"/>
                  <w:vMerge/>
                  <w:tcBorders>
                    <w:top w:val="none" w:color="000000" w:sz="4"/>
                    <w:left w:val="none" w:color="000000" w:sz="4"/>
                    <w:bottom w:val="single" w:color="000000" w:sz="4"/>
                    <w:right w:val="single" w:color="000000" w:sz="4"/>
                  </w:tcBorders>
                </w:tcPr>
                <w:p/>
              </w:tc>
              <w:tc>
                <w:tcPr>
                  <w:tcW w:type="dxa" w:w="4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单个客户创建的文件系统个数可设置；</w:t>
                  </w:r>
                </w:p>
              </w:tc>
            </w:tr>
            <w:tr>
              <w:tc>
                <w:tcPr>
                  <w:tcW w:type="dxa" w:w="5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6</w:t>
                  </w:r>
                </w:p>
              </w:tc>
              <w:tc>
                <w:tcPr>
                  <w:tcW w:type="dxa" w:w="845"/>
                  <w:vMerge/>
                  <w:tcBorders>
                    <w:top w:val="none" w:color="000000" w:sz="4"/>
                    <w:left w:val="none" w:color="000000" w:sz="4"/>
                    <w:bottom w:val="single" w:color="000000" w:sz="4"/>
                    <w:right w:val="single" w:color="000000" w:sz="4"/>
                  </w:tcBorders>
                </w:tcPr>
                <w:p/>
              </w:tc>
              <w:tc>
                <w:tcPr>
                  <w:tcW w:type="dxa" w:w="4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支持性能监控。</w:t>
                  </w:r>
                </w:p>
              </w:tc>
            </w:tr>
          </w:tbl>
          <w:p>
            <w:pPr>
              <w:pStyle w:val="null3"/>
              <w:jc w:val="left"/>
              <w:outlineLvl w:val="5"/>
            </w:pPr>
            <w:r>
              <w:rPr>
                <w:rFonts w:ascii="仿宋_GB2312" w:hAnsi="仿宋_GB2312" w:cs="仿宋_GB2312" w:eastAsia="仿宋_GB2312"/>
                <w:sz w:val="28"/>
                <w:b/>
              </w:rPr>
              <w:t>2.4.4存储资源池要求</w:t>
            </w:r>
          </w:p>
          <w:tbl>
            <w:tblPr>
              <w:tblBorders>
                <w:top w:val="none" w:color="000000" w:sz="4"/>
                <w:left w:val="none" w:color="000000" w:sz="4"/>
                <w:bottom w:val="none" w:color="000000" w:sz="4"/>
                <w:right w:val="none" w:color="000000" w:sz="4"/>
                <w:insideH w:val="none"/>
                <w:insideV w:val="none"/>
              </w:tblBorders>
            </w:tblPr>
            <w:tblGrid>
              <w:gridCol w:w="622"/>
              <w:gridCol w:w="1219"/>
              <w:gridCol w:w="3756"/>
            </w:tblGrid>
            <w:tr>
              <w:tc>
                <w:tcPr>
                  <w:tcW w:type="dxa" w:w="62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序号</w:t>
                  </w:r>
                </w:p>
              </w:tc>
              <w:tc>
                <w:tcPr>
                  <w:tcW w:type="dxa" w:w="121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指标项</w:t>
                  </w:r>
                </w:p>
              </w:tc>
              <w:tc>
                <w:tcPr>
                  <w:tcW w:type="dxa" w:w="375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指标要求</w:t>
                  </w:r>
                </w:p>
              </w:tc>
            </w:tr>
            <w:tr>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219"/>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基本功能</w:t>
                  </w:r>
                </w:p>
              </w:tc>
              <w:tc>
                <w:tcPr>
                  <w:tcW w:type="dxa" w:w="37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要求能够保证存储的持久性、数据可销毁性、数据可迁移性、数据私密性；</w:t>
                  </w:r>
                </w:p>
              </w:tc>
            </w:tr>
            <w:tr>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1219"/>
                  <w:vMerge/>
                  <w:tcBorders>
                    <w:top w:val="none" w:color="000000" w:sz="4"/>
                    <w:left w:val="none" w:color="000000" w:sz="4"/>
                    <w:bottom w:val="single" w:color="000000" w:sz="4"/>
                    <w:right w:val="single" w:color="000000" w:sz="4"/>
                  </w:tcBorders>
                </w:tcPr>
                <w:p/>
              </w:tc>
              <w:tc>
                <w:tcPr>
                  <w:tcW w:type="dxa" w:w="37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存储资源可以横向扩展添加新的节点，存储容量可线性地增长；</w:t>
                  </w:r>
                </w:p>
              </w:tc>
            </w:tr>
            <w:tr>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1219"/>
                  <w:vMerge/>
                  <w:tcBorders>
                    <w:top w:val="none" w:color="000000" w:sz="4"/>
                    <w:left w:val="none" w:color="000000" w:sz="4"/>
                    <w:bottom w:val="single" w:color="000000" w:sz="4"/>
                    <w:right w:val="single" w:color="000000" w:sz="4"/>
                  </w:tcBorders>
                </w:tcPr>
                <w:p/>
              </w:tc>
              <w:tc>
                <w:tcPr>
                  <w:tcW w:type="dxa" w:w="37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存储系统采用全冗余架构，当存储系统出现硬件故障时能够确保数据的完整性、可用性；</w:t>
                  </w:r>
                </w:p>
              </w:tc>
            </w:tr>
            <w:tr>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1219"/>
                  <w:vMerge/>
                  <w:tcBorders>
                    <w:top w:val="none" w:color="000000" w:sz="4"/>
                    <w:left w:val="none" w:color="000000" w:sz="4"/>
                    <w:bottom w:val="single" w:color="000000" w:sz="4"/>
                    <w:right w:val="single" w:color="000000" w:sz="4"/>
                  </w:tcBorders>
                </w:tcPr>
                <w:p/>
              </w:tc>
              <w:tc>
                <w:tcPr>
                  <w:tcW w:type="dxa" w:w="37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至少</w:t>
                  </w:r>
                  <w:r>
                    <w:rPr>
                      <w:rFonts w:ascii="仿宋_GB2312" w:hAnsi="仿宋_GB2312" w:cs="仿宋_GB2312" w:eastAsia="仿宋_GB2312"/>
                      <w:sz w:val="28"/>
                    </w:rPr>
                    <w:t>支持</w:t>
                  </w:r>
                  <w:r>
                    <w:rPr>
                      <w:rFonts w:ascii="仿宋_GB2312" w:hAnsi="仿宋_GB2312" w:cs="仿宋_GB2312" w:eastAsia="仿宋_GB2312"/>
                      <w:sz w:val="28"/>
                    </w:rPr>
                    <w:t>Windows和Linux客户端访问存储；</w:t>
                  </w:r>
                </w:p>
              </w:tc>
            </w:tr>
            <w:tr>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1219"/>
                  <w:vMerge/>
                  <w:tcBorders>
                    <w:top w:val="none" w:color="000000" w:sz="4"/>
                    <w:left w:val="none" w:color="000000" w:sz="4"/>
                    <w:bottom w:val="single" w:color="000000" w:sz="4"/>
                    <w:right w:val="single" w:color="000000" w:sz="4"/>
                  </w:tcBorders>
                </w:tcPr>
                <w:p/>
              </w:tc>
              <w:tc>
                <w:tcPr>
                  <w:tcW w:type="dxa" w:w="37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支持集中式存储和分布式存储，全面满足各类存储服务对于存储空间、扩展性、读写性能、可靠性等多方面需要；</w:t>
                  </w:r>
                </w:p>
              </w:tc>
            </w:tr>
            <w:tr>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6</w:t>
                  </w:r>
                </w:p>
              </w:tc>
              <w:tc>
                <w:tcPr>
                  <w:tcW w:type="dxa" w:w="1219"/>
                  <w:vMerge/>
                  <w:tcBorders>
                    <w:top w:val="none" w:color="000000" w:sz="4"/>
                    <w:left w:val="none" w:color="000000" w:sz="4"/>
                    <w:bottom w:val="single" w:color="000000" w:sz="4"/>
                    <w:right w:val="single" w:color="000000" w:sz="4"/>
                  </w:tcBorders>
                </w:tcPr>
                <w:p/>
              </w:tc>
              <w:tc>
                <w:tcPr>
                  <w:tcW w:type="dxa" w:w="37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支持主流的开源数据库、</w:t>
                  </w:r>
                  <w:r>
                    <w:rPr>
                      <w:rFonts w:ascii="仿宋_GB2312" w:hAnsi="仿宋_GB2312" w:cs="仿宋_GB2312" w:eastAsia="仿宋_GB2312"/>
                      <w:sz w:val="28"/>
                    </w:rPr>
                    <w:t>Oracle、SQLServer、MySQL等关系型数据库存储功能；</w:t>
                  </w:r>
                </w:p>
              </w:tc>
            </w:tr>
            <w:tr>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7</w:t>
                  </w:r>
                </w:p>
              </w:tc>
              <w:tc>
                <w:tcPr>
                  <w:tcW w:type="dxa" w:w="1219"/>
                  <w:vMerge/>
                  <w:tcBorders>
                    <w:top w:val="none" w:color="000000" w:sz="4"/>
                    <w:left w:val="none" w:color="000000" w:sz="4"/>
                    <w:bottom w:val="single" w:color="000000" w:sz="4"/>
                    <w:right w:val="single" w:color="000000" w:sz="4"/>
                  </w:tcBorders>
                </w:tcPr>
                <w:p/>
              </w:tc>
              <w:tc>
                <w:tcPr>
                  <w:tcW w:type="dxa" w:w="37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支持文件、视频等存储功能，支持常见的数据保护功能，保证数据的完整性、一致性；</w:t>
                  </w:r>
                </w:p>
              </w:tc>
            </w:tr>
            <w:tr>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8</w:t>
                  </w:r>
                </w:p>
              </w:tc>
              <w:tc>
                <w:tcPr>
                  <w:tcW w:type="dxa" w:w="1219"/>
                  <w:vMerge/>
                  <w:tcBorders>
                    <w:top w:val="none" w:color="000000" w:sz="4"/>
                    <w:left w:val="none" w:color="000000" w:sz="4"/>
                    <w:bottom w:val="single" w:color="000000" w:sz="4"/>
                    <w:right w:val="single" w:color="000000" w:sz="4"/>
                  </w:tcBorders>
                </w:tcPr>
                <w:p/>
              </w:tc>
              <w:tc>
                <w:tcPr>
                  <w:tcW w:type="dxa" w:w="37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支持将存储池中的存储空间按用户需求划分为独立的资源磁盘或裸盘。</w:t>
                  </w:r>
                </w:p>
              </w:tc>
            </w:tr>
          </w:tbl>
          <w:p>
            <w:pPr>
              <w:pStyle w:val="null3"/>
              <w:jc w:val="left"/>
            </w:pPr>
            <w:r>
              <w:rPr>
                <w:rFonts w:ascii="仿宋_GB2312" w:hAnsi="仿宋_GB2312" w:cs="仿宋_GB2312" w:eastAsia="仿宋_GB2312"/>
                <w:sz w:val="28"/>
                <w:b/>
              </w:rPr>
              <w:t>2.5网络资源服务要求</w:t>
            </w:r>
          </w:p>
          <w:p>
            <w:pPr>
              <w:pStyle w:val="null3"/>
              <w:jc w:val="left"/>
              <w:outlineLvl w:val="5"/>
            </w:pPr>
            <w:r>
              <w:rPr>
                <w:rFonts w:ascii="仿宋_GB2312" w:hAnsi="仿宋_GB2312" w:cs="仿宋_GB2312" w:eastAsia="仿宋_GB2312"/>
                <w:sz w:val="28"/>
                <w:b/>
              </w:rPr>
              <w:t>2.5.1网络总体要求</w:t>
            </w:r>
          </w:p>
          <w:tbl>
            <w:tblPr>
              <w:tblBorders>
                <w:top w:val="none" w:color="000000" w:sz="4"/>
                <w:left w:val="none" w:color="000000" w:sz="4"/>
                <w:bottom w:val="none" w:color="000000" w:sz="4"/>
                <w:right w:val="none" w:color="000000" w:sz="4"/>
                <w:insideH w:val="none"/>
                <w:insideV w:val="none"/>
              </w:tblBorders>
            </w:tblPr>
            <w:tblGrid>
              <w:gridCol w:w="622"/>
              <w:gridCol w:w="1219"/>
              <w:gridCol w:w="3756"/>
            </w:tblGrid>
            <w:tr>
              <w:tc>
                <w:tcPr>
                  <w:tcW w:type="dxa" w:w="62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序号</w:t>
                  </w:r>
                </w:p>
              </w:tc>
              <w:tc>
                <w:tcPr>
                  <w:tcW w:type="dxa" w:w="121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指标项</w:t>
                  </w:r>
                </w:p>
              </w:tc>
              <w:tc>
                <w:tcPr>
                  <w:tcW w:type="dxa" w:w="375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指标要求</w:t>
                  </w:r>
                </w:p>
              </w:tc>
            </w:tr>
            <w:tr>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219"/>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基本功能</w:t>
                  </w:r>
                </w:p>
              </w:tc>
              <w:tc>
                <w:tcPr>
                  <w:tcW w:type="dxa" w:w="37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实现</w:t>
                  </w:r>
                  <w:r>
                    <w:rPr>
                      <w:rFonts w:ascii="仿宋_GB2312" w:hAnsi="仿宋_GB2312" w:cs="仿宋_GB2312" w:eastAsia="仿宋_GB2312"/>
                      <w:sz w:val="28"/>
                    </w:rPr>
                    <w:t>SDN架构组网,支持服务终端二层迁移；</w:t>
                  </w:r>
                </w:p>
              </w:tc>
            </w:tr>
            <w:tr>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1219"/>
                  <w:vMerge/>
                  <w:tcBorders>
                    <w:top w:val="none" w:color="000000" w:sz="4"/>
                    <w:left w:val="none" w:color="000000" w:sz="4"/>
                    <w:bottom w:val="single" w:color="000000" w:sz="4"/>
                    <w:right w:val="single" w:color="000000" w:sz="4"/>
                  </w:tcBorders>
                </w:tcPr>
                <w:p/>
              </w:tc>
              <w:tc>
                <w:tcPr>
                  <w:tcW w:type="dxa" w:w="37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核心骨干设备、出口设备、骨干线路等需要支持冗余备份，</w:t>
                  </w:r>
                  <w:r>
                    <w:rPr>
                      <w:rFonts w:ascii="仿宋_GB2312" w:hAnsi="仿宋_GB2312" w:cs="仿宋_GB2312" w:eastAsia="仿宋_GB2312"/>
                      <w:sz w:val="28"/>
                    </w:rPr>
                    <w:t>机房</w:t>
                  </w:r>
                  <w:r>
                    <w:rPr>
                      <w:rFonts w:ascii="仿宋_GB2312" w:hAnsi="仿宋_GB2312" w:cs="仿宋_GB2312" w:eastAsia="仿宋_GB2312"/>
                      <w:sz w:val="28"/>
                    </w:rPr>
                    <w:t>骨干线路带宽</w:t>
                  </w:r>
                  <w:r>
                    <w:rPr>
                      <w:rFonts w:ascii="仿宋_GB2312" w:hAnsi="仿宋_GB2312" w:cs="仿宋_GB2312" w:eastAsia="仿宋_GB2312"/>
                      <w:sz w:val="28"/>
                    </w:rPr>
                    <w:t>≥40Gb，服务器业务</w:t>
                  </w:r>
                  <w:r>
                    <w:rPr>
                      <w:rFonts w:ascii="仿宋_GB2312" w:hAnsi="仿宋_GB2312" w:cs="仿宋_GB2312" w:eastAsia="仿宋_GB2312"/>
                      <w:sz w:val="28"/>
                    </w:rPr>
                    <w:t>端口</w:t>
                  </w:r>
                  <w:r>
                    <w:rPr>
                      <w:rFonts w:ascii="仿宋_GB2312" w:hAnsi="仿宋_GB2312" w:cs="仿宋_GB2312" w:eastAsia="仿宋_GB2312"/>
                      <w:sz w:val="28"/>
                    </w:rPr>
                    <w:t>带宽</w:t>
                  </w:r>
                  <w:r>
                    <w:rPr>
                      <w:rFonts w:ascii="仿宋_GB2312" w:hAnsi="仿宋_GB2312" w:cs="仿宋_GB2312" w:eastAsia="仿宋_GB2312"/>
                      <w:sz w:val="28"/>
                    </w:rPr>
                    <w:t>≥10Gb，核心骨干设备可以保证大规模业务迁移，无缝扩容需求；</w:t>
                  </w:r>
                </w:p>
              </w:tc>
            </w:tr>
            <w:tr>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1219"/>
                  <w:vMerge/>
                  <w:tcBorders>
                    <w:top w:val="none" w:color="000000" w:sz="4"/>
                    <w:left w:val="none" w:color="000000" w:sz="4"/>
                    <w:bottom w:val="single" w:color="000000" w:sz="4"/>
                    <w:right w:val="single" w:color="000000" w:sz="4"/>
                  </w:tcBorders>
                </w:tcPr>
                <w:p/>
              </w:tc>
              <w:tc>
                <w:tcPr>
                  <w:tcW w:type="dxa" w:w="37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网络分为业务平面、管理平面和存储平面，各平面使用不同网络设备构建；</w:t>
                  </w:r>
                </w:p>
              </w:tc>
            </w:tr>
            <w:tr>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1219"/>
                  <w:vMerge/>
                  <w:tcBorders>
                    <w:top w:val="none" w:color="000000" w:sz="4"/>
                    <w:left w:val="none" w:color="000000" w:sz="4"/>
                    <w:bottom w:val="single" w:color="000000" w:sz="4"/>
                    <w:right w:val="single" w:color="000000" w:sz="4"/>
                  </w:tcBorders>
                </w:tcPr>
                <w:p/>
              </w:tc>
              <w:tc>
                <w:tcPr>
                  <w:tcW w:type="dxa" w:w="37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网络设备支持</w:t>
                  </w:r>
                  <w:r>
                    <w:rPr>
                      <w:rFonts w:ascii="仿宋_GB2312" w:hAnsi="仿宋_GB2312" w:cs="仿宋_GB2312" w:eastAsia="仿宋_GB2312"/>
                      <w:sz w:val="28"/>
                    </w:rPr>
                    <w:t>IPv6。</w:t>
                  </w:r>
                </w:p>
              </w:tc>
            </w:tr>
            <w:tr>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12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管控</w:t>
                  </w:r>
                </w:p>
              </w:tc>
              <w:tc>
                <w:tcPr>
                  <w:tcW w:type="dxa" w:w="375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添加更换网络设备需得到</w:t>
                  </w:r>
                  <w:r>
                    <w:rPr>
                      <w:rFonts w:ascii="仿宋_GB2312" w:hAnsi="仿宋_GB2312" w:cs="仿宋_GB2312" w:eastAsia="仿宋_GB2312"/>
                      <w:sz w:val="28"/>
                    </w:rPr>
                    <w:t>采购人</w:t>
                  </w:r>
                  <w:r>
                    <w:rPr>
                      <w:rFonts w:ascii="仿宋_GB2312" w:hAnsi="仿宋_GB2312" w:cs="仿宋_GB2312" w:eastAsia="仿宋_GB2312"/>
                      <w:sz w:val="28"/>
                    </w:rPr>
                    <w:t>的许可。</w:t>
                  </w:r>
                </w:p>
              </w:tc>
            </w:tr>
          </w:tbl>
          <w:p>
            <w:pPr>
              <w:pStyle w:val="null3"/>
              <w:jc w:val="left"/>
              <w:outlineLvl w:val="5"/>
            </w:pPr>
            <w:r>
              <w:rPr>
                <w:rFonts w:ascii="仿宋_GB2312" w:hAnsi="仿宋_GB2312" w:cs="仿宋_GB2312" w:eastAsia="仿宋_GB2312"/>
                <w:sz w:val="28"/>
                <w:b/>
              </w:rPr>
              <w:t>2.5.2资源网络要求</w:t>
            </w:r>
          </w:p>
          <w:tbl>
            <w:tblPr>
              <w:tblBorders>
                <w:top w:val="none" w:color="000000" w:sz="4"/>
                <w:left w:val="none" w:color="000000" w:sz="4"/>
                <w:bottom w:val="none" w:color="000000" w:sz="4"/>
                <w:right w:val="none" w:color="000000" w:sz="4"/>
                <w:insideH w:val="none"/>
                <w:insideV w:val="none"/>
              </w:tblBorders>
            </w:tblPr>
            <w:tblGrid>
              <w:gridCol w:w="525"/>
              <w:gridCol w:w="844"/>
              <w:gridCol w:w="4229"/>
            </w:tblGrid>
            <w:tr>
              <w:tc>
                <w:tcPr>
                  <w:tcW w:type="dxa" w:w="52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8"/>
                    </w:rPr>
                    <w:t>序号</w:t>
                  </w:r>
                </w:p>
              </w:tc>
              <w:tc>
                <w:tcPr>
                  <w:tcW w:type="dxa" w:w="84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指标项</w:t>
                  </w:r>
                </w:p>
              </w:tc>
              <w:tc>
                <w:tcPr>
                  <w:tcW w:type="dxa" w:w="422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指标要求</w:t>
                  </w:r>
                </w:p>
              </w:tc>
            </w:tr>
            <w:tr>
              <w:tc>
                <w:tcPr>
                  <w:tcW w:type="dxa" w:w="5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1</w:t>
                  </w:r>
                </w:p>
              </w:tc>
              <w:tc>
                <w:tcPr>
                  <w:tcW w:type="dxa" w:w="84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基本功能</w:t>
                  </w:r>
                </w:p>
              </w:tc>
              <w:tc>
                <w:tcPr>
                  <w:tcW w:type="dxa" w:w="4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支持按需创建使用数据交换；</w:t>
                  </w:r>
                </w:p>
              </w:tc>
            </w:tr>
            <w:tr>
              <w:tc>
                <w:tcPr>
                  <w:tcW w:type="dxa" w:w="5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2</w:t>
                  </w:r>
                </w:p>
              </w:tc>
              <w:tc>
                <w:tcPr>
                  <w:tcW w:type="dxa" w:w="844"/>
                  <w:vMerge/>
                  <w:tcBorders>
                    <w:top w:val="none" w:color="000000" w:sz="4"/>
                    <w:left w:val="none" w:color="000000" w:sz="4"/>
                    <w:bottom w:val="single" w:color="000000" w:sz="4"/>
                    <w:right w:val="single" w:color="000000" w:sz="4"/>
                  </w:tcBorders>
                </w:tcPr>
                <w:p/>
              </w:tc>
              <w:tc>
                <w:tcPr>
                  <w:tcW w:type="dxa" w:w="4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支持子网</w:t>
                  </w:r>
                  <w:r>
                    <w:rPr>
                      <w:rFonts w:ascii="仿宋_GB2312" w:hAnsi="仿宋_GB2312" w:cs="仿宋_GB2312" w:eastAsia="仿宋_GB2312"/>
                      <w:sz w:val="28"/>
                    </w:rPr>
                    <w:t>ACL规则创建；</w:t>
                  </w:r>
                </w:p>
              </w:tc>
            </w:tr>
            <w:tr>
              <w:tc>
                <w:tcPr>
                  <w:tcW w:type="dxa" w:w="5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3</w:t>
                  </w:r>
                </w:p>
              </w:tc>
              <w:tc>
                <w:tcPr>
                  <w:tcW w:type="dxa" w:w="844"/>
                  <w:vMerge/>
                  <w:tcBorders>
                    <w:top w:val="none" w:color="000000" w:sz="4"/>
                    <w:left w:val="none" w:color="000000" w:sz="4"/>
                    <w:bottom w:val="single" w:color="000000" w:sz="4"/>
                    <w:right w:val="single" w:color="000000" w:sz="4"/>
                  </w:tcBorders>
                </w:tcPr>
                <w:p/>
              </w:tc>
              <w:tc>
                <w:tcPr>
                  <w:tcW w:type="dxa" w:w="4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可以通过数据交换终端将专有网络的私有</w:t>
                  </w:r>
                  <w:r>
                    <w:rPr>
                      <w:rFonts w:ascii="仿宋_GB2312" w:hAnsi="仿宋_GB2312" w:cs="仿宋_GB2312" w:eastAsia="仿宋_GB2312"/>
                      <w:sz w:val="28"/>
                    </w:rPr>
                    <w:t>IP地址划分成一个或多个子网，根据需要将其他服务部署在对应的子网下。</w:t>
                  </w:r>
                </w:p>
              </w:tc>
            </w:tr>
          </w:tbl>
          <w:p>
            <w:pPr>
              <w:pStyle w:val="null3"/>
              <w:jc w:val="left"/>
              <w:outlineLvl w:val="5"/>
            </w:pPr>
            <w:r>
              <w:rPr>
                <w:rFonts w:ascii="仿宋_GB2312" w:hAnsi="仿宋_GB2312" w:cs="仿宋_GB2312" w:eastAsia="仿宋_GB2312"/>
                <w:sz w:val="28"/>
                <w:b/>
              </w:rPr>
              <w:t>2.5.3集群资源要求</w:t>
            </w:r>
          </w:p>
          <w:tbl>
            <w:tblPr>
              <w:tblBorders>
                <w:top w:val="none" w:color="000000" w:sz="4"/>
                <w:left w:val="none" w:color="000000" w:sz="4"/>
                <w:bottom w:val="none" w:color="000000" w:sz="4"/>
                <w:right w:val="none" w:color="000000" w:sz="4"/>
                <w:insideH w:val="none"/>
                <w:insideV w:val="none"/>
              </w:tblBorders>
            </w:tblPr>
            <w:tblGrid>
              <w:gridCol w:w="524"/>
              <w:gridCol w:w="843"/>
              <w:gridCol w:w="4230"/>
            </w:tblGrid>
            <w:tr>
              <w:tc>
                <w:tcPr>
                  <w:tcW w:type="dxa" w:w="52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8"/>
                    </w:rPr>
                    <w:t>序号</w:t>
                  </w:r>
                </w:p>
              </w:tc>
              <w:tc>
                <w:tcPr>
                  <w:tcW w:type="dxa" w:w="84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指标项</w:t>
                  </w:r>
                </w:p>
              </w:tc>
              <w:tc>
                <w:tcPr>
                  <w:tcW w:type="dxa" w:w="423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指标要求</w:t>
                  </w:r>
                </w:p>
              </w:tc>
            </w:tr>
            <w:tr>
              <w:tc>
                <w:tcPr>
                  <w:tcW w:type="dxa" w:w="5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1</w:t>
                  </w:r>
                </w:p>
              </w:tc>
              <w:tc>
                <w:tcPr>
                  <w:tcW w:type="dxa" w:w="84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基本功能</w:t>
                  </w:r>
                </w:p>
              </w:tc>
              <w:tc>
                <w:tcPr>
                  <w:tcW w:type="dxa" w:w="4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提供分配要求，为服务端集群提供流量分发控制服务；</w:t>
                  </w:r>
                </w:p>
              </w:tc>
            </w:tr>
            <w:tr>
              <w:tc>
                <w:tcPr>
                  <w:tcW w:type="dxa" w:w="5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2</w:t>
                  </w:r>
                </w:p>
              </w:tc>
              <w:tc>
                <w:tcPr>
                  <w:tcW w:type="dxa" w:w="843"/>
                  <w:vMerge/>
                  <w:tcBorders>
                    <w:top w:val="none" w:color="000000" w:sz="4"/>
                    <w:left w:val="none" w:color="000000" w:sz="4"/>
                    <w:bottom w:val="single" w:color="000000" w:sz="4"/>
                    <w:right w:val="single" w:color="000000" w:sz="4"/>
                  </w:tcBorders>
                </w:tcPr>
                <w:p/>
              </w:tc>
              <w:tc>
                <w:tcPr>
                  <w:tcW w:type="dxa" w:w="4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支持</w:t>
                  </w:r>
                  <w:r>
                    <w:rPr>
                      <w:rFonts w:ascii="仿宋_GB2312" w:hAnsi="仿宋_GB2312" w:cs="仿宋_GB2312" w:eastAsia="仿宋_GB2312"/>
                      <w:sz w:val="28"/>
                    </w:rPr>
                    <w:t>4层、7层资源共享；</w:t>
                  </w:r>
                </w:p>
              </w:tc>
            </w:tr>
            <w:tr>
              <w:tc>
                <w:tcPr>
                  <w:tcW w:type="dxa" w:w="5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3</w:t>
                  </w:r>
                </w:p>
              </w:tc>
              <w:tc>
                <w:tcPr>
                  <w:tcW w:type="dxa" w:w="843"/>
                  <w:vMerge/>
                  <w:tcBorders>
                    <w:top w:val="none" w:color="000000" w:sz="4"/>
                    <w:left w:val="none" w:color="000000" w:sz="4"/>
                    <w:bottom w:val="single" w:color="000000" w:sz="4"/>
                    <w:right w:val="single" w:color="000000" w:sz="4"/>
                  </w:tcBorders>
                </w:tcPr>
                <w:p/>
              </w:tc>
              <w:tc>
                <w:tcPr>
                  <w:tcW w:type="dxa" w:w="4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支持会话保持功能；</w:t>
                  </w:r>
                </w:p>
              </w:tc>
            </w:tr>
            <w:tr>
              <w:tc>
                <w:tcPr>
                  <w:tcW w:type="dxa" w:w="5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4</w:t>
                  </w:r>
                </w:p>
              </w:tc>
              <w:tc>
                <w:tcPr>
                  <w:tcW w:type="dxa" w:w="843"/>
                  <w:vMerge/>
                  <w:tcBorders>
                    <w:top w:val="none" w:color="000000" w:sz="4"/>
                    <w:left w:val="none" w:color="000000" w:sz="4"/>
                    <w:bottom w:val="single" w:color="000000" w:sz="4"/>
                    <w:right w:val="single" w:color="000000" w:sz="4"/>
                  </w:tcBorders>
                </w:tcPr>
                <w:p/>
              </w:tc>
              <w:tc>
                <w:tcPr>
                  <w:tcW w:type="dxa" w:w="4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支持</w:t>
                  </w:r>
                  <w:r>
                    <w:rPr>
                      <w:rFonts w:ascii="仿宋_GB2312" w:hAnsi="仿宋_GB2312" w:cs="仿宋_GB2312" w:eastAsia="仿宋_GB2312"/>
                      <w:sz w:val="28"/>
                    </w:rPr>
                    <w:t>IPv4/IPv6双栈，支持前后端全部IPv6；</w:t>
                  </w:r>
                </w:p>
              </w:tc>
            </w:tr>
            <w:tr>
              <w:tc>
                <w:tcPr>
                  <w:tcW w:type="dxa" w:w="5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5</w:t>
                  </w:r>
                </w:p>
              </w:tc>
              <w:tc>
                <w:tcPr>
                  <w:tcW w:type="dxa" w:w="843"/>
                  <w:vMerge/>
                  <w:tcBorders>
                    <w:top w:val="none" w:color="000000" w:sz="4"/>
                    <w:left w:val="none" w:color="000000" w:sz="4"/>
                    <w:bottom w:val="single" w:color="000000" w:sz="4"/>
                    <w:right w:val="single" w:color="000000" w:sz="4"/>
                  </w:tcBorders>
                </w:tcPr>
                <w:p/>
              </w:tc>
              <w:tc>
                <w:tcPr>
                  <w:tcW w:type="dxa" w:w="4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支持</w:t>
                  </w:r>
                  <w:r>
                    <w:rPr>
                      <w:rFonts w:ascii="仿宋_GB2312" w:hAnsi="仿宋_GB2312" w:cs="仿宋_GB2312" w:eastAsia="仿宋_GB2312"/>
                      <w:sz w:val="28"/>
                    </w:rPr>
                    <w:t>QUIC协议；</w:t>
                  </w:r>
                </w:p>
              </w:tc>
            </w:tr>
            <w:tr>
              <w:tc>
                <w:tcPr>
                  <w:tcW w:type="dxa" w:w="5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6</w:t>
                  </w:r>
                </w:p>
              </w:tc>
              <w:tc>
                <w:tcPr>
                  <w:tcW w:type="dxa" w:w="843"/>
                  <w:vMerge/>
                  <w:tcBorders>
                    <w:top w:val="none" w:color="000000" w:sz="4"/>
                    <w:left w:val="none" w:color="000000" w:sz="4"/>
                    <w:bottom w:val="single" w:color="000000" w:sz="4"/>
                    <w:right w:val="single" w:color="000000" w:sz="4"/>
                  </w:tcBorders>
                </w:tcPr>
                <w:p/>
              </w:tc>
              <w:tc>
                <w:tcPr>
                  <w:tcW w:type="dxa" w:w="4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支持全链路</w:t>
                  </w:r>
                  <w:r>
                    <w:rPr>
                      <w:rFonts w:ascii="仿宋_GB2312" w:hAnsi="仿宋_GB2312" w:cs="仿宋_GB2312" w:eastAsia="仿宋_GB2312"/>
                      <w:sz w:val="28"/>
                    </w:rPr>
                    <w:t>https协议。</w:t>
                  </w:r>
                </w:p>
              </w:tc>
            </w:tr>
          </w:tbl>
          <w:p>
            <w:pPr>
              <w:pStyle w:val="null3"/>
              <w:jc w:val="left"/>
              <w:outlineLvl w:val="5"/>
            </w:pPr>
            <w:r>
              <w:rPr>
                <w:rFonts w:ascii="仿宋_GB2312" w:hAnsi="仿宋_GB2312" w:cs="仿宋_GB2312" w:eastAsia="仿宋_GB2312"/>
                <w:sz w:val="28"/>
                <w:b/>
              </w:rPr>
              <w:t>2.5.4</w:t>
            </w:r>
            <w:r>
              <w:rPr>
                <w:rFonts w:ascii="仿宋_GB2312" w:hAnsi="仿宋_GB2312" w:cs="仿宋_GB2312" w:eastAsia="仿宋_GB2312"/>
                <w:sz w:val="28"/>
                <w:b/>
              </w:rPr>
              <w:t>宽带</w:t>
            </w:r>
            <w:r>
              <w:rPr>
                <w:rFonts w:ascii="仿宋_GB2312" w:hAnsi="仿宋_GB2312" w:cs="仿宋_GB2312" w:eastAsia="仿宋_GB2312"/>
                <w:sz w:val="28"/>
                <w:b/>
              </w:rPr>
              <w:t>服务要求</w:t>
            </w:r>
          </w:p>
          <w:tbl>
            <w:tblPr>
              <w:tblBorders>
                <w:top w:val="none" w:color="000000" w:sz="4"/>
                <w:left w:val="none" w:color="000000" w:sz="4"/>
                <w:bottom w:val="none" w:color="000000" w:sz="4"/>
                <w:right w:val="none" w:color="000000" w:sz="4"/>
                <w:insideH w:val="none"/>
                <w:insideV w:val="none"/>
              </w:tblBorders>
            </w:tblPr>
            <w:tblGrid>
              <w:gridCol w:w="524"/>
              <w:gridCol w:w="844"/>
              <w:gridCol w:w="4230"/>
            </w:tblGrid>
            <w:tr>
              <w:tc>
                <w:tcPr>
                  <w:tcW w:type="dxa" w:w="52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8"/>
                    </w:rPr>
                    <w:t>序号</w:t>
                  </w:r>
                </w:p>
              </w:tc>
              <w:tc>
                <w:tcPr>
                  <w:tcW w:type="dxa" w:w="84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指标项</w:t>
                  </w:r>
                </w:p>
              </w:tc>
              <w:tc>
                <w:tcPr>
                  <w:tcW w:type="dxa" w:w="423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指标要求</w:t>
                  </w:r>
                </w:p>
              </w:tc>
            </w:tr>
            <w:tr>
              <w:tc>
                <w:tcPr>
                  <w:tcW w:type="dxa" w:w="5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8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基本功能</w:t>
                  </w:r>
                </w:p>
              </w:tc>
              <w:tc>
                <w:tcPr>
                  <w:tcW w:type="dxa" w:w="42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能提供</w:t>
                  </w:r>
                  <w:r>
                    <w:rPr>
                      <w:rFonts w:ascii="仿宋_GB2312" w:hAnsi="仿宋_GB2312" w:cs="仿宋_GB2312" w:eastAsia="仿宋_GB2312"/>
                      <w:sz w:val="28"/>
                    </w:rPr>
                    <w:t>1GE、10GE接口；</w:t>
                  </w:r>
                </w:p>
              </w:tc>
            </w:tr>
          </w:tbl>
          <w:p>
            <w:pPr>
              <w:pStyle w:val="null3"/>
              <w:jc w:val="left"/>
              <w:outlineLvl w:val="3"/>
            </w:pPr>
            <w:r>
              <w:rPr>
                <w:rFonts w:ascii="仿宋_GB2312" w:hAnsi="仿宋_GB2312" w:cs="仿宋_GB2312" w:eastAsia="仿宋_GB2312"/>
                <w:sz w:val="28"/>
                <w:b/>
              </w:rPr>
              <w:t>3.基础资源要求</w:t>
            </w:r>
          </w:p>
          <w:p>
            <w:pPr>
              <w:pStyle w:val="null3"/>
              <w:jc w:val="left"/>
            </w:pPr>
            <w:r>
              <w:rPr>
                <w:rFonts w:ascii="仿宋_GB2312" w:hAnsi="仿宋_GB2312" w:cs="仿宋_GB2312" w:eastAsia="仿宋_GB2312"/>
                <w:sz w:val="28"/>
                <w:b/>
              </w:rPr>
              <w:t>3.1底座要求</w:t>
            </w:r>
          </w:p>
          <w:tbl>
            <w:tblPr>
              <w:tblBorders>
                <w:top w:val="none" w:color="000000" w:sz="4"/>
                <w:left w:val="none" w:color="000000" w:sz="4"/>
                <w:bottom w:val="none" w:color="000000" w:sz="4"/>
                <w:right w:val="none" w:color="000000" w:sz="4"/>
                <w:insideH w:val="none"/>
                <w:insideV w:val="none"/>
              </w:tblBorders>
            </w:tblPr>
            <w:tblGrid>
              <w:gridCol w:w="525"/>
              <w:gridCol w:w="844"/>
              <w:gridCol w:w="4229"/>
            </w:tblGrid>
            <w:tr>
              <w:tc>
                <w:tcPr>
                  <w:tcW w:type="dxa" w:w="52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8"/>
                    </w:rPr>
                    <w:t>序号</w:t>
                  </w:r>
                </w:p>
              </w:tc>
              <w:tc>
                <w:tcPr>
                  <w:tcW w:type="dxa" w:w="84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指标项</w:t>
                  </w:r>
                </w:p>
              </w:tc>
              <w:tc>
                <w:tcPr>
                  <w:tcW w:type="dxa" w:w="422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指标要求</w:t>
                  </w:r>
                </w:p>
              </w:tc>
            </w:tr>
            <w:tr>
              <w:tc>
                <w:tcPr>
                  <w:tcW w:type="dxa" w:w="5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CPU</w:t>
                  </w:r>
                </w:p>
              </w:tc>
              <w:tc>
                <w:tcPr>
                  <w:tcW w:type="dxa" w:w="4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8"/>
                    </w:rPr>
                    <w:t>★</w:t>
                  </w:r>
                  <w:r>
                    <w:rPr>
                      <w:rFonts w:ascii="仿宋_GB2312" w:hAnsi="仿宋_GB2312" w:cs="仿宋_GB2312" w:eastAsia="仿宋_GB2312"/>
                      <w:sz w:val="28"/>
                    </w:rPr>
                    <w:t>≥1600vCPU</w:t>
                  </w:r>
                </w:p>
              </w:tc>
            </w:tr>
            <w:tr>
              <w:tc>
                <w:tcPr>
                  <w:tcW w:type="dxa" w:w="5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内存</w:t>
                  </w:r>
                </w:p>
              </w:tc>
              <w:tc>
                <w:tcPr>
                  <w:tcW w:type="dxa" w:w="4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8"/>
                    </w:rPr>
                    <w:t>★≥4800GB RAM</w:t>
                  </w:r>
                </w:p>
              </w:tc>
            </w:tr>
            <w:tr>
              <w:tc>
                <w:tcPr>
                  <w:tcW w:type="dxa" w:w="5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8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存储</w:t>
                  </w:r>
                </w:p>
              </w:tc>
              <w:tc>
                <w:tcPr>
                  <w:tcW w:type="dxa" w:w="4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8"/>
                    </w:rPr>
                    <w:t>★≥200T</w:t>
                  </w:r>
                </w:p>
              </w:tc>
            </w:tr>
          </w:tbl>
          <w:p>
            <w:pPr>
              <w:pStyle w:val="null3"/>
              <w:jc w:val="left"/>
            </w:pPr>
            <w:r>
              <w:rPr>
                <w:rFonts w:ascii="仿宋_GB2312" w:hAnsi="仿宋_GB2312" w:cs="仿宋_GB2312" w:eastAsia="仿宋_GB2312"/>
                <w:sz w:val="28"/>
                <w:b/>
              </w:rPr>
              <w:t>3.2镜像服务要求</w:t>
            </w:r>
          </w:p>
          <w:tbl>
            <w:tblPr>
              <w:tblBorders>
                <w:top w:val="none" w:color="000000" w:sz="4"/>
                <w:left w:val="none" w:color="000000" w:sz="4"/>
                <w:bottom w:val="none" w:color="000000" w:sz="4"/>
                <w:right w:val="none" w:color="000000" w:sz="4"/>
                <w:insideH w:val="none"/>
                <w:insideV w:val="none"/>
              </w:tblBorders>
            </w:tblPr>
            <w:tblGrid>
              <w:gridCol w:w="525"/>
              <w:gridCol w:w="843"/>
              <w:gridCol w:w="4230"/>
            </w:tblGrid>
            <w:tr>
              <w:tc>
                <w:tcPr>
                  <w:tcW w:type="dxa" w:w="52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8"/>
                    </w:rPr>
                    <w:t>序号</w:t>
                  </w:r>
                </w:p>
              </w:tc>
              <w:tc>
                <w:tcPr>
                  <w:tcW w:type="dxa" w:w="84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指标项</w:t>
                  </w:r>
                </w:p>
              </w:tc>
              <w:tc>
                <w:tcPr>
                  <w:tcW w:type="dxa" w:w="423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指标要求</w:t>
                  </w:r>
                </w:p>
              </w:tc>
            </w:tr>
            <w:tr>
              <w:tc>
                <w:tcPr>
                  <w:tcW w:type="dxa" w:w="5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基本功能</w:t>
                  </w:r>
                </w:p>
              </w:tc>
              <w:tc>
                <w:tcPr>
                  <w:tcW w:type="dxa" w:w="4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8"/>
                    </w:rPr>
                    <w:t>★支持功能镜像、自定义镜像、整机镜像、系统盘镜像、数据盘镜像</w:t>
                  </w:r>
                </w:p>
              </w:tc>
            </w:tr>
          </w:tbl>
          <w:p>
            <w:pPr>
              <w:pStyle w:val="null3"/>
              <w:jc w:val="left"/>
            </w:pPr>
            <w:r>
              <w:rPr>
                <w:rFonts w:ascii="仿宋_GB2312" w:hAnsi="仿宋_GB2312" w:cs="仿宋_GB2312" w:eastAsia="仿宋_GB2312"/>
                <w:sz w:val="28"/>
                <w:b/>
              </w:rPr>
              <w:t>3.3 IP要求</w:t>
            </w:r>
          </w:p>
          <w:tbl>
            <w:tblPr>
              <w:tblBorders>
                <w:top w:val="none" w:color="000000" w:sz="4"/>
                <w:left w:val="none" w:color="000000" w:sz="4"/>
                <w:bottom w:val="none" w:color="000000" w:sz="4"/>
                <w:right w:val="none" w:color="000000" w:sz="4"/>
                <w:insideH w:val="none"/>
                <w:insideV w:val="none"/>
              </w:tblBorders>
            </w:tblPr>
            <w:tblGrid>
              <w:gridCol w:w="525"/>
              <w:gridCol w:w="843"/>
              <w:gridCol w:w="4230"/>
            </w:tblGrid>
            <w:tr>
              <w:tc>
                <w:tcPr>
                  <w:tcW w:type="dxa" w:w="52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8"/>
                    </w:rPr>
                    <w:t>序号</w:t>
                  </w:r>
                </w:p>
              </w:tc>
              <w:tc>
                <w:tcPr>
                  <w:tcW w:type="dxa" w:w="84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指标项</w:t>
                  </w:r>
                </w:p>
              </w:tc>
              <w:tc>
                <w:tcPr>
                  <w:tcW w:type="dxa" w:w="423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指标要求</w:t>
                  </w:r>
                </w:p>
              </w:tc>
            </w:tr>
            <w:tr>
              <w:tc>
                <w:tcPr>
                  <w:tcW w:type="dxa" w:w="5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基本功能</w:t>
                  </w:r>
                </w:p>
              </w:tc>
              <w:tc>
                <w:tcPr>
                  <w:tcW w:type="dxa" w:w="4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★支持弹性IP；</w:t>
                  </w:r>
                </w:p>
              </w:tc>
            </w:tr>
          </w:tbl>
          <w:p>
            <w:pPr>
              <w:pStyle w:val="null3"/>
              <w:jc w:val="left"/>
            </w:pPr>
            <w:r>
              <w:rPr>
                <w:rFonts w:ascii="仿宋_GB2312" w:hAnsi="仿宋_GB2312" w:cs="仿宋_GB2312" w:eastAsia="仿宋_GB2312"/>
                <w:sz w:val="28"/>
                <w:b/>
              </w:rPr>
              <w:t>3.4  NAT网关服务要求</w:t>
            </w:r>
          </w:p>
          <w:tbl>
            <w:tblPr>
              <w:tblBorders>
                <w:top w:val="none" w:color="000000" w:sz="4"/>
                <w:left w:val="none" w:color="000000" w:sz="4"/>
                <w:bottom w:val="none" w:color="000000" w:sz="4"/>
                <w:right w:val="none" w:color="000000" w:sz="4"/>
                <w:insideH w:val="none"/>
                <w:insideV w:val="none"/>
              </w:tblBorders>
            </w:tblPr>
            <w:tblGrid>
              <w:gridCol w:w="525"/>
              <w:gridCol w:w="843"/>
              <w:gridCol w:w="4230"/>
            </w:tblGrid>
            <w:tr>
              <w:tc>
                <w:tcPr>
                  <w:tcW w:type="dxa" w:w="52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8"/>
                    </w:rPr>
                    <w:t>序号</w:t>
                  </w:r>
                </w:p>
              </w:tc>
              <w:tc>
                <w:tcPr>
                  <w:tcW w:type="dxa" w:w="84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指标项</w:t>
                  </w:r>
                </w:p>
              </w:tc>
              <w:tc>
                <w:tcPr>
                  <w:tcW w:type="dxa" w:w="423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指标要求</w:t>
                  </w:r>
                </w:p>
              </w:tc>
            </w:tr>
            <w:tr>
              <w:tc>
                <w:tcPr>
                  <w:tcW w:type="dxa" w:w="5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基本功能</w:t>
                  </w:r>
                </w:p>
              </w:tc>
              <w:tc>
                <w:tcPr>
                  <w:tcW w:type="dxa" w:w="4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★最大并发连接数≥10000；</w:t>
                  </w:r>
                </w:p>
              </w:tc>
            </w:tr>
          </w:tbl>
          <w:p>
            <w:pPr>
              <w:pStyle w:val="null3"/>
              <w:jc w:val="left"/>
            </w:pPr>
            <w:r>
              <w:rPr>
                <w:rFonts w:ascii="仿宋_GB2312" w:hAnsi="仿宋_GB2312" w:cs="仿宋_GB2312" w:eastAsia="仿宋_GB2312"/>
                <w:sz w:val="28"/>
                <w:b/>
              </w:rPr>
              <w:t>3.5 RICI智能化内容管理系统要求</w:t>
            </w:r>
          </w:p>
          <w:tbl>
            <w:tblPr>
              <w:tblBorders>
                <w:top w:val="none" w:color="000000" w:sz="4"/>
                <w:left w:val="none" w:color="000000" w:sz="4"/>
                <w:bottom w:val="none" w:color="000000" w:sz="4"/>
                <w:right w:val="none" w:color="000000" w:sz="4"/>
                <w:insideH w:val="none"/>
                <w:insideV w:val="none"/>
              </w:tblBorders>
            </w:tblPr>
            <w:tblGrid>
              <w:gridCol w:w="525"/>
              <w:gridCol w:w="843"/>
              <w:gridCol w:w="4230"/>
            </w:tblGrid>
            <w:tr>
              <w:tc>
                <w:tcPr>
                  <w:tcW w:type="dxa" w:w="52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8"/>
                    </w:rPr>
                    <w:t>序号</w:t>
                  </w:r>
                </w:p>
              </w:tc>
              <w:tc>
                <w:tcPr>
                  <w:tcW w:type="dxa" w:w="84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指标项</w:t>
                  </w:r>
                </w:p>
              </w:tc>
              <w:tc>
                <w:tcPr>
                  <w:tcW w:type="dxa" w:w="423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指标要求</w:t>
                  </w:r>
                </w:p>
              </w:tc>
            </w:tr>
            <w:tr>
              <w:tc>
                <w:tcPr>
                  <w:tcW w:type="dxa" w:w="5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多平台纳管要求</w:t>
                  </w:r>
                </w:p>
              </w:tc>
              <w:tc>
                <w:tcPr>
                  <w:tcW w:type="dxa" w:w="4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8"/>
                    </w:rPr>
                    <w:t>1.支持异构平台纳管，</w:t>
                  </w:r>
                  <w:r>
                    <w:rPr>
                      <w:rFonts w:ascii="仿宋_GB2312" w:hAnsi="仿宋_GB2312" w:cs="仿宋_GB2312" w:eastAsia="仿宋_GB2312"/>
                      <w:sz w:val="28"/>
                    </w:rPr>
                    <w:t>支持对接多类虚拟化平台、私有云、公有云及行业云平台，具备多云对接适配能力</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▲2.支持多平台资源展示，支持管理员角色按照云平台种类分别展示每朵云的弹性云主机、云硬盘、安全组、弹性IP等资源，并支持相关资源的创建；（提供相应的软件截图并加盖供应商公章）</w:t>
                  </w:r>
                </w:p>
                <w:p>
                  <w:pPr>
                    <w:pStyle w:val="null3"/>
                    <w:jc w:val="left"/>
                  </w:pPr>
                  <w:r>
                    <w:rPr>
                      <w:rFonts w:ascii="仿宋_GB2312" w:hAnsi="仿宋_GB2312" w:cs="仿宋_GB2312" w:eastAsia="仿宋_GB2312"/>
                      <w:sz w:val="28"/>
                    </w:rPr>
                    <w:t>3.支持多云资源统一申请，支持通过服务目录进行服务模板配置，一次性申请多个云平台上的多台云资源；</w:t>
                  </w:r>
                </w:p>
                <w:p>
                  <w:pPr>
                    <w:pStyle w:val="null3"/>
                    <w:jc w:val="left"/>
                  </w:pPr>
                  <w:r>
                    <w:rPr>
                      <w:rFonts w:ascii="仿宋_GB2312" w:hAnsi="仿宋_GB2312" w:cs="仿宋_GB2312" w:eastAsia="仿宋_GB2312"/>
                      <w:sz w:val="28"/>
                    </w:rPr>
                    <w:t>4.支持第三方认证配置，支持添加第三方认证服务器，协议至少包括OIDC、OAth2、CAS、LDAP、AD；</w:t>
                  </w:r>
                </w:p>
              </w:tc>
            </w:tr>
          </w:tbl>
          <w:p>
            <w:pPr>
              <w:pStyle w:val="null3"/>
              <w:jc w:val="left"/>
            </w:pPr>
            <w:r>
              <w:rPr>
                <w:rFonts w:ascii="仿宋_GB2312" w:hAnsi="仿宋_GB2312" w:cs="仿宋_GB2312" w:eastAsia="仿宋_GB2312"/>
                <w:sz w:val="28"/>
                <w:b/>
              </w:rPr>
              <w:t>3.6流量包要求</w:t>
            </w:r>
          </w:p>
          <w:tbl>
            <w:tblPr>
              <w:tblBorders>
                <w:top w:val="none" w:color="000000" w:sz="4"/>
                <w:left w:val="none" w:color="000000" w:sz="4"/>
                <w:bottom w:val="none" w:color="000000" w:sz="4"/>
                <w:right w:val="none" w:color="000000" w:sz="4"/>
                <w:insideH w:val="none"/>
                <w:insideV w:val="none"/>
              </w:tblBorders>
            </w:tblPr>
            <w:tblGrid>
              <w:gridCol w:w="525"/>
              <w:gridCol w:w="843"/>
              <w:gridCol w:w="4230"/>
            </w:tblGrid>
            <w:tr>
              <w:tc>
                <w:tcPr>
                  <w:tcW w:type="dxa" w:w="52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8"/>
                    </w:rPr>
                    <w:t>序号</w:t>
                  </w:r>
                </w:p>
              </w:tc>
              <w:tc>
                <w:tcPr>
                  <w:tcW w:type="dxa" w:w="84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指标项</w:t>
                  </w:r>
                </w:p>
              </w:tc>
              <w:tc>
                <w:tcPr>
                  <w:tcW w:type="dxa" w:w="423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指标要求</w:t>
                  </w:r>
                </w:p>
              </w:tc>
            </w:tr>
            <w:tr>
              <w:tc>
                <w:tcPr>
                  <w:tcW w:type="dxa" w:w="5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视频直播流量包</w:t>
                  </w:r>
                </w:p>
              </w:tc>
              <w:tc>
                <w:tcPr>
                  <w:tcW w:type="dxa" w:w="4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★直播流量包不低于10TB（1年有效期）</w:t>
                  </w:r>
                </w:p>
              </w:tc>
            </w:tr>
            <w:tr>
              <w:tc>
                <w:tcPr>
                  <w:tcW w:type="dxa" w:w="5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CDN流量包</w:t>
                  </w:r>
                </w:p>
              </w:tc>
              <w:tc>
                <w:tcPr>
                  <w:tcW w:type="dxa" w:w="4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★内容分发网络-CDN大陆流量包不低于30TB（1年有效期）</w:t>
                  </w:r>
                </w:p>
              </w:tc>
            </w:tr>
          </w:tbl>
          <w:p>
            <w:pPr>
              <w:pStyle w:val="null3"/>
              <w:jc w:val="left"/>
            </w:pPr>
            <w:r>
              <w:rPr>
                <w:rFonts w:ascii="仿宋_GB2312" w:hAnsi="仿宋_GB2312" w:cs="仿宋_GB2312" w:eastAsia="仿宋_GB2312"/>
                <w:sz w:val="28"/>
                <w:b/>
              </w:rPr>
              <w:t>3.7插件服务要求</w:t>
            </w:r>
          </w:p>
          <w:tbl>
            <w:tblPr>
              <w:tblBorders>
                <w:top w:val="none" w:color="000000" w:sz="4"/>
                <w:left w:val="none" w:color="000000" w:sz="4"/>
                <w:bottom w:val="none" w:color="000000" w:sz="4"/>
                <w:right w:val="none" w:color="000000" w:sz="4"/>
                <w:insideH w:val="none"/>
                <w:insideV w:val="none"/>
              </w:tblBorders>
            </w:tblPr>
            <w:tblGrid>
              <w:gridCol w:w="525"/>
              <w:gridCol w:w="843"/>
              <w:gridCol w:w="4230"/>
            </w:tblGrid>
            <w:tr>
              <w:tc>
                <w:tcPr>
                  <w:tcW w:type="dxa" w:w="52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8"/>
                    </w:rPr>
                    <w:t>序号</w:t>
                  </w:r>
                </w:p>
              </w:tc>
              <w:tc>
                <w:tcPr>
                  <w:tcW w:type="dxa" w:w="84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指标项</w:t>
                  </w:r>
                </w:p>
              </w:tc>
              <w:tc>
                <w:tcPr>
                  <w:tcW w:type="dxa" w:w="423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指标要求</w:t>
                  </w:r>
                </w:p>
              </w:tc>
            </w:tr>
            <w:tr>
              <w:tc>
                <w:tcPr>
                  <w:tcW w:type="dxa" w:w="5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服务器操作系统</w:t>
                  </w:r>
                </w:p>
              </w:tc>
              <w:tc>
                <w:tcPr>
                  <w:tcW w:type="dxa" w:w="4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8"/>
                    </w:rPr>
                    <w:t>★1.需满足财政部 工业和信息化部关于印发《操作系统政府采购需求标准（2023年版）》的通知中的全部实质性要求；</w:t>
                  </w:r>
                </w:p>
                <w:p>
                  <w:pPr>
                    <w:pStyle w:val="null3"/>
                    <w:jc w:val="left"/>
                  </w:pPr>
                  <w:r>
                    <w:rPr>
                      <w:rFonts w:ascii="仿宋_GB2312" w:hAnsi="仿宋_GB2312" w:cs="仿宋_GB2312" w:eastAsia="仿宋_GB2312"/>
                      <w:sz w:val="28"/>
                    </w:rPr>
                    <w:t>2.提供应用场景调优工具，支持对操作系统实时数据进行采集、处理等操作后得出分析报告，报告中包含系统数据、异常指标、调优指导等内容，使用者可以通过报告了解系统当前状态及瓶颈，从而根据指导内容有针对性的对系统进行调优操作，提供自研系统运维助手，可快速收集现场日志信息，对系统关键信息进行体检、并对网络、文件、内存、进程进行监控，实现问题快速定位；</w:t>
                  </w:r>
                </w:p>
                <w:p>
                  <w:pPr>
                    <w:pStyle w:val="null3"/>
                    <w:jc w:val="left"/>
                  </w:pPr>
                  <w:r>
                    <w:rPr>
                      <w:rFonts w:ascii="仿宋_GB2312" w:hAnsi="仿宋_GB2312" w:cs="仿宋_GB2312" w:eastAsia="仿宋_GB2312"/>
                      <w:sz w:val="28"/>
                    </w:rPr>
                    <w:t>★3.适用于服务器操作系统</w:t>
                  </w:r>
                </w:p>
              </w:tc>
            </w:tr>
            <w:tr>
              <w:tc>
                <w:tcPr>
                  <w:tcW w:type="dxa" w:w="5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数据库软件</w:t>
                  </w:r>
                </w:p>
              </w:tc>
              <w:tc>
                <w:tcPr>
                  <w:tcW w:type="dxa" w:w="4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8"/>
                    </w:rPr>
                    <w:t>★1.需满足财政部 工业和信息化部关于印发《数据库政府采购需求标准（2023年版）》的通知中的全部实质性要求；</w:t>
                  </w:r>
                </w:p>
                <w:p>
                  <w:pPr>
                    <w:pStyle w:val="null3"/>
                    <w:jc w:val="left"/>
                  </w:pPr>
                  <w:r>
                    <w:rPr>
                      <w:rFonts w:ascii="仿宋_GB2312" w:hAnsi="仿宋_GB2312" w:cs="仿宋_GB2312" w:eastAsia="仿宋_GB2312"/>
                      <w:sz w:val="28"/>
                    </w:rPr>
                    <w:t>★2.支持JDBC、ODBC接口，</w:t>
                  </w:r>
                  <w:r>
                    <w:rPr>
                      <w:rFonts w:ascii="仿宋_GB2312" w:hAnsi="仿宋_GB2312" w:cs="仿宋_GB2312" w:eastAsia="仿宋_GB2312"/>
                      <w:sz w:val="28"/>
                    </w:rPr>
                    <w:t>基础表分区管理</w:t>
                  </w:r>
                  <w:r>
                    <w:rPr>
                      <w:rFonts w:ascii="仿宋_GB2312" w:hAnsi="仿宋_GB2312" w:cs="仿宋_GB2312" w:eastAsia="仿宋_GB2312"/>
                      <w:sz w:val="28"/>
                    </w:rPr>
                    <w:t>包含：范围分区、哈希分区、列表分区。</w:t>
                  </w:r>
                </w:p>
                <w:p>
                  <w:pPr>
                    <w:pStyle w:val="null3"/>
                    <w:jc w:val="left"/>
                  </w:pPr>
                  <w:r>
                    <w:rPr>
                      <w:rFonts w:ascii="仿宋_GB2312" w:hAnsi="仿宋_GB2312" w:cs="仿宋_GB2312" w:eastAsia="仿宋_GB2312"/>
                      <w:sz w:val="28"/>
                    </w:rPr>
                    <w:t>3.</w:t>
                  </w:r>
                  <w:r>
                    <w:rPr>
                      <w:rFonts w:ascii="仿宋_GB2312" w:hAnsi="仿宋_GB2312" w:cs="仿宋_GB2312" w:eastAsia="仿宋_GB2312"/>
                      <w:sz w:val="28"/>
                    </w:rPr>
                    <w:t>兼容</w:t>
                  </w:r>
                  <w:r>
                    <w:rPr>
                      <w:rFonts w:ascii="仿宋_GB2312" w:hAnsi="仿宋_GB2312" w:cs="仿宋_GB2312" w:eastAsia="仿宋_GB2312"/>
                      <w:sz w:val="28"/>
                    </w:rPr>
                    <w:t>OCI、Python、php以及.NET接口等功能；支持分区表迁移；可实现裸设备、事务中DDL回滚；具备创建宽表的能力，单表支持创建3000列以上；</w:t>
                  </w:r>
                </w:p>
                <w:p>
                  <w:pPr>
                    <w:pStyle w:val="null3"/>
                    <w:jc w:val="left"/>
                  </w:pPr>
                  <w:r>
                    <w:rPr>
                      <w:rFonts w:ascii="仿宋_GB2312" w:hAnsi="仿宋_GB2312" w:cs="仿宋_GB2312" w:eastAsia="仿宋_GB2312"/>
                      <w:sz w:val="28"/>
                    </w:rPr>
                    <w:t>4.支持数据复制技术，支持一对多单向同步、多对一单向同步以及多节点广播式双向同步等功能。</w:t>
                  </w:r>
                </w:p>
                <w:p>
                  <w:pPr>
                    <w:pStyle w:val="null3"/>
                    <w:jc w:val="left"/>
                  </w:pPr>
                  <w:r>
                    <w:rPr>
                      <w:rFonts w:ascii="仿宋_GB2312" w:hAnsi="仿宋_GB2312" w:cs="仿宋_GB2312" w:eastAsia="仿宋_GB2312"/>
                      <w:sz w:val="28"/>
                    </w:rPr>
                    <w:t>★5.适用于集中式数据库。</w:t>
                  </w:r>
                </w:p>
              </w:tc>
            </w:tr>
            <w:tr>
              <w:tc>
                <w:tcPr>
                  <w:tcW w:type="dxa" w:w="5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中间件</w:t>
                  </w:r>
                </w:p>
              </w:tc>
              <w:tc>
                <w:tcPr>
                  <w:tcW w:type="dxa" w:w="4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8"/>
                    </w:rPr>
                    <w:t>★1.具备Web应用、EJB应用、虚拟主机、应用服务集群、身份验证、日志审计基本功能；</w:t>
                  </w:r>
                </w:p>
                <w:p>
                  <w:pPr>
                    <w:pStyle w:val="null3"/>
                    <w:jc w:val="left"/>
                  </w:pPr>
                  <w:r>
                    <w:rPr>
                      <w:rFonts w:ascii="仿宋_GB2312" w:hAnsi="仿宋_GB2312" w:cs="仿宋_GB2312" w:eastAsia="仿宋_GB2312"/>
                      <w:sz w:val="28"/>
                    </w:rPr>
                    <w:t>2.提供类库管理，集成环境管理、图形化监控、JVM配置、垃圾回收配置等工具；支持实例部署、数据库连接服务，为业务系统提供运行环境。</w:t>
                  </w:r>
                </w:p>
              </w:tc>
            </w:tr>
          </w:tbl>
          <w:p>
            <w:pPr>
              <w:pStyle w:val="null3"/>
              <w:jc w:val="left"/>
            </w:pPr>
            <w:r>
              <w:rPr>
                <w:rFonts w:ascii="仿宋_GB2312" w:hAnsi="仿宋_GB2312" w:cs="仿宋_GB2312" w:eastAsia="仿宋_GB2312"/>
                <w:sz w:val="28"/>
                <w:b/>
              </w:rPr>
              <w:t>3.8算力服务要求</w:t>
            </w:r>
          </w:p>
          <w:tbl>
            <w:tblPr>
              <w:tblBorders>
                <w:top w:val="none" w:color="000000" w:sz="4"/>
                <w:left w:val="none" w:color="000000" w:sz="4"/>
                <w:bottom w:val="none" w:color="000000" w:sz="4"/>
                <w:right w:val="none" w:color="000000" w:sz="4"/>
                <w:insideH w:val="none"/>
                <w:insideV w:val="none"/>
              </w:tblBorders>
            </w:tblPr>
            <w:tblGrid>
              <w:gridCol w:w="522"/>
              <w:gridCol w:w="843"/>
              <w:gridCol w:w="4233"/>
            </w:tblGrid>
            <w:tr>
              <w:tc>
                <w:tcPr>
                  <w:tcW w:type="dxa" w:w="52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8"/>
                    </w:rPr>
                    <w:t>序号</w:t>
                  </w:r>
                </w:p>
              </w:tc>
              <w:tc>
                <w:tcPr>
                  <w:tcW w:type="dxa" w:w="84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8"/>
                    </w:rPr>
                    <w:t>指标项</w:t>
                  </w:r>
                </w:p>
              </w:tc>
              <w:tc>
                <w:tcPr>
                  <w:tcW w:type="dxa" w:w="423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8"/>
                    </w:rPr>
                    <w:t>指标要求</w:t>
                  </w:r>
                </w:p>
              </w:tc>
            </w:tr>
            <w:tr>
              <w:tc>
                <w:tcPr>
                  <w:tcW w:type="dxa" w:w="5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基础算力</w:t>
                  </w:r>
                </w:p>
              </w:tc>
              <w:tc>
                <w:tcPr>
                  <w:tcW w:type="dxa" w:w="42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8"/>
                    </w:rPr>
                    <w:t>训推一体智算</w:t>
                  </w:r>
                  <w:r>
                    <w:rPr>
                      <w:rFonts w:ascii="仿宋_GB2312" w:hAnsi="仿宋_GB2312" w:cs="仿宋_GB2312" w:eastAsia="仿宋_GB2312"/>
                      <w:sz w:val="28"/>
                    </w:rPr>
                    <w:t>不低于</w:t>
                  </w:r>
                  <w:r>
                    <w:rPr>
                      <w:rFonts w:ascii="仿宋_GB2312" w:hAnsi="仿宋_GB2312" w:cs="仿宋_GB2312" w:eastAsia="仿宋_GB2312"/>
                      <w:sz w:val="28"/>
                    </w:rPr>
                    <w:t>21P ，10天（国产算力）；</w:t>
                  </w:r>
                </w:p>
              </w:tc>
            </w:tr>
            <w:tr>
              <w:tc>
                <w:tcPr>
                  <w:tcW w:type="dxa" w:w="5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模型推理</w:t>
                  </w:r>
                </w:p>
              </w:tc>
              <w:tc>
                <w:tcPr>
                  <w:tcW w:type="dxa" w:w="42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8"/>
                    </w:rPr>
                    <w:t>模型推理</w:t>
                  </w:r>
                  <w:r>
                    <w:rPr>
                      <w:rFonts w:ascii="仿宋_GB2312" w:hAnsi="仿宋_GB2312" w:cs="仿宋_GB2312" w:eastAsia="仿宋_GB2312"/>
                      <w:sz w:val="28"/>
                    </w:rPr>
                    <w:t>TPM包</w:t>
                  </w:r>
                  <w:r>
                    <w:rPr>
                      <w:rFonts w:ascii="仿宋_GB2312" w:hAnsi="仿宋_GB2312" w:cs="仿宋_GB2312" w:eastAsia="仿宋_GB2312"/>
                      <w:sz w:val="28"/>
                    </w:rPr>
                    <w:t>不低于</w:t>
                  </w:r>
                  <w:r>
                    <w:rPr>
                      <w:rFonts w:ascii="仿宋_GB2312" w:hAnsi="仿宋_GB2312" w:cs="仿宋_GB2312" w:eastAsia="仿宋_GB2312"/>
                      <w:sz w:val="28"/>
                    </w:rPr>
                    <w:t>63</w:t>
                  </w:r>
                  <w:r>
                    <w:rPr>
                      <w:rFonts w:ascii="仿宋_GB2312" w:hAnsi="仿宋_GB2312" w:cs="仿宋_GB2312" w:eastAsia="仿宋_GB2312"/>
                      <w:sz w:val="28"/>
                    </w:rPr>
                    <w:t>个（</w:t>
                  </w:r>
                  <w:r>
                    <w:rPr>
                      <w:rFonts w:ascii="仿宋_GB2312" w:hAnsi="仿宋_GB2312" w:cs="仿宋_GB2312" w:eastAsia="仿宋_GB2312"/>
                      <w:sz w:val="28"/>
                    </w:rPr>
                    <w:t>TPM=10000，RPM=600，并发=8）；</w:t>
                  </w:r>
                </w:p>
              </w:tc>
            </w:tr>
            <w:tr>
              <w:tc>
                <w:tcPr>
                  <w:tcW w:type="dxa" w:w="5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平台算力服务能力</w:t>
                  </w:r>
                </w:p>
              </w:tc>
              <w:tc>
                <w:tcPr>
                  <w:tcW w:type="dxa" w:w="42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8"/>
                    </w:rPr>
                    <w:t>▲具备高水平的算力服务能力：（取得</w:t>
                  </w:r>
                  <w:r>
                    <w:rPr>
                      <w:rFonts w:ascii="仿宋_GB2312" w:hAnsi="仿宋_GB2312" w:cs="仿宋_GB2312" w:eastAsia="仿宋_GB2312"/>
                      <w:sz w:val="28"/>
                    </w:rPr>
                    <w:t>中国信息通信研究院</w:t>
                  </w:r>
                  <w:r>
                    <w:rPr>
                      <w:rFonts w:ascii="仿宋_GB2312" w:hAnsi="仿宋_GB2312" w:cs="仿宋_GB2312" w:eastAsia="仿宋_GB2312"/>
                      <w:sz w:val="28"/>
                    </w:rPr>
                    <w:t>颁发的智算工程平台检验证书并加盖供应商公章）</w:t>
                  </w:r>
                </w:p>
              </w:tc>
            </w:tr>
            <w:tr>
              <w:tc>
                <w:tcPr>
                  <w:tcW w:type="dxa" w:w="5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大模型智算集群服务能力</w:t>
                  </w:r>
                </w:p>
                <w:p>
                  <w:pPr>
                    <w:pStyle w:val="null3"/>
                    <w:jc w:val="center"/>
                  </w:pPr>
                </w:p>
              </w:tc>
              <w:tc>
                <w:tcPr>
                  <w:tcW w:type="dxa" w:w="42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8"/>
                    </w:rPr>
                    <w:t xml:space="preserve"> </w:t>
                  </w:r>
                  <w:r>
                    <w:rPr>
                      <w:rFonts w:ascii="仿宋_GB2312" w:hAnsi="仿宋_GB2312" w:cs="仿宋_GB2312" w:eastAsia="仿宋_GB2312"/>
                      <w:sz w:val="28"/>
                    </w:rPr>
                    <w:t>▲通过大规模智算集群服务成熟度能力评估；（提供</w:t>
                  </w:r>
                  <w:r>
                    <w:rPr>
                      <w:rFonts w:ascii="仿宋_GB2312" w:hAnsi="仿宋_GB2312" w:cs="仿宋_GB2312" w:eastAsia="仿宋_GB2312"/>
                      <w:sz w:val="28"/>
                    </w:rPr>
                    <w:t>中国信息通信研究院</w:t>
                  </w:r>
                  <w:r>
                    <w:rPr>
                      <w:rFonts w:ascii="仿宋_GB2312" w:hAnsi="仿宋_GB2312" w:cs="仿宋_GB2312" w:eastAsia="仿宋_GB2312"/>
                      <w:sz w:val="28"/>
                    </w:rPr>
                    <w:t>颁发的可信云</w:t>
                  </w:r>
                  <w:r>
                    <w:rPr>
                      <w:rFonts w:ascii="仿宋_GB2312" w:hAnsi="仿宋_GB2312" w:cs="仿宋_GB2312" w:eastAsia="仿宋_GB2312"/>
                      <w:sz w:val="28"/>
                    </w:rPr>
                    <w:t>·大规模智算集群服务成熟度能力检验证书并加盖供应商公章）</w:t>
                  </w:r>
                </w:p>
              </w:tc>
            </w:tr>
            <w:tr>
              <w:tc>
                <w:tcPr>
                  <w:tcW w:type="dxa" w:w="5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科研助手服务能力</w:t>
                  </w:r>
                </w:p>
              </w:tc>
              <w:tc>
                <w:tcPr>
                  <w:tcW w:type="dxa" w:w="42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8"/>
                    </w:rPr>
                    <w:t>1.</w:t>
                  </w:r>
                  <w:r>
                    <w:rPr>
                      <w:rFonts w:ascii="仿宋_GB2312" w:hAnsi="仿宋_GB2312" w:cs="仿宋_GB2312" w:eastAsia="仿宋_GB2312"/>
                      <w:sz w:val="28"/>
                    </w:rPr>
                    <w:t>支持多样化的算力形态，支持一站式使用多种架构计算资源的统一接入和管理，满足不同科研任务对算力的需求；</w:t>
                  </w:r>
                </w:p>
                <w:p>
                  <w:pPr>
                    <w:pStyle w:val="null3"/>
                    <w:jc w:val="left"/>
                  </w:pPr>
                  <w:r>
                    <w:rPr>
                      <w:rFonts w:ascii="仿宋_GB2312" w:hAnsi="仿宋_GB2312" w:cs="仿宋_GB2312" w:eastAsia="仿宋_GB2312"/>
                      <w:sz w:val="28"/>
                    </w:rPr>
                    <w:t>2.</w:t>
                  </w:r>
                  <w:r>
                    <w:rPr>
                      <w:rFonts w:ascii="仿宋_GB2312" w:hAnsi="仿宋_GB2312" w:cs="仿宋_GB2312" w:eastAsia="仿宋_GB2312"/>
                      <w:sz w:val="28"/>
                    </w:rPr>
                    <w:t>应支持融合存储挂载到各个服务中，支持同时共享访问，可扩容和权限管理，确保存储的高效管理；</w:t>
                  </w:r>
                </w:p>
                <w:p>
                  <w:pPr>
                    <w:pStyle w:val="null3"/>
                    <w:jc w:val="left"/>
                  </w:pPr>
                  <w:r>
                    <w:rPr>
                      <w:rFonts w:ascii="仿宋_GB2312" w:hAnsi="仿宋_GB2312" w:cs="仿宋_GB2312" w:eastAsia="仿宋_GB2312"/>
                      <w:sz w:val="28"/>
                    </w:rPr>
                    <w:t>3.</w:t>
                  </w:r>
                  <w:r>
                    <w:rPr>
                      <w:rFonts w:ascii="仿宋_GB2312" w:hAnsi="仿宋_GB2312" w:cs="仿宋_GB2312" w:eastAsia="仿宋_GB2312"/>
                      <w:sz w:val="28"/>
                    </w:rPr>
                    <w:t>支持对科研作业进行智能优化调度，能够基于作业优先级、资源请求、历史运行状态、资源可用性等因素进行调度，实现资源的动态优化分配；</w:t>
                  </w:r>
                </w:p>
                <w:p>
                  <w:pPr>
                    <w:pStyle w:val="null3"/>
                    <w:jc w:val="left"/>
                  </w:pPr>
                  <w:r>
                    <w:rPr>
                      <w:rFonts w:ascii="仿宋_GB2312" w:hAnsi="仿宋_GB2312" w:cs="仿宋_GB2312" w:eastAsia="仿宋_GB2312"/>
                      <w:sz w:val="28"/>
                    </w:rPr>
                    <w:t>4.支持AI辅助实验设计，通过整合领域知识库和历史数据，自动生成实验方案。</w:t>
                  </w:r>
                </w:p>
              </w:tc>
            </w:tr>
          </w:tbl>
          <w:p>
            <w:pPr>
              <w:pStyle w:val="null3"/>
              <w:jc w:val="left"/>
            </w:pPr>
            <w:r>
              <w:rPr>
                <w:rFonts w:ascii="仿宋_GB2312" w:hAnsi="仿宋_GB2312" w:cs="仿宋_GB2312" w:eastAsia="仿宋_GB2312"/>
                <w:sz w:val="28"/>
                <w:b/>
              </w:rPr>
              <w:t>3.9专线要求</w:t>
            </w:r>
          </w:p>
          <w:tbl>
            <w:tblPr>
              <w:tblBorders>
                <w:top w:val="none" w:color="000000" w:sz="4"/>
                <w:left w:val="none" w:color="000000" w:sz="4"/>
                <w:bottom w:val="none" w:color="000000" w:sz="4"/>
                <w:right w:val="none" w:color="000000" w:sz="4"/>
                <w:insideH w:val="none"/>
                <w:insideV w:val="none"/>
              </w:tblBorders>
            </w:tblPr>
            <w:tblGrid>
              <w:gridCol w:w="525"/>
              <w:gridCol w:w="843"/>
              <w:gridCol w:w="4230"/>
            </w:tblGrid>
            <w:tr>
              <w:tc>
                <w:tcPr>
                  <w:tcW w:type="dxa" w:w="52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8"/>
                    </w:rPr>
                    <w:t>序号</w:t>
                  </w:r>
                </w:p>
              </w:tc>
              <w:tc>
                <w:tcPr>
                  <w:tcW w:type="dxa" w:w="84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指标项</w:t>
                  </w:r>
                </w:p>
              </w:tc>
              <w:tc>
                <w:tcPr>
                  <w:tcW w:type="dxa" w:w="423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指标要求</w:t>
                  </w:r>
                </w:p>
              </w:tc>
            </w:tr>
            <w:tr>
              <w:tc>
                <w:tcPr>
                  <w:tcW w:type="dxa" w:w="5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8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基本功能</w:t>
                  </w:r>
                </w:p>
              </w:tc>
              <w:tc>
                <w:tcPr>
                  <w:tcW w:type="dxa" w:w="4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★一主一冷备，均不低于500M；</w:t>
                  </w:r>
                </w:p>
              </w:tc>
            </w:tr>
          </w:tbl>
          <w:p>
            <w:pPr>
              <w:pStyle w:val="null3"/>
              <w:jc w:val="left"/>
              <w:outlineLvl w:val="3"/>
            </w:pPr>
            <w:r>
              <w:rPr>
                <w:rFonts w:ascii="仿宋_GB2312" w:hAnsi="仿宋_GB2312" w:cs="仿宋_GB2312" w:eastAsia="仿宋_GB2312"/>
                <w:sz w:val="28"/>
                <w:b/>
              </w:rPr>
              <w:t>4.</w:t>
            </w:r>
            <w:r>
              <w:rPr>
                <w:rFonts w:ascii="仿宋_GB2312" w:hAnsi="仿宋_GB2312" w:cs="仿宋_GB2312" w:eastAsia="仿宋_GB2312"/>
                <w:sz w:val="28"/>
                <w:b/>
              </w:rPr>
              <w:t>用户</w:t>
            </w:r>
            <w:r>
              <w:rPr>
                <w:rFonts w:ascii="仿宋_GB2312" w:hAnsi="仿宋_GB2312" w:cs="仿宋_GB2312" w:eastAsia="仿宋_GB2312"/>
                <w:sz w:val="28"/>
                <w:b/>
              </w:rPr>
              <w:t>安全服务要求</w:t>
            </w:r>
          </w:p>
          <w:p>
            <w:pPr>
              <w:pStyle w:val="null3"/>
              <w:jc w:val="left"/>
            </w:pPr>
            <w:r>
              <w:rPr>
                <w:rFonts w:ascii="仿宋_GB2312" w:hAnsi="仿宋_GB2312" w:cs="仿宋_GB2312" w:eastAsia="仿宋_GB2312"/>
                <w:sz w:val="28"/>
                <w:b/>
              </w:rPr>
              <w:t>4.1</w:t>
            </w:r>
            <w:r>
              <w:rPr>
                <w:rFonts w:ascii="仿宋_GB2312" w:hAnsi="仿宋_GB2312" w:cs="仿宋_GB2312" w:eastAsia="仿宋_GB2312"/>
                <w:b/>
              </w:rPr>
              <w:t xml:space="preserve"> </w:t>
            </w:r>
            <w:r>
              <w:rPr>
                <w:rFonts w:ascii="仿宋_GB2312" w:hAnsi="仿宋_GB2312" w:cs="仿宋_GB2312" w:eastAsia="仿宋_GB2312"/>
                <w:sz w:val="28"/>
                <w:b/>
              </w:rPr>
              <w:t>Web应用防火墙要求</w:t>
            </w:r>
          </w:p>
          <w:tbl>
            <w:tblPr>
              <w:tblBorders>
                <w:top w:val="none" w:color="000000" w:sz="4"/>
                <w:left w:val="none" w:color="000000" w:sz="4"/>
                <w:bottom w:val="none" w:color="000000" w:sz="4"/>
                <w:right w:val="none" w:color="000000" w:sz="4"/>
                <w:insideH w:val="none"/>
                <w:insideV w:val="none"/>
              </w:tblBorders>
            </w:tblPr>
            <w:tblGrid>
              <w:gridCol w:w="523"/>
              <w:gridCol w:w="839"/>
              <w:gridCol w:w="4236"/>
            </w:tblGrid>
            <w:tr>
              <w:tc>
                <w:tcPr>
                  <w:tcW w:type="dxa" w:w="52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序号</w:t>
                  </w:r>
                </w:p>
              </w:tc>
              <w:tc>
                <w:tcPr>
                  <w:tcW w:type="dxa" w:w="83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指标项</w:t>
                  </w:r>
                </w:p>
              </w:tc>
              <w:tc>
                <w:tcPr>
                  <w:tcW w:type="dxa" w:w="423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指标要求</w:t>
                  </w:r>
                </w:p>
              </w:tc>
            </w:tr>
            <w:tr>
              <w:tc>
                <w:tcPr>
                  <w:tcW w:type="dxa" w:w="5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839"/>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基本能力</w:t>
                  </w:r>
                </w:p>
              </w:tc>
              <w:tc>
                <w:tcPr>
                  <w:tcW w:type="dxa" w:w="42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★具备有效期内的网络关键设备和网络安全专用产品安全检测证书或网络关键设备和网络安全专用产品安全认证证书（提供证书复印件证明材料并加盖供应商公章）</w:t>
                  </w:r>
                </w:p>
              </w:tc>
            </w:tr>
            <w:tr>
              <w:tc>
                <w:tcPr>
                  <w:tcW w:type="dxa" w:w="5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839"/>
                  <w:vMerge/>
                  <w:tcBorders>
                    <w:top w:val="none" w:color="000000" w:sz="4"/>
                    <w:left w:val="none" w:color="000000" w:sz="4"/>
                    <w:bottom w:val="single" w:color="000000" w:sz="4"/>
                    <w:right w:val="single" w:color="000000" w:sz="4"/>
                  </w:tcBorders>
                </w:tcPr>
                <w:p/>
              </w:tc>
              <w:tc>
                <w:tcPr>
                  <w:tcW w:type="dxa" w:w="42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Web威胁检测，具有检测各类应用层攻击行为的能力，如SQL注入、XSS攻</w:t>
                  </w:r>
                  <w:r>
                    <w:rPr>
                      <w:rFonts w:ascii="仿宋_GB2312" w:hAnsi="仿宋_GB2312" w:cs="仿宋_GB2312" w:eastAsia="仿宋_GB2312"/>
                      <w:sz w:val="28"/>
                    </w:rPr>
                    <w:t>击、远程溢出攻击、漏洞扫描、</w:t>
                  </w:r>
                  <w:r>
                    <w:rPr>
                      <w:rFonts w:ascii="仿宋_GB2312" w:hAnsi="仿宋_GB2312" w:cs="仿宋_GB2312" w:eastAsia="仿宋_GB2312"/>
                      <w:sz w:val="28"/>
                    </w:rPr>
                    <w:t>Bash</w:t>
                  </w:r>
                  <w:r>
                    <w:rPr>
                      <w:rFonts w:ascii="仿宋_GB2312" w:hAnsi="仿宋_GB2312" w:cs="仿宋_GB2312" w:eastAsia="仿宋_GB2312"/>
                      <w:sz w:val="28"/>
                    </w:rPr>
                    <w:t>漏洞攻击、远程命令执行</w:t>
                  </w:r>
                  <w:r>
                    <w:rPr>
                      <w:rFonts w:ascii="仿宋_GB2312" w:hAnsi="仿宋_GB2312" w:cs="仿宋_GB2312" w:eastAsia="仿宋_GB2312"/>
                      <w:sz w:val="28"/>
                    </w:rPr>
                    <w:t>；</w:t>
                  </w:r>
                </w:p>
              </w:tc>
            </w:tr>
            <w:tr>
              <w:tc>
                <w:tcPr>
                  <w:tcW w:type="dxa" w:w="5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839"/>
                  <w:vMerge/>
                  <w:tcBorders>
                    <w:top w:val="none" w:color="000000" w:sz="4"/>
                    <w:left w:val="none" w:color="000000" w:sz="4"/>
                    <w:bottom w:val="single" w:color="000000" w:sz="4"/>
                    <w:right w:val="single" w:color="000000" w:sz="4"/>
                  </w:tcBorders>
                </w:tcPr>
                <w:p/>
              </w:tc>
              <w:tc>
                <w:tcPr>
                  <w:tcW w:type="dxa" w:w="42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具备网页防篡改检测、个人敏感隐私数据防泄漏检测能力；</w:t>
                  </w:r>
                </w:p>
              </w:tc>
            </w:tr>
            <w:tr>
              <w:tc>
                <w:tcPr>
                  <w:tcW w:type="dxa" w:w="5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8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时效性</w:t>
                  </w:r>
                </w:p>
              </w:tc>
              <w:tc>
                <w:tcPr>
                  <w:tcW w:type="dxa" w:w="42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w:t>
                  </w:r>
                  <w:r>
                    <w:rPr>
                      <w:rFonts w:ascii="仿宋_GB2312" w:hAnsi="仿宋_GB2312" w:cs="仿宋_GB2312" w:eastAsia="仿宋_GB2312"/>
                      <w:sz w:val="28"/>
                    </w:rPr>
                    <w:t>0day漏洞热补丁更新。覆盖OWASP常见的10余种威胁攻击；</w:t>
                  </w:r>
                </w:p>
              </w:tc>
            </w:tr>
            <w:tr>
              <w:tc>
                <w:tcPr>
                  <w:tcW w:type="dxa" w:w="5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8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可靠性</w:t>
                  </w:r>
                </w:p>
              </w:tc>
              <w:tc>
                <w:tcPr>
                  <w:tcW w:type="dxa" w:w="42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全自动检测和攻击策略匹配，实时防护。检测引擎采用高可用模式部署，单引擎故障后，业务正常运行。</w:t>
                  </w:r>
                </w:p>
              </w:tc>
            </w:tr>
          </w:tbl>
          <w:p>
            <w:pPr>
              <w:pStyle w:val="null3"/>
              <w:jc w:val="left"/>
            </w:pPr>
            <w:r>
              <w:rPr>
                <w:rFonts w:ascii="仿宋_GB2312" w:hAnsi="仿宋_GB2312" w:cs="仿宋_GB2312" w:eastAsia="仿宋_GB2312"/>
                <w:sz w:val="28"/>
                <w:b/>
              </w:rPr>
              <w:t>4.2堡垒机要求</w:t>
            </w:r>
          </w:p>
          <w:tbl>
            <w:tblPr>
              <w:tblBorders>
                <w:top w:val="none" w:color="000000" w:sz="4"/>
                <w:left w:val="none" w:color="000000" w:sz="4"/>
                <w:bottom w:val="none" w:color="000000" w:sz="4"/>
                <w:right w:val="none" w:color="000000" w:sz="4"/>
                <w:insideH w:val="none"/>
                <w:insideV w:val="none"/>
              </w:tblBorders>
            </w:tblPr>
            <w:tblGrid>
              <w:gridCol w:w="937"/>
              <w:gridCol w:w="955"/>
              <w:gridCol w:w="3705"/>
            </w:tblGrid>
            <w:tr>
              <w:tc>
                <w:tcPr>
                  <w:tcW w:type="dxa" w:w="93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序号</w:t>
                  </w:r>
                </w:p>
              </w:tc>
              <w:tc>
                <w:tcPr>
                  <w:tcW w:type="dxa" w:w="95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指标项</w:t>
                  </w:r>
                </w:p>
              </w:tc>
              <w:tc>
                <w:tcPr>
                  <w:tcW w:type="dxa" w:w="370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指标要求</w:t>
                  </w:r>
                </w:p>
              </w:tc>
            </w:tr>
            <w:tr>
              <w:tc>
                <w:tcPr>
                  <w:tcW w:type="dxa" w:w="9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9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基本要求</w:t>
                  </w:r>
                </w:p>
              </w:tc>
              <w:tc>
                <w:tcPr>
                  <w:tcW w:type="dxa" w:w="3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8"/>
                    </w:rPr>
                    <w:t>★具备有效期内的网络关键设备和网络安全专用产品安全检测证书或网络关键设备和网络安全专用产品安全认证证书（提供证书复印件证明材料并加盖供应商公章）</w:t>
                  </w:r>
                </w:p>
              </w:tc>
            </w:tr>
            <w:tr>
              <w:tc>
                <w:tcPr>
                  <w:tcW w:type="dxa" w:w="9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9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资产管理</w:t>
                  </w:r>
                </w:p>
              </w:tc>
              <w:tc>
                <w:tcPr>
                  <w:tcW w:type="dxa" w:w="3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8"/>
                    </w:rPr>
                    <w:t>支持</w:t>
                  </w:r>
                  <w:r>
                    <w:rPr>
                      <w:rFonts w:ascii="仿宋_GB2312" w:hAnsi="仿宋_GB2312" w:cs="仿宋_GB2312" w:eastAsia="仿宋_GB2312"/>
                      <w:sz w:val="28"/>
                    </w:rPr>
                    <w:t>所有主账号和从账户在一个平台上进行管理，并可权限最小化；运维人员一次登录，便可对其所维护的多台资源进行管理；</w:t>
                  </w:r>
                </w:p>
              </w:tc>
            </w:tr>
            <w:tr>
              <w:tc>
                <w:tcPr>
                  <w:tcW w:type="dxa" w:w="9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9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运维审计</w:t>
                  </w:r>
                </w:p>
              </w:tc>
              <w:tc>
                <w:tcPr>
                  <w:tcW w:type="dxa" w:w="3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8"/>
                    </w:rPr>
                    <w:t>可视化运维行为监控，及时预警发现违规操作；实时记录管理员的资源管理、用户管理和策略管理等所有行为日志，以便监控和审计；</w:t>
                  </w:r>
                </w:p>
              </w:tc>
            </w:tr>
            <w:tr>
              <w:tc>
                <w:tcPr>
                  <w:tcW w:type="dxa" w:w="9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9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Web方式运维</w:t>
                  </w:r>
                </w:p>
              </w:tc>
              <w:tc>
                <w:tcPr>
                  <w:tcW w:type="dxa" w:w="3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8"/>
                    </w:rPr>
                    <w:t>支持</w:t>
                  </w:r>
                  <w:r>
                    <w:rPr>
                      <w:rFonts w:ascii="仿宋_GB2312" w:hAnsi="仿宋_GB2312" w:cs="仿宋_GB2312" w:eastAsia="仿宋_GB2312"/>
                      <w:sz w:val="28"/>
                    </w:rPr>
                    <w:t>SSH、RDP、SFTP、FTP、TELNET等主流运维协议WEB方式访问，同时支持WEB控件。</w:t>
                  </w:r>
                </w:p>
              </w:tc>
            </w:tr>
          </w:tbl>
          <w:p>
            <w:pPr>
              <w:pStyle w:val="null3"/>
              <w:jc w:val="left"/>
            </w:pPr>
            <w:r>
              <w:rPr>
                <w:rFonts w:ascii="仿宋_GB2312" w:hAnsi="仿宋_GB2312" w:cs="仿宋_GB2312" w:eastAsia="仿宋_GB2312"/>
                <w:sz w:val="28"/>
                <w:b/>
              </w:rPr>
              <w:t>4.3日志审计服务指标项</w:t>
            </w:r>
          </w:p>
          <w:tbl>
            <w:tblPr>
              <w:tblBorders>
                <w:top w:val="none" w:color="000000" w:sz="4"/>
                <w:left w:val="none" w:color="000000" w:sz="4"/>
                <w:bottom w:val="none" w:color="000000" w:sz="4"/>
                <w:right w:val="none" w:color="000000" w:sz="4"/>
                <w:insideH w:val="none"/>
                <w:insideV w:val="none"/>
              </w:tblBorders>
            </w:tblPr>
            <w:tblGrid>
              <w:gridCol w:w="567"/>
              <w:gridCol w:w="703"/>
              <w:gridCol w:w="4328"/>
            </w:tblGrid>
            <w:tr>
              <w:tc>
                <w:tcPr>
                  <w:tcW w:type="dxa" w:w="56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序号</w:t>
                  </w:r>
                </w:p>
              </w:tc>
              <w:tc>
                <w:tcPr>
                  <w:tcW w:type="dxa" w:w="70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指标项</w:t>
                  </w:r>
                </w:p>
              </w:tc>
              <w:tc>
                <w:tcPr>
                  <w:tcW w:type="dxa" w:w="432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指标要求</w:t>
                  </w:r>
                </w:p>
              </w:tc>
            </w:tr>
            <w:tr>
              <w:tc>
                <w:tcPr>
                  <w:tcW w:type="dxa" w:w="5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70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基本能力</w:t>
                  </w:r>
                </w:p>
              </w:tc>
              <w:tc>
                <w:tcPr>
                  <w:tcW w:type="dxa" w:w="4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具备有效期内的网络关键设备和网络安全专用产品安全检测证书或网络关键设备和网络安全专用产品安全认证证书（提供证书复印件证明材料并加盖供应商公章）</w:t>
                  </w:r>
                </w:p>
              </w:tc>
            </w:tr>
            <w:tr>
              <w:tc>
                <w:tcPr>
                  <w:tcW w:type="dxa" w:w="5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703"/>
                  <w:vMerge/>
                  <w:tcBorders>
                    <w:top w:val="none" w:color="000000" w:sz="4"/>
                    <w:left w:val="none" w:color="000000" w:sz="4"/>
                    <w:bottom w:val="single" w:color="000000" w:sz="4"/>
                    <w:right w:val="single" w:color="000000" w:sz="4"/>
                  </w:tcBorders>
                </w:tcPr>
                <w:p/>
              </w:tc>
              <w:tc>
                <w:tcPr>
                  <w:tcW w:type="dxa" w:w="4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★适配国产化CPU及操作系统，授权资产数≥20个，日志处理能力≥10000EPS，质保≥3年；</w:t>
                  </w:r>
                </w:p>
              </w:tc>
            </w:tr>
            <w:tr>
              <w:tc>
                <w:tcPr>
                  <w:tcW w:type="dxa" w:w="5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703"/>
                  <w:vMerge/>
                  <w:tcBorders>
                    <w:top w:val="none" w:color="000000" w:sz="4"/>
                    <w:left w:val="none" w:color="000000" w:sz="4"/>
                    <w:bottom w:val="single" w:color="000000" w:sz="4"/>
                    <w:right w:val="single" w:color="000000" w:sz="4"/>
                  </w:tcBorders>
                </w:tcPr>
                <w:p/>
              </w:tc>
              <w:tc>
                <w:tcPr>
                  <w:tcW w:type="dxa" w:w="4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支持对当前主流的网络安全设备、交换设备、路由设备、操作系统、应用系统等进行日志采集，支持通过</w:t>
                  </w:r>
                  <w:r>
                    <w:rPr>
                      <w:rFonts w:ascii="仿宋_GB2312" w:hAnsi="仿宋_GB2312" w:cs="仿宋_GB2312" w:eastAsia="仿宋_GB2312"/>
                      <w:sz w:val="28"/>
                    </w:rPr>
                    <w:t>Syslog、SNMP Trap、HTTP、ODBC/JDBC、WMI、FTP、SFTP等协议进行日志采集，支持通过插件方式采集日志，支持对插件进行卸载、升级、启动、停止、策略分发等操作，日志解析规则不低于5000条；</w:t>
                  </w:r>
                </w:p>
              </w:tc>
            </w:tr>
            <w:tr>
              <w:tc>
                <w:tcPr>
                  <w:tcW w:type="dxa" w:w="5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703"/>
                  <w:vMerge/>
                  <w:tcBorders>
                    <w:top w:val="none" w:color="000000" w:sz="4"/>
                    <w:left w:val="none" w:color="000000" w:sz="4"/>
                    <w:bottom w:val="single" w:color="000000" w:sz="4"/>
                    <w:right w:val="single" w:color="000000" w:sz="4"/>
                  </w:tcBorders>
                </w:tcPr>
                <w:p/>
              </w:tc>
              <w:tc>
                <w:tcPr>
                  <w:tcW w:type="dxa" w:w="4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在可视化界面中通过拖拽直接绘制拓扑图并与资产进行绑定，支持在可视化界面上查看资产信息，如资产采集的事件数量，被采集资产的状态等；（提供第三方检验检测机构出具的检验/检测报告相关页复印件并加盖供应商公章）</w:t>
                  </w:r>
                </w:p>
              </w:tc>
            </w:tr>
            <w:tr>
              <w:tc>
                <w:tcPr>
                  <w:tcW w:type="dxa" w:w="5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703"/>
                  <w:vMerge/>
                  <w:tcBorders>
                    <w:top w:val="none" w:color="000000" w:sz="4"/>
                    <w:left w:val="none" w:color="000000" w:sz="4"/>
                    <w:bottom w:val="single" w:color="000000" w:sz="4"/>
                    <w:right w:val="single" w:color="000000" w:sz="4"/>
                  </w:tcBorders>
                </w:tcPr>
                <w:p/>
              </w:tc>
              <w:tc>
                <w:tcPr>
                  <w:tcW w:type="dxa" w:w="4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支持将安全事件通过资产、安全知识库、弱点库三个维度进行联动分析和匹配，将安全事件进行联动整合并生成安全事件日志；</w:t>
                  </w:r>
                </w:p>
              </w:tc>
            </w:tr>
            <w:tr>
              <w:tc>
                <w:tcPr>
                  <w:tcW w:type="dxa" w:w="5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6</w:t>
                  </w:r>
                </w:p>
              </w:tc>
              <w:tc>
                <w:tcPr>
                  <w:tcW w:type="dxa" w:w="703"/>
                  <w:vMerge/>
                  <w:tcBorders>
                    <w:top w:val="none" w:color="000000" w:sz="4"/>
                    <w:left w:val="none" w:color="000000" w:sz="4"/>
                    <w:bottom w:val="single" w:color="000000" w:sz="4"/>
                    <w:right w:val="single" w:color="000000" w:sz="4"/>
                  </w:tcBorders>
                </w:tcPr>
                <w:p/>
              </w:tc>
              <w:tc>
                <w:tcPr>
                  <w:tcW w:type="dxa" w:w="4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支持从设备故障、认证登录、攻击威胁、可用性、系统脆弱性维度对当前系统中的所有资产进行安全综合评分，并支持查看单台资产的评分与评分原因。</w:t>
                  </w:r>
                </w:p>
              </w:tc>
            </w:tr>
          </w:tbl>
          <w:p>
            <w:pPr>
              <w:pStyle w:val="null3"/>
              <w:jc w:val="left"/>
            </w:pPr>
            <w:r>
              <w:rPr>
                <w:rFonts w:ascii="仿宋_GB2312" w:hAnsi="仿宋_GB2312" w:cs="仿宋_GB2312" w:eastAsia="仿宋_GB2312"/>
                <w:sz w:val="28"/>
                <w:b/>
              </w:rPr>
              <w:t>4.4主机安全要求</w:t>
            </w:r>
          </w:p>
          <w:tbl>
            <w:tblPr>
              <w:tblBorders>
                <w:top w:val="none" w:color="000000" w:sz="4"/>
                <w:left w:val="none" w:color="000000" w:sz="4"/>
                <w:bottom w:val="none" w:color="000000" w:sz="4"/>
                <w:right w:val="none" w:color="000000" w:sz="4"/>
                <w:insideH w:val="none"/>
                <w:insideV w:val="none"/>
              </w:tblBorders>
            </w:tblPr>
            <w:tblGrid>
              <w:gridCol w:w="700"/>
              <w:gridCol w:w="805"/>
              <w:gridCol w:w="4093"/>
            </w:tblGrid>
            <w:tr>
              <w:tc>
                <w:tcPr>
                  <w:tcW w:type="dxa" w:w="70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序号</w:t>
                  </w:r>
                </w:p>
              </w:tc>
              <w:tc>
                <w:tcPr>
                  <w:tcW w:type="dxa" w:w="80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指标项</w:t>
                  </w:r>
                </w:p>
              </w:tc>
              <w:tc>
                <w:tcPr>
                  <w:tcW w:type="dxa" w:w="409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指标要求</w:t>
                  </w:r>
                </w:p>
              </w:tc>
            </w:tr>
            <w:tr>
              <w:tc>
                <w:tcPr>
                  <w:tcW w:type="dxa" w:w="7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rPr>
                    <w:t>1</w:t>
                  </w:r>
                </w:p>
              </w:tc>
              <w:tc>
                <w:tcPr>
                  <w:tcW w:type="dxa" w:w="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主机资产管理</w:t>
                  </w:r>
                </w:p>
              </w:tc>
              <w:tc>
                <w:tcPr>
                  <w:tcW w:type="dxa" w:w="40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8"/>
                    </w:rPr>
                    <w:t>资产管理：支持收集并展示账号、开放端口、进程、</w:t>
                  </w:r>
                  <w:r>
                    <w:rPr>
                      <w:rFonts w:ascii="仿宋_GB2312" w:hAnsi="仿宋_GB2312" w:cs="仿宋_GB2312" w:eastAsia="仿宋_GB2312"/>
                      <w:sz w:val="28"/>
                    </w:rPr>
                    <w:t>Web目录、软件等主机资产信息，帮助用户进行监控和管理；</w:t>
                  </w:r>
                </w:p>
              </w:tc>
            </w:tr>
            <w:tr>
              <w:tc>
                <w:tcPr>
                  <w:tcW w:type="dxa" w:w="7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rPr>
                    <w:t>2</w:t>
                  </w:r>
                </w:p>
              </w:tc>
              <w:tc>
                <w:tcPr>
                  <w:tcW w:type="dxa" w:w="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支持双因子认证</w:t>
                  </w:r>
                </w:p>
              </w:tc>
              <w:tc>
                <w:tcPr>
                  <w:tcW w:type="dxa" w:w="40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8"/>
                    </w:rPr>
                    <w:t>双因子认证：支持结合短信</w:t>
                  </w:r>
                  <w:r>
                    <w:rPr>
                      <w:rFonts w:ascii="仿宋_GB2312" w:hAnsi="仿宋_GB2312" w:cs="仿宋_GB2312" w:eastAsia="仿宋_GB2312"/>
                      <w:sz w:val="28"/>
                    </w:rPr>
                    <w:t>/邮箱验证码，对服务器登录行为进行二次认证，极大地增强服务器账户安全性；</w:t>
                  </w:r>
                </w:p>
              </w:tc>
            </w:tr>
            <w:tr>
              <w:tc>
                <w:tcPr>
                  <w:tcW w:type="dxa" w:w="7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rPr>
                    <w:t>3</w:t>
                  </w:r>
                </w:p>
              </w:tc>
              <w:tc>
                <w:tcPr>
                  <w:tcW w:type="dxa" w:w="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账户暴力破解防护</w:t>
                  </w:r>
                </w:p>
              </w:tc>
              <w:tc>
                <w:tcPr>
                  <w:tcW w:type="dxa" w:w="40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8"/>
                    </w:rPr>
                    <w:t>账户暴力破解防护：检测账户遭受的口令破解攻击，对识别出的攻击源</w:t>
                  </w:r>
                  <w:r>
                    <w:rPr>
                      <w:rFonts w:ascii="仿宋_GB2312" w:hAnsi="仿宋_GB2312" w:cs="仿宋_GB2312" w:eastAsia="仿宋_GB2312"/>
                      <w:sz w:val="28"/>
                    </w:rPr>
                    <w:t>IP封锁24小时，禁止其再次登录，防止主机因账户破解被入侵；</w:t>
                  </w:r>
                </w:p>
              </w:tc>
            </w:tr>
            <w:tr>
              <w:tc>
                <w:tcPr>
                  <w:tcW w:type="dxa" w:w="7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rPr>
                    <w:t>4</w:t>
                  </w:r>
                </w:p>
              </w:tc>
              <w:tc>
                <w:tcPr>
                  <w:tcW w:type="dxa" w:w="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网站后门检测</w:t>
                  </w:r>
                </w:p>
              </w:tc>
              <w:tc>
                <w:tcPr>
                  <w:tcW w:type="dxa" w:w="40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8"/>
                    </w:rPr>
                    <w:t>检测服务器上</w:t>
                  </w:r>
                  <w:r>
                    <w:rPr>
                      <w:rFonts w:ascii="仿宋_GB2312" w:hAnsi="仿宋_GB2312" w:cs="仿宋_GB2312" w:eastAsia="仿宋_GB2312"/>
                      <w:sz w:val="28"/>
                    </w:rPr>
                    <w:t>Web目录中的文件，判断是否为WebShell木马文件；</w:t>
                  </w:r>
                </w:p>
              </w:tc>
            </w:tr>
            <w:tr>
              <w:tc>
                <w:tcPr>
                  <w:tcW w:type="dxa" w:w="7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rPr>
                    <w:t>5</w:t>
                  </w:r>
                </w:p>
              </w:tc>
              <w:tc>
                <w:tcPr>
                  <w:tcW w:type="dxa" w:w="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恶意程序检测</w:t>
                  </w:r>
                </w:p>
              </w:tc>
              <w:tc>
                <w:tcPr>
                  <w:tcW w:type="dxa" w:w="40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8"/>
                    </w:rPr>
                    <w:t>恶意程序检测（病毒查杀）：</w:t>
                  </w:r>
                  <w:r>
                    <w:rPr>
                      <w:rFonts w:ascii="仿宋_GB2312" w:hAnsi="仿宋_GB2312" w:cs="仿宋_GB2312" w:eastAsia="仿宋_GB2312"/>
                      <w:sz w:val="28"/>
                    </w:rPr>
                    <w:t>使用四重检测算法：恶意程序库（查杀已知恶意程序）</w:t>
                  </w:r>
                  <w:r>
                    <w:rPr>
                      <w:rFonts w:ascii="仿宋_GB2312" w:hAnsi="仿宋_GB2312" w:cs="仿宋_GB2312" w:eastAsia="仿宋_GB2312"/>
                      <w:sz w:val="28"/>
                    </w:rPr>
                    <w:t>+图像指纹算法（基于AI查杀变种）+基于行为检测算法+病毒查杀（多款杀毒引擎查杀未知病毒），对</w:t>
                  </w:r>
                  <w:r>
                    <w:rPr>
                      <w:rFonts w:ascii="仿宋_GB2312" w:hAnsi="仿宋_GB2312" w:cs="仿宋_GB2312" w:eastAsia="仿宋_GB2312"/>
                      <w:sz w:val="28"/>
                    </w:rPr>
                    <w:t>运行的进程进行检测，识别出其中的病毒、木马、后门、蠕虫和挖矿软件等，并提供一键隔离查杀能力</w:t>
                  </w:r>
                  <w:r>
                    <w:rPr>
                      <w:rFonts w:ascii="仿宋_GB2312" w:hAnsi="仿宋_GB2312" w:cs="仿宋_GB2312" w:eastAsia="仿宋_GB2312"/>
                      <w:sz w:val="28"/>
                    </w:rPr>
                    <w:t>；</w:t>
                  </w:r>
                </w:p>
              </w:tc>
            </w:tr>
            <w:tr>
              <w:tc>
                <w:tcPr>
                  <w:tcW w:type="dxa" w:w="7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rPr>
                    <w:t>6</w:t>
                  </w:r>
                </w:p>
              </w:tc>
              <w:tc>
                <w:tcPr>
                  <w:tcW w:type="dxa" w:w="8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关键文件变更检测</w:t>
                  </w:r>
                </w:p>
              </w:tc>
              <w:tc>
                <w:tcPr>
                  <w:tcW w:type="dxa" w:w="40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8"/>
                    </w:rPr>
                    <w:t>关键文件变更检测：对于系统关键文件（例如：</w:t>
                  </w:r>
                  <w:r>
                    <w:rPr>
                      <w:rFonts w:ascii="仿宋_GB2312" w:hAnsi="仿宋_GB2312" w:cs="仿宋_GB2312" w:eastAsia="仿宋_GB2312"/>
                      <w:sz w:val="28"/>
                    </w:rPr>
                    <w:t>ls、ps、login、top等）进行监控，一旦文件被修改就进行告警，提醒用户关键文件存在被篡改的可能；</w:t>
                  </w:r>
                </w:p>
              </w:tc>
            </w:tr>
            <w:tr>
              <w:tc>
                <w:tcPr>
                  <w:tcW w:type="dxa" w:w="7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rPr>
                    <w:t>7</w:t>
                  </w:r>
                </w:p>
              </w:tc>
              <w:tc>
                <w:tcPr>
                  <w:tcW w:type="dxa" w:w="8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网页防篡改</w:t>
                  </w:r>
                </w:p>
              </w:tc>
              <w:tc>
                <w:tcPr>
                  <w:tcW w:type="dxa" w:w="40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8"/>
                    </w:rPr>
                    <w:t>使用第三代网页防篡改技术，内核级事件触发技术，锁定用户目录下的文件后，有效阻止非法篡改行为；</w:t>
                  </w:r>
                </w:p>
              </w:tc>
            </w:tr>
            <w:tr>
              <w:tc>
                <w:tcPr>
                  <w:tcW w:type="dxa" w:w="7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rPr>
                    <w:t>8</w:t>
                  </w:r>
                </w:p>
              </w:tc>
              <w:tc>
                <w:tcPr>
                  <w:tcW w:type="dxa" w:w="805"/>
                  <w:vMerge/>
                  <w:tcBorders>
                    <w:top w:val="none" w:color="000000" w:sz="4"/>
                    <w:left w:val="none" w:color="000000" w:sz="4"/>
                    <w:bottom w:val="single" w:color="000000" w:sz="4"/>
                    <w:right w:val="single" w:color="000000" w:sz="4"/>
                  </w:tcBorders>
                </w:tcPr>
                <w:p/>
              </w:tc>
              <w:tc>
                <w:tcPr>
                  <w:tcW w:type="dxa" w:w="40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8"/>
                    </w:rPr>
                    <w:t>篡改监测自动恢复技术，在主机本地和远端服务器上实时备份已授权的用户所修改的文件，保证备份资源的时效性。当企业主机安全服务检测到非法篡改行为时，将使用备份文件主动恢复被篡改的网页；</w:t>
                  </w:r>
                </w:p>
              </w:tc>
            </w:tr>
            <w:tr>
              <w:tc>
                <w:tcPr>
                  <w:tcW w:type="dxa" w:w="7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rPr>
                    <w:t>9</w:t>
                  </w:r>
                </w:p>
              </w:tc>
              <w:tc>
                <w:tcPr>
                  <w:tcW w:type="dxa" w:w="80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基线检查</w:t>
                  </w:r>
                </w:p>
              </w:tc>
              <w:tc>
                <w:tcPr>
                  <w:tcW w:type="dxa" w:w="40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8"/>
                    </w:rPr>
                    <w:t>口令复杂度策略检测：检测系统中的口令复杂度策略，给出修改建议，帮助用户提升口令安全性；</w:t>
                  </w:r>
                </w:p>
              </w:tc>
            </w:tr>
            <w:tr>
              <w:tc>
                <w:tcPr>
                  <w:tcW w:type="dxa" w:w="7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rPr>
                    <w:t>11</w:t>
                  </w:r>
                </w:p>
              </w:tc>
              <w:tc>
                <w:tcPr>
                  <w:tcW w:type="dxa" w:w="805"/>
                  <w:vMerge/>
                  <w:tcBorders>
                    <w:top w:val="none" w:color="000000" w:sz="4"/>
                    <w:left w:val="none" w:color="000000" w:sz="4"/>
                    <w:bottom w:val="single" w:color="000000" w:sz="4"/>
                    <w:right w:val="single" w:color="000000" w:sz="4"/>
                  </w:tcBorders>
                </w:tcPr>
                <w:p/>
              </w:tc>
              <w:tc>
                <w:tcPr>
                  <w:tcW w:type="dxa" w:w="40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8"/>
                    </w:rPr>
                    <w:t>弱口令检测：使用最新的常见弱口令字典，对系统帐户进行口令扫描，检测出其中的弱口令，提示用户修改，可防止帐户口令被轻易猜解；</w:t>
                  </w:r>
                </w:p>
              </w:tc>
            </w:tr>
            <w:tr>
              <w:tc>
                <w:tcPr>
                  <w:tcW w:type="dxa" w:w="70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rPr>
                    <w:t>12</w:t>
                  </w:r>
                </w:p>
                <w:p>
                  <w:pPr>
                    <w:pStyle w:val="null3"/>
                    <w:jc w:val="center"/>
                  </w:pPr>
                </w:p>
              </w:tc>
              <w:tc>
                <w:tcPr>
                  <w:tcW w:type="dxa" w:w="805"/>
                  <w:vMerge/>
                  <w:tcBorders>
                    <w:top w:val="none" w:color="000000" w:sz="4"/>
                    <w:left w:val="none" w:color="000000" w:sz="4"/>
                    <w:bottom w:val="single" w:color="000000" w:sz="4"/>
                    <w:right w:val="single" w:color="000000" w:sz="4"/>
                  </w:tcBorders>
                </w:tcPr>
                <w:p/>
              </w:tc>
              <w:tc>
                <w:tcPr>
                  <w:tcW w:type="dxa" w:w="409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8"/>
                    </w:rPr>
                    <w:t>风险账号检测：检测系统中是否存在黑客的影子账号，克隆账号等风险账号；</w:t>
                  </w:r>
                </w:p>
                <w:p>
                  <w:pPr>
                    <w:pStyle w:val="null3"/>
                    <w:jc w:val="left"/>
                  </w:pPr>
                  <w:r>
                    <w:rPr>
                      <w:rFonts w:ascii="仿宋_GB2312" w:hAnsi="仿宋_GB2312" w:cs="仿宋_GB2312" w:eastAsia="仿宋_GB2312"/>
                      <w:sz w:val="28"/>
                    </w:rPr>
                    <w:t>配置检测：对常见</w:t>
                  </w:r>
                  <w:r>
                    <w:rPr>
                      <w:rFonts w:ascii="仿宋_GB2312" w:hAnsi="仿宋_GB2312" w:cs="仿宋_GB2312" w:eastAsia="仿宋_GB2312"/>
                      <w:sz w:val="28"/>
                    </w:rPr>
                    <w:t>的</w:t>
                  </w:r>
                  <w:r>
                    <w:rPr>
                      <w:rFonts w:ascii="仿宋_GB2312" w:hAnsi="仿宋_GB2312" w:cs="仿宋_GB2312" w:eastAsia="仿宋_GB2312"/>
                      <w:sz w:val="28"/>
                    </w:rPr>
                    <w:t>Tomcat配置、Nginx配置、SSH登录配置进行检查，帮助用户识别不安全的配置项，支持的应用有SSH、RDP、SMB、MYSQL、MSSQL、MongoDB、Redis、Oracle、DB2、GaussDB、Postgres、Telnet。</w:t>
                  </w:r>
                </w:p>
              </w:tc>
            </w:tr>
          </w:tbl>
          <w:p>
            <w:pPr>
              <w:pStyle w:val="null3"/>
              <w:jc w:val="left"/>
            </w:pPr>
            <w:r>
              <w:rPr>
                <w:rFonts w:ascii="仿宋_GB2312" w:hAnsi="仿宋_GB2312" w:cs="仿宋_GB2312" w:eastAsia="仿宋_GB2312"/>
                <w:sz w:val="28"/>
                <w:b/>
              </w:rPr>
              <w:t>4.5</w:t>
            </w:r>
            <w:r>
              <w:rPr>
                <w:rFonts w:ascii="仿宋_GB2312" w:hAnsi="仿宋_GB2312" w:cs="仿宋_GB2312" w:eastAsia="仿宋_GB2312"/>
                <w:b/>
              </w:rPr>
              <w:t xml:space="preserve"> </w:t>
            </w:r>
            <w:r>
              <w:rPr>
                <w:rFonts w:ascii="仿宋_GB2312" w:hAnsi="仿宋_GB2312" w:cs="仿宋_GB2312" w:eastAsia="仿宋_GB2312"/>
                <w:sz w:val="28"/>
                <w:b/>
              </w:rPr>
              <w:t>VPN授权要求</w:t>
            </w:r>
          </w:p>
          <w:tbl>
            <w:tblPr>
              <w:tblBorders>
                <w:top w:val="none" w:color="000000" w:sz="4"/>
                <w:left w:val="none" w:color="000000" w:sz="4"/>
                <w:bottom w:val="none" w:color="000000" w:sz="4"/>
                <w:right w:val="none" w:color="000000" w:sz="4"/>
                <w:insideH w:val="none"/>
                <w:insideV w:val="none"/>
              </w:tblBorders>
            </w:tblPr>
            <w:tblGrid>
              <w:gridCol w:w="828"/>
              <w:gridCol w:w="1066"/>
              <w:gridCol w:w="3704"/>
            </w:tblGrid>
            <w:tr>
              <w:tc>
                <w:tcPr>
                  <w:tcW w:type="dxa" w:w="82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序号</w:t>
                  </w:r>
                </w:p>
              </w:tc>
              <w:tc>
                <w:tcPr>
                  <w:tcW w:type="dxa" w:w="106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指标项</w:t>
                  </w:r>
                </w:p>
              </w:tc>
              <w:tc>
                <w:tcPr>
                  <w:tcW w:type="dxa" w:w="370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指标要求</w:t>
                  </w:r>
                </w:p>
              </w:tc>
            </w:tr>
            <w:tr>
              <w:tc>
                <w:tcPr>
                  <w:tcW w:type="dxa" w:w="8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06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基本能力</w:t>
                  </w:r>
                </w:p>
              </w:tc>
              <w:tc>
                <w:tcPr>
                  <w:tcW w:type="dxa" w:w="3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8"/>
                    </w:rPr>
                    <w:t>★</w:t>
                  </w:r>
                  <w:r>
                    <w:rPr>
                      <w:rFonts w:ascii="仿宋_GB2312" w:hAnsi="仿宋_GB2312" w:cs="仿宋_GB2312" w:eastAsia="仿宋_GB2312"/>
                      <w:sz w:val="28"/>
                    </w:rPr>
                    <w:t>标准机架式设备，</w:t>
                  </w:r>
                  <w:r>
                    <w:rPr>
                      <w:rFonts w:ascii="仿宋_GB2312" w:hAnsi="仿宋_GB2312" w:cs="仿宋_GB2312" w:eastAsia="仿宋_GB2312"/>
                      <w:sz w:val="28"/>
                    </w:rPr>
                    <w:t>SSL最大加密吞吐率≥350Mbps，最大SSL连接数≥50000个，每秒新建SSL连接数≥4000个，IPsec加密吞吐率≥200Mbps，国产化CPU及操作系统，内存≥16G，硬盘≥2T，双电源，千兆电口≥6个，千兆光口≥4个，SSL并发用户授权≥200个，质保≥3年；</w:t>
                  </w:r>
                </w:p>
              </w:tc>
            </w:tr>
            <w:tr>
              <w:tc>
                <w:tcPr>
                  <w:tcW w:type="dxa" w:w="8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1066"/>
                  <w:vMerge/>
                  <w:tcBorders>
                    <w:top w:val="none" w:color="000000" w:sz="4"/>
                    <w:left w:val="none" w:color="000000" w:sz="4"/>
                    <w:bottom w:val="single" w:color="000000" w:sz="4"/>
                    <w:right w:val="single" w:color="000000" w:sz="4"/>
                  </w:tcBorders>
                </w:tcPr>
                <w:p/>
              </w:tc>
              <w:tc>
                <w:tcPr>
                  <w:tcW w:type="dxa" w:w="3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8"/>
                    </w:rPr>
                    <w:t>★</w:t>
                  </w:r>
                  <w:r>
                    <w:rPr>
                      <w:rFonts w:ascii="仿宋_GB2312" w:hAnsi="仿宋_GB2312" w:cs="仿宋_GB2312" w:eastAsia="仿宋_GB2312"/>
                      <w:sz w:val="28"/>
                    </w:rPr>
                    <w:t>支持</w:t>
                  </w:r>
                  <w:r>
                    <w:rPr>
                      <w:rFonts w:ascii="仿宋_GB2312" w:hAnsi="仿宋_GB2312" w:cs="仿宋_GB2312" w:eastAsia="仿宋_GB2312"/>
                      <w:sz w:val="28"/>
                    </w:rPr>
                    <w:t>IPSEC、SSL等多种VPN能力；</w:t>
                  </w:r>
                </w:p>
              </w:tc>
            </w:tr>
            <w:tr>
              <w:tc>
                <w:tcPr>
                  <w:tcW w:type="dxa" w:w="8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1066"/>
                  <w:vMerge/>
                  <w:tcBorders>
                    <w:top w:val="none" w:color="000000" w:sz="4"/>
                    <w:left w:val="none" w:color="000000" w:sz="4"/>
                    <w:bottom w:val="single" w:color="000000" w:sz="4"/>
                    <w:right w:val="single" w:color="000000" w:sz="4"/>
                  </w:tcBorders>
                </w:tcPr>
                <w:p/>
              </w:tc>
              <w:tc>
                <w:tcPr>
                  <w:tcW w:type="dxa" w:w="3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8"/>
                    </w:rPr>
                    <w:t>★</w:t>
                  </w:r>
                  <w:r>
                    <w:rPr>
                      <w:rFonts w:ascii="仿宋_GB2312" w:hAnsi="仿宋_GB2312" w:cs="仿宋_GB2312" w:eastAsia="仿宋_GB2312"/>
                      <w:sz w:val="28"/>
                    </w:rPr>
                    <w:t>支持基于角色的资源访问控制；</w:t>
                  </w:r>
                </w:p>
              </w:tc>
            </w:tr>
            <w:tr>
              <w:tc>
                <w:tcPr>
                  <w:tcW w:type="dxa" w:w="8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10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网络恢复</w:t>
                  </w:r>
                </w:p>
              </w:tc>
              <w:tc>
                <w:tcPr>
                  <w:tcW w:type="dxa" w:w="3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8"/>
                    </w:rPr>
                    <w:t>★</w:t>
                  </w:r>
                  <w:r>
                    <w:rPr>
                      <w:rFonts w:ascii="仿宋_GB2312" w:hAnsi="仿宋_GB2312" w:cs="仿宋_GB2312" w:eastAsia="仿宋_GB2312"/>
                      <w:sz w:val="28"/>
                    </w:rPr>
                    <w:t>当网络恢复或重启时能够自动重新建立隧道连接；</w:t>
                  </w:r>
                </w:p>
              </w:tc>
            </w:tr>
            <w:tr>
              <w:tc>
                <w:tcPr>
                  <w:tcW w:type="dxa" w:w="82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10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终端管理</w:t>
                  </w:r>
                </w:p>
              </w:tc>
              <w:tc>
                <w:tcPr>
                  <w:tcW w:type="dxa" w:w="37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8"/>
                    </w:rPr>
                    <w:t>▲具有终端管理功能，可强制下线已登录终端。（提供第三方检验检测机构出具的检验/检测报告相关页复印件并加盖供应商公章）</w:t>
                  </w:r>
                </w:p>
              </w:tc>
            </w:tr>
          </w:tbl>
          <w:p>
            <w:pPr>
              <w:pStyle w:val="null3"/>
              <w:jc w:val="left"/>
            </w:pPr>
            <w:r>
              <w:rPr>
                <w:rFonts w:ascii="仿宋_GB2312" w:hAnsi="仿宋_GB2312" w:cs="仿宋_GB2312" w:eastAsia="仿宋_GB2312"/>
                <w:sz w:val="28"/>
                <w:b/>
              </w:rPr>
              <w:t>4.6</w:t>
            </w:r>
            <w:r>
              <w:rPr>
                <w:rFonts w:ascii="仿宋_GB2312" w:hAnsi="仿宋_GB2312" w:cs="仿宋_GB2312" w:eastAsia="仿宋_GB2312"/>
                <w:b/>
              </w:rPr>
              <w:t xml:space="preserve"> </w:t>
            </w:r>
            <w:r>
              <w:rPr>
                <w:rFonts w:ascii="仿宋_GB2312" w:hAnsi="仿宋_GB2312" w:cs="仿宋_GB2312" w:eastAsia="仿宋_GB2312"/>
                <w:sz w:val="28"/>
                <w:b/>
              </w:rPr>
              <w:t>SSL证书管理要求</w:t>
            </w:r>
          </w:p>
          <w:tbl>
            <w:tblPr>
              <w:tblBorders>
                <w:top w:val="none" w:color="000000" w:sz="4"/>
                <w:left w:val="none" w:color="000000" w:sz="4"/>
                <w:bottom w:val="none" w:color="000000" w:sz="4"/>
                <w:right w:val="none" w:color="000000" w:sz="4"/>
                <w:insideH w:val="none"/>
                <w:insideV w:val="none"/>
              </w:tblBorders>
            </w:tblPr>
            <w:tblGrid>
              <w:gridCol w:w="544"/>
              <w:gridCol w:w="839"/>
              <w:gridCol w:w="4215"/>
            </w:tblGrid>
            <w:tr>
              <w:tc>
                <w:tcPr>
                  <w:tcW w:type="dxa" w:w="54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序号</w:t>
                  </w:r>
                </w:p>
              </w:tc>
              <w:tc>
                <w:tcPr>
                  <w:tcW w:type="dxa" w:w="83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指标项</w:t>
                  </w:r>
                </w:p>
              </w:tc>
              <w:tc>
                <w:tcPr>
                  <w:tcW w:type="dxa" w:w="421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指标要求</w:t>
                  </w:r>
                </w:p>
              </w:tc>
            </w:tr>
            <w:tr>
              <w:tc>
                <w:tcPr>
                  <w:tcW w:type="dxa" w:w="5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839"/>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基本</w:t>
                  </w:r>
                </w:p>
                <w:p>
                  <w:pPr>
                    <w:pStyle w:val="null3"/>
                    <w:jc w:val="center"/>
                  </w:pPr>
                  <w:r>
                    <w:rPr>
                      <w:rFonts w:ascii="仿宋_GB2312" w:hAnsi="仿宋_GB2312" w:cs="仿宋_GB2312" w:eastAsia="仿宋_GB2312"/>
                      <w:sz w:val="28"/>
                    </w:rPr>
                    <w:t>能力</w:t>
                  </w:r>
                </w:p>
              </w:tc>
              <w:tc>
                <w:tcPr>
                  <w:tcW w:type="dxa" w:w="4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支持颁发各等级的数字证书；</w:t>
                  </w:r>
                </w:p>
              </w:tc>
            </w:tr>
            <w:tr>
              <w:tc>
                <w:tcPr>
                  <w:tcW w:type="dxa" w:w="5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839"/>
                  <w:vMerge/>
                  <w:tcBorders>
                    <w:top w:val="none" w:color="000000" w:sz="4"/>
                    <w:left w:val="none" w:color="000000" w:sz="4"/>
                    <w:bottom w:val="single" w:color="000000" w:sz="4"/>
                    <w:right w:val="single" w:color="000000" w:sz="4"/>
                  </w:tcBorders>
                </w:tcPr>
                <w:p/>
              </w:tc>
              <w:tc>
                <w:tcPr>
                  <w:tcW w:type="dxa" w:w="42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包括</w:t>
                  </w:r>
                  <w:r>
                    <w:rPr>
                      <w:rFonts w:ascii="仿宋_GB2312" w:hAnsi="仿宋_GB2312" w:cs="仿宋_GB2312" w:eastAsia="仿宋_GB2312"/>
                      <w:sz w:val="28"/>
                    </w:rPr>
                    <w:t>OV、EV等多种证书类型，覆盖单域名、多域名和泛域名多种域名格式，并支持纯IP证书；</w:t>
                  </w:r>
                </w:p>
              </w:tc>
            </w:tr>
          </w:tbl>
          <w:p>
            <w:pPr>
              <w:pStyle w:val="null3"/>
              <w:jc w:val="left"/>
            </w:pPr>
            <w:r>
              <w:rPr>
                <w:rFonts w:ascii="仿宋_GB2312" w:hAnsi="仿宋_GB2312" w:cs="仿宋_GB2312" w:eastAsia="仿宋_GB2312"/>
                <w:sz w:val="28"/>
                <w:b/>
              </w:rPr>
              <w:t>4.7下一代防火墙要求</w:t>
            </w:r>
          </w:p>
          <w:tbl>
            <w:tblPr>
              <w:tblBorders>
                <w:top w:val="none" w:color="000000" w:sz="4"/>
                <w:left w:val="none" w:color="000000" w:sz="4"/>
                <w:bottom w:val="none" w:color="000000" w:sz="4"/>
                <w:right w:val="none" w:color="000000" w:sz="4"/>
                <w:insideH w:val="none"/>
                <w:insideV w:val="none"/>
              </w:tblBorders>
            </w:tblPr>
            <w:tblGrid>
              <w:gridCol w:w="532"/>
              <w:gridCol w:w="952"/>
              <w:gridCol w:w="4114"/>
            </w:tblGrid>
            <w:tr>
              <w:tc>
                <w:tcPr>
                  <w:tcW w:type="dxa" w:w="53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序号</w:t>
                  </w:r>
                </w:p>
              </w:tc>
              <w:tc>
                <w:tcPr>
                  <w:tcW w:type="dxa" w:w="95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指标项</w:t>
                  </w:r>
                </w:p>
              </w:tc>
              <w:tc>
                <w:tcPr>
                  <w:tcW w:type="dxa" w:w="411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指标要求</w:t>
                  </w:r>
                </w:p>
              </w:tc>
            </w:tr>
            <w:tr>
              <w:tc>
                <w:tcPr>
                  <w:tcW w:type="dxa" w:w="5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95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基本能力</w:t>
                  </w:r>
                </w:p>
              </w:tc>
              <w:tc>
                <w:tcPr>
                  <w:tcW w:type="dxa" w:w="41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8"/>
                    </w:rPr>
                    <w:t>★具备有效期内的网络关键设备和网络安全专用产品安全检测证书或网络关键设备和网络安全专用产品安全认证证书（提供证书复印件证明材料并加盖供应商公章）</w:t>
                  </w:r>
                </w:p>
              </w:tc>
            </w:tr>
            <w:tr>
              <w:tc>
                <w:tcPr>
                  <w:tcW w:type="dxa" w:w="5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952"/>
                  <w:vMerge/>
                  <w:tcBorders>
                    <w:top w:val="none" w:color="000000" w:sz="4"/>
                    <w:left w:val="none" w:color="000000" w:sz="4"/>
                    <w:bottom w:val="single" w:color="000000" w:sz="4"/>
                    <w:right w:val="single" w:color="000000" w:sz="4"/>
                  </w:tcBorders>
                </w:tcPr>
                <w:p/>
              </w:tc>
              <w:tc>
                <w:tcPr>
                  <w:tcW w:type="dxa" w:w="41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8"/>
                    </w:rPr>
                    <w:t>★</w:t>
                  </w:r>
                  <w:r>
                    <w:rPr>
                      <w:rFonts w:ascii="仿宋_GB2312" w:hAnsi="仿宋_GB2312" w:cs="仿宋_GB2312" w:eastAsia="仿宋_GB2312"/>
                      <w:sz w:val="28"/>
                    </w:rPr>
                    <w:t>标准机架式设备，网络吞吐量</w:t>
                  </w:r>
                  <w:r>
                    <w:rPr>
                      <w:rFonts w:ascii="仿宋_GB2312" w:hAnsi="仿宋_GB2312" w:cs="仿宋_GB2312" w:eastAsia="仿宋_GB2312"/>
                      <w:sz w:val="28"/>
                    </w:rPr>
                    <w:t>≥1Gbps，最大并发数≥50万，最大新建数≥2万/秒，国产化CPU及操作系统，千兆电口≥6个，千兆光口≥4个，质保≥3年；</w:t>
                  </w:r>
                </w:p>
              </w:tc>
            </w:tr>
            <w:tr>
              <w:tc>
                <w:tcPr>
                  <w:tcW w:type="dxa" w:w="5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952"/>
                  <w:vMerge/>
                  <w:tcBorders>
                    <w:top w:val="none" w:color="000000" w:sz="4"/>
                    <w:left w:val="none" w:color="000000" w:sz="4"/>
                    <w:bottom w:val="single" w:color="000000" w:sz="4"/>
                    <w:right w:val="single" w:color="000000" w:sz="4"/>
                  </w:tcBorders>
                </w:tcPr>
                <w:p/>
              </w:tc>
              <w:tc>
                <w:tcPr>
                  <w:tcW w:type="dxa" w:w="41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8"/>
                    </w:rPr>
                    <w:t>★</w:t>
                  </w:r>
                  <w:r>
                    <w:rPr>
                      <w:rFonts w:ascii="仿宋_GB2312" w:hAnsi="仿宋_GB2312" w:cs="仿宋_GB2312" w:eastAsia="仿宋_GB2312"/>
                      <w:sz w:val="28"/>
                    </w:rPr>
                    <w:t>支持精细化的访问控制策略，能够通过安全域、</w:t>
                  </w:r>
                  <w:r>
                    <w:rPr>
                      <w:rFonts w:ascii="仿宋_GB2312" w:hAnsi="仿宋_GB2312" w:cs="仿宋_GB2312" w:eastAsia="仿宋_GB2312"/>
                      <w:sz w:val="28"/>
                    </w:rPr>
                    <w:t>IP地址、MAC地址、域名、服务、时间、用户、应用、动作等属性设置安全策略；</w:t>
                  </w:r>
                </w:p>
              </w:tc>
            </w:tr>
            <w:tr>
              <w:tc>
                <w:tcPr>
                  <w:tcW w:type="dxa" w:w="5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952"/>
                  <w:vMerge/>
                  <w:tcBorders>
                    <w:top w:val="none" w:color="000000" w:sz="4"/>
                    <w:left w:val="none" w:color="000000" w:sz="4"/>
                    <w:bottom w:val="single" w:color="000000" w:sz="4"/>
                    <w:right w:val="single" w:color="000000" w:sz="4"/>
                  </w:tcBorders>
                </w:tcPr>
                <w:p/>
              </w:tc>
              <w:tc>
                <w:tcPr>
                  <w:tcW w:type="dxa" w:w="41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8"/>
                    </w:rPr>
                    <w:t>★</w:t>
                  </w:r>
                  <w:r>
                    <w:rPr>
                      <w:rFonts w:ascii="仿宋_GB2312" w:hAnsi="仿宋_GB2312" w:cs="仿宋_GB2312" w:eastAsia="仿宋_GB2312"/>
                      <w:sz w:val="28"/>
                    </w:rPr>
                    <w:t>病毒防护功能支持病毒白名单，病毒白名单匹配方式支持全文匹配和模糊匹配方式；</w:t>
                  </w:r>
                </w:p>
              </w:tc>
            </w:tr>
            <w:tr>
              <w:tc>
                <w:tcPr>
                  <w:tcW w:type="dxa" w:w="5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9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暴力破解防护</w:t>
                  </w:r>
                </w:p>
              </w:tc>
              <w:tc>
                <w:tcPr>
                  <w:tcW w:type="dxa" w:w="41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8"/>
                    </w:rPr>
                    <w:t>支持</w:t>
                  </w:r>
                  <w:r>
                    <w:rPr>
                      <w:rFonts w:ascii="仿宋_GB2312" w:hAnsi="仿宋_GB2312" w:cs="仿宋_GB2312" w:eastAsia="仿宋_GB2312"/>
                      <w:sz w:val="28"/>
                    </w:rPr>
                    <w:t>SMTP、IMAP、POP3、FTP、Telnet、HTTP、MYSQL、SMB、MSSQL、RLOGIN、POSTGRESQL、ORACLE等协议的暴力破解防护；</w:t>
                  </w:r>
                </w:p>
              </w:tc>
            </w:tr>
            <w:tr>
              <w:tc>
                <w:tcPr>
                  <w:tcW w:type="dxa" w:w="5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6</w:t>
                  </w:r>
                </w:p>
              </w:tc>
              <w:tc>
                <w:tcPr>
                  <w:tcW w:type="dxa" w:w="9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规则库</w:t>
                  </w:r>
                </w:p>
              </w:tc>
              <w:tc>
                <w:tcPr>
                  <w:tcW w:type="dxa" w:w="411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8"/>
                    </w:rPr>
                    <w:t>▲系统规则库预定义IPS规则不低于10000条，包含规则名称、级别、防护对象、操作系统和CVE编号等信息。（提供第三方检验检测机构出具的检验/检测报告相关页复印件并加盖供应商公章）</w:t>
                  </w:r>
                </w:p>
              </w:tc>
            </w:tr>
          </w:tbl>
          <w:p>
            <w:pPr>
              <w:pStyle w:val="null3"/>
              <w:jc w:val="left"/>
            </w:pPr>
            <w:r>
              <w:rPr>
                <w:rFonts w:ascii="仿宋_GB2312" w:hAnsi="仿宋_GB2312" w:cs="仿宋_GB2312" w:eastAsia="仿宋_GB2312"/>
                <w:sz w:val="28"/>
                <w:b/>
              </w:rPr>
              <w:t>4.8</w:t>
            </w:r>
            <w:r>
              <w:rPr>
                <w:rFonts w:ascii="仿宋_GB2312" w:hAnsi="仿宋_GB2312" w:cs="仿宋_GB2312" w:eastAsia="仿宋_GB2312"/>
                <w:b/>
              </w:rPr>
              <w:t xml:space="preserve">  </w:t>
            </w:r>
            <w:r>
              <w:rPr>
                <w:rFonts w:ascii="仿宋_GB2312" w:hAnsi="仿宋_GB2312" w:cs="仿宋_GB2312" w:eastAsia="仿宋_GB2312"/>
                <w:sz w:val="28"/>
                <w:b/>
              </w:rPr>
              <w:t>DDOS防攻击要求</w:t>
            </w:r>
          </w:p>
          <w:tbl>
            <w:tblPr>
              <w:tblBorders>
                <w:top w:val="none" w:color="000000" w:sz="4"/>
                <w:left w:val="none" w:color="000000" w:sz="4"/>
                <w:bottom w:val="none" w:color="000000" w:sz="4"/>
                <w:right w:val="none" w:color="000000" w:sz="4"/>
                <w:insideH w:val="none"/>
                <w:insideV w:val="none"/>
              </w:tblBorders>
            </w:tblPr>
            <w:tblGrid>
              <w:gridCol w:w="524"/>
              <w:gridCol w:w="845"/>
              <w:gridCol w:w="4229"/>
            </w:tblGrid>
            <w:tr>
              <w:tc>
                <w:tcPr>
                  <w:tcW w:type="dxa" w:w="52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序号</w:t>
                  </w:r>
                </w:p>
              </w:tc>
              <w:tc>
                <w:tcPr>
                  <w:tcW w:type="dxa" w:w="84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指标项</w:t>
                  </w:r>
                </w:p>
              </w:tc>
              <w:tc>
                <w:tcPr>
                  <w:tcW w:type="dxa" w:w="422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指标要求</w:t>
                  </w:r>
                </w:p>
              </w:tc>
            </w:tr>
            <w:tr>
              <w:tc>
                <w:tcPr>
                  <w:tcW w:type="dxa" w:w="5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84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基本能力</w:t>
                  </w:r>
                </w:p>
              </w:tc>
              <w:tc>
                <w:tcPr>
                  <w:tcW w:type="dxa" w:w="4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★具备有效期内的网络关键设备和网络安全专用产品安全检测证书或网络关键设备和网络安全专用产品安全认证证书（提供证书复印件证明材料并加盖供应商公章）</w:t>
                  </w:r>
                </w:p>
              </w:tc>
            </w:tr>
            <w:tr>
              <w:tc>
                <w:tcPr>
                  <w:tcW w:type="dxa" w:w="5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845"/>
                  <w:vMerge/>
                  <w:tcBorders>
                    <w:top w:val="none" w:color="000000" w:sz="4"/>
                    <w:left w:val="none" w:color="000000" w:sz="4"/>
                    <w:bottom w:val="single" w:color="000000" w:sz="4"/>
                    <w:right w:val="single" w:color="000000" w:sz="4"/>
                  </w:tcBorders>
                </w:tcPr>
                <w:p/>
              </w:tc>
              <w:tc>
                <w:tcPr>
                  <w:tcW w:type="dxa" w:w="4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支持域名方式，</w:t>
                  </w:r>
                  <w:r>
                    <w:rPr>
                      <w:rFonts w:ascii="仿宋_GB2312" w:hAnsi="仿宋_GB2312" w:cs="仿宋_GB2312" w:eastAsia="仿宋_GB2312"/>
                      <w:sz w:val="28"/>
                    </w:rPr>
                    <w:t>1个主域名、≤5个子域名，DDOS攻击防护流量为≤1G；</w:t>
                  </w:r>
                </w:p>
              </w:tc>
            </w:tr>
            <w:tr>
              <w:tc>
                <w:tcPr>
                  <w:tcW w:type="dxa" w:w="5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845"/>
                  <w:vMerge/>
                  <w:tcBorders>
                    <w:top w:val="none" w:color="000000" w:sz="4"/>
                    <w:left w:val="none" w:color="000000" w:sz="4"/>
                    <w:bottom w:val="single" w:color="000000" w:sz="4"/>
                    <w:right w:val="single" w:color="000000" w:sz="4"/>
                  </w:tcBorders>
                </w:tcPr>
                <w:p/>
              </w:tc>
              <w:tc>
                <w:tcPr>
                  <w:tcW w:type="dxa" w:w="4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支持</w:t>
                  </w:r>
                  <w:r>
                    <w:rPr>
                      <w:rFonts w:ascii="仿宋_GB2312" w:hAnsi="仿宋_GB2312" w:cs="仿宋_GB2312" w:eastAsia="仿宋_GB2312"/>
                      <w:sz w:val="28"/>
                    </w:rPr>
                    <w:t>IP、URL、Referer、User-Agent等HTTP常见字段的条件组合防护。</w:t>
                  </w:r>
                </w:p>
              </w:tc>
            </w:tr>
          </w:tbl>
          <w:p>
            <w:pPr>
              <w:pStyle w:val="null3"/>
              <w:jc w:val="left"/>
            </w:pPr>
            <w:r>
              <w:rPr>
                <w:rFonts w:ascii="仿宋_GB2312" w:hAnsi="仿宋_GB2312" w:cs="仿宋_GB2312" w:eastAsia="仿宋_GB2312"/>
                <w:sz w:val="28"/>
                <w:b/>
              </w:rPr>
              <w:t>4.9</w:t>
            </w:r>
            <w:r>
              <w:rPr>
                <w:rFonts w:ascii="仿宋_GB2312" w:hAnsi="仿宋_GB2312" w:cs="仿宋_GB2312" w:eastAsia="仿宋_GB2312"/>
                <w:b/>
              </w:rPr>
              <w:t xml:space="preserve"> </w:t>
            </w:r>
            <w:r>
              <w:rPr>
                <w:rFonts w:ascii="仿宋_GB2312" w:hAnsi="仿宋_GB2312" w:cs="仿宋_GB2312" w:eastAsia="仿宋_GB2312"/>
                <w:sz w:val="28"/>
                <w:b/>
              </w:rPr>
              <w:t>数据库审计要求</w:t>
            </w:r>
          </w:p>
          <w:tbl>
            <w:tblPr>
              <w:tblBorders>
                <w:top w:val="none" w:color="000000" w:sz="4"/>
                <w:left w:val="none" w:color="000000" w:sz="4"/>
                <w:bottom w:val="none" w:color="000000" w:sz="4"/>
                <w:right w:val="none" w:color="000000" w:sz="4"/>
                <w:insideH w:val="none"/>
                <w:insideV w:val="none"/>
              </w:tblBorders>
            </w:tblPr>
            <w:tblGrid>
              <w:gridCol w:w="531"/>
              <w:gridCol w:w="816"/>
              <w:gridCol w:w="4251"/>
            </w:tblGrid>
            <w:tr>
              <w:tc>
                <w:tcPr>
                  <w:tcW w:type="dxa" w:w="53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序号</w:t>
                  </w:r>
                </w:p>
              </w:tc>
              <w:tc>
                <w:tcPr>
                  <w:tcW w:type="dxa" w:w="81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指标项</w:t>
                  </w:r>
                </w:p>
              </w:tc>
              <w:tc>
                <w:tcPr>
                  <w:tcW w:type="dxa" w:w="425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指标要求</w:t>
                  </w:r>
                </w:p>
              </w:tc>
            </w:tr>
            <w:tr>
              <w:tc>
                <w:tcPr>
                  <w:tcW w:type="dxa" w:w="5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81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基本能力</w:t>
                  </w:r>
                </w:p>
              </w:tc>
              <w:tc>
                <w:tcPr>
                  <w:tcW w:type="dxa" w:w="4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具备有效期内的网络关键设备和网络安全专用产品安全检测证书或网络关键设备和网络安全专用产品安全认证证书（提供证书复印件证明材料并加盖供应商公章）</w:t>
                  </w:r>
                </w:p>
              </w:tc>
            </w:tr>
            <w:tr>
              <w:tc>
                <w:tcPr>
                  <w:tcW w:type="dxa" w:w="5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816"/>
                  <w:vMerge/>
                  <w:tcBorders>
                    <w:top w:val="none" w:color="000000" w:sz="4"/>
                    <w:left w:val="none" w:color="000000" w:sz="4"/>
                    <w:bottom w:val="single" w:color="000000" w:sz="4"/>
                    <w:right w:val="single" w:color="000000" w:sz="4"/>
                  </w:tcBorders>
                </w:tcPr>
                <w:p/>
              </w:tc>
              <w:tc>
                <w:tcPr>
                  <w:tcW w:type="dxa" w:w="4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标准机架式设备，双向审计数据库流量</w:t>
                  </w:r>
                  <w:r>
                    <w:rPr>
                      <w:rFonts w:ascii="仿宋_GB2312" w:hAnsi="仿宋_GB2312" w:cs="仿宋_GB2312" w:eastAsia="仿宋_GB2312"/>
                      <w:sz w:val="28"/>
                    </w:rPr>
                    <w:t>≥25Mbps，峰值SQL事务处理数≥3000条/秒，最大吞吐量≥300Mbps，国产化CPU及操作系统，内存≥8G，硬盘≥2T，双电源，千兆电口≥6个，千兆光口≥4个，授权数据库实例无限个，质保≥3年；</w:t>
                  </w:r>
                </w:p>
              </w:tc>
            </w:tr>
            <w:tr>
              <w:tc>
                <w:tcPr>
                  <w:tcW w:type="dxa" w:w="5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816"/>
                  <w:vMerge/>
                  <w:tcBorders>
                    <w:top w:val="none" w:color="000000" w:sz="4"/>
                    <w:left w:val="none" w:color="000000" w:sz="4"/>
                    <w:bottom w:val="single" w:color="000000" w:sz="4"/>
                    <w:right w:val="single" w:color="000000" w:sz="4"/>
                  </w:tcBorders>
                </w:tcPr>
                <w:p/>
              </w:tc>
              <w:tc>
                <w:tcPr>
                  <w:tcW w:type="dxa" w:w="4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w:t>
                  </w:r>
                  <w:r>
                    <w:rPr>
                      <w:rFonts w:ascii="仿宋_GB2312" w:hAnsi="仿宋_GB2312" w:cs="仿宋_GB2312" w:eastAsia="仿宋_GB2312"/>
                      <w:sz w:val="28"/>
                    </w:rPr>
                    <w:t>Oracle、Clickhouse、MySQL、SQL Server、达梦、南大通用(GBase）、高斯（GaussDB）、人大金仓（Kingbase）、MongoDB、HBase、Hive、Redis等主流数据库及国产化数据库的审计；</w:t>
                  </w:r>
                </w:p>
              </w:tc>
            </w:tr>
            <w:tr>
              <w:tc>
                <w:tcPr>
                  <w:tcW w:type="dxa" w:w="5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816"/>
                  <w:vMerge/>
                  <w:tcBorders>
                    <w:top w:val="none" w:color="000000" w:sz="4"/>
                    <w:left w:val="none" w:color="000000" w:sz="4"/>
                    <w:bottom w:val="single" w:color="000000" w:sz="4"/>
                    <w:right w:val="single" w:color="000000" w:sz="4"/>
                  </w:tcBorders>
                </w:tcPr>
                <w:p/>
              </w:tc>
              <w:tc>
                <w:tcPr>
                  <w:tcW w:type="dxa" w:w="4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支持数据库操作表、视图、索引、存储过程等各种对象的所有</w:t>
                  </w:r>
                  <w:r>
                    <w:rPr>
                      <w:rFonts w:ascii="仿宋_GB2312" w:hAnsi="仿宋_GB2312" w:cs="仿宋_GB2312" w:eastAsia="仿宋_GB2312"/>
                      <w:sz w:val="28"/>
                    </w:rPr>
                    <w:t>SQL操作审计，支持超长SQL语句（长度不低于4M）的审计；</w:t>
                  </w:r>
                </w:p>
              </w:tc>
            </w:tr>
            <w:tr>
              <w:tc>
                <w:tcPr>
                  <w:tcW w:type="dxa" w:w="5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816"/>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8"/>
                    </w:rPr>
                    <w:t>关联审计</w:t>
                  </w:r>
                </w:p>
              </w:tc>
              <w:tc>
                <w:tcPr>
                  <w:tcW w:type="dxa" w:w="4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具备三层关联审计功能，能够提供客户端访问</w:t>
                  </w:r>
                  <w:r>
                    <w:rPr>
                      <w:rFonts w:ascii="仿宋_GB2312" w:hAnsi="仿宋_GB2312" w:cs="仿宋_GB2312" w:eastAsia="仿宋_GB2312"/>
                      <w:sz w:val="28"/>
                    </w:rPr>
                    <w:t>Web 服务器的 URL 和应用服务器访问数据库的SQL语句关联功能；</w:t>
                  </w:r>
                </w:p>
              </w:tc>
            </w:tr>
            <w:tr>
              <w:tc>
                <w:tcPr>
                  <w:tcW w:type="dxa" w:w="5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rPr>
                    <w:t>6</w:t>
                  </w:r>
                </w:p>
              </w:tc>
              <w:tc>
                <w:tcPr>
                  <w:tcW w:type="dxa" w:w="816"/>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8"/>
                    </w:rPr>
                    <w:t>智能分析</w:t>
                  </w:r>
                </w:p>
              </w:tc>
              <w:tc>
                <w:tcPr>
                  <w:tcW w:type="dxa" w:w="42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8"/>
                    </w:rPr>
                    <w:t>▲具备智能分析功能，可根据客户端工具名、数据库用户名、客户端IP、操作系统用户名、客户端主机名、数据库名、操作类型、服务器 IP 配置行为模型，并可查看相应告警日志。（提供第三方检验检测机构出具的检验/检测报告相关页复印件并加盖供应商公章）</w:t>
                  </w:r>
                </w:p>
              </w:tc>
            </w:tr>
          </w:tbl>
          <w:p>
            <w:pPr>
              <w:pStyle w:val="null3"/>
              <w:jc w:val="left"/>
            </w:pPr>
            <w:r>
              <w:rPr>
                <w:rFonts w:ascii="仿宋_GB2312" w:hAnsi="仿宋_GB2312" w:cs="仿宋_GB2312" w:eastAsia="仿宋_GB2312"/>
                <w:sz w:val="28"/>
                <w:b/>
              </w:rPr>
              <w:t>★5.</w:t>
            </w:r>
            <w:r>
              <w:rPr>
                <w:rFonts w:ascii="仿宋_GB2312" w:hAnsi="仿宋_GB2312" w:cs="仿宋_GB2312" w:eastAsia="仿宋_GB2312"/>
                <w:sz w:val="28"/>
                <w:b/>
              </w:rPr>
              <w:t>游仙区政务协同办公平台</w:t>
            </w:r>
            <w:r>
              <w:rPr>
                <w:rFonts w:ascii="仿宋_GB2312" w:hAnsi="仿宋_GB2312" w:cs="仿宋_GB2312" w:eastAsia="仿宋_GB2312"/>
                <w:sz w:val="28"/>
                <w:b/>
              </w:rPr>
              <w:t>（</w:t>
            </w:r>
            <w:r>
              <w:rPr>
                <w:rFonts w:ascii="仿宋_GB2312" w:hAnsi="仿宋_GB2312" w:cs="仿宋_GB2312" w:eastAsia="仿宋_GB2312"/>
                <w:sz w:val="28"/>
                <w:b/>
              </w:rPr>
              <w:t>政务通</w:t>
            </w:r>
            <w:r>
              <w:rPr>
                <w:rFonts w:ascii="仿宋_GB2312" w:hAnsi="仿宋_GB2312" w:cs="仿宋_GB2312" w:eastAsia="仿宋_GB2312"/>
                <w:sz w:val="28"/>
                <w:b/>
              </w:rPr>
              <w:t>）</w:t>
            </w:r>
            <w:r>
              <w:rPr>
                <w:rFonts w:ascii="仿宋_GB2312" w:hAnsi="仿宋_GB2312" w:cs="仿宋_GB2312" w:eastAsia="仿宋_GB2312"/>
                <w:sz w:val="28"/>
                <w:b/>
              </w:rPr>
              <w:t>应用运维</w:t>
            </w:r>
            <w:r>
              <w:rPr>
                <w:rFonts w:ascii="仿宋_GB2312" w:hAnsi="仿宋_GB2312" w:cs="仿宋_GB2312" w:eastAsia="仿宋_GB2312"/>
                <w:sz w:val="28"/>
                <w:b/>
              </w:rPr>
              <w:t>要求</w:t>
            </w:r>
          </w:p>
          <w:p>
            <w:pPr>
              <w:pStyle w:val="null3"/>
              <w:ind w:firstLine="560"/>
              <w:jc w:val="both"/>
            </w:pPr>
            <w:r>
              <w:rPr>
                <w:rFonts w:ascii="仿宋_GB2312" w:hAnsi="仿宋_GB2312" w:cs="仿宋_GB2312" w:eastAsia="仿宋_GB2312"/>
                <w:sz w:val="28"/>
              </w:rPr>
              <w:t>5.1系统集成：完成智慧城市应用统一身份认证、绵政钉、报表通、数字档案系统四大板块的对接工作，同时预留不少于5个与其他第三方系统对接的接口，保障系统拓展性。具体对接要求如下：</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1）智慧城市应用统一身份认证：</w:t>
            </w:r>
          </w:p>
          <w:p>
            <w:pPr>
              <w:pStyle w:val="null3"/>
              <w:ind w:firstLine="560"/>
              <w:jc w:val="both"/>
            </w:pPr>
            <w:r>
              <w:rPr>
                <w:rFonts w:ascii="仿宋_GB2312" w:hAnsi="仿宋_GB2312" w:cs="仿宋_GB2312" w:eastAsia="仿宋_GB2312"/>
                <w:sz w:val="28"/>
              </w:rPr>
              <w:t>实现与</w:t>
            </w:r>
            <w:r>
              <w:rPr>
                <w:rFonts w:ascii="仿宋_GB2312" w:hAnsi="仿宋_GB2312" w:cs="仿宋_GB2312" w:eastAsia="仿宋_GB2312"/>
                <w:sz w:val="28"/>
              </w:rPr>
              <w:t>现有</w:t>
            </w:r>
            <w:r>
              <w:rPr>
                <w:rFonts w:ascii="仿宋_GB2312" w:hAnsi="仿宋_GB2312" w:cs="仿宋_GB2312" w:eastAsia="仿宋_GB2312"/>
                <w:sz w:val="28"/>
              </w:rPr>
              <w:t>系统单位、部门、岗位等基础信息及变更的同步，确保数据一致性和实时性。完成消息待办双向同步、多端单点登录、密码重置与修改、三方应用集成及政务通</w:t>
            </w:r>
            <w:r>
              <w:rPr>
                <w:rFonts w:ascii="仿宋_GB2312" w:hAnsi="仿宋_GB2312" w:cs="仿宋_GB2312" w:eastAsia="仿宋_GB2312"/>
                <w:sz w:val="28"/>
              </w:rPr>
              <w:t>APP多项便捷操作，完善身份认证全流程服务能力。数据安全要求：所有接口调用需采用HTTPS传输，敏感数据使用国密算法加密，并实现接口鉴权与防重放机制。对接服务核心接口可用性不低于99.9%，故障平均修复时间不超过4小时，并纳入系统性能监控体系。对同步的基础信息及待办数据实施每日全备+增量备份，支持异机恢复。</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绵政钉对接板块：实现单位基础信息互通，推动公文交换集成全流程落地，完成绵政钉与游仙政务通的消息待办同步，打通政务协同数据链路。对接完成后需进行压力测试、安全漏洞扫描及功能验证，出具详细的测试报告，确保接口兼容性、数据传输安全及功能协同正常。制定对接服务应急预案，明确因第三方系统变更导致接口异常的响应流程及责任人。</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报表通对接板块：开发多端单点登录接口，实现报表通任务通知的接收、写入、存储与查询全功能闭环。建立数据同步校验机制，确保任务通知不丢失、不重复，并提供数据对账功能。对接口调用成功率、延迟等关键指标设置告警阈值，提前发现潜在风险。</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数字档案系统对接板块：按照区档案馆相关要求，实现文档一键归档、自动统计及查询功能，同步提升文件归档整体安全性，规范各单位归档流程。归档过程需符合国家档案管理安全标准，对归档文件进行完整性校验和加密存储，操作日志留存不少于6个月。每季度至少开展一次归档数据恢复演练，确保数据丢失时可快速恢复。</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5）预留接口拓展性：预留不少于5个标准化接口，接口设计需遵循RESTful风格，提供完整的接口文档、数据字典和拓扑图，并支持后续对接的快速适配。所有预留接口需进行基础安全加固，防止未授权访问。</w:t>
            </w:r>
          </w:p>
          <w:p>
            <w:pPr>
              <w:pStyle w:val="null3"/>
              <w:ind w:firstLine="560"/>
              <w:jc w:val="both"/>
            </w:pPr>
            <w:r>
              <w:rPr>
                <w:rFonts w:ascii="仿宋_GB2312" w:hAnsi="仿宋_GB2312" w:cs="仿宋_GB2312" w:eastAsia="仿宋_GB2312"/>
                <w:sz w:val="28"/>
              </w:rPr>
              <w:t>5.2政务通软件系统升级：完善软硬件配套体系、提升文件处理效能与用户服务体验、筑牢系统安全防线。本次升级将重点部署流式文件中台服务与板式文件中台服务系统，为终端用户提供免控件式流式文件在线阅读编辑、板式文件在线阅读服务。具体实施要求如下：</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1）多端多格式兼容</w:t>
            </w:r>
          </w:p>
          <w:p>
            <w:pPr>
              <w:pStyle w:val="null3"/>
              <w:ind w:firstLine="560"/>
              <w:jc w:val="both"/>
            </w:pPr>
            <w:r>
              <w:rPr>
                <w:rFonts w:ascii="仿宋_GB2312" w:hAnsi="仿宋_GB2312" w:cs="仿宋_GB2312" w:eastAsia="仿宋_GB2312"/>
                <w:sz w:val="28"/>
              </w:rPr>
              <w:t>系统升级后须全面兼容市场主流及用户当前在用的各类操作系统、芯片组合，同时支持各版本</w:t>
            </w:r>
            <w:r>
              <w:rPr>
                <w:rFonts w:ascii="仿宋_GB2312" w:hAnsi="仿宋_GB2312" w:cs="仿宋_GB2312" w:eastAsia="仿宋_GB2312"/>
                <w:sz w:val="28"/>
              </w:rPr>
              <w:t>操作</w:t>
            </w:r>
            <w:r>
              <w:rPr>
                <w:rFonts w:ascii="仿宋_GB2312" w:hAnsi="仿宋_GB2312" w:cs="仿宋_GB2312" w:eastAsia="仿宋_GB2312"/>
                <w:sz w:val="28"/>
              </w:rPr>
              <w:t>系统，对用户后续新增的操作系统、芯片及软硬件组合，提供免费适配服务；系统同步兼容数科、福昕等主流阅读器，支持</w:t>
            </w:r>
            <w:r>
              <w:rPr>
                <w:rFonts w:ascii="仿宋_GB2312" w:hAnsi="仿宋_GB2312" w:cs="仿宋_GB2312" w:eastAsia="仿宋_GB2312"/>
                <w:sz w:val="28"/>
              </w:rPr>
              <w:t>OFD、PDF、Word等常用文件格式，若出现兼容问题，提供免费排查与解决服务，彻底打通文件格式兼容壁垒，保障文件正常预览、编辑与流转。</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2）核心功能迭代与性能优化</w:t>
            </w:r>
          </w:p>
          <w:p>
            <w:pPr>
              <w:pStyle w:val="null3"/>
              <w:ind w:firstLine="560"/>
              <w:jc w:val="both"/>
            </w:pPr>
            <w:r>
              <w:rPr>
                <w:rFonts w:ascii="仿宋_GB2312" w:hAnsi="仿宋_GB2312" w:cs="仿宋_GB2312" w:eastAsia="仿宋_GB2312"/>
                <w:sz w:val="28"/>
              </w:rPr>
              <w:t>在原有系统架构基础上，对组织模型、协同工作流、统一门户、公文管理、知识管理、会议管理、文化建设、综合办公等核心业务模块进行迭代完善；同时全面优化视频组件、打印服务、关联应用、考勤管理、表单控件、格式转换插件、个人设置、全文检索、平台基础组件、安全管控、接口服务、微服务架构，以及移动端管理、移动门户、平板端适配、智联扩展等关键能力。通过功能升级与性能调优，进一步提升系统稳定性、操作易用性与跨平台集成能力，为用户打造高效、流畅、统一的协同办公环境，为日常办公高效运转提供坚实支撑。</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3）流式文件中台服务部署</w:t>
            </w:r>
          </w:p>
          <w:p>
            <w:pPr>
              <w:pStyle w:val="null3"/>
              <w:ind w:firstLine="560"/>
              <w:jc w:val="both"/>
            </w:pPr>
            <w:r>
              <w:rPr>
                <w:rFonts w:ascii="仿宋_GB2312" w:hAnsi="仿宋_GB2312" w:cs="仿宋_GB2312" w:eastAsia="仿宋_GB2312"/>
                <w:sz w:val="28"/>
              </w:rPr>
              <w:t>通过搭建统一服务器端能力，实现电脑端与移动端流式文件的免控件、免安装在线处理，并完成与办公系统的深度对接适配。服务将全面支持</w:t>
            </w:r>
            <w:r>
              <w:rPr>
                <w:rFonts w:ascii="仿宋_GB2312" w:hAnsi="仿宋_GB2312" w:cs="仿宋_GB2312" w:eastAsia="仿宋_GB2312"/>
                <w:sz w:val="28"/>
              </w:rPr>
              <w:t>Word、Excel、PPT等主流流式文件格式的在线预览、编辑与保存，覆盖流式文件全流程在线处理场景，有效解决终端控件缺失、版本不兼容导致的公文正文及附件无法正常打开、编辑等痛点问题，提升文件处理的稳定性与易用性。</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4）板式文件中台服务部署</w:t>
            </w:r>
          </w:p>
          <w:p>
            <w:pPr>
              <w:pStyle w:val="null3"/>
              <w:ind w:firstLine="560"/>
              <w:jc w:val="both"/>
            </w:pPr>
            <w:r>
              <w:rPr>
                <w:rFonts w:ascii="仿宋_GB2312" w:hAnsi="仿宋_GB2312" w:cs="仿宋_GB2312" w:eastAsia="仿宋_GB2312"/>
                <w:sz w:val="28"/>
              </w:rPr>
              <w:t>依托统一服务器端能力构建板式文件处理体系，实现电脑端与移动端板式文件的免控件、免安装在线操作，同步完成与办公系统的深度适配对接。服务支持</w:t>
            </w:r>
            <w:r>
              <w:rPr>
                <w:rFonts w:ascii="仿宋_GB2312" w:hAnsi="仿宋_GB2312" w:cs="仿宋_GB2312" w:eastAsia="仿宋_GB2312"/>
                <w:sz w:val="28"/>
              </w:rPr>
              <w:t>OFD、PDF等主流板式文件格式的在线预览、签批与保存，满足板式文件全流程在线处理需求，彻底解决终端控件缺失、版本不兼容造成的公文正文及附件无法正常打开、批复等问题，进一步提升文件处理效率与使用体验。</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5）安全功能定制</w:t>
            </w:r>
          </w:p>
          <w:p>
            <w:pPr>
              <w:pStyle w:val="null3"/>
              <w:ind w:firstLine="560"/>
              <w:jc w:val="both"/>
            </w:pPr>
            <w:r>
              <w:rPr>
                <w:rFonts w:ascii="仿宋_GB2312" w:hAnsi="仿宋_GB2312" w:cs="仿宋_GB2312" w:eastAsia="仿宋_GB2312"/>
                <w:sz w:val="28"/>
              </w:rPr>
              <w:t>针对</w:t>
            </w:r>
            <w:r>
              <w:rPr>
                <w:rFonts w:ascii="仿宋_GB2312" w:hAnsi="仿宋_GB2312" w:cs="仿宋_GB2312" w:eastAsia="仿宋_GB2312"/>
                <w:sz w:val="28"/>
              </w:rPr>
              <w:t>PC网页端与政务通APP两大核心终端开展安全功能定制，完成数据安全相关第三方应用适配、待办事项流转、消息穿透逻辑改造，全面提升系统安全防护能力。</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6）平稳部署无缝衔接</w:t>
            </w:r>
          </w:p>
          <w:p>
            <w:pPr>
              <w:pStyle w:val="null3"/>
              <w:ind w:firstLine="560"/>
              <w:jc w:val="both"/>
            </w:pPr>
            <w:r>
              <w:rPr>
                <w:rFonts w:ascii="仿宋_GB2312" w:hAnsi="仿宋_GB2312" w:cs="仿宋_GB2312" w:eastAsia="仿宋_GB2312"/>
                <w:sz w:val="28"/>
              </w:rPr>
              <w:t>在实施过程中，需严格遵循</w:t>
            </w:r>
            <w:r>
              <w:rPr>
                <w:rFonts w:ascii="仿宋_GB2312" w:hAnsi="仿宋_GB2312" w:cs="仿宋_GB2312" w:eastAsia="仿宋_GB2312"/>
                <w:sz w:val="28"/>
              </w:rPr>
              <w:t>“业务不中断、功能不打折”原则，平稳完成新版本部署、数据迁移、文件中台搭建、历史定制功能保留等工作，并协助政务通APP完成各手机厂商应用商城的上架更新，实现系统升级与日常业务的无缝衔接。</w:t>
            </w:r>
          </w:p>
          <w:p>
            <w:pPr>
              <w:pStyle w:val="null3"/>
              <w:ind w:firstLine="560"/>
              <w:jc w:val="both"/>
            </w:pPr>
            <w:r>
              <w:rPr>
                <w:rFonts w:ascii="仿宋_GB2312" w:hAnsi="仿宋_GB2312" w:cs="仿宋_GB2312" w:eastAsia="仿宋_GB2312"/>
                <w:sz w:val="28"/>
              </w:rPr>
              <w:t>5.3系统适应性升级：在不改变现有系统核心架构、业务逻辑及功能模块划分的前提下，免费提供系统适应性升级服务，保障系统正常运转。具体服务内容及要求如下：</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1）环境适配：兼容所有国产操作系统、鸿蒙系列系统等各类操作系统，以及浏览器、阅读器、数据库等底层软件的版本更新。每次底层软件版本更新后，需在测试环境验证兼容性，确保系统功能正常。</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问题修复：及时消除系统运行中出现的Bug、漏洞，建立漏洞闭环管理流程（发现→评估→修复→复测）。普通问题24小时内修复，高危漏洞24小时内完成修复或采取有效缓解措施，并向甲方报备。在现有技术框架内对现有功能开展逻辑优化、适配完善、文档新增调整等操作。</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3）性能优化：性能优化后需提供对比数据（如响应时间、资源占用率），并说明优化效果。</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4）界面调整：优化页面布局、图片显示效果及文字调整等视觉呈现相关内容，提升用户体验。</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5）用户反馈：界面调整需征求甲方意见，并通过可用性测试。</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6）接口兼容：适配第三方系统的接口版本更新，保障跨系统对接稳定性。</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7）对接测试：每次第三方接口变更后，需在联调环境完成回归测试，确保接口功能正常。</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8）升级操作规范：所有适应性升级操作前需备份系统配置和数据库，操作后记录变更日志，并通知相关用户。升级过程中如遇异常，立即启动回滚预案，确保业务快速恢复。</w:t>
            </w:r>
          </w:p>
          <w:p>
            <w:pPr>
              <w:pStyle w:val="null3"/>
              <w:ind w:firstLine="560"/>
              <w:jc w:val="both"/>
            </w:pPr>
            <w:r>
              <w:rPr>
                <w:rFonts w:ascii="仿宋_GB2312" w:hAnsi="仿宋_GB2312" w:cs="仿宋_GB2312" w:eastAsia="仿宋_GB2312"/>
                <w:sz w:val="28"/>
              </w:rPr>
              <w:t>5.4系统维护：为保障政务办公高效有序开展，需建立专业化、标准化、可量化的常态化系统维护服务机制，全面支撑办公系统全生命周期的稳定运行。具体需求如下：</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1）系统运行保障</w:t>
            </w:r>
          </w:p>
          <w:p>
            <w:pPr>
              <w:pStyle w:val="null3"/>
              <w:ind w:firstLine="560"/>
              <w:jc w:val="both"/>
            </w:pPr>
            <w:r>
              <w:rPr>
                <w:rFonts w:ascii="仿宋_GB2312" w:hAnsi="仿宋_GB2312" w:cs="仿宋_GB2312" w:eastAsia="仿宋_GB2312"/>
                <w:sz w:val="28"/>
              </w:rPr>
              <w:t>①稳定性保障：确保系统既有功能与新增对接功能正常稳定运行，核心业务模块（如公文流转、即时通讯）可用性达到99.9%以上，故障平均修复时间（MTTR）不超过4小时。</w:t>
            </w:r>
          </w:p>
          <w:p>
            <w:pPr>
              <w:pStyle w:val="null3"/>
              <w:ind w:firstLine="560"/>
              <w:jc w:val="both"/>
            </w:pPr>
            <w:r>
              <w:rPr>
                <w:rFonts w:ascii="仿宋_GB2312" w:hAnsi="仿宋_GB2312" w:cs="仿宋_GB2312" w:eastAsia="仿宋_GB2312"/>
                <w:sz w:val="28"/>
              </w:rPr>
              <w:t>②故障处理机制：收到用户反馈的故障、卡顿、异常等问题后，需于30分钟内响应，24小时内完成排查并处理。对于无法在24小时内彻底解决的复杂问题，需制定临时规避方案并向甲方报备，同时跟进直至彻底解决。</w:t>
            </w:r>
          </w:p>
          <w:p>
            <w:pPr>
              <w:pStyle w:val="null3"/>
              <w:ind w:firstLine="560"/>
              <w:jc w:val="both"/>
            </w:pPr>
            <w:r>
              <w:rPr>
                <w:rFonts w:ascii="仿宋_GB2312" w:hAnsi="仿宋_GB2312" w:cs="仿宋_GB2312" w:eastAsia="仿宋_GB2312"/>
                <w:sz w:val="28"/>
              </w:rPr>
              <w:t>③性能监控：建立系统性能监控体系，对CPU、内存、磁盘I/O、网络延迟等关键指标进行实时监控，并设置告警阈值，提前发现潜在风险。</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2）数据安全保障</w:t>
            </w:r>
          </w:p>
          <w:p>
            <w:pPr>
              <w:pStyle w:val="null3"/>
              <w:ind w:firstLine="560"/>
              <w:jc w:val="both"/>
            </w:pPr>
            <w:r>
              <w:rPr>
                <w:rFonts w:ascii="仿宋_GB2312" w:hAnsi="仿宋_GB2312" w:cs="仿宋_GB2312" w:eastAsia="仿宋_GB2312"/>
                <w:sz w:val="28"/>
              </w:rPr>
              <w:t>①数据安全与保密：严格保障公文、会议、即时通讯、督查督办、资料意见收集、请休假、用户信息等政务数据的保密性、完整性与可用性。运维人员需签署保密协议，所有操作需留存日志并定期审计。</w:t>
            </w:r>
          </w:p>
          <w:p>
            <w:pPr>
              <w:pStyle w:val="null3"/>
              <w:ind w:firstLine="560"/>
              <w:jc w:val="both"/>
            </w:pPr>
            <w:r>
              <w:rPr>
                <w:rFonts w:ascii="仿宋_GB2312" w:hAnsi="仿宋_GB2312" w:cs="仿宋_GB2312" w:eastAsia="仿宋_GB2312"/>
                <w:sz w:val="28"/>
              </w:rPr>
              <w:t>②数据同步与共享：实现各系统间数据同步无缝衔接，打破信息孤岛。数据接口调用需具备鉴权与加密机制（如HTTPS传输、国密算法加密），防止数据在传输过程中被窃取或篡改。</w:t>
            </w:r>
          </w:p>
          <w:p>
            <w:pPr>
              <w:pStyle w:val="null3"/>
              <w:ind w:firstLine="560"/>
              <w:jc w:val="both"/>
            </w:pPr>
            <w:r>
              <w:rPr>
                <w:rFonts w:ascii="仿宋_GB2312" w:hAnsi="仿宋_GB2312" w:cs="仿宋_GB2312" w:eastAsia="仿宋_GB2312"/>
                <w:sz w:val="28"/>
              </w:rPr>
              <w:t>③数据备份与恢复：提供自动化的数据备份策略（每日全备+增量备份），支持异机或异地备份。需每季度至少进行一次数据恢复演练，确保在数据丢失或损坏时能快速恢复。</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3）常态化安全巡检</w:t>
            </w:r>
          </w:p>
          <w:p>
            <w:pPr>
              <w:pStyle w:val="null3"/>
              <w:ind w:firstLine="560"/>
              <w:jc w:val="both"/>
            </w:pPr>
            <w:r>
              <w:rPr>
                <w:rFonts w:ascii="仿宋_GB2312" w:hAnsi="仿宋_GB2312" w:cs="仿宋_GB2312" w:eastAsia="仿宋_GB2312"/>
                <w:sz w:val="28"/>
              </w:rPr>
              <w:t>①定期巡检：每月定期开展系统安全检测，重点排查弱口令、远程代码执行、SQL注入、跨站脚本攻击（XSS）、未授权访问等漏洞并及时整改。</w:t>
            </w:r>
          </w:p>
          <w:p>
            <w:pPr>
              <w:pStyle w:val="null3"/>
              <w:ind w:firstLine="560"/>
              <w:jc w:val="both"/>
            </w:pPr>
            <w:r>
              <w:rPr>
                <w:rFonts w:ascii="仿宋_GB2312" w:hAnsi="仿宋_GB2312" w:cs="仿宋_GB2312" w:eastAsia="仿宋_GB2312"/>
                <w:sz w:val="28"/>
              </w:rPr>
              <w:t>②漏洞闭环管理：建立漏洞发现、评估、修复、复测的闭环管理流程。高危漏洞需在24小时内完成修复或采取有效缓解措施。</w:t>
            </w:r>
          </w:p>
          <w:p>
            <w:pPr>
              <w:pStyle w:val="null3"/>
              <w:ind w:firstLine="560"/>
              <w:jc w:val="both"/>
            </w:pPr>
            <w:r>
              <w:rPr>
                <w:rFonts w:ascii="仿宋_GB2312" w:hAnsi="仿宋_GB2312" w:cs="仿宋_GB2312" w:eastAsia="仿宋_GB2312"/>
                <w:sz w:val="28"/>
              </w:rPr>
              <w:t>③配置核查：定期对操作系统、数据库、中间件进行安全配置基线核查，确保配置符合最佳安全实践。</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4）应急响应机制</w:t>
            </w:r>
          </w:p>
          <w:p>
            <w:pPr>
              <w:pStyle w:val="null3"/>
              <w:ind w:firstLine="560"/>
              <w:jc w:val="both"/>
            </w:pPr>
            <w:r>
              <w:rPr>
                <w:rFonts w:ascii="仿宋_GB2312" w:hAnsi="仿宋_GB2312" w:cs="仿宋_GB2312" w:eastAsia="仿宋_GB2312"/>
                <w:sz w:val="28"/>
              </w:rPr>
              <w:t>①应急预案：制定完善的应急预案，明确系统宕机、数据库崩溃、数据泄露、网络攻击（如DDoS/勒索病毒）等重大故障的响应流程、责任人（需提供24小时紧急联系人名单）和恢复步骤。</w:t>
            </w:r>
          </w:p>
          <w:p>
            <w:pPr>
              <w:pStyle w:val="null3"/>
              <w:ind w:firstLine="560"/>
              <w:jc w:val="both"/>
            </w:pPr>
            <w:r>
              <w:rPr>
                <w:rFonts w:ascii="仿宋_GB2312" w:hAnsi="仿宋_GB2312" w:cs="仿宋_GB2312" w:eastAsia="仿宋_GB2312"/>
                <w:sz w:val="28"/>
              </w:rPr>
              <w:t>②应急演练：每半年至少组织一次全流程应急演练，模拟真实故障场景，检验预案的有效性和团队的响应能力，演练后需提交演练报告和改进措施。</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5）用户服务支持</w:t>
            </w:r>
          </w:p>
          <w:p>
            <w:pPr>
              <w:pStyle w:val="null3"/>
              <w:ind w:firstLine="560"/>
              <w:jc w:val="both"/>
            </w:pPr>
            <w:r>
              <w:rPr>
                <w:rFonts w:ascii="仿宋_GB2312" w:hAnsi="仿宋_GB2312" w:cs="仿宋_GB2312" w:eastAsia="仿宋_GB2312"/>
                <w:sz w:val="28"/>
              </w:rPr>
              <w:t>①专人对接：指定专人负责与甲方对接，建立7×24小时的常态化沟通机制。</w:t>
            </w:r>
          </w:p>
          <w:p>
            <w:pPr>
              <w:pStyle w:val="null3"/>
              <w:ind w:firstLine="560"/>
              <w:jc w:val="both"/>
            </w:pPr>
            <w:r>
              <w:rPr>
                <w:rFonts w:ascii="仿宋_GB2312" w:hAnsi="仿宋_GB2312" w:cs="仿宋_GB2312" w:eastAsia="仿宋_GB2312"/>
                <w:sz w:val="28"/>
              </w:rPr>
              <w:t>②响应时效：针对工作人员操作咨询与系统知识答疑，确保即时响应，复杂问题1小时内提供精准技术指导。</w:t>
            </w:r>
          </w:p>
          <w:p>
            <w:pPr>
              <w:pStyle w:val="null3"/>
              <w:ind w:firstLine="560"/>
              <w:jc w:val="both"/>
            </w:pPr>
            <w:r>
              <w:rPr>
                <w:rFonts w:ascii="仿宋_GB2312" w:hAnsi="仿宋_GB2312" w:cs="仿宋_GB2312" w:eastAsia="仿宋_GB2312"/>
                <w:sz w:val="28"/>
              </w:rPr>
              <w:t>③工单管理：建立服务台账，对所有咨询、报修、需求进行记录、跟踪和回访，确保事事有回应，件件有着落。</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6）合规与对接保障</w:t>
            </w:r>
          </w:p>
          <w:p>
            <w:pPr>
              <w:pStyle w:val="null3"/>
              <w:ind w:firstLine="560"/>
              <w:jc w:val="both"/>
            </w:pPr>
            <w:r>
              <w:rPr>
                <w:rFonts w:ascii="仿宋_GB2312" w:hAnsi="仿宋_GB2312" w:cs="仿宋_GB2312" w:eastAsia="仿宋_GB2312"/>
                <w:sz w:val="28"/>
              </w:rPr>
              <w:t>①等保与合规支持：全力配合系统ICP备案、网络安全等级保护三级测评等工作，提供相关技术资料与流程咨询支持。</w:t>
            </w:r>
          </w:p>
          <w:p>
            <w:pPr>
              <w:pStyle w:val="null3"/>
              <w:ind w:firstLine="560"/>
              <w:jc w:val="both"/>
            </w:pPr>
            <w:r>
              <w:rPr>
                <w:rFonts w:ascii="仿宋_GB2312" w:hAnsi="仿宋_GB2312" w:cs="仿宋_GB2312" w:eastAsia="仿宋_GB2312"/>
                <w:sz w:val="28"/>
              </w:rPr>
              <w:t>②对接管理：指定专人负责技术协调与联调测试，提前明确对接标准与技术规范。全程参与对接全流程，及时解决对接过程中的技术问题，对接完成后开展全面测试验证，出具详细的测试报告，确保接口兼容、数据传输安全、功能协同正常。</w:t>
            </w:r>
          </w:p>
          <w:p>
            <w:pPr>
              <w:pStyle w:val="null3"/>
              <w:ind w:firstLine="560"/>
              <w:jc w:val="both"/>
            </w:pPr>
            <w:r>
              <w:rPr>
                <w:rFonts w:ascii="仿宋_GB2312" w:hAnsi="仿宋_GB2312" w:cs="仿宋_GB2312" w:eastAsia="仿宋_GB2312"/>
                <w:sz w:val="28"/>
              </w:rPr>
              <w:t>③文档交付：所有对接开发必须交付完整的接口文档、数据字典和拓扑图。</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7）用户培训服务</w:t>
            </w:r>
          </w:p>
          <w:p>
            <w:pPr>
              <w:pStyle w:val="null3"/>
              <w:ind w:firstLine="560"/>
              <w:jc w:val="both"/>
            </w:pPr>
            <w:r>
              <w:rPr>
                <w:rFonts w:ascii="仿宋_GB2312" w:hAnsi="仿宋_GB2312" w:cs="仿宋_GB2312" w:eastAsia="仿宋_GB2312"/>
                <w:sz w:val="28"/>
              </w:rPr>
              <w:t>①手册编制：编制系统各功能模块的详细操作手册并实时更新，手册涵盖操作步骤、常见问题解答、注意事项等内容。</w:t>
            </w:r>
          </w:p>
          <w:p>
            <w:pPr>
              <w:pStyle w:val="null3"/>
              <w:ind w:firstLine="560"/>
              <w:jc w:val="both"/>
            </w:pPr>
            <w:r>
              <w:rPr>
                <w:rFonts w:ascii="仿宋_GB2312" w:hAnsi="仿宋_GB2312" w:cs="仿宋_GB2312" w:eastAsia="仿宋_GB2312"/>
                <w:sz w:val="28"/>
              </w:rPr>
              <w:t>②培训实施：根据用户实际需求与操作水平提供定制化培训服务，组织线上或线下培训，覆盖系统功能使用、安全操作规范等内容。</w:t>
            </w:r>
          </w:p>
          <w:p>
            <w:pPr>
              <w:pStyle w:val="null3"/>
              <w:ind w:firstLine="560"/>
              <w:jc w:val="both"/>
            </w:pPr>
            <w:r>
              <w:rPr>
                <w:rFonts w:ascii="仿宋_GB2312" w:hAnsi="仿宋_GB2312" w:cs="仿宋_GB2312" w:eastAsia="仿宋_GB2312"/>
                <w:sz w:val="28"/>
              </w:rPr>
              <w:t>③效果评估：每次培训后需进行满意度调查和培训效果评估，确保用户真正掌握操作技能。</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8）系统后台维护与优化</w:t>
            </w:r>
          </w:p>
          <w:p>
            <w:pPr>
              <w:pStyle w:val="null3"/>
              <w:ind w:firstLine="560"/>
              <w:jc w:val="both"/>
            </w:pPr>
            <w:r>
              <w:rPr>
                <w:rFonts w:ascii="仿宋_GB2312" w:hAnsi="仿宋_GB2312" w:cs="仿宋_GB2312" w:eastAsia="仿宋_GB2312"/>
                <w:sz w:val="28"/>
              </w:rPr>
              <w:t>①部署与优化：协同完成部署环境适配、资源扩容、数据迁移、数据备份与恢复等有关系统部署优化相关事宜。</w:t>
            </w:r>
          </w:p>
          <w:p>
            <w:pPr>
              <w:pStyle w:val="null3"/>
              <w:ind w:firstLine="560"/>
              <w:jc w:val="both"/>
            </w:pPr>
            <w:r>
              <w:rPr>
                <w:rFonts w:ascii="仿宋_GB2312" w:hAnsi="仿宋_GB2312" w:cs="仿宋_GB2312" w:eastAsia="仿宋_GB2312"/>
                <w:sz w:val="28"/>
              </w:rPr>
              <w:t>②成本优化：定期分析资源或服务器资源使用情况，提供资源优化建议，避免资源浪费。</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9）报告与总结</w:t>
            </w:r>
          </w:p>
          <w:p>
            <w:pPr>
              <w:pStyle w:val="null3"/>
              <w:ind w:firstLine="560"/>
              <w:jc w:val="both"/>
            </w:pPr>
            <w:r>
              <w:rPr>
                <w:rFonts w:ascii="仿宋_GB2312" w:hAnsi="仿宋_GB2312" w:cs="仿宋_GB2312" w:eastAsia="仿宋_GB2312"/>
                <w:sz w:val="28"/>
              </w:rPr>
              <w:t>①定期报告：每月最后一个工作日，按时提交《系统安全巡检报告》和《月度运维服务报告》，内容需包含系统运行状态、故障统计、资源使用率、安全事件、下月计划等。</w:t>
            </w:r>
          </w:p>
          <w:p>
            <w:pPr>
              <w:pStyle w:val="null3"/>
              <w:ind w:firstLine="560"/>
              <w:jc w:val="both"/>
            </w:pPr>
            <w:r>
              <w:rPr>
                <w:rFonts w:ascii="仿宋_GB2312" w:hAnsi="仿宋_GB2312" w:cs="仿宋_GB2312" w:eastAsia="仿宋_GB2312"/>
                <w:sz w:val="28"/>
              </w:rPr>
              <w:t>②年度总结：年底需提交《年度运维总结报告》，分析全年系统运行数据，提出下一年度的系统优化建议和运维计划。</w:t>
            </w:r>
          </w:p>
          <w:p>
            <w:pPr>
              <w:pStyle w:val="null3"/>
              <w:jc w:val="left"/>
            </w:pPr>
            <w:r>
              <w:rPr>
                <w:rFonts w:ascii="仿宋_GB2312" w:hAnsi="仿宋_GB2312" w:cs="仿宋_GB2312" w:eastAsia="仿宋_GB2312"/>
                <w:sz w:val="28"/>
                <w:b/>
              </w:rPr>
              <w:t>★6.政务平台项目运维要求</w:t>
            </w:r>
          </w:p>
          <w:p>
            <w:pPr>
              <w:pStyle w:val="null3"/>
              <w:ind w:firstLine="560"/>
              <w:jc w:val="both"/>
            </w:pPr>
            <w:r>
              <w:rPr>
                <w:rFonts w:ascii="仿宋_GB2312" w:hAnsi="仿宋_GB2312" w:cs="仿宋_GB2312" w:eastAsia="仿宋_GB2312"/>
                <w:sz w:val="28"/>
              </w:rPr>
              <w:t>6.1整体运维要求</w:t>
            </w:r>
          </w:p>
          <w:p>
            <w:pPr>
              <w:pStyle w:val="null3"/>
              <w:ind w:firstLine="560"/>
              <w:jc w:val="both"/>
            </w:pPr>
            <w:r>
              <w:rPr>
                <w:rFonts w:ascii="仿宋_GB2312" w:hAnsi="仿宋_GB2312" w:cs="仿宋_GB2312" w:eastAsia="仿宋_GB2312"/>
                <w:sz w:val="28"/>
              </w:rPr>
              <w:t>以保障网络正常通信、保证业务正常开展为目标，通过对基础资源、国产训推一体智算算力、模型推理服务、</w:t>
            </w:r>
            <w:r>
              <w:rPr>
                <w:rFonts w:ascii="仿宋_GB2312" w:hAnsi="仿宋_GB2312" w:cs="仿宋_GB2312" w:eastAsia="仿宋_GB2312"/>
                <w:sz w:val="28"/>
              </w:rPr>
              <w:t>RICI智能化内容管理系统、安全服务等进行科学运维，提高整体运行维护水平，确保平台安全、可靠运行。</w:t>
            </w:r>
          </w:p>
          <w:p>
            <w:pPr>
              <w:pStyle w:val="null3"/>
              <w:ind w:firstLine="560"/>
              <w:jc w:val="both"/>
            </w:pPr>
            <w:r>
              <w:rPr>
                <w:rFonts w:ascii="仿宋_GB2312" w:hAnsi="仿宋_GB2312" w:cs="仿宋_GB2312" w:eastAsia="仿宋_GB2312"/>
                <w:sz w:val="28"/>
              </w:rPr>
              <w:t>6.2运维服务内容</w:t>
            </w:r>
          </w:p>
          <w:p>
            <w:pPr>
              <w:pStyle w:val="null3"/>
              <w:ind w:firstLine="560"/>
              <w:jc w:val="both"/>
            </w:pPr>
            <w:r>
              <w:rPr>
                <w:rFonts w:ascii="仿宋_GB2312" w:hAnsi="仿宋_GB2312" w:cs="仿宋_GB2312" w:eastAsia="仿宋_GB2312"/>
                <w:sz w:val="28"/>
              </w:rPr>
              <w:t>包括基础设施运维服务、平台服务、网络接入服务、安全服务、政务通服务、算力调度服务、</w:t>
            </w:r>
            <w:r>
              <w:rPr>
                <w:rFonts w:ascii="仿宋_GB2312" w:hAnsi="仿宋_GB2312" w:cs="仿宋_GB2312" w:eastAsia="仿宋_GB2312"/>
                <w:sz w:val="28"/>
              </w:rPr>
              <w:t>RICI智能化内容管理系统运维服务等，保障国产政务平台、智算算力、多统一管理平台安全、稳定、可靠运行。</w:t>
            </w:r>
          </w:p>
          <w:p>
            <w:pPr>
              <w:pStyle w:val="null3"/>
              <w:ind w:firstLine="560"/>
              <w:jc w:val="both"/>
            </w:pPr>
            <w:r>
              <w:rPr>
                <w:rFonts w:ascii="仿宋_GB2312" w:hAnsi="仿宋_GB2312" w:cs="仿宋_GB2312" w:eastAsia="仿宋_GB2312"/>
                <w:sz w:val="28"/>
              </w:rPr>
              <w:t>6.2.1运维管理</w:t>
            </w:r>
          </w:p>
          <w:p>
            <w:pPr>
              <w:pStyle w:val="null3"/>
              <w:ind w:firstLine="560"/>
              <w:jc w:val="both"/>
            </w:pPr>
            <w:r>
              <w:rPr>
                <w:rFonts w:ascii="仿宋_GB2312" w:hAnsi="仿宋_GB2312" w:cs="仿宋_GB2312" w:eastAsia="仿宋_GB2312"/>
                <w:sz w:val="28"/>
              </w:rPr>
              <w:t>包括以下管理：</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1）资源管理：提供服务目录，每季度输出服务报告，平台业务分析，租户业务管理，平台相关各方的业务协调。</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2）事件问题管理：资源平台事件和问题的跟踪、升级、定位，输出事件和问题解决报告，提供优化建议。</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3）容量管理：资源平台容量管理，每季度输出容量报告。</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4）配置管理：设备、架构、业务、系统配置的管理。</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5）日志管理：资源平台系统日志的收集和分析。</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6）数据连续性管理：存储平台规划、备份管理、快照管理、恢复管理等。</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7）IP地址管理：IPv4和IPv6的地址规划和管理。</w:t>
            </w:r>
          </w:p>
          <w:p>
            <w:pPr>
              <w:pStyle w:val="null3"/>
              <w:ind w:firstLine="560"/>
              <w:jc w:val="both"/>
            </w:pPr>
            <w:r>
              <w:rPr>
                <w:rFonts w:ascii="仿宋_GB2312" w:hAnsi="仿宋_GB2312" w:cs="仿宋_GB2312" w:eastAsia="仿宋_GB2312"/>
                <w:sz w:val="28"/>
              </w:rPr>
              <w:t>6.2.2技术服务</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1）业务技术服务：提供资源平台硬件扩容、软件升级，资源平台架构优化分析，用户应用系统部署架构分析，基础设施平台的业务分析等服务。</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2）监控服务：提供资源平台监控、网络监控、服务器监控、存储监控、应用监控等服务。</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3）运维巡检服务：提供资源业务巡视、健康检查，机房巡检、设备健康检查等服务。</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4）服务热线：提供7×24小时技术支撑服务热线。</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5）重保服务（重要节点、重大事件、重要活动）：提供现场值守保障服务。</w:t>
            </w:r>
          </w:p>
          <w:p>
            <w:pPr>
              <w:pStyle w:val="null3"/>
              <w:ind w:firstLine="560"/>
              <w:jc w:val="both"/>
            </w:pPr>
            <w:r>
              <w:rPr>
                <w:rFonts w:ascii="仿宋_GB2312" w:hAnsi="仿宋_GB2312" w:cs="仿宋_GB2312" w:eastAsia="仿宋_GB2312"/>
                <w:sz w:val="28"/>
              </w:rPr>
              <w:t>6.2.3算力调度运维服务</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1）基础算力运维：实时监控算力节点状态、算力负载、算力利用率，确保算力无中断、无资源损耗，满足业务算力需求。</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2）模型推理服务运维：保障模型推理包稳定运行，确保推理服务低延迟、高可用，无丢包、无并发故障。</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3）科研助手服务运维：负责平台软硬件运维、功能支撑、用户服务、数据交互保障，定期开展平台健康检查与性能优化。</w:t>
            </w:r>
          </w:p>
          <w:p>
            <w:pPr>
              <w:pStyle w:val="null3"/>
              <w:ind w:firstLine="560"/>
              <w:jc w:val="both"/>
            </w:pPr>
            <w:r>
              <w:rPr>
                <w:rFonts w:ascii="仿宋_GB2312" w:hAnsi="仿宋_GB2312" w:cs="仿宋_GB2312" w:eastAsia="仿宋_GB2312"/>
                <w:sz w:val="28"/>
              </w:rPr>
              <w:t>6.2.4 RICI智能化内容管理系统运维服务</w:t>
            </w:r>
          </w:p>
          <w:p>
            <w:pPr>
              <w:pStyle w:val="null3"/>
              <w:jc w:val="both"/>
            </w:pPr>
            <w:r>
              <w:rPr>
                <w:rFonts w:ascii="仿宋_GB2312" w:hAnsi="仿宋_GB2312" w:cs="仿宋_GB2312" w:eastAsia="仿宋_GB2312"/>
                <w:sz w:val="28"/>
              </w:rPr>
              <w:t>保障异构资源平台纳管稳定，</w:t>
            </w:r>
            <w:r>
              <w:rPr>
                <w:rFonts w:ascii="仿宋_GB2312" w:hAnsi="仿宋_GB2312" w:cs="仿宋_GB2312" w:eastAsia="仿宋_GB2312"/>
                <w:sz w:val="28"/>
              </w:rPr>
              <w:t>RICI系统软硬件、数据库、中间件运维，故障处置、版本升级、安全加固，保障系统7×24小时可用。</w:t>
            </w:r>
          </w:p>
          <w:p>
            <w:pPr>
              <w:pStyle w:val="null3"/>
              <w:ind w:firstLine="560"/>
              <w:jc w:val="both"/>
            </w:pPr>
            <w:r>
              <w:rPr>
                <w:rFonts w:ascii="仿宋_GB2312" w:hAnsi="仿宋_GB2312" w:cs="仿宋_GB2312" w:eastAsia="仿宋_GB2312"/>
                <w:sz w:val="28"/>
              </w:rPr>
              <w:t>★7.</w:t>
            </w:r>
            <w:r>
              <w:rPr>
                <w:rFonts w:ascii="仿宋_GB2312" w:hAnsi="仿宋_GB2312" w:cs="仿宋_GB2312" w:eastAsia="仿宋_GB2312"/>
                <w:sz w:val="28"/>
              </w:rPr>
              <w:t>资源使用效率管控规则</w:t>
            </w:r>
          </w:p>
          <w:p>
            <w:pPr>
              <w:pStyle w:val="null3"/>
              <w:ind w:firstLine="560"/>
              <w:jc w:val="both"/>
            </w:pPr>
            <w:r>
              <w:rPr>
                <w:rFonts w:ascii="仿宋_GB2312" w:hAnsi="仿宋_GB2312" w:cs="仿宋_GB2312" w:eastAsia="仿宋_GB2312"/>
                <w:sz w:val="28"/>
              </w:rPr>
              <w:t>为提高政务</w:t>
            </w:r>
            <w:r>
              <w:rPr>
                <w:rFonts w:ascii="仿宋_GB2312" w:hAnsi="仿宋_GB2312" w:cs="仿宋_GB2312" w:eastAsia="仿宋_GB2312"/>
                <w:sz w:val="28"/>
              </w:rPr>
              <w:t>计算</w:t>
            </w:r>
            <w:r>
              <w:rPr>
                <w:rFonts w:ascii="仿宋_GB2312" w:hAnsi="仿宋_GB2312" w:cs="仿宋_GB2312" w:eastAsia="仿宋_GB2312"/>
                <w:sz w:val="28"/>
              </w:rPr>
              <w:t>资源利用率，有效提升政府财政资金使用效能，采购人制定政务资源使用效率管控规则，通过对政务</w:t>
            </w:r>
            <w:r>
              <w:rPr>
                <w:rFonts w:ascii="仿宋_GB2312" w:hAnsi="仿宋_GB2312" w:cs="仿宋_GB2312" w:eastAsia="仿宋_GB2312"/>
                <w:sz w:val="28"/>
              </w:rPr>
              <w:t>资源</w:t>
            </w:r>
            <w:r>
              <w:rPr>
                <w:rFonts w:ascii="仿宋_GB2312" w:hAnsi="仿宋_GB2312" w:cs="仿宋_GB2312" w:eastAsia="仿宋_GB2312"/>
                <w:sz w:val="28"/>
              </w:rPr>
              <w:t>CPU和内存两项资源使用效率指标的监控和管理，促使中标人改进提高服务方式和服务质量，保障</w:t>
            </w:r>
            <w:r>
              <w:rPr>
                <w:rFonts w:ascii="仿宋_GB2312" w:hAnsi="仿宋_GB2312" w:cs="仿宋_GB2312" w:eastAsia="仿宋_GB2312"/>
                <w:sz w:val="28"/>
              </w:rPr>
              <w:t>计算</w:t>
            </w:r>
            <w:r>
              <w:rPr>
                <w:rFonts w:ascii="仿宋_GB2312" w:hAnsi="仿宋_GB2312" w:cs="仿宋_GB2312" w:eastAsia="仿宋_GB2312"/>
                <w:sz w:val="28"/>
              </w:rPr>
              <w:t>资源合理配置与动态调整，</w:t>
            </w:r>
            <w:r>
              <w:rPr>
                <w:rFonts w:ascii="仿宋_GB2312" w:hAnsi="仿宋_GB2312" w:cs="仿宋_GB2312" w:eastAsia="仿宋_GB2312"/>
                <w:sz w:val="28"/>
              </w:rPr>
              <w:t>供应商</w:t>
            </w:r>
            <w:r>
              <w:rPr>
                <w:rFonts w:ascii="仿宋_GB2312" w:hAnsi="仿宋_GB2312" w:cs="仿宋_GB2312" w:eastAsia="仿宋_GB2312"/>
                <w:sz w:val="28"/>
              </w:rPr>
              <w:t>要按照采购人要求，每半年提供</w:t>
            </w:r>
            <w:r>
              <w:rPr>
                <w:rFonts w:ascii="仿宋_GB2312" w:hAnsi="仿宋_GB2312" w:cs="仿宋_GB2312" w:eastAsia="仿宋_GB2312"/>
                <w:sz w:val="28"/>
              </w:rPr>
              <w:t>1次资源优化建议。</w:t>
            </w:r>
          </w:p>
          <w:p>
            <w:pPr>
              <w:pStyle w:val="null3"/>
              <w:ind w:firstLine="560"/>
              <w:jc w:val="both"/>
            </w:pPr>
            <w:r>
              <w:rPr>
                <w:rFonts w:ascii="仿宋_GB2312" w:hAnsi="仿宋_GB2312" w:cs="仿宋_GB2312" w:eastAsia="仿宋_GB2312"/>
                <w:sz w:val="28"/>
              </w:rPr>
              <w:t>供应商</w:t>
            </w:r>
            <w:r>
              <w:rPr>
                <w:rFonts w:ascii="仿宋_GB2312" w:hAnsi="仿宋_GB2312" w:cs="仿宋_GB2312" w:eastAsia="仿宋_GB2312"/>
                <w:sz w:val="28"/>
              </w:rPr>
              <w:t>应主动参与资源全生命周期管理，在新开通资源交付、系统部署（或迁移）、资源使用率评估与调整等各个阶段，积极配合绵阳市大数据中心和使用单位开展资源合理配置与动态调整工作。</w:t>
            </w:r>
          </w:p>
          <w:p>
            <w:pPr>
              <w:pStyle w:val="null3"/>
              <w:ind w:firstLine="560"/>
              <w:jc w:val="both"/>
            </w:pPr>
            <w:r>
              <w:rPr>
                <w:rFonts w:ascii="仿宋_GB2312" w:hAnsi="仿宋_GB2312" w:cs="仿宋_GB2312" w:eastAsia="仿宋_GB2312"/>
                <w:sz w:val="28"/>
              </w:rPr>
              <w:t>7</w:t>
            </w:r>
            <w:r>
              <w:rPr>
                <w:rFonts w:ascii="仿宋_GB2312" w:hAnsi="仿宋_GB2312" w:cs="仿宋_GB2312" w:eastAsia="仿宋_GB2312"/>
                <w:sz w:val="28"/>
              </w:rPr>
              <w:t>.1.资源开通与系统部署（或迁移）：</w:t>
            </w:r>
            <w:r>
              <w:rPr>
                <w:rFonts w:ascii="仿宋_GB2312" w:hAnsi="仿宋_GB2312" w:cs="仿宋_GB2312" w:eastAsia="仿宋_GB2312"/>
                <w:sz w:val="28"/>
              </w:rPr>
              <w:t>供应商</w:t>
            </w:r>
            <w:r>
              <w:rPr>
                <w:rFonts w:ascii="仿宋_GB2312" w:hAnsi="仿宋_GB2312" w:cs="仿宋_GB2312" w:eastAsia="仿宋_GB2312"/>
                <w:sz w:val="28"/>
              </w:rPr>
              <w:t>应积极配合使用单位完成需求调研，合理引导资源申请，在资源开通和系统部署（或迁移）的阶段，加强对系统部署（或迁移）及资源使用情况的监控，及时对使用率评估并提出资源调整建议。</w:t>
            </w:r>
          </w:p>
          <w:p>
            <w:pPr>
              <w:pStyle w:val="null3"/>
              <w:ind w:firstLine="560"/>
              <w:jc w:val="both"/>
            </w:pPr>
            <w:r>
              <w:rPr>
                <w:rFonts w:ascii="仿宋_GB2312" w:hAnsi="仿宋_GB2312" w:cs="仿宋_GB2312" w:eastAsia="仿宋_GB2312"/>
                <w:sz w:val="28"/>
              </w:rPr>
              <w:t>7</w:t>
            </w:r>
            <w:r>
              <w:rPr>
                <w:rFonts w:ascii="仿宋_GB2312" w:hAnsi="仿宋_GB2312" w:cs="仿宋_GB2312" w:eastAsia="仿宋_GB2312"/>
                <w:sz w:val="28"/>
              </w:rPr>
              <w:t>.2.资源评估：加强监控资源使用效率并定期评估和调整。</w:t>
            </w:r>
            <w:r>
              <w:rPr>
                <w:rFonts w:ascii="仿宋_GB2312" w:hAnsi="仿宋_GB2312" w:cs="仿宋_GB2312" w:eastAsia="仿宋_GB2312"/>
                <w:sz w:val="28"/>
              </w:rPr>
              <w:t>供应商</w:t>
            </w:r>
            <w:r>
              <w:rPr>
                <w:rFonts w:ascii="仿宋_GB2312" w:hAnsi="仿宋_GB2312" w:cs="仿宋_GB2312" w:eastAsia="仿宋_GB2312"/>
                <w:sz w:val="28"/>
              </w:rPr>
              <w:t>需每月对资源的</w:t>
            </w:r>
            <w:r>
              <w:rPr>
                <w:rFonts w:ascii="仿宋_GB2312" w:hAnsi="仿宋_GB2312" w:cs="仿宋_GB2312" w:eastAsia="仿宋_GB2312"/>
                <w:sz w:val="28"/>
              </w:rPr>
              <w:t>CPU和内存两项指标进行监控，并设定告警规则：当CPU平均使用率低于10%或内存平均使用率低于30%时，设为黄色告警；当CPU平均使用率低于5%或内存平均使用率低于20%时，设为橙色告警；当CPU或内存平均使用率低于5%时，设为红色告警。</w:t>
            </w:r>
            <w:r>
              <w:rPr>
                <w:rFonts w:ascii="仿宋_GB2312" w:hAnsi="仿宋_GB2312" w:cs="仿宋_GB2312" w:eastAsia="仿宋_GB2312"/>
                <w:sz w:val="28"/>
              </w:rPr>
              <w:t>供应商</w:t>
            </w:r>
            <w:r>
              <w:rPr>
                <w:rFonts w:ascii="仿宋_GB2312" w:hAnsi="仿宋_GB2312" w:cs="仿宋_GB2312" w:eastAsia="仿宋_GB2312"/>
                <w:sz w:val="28"/>
              </w:rPr>
              <w:t>根据资源使用率告警级别进行评估，并分不同告警级别形成资源调整建议，定期上报绵阳市大数据中心，并按要求跟踪处理并实施。</w:t>
            </w:r>
          </w:p>
          <w:p>
            <w:pPr>
              <w:pStyle w:val="null3"/>
              <w:jc w:val="both"/>
            </w:pPr>
            <w:r>
              <w:rPr>
                <w:rFonts w:ascii="仿宋_GB2312" w:hAnsi="仿宋_GB2312" w:cs="仿宋_GB2312" w:eastAsia="仿宋_GB2312"/>
                <w:sz w:val="28"/>
              </w:rPr>
              <w:t>8</w:t>
            </w:r>
            <w:r>
              <w:rPr>
                <w:rFonts w:ascii="仿宋_GB2312" w:hAnsi="仿宋_GB2312" w:cs="仿宋_GB2312" w:eastAsia="仿宋_GB2312"/>
                <w:sz w:val="28"/>
              </w:rPr>
              <w:t>.运维服务考核</w:t>
            </w:r>
          </w:p>
          <w:p>
            <w:pPr>
              <w:pStyle w:val="null3"/>
              <w:jc w:val="both"/>
            </w:pPr>
            <w:r>
              <w:rPr>
                <w:rFonts w:ascii="仿宋_GB2312" w:hAnsi="仿宋_GB2312" w:cs="仿宋_GB2312" w:eastAsia="仿宋_GB2312"/>
                <w:sz w:val="28"/>
              </w:rPr>
              <w:t>8.1考核标准</w:t>
            </w:r>
          </w:p>
          <w:tbl>
            <w:tblPr>
              <w:tblInd w:type="dxa" w:w="90"/>
              <w:tblBorders>
                <w:top w:val="none" w:color="000000" w:sz="4"/>
                <w:left w:val="none" w:color="000000" w:sz="4"/>
                <w:bottom w:val="none" w:color="000000" w:sz="4"/>
                <w:right w:val="none" w:color="000000" w:sz="4"/>
                <w:insideH w:val="none"/>
                <w:insideV w:val="none"/>
              </w:tblBorders>
            </w:tblPr>
            <w:tblGrid>
              <w:gridCol w:w="680"/>
              <w:gridCol w:w="444"/>
              <w:gridCol w:w="680"/>
              <w:gridCol w:w="1106"/>
              <w:gridCol w:w="633"/>
              <w:gridCol w:w="2051"/>
            </w:tblGrid>
            <w:tr>
              <w:tc>
                <w:tcPr>
                  <w:tcW w:type="dxa" w:w="6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模块</w:t>
                  </w:r>
                </w:p>
              </w:tc>
              <w:tc>
                <w:tcPr>
                  <w:tcW w:type="dxa" w:w="4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序号</w:t>
                  </w:r>
                </w:p>
              </w:tc>
              <w:tc>
                <w:tcPr>
                  <w:tcW w:type="dxa" w:w="6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考核条款</w:t>
                  </w:r>
                </w:p>
              </w:tc>
              <w:tc>
                <w:tcPr>
                  <w:tcW w:type="dxa" w:w="11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评分内容</w:t>
                  </w:r>
                </w:p>
              </w:tc>
              <w:tc>
                <w:tcPr>
                  <w:tcW w:type="dxa" w:w="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分值</w:t>
                  </w:r>
                </w:p>
              </w:tc>
              <w:tc>
                <w:tcPr>
                  <w:tcW w:type="dxa" w:w="20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打分标准</w:t>
                  </w:r>
                </w:p>
              </w:tc>
            </w:tr>
            <w:tr>
              <w:tc>
                <w:tcPr>
                  <w:tcW w:type="dxa" w:w="6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运营管理（</w:t>
                  </w:r>
                  <w:r>
                    <w:rPr>
                      <w:rFonts w:ascii="仿宋_GB2312" w:hAnsi="仿宋_GB2312" w:cs="仿宋_GB2312" w:eastAsia="仿宋_GB2312"/>
                      <w:sz w:val="28"/>
                    </w:rPr>
                    <w:t>12 分）</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机房出入管理</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机房出入授权、登记归档</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1.机房登记规范、文档完善、责任明确，缺1方面扣1分；</w:t>
                  </w:r>
                </w:p>
                <w:p>
                  <w:pPr>
                    <w:pStyle w:val="null3"/>
                    <w:jc w:val="left"/>
                  </w:pPr>
                  <w:r>
                    <w:rPr>
                      <w:rFonts w:ascii="仿宋_GB2312" w:hAnsi="仿宋_GB2312" w:cs="仿宋_GB2312" w:eastAsia="仿宋_GB2312"/>
                      <w:sz w:val="28"/>
                    </w:rPr>
                    <w:t>2.无漏登记次数，漏登1次扣 1 分</w:t>
                  </w:r>
                </w:p>
              </w:tc>
            </w:tr>
            <w:tr>
              <w:tc>
                <w:tcPr>
                  <w:tcW w:type="dxa" w:w="680"/>
                  <w:vMerge/>
                  <w:tcBorders>
                    <w:top w:val="none" w:color="000000" w:sz="4"/>
                    <w:left w:val="single" w:color="000000" w:sz="4"/>
                    <w:bottom w:val="single" w:color="000000" w:sz="4"/>
                    <w:right w:val="single" w:color="000000" w:sz="4"/>
                  </w:tcBorders>
                </w:tcP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机房接待流程</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接待准备、流程设定、组织能力、讲解演示等</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接待记录完整，缺</w:t>
                  </w:r>
                  <w:r>
                    <w:rPr>
                      <w:rFonts w:ascii="仿宋_GB2312" w:hAnsi="仿宋_GB2312" w:cs="仿宋_GB2312" w:eastAsia="仿宋_GB2312"/>
                      <w:sz w:val="28"/>
                    </w:rPr>
                    <w:t>1 次扣 1 分</w:t>
                  </w:r>
                </w:p>
              </w:tc>
            </w:tr>
            <w:tr>
              <w:tc>
                <w:tcPr>
                  <w:tcW w:type="dxa" w:w="680"/>
                  <w:vMerge/>
                  <w:tcBorders>
                    <w:top w:val="none" w:color="000000" w:sz="4"/>
                    <w:left w:val="single" w:color="000000" w:sz="4"/>
                    <w:bottom w:val="single" w:color="000000" w:sz="4"/>
                    <w:right w:val="single" w:color="000000" w:sz="4"/>
                  </w:tcBorders>
                </w:tcP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人员管理</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人员制度以及制度遵守情况</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 运维人员管理制度健全、责任分工明细合理，缺 1 方面扣 1 分；</w:t>
                  </w:r>
                </w:p>
                <w:p>
                  <w:pPr>
                    <w:pStyle w:val="null3"/>
                    <w:jc w:val="left"/>
                  </w:pPr>
                  <w:r>
                    <w:rPr>
                      <w:rFonts w:ascii="仿宋_GB2312" w:hAnsi="仿宋_GB2312" w:cs="仿宋_GB2312" w:eastAsia="仿宋_GB2312"/>
                      <w:sz w:val="28"/>
                    </w:rPr>
                    <w:t>2. 运维人员出现违反制度的情况每人次扣 1 分</w:t>
                  </w:r>
                </w:p>
              </w:tc>
            </w:tr>
            <w:tr>
              <w:tc>
                <w:tcPr>
                  <w:tcW w:type="dxa" w:w="680"/>
                  <w:vMerge/>
                  <w:tcBorders>
                    <w:top w:val="none" w:color="000000" w:sz="4"/>
                    <w:left w:val="single" w:color="000000" w:sz="4"/>
                    <w:bottom w:val="single" w:color="000000" w:sz="4"/>
                    <w:right w:val="single" w:color="000000" w:sz="4"/>
                  </w:tcBorders>
                </w:tcP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账号管理</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账号管理机制、专人负责、不丢失设备账号、定期清理</w:t>
                  </w:r>
                  <w:r>
                    <w:rPr>
                      <w:rFonts w:ascii="仿宋_GB2312" w:hAnsi="仿宋_GB2312" w:cs="仿宋_GB2312" w:eastAsia="仿宋_GB2312"/>
                      <w:sz w:val="28"/>
                    </w:rPr>
                    <w:t>VPN 帐号</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 账号发放、收回、变更执行无失误、有记录，执行失误 1 次扣 1 分；2. 账号丢失 1 次扣 1 分，出现盗、冒、顶情况 1 次扣 1 分</w:t>
                  </w:r>
                </w:p>
              </w:tc>
            </w:tr>
            <w:tr>
              <w:tc>
                <w:tcPr>
                  <w:tcW w:type="dxa" w:w="680"/>
                  <w:vMerge/>
                  <w:tcBorders>
                    <w:top w:val="none" w:color="000000" w:sz="4"/>
                    <w:left w:val="single" w:color="000000" w:sz="4"/>
                    <w:bottom w:val="single" w:color="000000" w:sz="4"/>
                    <w:right w:val="single" w:color="000000" w:sz="4"/>
                  </w:tcBorders>
                </w:tcP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平台管理</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虚拟化平台、资源管理平台、运维管理平台、网管平台等管理</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 平台部署合理、配置正确、应用熟练、运转正常，未满足 SLA99.9% 每降低 0.1% 扣 1 分；</w:t>
                  </w:r>
                </w:p>
                <w:p>
                  <w:pPr>
                    <w:pStyle w:val="null3"/>
                    <w:jc w:val="left"/>
                  </w:pPr>
                  <w:r>
                    <w:rPr>
                      <w:rFonts w:ascii="仿宋_GB2312" w:hAnsi="仿宋_GB2312" w:cs="仿宋_GB2312" w:eastAsia="仿宋_GB2312"/>
                      <w:sz w:val="28"/>
                    </w:rPr>
                    <w:t>2. 实现 7*24 小时监控，未保证平台安全 1 次扣 1 分</w:t>
                  </w:r>
                </w:p>
              </w:tc>
            </w:tr>
            <w:tr>
              <w:tc>
                <w:tcPr>
                  <w:tcW w:type="dxa" w:w="6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网络管理（</w:t>
                  </w:r>
                  <w:r>
                    <w:rPr>
                      <w:rFonts w:ascii="仿宋_GB2312" w:hAnsi="仿宋_GB2312" w:cs="仿宋_GB2312" w:eastAsia="仿宋_GB2312"/>
                      <w:sz w:val="28"/>
                    </w:rPr>
                    <w:t>18 分）</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网络隔离</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政务外网、公安专网、互联网、机房局域网等隔离情况</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隔离策略明晰，违反隔离策略的设计</w:t>
                  </w:r>
                  <w:r>
                    <w:rPr>
                      <w:rFonts w:ascii="仿宋_GB2312" w:hAnsi="仿宋_GB2312" w:cs="仿宋_GB2312" w:eastAsia="仿宋_GB2312"/>
                      <w:sz w:val="28"/>
                    </w:rPr>
                    <w:t>/ 实施方案，出现 1 次扣 1 分</w:t>
                  </w:r>
                </w:p>
              </w:tc>
            </w:tr>
            <w:tr>
              <w:tc>
                <w:tcPr>
                  <w:tcW w:type="dxa" w:w="680"/>
                  <w:vMerge/>
                  <w:tcBorders>
                    <w:top w:val="none" w:color="000000" w:sz="4"/>
                    <w:left w:val="single" w:color="000000" w:sz="4"/>
                    <w:bottom w:val="single" w:color="000000" w:sz="4"/>
                    <w:right w:val="single" w:color="000000" w:sz="4"/>
                  </w:tcBorders>
                </w:tcP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网络性能</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充分利用网络能力，实现机房骨干网络虚拟化、无单点故障</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网络设备无明显配置错误，接入级</w:t>
                  </w:r>
                  <w:r>
                    <w:rPr>
                      <w:rFonts w:ascii="仿宋_GB2312" w:hAnsi="仿宋_GB2312" w:cs="仿宋_GB2312" w:eastAsia="仿宋_GB2312"/>
                      <w:sz w:val="28"/>
                    </w:rPr>
                    <w:t>1 次扣 1 分，汇聚级 1 次扣 2 分，核心及主干设备级 1 次扣 3 分</w:t>
                  </w:r>
                </w:p>
              </w:tc>
            </w:tr>
            <w:tr>
              <w:tc>
                <w:tcPr>
                  <w:tcW w:type="dxa" w:w="680"/>
                  <w:vMerge/>
                  <w:tcBorders>
                    <w:top w:val="none" w:color="000000" w:sz="4"/>
                    <w:left w:val="single" w:color="000000" w:sz="4"/>
                    <w:bottom w:val="single" w:color="000000" w:sz="4"/>
                    <w:right w:val="single" w:color="000000" w:sz="4"/>
                  </w:tcBorders>
                </w:tcP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网络可用性</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保证网络畅通可用</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6</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 政务外网 / 专用网络故障：1 小时内响应扣 1 分，超 1-2 小时扣 2 分，每延后 1 小时加扣 1 分；</w:t>
                  </w:r>
                </w:p>
                <w:p>
                  <w:pPr>
                    <w:pStyle w:val="null3"/>
                    <w:jc w:val="left"/>
                  </w:pPr>
                  <w:r>
                    <w:rPr>
                      <w:rFonts w:ascii="仿宋_GB2312" w:hAnsi="仿宋_GB2312" w:cs="仿宋_GB2312" w:eastAsia="仿宋_GB2312"/>
                      <w:sz w:val="28"/>
                    </w:rPr>
                    <w:t>2. 互联网故障：1 小时内响应扣 1 分，超 1-2 小时扣 2 分，每延后 1 小时加扣 1 分</w:t>
                  </w:r>
                </w:p>
              </w:tc>
            </w:tr>
            <w:tr>
              <w:tc>
                <w:tcPr>
                  <w:tcW w:type="dxa" w:w="680"/>
                  <w:vMerge/>
                  <w:tcBorders>
                    <w:top w:val="none" w:color="000000" w:sz="4"/>
                    <w:left w:val="single" w:color="000000" w:sz="4"/>
                    <w:bottom w:val="single" w:color="000000" w:sz="4"/>
                    <w:right w:val="single" w:color="000000" w:sz="4"/>
                  </w:tcBorders>
                </w:tcP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平台网络安全策略</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平台网络设备安全策略合理</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安全策略配置满足要求，明显错误</w:t>
                  </w:r>
                  <w:r>
                    <w:rPr>
                      <w:rFonts w:ascii="仿宋_GB2312" w:hAnsi="仿宋_GB2312" w:cs="仿宋_GB2312" w:eastAsia="仿宋_GB2312"/>
                      <w:sz w:val="28"/>
                    </w:rPr>
                    <w:t>1 次扣 1 分</w:t>
                  </w:r>
                </w:p>
              </w:tc>
            </w:tr>
            <w:tr>
              <w:tc>
                <w:tcPr>
                  <w:tcW w:type="dxa" w:w="6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服务质量管理（</w:t>
                  </w:r>
                  <w:r>
                    <w:rPr>
                      <w:rFonts w:ascii="仿宋_GB2312" w:hAnsi="仿宋_GB2312" w:cs="仿宋_GB2312" w:eastAsia="仿宋_GB2312"/>
                      <w:sz w:val="28"/>
                    </w:rPr>
                    <w:t>30 分）</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服务标准化、规范化</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提供规范详实的服务目录、资源列表、流程</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未提供扣</w:t>
                  </w:r>
                  <w:r>
                    <w:rPr>
                      <w:rFonts w:ascii="仿宋_GB2312" w:hAnsi="仿宋_GB2312" w:cs="仿宋_GB2312" w:eastAsia="仿宋_GB2312"/>
                      <w:sz w:val="28"/>
                    </w:rPr>
                    <w:t>1 分，缺 1 项扣 1 分</w:t>
                  </w:r>
                </w:p>
              </w:tc>
            </w:tr>
            <w:tr>
              <w:tc>
                <w:tcPr>
                  <w:tcW w:type="dxa" w:w="680"/>
                  <w:vMerge/>
                  <w:tcBorders>
                    <w:top w:val="none" w:color="000000" w:sz="4"/>
                    <w:left w:val="single" w:color="000000" w:sz="4"/>
                    <w:bottom w:val="single" w:color="000000" w:sz="4"/>
                    <w:right w:val="single" w:color="000000" w:sz="4"/>
                  </w:tcBorders>
                </w:tcP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服务可用性</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考核周期服务连续不中断</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7</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 政务外网 / 专网应用中断：2 小时内修复扣 1 分，超 2-4 小时扣 2 分，每拖延 2 小时加扣 1 分；</w:t>
                  </w:r>
                </w:p>
                <w:p>
                  <w:pPr>
                    <w:pStyle w:val="null3"/>
                    <w:jc w:val="left"/>
                  </w:pPr>
                  <w:r>
                    <w:rPr>
                      <w:rFonts w:ascii="仿宋_GB2312" w:hAnsi="仿宋_GB2312" w:cs="仿宋_GB2312" w:eastAsia="仿宋_GB2312"/>
                      <w:sz w:val="28"/>
                    </w:rPr>
                    <w:t>2. 互联网应用中断：2 小时内修复扣 1 分，超 2-4 小时扣 2 分，超 4-12 小时扣 3 分，超 12-24 小时扣 4 分，超 24 小时加倍扣分</w:t>
                  </w:r>
                </w:p>
              </w:tc>
            </w:tr>
            <w:tr>
              <w:tc>
                <w:tcPr>
                  <w:tcW w:type="dxa" w:w="680"/>
                  <w:vMerge/>
                  <w:tcBorders>
                    <w:top w:val="none" w:color="000000" w:sz="4"/>
                    <w:left w:val="single" w:color="000000" w:sz="4"/>
                    <w:bottom w:val="single" w:color="000000" w:sz="4"/>
                    <w:right w:val="single" w:color="000000" w:sz="4"/>
                  </w:tcBorders>
                </w:tcP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资源虚拟化</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网络、服务器、存储虚拟化</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资源调配在时间窗外致服务中断，</w:t>
                  </w:r>
                  <w:r>
                    <w:rPr>
                      <w:rFonts w:ascii="仿宋_GB2312" w:hAnsi="仿宋_GB2312" w:cs="仿宋_GB2312" w:eastAsia="仿宋_GB2312"/>
                      <w:sz w:val="28"/>
                    </w:rPr>
                    <w:t>1 小时内修复扣 1 分，超 1-2 小时扣 2 分，每延后 2 小时加扣 1 分</w:t>
                  </w:r>
                </w:p>
              </w:tc>
            </w:tr>
            <w:tr>
              <w:tc>
                <w:tcPr>
                  <w:tcW w:type="dxa" w:w="680"/>
                  <w:vMerge/>
                  <w:tcBorders>
                    <w:top w:val="none" w:color="000000" w:sz="4"/>
                    <w:left w:val="single" w:color="000000" w:sz="4"/>
                    <w:bottom w:val="single" w:color="000000" w:sz="4"/>
                    <w:right w:val="single" w:color="000000" w:sz="4"/>
                  </w:tcBorders>
                </w:tcP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基础支撑软件</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提供主流数据库、操作系统等基础软件</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限于第三方支持条款，主流</w:t>
                  </w:r>
                  <w:r>
                    <w:rPr>
                      <w:rFonts w:ascii="仿宋_GB2312" w:hAnsi="仿宋_GB2312" w:cs="仿宋_GB2312" w:eastAsia="仿宋_GB2312"/>
                      <w:sz w:val="28"/>
                    </w:rPr>
                    <w:t>Linux / 开源数据库不支持，1 次扣 1 分</w:t>
                  </w:r>
                </w:p>
              </w:tc>
            </w:tr>
            <w:tr>
              <w:tc>
                <w:tcPr>
                  <w:tcW w:type="dxa" w:w="680"/>
                  <w:vMerge/>
                  <w:tcBorders>
                    <w:top w:val="none" w:color="000000" w:sz="4"/>
                    <w:left w:val="single" w:color="000000" w:sz="4"/>
                    <w:bottom w:val="single" w:color="000000" w:sz="4"/>
                    <w:right w:val="single" w:color="000000" w:sz="4"/>
                  </w:tcBorders>
                </w:tcP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数据管理</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数据导入</w:t>
                  </w:r>
                  <w:r>
                    <w:rPr>
                      <w:rFonts w:ascii="仿宋_GB2312" w:hAnsi="仿宋_GB2312" w:cs="仿宋_GB2312" w:eastAsia="仿宋_GB2312"/>
                      <w:sz w:val="28"/>
                    </w:rPr>
                    <w:t>/ 迁出、安全、备份与恢复</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 数据丢失 1 次扣 1 分；2. 数据被非法获取 / 外泄 1 次扣 1 分</w:t>
                  </w:r>
                </w:p>
              </w:tc>
            </w:tr>
            <w:tr>
              <w:tc>
                <w:tcPr>
                  <w:tcW w:type="dxa" w:w="680"/>
                  <w:vMerge/>
                  <w:tcBorders>
                    <w:top w:val="none" w:color="000000" w:sz="4"/>
                    <w:left w:val="single" w:color="000000" w:sz="4"/>
                    <w:bottom w:val="single" w:color="000000" w:sz="4"/>
                    <w:right w:val="single" w:color="000000" w:sz="4"/>
                  </w:tcBorders>
                </w:tcP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6</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故障管理</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故障时间、影响、上报、原因、恢复、处置、报告、报警等</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 故障瞒报漏报未入台帐，1 次扣 1 分；</w:t>
                  </w:r>
                </w:p>
                <w:p>
                  <w:pPr>
                    <w:pStyle w:val="null3"/>
                    <w:jc w:val="left"/>
                  </w:pPr>
                  <w:r>
                    <w:rPr>
                      <w:rFonts w:ascii="仿宋_GB2312" w:hAnsi="仿宋_GB2312" w:cs="仿宋_GB2312" w:eastAsia="仿宋_GB2312"/>
                      <w:sz w:val="28"/>
                    </w:rPr>
                    <w:t>2. 故障记录不详、报告不准确扣 1 分</w:t>
                  </w:r>
                </w:p>
              </w:tc>
            </w:tr>
            <w:tr>
              <w:tc>
                <w:tcPr>
                  <w:tcW w:type="dxa" w:w="680"/>
                  <w:vMerge/>
                  <w:tcBorders>
                    <w:top w:val="none" w:color="000000" w:sz="4"/>
                    <w:left w:val="single" w:color="000000" w:sz="4"/>
                    <w:bottom w:val="single" w:color="000000" w:sz="4"/>
                    <w:right w:val="single" w:color="000000" w:sz="4"/>
                  </w:tcBorders>
                </w:tcP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7</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安全管理</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杀毒、加固、安全设备、策略、远程访问、防攻击、协议、预警</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 未每季度安全扫描 / 加固 / 杀毒 / 访问控制，每少 1 次扣 1 分；</w:t>
                  </w:r>
                </w:p>
                <w:p>
                  <w:pPr>
                    <w:pStyle w:val="null3"/>
                    <w:jc w:val="left"/>
                  </w:pPr>
                  <w:r>
                    <w:rPr>
                      <w:rFonts w:ascii="仿宋_GB2312" w:hAnsi="仿宋_GB2312" w:cs="仿宋_GB2312" w:eastAsia="仿宋_GB2312"/>
                      <w:sz w:val="28"/>
                    </w:rPr>
                    <w:t>2. 非法远程控制 1 次扣 1 分；3. 重大安全事故 1 次扣 1 分</w:t>
                  </w:r>
                </w:p>
              </w:tc>
            </w:tr>
            <w:tr>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客户投诉（</w:t>
                  </w:r>
                  <w:r>
                    <w:rPr>
                      <w:rFonts w:ascii="仿宋_GB2312" w:hAnsi="仿宋_GB2312" w:cs="仿宋_GB2312" w:eastAsia="仿宋_GB2312"/>
                      <w:sz w:val="28"/>
                    </w:rPr>
                    <w:t>8 分）</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投诉</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考核期内投诉情况</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8</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 有效口头 / 电话投诉 1 次扣 1 分，书面投诉 1 次扣 1 分；</w:t>
                  </w:r>
                </w:p>
                <w:p>
                  <w:pPr>
                    <w:pStyle w:val="null3"/>
                    <w:jc w:val="left"/>
                  </w:pPr>
                  <w:r>
                    <w:rPr>
                      <w:rFonts w:ascii="仿宋_GB2312" w:hAnsi="仿宋_GB2312" w:cs="仿宋_GB2312" w:eastAsia="仿宋_GB2312"/>
                      <w:sz w:val="28"/>
                    </w:rPr>
                    <w:t>2. 网信办、网监处罚 1 次扣 1 分</w:t>
                  </w:r>
                </w:p>
              </w:tc>
            </w:tr>
            <w:tr>
              <w:tc>
                <w:tcPr>
                  <w:tcW w:type="dxa" w:w="6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应急响应（</w:t>
                  </w:r>
                  <w:r>
                    <w:rPr>
                      <w:rFonts w:ascii="仿宋_GB2312" w:hAnsi="仿宋_GB2312" w:cs="仿宋_GB2312" w:eastAsia="仿宋_GB2312"/>
                      <w:sz w:val="28"/>
                    </w:rPr>
                    <w:t>16 分）</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应急响应小组</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责任分工、专业技能</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未成立应急小组扣</w:t>
                  </w:r>
                  <w:r>
                    <w:rPr>
                      <w:rFonts w:ascii="仿宋_GB2312" w:hAnsi="仿宋_GB2312" w:cs="仿宋_GB2312" w:eastAsia="仿宋_GB2312"/>
                      <w:sz w:val="28"/>
                    </w:rPr>
                    <w:t>1 分，分工不明确扣 1 分</w:t>
                  </w:r>
                </w:p>
              </w:tc>
            </w:tr>
            <w:tr>
              <w:tc>
                <w:tcPr>
                  <w:tcW w:type="dxa" w:w="680"/>
                  <w:vMerge/>
                  <w:tcBorders>
                    <w:top w:val="none" w:color="000000" w:sz="4"/>
                    <w:left w:val="single" w:color="000000" w:sz="4"/>
                    <w:bottom w:val="single" w:color="000000" w:sz="4"/>
                    <w:right w:val="single" w:color="000000" w:sz="4"/>
                  </w:tcBorders>
                </w:tcP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风险评估与改进</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日常风险评估、隐患发现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明显隐患未发现</w:t>
                  </w:r>
                  <w:r>
                    <w:rPr>
                      <w:rFonts w:ascii="仿宋_GB2312" w:hAnsi="仿宋_GB2312" w:cs="仿宋_GB2312" w:eastAsia="仿宋_GB2312"/>
                      <w:sz w:val="28"/>
                    </w:rPr>
                    <w:t>/ 解决不及时，1 次扣 1 分</w:t>
                  </w:r>
                </w:p>
              </w:tc>
            </w:tr>
            <w:tr>
              <w:tc>
                <w:tcPr>
                  <w:tcW w:type="dxa" w:w="680"/>
                  <w:vMerge/>
                  <w:tcBorders>
                    <w:top w:val="none" w:color="000000" w:sz="4"/>
                    <w:left w:val="single" w:color="000000" w:sz="4"/>
                    <w:bottom w:val="single" w:color="000000" w:sz="4"/>
                    <w:right w:val="single" w:color="000000" w:sz="4"/>
                  </w:tcBorders>
                </w:tcP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应急预案</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预案科学性、可操作性，应急知识库</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 无预案扣 1 分，不科学 / 可操作性不强扣 1 分；</w:t>
                  </w:r>
                </w:p>
                <w:p>
                  <w:pPr>
                    <w:pStyle w:val="null3"/>
                    <w:jc w:val="left"/>
                  </w:pPr>
                  <w:r>
                    <w:rPr>
                      <w:rFonts w:ascii="仿宋_GB2312" w:hAnsi="仿宋_GB2312" w:cs="仿宋_GB2312" w:eastAsia="仿宋_GB2312"/>
                      <w:sz w:val="28"/>
                    </w:rPr>
                    <w:t>2. 无应急知识库扣 0.2 分，不全面扣 1 分</w:t>
                  </w:r>
                </w:p>
              </w:tc>
            </w:tr>
            <w:tr>
              <w:tc>
                <w:tcPr>
                  <w:tcW w:type="dxa" w:w="680"/>
                  <w:vMerge/>
                  <w:tcBorders>
                    <w:top w:val="none" w:color="000000" w:sz="4"/>
                    <w:left w:val="single" w:color="000000" w:sz="4"/>
                    <w:bottom w:val="single" w:color="000000" w:sz="4"/>
                    <w:right w:val="single" w:color="000000" w:sz="4"/>
                  </w:tcBorders>
                </w:tcP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应急演练</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定期完成应急演练</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 每年缺 1 次演练扣 1 分；</w:t>
                  </w:r>
                </w:p>
                <w:p>
                  <w:pPr>
                    <w:pStyle w:val="null3"/>
                    <w:jc w:val="left"/>
                  </w:pPr>
                  <w:r>
                    <w:rPr>
                      <w:rFonts w:ascii="仿宋_GB2312" w:hAnsi="仿宋_GB2312" w:cs="仿宋_GB2312" w:eastAsia="仿宋_GB2312"/>
                      <w:sz w:val="28"/>
                    </w:rPr>
                    <w:t>2. 缺演练总结报告扣 1 分</w:t>
                  </w:r>
                </w:p>
              </w:tc>
            </w:tr>
            <w:tr>
              <w:tc>
                <w:tcPr>
                  <w:tcW w:type="dxa" w:w="680"/>
                  <w:vMerge/>
                  <w:tcBorders>
                    <w:top w:val="none" w:color="000000" w:sz="4"/>
                    <w:left w:val="single" w:color="000000" w:sz="4"/>
                    <w:bottom w:val="single" w:color="000000" w:sz="4"/>
                    <w:right w:val="single" w:color="000000" w:sz="4"/>
                  </w:tcBorders>
                </w:tcP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事件报告</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报告及时准确</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应急事件未报告</w:t>
                  </w:r>
                  <w:r>
                    <w:rPr>
                      <w:rFonts w:ascii="仿宋_GB2312" w:hAnsi="仿宋_GB2312" w:cs="仿宋_GB2312" w:eastAsia="仿宋_GB2312"/>
                      <w:sz w:val="28"/>
                    </w:rPr>
                    <w:t>1 次扣 1 分</w:t>
                  </w:r>
                </w:p>
              </w:tc>
            </w:tr>
            <w:tr>
              <w:tc>
                <w:tcPr>
                  <w:tcW w:type="dxa" w:w="6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算力调度服务（</w:t>
                  </w:r>
                  <w:r>
                    <w:rPr>
                      <w:rFonts w:ascii="仿宋_GB2312" w:hAnsi="仿宋_GB2312" w:cs="仿宋_GB2312" w:eastAsia="仿宋_GB2312"/>
                      <w:sz w:val="28"/>
                    </w:rPr>
                    <w:t>8 分）</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基础算力保障</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国产训推一体智算</w:t>
                  </w:r>
                  <w:r>
                    <w:rPr>
                      <w:rFonts w:ascii="仿宋_GB2312" w:hAnsi="仿宋_GB2312" w:cs="仿宋_GB2312" w:eastAsia="仿宋_GB2312"/>
                      <w:sz w:val="28"/>
                    </w:rPr>
                    <w:t>21P 算力稳定供给</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算力中断</w:t>
                  </w:r>
                  <w:r>
                    <w:rPr>
                      <w:rFonts w:ascii="仿宋_GB2312" w:hAnsi="仿宋_GB2312" w:cs="仿宋_GB2312" w:eastAsia="仿宋_GB2312"/>
                      <w:sz w:val="28"/>
                    </w:rPr>
                    <w:t>1 次扣 1 分，算力不达标 1 次扣 1 分，监控缺失 1 次扣 1 分</w:t>
                  </w:r>
                </w:p>
              </w:tc>
            </w:tr>
            <w:tr>
              <w:tc>
                <w:tcPr>
                  <w:tcW w:type="dxa" w:w="680"/>
                  <w:vMerge/>
                  <w:tcBorders>
                    <w:top w:val="none" w:color="000000" w:sz="4"/>
                    <w:left w:val="single" w:color="000000" w:sz="4"/>
                    <w:bottom w:val="single" w:color="000000" w:sz="4"/>
                    <w:right w:val="single" w:color="000000" w:sz="4"/>
                  </w:tcBorders>
                </w:tcP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模型推理保障</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两类模型推理</w:t>
                  </w:r>
                  <w:r>
                    <w:rPr>
                      <w:rFonts w:ascii="仿宋_GB2312" w:hAnsi="仿宋_GB2312" w:cs="仿宋_GB2312" w:eastAsia="仿宋_GB2312"/>
                      <w:sz w:val="28"/>
                    </w:rPr>
                    <w:t>TPM 包指标稳定运行</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TPM/RPM/ 并发指标不达标 1 次扣 1 分，推理故障 1 次扣 1 分</w:t>
                  </w:r>
                </w:p>
              </w:tc>
            </w:tr>
            <w:tr>
              <w:tc>
                <w:tcPr>
                  <w:tcW w:type="dxa" w:w="680"/>
                  <w:vMerge/>
                  <w:tcBorders>
                    <w:top w:val="none" w:color="000000" w:sz="4"/>
                    <w:left w:val="single" w:color="000000" w:sz="4"/>
                    <w:bottom w:val="single" w:color="000000" w:sz="4"/>
                    <w:right w:val="single" w:color="000000" w:sz="4"/>
                  </w:tcBorders>
                </w:tcP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科研助手平台</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平台服务正常、运维到位</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平台功能故障</w:t>
                  </w:r>
                  <w:r>
                    <w:rPr>
                      <w:rFonts w:ascii="仿宋_GB2312" w:hAnsi="仿宋_GB2312" w:cs="仿宋_GB2312" w:eastAsia="仿宋_GB2312"/>
                      <w:sz w:val="28"/>
                    </w:rPr>
                    <w:t>1 次扣 1 分，未开展健康检查 1 次扣 1 分</w:t>
                  </w:r>
                </w:p>
              </w:tc>
            </w:tr>
            <w:tr>
              <w:tc>
                <w:tcPr>
                  <w:tcW w:type="dxa" w:w="6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RICI 智能化内容管理系统（8 分）</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多资源纳管</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异构云纳管、资源展示、统一申请、第三方认证</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6</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平台对接失败</w:t>
                  </w:r>
                  <w:r>
                    <w:rPr>
                      <w:rFonts w:ascii="仿宋_GB2312" w:hAnsi="仿宋_GB2312" w:cs="仿宋_GB2312" w:eastAsia="仿宋_GB2312"/>
                      <w:sz w:val="28"/>
                    </w:rPr>
                    <w:t>1 次扣 1 分，资源管理功能异常 1 次扣 1 分，认证协议故障 1 次扣 1 分</w:t>
                  </w:r>
                </w:p>
              </w:tc>
            </w:tr>
            <w:tr>
              <w:tc>
                <w:tcPr>
                  <w:tcW w:type="dxa" w:w="680"/>
                  <w:vMerge/>
                  <w:tcBorders>
                    <w:top w:val="none" w:color="000000" w:sz="4"/>
                    <w:left w:val="single" w:color="000000" w:sz="4"/>
                    <w:bottom w:val="single" w:color="000000" w:sz="4"/>
                    <w:right w:val="single" w:color="000000" w:sz="4"/>
                  </w:tcBorders>
                </w:tcP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系统基础运维</w:t>
                  </w:r>
                </w:p>
              </w:tc>
              <w:tc>
                <w:tcPr>
                  <w:tcW w:type="dxa" w:w="1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RICI 系统 7×24 小时可用、运维规范</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20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系统中断</w:t>
                  </w:r>
                  <w:r>
                    <w:rPr>
                      <w:rFonts w:ascii="仿宋_GB2312" w:hAnsi="仿宋_GB2312" w:cs="仿宋_GB2312" w:eastAsia="仿宋_GB2312"/>
                      <w:sz w:val="28"/>
                    </w:rPr>
                    <w:t>1 次扣 1 分，故障处置不及时 1 次扣 1 分</w:t>
                  </w:r>
                </w:p>
              </w:tc>
            </w:tr>
          </w:tbl>
          <w:p>
            <w:pPr>
              <w:pStyle w:val="null3"/>
              <w:jc w:val="both"/>
            </w:pPr>
            <w:r>
              <w:rPr>
                <w:rFonts w:ascii="仿宋_GB2312" w:hAnsi="仿宋_GB2312" w:cs="仿宋_GB2312" w:eastAsia="仿宋_GB2312"/>
                <w:sz w:val="28"/>
              </w:rPr>
              <w:t>8.2考核结果</w:t>
            </w:r>
          </w:p>
          <w:p>
            <w:pPr>
              <w:pStyle w:val="null3"/>
              <w:ind w:firstLine="560"/>
              <w:jc w:val="both"/>
            </w:pPr>
            <w:r>
              <w:rPr>
                <w:rFonts w:ascii="仿宋_GB2312" w:hAnsi="仿宋_GB2312" w:cs="仿宋_GB2312" w:eastAsia="仿宋_GB2312"/>
                <w:sz w:val="28"/>
              </w:rPr>
              <w:t>根据考核结果对上一年的考核结果进行应用，</w:t>
            </w:r>
            <w:r>
              <w:rPr>
                <w:rFonts w:ascii="仿宋_GB2312" w:hAnsi="仿宋_GB2312" w:cs="仿宋_GB2312" w:eastAsia="仿宋_GB2312"/>
                <w:sz w:val="28"/>
              </w:rPr>
              <w:t>考核分数</w:t>
            </w:r>
            <w:r>
              <w:rPr>
                <w:rFonts w:ascii="仿宋_GB2312" w:hAnsi="仿宋_GB2312" w:cs="仿宋_GB2312" w:eastAsia="仿宋_GB2312"/>
                <w:sz w:val="28"/>
              </w:rPr>
              <w:t>≥90分，不进行扣款处理。考核分数在80(含)-90分之间，每低于90分1分，</w:t>
            </w:r>
            <w:r>
              <w:rPr>
                <w:rFonts w:ascii="仿宋_GB2312" w:hAnsi="仿宋_GB2312" w:cs="仿宋_GB2312" w:eastAsia="仿宋_GB2312"/>
                <w:sz w:val="28"/>
              </w:rPr>
              <w:t>每扣一分扣除服务费伍仟元</w:t>
            </w:r>
            <w:r>
              <w:rPr>
                <w:rFonts w:ascii="仿宋_GB2312" w:hAnsi="仿宋_GB2312" w:cs="仿宋_GB2312" w:eastAsia="仿宋_GB2312"/>
                <w:sz w:val="28"/>
              </w:rPr>
              <w:t>；考核分数在</w:t>
            </w:r>
            <w:r>
              <w:rPr>
                <w:rFonts w:ascii="仿宋_GB2312" w:hAnsi="仿宋_GB2312" w:cs="仿宋_GB2312" w:eastAsia="仿宋_GB2312"/>
                <w:sz w:val="28"/>
              </w:rPr>
              <w:t>60(含)-80分之间，每低于80分1分，</w:t>
            </w:r>
            <w:r>
              <w:rPr>
                <w:rFonts w:ascii="仿宋_GB2312" w:hAnsi="仿宋_GB2312" w:cs="仿宋_GB2312" w:eastAsia="仿宋_GB2312"/>
                <w:sz w:val="28"/>
              </w:rPr>
              <w:t>每扣一分扣除服务费壹万元</w:t>
            </w:r>
            <w:r>
              <w:rPr>
                <w:rFonts w:ascii="仿宋_GB2312" w:hAnsi="仿宋_GB2312" w:cs="仿宋_GB2312" w:eastAsia="仿宋_GB2312"/>
                <w:sz w:val="28"/>
              </w:rPr>
              <w:t>；考核分数在</w:t>
            </w:r>
            <w:r>
              <w:rPr>
                <w:rFonts w:ascii="仿宋_GB2312" w:hAnsi="仿宋_GB2312" w:cs="仿宋_GB2312" w:eastAsia="仿宋_GB2312"/>
                <w:sz w:val="28"/>
              </w:rPr>
              <w:t>60分以下，可评估为中标人不合格</w:t>
            </w:r>
            <w:r>
              <w:rPr>
                <w:rFonts w:ascii="仿宋_GB2312" w:hAnsi="仿宋_GB2312" w:cs="仿宋_GB2312" w:eastAsia="仿宋_GB2312"/>
                <w:sz w:val="28"/>
              </w:rPr>
              <w:t>。</w:t>
            </w:r>
            <w:r>
              <w:rPr>
                <w:rFonts w:ascii="仿宋_GB2312" w:hAnsi="仿宋_GB2312" w:cs="仿宋_GB2312" w:eastAsia="仿宋_GB2312"/>
                <w:sz w:val="28"/>
              </w:rPr>
              <w:t>给予</w:t>
            </w:r>
            <w:r>
              <w:rPr>
                <w:rFonts w:ascii="仿宋_GB2312" w:hAnsi="仿宋_GB2312" w:cs="仿宋_GB2312" w:eastAsia="仿宋_GB2312"/>
                <w:sz w:val="28"/>
              </w:rPr>
              <w:t>每低于</w:t>
            </w:r>
            <w:r>
              <w:rPr>
                <w:rFonts w:ascii="仿宋_GB2312" w:hAnsi="仿宋_GB2312" w:cs="仿宋_GB2312" w:eastAsia="仿宋_GB2312"/>
                <w:sz w:val="28"/>
              </w:rPr>
              <w:t>6</w:t>
            </w:r>
            <w:r>
              <w:rPr>
                <w:rFonts w:ascii="仿宋_GB2312" w:hAnsi="仿宋_GB2312" w:cs="仿宋_GB2312" w:eastAsia="仿宋_GB2312"/>
                <w:sz w:val="28"/>
              </w:rPr>
              <w:t>0分1分，</w:t>
            </w:r>
            <w:r>
              <w:rPr>
                <w:rFonts w:ascii="仿宋_GB2312" w:hAnsi="仿宋_GB2312" w:cs="仿宋_GB2312" w:eastAsia="仿宋_GB2312"/>
                <w:sz w:val="28"/>
              </w:rPr>
              <w:t>每扣一分扣除服务费贰万元。整改期限为三个月，整改完毕需提供相应整改报告。供应商拒不整改或整改后仍不能合格的，采购人有权解除合同。</w:t>
            </w:r>
          </w:p>
          <w:p>
            <w:pPr>
              <w:pStyle w:val="null3"/>
              <w:jc w:val="left"/>
            </w:pPr>
            <w:r>
              <w:rPr>
                <w:rFonts w:ascii="仿宋_GB2312" w:hAnsi="仿宋_GB2312" w:cs="仿宋_GB2312" w:eastAsia="仿宋_GB2312"/>
                <w:sz w:val="28"/>
              </w:rPr>
              <w:t>针对本次考核所涉及的扣款事项，采购人出具本确认书。确认书中应明确载明供应商在本次考核中的扣分事项。供应商对考核结果、扣分事件或责任认定存在异议的，应在</w:t>
            </w:r>
            <w:r>
              <w:rPr>
                <w:rFonts w:ascii="仿宋_GB2312" w:hAnsi="仿宋_GB2312" w:cs="仿宋_GB2312" w:eastAsia="仿宋_GB2312"/>
                <w:sz w:val="28"/>
              </w:rPr>
              <w:t>3日内以书面形式向采购人提出复核申请，并提供相关佐证材料。采购人收到复核申请后，按约定程序开展核查，并将核查结论书面反馈供应商。复核期间不停止考核流程的正常推进，核查终结后以最终复核结论作为考核生效依据。</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outlineLvl w:val="3"/>
            </w:pPr>
            <w:r>
              <w:rPr>
                <w:rFonts w:ascii="仿宋_GB2312" w:hAnsi="仿宋_GB2312" w:cs="仿宋_GB2312" w:eastAsia="仿宋_GB2312"/>
                <w:sz w:val="28"/>
                <w:b/>
              </w:rPr>
              <w:t>★1.服务团队要求</w:t>
            </w:r>
          </w:p>
          <w:p>
            <w:pPr>
              <w:pStyle w:val="null3"/>
              <w:ind w:firstLine="480"/>
              <w:jc w:val="left"/>
            </w:pPr>
            <w:r>
              <w:rPr>
                <w:rFonts w:ascii="仿宋_GB2312" w:hAnsi="仿宋_GB2312" w:cs="仿宋_GB2312" w:eastAsia="仿宋_GB2312"/>
                <w:sz w:val="28"/>
              </w:rPr>
              <w:t>1.1供应商须针对本项目提供不少于8人的服务团队，且严格按照投标文件载明的项目团队人员组织开展本项目工作。</w:t>
            </w:r>
          </w:p>
          <w:p>
            <w:pPr>
              <w:pStyle w:val="null3"/>
              <w:ind w:firstLine="480"/>
              <w:jc w:val="left"/>
            </w:pPr>
            <w:r>
              <w:rPr>
                <w:rFonts w:ascii="仿宋_GB2312" w:hAnsi="仿宋_GB2312" w:cs="仿宋_GB2312" w:eastAsia="仿宋_GB2312"/>
                <w:sz w:val="28"/>
              </w:rPr>
              <w:t>1.2投入本项目的所有工作人员应恪守职业道德、廉洁自律，自觉接受采购人的监督、指导和统一管理。未经采购人书面同意，供应商不得擅自更换服务人员。</w:t>
            </w:r>
          </w:p>
          <w:p>
            <w:pPr>
              <w:pStyle w:val="null3"/>
              <w:ind w:firstLine="480"/>
              <w:jc w:val="left"/>
            </w:pPr>
            <w:r>
              <w:rPr>
                <w:rFonts w:ascii="仿宋_GB2312" w:hAnsi="仿宋_GB2312" w:cs="仿宋_GB2312" w:eastAsia="仿宋_GB2312"/>
                <w:sz w:val="28"/>
              </w:rPr>
              <w:t>★2.保密要求：在项目实施期间,从采购人获取的任何资料和重要信息，均有保密责任。未经采购人事先书面授权，不得以任何方式向任何其他组织或个人泄露、转让、许可使用、交换、赠与或与任何组织或个人共同使用或不正当使用。</w:t>
            </w:r>
          </w:p>
          <w:p>
            <w:pPr>
              <w:pStyle w:val="null3"/>
              <w:ind w:firstLine="480"/>
              <w:jc w:val="left"/>
            </w:pPr>
            <w:r>
              <w:rPr>
                <w:rFonts w:ascii="仿宋_GB2312" w:hAnsi="仿宋_GB2312" w:cs="仿宋_GB2312" w:eastAsia="仿宋_GB2312"/>
                <w:sz w:val="28"/>
              </w:rPr>
              <w:t>3.提供培训服务，定期或不定期对采购人以及各相关部门组织操作指导和培训。</w:t>
            </w:r>
          </w:p>
          <w:p>
            <w:pPr>
              <w:pStyle w:val="null3"/>
              <w:ind w:firstLine="480"/>
              <w:jc w:val="left"/>
            </w:pPr>
            <w:r>
              <w:rPr>
                <w:rFonts w:ascii="仿宋_GB2312" w:hAnsi="仿宋_GB2312" w:cs="仿宋_GB2312" w:eastAsia="仿宋_GB2312"/>
                <w:sz w:val="28"/>
              </w:rPr>
              <w:t>★4.本项目定制化软件的版权归采购人所有，中标供应商保证所开发定制化软件不侵犯任何第三方知识产权，若因此引发第三方索赔，全部责任由中标供应商承担。</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5.中标供应商应根据本项目实际建设及应用需求，提供与第三方系统或平台的对接服务，包括接口开发、调试、适配等相关工作，确保对接功能正常实现，不额外收取任何对接相关费用，保障项目整体功能连贯性。</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6.</w:t>
            </w:r>
            <w:r>
              <w:rPr>
                <w:rFonts w:ascii="仿宋_GB2312" w:hAnsi="仿宋_GB2312" w:cs="仿宋_GB2312" w:eastAsia="仿宋_GB2312"/>
                <w:sz w:val="28"/>
              </w:rPr>
              <w:t>本项目在建设、运营及服务过程中产生的全部数据资产，均归采购人所有，中标供应商仅可在本项目服务范围内合理使用相关数据，不得擅自泄露、篡改、转让或用于本项目以外的其他用途，严格遵守数据资产管理相关规定。</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7.</w:t>
            </w:r>
            <w:r>
              <w:rPr>
                <w:rFonts w:ascii="仿宋_GB2312" w:hAnsi="仿宋_GB2312" w:cs="仿宋_GB2312" w:eastAsia="仿宋_GB2312"/>
                <w:sz w:val="28"/>
              </w:rPr>
              <w:t>报价要求</w:t>
            </w:r>
          </w:p>
          <w:p>
            <w:pPr>
              <w:pStyle w:val="null3"/>
              <w:ind w:firstLine="560"/>
              <w:jc w:val="both"/>
            </w:pPr>
            <w:r>
              <w:rPr>
                <w:rFonts w:ascii="仿宋_GB2312" w:hAnsi="仿宋_GB2312" w:cs="仿宋_GB2312" w:eastAsia="仿宋_GB2312"/>
                <w:sz w:val="28"/>
              </w:rPr>
              <w:t>7.1 供应商提交的投标报价，为完成本项目全部采购内容、满足全部采购需求及履约要求的最终固定总价报价，报价一经提交并中标后，合同履行期间总价不作任何调整，采购人不接受任何形式的临时加价、费用增补及调价申请。</w:t>
            </w:r>
          </w:p>
          <w:p>
            <w:pPr>
              <w:pStyle w:val="null3"/>
              <w:ind w:firstLine="560"/>
              <w:jc w:val="both"/>
            </w:pPr>
            <w:r>
              <w:rPr>
                <w:rFonts w:ascii="仿宋_GB2312" w:hAnsi="仿宋_GB2312" w:cs="仿宋_GB2312" w:eastAsia="仿宋_GB2312"/>
                <w:sz w:val="28"/>
              </w:rPr>
              <w:t>7.2 本项目固定总价报价为全费用包干价，应包含完成本项目全流程工作所需的全部相关费用，全面覆盖项目实施部署、成果交付、合规验收、后续运营保障、技术支持、售后服务、人员、设备、耗材、税费等全部环节的一切成本支出。同时，本报价须全额包含2025年3月起至项目正式移交运营期间，为保障项目业务连续性、数据安全性、系统可用性所产生的全部过渡性费用，具体包括：IDC机房托管服务费、网络专线使用费、大数据中心五里梁展示区信息化相关费用、IP地址备案相关费用、资源计算与大数据平台服务费用。上述过渡费用为项目履约必备支出，纳入项目全生命周期成本范畴，统一计入本次投标总价，采购人不单独列支、不额外支付。</w:t>
            </w:r>
          </w:p>
          <w:p>
            <w:pPr>
              <w:pStyle w:val="null3"/>
              <w:ind w:firstLine="560"/>
              <w:jc w:val="both"/>
            </w:pPr>
            <w:r>
              <w:rPr>
                <w:rFonts w:ascii="仿宋_GB2312" w:hAnsi="仿宋_GB2312" w:cs="仿宋_GB2312" w:eastAsia="仿宋_GB2312"/>
                <w:sz w:val="28"/>
              </w:rPr>
              <w:t>7.3 除本项目采购文件明确约定的内容外，采购人不再为本项目支付任何其他费用、补偿金或补贴，供应商应充分调研项目现状、预判履约全周期各类成本与风险，自主完成报价测算。</w:t>
            </w:r>
          </w:p>
          <w:p>
            <w:pPr>
              <w:pStyle w:val="null3"/>
              <w:ind w:firstLine="560"/>
              <w:jc w:val="both"/>
            </w:pPr>
            <w:r>
              <w:rPr>
                <w:rFonts w:ascii="仿宋_GB2312" w:hAnsi="仿宋_GB2312" w:cs="仿宋_GB2312" w:eastAsia="仿宋_GB2312"/>
                <w:sz w:val="28"/>
              </w:rPr>
              <w:t>供应商应自行对项目需求、现场条件、过渡阶段支出、服务范围等进行全面核实，谨慎编制投标报价。若因供应商自身原因，出现报价估算错误、漏项、漏算过渡期间及断档期费用、未全面预判市场价格波动、对采购文件理解偏差等情况，导致履约过程中产生成本增加、经济损失或履约纠纷，相关责任与全部额外费用均由供应商自行承担，采购人不予承担任何补偿或增补责任。</w:t>
            </w:r>
          </w:p>
          <w:p>
            <w:pPr>
              <w:pStyle w:val="null3"/>
              <w:ind w:firstLine="560"/>
              <w:jc w:val="both"/>
            </w:pPr>
            <w:r>
              <w:rPr>
                <w:rFonts w:ascii="仿宋_GB2312" w:hAnsi="仿宋_GB2312" w:cs="仿宋_GB2312" w:eastAsia="仿宋_GB2312"/>
                <w:sz w:val="28"/>
              </w:rPr>
              <w:t>★8.安全责任</w:t>
            </w:r>
          </w:p>
          <w:p>
            <w:pPr>
              <w:pStyle w:val="null3"/>
              <w:jc w:val="left"/>
            </w:pPr>
            <w:r>
              <w:rPr>
                <w:rFonts w:ascii="仿宋_GB2312" w:hAnsi="仿宋_GB2312" w:cs="仿宋_GB2312" w:eastAsia="仿宋_GB2312"/>
                <w:sz w:val="28"/>
              </w:rPr>
              <w:t>在服务期内服务人员发生劳务、安全生产等方面的纠纷和争议的，供应商全面承担纠纷和争议的处理义务。合同期内发生人身安全及其它所有事故（包括其聘用的所有工作人员劳动用工安全事故、因操作不规范等因素造成的安全责任事故等），一切由供应商自身原因导致的安全事故责任、法律责任和赔偿责任均由供应商负责。</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标的名称：监理服务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outlineLvl w:val="1"/>
            </w:pPr>
            <w:r>
              <w:rPr>
                <w:rFonts w:ascii="仿宋_GB2312" w:hAnsi="仿宋_GB2312" w:cs="仿宋_GB2312" w:eastAsia="仿宋_GB2312"/>
                <w:sz w:val="28"/>
                <w:b/>
              </w:rPr>
              <w:t>一</w:t>
            </w:r>
            <w:r>
              <w:rPr>
                <w:rFonts w:ascii="仿宋_GB2312" w:hAnsi="仿宋_GB2312" w:cs="仿宋_GB2312" w:eastAsia="仿宋_GB2312"/>
                <w:sz w:val="28"/>
                <w:b/>
              </w:rPr>
              <w:t>、项目概述</w:t>
            </w:r>
          </w:p>
          <w:p>
            <w:pPr>
              <w:pStyle w:val="null3"/>
              <w:ind w:firstLine="560"/>
              <w:jc w:val="both"/>
            </w:pPr>
            <w:r>
              <w:rPr>
                <w:rFonts w:ascii="仿宋_GB2312" w:hAnsi="仿宋_GB2312" w:cs="仿宋_GB2312" w:eastAsia="仿宋_GB2312"/>
                <w:sz w:val="28"/>
              </w:rPr>
              <w:t>对中国科技城大数据中心运营服务项目进行监理，</w:t>
            </w:r>
            <w:r>
              <w:rPr>
                <w:rFonts w:ascii="仿宋_GB2312" w:hAnsi="仿宋_GB2312" w:cs="仿宋_GB2312" w:eastAsia="仿宋_GB2312"/>
                <w:sz w:val="28"/>
              </w:rPr>
              <w:t>对前期准备阶段、实施阶段、</w:t>
            </w:r>
            <w:r>
              <w:rPr>
                <w:rFonts w:ascii="仿宋_GB2312" w:hAnsi="仿宋_GB2312" w:cs="仿宋_GB2312" w:eastAsia="仿宋_GB2312"/>
                <w:sz w:val="28"/>
              </w:rPr>
              <w:t>运维阶段</w:t>
            </w:r>
            <w:r>
              <w:rPr>
                <w:rFonts w:ascii="仿宋_GB2312" w:hAnsi="仿宋_GB2312" w:cs="仿宋_GB2312" w:eastAsia="仿宋_GB2312"/>
                <w:sz w:val="28"/>
              </w:rPr>
              <w:t>开展质量控制、进度控制、投资控制、合同管理、文档资料管理、项目协调等工作，结合项目实际情况编制详细运维监理方案或细则，综合考虑机房安全设备、网络设备和基础环境运维情况，配备有针对性的人员，按照运维监理方案实施监理工作。运维监理应遵循如下标准：</w:t>
            </w:r>
          </w:p>
          <w:p>
            <w:pPr>
              <w:pStyle w:val="null3"/>
              <w:ind w:firstLine="560"/>
              <w:jc w:val="both"/>
            </w:pPr>
            <w:r>
              <w:rPr>
                <w:rFonts w:ascii="仿宋_GB2312" w:hAnsi="仿宋_GB2312" w:cs="仿宋_GB2312" w:eastAsia="仿宋_GB2312"/>
                <w:sz w:val="28"/>
              </w:rPr>
              <w:t>1.GB/T 19668.1-2014 信息技术服务 监理 第1部分：总则；</w:t>
            </w:r>
          </w:p>
          <w:p>
            <w:pPr>
              <w:pStyle w:val="null3"/>
              <w:ind w:firstLine="560"/>
              <w:jc w:val="both"/>
            </w:pPr>
            <w:r>
              <w:rPr>
                <w:rFonts w:ascii="仿宋_GB2312" w:hAnsi="仿宋_GB2312" w:cs="仿宋_GB2312" w:eastAsia="仿宋_GB2312"/>
                <w:sz w:val="28"/>
              </w:rPr>
              <w:t>2.GB/T 19668.2-2017信息技术服务 监理 第2部分：基础设施工程监理规范；</w:t>
            </w:r>
          </w:p>
          <w:p>
            <w:pPr>
              <w:pStyle w:val="null3"/>
              <w:ind w:firstLine="560"/>
              <w:jc w:val="both"/>
            </w:pPr>
            <w:r>
              <w:rPr>
                <w:rFonts w:ascii="仿宋_GB2312" w:hAnsi="仿宋_GB2312" w:cs="仿宋_GB2312" w:eastAsia="仿宋_GB2312"/>
                <w:sz w:val="28"/>
              </w:rPr>
              <w:t>3.GB/T 19668.3-2017 信息技术服务 监理 第3部分：运行维护监理规范；</w:t>
            </w:r>
          </w:p>
          <w:p>
            <w:pPr>
              <w:pStyle w:val="null3"/>
              <w:ind w:firstLine="560"/>
              <w:jc w:val="both"/>
            </w:pPr>
            <w:r>
              <w:rPr>
                <w:rFonts w:ascii="仿宋_GB2312" w:hAnsi="仿宋_GB2312" w:cs="仿宋_GB2312" w:eastAsia="仿宋_GB2312"/>
                <w:sz w:val="28"/>
              </w:rPr>
              <w:t>4.GB/T 19668.4-2017 信息技术服务 监理 第4部分：信息安全监理规范。</w:t>
            </w:r>
          </w:p>
          <w:p>
            <w:pPr>
              <w:pStyle w:val="null3"/>
              <w:ind w:firstLine="482"/>
              <w:jc w:val="both"/>
            </w:pPr>
            <w:r>
              <w:rPr>
                <w:rFonts w:ascii="仿宋_GB2312" w:hAnsi="仿宋_GB2312" w:cs="仿宋_GB2312" w:eastAsia="仿宋_GB2312"/>
                <w:sz w:val="28"/>
                <w:b/>
              </w:rPr>
              <w:t>★二</w:t>
            </w:r>
            <w:r>
              <w:rPr>
                <w:rFonts w:ascii="仿宋_GB2312" w:hAnsi="仿宋_GB2312" w:cs="仿宋_GB2312" w:eastAsia="仿宋_GB2312"/>
                <w:sz w:val="28"/>
                <w:b/>
              </w:rPr>
              <w:t>、监理服务内容</w:t>
            </w:r>
            <w:r>
              <w:rPr>
                <w:rFonts w:ascii="仿宋_GB2312" w:hAnsi="仿宋_GB2312" w:cs="仿宋_GB2312" w:eastAsia="仿宋_GB2312"/>
                <w:sz w:val="28"/>
                <w:b/>
              </w:rPr>
              <w:t>和</w:t>
            </w:r>
            <w:r>
              <w:rPr>
                <w:rFonts w:ascii="仿宋_GB2312" w:hAnsi="仿宋_GB2312" w:cs="仿宋_GB2312" w:eastAsia="仿宋_GB2312"/>
                <w:sz w:val="28"/>
                <w:b/>
              </w:rPr>
              <w:t>要求</w:t>
            </w:r>
          </w:p>
          <w:p>
            <w:pPr>
              <w:pStyle w:val="null3"/>
              <w:ind w:firstLine="552"/>
              <w:jc w:val="both"/>
            </w:pPr>
            <w:r>
              <w:rPr>
                <w:rFonts w:ascii="仿宋_GB2312" w:hAnsi="仿宋_GB2312" w:cs="仿宋_GB2312" w:eastAsia="仿宋_GB2312"/>
                <w:sz w:val="28"/>
              </w:rPr>
              <w:t>监理人员严格按照</w:t>
            </w:r>
            <w:r>
              <w:rPr>
                <w:rFonts w:ascii="仿宋_GB2312" w:hAnsi="仿宋_GB2312" w:cs="仿宋_GB2312" w:eastAsia="仿宋_GB2312"/>
                <w:sz w:val="28"/>
              </w:rPr>
              <w:t>采</w:t>
            </w:r>
            <w:r>
              <w:rPr>
                <w:rFonts w:ascii="仿宋_GB2312" w:hAnsi="仿宋_GB2312" w:cs="仿宋_GB2312" w:eastAsia="仿宋_GB2312"/>
                <w:sz w:val="28"/>
              </w:rPr>
              <w:t>购人</w:t>
            </w:r>
            <w:r>
              <w:rPr>
                <w:rFonts w:ascii="仿宋_GB2312" w:hAnsi="仿宋_GB2312" w:cs="仿宋_GB2312" w:eastAsia="仿宋_GB2312"/>
                <w:sz w:val="28"/>
              </w:rPr>
              <w:t>与运维单位签订的合同、本项目合同、信息系统监理规范及计算机技术相关国家标准开展监理工作。应结合各项目的特点编制运维监理方案并报</w:t>
            </w:r>
            <w:r>
              <w:rPr>
                <w:rFonts w:ascii="仿宋_GB2312" w:hAnsi="仿宋_GB2312" w:cs="仿宋_GB2312" w:eastAsia="仿宋_GB2312"/>
                <w:sz w:val="28"/>
              </w:rPr>
              <w:t>采购人</w:t>
            </w:r>
            <w:r>
              <w:rPr>
                <w:rFonts w:ascii="仿宋_GB2312" w:hAnsi="仿宋_GB2312" w:cs="仿宋_GB2312" w:eastAsia="仿宋_GB2312"/>
                <w:sz w:val="28"/>
              </w:rPr>
              <w:t>审核。响应人应综合考虑项目实际情况，监理团队应具备</w:t>
            </w:r>
            <w:r>
              <w:rPr>
                <w:rFonts w:ascii="仿宋_GB2312" w:hAnsi="仿宋_GB2312" w:cs="仿宋_GB2312" w:eastAsia="仿宋_GB2312"/>
                <w:sz w:val="28"/>
              </w:rPr>
              <w:t>机房安全设备、网络设备和基础环境运维</w:t>
            </w:r>
            <w:r>
              <w:rPr>
                <w:rFonts w:ascii="仿宋_GB2312" w:hAnsi="仿宋_GB2312" w:cs="仿宋_GB2312" w:eastAsia="仿宋_GB2312"/>
                <w:sz w:val="28"/>
              </w:rPr>
              <w:t>服务监理能力。监理人员协助确定各系统运行维护的子项任务和具体服务要求，促使运维实施单位落实执行，并站在第三方立场对运维情况和效果进行考核评估，为项目验收提供依据。具体监理服务内容和重点运维内容监理工作要求如下：</w:t>
            </w:r>
          </w:p>
          <w:p>
            <w:pPr>
              <w:pStyle w:val="null3"/>
              <w:ind w:firstLine="554"/>
              <w:jc w:val="both"/>
            </w:pPr>
            <w:r>
              <w:rPr>
                <w:rFonts w:ascii="仿宋_GB2312" w:hAnsi="仿宋_GB2312" w:cs="仿宋_GB2312" w:eastAsia="仿宋_GB2312"/>
                <w:sz w:val="28"/>
                <w:b/>
              </w:rPr>
              <w:t>（一）运行维护监理内容</w:t>
            </w:r>
          </w:p>
          <w:p>
            <w:pPr>
              <w:pStyle w:val="null3"/>
              <w:ind w:firstLine="554"/>
              <w:jc w:val="both"/>
            </w:pPr>
            <w:r>
              <w:rPr>
                <w:rFonts w:ascii="仿宋_GB2312" w:hAnsi="仿宋_GB2312" w:cs="仿宋_GB2312" w:eastAsia="仿宋_GB2312"/>
                <w:sz w:val="28"/>
                <w:b/>
              </w:rPr>
              <w:t>1.前期准备阶段监理</w:t>
            </w:r>
          </w:p>
          <w:p>
            <w:pPr>
              <w:pStyle w:val="null3"/>
              <w:ind w:firstLine="552"/>
              <w:jc w:val="both"/>
            </w:pPr>
            <w:r>
              <w:rPr>
                <w:rFonts w:ascii="仿宋_GB2312" w:hAnsi="仿宋_GB2312" w:cs="仿宋_GB2312" w:eastAsia="仿宋_GB2312"/>
                <w:sz w:val="28"/>
              </w:rPr>
              <w:t>协助明确运行维护的主要任务和服务标准；协助编制运维服务方案满足运行维护需求；协助</w:t>
            </w:r>
            <w:r>
              <w:rPr>
                <w:rFonts w:ascii="仿宋_GB2312" w:hAnsi="仿宋_GB2312" w:cs="仿宋_GB2312" w:eastAsia="仿宋_GB2312"/>
                <w:sz w:val="28"/>
              </w:rPr>
              <w:t>采购人</w:t>
            </w:r>
            <w:r>
              <w:rPr>
                <w:rFonts w:ascii="仿宋_GB2312" w:hAnsi="仿宋_GB2312" w:cs="仿宋_GB2312" w:eastAsia="仿宋_GB2312"/>
                <w:sz w:val="28"/>
              </w:rPr>
              <w:t>与运维单位签署运行维护合同和</w:t>
            </w:r>
            <w:r>
              <w:rPr>
                <w:rFonts w:ascii="仿宋_GB2312" w:hAnsi="仿宋_GB2312" w:cs="仿宋_GB2312" w:eastAsia="仿宋_GB2312"/>
                <w:sz w:val="28"/>
              </w:rPr>
              <w:t>SLA，审核合同条款和SLA内容；在运行维护人员、资源、技术和过程方面向</w:t>
            </w:r>
            <w:r>
              <w:rPr>
                <w:rFonts w:ascii="仿宋_GB2312" w:hAnsi="仿宋_GB2312" w:cs="仿宋_GB2312" w:eastAsia="仿宋_GB2312"/>
                <w:sz w:val="28"/>
              </w:rPr>
              <w:t>采购人</w:t>
            </w:r>
            <w:r>
              <w:rPr>
                <w:rFonts w:ascii="仿宋_GB2312" w:hAnsi="仿宋_GB2312" w:cs="仿宋_GB2312" w:eastAsia="仿宋_GB2312"/>
                <w:sz w:val="28"/>
              </w:rPr>
              <w:t>提供咨询服务。</w:t>
            </w:r>
          </w:p>
          <w:p>
            <w:pPr>
              <w:pStyle w:val="null3"/>
              <w:ind w:firstLine="554"/>
              <w:jc w:val="both"/>
            </w:pPr>
            <w:r>
              <w:rPr>
                <w:rFonts w:ascii="仿宋_GB2312" w:hAnsi="仿宋_GB2312" w:cs="仿宋_GB2312" w:eastAsia="仿宋_GB2312"/>
                <w:sz w:val="28"/>
                <w:b/>
              </w:rPr>
              <w:t>2.实施阶段监理</w:t>
            </w:r>
          </w:p>
          <w:p>
            <w:pPr>
              <w:pStyle w:val="null3"/>
              <w:ind w:firstLine="552"/>
              <w:jc w:val="both"/>
            </w:pPr>
            <w:r>
              <w:rPr>
                <w:rFonts w:ascii="仿宋_GB2312" w:hAnsi="仿宋_GB2312" w:cs="仿宋_GB2312" w:eastAsia="仿宋_GB2312"/>
                <w:sz w:val="28"/>
              </w:rPr>
              <w:t>依据服务目录及</w:t>
            </w:r>
            <w:r>
              <w:rPr>
                <w:rFonts w:ascii="仿宋_GB2312" w:hAnsi="仿宋_GB2312" w:cs="仿宋_GB2312" w:eastAsia="仿宋_GB2312"/>
                <w:sz w:val="28"/>
              </w:rPr>
              <w:t>SLA，协助对</w:t>
            </w:r>
            <w:r>
              <w:rPr>
                <w:rFonts w:ascii="仿宋_GB2312" w:hAnsi="仿宋_GB2312" w:cs="仿宋_GB2312" w:eastAsia="仿宋_GB2312"/>
                <w:sz w:val="28"/>
              </w:rPr>
              <w:t>采购人</w:t>
            </w:r>
            <w:r>
              <w:rPr>
                <w:rFonts w:ascii="仿宋_GB2312" w:hAnsi="仿宋_GB2312" w:cs="仿宋_GB2312" w:eastAsia="仿宋_GB2312"/>
                <w:sz w:val="28"/>
              </w:rPr>
              <w:t>单位的运行维护活动进行质量、进度、投资和安全控制；协助对运维单位的运行维护活动及合同、文档资料、配置、应急和效能进行管理。</w:t>
            </w:r>
          </w:p>
          <w:p>
            <w:pPr>
              <w:pStyle w:val="null3"/>
              <w:ind w:firstLine="554"/>
              <w:jc w:val="both"/>
            </w:pPr>
            <w:r>
              <w:rPr>
                <w:rFonts w:ascii="仿宋_GB2312" w:hAnsi="仿宋_GB2312" w:cs="仿宋_GB2312" w:eastAsia="仿宋_GB2312"/>
                <w:sz w:val="28"/>
                <w:b/>
              </w:rPr>
              <w:t>（</w:t>
            </w:r>
            <w:r>
              <w:rPr>
                <w:rFonts w:ascii="仿宋_GB2312" w:hAnsi="仿宋_GB2312" w:cs="仿宋_GB2312" w:eastAsia="仿宋_GB2312"/>
                <w:sz w:val="28"/>
                <w:b/>
              </w:rPr>
              <w:t>1）质量控制</w:t>
            </w:r>
          </w:p>
          <w:p>
            <w:pPr>
              <w:pStyle w:val="null3"/>
              <w:ind w:firstLine="552"/>
              <w:jc w:val="both"/>
            </w:pPr>
            <w:r>
              <w:rPr>
                <w:rFonts w:ascii="仿宋_GB2312" w:hAnsi="仿宋_GB2312" w:cs="仿宋_GB2312" w:eastAsia="仿宋_GB2312"/>
                <w:sz w:val="28"/>
              </w:rPr>
              <w:t>督促运维单位建立运维质量保证体系；以运维合同、</w:t>
            </w:r>
            <w:r>
              <w:rPr>
                <w:rFonts w:ascii="仿宋_GB2312" w:hAnsi="仿宋_GB2312" w:cs="仿宋_GB2312" w:eastAsia="仿宋_GB2312"/>
                <w:sz w:val="28"/>
              </w:rPr>
              <w:t>SLA为依据，监督运维质量体系的落实及日常运维行为；针对运维过程中的关键事件（至少包括设备配置调整、设备报警处置、故障设备更换、安全策略升级）进行重点控制；督促运维单位开展巡检，抽查相关记录；检查备品备件的准备情况；对运维质量进行考核和评估；对运维过程中测试实施质量进行审查。</w:t>
            </w:r>
          </w:p>
          <w:p>
            <w:pPr>
              <w:pStyle w:val="null3"/>
              <w:ind w:firstLine="554"/>
              <w:jc w:val="both"/>
            </w:pPr>
            <w:r>
              <w:rPr>
                <w:rFonts w:ascii="仿宋_GB2312" w:hAnsi="仿宋_GB2312" w:cs="仿宋_GB2312" w:eastAsia="仿宋_GB2312"/>
                <w:sz w:val="28"/>
                <w:b/>
              </w:rPr>
              <w:t>（</w:t>
            </w:r>
            <w:r>
              <w:rPr>
                <w:rFonts w:ascii="仿宋_GB2312" w:hAnsi="仿宋_GB2312" w:cs="仿宋_GB2312" w:eastAsia="仿宋_GB2312"/>
                <w:sz w:val="28"/>
                <w:b/>
              </w:rPr>
              <w:t>2）进度控制</w:t>
            </w:r>
          </w:p>
          <w:p>
            <w:pPr>
              <w:pStyle w:val="null3"/>
              <w:ind w:firstLine="552"/>
              <w:jc w:val="both"/>
            </w:pPr>
            <w:r>
              <w:rPr>
                <w:rFonts w:ascii="仿宋_GB2312" w:hAnsi="仿宋_GB2312" w:cs="仿宋_GB2312" w:eastAsia="仿宋_GB2312"/>
                <w:sz w:val="28"/>
              </w:rPr>
              <w:t>对运维单位的整体运行维护计划进行审核；根据进度计划设置关键进度检查点；对进度检查点进行审核，发现偏差时组织</w:t>
            </w:r>
            <w:r>
              <w:rPr>
                <w:rFonts w:ascii="仿宋_GB2312" w:hAnsi="仿宋_GB2312" w:cs="仿宋_GB2312" w:eastAsia="仿宋_GB2312"/>
                <w:sz w:val="28"/>
              </w:rPr>
              <w:t>采购人</w:t>
            </w:r>
            <w:r>
              <w:rPr>
                <w:rFonts w:ascii="仿宋_GB2312" w:hAnsi="仿宋_GB2312" w:cs="仿宋_GB2312" w:eastAsia="仿宋_GB2312"/>
                <w:sz w:val="28"/>
              </w:rPr>
              <w:t>、运维单位进行会商，修正进度计划。</w:t>
            </w:r>
          </w:p>
          <w:p>
            <w:pPr>
              <w:pStyle w:val="null3"/>
              <w:ind w:firstLine="554"/>
              <w:jc w:val="both"/>
            </w:pPr>
            <w:r>
              <w:rPr>
                <w:rFonts w:ascii="仿宋_GB2312" w:hAnsi="仿宋_GB2312" w:cs="仿宋_GB2312" w:eastAsia="仿宋_GB2312"/>
                <w:sz w:val="28"/>
                <w:b/>
              </w:rPr>
              <w:t>（</w:t>
            </w:r>
            <w:r>
              <w:rPr>
                <w:rFonts w:ascii="仿宋_GB2312" w:hAnsi="仿宋_GB2312" w:cs="仿宋_GB2312" w:eastAsia="仿宋_GB2312"/>
                <w:sz w:val="28"/>
                <w:b/>
              </w:rPr>
              <w:t>3）投资控制</w:t>
            </w:r>
          </w:p>
          <w:p>
            <w:pPr>
              <w:pStyle w:val="null3"/>
              <w:ind w:firstLine="552"/>
              <w:jc w:val="both"/>
            </w:pPr>
            <w:r>
              <w:rPr>
                <w:rFonts w:ascii="仿宋_GB2312" w:hAnsi="仿宋_GB2312" w:cs="仿宋_GB2312" w:eastAsia="仿宋_GB2312"/>
                <w:sz w:val="28"/>
              </w:rPr>
              <w:t>在运行维护实施过程中，协助</w:t>
            </w:r>
            <w:r>
              <w:rPr>
                <w:rFonts w:ascii="仿宋_GB2312" w:hAnsi="仿宋_GB2312" w:cs="仿宋_GB2312" w:eastAsia="仿宋_GB2312"/>
                <w:sz w:val="28"/>
              </w:rPr>
              <w:t>采购人</w:t>
            </w:r>
            <w:r>
              <w:rPr>
                <w:rFonts w:ascii="仿宋_GB2312" w:hAnsi="仿宋_GB2312" w:cs="仿宋_GB2312" w:eastAsia="仿宋_GB2312"/>
                <w:sz w:val="28"/>
              </w:rPr>
              <w:t>掌握运行维护预算执行情况，按阶段提交运行维护费用支付情况的监理报告；审核运行维护各阶段付款申请，核算运行维护过程的实际工作量，出具支付意见。</w:t>
            </w:r>
          </w:p>
          <w:p>
            <w:pPr>
              <w:pStyle w:val="null3"/>
              <w:ind w:firstLine="554"/>
              <w:jc w:val="both"/>
            </w:pPr>
            <w:r>
              <w:rPr>
                <w:rFonts w:ascii="仿宋_GB2312" w:hAnsi="仿宋_GB2312" w:cs="仿宋_GB2312" w:eastAsia="仿宋_GB2312"/>
                <w:sz w:val="28"/>
                <w:b/>
              </w:rPr>
              <w:t>（</w:t>
            </w:r>
            <w:r>
              <w:rPr>
                <w:rFonts w:ascii="仿宋_GB2312" w:hAnsi="仿宋_GB2312" w:cs="仿宋_GB2312" w:eastAsia="仿宋_GB2312"/>
                <w:sz w:val="28"/>
                <w:b/>
              </w:rPr>
              <w:t>4）安全控制</w:t>
            </w:r>
          </w:p>
          <w:p>
            <w:pPr>
              <w:pStyle w:val="null3"/>
              <w:ind w:firstLine="552"/>
              <w:jc w:val="both"/>
            </w:pPr>
            <w:r>
              <w:rPr>
                <w:rFonts w:ascii="仿宋_GB2312" w:hAnsi="仿宋_GB2312" w:cs="仿宋_GB2312" w:eastAsia="仿宋_GB2312"/>
                <w:sz w:val="28"/>
              </w:rPr>
              <w:t>协助根据系统的可用性、保密性、完整性且可维护性方面，评审安全运行保障方案，避免引起技术及管理方面的冲突；协助进行运行维护安全规划；审核规划、方案中是否涵盖数据安全、个人信息保护内容，并检查其执行情况；督促做好软件知识产权保障；督促运维单位建立安全操作规范，严格执行安全操作规范，检查运维单位是否存在安全隐患行为，并进行安全绩效考核；督促运维单位进行运行维护安全管理教育。</w:t>
            </w:r>
          </w:p>
          <w:p>
            <w:pPr>
              <w:pStyle w:val="null3"/>
              <w:ind w:firstLine="554"/>
              <w:jc w:val="both"/>
            </w:pPr>
            <w:r>
              <w:rPr>
                <w:rFonts w:ascii="仿宋_GB2312" w:hAnsi="仿宋_GB2312" w:cs="仿宋_GB2312" w:eastAsia="仿宋_GB2312"/>
                <w:sz w:val="28"/>
                <w:b/>
              </w:rPr>
              <w:t>（</w:t>
            </w:r>
            <w:r>
              <w:rPr>
                <w:rFonts w:ascii="仿宋_GB2312" w:hAnsi="仿宋_GB2312" w:cs="仿宋_GB2312" w:eastAsia="仿宋_GB2312"/>
                <w:sz w:val="28"/>
                <w:b/>
              </w:rPr>
              <w:t>5）合同管理</w:t>
            </w:r>
          </w:p>
          <w:p>
            <w:pPr>
              <w:pStyle w:val="null3"/>
              <w:ind w:firstLine="552"/>
              <w:jc w:val="both"/>
            </w:pPr>
            <w:r>
              <w:rPr>
                <w:rFonts w:ascii="仿宋_GB2312" w:hAnsi="仿宋_GB2312" w:cs="仿宋_GB2312" w:eastAsia="仿宋_GB2312"/>
                <w:sz w:val="28"/>
              </w:rPr>
              <w:t>发生合同变更时，督促</w:t>
            </w:r>
            <w:r>
              <w:rPr>
                <w:rFonts w:ascii="仿宋_GB2312" w:hAnsi="仿宋_GB2312" w:cs="仿宋_GB2312" w:eastAsia="仿宋_GB2312"/>
                <w:sz w:val="28"/>
              </w:rPr>
              <w:t>采购人</w:t>
            </w:r>
            <w:r>
              <w:rPr>
                <w:rFonts w:ascii="仿宋_GB2312" w:hAnsi="仿宋_GB2312" w:cs="仿宋_GB2312" w:eastAsia="仿宋_GB2312"/>
                <w:sz w:val="28"/>
              </w:rPr>
              <w:t>、运维单位</w:t>
            </w:r>
            <w:r>
              <w:rPr>
                <w:rFonts w:ascii="仿宋_GB2312" w:hAnsi="仿宋_GB2312" w:cs="仿宋_GB2312" w:eastAsia="仿宋_GB2312"/>
                <w:sz w:val="28"/>
              </w:rPr>
              <w:t>提交变更材料，审查变更材料，做好协调工作并提出监理意见；协调</w:t>
            </w:r>
            <w:r>
              <w:rPr>
                <w:rFonts w:ascii="仿宋_GB2312" w:hAnsi="仿宋_GB2312" w:cs="仿宋_GB2312" w:eastAsia="仿宋_GB2312"/>
                <w:sz w:val="28"/>
              </w:rPr>
              <w:t>采购人</w:t>
            </w:r>
            <w:r>
              <w:rPr>
                <w:rFonts w:ascii="仿宋_GB2312" w:hAnsi="仿宋_GB2312" w:cs="仿宋_GB2312" w:eastAsia="仿宋_GB2312"/>
                <w:sz w:val="28"/>
              </w:rPr>
              <w:t>、运维单位共同建立运行维护项目合同档案的归档、保存、借阅管理制度，并监督其落实。</w:t>
            </w:r>
          </w:p>
          <w:p>
            <w:pPr>
              <w:pStyle w:val="null3"/>
              <w:ind w:firstLine="554"/>
              <w:jc w:val="both"/>
            </w:pPr>
            <w:r>
              <w:rPr>
                <w:rFonts w:ascii="仿宋_GB2312" w:hAnsi="仿宋_GB2312" w:cs="仿宋_GB2312" w:eastAsia="仿宋_GB2312"/>
                <w:sz w:val="28"/>
                <w:b/>
              </w:rPr>
              <w:t>（</w:t>
            </w:r>
            <w:r>
              <w:rPr>
                <w:rFonts w:ascii="仿宋_GB2312" w:hAnsi="仿宋_GB2312" w:cs="仿宋_GB2312" w:eastAsia="仿宋_GB2312"/>
                <w:sz w:val="28"/>
                <w:b/>
              </w:rPr>
              <w:t>6）文档资料管理</w:t>
            </w:r>
          </w:p>
          <w:p>
            <w:pPr>
              <w:pStyle w:val="null3"/>
              <w:ind w:firstLine="552"/>
              <w:jc w:val="both"/>
            </w:pPr>
            <w:r>
              <w:rPr>
                <w:rFonts w:ascii="仿宋_GB2312" w:hAnsi="仿宋_GB2312" w:cs="仿宋_GB2312" w:eastAsia="仿宋_GB2312"/>
                <w:sz w:val="28"/>
              </w:rPr>
              <w:t>协助</w:t>
            </w:r>
            <w:r>
              <w:rPr>
                <w:rFonts w:ascii="仿宋_GB2312" w:hAnsi="仿宋_GB2312" w:cs="仿宋_GB2312" w:eastAsia="仿宋_GB2312"/>
                <w:sz w:val="28"/>
              </w:rPr>
              <w:t>采购人</w:t>
            </w:r>
            <w:r>
              <w:rPr>
                <w:rFonts w:ascii="仿宋_GB2312" w:hAnsi="仿宋_GB2312" w:cs="仿宋_GB2312" w:eastAsia="仿宋_GB2312"/>
                <w:sz w:val="28"/>
              </w:rPr>
              <w:t>、运维单位建立运行维护过程的文档管理体系和管理计划；按照运行维护服务过程中统一表格模板要求，督促各方按照表格模板编制运行维护文档；督促</w:t>
            </w:r>
            <w:r>
              <w:rPr>
                <w:rFonts w:ascii="仿宋_GB2312" w:hAnsi="仿宋_GB2312" w:cs="仿宋_GB2312" w:eastAsia="仿宋_GB2312"/>
                <w:sz w:val="28"/>
              </w:rPr>
              <w:t>采购人</w:t>
            </w:r>
            <w:r>
              <w:rPr>
                <w:rFonts w:ascii="仿宋_GB2312" w:hAnsi="仿宋_GB2312" w:cs="仿宋_GB2312" w:eastAsia="仿宋_GB2312"/>
                <w:sz w:val="28"/>
              </w:rPr>
              <w:t>、运维单位落实运行维护文档资料的归档、保存、借阅。</w:t>
            </w:r>
          </w:p>
          <w:p>
            <w:pPr>
              <w:pStyle w:val="null3"/>
              <w:ind w:firstLine="554"/>
              <w:jc w:val="both"/>
            </w:pPr>
            <w:r>
              <w:rPr>
                <w:rFonts w:ascii="仿宋_GB2312" w:hAnsi="仿宋_GB2312" w:cs="仿宋_GB2312" w:eastAsia="仿宋_GB2312"/>
                <w:sz w:val="28"/>
                <w:b/>
              </w:rPr>
              <w:t>（</w:t>
            </w:r>
            <w:r>
              <w:rPr>
                <w:rFonts w:ascii="仿宋_GB2312" w:hAnsi="仿宋_GB2312" w:cs="仿宋_GB2312" w:eastAsia="仿宋_GB2312"/>
                <w:sz w:val="28"/>
                <w:b/>
              </w:rPr>
              <w:t>7）配置管理</w:t>
            </w:r>
          </w:p>
          <w:p>
            <w:pPr>
              <w:pStyle w:val="null3"/>
              <w:ind w:firstLine="552"/>
              <w:jc w:val="both"/>
            </w:pPr>
            <w:r>
              <w:rPr>
                <w:rFonts w:ascii="仿宋_GB2312" w:hAnsi="仿宋_GB2312" w:cs="仿宋_GB2312" w:eastAsia="仿宋_GB2312"/>
                <w:sz w:val="28"/>
              </w:rPr>
              <w:t>协助运维单位建立配置管理岗位体系；审核运维单位提交的运行维护配置管理计划、配置方法、技术方案、使用工具；检查运维单位对于配置项的规划、识别和实施工作；检查运行维护过程中配置项的变更及发布管理过程；对配置管理进行抽查。</w:t>
            </w:r>
          </w:p>
          <w:p>
            <w:pPr>
              <w:pStyle w:val="null3"/>
              <w:ind w:firstLine="554"/>
              <w:jc w:val="both"/>
            </w:pPr>
            <w:r>
              <w:rPr>
                <w:rFonts w:ascii="仿宋_GB2312" w:hAnsi="仿宋_GB2312" w:cs="仿宋_GB2312" w:eastAsia="仿宋_GB2312"/>
                <w:sz w:val="28"/>
                <w:b/>
              </w:rPr>
              <w:t>（</w:t>
            </w:r>
            <w:r>
              <w:rPr>
                <w:rFonts w:ascii="仿宋_GB2312" w:hAnsi="仿宋_GB2312" w:cs="仿宋_GB2312" w:eastAsia="仿宋_GB2312"/>
                <w:sz w:val="28"/>
                <w:b/>
              </w:rPr>
              <w:t>8）应急管理</w:t>
            </w:r>
          </w:p>
          <w:p>
            <w:pPr>
              <w:pStyle w:val="null3"/>
              <w:ind w:firstLine="552"/>
              <w:jc w:val="both"/>
            </w:pPr>
            <w:r>
              <w:rPr>
                <w:rFonts w:ascii="仿宋_GB2312" w:hAnsi="仿宋_GB2312" w:cs="仿宋_GB2312" w:eastAsia="仿宋_GB2312"/>
                <w:sz w:val="28"/>
              </w:rPr>
              <w:t>督促运维单位建立应急预案，包括应急组织结构、应急管理制度、风险识别评估、应急响应预案、应急培训和应急演练；督促运维单位做好针对各类运行维护对象的日常监测预警，在应急事件发生时，核实并评估应急事件，跟踪应急预案的启动和实施过程；在应急事件发生时，督促运维单位做好应急调度和应急处置工作，在应急事件结束后，督促完成应急事件的索赔、总结、评价和改进工作；协助优化和改进应急方案。</w:t>
            </w:r>
          </w:p>
          <w:p>
            <w:pPr>
              <w:pStyle w:val="null3"/>
              <w:ind w:firstLine="554"/>
              <w:jc w:val="both"/>
            </w:pPr>
            <w:r>
              <w:rPr>
                <w:rFonts w:ascii="仿宋_GB2312" w:hAnsi="仿宋_GB2312" w:cs="仿宋_GB2312" w:eastAsia="仿宋_GB2312"/>
                <w:sz w:val="28"/>
                <w:b/>
              </w:rPr>
              <w:t>（</w:t>
            </w:r>
            <w:r>
              <w:rPr>
                <w:rFonts w:ascii="仿宋_GB2312" w:hAnsi="仿宋_GB2312" w:cs="仿宋_GB2312" w:eastAsia="仿宋_GB2312"/>
                <w:sz w:val="28"/>
                <w:b/>
              </w:rPr>
              <w:t>9）效能管理</w:t>
            </w:r>
          </w:p>
          <w:p>
            <w:pPr>
              <w:pStyle w:val="null3"/>
              <w:ind w:firstLine="552"/>
              <w:jc w:val="both"/>
            </w:pPr>
            <w:r>
              <w:rPr>
                <w:rFonts w:ascii="仿宋_GB2312" w:hAnsi="仿宋_GB2312" w:cs="仿宋_GB2312" w:eastAsia="仿宋_GB2312"/>
                <w:sz w:val="28"/>
              </w:rPr>
              <w:t>协助制定和优化运行维护绩效考核管理体系，明确绩效考核组织结构和绩效考核指标项；协助做好运行维护项目绩效考核管理体系的执行工作。</w:t>
            </w:r>
          </w:p>
          <w:p>
            <w:pPr>
              <w:pStyle w:val="null3"/>
              <w:ind w:firstLine="554"/>
              <w:jc w:val="both"/>
            </w:pPr>
            <w:r>
              <w:rPr>
                <w:rFonts w:ascii="仿宋_GB2312" w:hAnsi="仿宋_GB2312" w:cs="仿宋_GB2312" w:eastAsia="仿宋_GB2312"/>
                <w:sz w:val="28"/>
                <w:b/>
              </w:rPr>
              <w:t>（</w:t>
            </w:r>
            <w:r>
              <w:rPr>
                <w:rFonts w:ascii="仿宋_GB2312" w:hAnsi="仿宋_GB2312" w:cs="仿宋_GB2312" w:eastAsia="仿宋_GB2312"/>
                <w:sz w:val="28"/>
                <w:b/>
              </w:rPr>
              <w:t>10）组织协调管理</w:t>
            </w:r>
          </w:p>
          <w:p>
            <w:pPr>
              <w:pStyle w:val="null3"/>
              <w:ind w:firstLine="552"/>
              <w:jc w:val="both"/>
            </w:pPr>
            <w:r>
              <w:rPr>
                <w:rFonts w:ascii="仿宋_GB2312" w:hAnsi="仿宋_GB2312" w:cs="仿宋_GB2312" w:eastAsia="仿宋_GB2312"/>
                <w:sz w:val="28"/>
              </w:rPr>
              <w:t>与运维单位共同建立协调的机制；按需组织专题会议，解决专项问题，做出会议纪要，并提交项目参与各方；应做好项目执行过程中的变化协调工作等。</w:t>
            </w:r>
          </w:p>
          <w:p>
            <w:pPr>
              <w:pStyle w:val="null3"/>
              <w:ind w:firstLine="554"/>
              <w:jc w:val="both"/>
            </w:pPr>
            <w:r>
              <w:rPr>
                <w:rFonts w:ascii="仿宋_GB2312" w:hAnsi="仿宋_GB2312" w:cs="仿宋_GB2312" w:eastAsia="仿宋_GB2312"/>
                <w:sz w:val="28"/>
                <w:b/>
              </w:rPr>
              <w:t>3.验收评估阶段监理</w:t>
            </w:r>
          </w:p>
          <w:p>
            <w:pPr>
              <w:pStyle w:val="null3"/>
              <w:ind w:firstLine="552"/>
              <w:jc w:val="both"/>
            </w:pPr>
            <w:r>
              <w:rPr>
                <w:rFonts w:ascii="仿宋_GB2312" w:hAnsi="仿宋_GB2312" w:cs="仿宋_GB2312" w:eastAsia="仿宋_GB2312"/>
                <w:sz w:val="28"/>
              </w:rPr>
              <w:t>协助对运行维护对象进行效果评估，对运行维护服务交付过程、结果、相关管理工作进行评估和验收。</w:t>
            </w:r>
          </w:p>
          <w:p>
            <w:pPr>
              <w:pStyle w:val="null3"/>
              <w:ind w:firstLine="554"/>
              <w:jc w:val="both"/>
            </w:pPr>
            <w:r>
              <w:rPr>
                <w:rFonts w:ascii="仿宋_GB2312" w:hAnsi="仿宋_GB2312" w:cs="仿宋_GB2312" w:eastAsia="仿宋_GB2312"/>
                <w:sz w:val="28"/>
                <w:b/>
              </w:rPr>
              <w:t>（</w:t>
            </w:r>
            <w:r>
              <w:rPr>
                <w:rFonts w:ascii="仿宋_GB2312" w:hAnsi="仿宋_GB2312" w:cs="仿宋_GB2312" w:eastAsia="仿宋_GB2312"/>
                <w:sz w:val="28"/>
                <w:b/>
              </w:rPr>
              <w:t>1）运行维护对象效果评估</w:t>
            </w:r>
          </w:p>
          <w:p>
            <w:pPr>
              <w:pStyle w:val="null3"/>
              <w:ind w:firstLine="552"/>
              <w:jc w:val="both"/>
            </w:pPr>
            <w:r>
              <w:rPr>
                <w:rFonts w:ascii="仿宋_GB2312" w:hAnsi="仿宋_GB2312" w:cs="仿宋_GB2312" w:eastAsia="仿宋_GB2312"/>
                <w:sz w:val="28"/>
              </w:rPr>
              <w:t>供应商</w:t>
            </w:r>
            <w:r>
              <w:rPr>
                <w:rFonts w:ascii="仿宋_GB2312" w:hAnsi="仿宋_GB2312" w:cs="仿宋_GB2312" w:eastAsia="仿宋_GB2312"/>
                <w:sz w:val="28"/>
              </w:rPr>
              <w:t>协助对运行维护对象的实际运行效果进行评估，至少包括对基础设施、软件、数据和信息安全各类运行维护对象的性能状况进行调查和评价。</w:t>
            </w:r>
          </w:p>
          <w:p>
            <w:pPr>
              <w:pStyle w:val="null3"/>
              <w:ind w:firstLine="554"/>
              <w:jc w:val="both"/>
            </w:pPr>
            <w:r>
              <w:rPr>
                <w:rFonts w:ascii="仿宋_GB2312" w:hAnsi="仿宋_GB2312" w:cs="仿宋_GB2312" w:eastAsia="仿宋_GB2312"/>
                <w:sz w:val="28"/>
                <w:b/>
              </w:rPr>
              <w:t>（</w:t>
            </w:r>
            <w:r>
              <w:rPr>
                <w:rFonts w:ascii="仿宋_GB2312" w:hAnsi="仿宋_GB2312" w:cs="仿宋_GB2312" w:eastAsia="仿宋_GB2312"/>
                <w:sz w:val="28"/>
                <w:b/>
              </w:rPr>
              <w:t>2）运行维护服务评估及验收</w:t>
            </w:r>
          </w:p>
          <w:p>
            <w:pPr>
              <w:pStyle w:val="null3"/>
              <w:ind w:firstLine="552"/>
              <w:jc w:val="both"/>
            </w:pPr>
            <w:r>
              <w:rPr>
                <w:rFonts w:ascii="仿宋_GB2312" w:hAnsi="仿宋_GB2312" w:cs="仿宋_GB2312" w:eastAsia="仿宋_GB2312"/>
                <w:sz w:val="28"/>
              </w:rPr>
              <w:t>协助制定运维评估及验收办法、评估内容项及评估标准；对运维单位提交的服务验收申请、计划及其方案进行审核；根据绩效考核办法和方案进行绩效考核，对运行维护服务进行评估，形成运行维护服务评估报告；协助完成服务验收。</w:t>
            </w:r>
          </w:p>
          <w:p>
            <w:pPr>
              <w:pStyle w:val="null3"/>
              <w:ind w:firstLine="554"/>
              <w:jc w:val="both"/>
            </w:pPr>
            <w:r>
              <w:rPr>
                <w:rFonts w:ascii="仿宋_GB2312" w:hAnsi="仿宋_GB2312" w:cs="仿宋_GB2312" w:eastAsia="仿宋_GB2312"/>
                <w:sz w:val="28"/>
                <w:b/>
              </w:rPr>
              <w:t>（二）重点运维内容监理工作要求</w:t>
            </w:r>
          </w:p>
          <w:p>
            <w:pPr>
              <w:pStyle w:val="null3"/>
              <w:ind w:firstLine="552"/>
              <w:jc w:val="both"/>
            </w:pPr>
            <w:r>
              <w:rPr>
                <w:rFonts w:ascii="仿宋_GB2312" w:hAnsi="仿宋_GB2312" w:cs="仿宋_GB2312" w:eastAsia="仿宋_GB2312"/>
                <w:sz w:val="28"/>
              </w:rPr>
              <w:t>基础设施运维监理主要通过抽查、评审、旁站方式开展监理工作，在运维例行操作、响应支持、优化改善方面的要点如下：</w:t>
            </w:r>
          </w:p>
          <w:p>
            <w:pPr>
              <w:pStyle w:val="null3"/>
              <w:ind w:firstLine="554"/>
              <w:jc w:val="both"/>
            </w:pPr>
            <w:r>
              <w:rPr>
                <w:rFonts w:ascii="仿宋_GB2312" w:hAnsi="仿宋_GB2312" w:cs="仿宋_GB2312" w:eastAsia="仿宋_GB2312"/>
                <w:sz w:val="28"/>
                <w:b/>
              </w:rPr>
              <w:t>（</w:t>
            </w:r>
            <w:r>
              <w:rPr>
                <w:rFonts w:ascii="仿宋_GB2312" w:hAnsi="仿宋_GB2312" w:cs="仿宋_GB2312" w:eastAsia="仿宋_GB2312"/>
                <w:sz w:val="28"/>
                <w:b/>
              </w:rPr>
              <w:t>1）例行操作监理</w:t>
            </w:r>
          </w:p>
          <w:p>
            <w:pPr>
              <w:pStyle w:val="null3"/>
              <w:ind w:firstLine="552"/>
              <w:jc w:val="both"/>
            </w:pPr>
            <w:r>
              <w:rPr>
                <w:rFonts w:ascii="仿宋_GB2312" w:hAnsi="仿宋_GB2312" w:cs="仿宋_GB2312" w:eastAsia="仿宋_GB2312"/>
                <w:sz w:val="28"/>
              </w:rPr>
              <w:t>监督检查例行操作的计划性和完整性。</w:t>
            </w:r>
          </w:p>
          <w:p>
            <w:pPr>
              <w:pStyle w:val="null3"/>
              <w:ind w:firstLine="552"/>
              <w:jc w:val="both"/>
            </w:pPr>
            <w:r>
              <w:rPr>
                <w:rFonts w:ascii="仿宋_GB2312" w:hAnsi="仿宋_GB2312" w:cs="仿宋_GB2312" w:eastAsia="仿宋_GB2312"/>
                <w:sz w:val="28"/>
              </w:rPr>
              <w:t>对设施监控的不间断性、问题汇报和分析的及时性进行监督。</w:t>
            </w:r>
          </w:p>
          <w:p>
            <w:pPr>
              <w:pStyle w:val="null3"/>
              <w:ind w:firstLine="552"/>
              <w:jc w:val="both"/>
            </w:pPr>
            <w:r>
              <w:rPr>
                <w:rFonts w:ascii="仿宋_GB2312" w:hAnsi="仿宋_GB2312" w:cs="仿宋_GB2312" w:eastAsia="仿宋_GB2312"/>
                <w:sz w:val="28"/>
              </w:rPr>
              <w:t>监督检查保养、配置备份常规操作的计划性、准确性、记录的完整性及可追溯性。</w:t>
            </w:r>
          </w:p>
          <w:p>
            <w:pPr>
              <w:pStyle w:val="null3"/>
              <w:ind w:firstLine="552"/>
              <w:jc w:val="both"/>
            </w:pPr>
            <w:r>
              <w:rPr>
                <w:rFonts w:ascii="仿宋_GB2312" w:hAnsi="仿宋_GB2312" w:cs="仿宋_GB2312" w:eastAsia="仿宋_GB2312"/>
                <w:sz w:val="28"/>
              </w:rPr>
              <w:t>要求运维单位利用运行维护系统和工具对基础设施开展运行维护活动，系统和工具应包括资源管理、监测与分析、阀值预警、监控管理和过程管理功能。</w:t>
            </w:r>
          </w:p>
          <w:p>
            <w:pPr>
              <w:pStyle w:val="null3"/>
              <w:ind w:firstLine="554"/>
              <w:jc w:val="both"/>
            </w:pPr>
            <w:r>
              <w:rPr>
                <w:rFonts w:ascii="仿宋_GB2312" w:hAnsi="仿宋_GB2312" w:cs="仿宋_GB2312" w:eastAsia="仿宋_GB2312"/>
                <w:sz w:val="28"/>
                <w:b/>
              </w:rPr>
              <w:t>（</w:t>
            </w:r>
            <w:r>
              <w:rPr>
                <w:rFonts w:ascii="仿宋_GB2312" w:hAnsi="仿宋_GB2312" w:cs="仿宋_GB2312" w:eastAsia="仿宋_GB2312"/>
                <w:sz w:val="28"/>
                <w:b/>
              </w:rPr>
              <w:t>2）响应支持监理</w:t>
            </w:r>
          </w:p>
          <w:p>
            <w:pPr>
              <w:pStyle w:val="null3"/>
              <w:ind w:firstLine="552"/>
              <w:jc w:val="both"/>
            </w:pPr>
            <w:r>
              <w:rPr>
                <w:rFonts w:ascii="仿宋_GB2312" w:hAnsi="仿宋_GB2312" w:cs="仿宋_GB2312" w:eastAsia="仿宋_GB2312"/>
                <w:sz w:val="28"/>
              </w:rPr>
              <w:t>应检查运维单位的响应支持服务与运行维护</w:t>
            </w:r>
            <w:r>
              <w:rPr>
                <w:rFonts w:ascii="仿宋_GB2312" w:hAnsi="仿宋_GB2312" w:cs="仿宋_GB2312" w:eastAsia="仿宋_GB2312"/>
                <w:sz w:val="28"/>
              </w:rPr>
              <w:t>SLA 的符合性。</w:t>
            </w:r>
          </w:p>
          <w:p>
            <w:pPr>
              <w:pStyle w:val="null3"/>
              <w:ind w:firstLine="552"/>
              <w:jc w:val="both"/>
            </w:pPr>
            <w:r>
              <w:rPr>
                <w:rFonts w:ascii="仿宋_GB2312" w:hAnsi="仿宋_GB2312" w:cs="仿宋_GB2312" w:eastAsia="仿宋_GB2312"/>
                <w:sz w:val="28"/>
              </w:rPr>
              <w:t>依据运行维护</w:t>
            </w:r>
            <w:r>
              <w:rPr>
                <w:rFonts w:ascii="仿宋_GB2312" w:hAnsi="仿宋_GB2312" w:cs="仿宋_GB2312" w:eastAsia="仿宋_GB2312"/>
                <w:sz w:val="28"/>
              </w:rPr>
              <w:t>SLA 、维护手册或维护规程监督、检查运维单位响应支持服务，包括处理的及时性、处理过程的严谨性及准确性、文档提交的准确性。</w:t>
            </w:r>
          </w:p>
          <w:p>
            <w:pPr>
              <w:pStyle w:val="null3"/>
              <w:ind w:firstLine="552"/>
              <w:jc w:val="both"/>
            </w:pPr>
            <w:r>
              <w:rPr>
                <w:rFonts w:ascii="仿宋_GB2312" w:hAnsi="仿宋_GB2312" w:cs="仿宋_GB2312" w:eastAsia="仿宋_GB2312"/>
                <w:sz w:val="28"/>
              </w:rPr>
              <w:t>要求运维单位建立故障诊断知识库，应包括常见故障的原因与现象、故障排除步骤、故障诊断方法、故障诊断与修复原则。</w:t>
            </w:r>
          </w:p>
          <w:p>
            <w:pPr>
              <w:pStyle w:val="null3"/>
              <w:ind w:firstLine="552"/>
              <w:jc w:val="both"/>
            </w:pPr>
            <w:r>
              <w:rPr>
                <w:rFonts w:ascii="仿宋_GB2312" w:hAnsi="仿宋_GB2312" w:cs="仿宋_GB2312" w:eastAsia="仿宋_GB2312"/>
                <w:sz w:val="28"/>
              </w:rPr>
              <w:t>对运维单位响应支持服务中存在的问题及时提出纠正和改进建议。</w:t>
            </w:r>
          </w:p>
          <w:p>
            <w:pPr>
              <w:pStyle w:val="null3"/>
              <w:ind w:firstLine="554"/>
              <w:jc w:val="both"/>
            </w:pPr>
            <w:r>
              <w:rPr>
                <w:rFonts w:ascii="仿宋_GB2312" w:hAnsi="仿宋_GB2312" w:cs="仿宋_GB2312" w:eastAsia="仿宋_GB2312"/>
                <w:sz w:val="28"/>
                <w:b/>
              </w:rPr>
              <w:t>（</w:t>
            </w:r>
            <w:r>
              <w:rPr>
                <w:rFonts w:ascii="仿宋_GB2312" w:hAnsi="仿宋_GB2312" w:cs="仿宋_GB2312" w:eastAsia="仿宋_GB2312"/>
                <w:sz w:val="28"/>
                <w:b/>
              </w:rPr>
              <w:t>3）优化改善监理</w:t>
            </w:r>
          </w:p>
          <w:p>
            <w:pPr>
              <w:pStyle w:val="null3"/>
              <w:ind w:firstLine="552"/>
              <w:jc w:val="both"/>
            </w:pPr>
            <w:r>
              <w:rPr>
                <w:rFonts w:ascii="仿宋_GB2312" w:hAnsi="仿宋_GB2312" w:cs="仿宋_GB2312" w:eastAsia="仿宋_GB2312"/>
                <w:sz w:val="28"/>
              </w:rPr>
              <w:t>对优化改善方案进行审核，方案应明确优化改善的目标、内容、步骤、人员、预算、进度、衡量指标、风险预案和回退方案内容。</w:t>
            </w:r>
          </w:p>
          <w:p>
            <w:pPr>
              <w:pStyle w:val="null3"/>
              <w:ind w:firstLine="552"/>
              <w:jc w:val="both"/>
            </w:pPr>
            <w:r>
              <w:rPr>
                <w:rFonts w:ascii="仿宋_GB2312" w:hAnsi="仿宋_GB2312" w:cs="仿宋_GB2312" w:eastAsia="仿宋_GB2312"/>
                <w:sz w:val="28"/>
              </w:rPr>
              <w:t>对优化改善建议报告进行审核，报告应区分不同的优化改善类型（适应性改进、纠正性改进、改善性改进、预防性改进），监理机构应评估报告内容的合理性并给</w:t>
            </w:r>
            <w:r>
              <w:rPr>
                <w:rFonts w:ascii="仿宋_GB2312" w:hAnsi="仿宋_GB2312" w:cs="仿宋_GB2312" w:eastAsia="仿宋_GB2312"/>
                <w:sz w:val="28"/>
              </w:rPr>
              <w:t>采购人</w:t>
            </w:r>
            <w:r>
              <w:rPr>
                <w:rFonts w:ascii="仿宋_GB2312" w:hAnsi="仿宋_GB2312" w:cs="仿宋_GB2312" w:eastAsia="仿宋_GB2312"/>
                <w:sz w:val="28"/>
              </w:rPr>
              <w:t>合理建议。</w:t>
            </w:r>
          </w:p>
          <w:p>
            <w:pPr>
              <w:pStyle w:val="null3"/>
              <w:ind w:firstLine="554"/>
              <w:jc w:val="both"/>
            </w:pPr>
            <w:r>
              <w:rPr>
                <w:rFonts w:ascii="仿宋_GB2312" w:hAnsi="仿宋_GB2312" w:cs="仿宋_GB2312" w:eastAsia="仿宋_GB2312"/>
                <w:sz w:val="28"/>
                <w:b/>
              </w:rPr>
              <w:t>（</w:t>
            </w:r>
            <w:r>
              <w:rPr>
                <w:rFonts w:ascii="仿宋_GB2312" w:hAnsi="仿宋_GB2312" w:cs="仿宋_GB2312" w:eastAsia="仿宋_GB2312"/>
                <w:sz w:val="28"/>
                <w:b/>
              </w:rPr>
              <w:t>4）调研评估监理</w:t>
            </w:r>
          </w:p>
          <w:p>
            <w:pPr>
              <w:pStyle w:val="null3"/>
              <w:ind w:firstLine="552"/>
              <w:jc w:val="both"/>
            </w:pPr>
            <w:r>
              <w:rPr>
                <w:rFonts w:ascii="仿宋_GB2312" w:hAnsi="仿宋_GB2312" w:cs="仿宋_GB2312" w:eastAsia="仿宋_GB2312"/>
                <w:sz w:val="28"/>
              </w:rPr>
              <w:t>对调研评估计划进行审核，计划应明确调研评估的目标、内容、步骤、人员、进度、交付成果和沟通计划内容。</w:t>
            </w:r>
          </w:p>
          <w:p>
            <w:pPr>
              <w:pStyle w:val="null3"/>
              <w:ind w:firstLine="552"/>
              <w:jc w:val="both"/>
            </w:pPr>
            <w:r>
              <w:rPr>
                <w:rFonts w:ascii="仿宋_GB2312" w:hAnsi="仿宋_GB2312" w:cs="仿宋_GB2312" w:eastAsia="仿宋_GB2312"/>
                <w:sz w:val="28"/>
              </w:rPr>
              <w:t>持续跟踪调研评估的执行和评估结果的改进。</w:t>
            </w:r>
          </w:p>
          <w:p>
            <w:pPr>
              <w:pStyle w:val="null3"/>
              <w:jc w:val="left"/>
            </w:pPr>
            <w:r>
              <w:rPr>
                <w:rFonts w:ascii="仿宋_GB2312" w:hAnsi="仿宋_GB2312" w:cs="仿宋_GB2312" w:eastAsia="仿宋_GB2312"/>
                <w:sz w:val="28"/>
              </w:rPr>
              <w:t>对调研评估报告进行审核，报告应包括现状评估访谈调研、需求分析和评估建议内容。</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outlineLvl w:val="3"/>
            </w:pPr>
            <w:r>
              <w:rPr>
                <w:rFonts w:ascii="仿宋_GB2312" w:hAnsi="仿宋_GB2312" w:cs="仿宋_GB2312" w:eastAsia="仿宋_GB2312"/>
                <w:sz w:val="28"/>
                <w:b/>
              </w:rPr>
              <w:t>★1.服务团队要求</w:t>
            </w:r>
          </w:p>
          <w:p>
            <w:pPr>
              <w:pStyle w:val="null3"/>
              <w:ind w:firstLine="560"/>
              <w:jc w:val="both"/>
            </w:pPr>
            <w:r>
              <w:rPr>
                <w:rFonts w:ascii="仿宋_GB2312" w:hAnsi="仿宋_GB2312" w:cs="仿宋_GB2312" w:eastAsia="仿宋_GB2312"/>
                <w:sz w:val="28"/>
              </w:rPr>
              <w:t>1.1</w:t>
            </w:r>
            <w:r>
              <w:rPr>
                <w:rFonts w:ascii="仿宋_GB2312" w:hAnsi="仿宋_GB2312" w:cs="仿宋_GB2312" w:eastAsia="仿宋_GB2312"/>
                <w:sz w:val="28"/>
              </w:rPr>
              <w:t>监理团队成员需包含总监理工程师、监理工程师、监理员，并明确各人员职能职责和配套管理机制制度。</w:t>
            </w:r>
          </w:p>
          <w:p>
            <w:pPr>
              <w:pStyle w:val="null3"/>
              <w:ind w:firstLine="480"/>
              <w:jc w:val="left"/>
            </w:pPr>
            <w:r>
              <w:rPr>
                <w:rFonts w:ascii="仿宋_GB2312" w:hAnsi="仿宋_GB2312" w:cs="仿宋_GB2312" w:eastAsia="仿宋_GB2312"/>
                <w:sz w:val="28"/>
              </w:rPr>
              <w:t>1.2投入本项目的所有工作人员应恪守职业道德、廉洁自律，自觉接受采购人的监督、指导和统一管理。未经采购人书面同意，供应商不得擅自更换服务人员。</w:t>
            </w:r>
          </w:p>
          <w:p>
            <w:pPr>
              <w:pStyle w:val="null3"/>
              <w:ind w:firstLine="560"/>
              <w:jc w:val="both"/>
            </w:pPr>
            <w:r>
              <w:rPr>
                <w:rFonts w:ascii="仿宋_GB2312" w:hAnsi="仿宋_GB2312" w:cs="仿宋_GB2312" w:eastAsia="仿宋_GB2312"/>
                <w:sz w:val="28"/>
              </w:rPr>
              <w:t>★2.保密要求：在项目实施期间,从采购人获取的任何资料和重要信息，均有保密责任。未经采购人事先书面授权，不得以任何方式向任何其他组织或个人泄露、转让、许可使用、交换、赠与或与任何组织或个人共同使用或不正当使用。</w:t>
            </w:r>
            <w:r>
              <w:rPr>
                <w:rFonts w:ascii="仿宋_GB2312" w:hAnsi="仿宋_GB2312" w:cs="仿宋_GB2312" w:eastAsia="仿宋_GB2312"/>
                <w:sz w:val="28"/>
              </w:rPr>
              <w:t>保密期限不受合同有效期的限制，在合同有效期结束后，供应商仍应承担保密义务，直至该等信息非因接收方原因失去其保密性质且为公众所知悉时止。</w:t>
            </w:r>
          </w:p>
          <w:p>
            <w:pPr>
              <w:pStyle w:val="null3"/>
              <w:ind w:firstLine="480"/>
              <w:jc w:val="left"/>
            </w:pPr>
            <w:r>
              <w:rPr>
                <w:rFonts w:ascii="仿宋_GB2312" w:hAnsi="仿宋_GB2312" w:cs="仿宋_GB2312" w:eastAsia="仿宋_GB2312"/>
                <w:sz w:val="28"/>
              </w:rPr>
              <w:t>★3.</w:t>
            </w:r>
            <w:r>
              <w:rPr>
                <w:rFonts w:ascii="仿宋_GB2312" w:hAnsi="仿宋_GB2312" w:cs="仿宋_GB2312" w:eastAsia="仿宋_GB2312"/>
                <w:sz w:val="28"/>
              </w:rPr>
              <w:t>本项目在服务过程中产生的全部数据资产，均归采购人所有，中标供应商仅可在本项目服务范围内合理使用相关数据，不得擅自泄露、篡改、转让或用于本项目以外的其他用途，严格遵守数据资产管理相关规定。</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4.供应商的投标报价为完成本项目全部工作内容的最终报价，为固定总价报价，该报价应包含本项目所有相关费用，涵盖项目实施、交付、验收、运营等全部环节，采购人不再额外支付本项目相关的任何其他费用，如出现投标报价估算错误等引起的损失由供应商自行承担。</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安全责任</w:t>
            </w:r>
          </w:p>
          <w:p>
            <w:pPr>
              <w:pStyle w:val="null3"/>
              <w:ind w:firstLine="480"/>
              <w:jc w:val="left"/>
            </w:pPr>
            <w:r>
              <w:rPr>
                <w:rFonts w:ascii="仿宋_GB2312" w:hAnsi="仿宋_GB2312" w:cs="仿宋_GB2312" w:eastAsia="仿宋_GB2312"/>
                <w:sz w:val="28"/>
              </w:rPr>
              <w:t>在服务期内</w:t>
            </w:r>
            <w:r>
              <w:rPr>
                <w:rFonts w:ascii="仿宋_GB2312" w:hAnsi="仿宋_GB2312" w:cs="仿宋_GB2312" w:eastAsia="仿宋_GB2312"/>
                <w:sz w:val="28"/>
              </w:rPr>
              <w:t>服务</w:t>
            </w:r>
            <w:r>
              <w:rPr>
                <w:rFonts w:ascii="仿宋_GB2312" w:hAnsi="仿宋_GB2312" w:cs="仿宋_GB2312" w:eastAsia="仿宋_GB2312"/>
                <w:sz w:val="28"/>
              </w:rPr>
              <w:t>人员发生劳务、安全生产等方面的纠纷和争议的，</w:t>
            </w:r>
            <w:r>
              <w:rPr>
                <w:rFonts w:ascii="仿宋_GB2312" w:hAnsi="仿宋_GB2312" w:cs="仿宋_GB2312" w:eastAsia="仿宋_GB2312"/>
                <w:sz w:val="28"/>
              </w:rPr>
              <w:t>供应商</w:t>
            </w:r>
            <w:r>
              <w:rPr>
                <w:rFonts w:ascii="仿宋_GB2312" w:hAnsi="仿宋_GB2312" w:cs="仿宋_GB2312" w:eastAsia="仿宋_GB2312"/>
                <w:sz w:val="28"/>
              </w:rPr>
              <w:t>全面承担纠纷和争议的处理义务。合同期内发生人身安全及其它所有</w:t>
            </w:r>
            <w:r>
              <w:rPr>
                <w:rFonts w:ascii="仿宋_GB2312" w:hAnsi="仿宋_GB2312" w:cs="仿宋_GB2312" w:eastAsia="仿宋_GB2312"/>
                <w:sz w:val="28"/>
              </w:rPr>
              <w:t>事故（包括其聘用的所有工作人员劳动用工安全事故、因操作不规范等因素造成的安全责任事故等），一切由供应商自身原因导致的安全事故责任、法律责任和赔偿责任均由供应商负责。</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标的名称：等级保护测评服务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8"/>
              </w:rPr>
              <w:t>★</w:t>
            </w:r>
            <w:r>
              <w:rPr>
                <w:rFonts w:ascii="仿宋_GB2312" w:hAnsi="仿宋_GB2312" w:cs="仿宋_GB2312" w:eastAsia="仿宋_GB2312"/>
                <w:sz w:val="28"/>
              </w:rPr>
              <w:t>一、服务内容及要求</w:t>
            </w:r>
          </w:p>
          <w:p>
            <w:pPr>
              <w:pStyle w:val="null3"/>
              <w:ind w:firstLine="560"/>
              <w:jc w:val="both"/>
            </w:pPr>
            <w:r>
              <w:rPr>
                <w:rFonts w:ascii="仿宋_GB2312" w:hAnsi="仿宋_GB2312" w:cs="仿宋_GB2312" w:eastAsia="仿宋_GB2312"/>
                <w:sz w:val="28"/>
              </w:rPr>
              <w:t>按照《中华人民共和国网络安全法》和《信息安全等级保护管理办法》等相关要求，采购网络安全等级保护测评服务供应商，对我单位相关信息系统安全等级状况开展等级测评工作，并出具等级保护测评报告。</w:t>
            </w:r>
          </w:p>
          <w:p>
            <w:pPr>
              <w:pStyle w:val="null3"/>
              <w:ind w:firstLine="562"/>
              <w:jc w:val="both"/>
            </w:pPr>
            <w:r>
              <w:rPr>
                <w:rFonts w:ascii="仿宋_GB2312" w:hAnsi="仿宋_GB2312" w:cs="仿宋_GB2312" w:eastAsia="仿宋_GB2312"/>
                <w:sz w:val="28"/>
                <w:b/>
              </w:rPr>
              <w:t>（</w:t>
            </w:r>
            <w:r>
              <w:rPr>
                <w:rFonts w:ascii="仿宋_GB2312" w:hAnsi="仿宋_GB2312" w:cs="仿宋_GB2312" w:eastAsia="仿宋_GB2312"/>
                <w:sz w:val="28"/>
                <w:b/>
              </w:rPr>
              <w:t>一</w:t>
            </w:r>
            <w:r>
              <w:rPr>
                <w:rFonts w:ascii="仿宋_GB2312" w:hAnsi="仿宋_GB2312" w:cs="仿宋_GB2312" w:eastAsia="仿宋_GB2312"/>
                <w:sz w:val="28"/>
                <w:b/>
              </w:rPr>
              <w:t>）</w:t>
            </w:r>
            <w:r>
              <w:rPr>
                <w:rFonts w:ascii="仿宋_GB2312" w:hAnsi="仿宋_GB2312" w:cs="仿宋_GB2312" w:eastAsia="仿宋_GB2312"/>
                <w:sz w:val="28"/>
                <w:b/>
              </w:rPr>
              <w:t>测评内容包括技术和管理测评：</w:t>
            </w:r>
          </w:p>
          <w:p>
            <w:pPr>
              <w:pStyle w:val="null3"/>
              <w:ind w:firstLine="560"/>
              <w:jc w:val="both"/>
            </w:pPr>
            <w:r>
              <w:rPr>
                <w:rFonts w:ascii="仿宋_GB2312" w:hAnsi="仿宋_GB2312" w:cs="仿宋_GB2312" w:eastAsia="仿宋_GB2312"/>
                <w:sz w:val="28"/>
              </w:rPr>
              <w:t>1．技术安全性测评包括：安全物理环境、安全通信网络、安全区域边界、安全计算环境、安全管理中心。</w:t>
            </w:r>
          </w:p>
          <w:p>
            <w:pPr>
              <w:pStyle w:val="null3"/>
              <w:ind w:firstLine="560"/>
              <w:jc w:val="both"/>
            </w:pPr>
            <w:r>
              <w:rPr>
                <w:rFonts w:ascii="仿宋_GB2312" w:hAnsi="仿宋_GB2312" w:cs="仿宋_GB2312" w:eastAsia="仿宋_GB2312"/>
                <w:sz w:val="28"/>
              </w:rPr>
              <w:t>2．管理安全测评包括：安全管理制度、安全管理机构、安全管理人员、安全建设管理、安全运维管理。</w:t>
            </w:r>
          </w:p>
          <w:p>
            <w:pPr>
              <w:pStyle w:val="null3"/>
              <w:ind w:firstLine="562"/>
              <w:jc w:val="both"/>
            </w:pPr>
            <w:r>
              <w:rPr>
                <w:rFonts w:ascii="仿宋_GB2312" w:hAnsi="仿宋_GB2312" w:cs="仿宋_GB2312" w:eastAsia="仿宋_GB2312"/>
                <w:sz w:val="28"/>
                <w:b/>
              </w:rPr>
              <w:t>（</w:t>
            </w:r>
            <w:r>
              <w:rPr>
                <w:rFonts w:ascii="仿宋_GB2312" w:hAnsi="仿宋_GB2312" w:cs="仿宋_GB2312" w:eastAsia="仿宋_GB2312"/>
                <w:sz w:val="28"/>
                <w:b/>
              </w:rPr>
              <w:t>二</w:t>
            </w:r>
            <w:r>
              <w:rPr>
                <w:rFonts w:ascii="仿宋_GB2312" w:hAnsi="仿宋_GB2312" w:cs="仿宋_GB2312" w:eastAsia="仿宋_GB2312"/>
                <w:sz w:val="28"/>
                <w:b/>
              </w:rPr>
              <w:t>）测评对象及范围</w:t>
            </w:r>
          </w:p>
          <w:p>
            <w:pPr>
              <w:pStyle w:val="null3"/>
              <w:ind w:firstLine="560"/>
              <w:jc w:val="both"/>
            </w:pPr>
            <w:r>
              <w:rPr>
                <w:rFonts w:ascii="仿宋_GB2312" w:hAnsi="仿宋_GB2312" w:cs="仿宋_GB2312" w:eastAsia="仿宋_GB2312"/>
                <w:sz w:val="28"/>
              </w:rPr>
              <w:t>本次等级保护测评系统包括：</w:t>
            </w:r>
          </w:p>
          <w:tbl>
            <w:tblPr>
              <w:tblBorders>
                <w:top w:val="none" w:color="000000" w:sz="4"/>
                <w:left w:val="none" w:color="000000" w:sz="4"/>
                <w:bottom w:val="none" w:color="000000" w:sz="4"/>
                <w:right w:val="none" w:color="000000" w:sz="4"/>
                <w:insideH w:val="none"/>
                <w:insideV w:val="none"/>
              </w:tblBorders>
            </w:tblPr>
            <w:tblGrid>
              <w:gridCol w:w="534"/>
              <w:gridCol w:w="2423"/>
              <w:gridCol w:w="2641"/>
            </w:tblGrid>
            <w:tr>
              <w:tc>
                <w:tcPr>
                  <w:tcW w:type="dxa" w:w="5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序号</w:t>
                  </w:r>
                </w:p>
              </w:tc>
              <w:tc>
                <w:tcPr>
                  <w:tcW w:type="dxa" w:w="24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系统名称</w:t>
                  </w:r>
                </w:p>
              </w:tc>
              <w:tc>
                <w:tcPr>
                  <w:tcW w:type="dxa" w:w="2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安全保护等级</w:t>
                  </w:r>
                </w:p>
              </w:tc>
            </w:tr>
            <w:tr>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2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政务通系统</w:t>
                  </w:r>
                </w:p>
              </w:tc>
              <w:tc>
                <w:tcPr>
                  <w:tcW w:type="dxa" w:w="2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三</w:t>
                  </w:r>
                  <w:r>
                    <w:rPr>
                      <w:rFonts w:ascii="仿宋_GB2312" w:hAnsi="仿宋_GB2312" w:cs="仿宋_GB2312" w:eastAsia="仿宋_GB2312"/>
                      <w:sz w:val="28"/>
                    </w:rPr>
                    <w:t>级</w:t>
                  </w:r>
                </w:p>
              </w:tc>
            </w:tr>
          </w:tbl>
          <w:p>
            <w:pPr>
              <w:pStyle w:val="null3"/>
              <w:ind w:firstLine="562"/>
              <w:jc w:val="both"/>
            </w:pPr>
            <w:r>
              <w:rPr>
                <w:rFonts w:ascii="仿宋_GB2312" w:hAnsi="仿宋_GB2312" w:cs="仿宋_GB2312" w:eastAsia="仿宋_GB2312"/>
                <w:sz w:val="28"/>
                <w:b/>
              </w:rPr>
              <w:t>（</w:t>
            </w:r>
            <w:r>
              <w:rPr>
                <w:rFonts w:ascii="仿宋_GB2312" w:hAnsi="仿宋_GB2312" w:cs="仿宋_GB2312" w:eastAsia="仿宋_GB2312"/>
                <w:sz w:val="28"/>
                <w:b/>
              </w:rPr>
              <w:t>三</w:t>
            </w:r>
            <w:r>
              <w:rPr>
                <w:rFonts w:ascii="仿宋_GB2312" w:hAnsi="仿宋_GB2312" w:cs="仿宋_GB2312" w:eastAsia="仿宋_GB2312"/>
                <w:sz w:val="28"/>
                <w:b/>
              </w:rPr>
              <w:t>）依据标准</w:t>
            </w:r>
          </w:p>
          <w:p>
            <w:pPr>
              <w:pStyle w:val="null3"/>
              <w:ind w:firstLine="560"/>
              <w:jc w:val="both"/>
            </w:pPr>
            <w:r>
              <w:rPr>
                <w:rFonts w:ascii="仿宋_GB2312" w:hAnsi="仿宋_GB2312" w:cs="仿宋_GB2312" w:eastAsia="仿宋_GB2312"/>
                <w:sz w:val="28"/>
              </w:rPr>
              <w:t>①《中华人民共和国网络安全法》</w:t>
            </w:r>
          </w:p>
          <w:p>
            <w:pPr>
              <w:pStyle w:val="null3"/>
              <w:ind w:firstLine="560"/>
              <w:jc w:val="both"/>
            </w:pPr>
            <w:r>
              <w:rPr>
                <w:rFonts w:ascii="仿宋_GB2312" w:hAnsi="仿宋_GB2312" w:cs="仿宋_GB2312" w:eastAsia="仿宋_GB2312"/>
                <w:sz w:val="28"/>
              </w:rPr>
              <w:t>②GB/T 22239-2019《信息安全技术 网络安全等级保护基本要求》</w:t>
            </w:r>
          </w:p>
          <w:p>
            <w:pPr>
              <w:pStyle w:val="null3"/>
              <w:ind w:firstLine="560"/>
              <w:jc w:val="both"/>
            </w:pPr>
            <w:r>
              <w:rPr>
                <w:rFonts w:ascii="仿宋_GB2312" w:hAnsi="仿宋_GB2312" w:cs="仿宋_GB2312" w:eastAsia="仿宋_GB2312"/>
                <w:sz w:val="28"/>
              </w:rPr>
              <w:t>③GB/T28448-2019《信息安全技术 网络安全等级保护测评要求》</w:t>
            </w:r>
          </w:p>
          <w:p>
            <w:pPr>
              <w:pStyle w:val="null3"/>
              <w:ind w:firstLine="560"/>
              <w:jc w:val="both"/>
            </w:pPr>
            <w:r>
              <w:rPr>
                <w:rFonts w:ascii="仿宋_GB2312" w:hAnsi="仿宋_GB2312" w:cs="仿宋_GB2312" w:eastAsia="仿宋_GB2312"/>
                <w:sz w:val="28"/>
              </w:rPr>
              <w:t>④GB/T28449-2018《信息安全技术 网络安全等级保护测评过程指南》</w:t>
            </w:r>
          </w:p>
          <w:p>
            <w:pPr>
              <w:pStyle w:val="null3"/>
              <w:ind w:firstLine="560"/>
              <w:jc w:val="both"/>
            </w:pPr>
            <w:r>
              <w:rPr>
                <w:rFonts w:ascii="仿宋_GB2312" w:hAnsi="仿宋_GB2312" w:cs="仿宋_GB2312" w:eastAsia="仿宋_GB2312"/>
                <w:sz w:val="28"/>
              </w:rPr>
              <w:t>⑤GB/T36627-2018《信息安全技术 网络安全等级保护测试评估技术指南》</w:t>
            </w:r>
          </w:p>
          <w:p>
            <w:pPr>
              <w:pStyle w:val="null3"/>
              <w:ind w:firstLine="560"/>
              <w:jc w:val="both"/>
            </w:pPr>
            <w:r>
              <w:rPr>
                <w:rFonts w:ascii="仿宋_GB2312" w:hAnsi="仿宋_GB2312" w:cs="仿宋_GB2312" w:eastAsia="仿宋_GB2312"/>
                <w:sz w:val="28"/>
              </w:rPr>
              <w:t>⑥《信息安全等级保护管理办法》公通字 [2007] 43号</w:t>
            </w:r>
          </w:p>
          <w:p>
            <w:pPr>
              <w:pStyle w:val="null3"/>
              <w:ind w:firstLine="562"/>
              <w:jc w:val="both"/>
            </w:pPr>
            <w:r>
              <w:rPr>
                <w:rFonts w:ascii="仿宋_GB2312" w:hAnsi="仿宋_GB2312" w:cs="仿宋_GB2312" w:eastAsia="仿宋_GB2312"/>
                <w:sz w:val="28"/>
                <w:b/>
              </w:rPr>
              <w:t>（</w:t>
            </w:r>
            <w:r>
              <w:rPr>
                <w:rFonts w:ascii="仿宋_GB2312" w:hAnsi="仿宋_GB2312" w:cs="仿宋_GB2312" w:eastAsia="仿宋_GB2312"/>
                <w:sz w:val="28"/>
                <w:b/>
              </w:rPr>
              <w:t>四</w:t>
            </w:r>
            <w:r>
              <w:rPr>
                <w:rFonts w:ascii="仿宋_GB2312" w:hAnsi="仿宋_GB2312" w:cs="仿宋_GB2312" w:eastAsia="仿宋_GB2312"/>
                <w:sz w:val="28"/>
                <w:b/>
              </w:rPr>
              <w:t>）</w:t>
            </w:r>
            <w:r>
              <w:rPr>
                <w:rFonts w:ascii="仿宋_GB2312" w:hAnsi="仿宋_GB2312" w:cs="仿宋_GB2312" w:eastAsia="仿宋_GB2312"/>
                <w:sz w:val="28"/>
                <w:b/>
              </w:rPr>
              <w:t>项目具体要求</w:t>
            </w:r>
          </w:p>
          <w:p>
            <w:pPr>
              <w:pStyle w:val="null3"/>
              <w:ind w:firstLine="560"/>
              <w:jc w:val="both"/>
            </w:pPr>
            <w:r>
              <w:rPr>
                <w:rFonts w:ascii="仿宋_GB2312" w:hAnsi="仿宋_GB2312" w:cs="仿宋_GB2312" w:eastAsia="仿宋_GB2312"/>
                <w:sz w:val="28"/>
              </w:rPr>
              <w:t>对信息系统安全等级保护状况进行测试评估，应包括两个方面的内容：一是安全控制测评，主要测评信息安全等级保护要求的基本安全控制在信息系统中的实施配置情况；二是系统整体测评，主要测评分析信息系统的整体安全性。其中，安全控制测评是信息系统整体安全测评的基础。</w:t>
            </w:r>
          </w:p>
          <w:p>
            <w:pPr>
              <w:pStyle w:val="null3"/>
              <w:ind w:firstLine="560"/>
              <w:jc w:val="both"/>
            </w:pPr>
            <w:r>
              <w:rPr>
                <w:rFonts w:ascii="仿宋_GB2312" w:hAnsi="仿宋_GB2312" w:cs="仿宋_GB2312" w:eastAsia="仿宋_GB2312"/>
                <w:sz w:val="28"/>
              </w:rPr>
              <w:t>对安全控制测评的描述，使用工作单元方式组织。工作单元分为安全技术和安全管理两大类。安全技术测评包括：安全物理环境、安全通信网络、安全区域边界、安全计算环境、安全管理中心五个方面；安全管理测评包括：安全管理制度、安全管理机构、安全管理人员、安全建设管理、安全运维管理五个方面。</w:t>
            </w:r>
          </w:p>
          <w:p>
            <w:pPr>
              <w:pStyle w:val="null3"/>
              <w:ind w:firstLine="560"/>
              <w:jc w:val="both"/>
            </w:pPr>
            <w:r>
              <w:rPr>
                <w:rFonts w:ascii="仿宋_GB2312" w:hAnsi="仿宋_GB2312" w:cs="仿宋_GB2312" w:eastAsia="仿宋_GB2312"/>
                <w:sz w:val="28"/>
              </w:rPr>
              <w:t>系统整体测评涉及到信息系统的整体拓扑、局部结构，也关系到信息系统的具体安全功能实现和安全控制配置，与特定信息系统的实际情况紧密相关，内容复杂且充满系统个性。因此，全面地给出系统整体测评要求的完整内容、具体实施方法和明确的结果判定方法是很困难的。测评人员应根据特定信息系统的具体情况，结合本标准要求，确定系统整体测评的具体内容，在安全控制测评的基础上，重点考虑安全控制间、层面间以及区域间的相互关联关系，测评安全控制间、层面间和区域间是否存在安全功能上的增强、补充和削弱作用以及信息系统整体结构安全性、不同信息系统之间整体安全性等。</w:t>
            </w:r>
          </w:p>
          <w:p>
            <w:pPr>
              <w:pStyle w:val="null3"/>
              <w:ind w:firstLine="560"/>
              <w:jc w:val="both"/>
            </w:pPr>
            <w:r>
              <w:rPr>
                <w:rFonts w:ascii="仿宋_GB2312" w:hAnsi="仿宋_GB2312" w:cs="仿宋_GB2312" w:eastAsia="仿宋_GB2312"/>
                <w:sz w:val="28"/>
              </w:rPr>
              <w:t>投标方根据国家对信息安全等级保护工作的相关法律和技术标准要求，结合本项目的系统保护等级开展实施与之相应的检查、访谈、测试工作。</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b/>
              </w:rPr>
              <w:t>二、</w:t>
            </w:r>
            <w:r>
              <w:rPr>
                <w:rFonts w:ascii="仿宋_GB2312" w:hAnsi="仿宋_GB2312" w:cs="仿宋_GB2312" w:eastAsia="仿宋_GB2312"/>
                <w:sz w:val="28"/>
                <w:b/>
              </w:rPr>
              <w:t>测评要求</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安全物理环境</w:t>
            </w:r>
          </w:p>
          <w:tbl>
            <w:tblPr>
              <w:tblBorders>
                <w:top w:val="none" w:color="000000" w:sz="4"/>
                <w:left w:val="none" w:color="000000" w:sz="4"/>
                <w:bottom w:val="none" w:color="000000" w:sz="4"/>
                <w:right w:val="none" w:color="000000" w:sz="4"/>
                <w:insideH w:val="none"/>
                <w:insideV w:val="none"/>
              </w:tblBorders>
            </w:tblPr>
            <w:tblGrid>
              <w:gridCol w:w="528"/>
              <w:gridCol w:w="1417"/>
              <w:gridCol w:w="3654"/>
            </w:tblGrid>
            <w:tr>
              <w:tc>
                <w:tcPr>
                  <w:tcW w:type="dxa" w:w="528"/>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序号</w:t>
                  </w:r>
                </w:p>
              </w:tc>
              <w:tc>
                <w:tcPr>
                  <w:tcW w:type="dxa" w:w="1417"/>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工作单元名称</w:t>
                  </w:r>
                </w:p>
              </w:tc>
              <w:tc>
                <w:tcPr>
                  <w:tcW w:type="dxa" w:w="3654"/>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工作单元描述</w:t>
                  </w:r>
                </w:p>
              </w:tc>
            </w:tr>
            <w:tr>
              <w:tc>
                <w:tcPr>
                  <w:tcW w:type="dxa" w:w="528"/>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1</w:t>
                  </w:r>
                </w:p>
              </w:tc>
              <w:tc>
                <w:tcPr>
                  <w:tcW w:type="dxa" w:w="141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物理位置选择</w:t>
                  </w:r>
                </w:p>
              </w:tc>
              <w:tc>
                <w:tcPr>
                  <w:tcW w:type="dxa" w:w="3654"/>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通过访谈、检查机房等信息系统物理场所在位置上是否具有防雷、防风和防雨等多方面的安全防范能力。</w:t>
                  </w:r>
                </w:p>
              </w:tc>
            </w:tr>
            <w:tr>
              <w:tc>
                <w:tcPr>
                  <w:tcW w:type="dxa" w:w="528"/>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2</w:t>
                  </w:r>
                </w:p>
              </w:tc>
              <w:tc>
                <w:tcPr>
                  <w:tcW w:type="dxa" w:w="141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物理访问控制</w:t>
                  </w:r>
                </w:p>
              </w:tc>
              <w:tc>
                <w:tcPr>
                  <w:tcW w:type="dxa" w:w="3654"/>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通过访谈、检查主机房出入口、机房分区域情况等过程，测评信息系统在物理访问控制方面的安全防范能力。</w:t>
                  </w:r>
                </w:p>
              </w:tc>
            </w:tr>
            <w:tr>
              <w:tc>
                <w:tcPr>
                  <w:tcW w:type="dxa" w:w="528"/>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3</w:t>
                  </w:r>
                </w:p>
              </w:tc>
              <w:tc>
                <w:tcPr>
                  <w:tcW w:type="dxa" w:w="141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防盗窃和防破坏</w:t>
                  </w:r>
                </w:p>
              </w:tc>
              <w:tc>
                <w:tcPr>
                  <w:tcW w:type="dxa" w:w="3654"/>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通过访谈、检查机房的主要设备、介质和防盗报警系统等过程，测评信息系统是否采取必要的措施预防设备、介质等丢失和被破坏。</w:t>
                  </w:r>
                </w:p>
              </w:tc>
            </w:tr>
            <w:tr>
              <w:tc>
                <w:tcPr>
                  <w:tcW w:type="dxa" w:w="528"/>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4</w:t>
                  </w:r>
                </w:p>
              </w:tc>
              <w:tc>
                <w:tcPr>
                  <w:tcW w:type="dxa" w:w="141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防雷击</w:t>
                  </w:r>
                </w:p>
              </w:tc>
              <w:tc>
                <w:tcPr>
                  <w:tcW w:type="dxa" w:w="3654"/>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通过访谈、检查机房的设计</w:t>
                  </w:r>
                  <w:r>
                    <w:rPr>
                      <w:rFonts w:ascii="仿宋_GB2312" w:hAnsi="仿宋_GB2312" w:cs="仿宋_GB2312" w:eastAsia="仿宋_GB2312"/>
                      <w:sz w:val="28"/>
                    </w:rPr>
                    <w:t>/验收文档，测评信息系统是否采取相应的措施预防雷击。</w:t>
                  </w:r>
                </w:p>
              </w:tc>
            </w:tr>
            <w:tr>
              <w:tc>
                <w:tcPr>
                  <w:tcW w:type="dxa" w:w="528"/>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5</w:t>
                  </w:r>
                </w:p>
              </w:tc>
              <w:tc>
                <w:tcPr>
                  <w:tcW w:type="dxa" w:w="141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防火</w:t>
                  </w:r>
                </w:p>
              </w:tc>
              <w:tc>
                <w:tcPr>
                  <w:tcW w:type="dxa" w:w="3654"/>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通过访谈、检查机房的设计</w:t>
                  </w:r>
                  <w:r>
                    <w:rPr>
                      <w:rFonts w:ascii="仿宋_GB2312" w:hAnsi="仿宋_GB2312" w:cs="仿宋_GB2312" w:eastAsia="仿宋_GB2312"/>
                      <w:sz w:val="28"/>
                    </w:rPr>
                    <w:t>/验收文档，检查机房防火设备等过程，测评信息系统是否采取必要的措施防止火灾的发生。</w:t>
                  </w:r>
                </w:p>
              </w:tc>
            </w:tr>
            <w:tr>
              <w:tc>
                <w:tcPr>
                  <w:tcW w:type="dxa" w:w="528"/>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6</w:t>
                  </w:r>
                </w:p>
              </w:tc>
              <w:tc>
                <w:tcPr>
                  <w:tcW w:type="dxa" w:w="141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防水和防潮</w:t>
                  </w:r>
                </w:p>
              </w:tc>
              <w:tc>
                <w:tcPr>
                  <w:tcW w:type="dxa" w:w="3654"/>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通过访谈、检查机房的除潮设备等过程，测评信息系统是否采取必要措施来防止水灾和机房潮湿。</w:t>
                  </w:r>
                </w:p>
              </w:tc>
            </w:tr>
            <w:tr>
              <w:tc>
                <w:tcPr>
                  <w:tcW w:type="dxa" w:w="528"/>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7</w:t>
                  </w:r>
                </w:p>
              </w:tc>
              <w:tc>
                <w:tcPr>
                  <w:tcW w:type="dxa" w:w="141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防静电</w:t>
                  </w:r>
                </w:p>
              </w:tc>
              <w:tc>
                <w:tcPr>
                  <w:tcW w:type="dxa" w:w="3654"/>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通过访谈、检查机房是否采取必要措施防止静电的产生。</w:t>
                  </w:r>
                </w:p>
              </w:tc>
            </w:tr>
            <w:tr>
              <w:tc>
                <w:tcPr>
                  <w:tcW w:type="dxa" w:w="528"/>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8</w:t>
                  </w:r>
                </w:p>
              </w:tc>
              <w:tc>
                <w:tcPr>
                  <w:tcW w:type="dxa" w:w="141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温湿度控制</w:t>
                  </w:r>
                </w:p>
              </w:tc>
              <w:tc>
                <w:tcPr>
                  <w:tcW w:type="dxa" w:w="3654"/>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通过访谈、检查机房温、湿度情况，是否采取必要措施对机房内的温湿度进行控制。</w:t>
                  </w:r>
                </w:p>
              </w:tc>
            </w:tr>
            <w:tr>
              <w:tc>
                <w:tcPr>
                  <w:tcW w:type="dxa" w:w="528"/>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9</w:t>
                  </w:r>
                </w:p>
              </w:tc>
              <w:tc>
                <w:tcPr>
                  <w:tcW w:type="dxa" w:w="141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电力供应</w:t>
                  </w:r>
                </w:p>
              </w:tc>
              <w:tc>
                <w:tcPr>
                  <w:tcW w:type="dxa" w:w="3654"/>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通过访谈、检查机房供电线路、设备等过程，是否具备提供一定的电力供应的能力。</w:t>
                  </w:r>
                </w:p>
              </w:tc>
            </w:tr>
            <w:tr>
              <w:tc>
                <w:tcPr>
                  <w:tcW w:type="dxa" w:w="528"/>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10</w:t>
                  </w:r>
                </w:p>
              </w:tc>
              <w:tc>
                <w:tcPr>
                  <w:tcW w:type="dxa" w:w="141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电磁防护</w:t>
                  </w:r>
                </w:p>
              </w:tc>
              <w:tc>
                <w:tcPr>
                  <w:tcW w:type="dxa" w:w="3654"/>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通过访谈、检查是否具备一定的电磁防护能力。</w:t>
                  </w:r>
                </w:p>
              </w:tc>
            </w:tr>
          </w:tbl>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安全通信网络</w:t>
            </w:r>
          </w:p>
          <w:tbl>
            <w:tblPr>
              <w:tblBorders>
                <w:top w:val="none" w:color="000000" w:sz="4"/>
                <w:left w:val="none" w:color="000000" w:sz="4"/>
                <w:bottom w:val="none" w:color="000000" w:sz="4"/>
                <w:right w:val="none" w:color="000000" w:sz="4"/>
                <w:insideH w:val="none"/>
                <w:insideV w:val="none"/>
              </w:tblBorders>
            </w:tblPr>
            <w:tblGrid>
              <w:gridCol w:w="677"/>
              <w:gridCol w:w="1041"/>
              <w:gridCol w:w="3880"/>
            </w:tblGrid>
            <w:tr>
              <w:tc>
                <w:tcPr>
                  <w:tcW w:type="dxa" w:w="677"/>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序号</w:t>
                  </w:r>
                </w:p>
              </w:tc>
              <w:tc>
                <w:tcPr>
                  <w:tcW w:type="dxa" w:w="1041"/>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工作单元名称</w:t>
                  </w:r>
                </w:p>
              </w:tc>
              <w:tc>
                <w:tcPr>
                  <w:tcW w:type="dxa" w:w="3880"/>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工作单元描述</w:t>
                  </w:r>
                </w:p>
              </w:tc>
            </w:tr>
            <w:tr>
              <w:tc>
                <w:tcPr>
                  <w:tcW w:type="dxa" w:w="67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1</w:t>
                  </w:r>
                </w:p>
              </w:tc>
              <w:tc>
                <w:tcPr>
                  <w:tcW w:type="dxa" w:w="1041"/>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网络架构</w:t>
                  </w:r>
                </w:p>
              </w:tc>
              <w:tc>
                <w:tcPr>
                  <w:tcW w:type="dxa" w:w="3880"/>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测试网络拓扑情况、抽查核心交换机、接入交换机和接入路由器等网络互联设备，测试系统访问路径和网络宽带分配情况等过程，测评分析网络架构与网段划分、隔离等情况的合理性和有效性，以及通信线路、关键设备硬件冗余，系统可用性保证情况。</w:t>
                  </w:r>
                </w:p>
              </w:tc>
            </w:tr>
            <w:tr>
              <w:tc>
                <w:tcPr>
                  <w:tcW w:type="dxa" w:w="67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2</w:t>
                  </w:r>
                </w:p>
              </w:tc>
              <w:tc>
                <w:tcPr>
                  <w:tcW w:type="dxa" w:w="1041"/>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通信传输</w:t>
                  </w:r>
                </w:p>
              </w:tc>
              <w:tc>
                <w:tcPr>
                  <w:tcW w:type="dxa" w:w="3880"/>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通过访谈、检查、测试通信传输过程的数据完整性和保密性保护情况。</w:t>
                  </w:r>
                </w:p>
              </w:tc>
            </w:tr>
            <w:tr>
              <w:tc>
                <w:tcPr>
                  <w:tcW w:type="dxa" w:w="67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3</w:t>
                  </w:r>
                </w:p>
              </w:tc>
              <w:tc>
                <w:tcPr>
                  <w:tcW w:type="dxa" w:w="1041"/>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可信验证</w:t>
                  </w:r>
                </w:p>
              </w:tc>
              <w:tc>
                <w:tcPr>
                  <w:tcW w:type="dxa" w:w="3880"/>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通过访谈、检查通信设备的系统引导、系统程序、重要配置参数和通信应用程序等进行可信验证及应用程序的关键执行环节进行动态可信验证的保护情况。</w:t>
                  </w:r>
                </w:p>
              </w:tc>
            </w:tr>
          </w:tbl>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安全区域边界</w:t>
            </w:r>
          </w:p>
          <w:tbl>
            <w:tblPr>
              <w:tblBorders>
                <w:top w:val="none" w:color="000000" w:sz="4"/>
                <w:left w:val="none" w:color="000000" w:sz="4"/>
                <w:bottom w:val="none" w:color="000000" w:sz="4"/>
                <w:right w:val="none" w:color="000000" w:sz="4"/>
                <w:insideH w:val="none"/>
                <w:insideV w:val="none"/>
              </w:tblBorders>
            </w:tblPr>
            <w:tblGrid>
              <w:gridCol w:w="677"/>
              <w:gridCol w:w="1041"/>
              <w:gridCol w:w="3880"/>
            </w:tblGrid>
            <w:tr>
              <w:tc>
                <w:tcPr>
                  <w:tcW w:type="dxa" w:w="677"/>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序号</w:t>
                  </w:r>
                </w:p>
              </w:tc>
              <w:tc>
                <w:tcPr>
                  <w:tcW w:type="dxa" w:w="1041"/>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工作单元名称</w:t>
                  </w:r>
                </w:p>
              </w:tc>
              <w:tc>
                <w:tcPr>
                  <w:tcW w:type="dxa" w:w="3880"/>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工作单元描述</w:t>
                  </w:r>
                </w:p>
              </w:tc>
            </w:tr>
            <w:tr>
              <w:tc>
                <w:tcPr>
                  <w:tcW w:type="dxa" w:w="67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1</w:t>
                  </w:r>
                </w:p>
              </w:tc>
              <w:tc>
                <w:tcPr>
                  <w:tcW w:type="dxa" w:w="1041"/>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边界防护</w:t>
                  </w:r>
                </w:p>
              </w:tc>
              <w:tc>
                <w:tcPr>
                  <w:tcW w:type="dxa" w:w="3880"/>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通过访谈、检查、测试边界完整性检查设备，测评分析跨域边界的访问控制和数据流通过边界设备的控制措施，非法内联、外联、无线准入控制的监测、阻断等能力。</w:t>
                  </w:r>
                </w:p>
              </w:tc>
            </w:tr>
            <w:tr>
              <w:tc>
                <w:tcPr>
                  <w:tcW w:type="dxa" w:w="67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2</w:t>
                  </w:r>
                </w:p>
              </w:tc>
              <w:tc>
                <w:tcPr>
                  <w:tcW w:type="dxa" w:w="1041"/>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访问控制</w:t>
                  </w:r>
                </w:p>
              </w:tc>
              <w:tc>
                <w:tcPr>
                  <w:tcW w:type="dxa" w:w="3880"/>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通过访谈、检查、测试网络访问控制设备策略部署，测试系统对外暴露安全漏洞情况等过程，测评分析对进出网络的数据流量控制以及基于应用协议和应用内容的访问控制能力。</w:t>
                  </w:r>
                </w:p>
              </w:tc>
            </w:tr>
            <w:tr>
              <w:tc>
                <w:tcPr>
                  <w:tcW w:type="dxa" w:w="67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3</w:t>
                  </w:r>
                </w:p>
              </w:tc>
              <w:tc>
                <w:tcPr>
                  <w:tcW w:type="dxa" w:w="1041"/>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入侵防范</w:t>
                  </w:r>
                </w:p>
              </w:tc>
              <w:tc>
                <w:tcPr>
                  <w:tcW w:type="dxa" w:w="3880"/>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测试网络边界处、关键网络节点检测、防止或限制从内部和外部发起网络攻击行为的防护能力，以及网络行为分析、监测、报警能力，特别是新型网络攻击行为的分析，对攻击行为的检测是否涉及攻击源、攻击类型、攻击目标、攻击事件、入侵报警等方面的防范能力。</w:t>
                  </w:r>
                </w:p>
              </w:tc>
            </w:tr>
            <w:tr>
              <w:tc>
                <w:tcPr>
                  <w:tcW w:type="dxa" w:w="67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4</w:t>
                  </w:r>
                </w:p>
              </w:tc>
              <w:tc>
                <w:tcPr>
                  <w:tcW w:type="dxa" w:w="1041"/>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恶意代码和防垃圾邮件</w:t>
                  </w:r>
                </w:p>
              </w:tc>
              <w:tc>
                <w:tcPr>
                  <w:tcW w:type="dxa" w:w="3880"/>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通过访谈、检查、测试关键网络节点处对恶意代码、垃圾邮件进行检测、防护和清除、恶意代码防护机制的升级和更新维护等情况。</w:t>
                  </w:r>
                </w:p>
              </w:tc>
            </w:tr>
            <w:tr>
              <w:tc>
                <w:tcPr>
                  <w:tcW w:type="dxa" w:w="67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5</w:t>
                  </w:r>
                </w:p>
              </w:tc>
              <w:tc>
                <w:tcPr>
                  <w:tcW w:type="dxa" w:w="1041"/>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安全审计</w:t>
                  </w:r>
                </w:p>
              </w:tc>
              <w:tc>
                <w:tcPr>
                  <w:tcW w:type="dxa" w:w="3880"/>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通过访谈、检查网络边界、重要网络节点安全审计情况等，测评分析信息系统审计配置和审计记录保护，审计内容等情况。</w:t>
                  </w:r>
                </w:p>
              </w:tc>
            </w:tr>
            <w:tr>
              <w:tc>
                <w:tcPr>
                  <w:tcW w:type="dxa" w:w="67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6</w:t>
                  </w:r>
                </w:p>
              </w:tc>
              <w:tc>
                <w:tcPr>
                  <w:tcW w:type="dxa" w:w="1041"/>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可信验证</w:t>
                  </w:r>
                </w:p>
              </w:tc>
              <w:tc>
                <w:tcPr>
                  <w:tcW w:type="dxa" w:w="3880"/>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通过访谈、检查边界设备的系统引导、系统程序、重要配置参数和边界防护应用程序等进行可信验证及应用程序的关键执行环节进行动态可信验证的保护情况。</w:t>
                  </w:r>
                </w:p>
              </w:tc>
            </w:tr>
          </w:tbl>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安全计算环境</w:t>
            </w:r>
          </w:p>
          <w:tbl>
            <w:tblPr>
              <w:tblBorders>
                <w:top w:val="none" w:color="000000" w:sz="4"/>
                <w:left w:val="none" w:color="000000" w:sz="4"/>
                <w:bottom w:val="none" w:color="000000" w:sz="4"/>
                <w:right w:val="none" w:color="000000" w:sz="4"/>
                <w:insideH w:val="none"/>
                <w:insideV w:val="none"/>
              </w:tblBorders>
            </w:tblPr>
            <w:tblGrid>
              <w:gridCol w:w="615"/>
              <w:gridCol w:w="1099"/>
              <w:gridCol w:w="3873"/>
            </w:tblGrid>
            <w:tr>
              <w:tc>
                <w:tcPr>
                  <w:tcW w:type="dxa" w:w="615"/>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序号</w:t>
                  </w:r>
                </w:p>
              </w:tc>
              <w:tc>
                <w:tcPr>
                  <w:tcW w:type="dxa" w:w="1099"/>
                  <w:tcBorders>
                    <w:top w:val="single" w:color="000000" w:sz="4"/>
                    <w:left w:val="none" w:color="000000" w:sz="4"/>
                    <w:bottom w:val="single" w:color="000000" w:sz="4"/>
                    <w:right w:val="single" w:color="000000" w:sz="4"/>
                  </w:tcBorders>
                  <w:shd w:fill="FFFFFF"/>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工作单元名称</w:t>
                  </w:r>
                </w:p>
              </w:tc>
              <w:tc>
                <w:tcPr>
                  <w:tcW w:type="dxa" w:w="3873"/>
                  <w:tcBorders>
                    <w:top w:val="single" w:color="000000" w:sz="4"/>
                    <w:left w:val="none" w:color="000000" w:sz="4"/>
                    <w:bottom w:val="single" w:color="000000" w:sz="4"/>
                    <w:right w:val="single" w:color="000000" w:sz="4"/>
                  </w:tcBorders>
                  <w:shd w:fill="FFFFFF"/>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工作单元描述</w:t>
                  </w:r>
                </w:p>
              </w:tc>
            </w:tr>
            <w:tr>
              <w:tc>
                <w:tcPr>
                  <w:tcW w:type="dxa" w:w="615"/>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1</w:t>
                  </w:r>
                </w:p>
              </w:tc>
              <w:tc>
                <w:tcPr>
                  <w:tcW w:type="dxa" w:w="1099"/>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身份鉴别</w:t>
                  </w:r>
                </w:p>
              </w:tc>
              <w:tc>
                <w:tcPr>
                  <w:tcW w:type="dxa" w:w="387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通过访谈、检查、测试对登录的用户进行身份标识和鉴别，是否具有不易被冒用的特点，口令应有复杂度要求并定期更换，以及远程管理安全、双因素鉴别等内容。</w:t>
                  </w:r>
                </w:p>
              </w:tc>
            </w:tr>
            <w:tr>
              <w:tc>
                <w:tcPr>
                  <w:tcW w:type="dxa" w:w="615"/>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2</w:t>
                  </w:r>
                </w:p>
              </w:tc>
              <w:tc>
                <w:tcPr>
                  <w:tcW w:type="dxa" w:w="1099"/>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访问控制</w:t>
                  </w:r>
                </w:p>
              </w:tc>
              <w:tc>
                <w:tcPr>
                  <w:tcW w:type="dxa" w:w="387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通过访谈、检查、测试是否启用访问控制功能，依据安全策略控制用户对资源的访问；是否根据管理用户的角色分配权限，实现管理用户的权限分离，仅授予管理用户所需的最小权限等内容。</w:t>
                  </w:r>
                </w:p>
              </w:tc>
            </w:tr>
            <w:tr>
              <w:tc>
                <w:tcPr>
                  <w:tcW w:type="dxa" w:w="615"/>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3</w:t>
                  </w:r>
                </w:p>
              </w:tc>
              <w:tc>
                <w:tcPr>
                  <w:tcW w:type="dxa" w:w="1099"/>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安全审计</w:t>
                  </w:r>
                </w:p>
              </w:tc>
              <w:tc>
                <w:tcPr>
                  <w:tcW w:type="dxa" w:w="387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通过访谈、检查安全审计范围及内容。</w:t>
                  </w:r>
                </w:p>
              </w:tc>
            </w:tr>
            <w:tr>
              <w:tc>
                <w:tcPr>
                  <w:tcW w:type="dxa" w:w="615"/>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4</w:t>
                  </w:r>
                </w:p>
              </w:tc>
              <w:tc>
                <w:tcPr>
                  <w:tcW w:type="dxa" w:w="1099"/>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入侵防范</w:t>
                  </w:r>
                </w:p>
              </w:tc>
              <w:tc>
                <w:tcPr>
                  <w:tcW w:type="dxa" w:w="387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通过访谈、检查、测试是否能够检测到对重要节点进行入侵的行为，能够记录入侵的源</w:t>
                  </w:r>
                  <w:r>
                    <w:rPr>
                      <w:rFonts w:ascii="仿宋_GB2312" w:hAnsi="仿宋_GB2312" w:cs="仿宋_GB2312" w:eastAsia="仿宋_GB2312"/>
                      <w:sz w:val="28"/>
                    </w:rPr>
                    <w:t>IP、攻击的类型、攻击的目的、攻击的时间，并在发生严重入侵事件时提供报警，是否遵循最小化安全装原则、系统服务、默认共享和高危端口、终端接入限制、数据有效性检验、已知漏洞防护等内容。</w:t>
                  </w:r>
                </w:p>
              </w:tc>
            </w:tr>
            <w:tr>
              <w:tc>
                <w:tcPr>
                  <w:tcW w:type="dxa" w:w="615"/>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5</w:t>
                  </w:r>
                </w:p>
              </w:tc>
              <w:tc>
                <w:tcPr>
                  <w:tcW w:type="dxa" w:w="1099"/>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恶意代码防范</w:t>
                  </w:r>
                </w:p>
              </w:tc>
              <w:tc>
                <w:tcPr>
                  <w:tcW w:type="dxa" w:w="387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通过访谈、检查、测试是否具有防恶意代码攻击的技术措施或主动免疫可信验证机制，能否及时识别入侵和病毒行为并将其有效阻断等内容。</w:t>
                  </w:r>
                </w:p>
              </w:tc>
            </w:tr>
            <w:tr>
              <w:tc>
                <w:tcPr>
                  <w:tcW w:type="dxa" w:w="615"/>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6</w:t>
                  </w:r>
                </w:p>
              </w:tc>
              <w:tc>
                <w:tcPr>
                  <w:tcW w:type="dxa" w:w="1099"/>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可信验证</w:t>
                  </w:r>
                </w:p>
              </w:tc>
              <w:tc>
                <w:tcPr>
                  <w:tcW w:type="dxa" w:w="387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通过访谈、通过访谈安全员，检查计算设备的系统引导、系统程序、重要配置参数和应用程序等进行可信验证及应用程序的关键执行环节进行动态可信验证的保护情况。</w:t>
                  </w:r>
                </w:p>
              </w:tc>
            </w:tr>
            <w:tr>
              <w:tc>
                <w:tcPr>
                  <w:tcW w:type="dxa" w:w="615"/>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7</w:t>
                  </w:r>
                </w:p>
              </w:tc>
              <w:tc>
                <w:tcPr>
                  <w:tcW w:type="dxa" w:w="1099"/>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数据完整性</w:t>
                  </w:r>
                </w:p>
              </w:tc>
              <w:tc>
                <w:tcPr>
                  <w:tcW w:type="dxa" w:w="387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通过访谈、检查、测试重要数据在传输和存储过程中的完整性保护情况，包括鉴别数据、重要业务数据、重要审计数据、重要配置数据、重要视频数据和重要个人信息等。</w:t>
                  </w:r>
                </w:p>
              </w:tc>
            </w:tr>
            <w:tr>
              <w:tc>
                <w:tcPr>
                  <w:tcW w:type="dxa" w:w="615"/>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8</w:t>
                  </w:r>
                </w:p>
              </w:tc>
              <w:tc>
                <w:tcPr>
                  <w:tcW w:type="dxa" w:w="1099"/>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数据保密性</w:t>
                  </w:r>
                </w:p>
              </w:tc>
              <w:tc>
                <w:tcPr>
                  <w:tcW w:type="dxa" w:w="387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通过访谈、检查、测试重要数据在传输和存储过程中的保密性保护情况，包括鉴别数据、重要业务数据、重要审计数据、重要配置数据、重要视频数据和重要个人信息等。</w:t>
                  </w:r>
                </w:p>
              </w:tc>
            </w:tr>
            <w:tr>
              <w:tc>
                <w:tcPr>
                  <w:tcW w:type="dxa" w:w="615"/>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9</w:t>
                  </w:r>
                </w:p>
              </w:tc>
              <w:tc>
                <w:tcPr>
                  <w:tcW w:type="dxa" w:w="1099"/>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数据备份恢复</w:t>
                  </w:r>
                </w:p>
              </w:tc>
              <w:tc>
                <w:tcPr>
                  <w:tcW w:type="dxa" w:w="387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通过访谈、检查、测试重要数据本地备份与恢复功能，异地实时备份功能，以及重要数据处理系统的热冗余和高可用性保证等。</w:t>
                  </w:r>
                </w:p>
              </w:tc>
            </w:tr>
            <w:tr>
              <w:tc>
                <w:tcPr>
                  <w:tcW w:type="dxa" w:w="615"/>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10</w:t>
                  </w:r>
                </w:p>
              </w:tc>
              <w:tc>
                <w:tcPr>
                  <w:tcW w:type="dxa" w:w="1099"/>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剩余信息保护</w:t>
                  </w:r>
                </w:p>
              </w:tc>
              <w:tc>
                <w:tcPr>
                  <w:tcW w:type="dxa" w:w="387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通过访谈、检查、测试边界信息在存储空间被释放或重新分配前是否有效清除，存有敏感数据的存储空间被释放或重新分配前是否有效清除等。</w:t>
                  </w:r>
                </w:p>
              </w:tc>
            </w:tr>
            <w:tr>
              <w:tc>
                <w:tcPr>
                  <w:tcW w:type="dxa" w:w="615"/>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11</w:t>
                  </w:r>
                </w:p>
              </w:tc>
              <w:tc>
                <w:tcPr>
                  <w:tcW w:type="dxa" w:w="1099"/>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个人信息保护</w:t>
                  </w:r>
                </w:p>
              </w:tc>
              <w:tc>
                <w:tcPr>
                  <w:tcW w:type="dxa" w:w="387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通过访谈、检查、测试是否仅采集和保存业务必须的用户个人信息，对用户个人信息的访问和使用等。</w:t>
                  </w:r>
                </w:p>
              </w:tc>
            </w:tr>
          </w:tbl>
          <w:p>
            <w:pPr>
              <w:pStyle w:val="null3"/>
              <w:ind w:firstLine="560"/>
              <w:jc w:val="both"/>
            </w:pPr>
            <w:r>
              <w:rPr>
                <w:rFonts w:ascii="仿宋_GB2312" w:hAnsi="仿宋_GB2312" w:cs="仿宋_GB2312" w:eastAsia="仿宋_GB2312"/>
                <w:sz w:val="28"/>
              </w:rPr>
              <w:t>5.</w:t>
            </w:r>
            <w:r>
              <w:rPr>
                <w:rFonts w:ascii="仿宋_GB2312" w:hAnsi="仿宋_GB2312" w:cs="仿宋_GB2312" w:eastAsia="仿宋_GB2312"/>
                <w:sz w:val="28"/>
              </w:rPr>
              <w:t>安全管理中心</w:t>
            </w:r>
          </w:p>
          <w:tbl>
            <w:tblPr>
              <w:tblBorders>
                <w:top w:val="none" w:color="000000" w:sz="4"/>
                <w:left w:val="none" w:color="000000" w:sz="4"/>
                <w:bottom w:val="none" w:color="000000" w:sz="4"/>
                <w:right w:val="none" w:color="000000" w:sz="4"/>
                <w:insideH w:val="none"/>
                <w:insideV w:val="none"/>
              </w:tblBorders>
            </w:tblPr>
            <w:tblGrid>
              <w:gridCol w:w="556"/>
              <w:gridCol w:w="1162"/>
              <w:gridCol w:w="3880"/>
            </w:tblGrid>
            <w:tr>
              <w:tc>
                <w:tcPr>
                  <w:tcW w:type="dxa" w:w="556"/>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jc w:val="both"/>
                  </w:pPr>
                  <w:r>
                    <w:rPr>
                      <w:rFonts w:ascii="仿宋_GB2312" w:hAnsi="仿宋_GB2312" w:cs="仿宋_GB2312" w:eastAsia="仿宋_GB2312"/>
                      <w:sz w:val="28"/>
                    </w:rPr>
                    <w:t>序号</w:t>
                  </w:r>
                </w:p>
              </w:tc>
              <w:tc>
                <w:tcPr>
                  <w:tcW w:type="dxa" w:w="1162"/>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jc w:val="both"/>
                  </w:pPr>
                  <w:r>
                    <w:rPr>
                      <w:rFonts w:ascii="仿宋_GB2312" w:hAnsi="仿宋_GB2312" w:cs="仿宋_GB2312" w:eastAsia="仿宋_GB2312"/>
                      <w:sz w:val="28"/>
                    </w:rPr>
                    <w:t>工作单元名称</w:t>
                  </w:r>
                </w:p>
              </w:tc>
              <w:tc>
                <w:tcPr>
                  <w:tcW w:type="dxa" w:w="3880"/>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jc w:val="both"/>
                  </w:pPr>
                  <w:r>
                    <w:rPr>
                      <w:rFonts w:ascii="仿宋_GB2312" w:hAnsi="仿宋_GB2312" w:cs="仿宋_GB2312" w:eastAsia="仿宋_GB2312"/>
                      <w:sz w:val="28"/>
                    </w:rPr>
                    <w:t>工作单元描述</w:t>
                  </w:r>
                </w:p>
              </w:tc>
            </w:tr>
            <w:tr>
              <w:tc>
                <w:tcPr>
                  <w:tcW w:type="dxa" w:w="556"/>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1</w:t>
                  </w:r>
                </w:p>
              </w:tc>
              <w:tc>
                <w:tcPr>
                  <w:tcW w:type="dxa" w:w="1162"/>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系统管理</w:t>
                  </w:r>
                </w:p>
              </w:tc>
              <w:tc>
                <w:tcPr>
                  <w:tcW w:type="dxa" w:w="3880"/>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通过访谈、检查、测试对系统管理员身份鉴别、命令或操作管理、操作审计，以及是否通过系统管理对系统资源和运行进行配置、控制和管理等。</w:t>
                  </w:r>
                </w:p>
              </w:tc>
            </w:tr>
            <w:tr>
              <w:tc>
                <w:tcPr>
                  <w:tcW w:type="dxa" w:w="556"/>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2</w:t>
                  </w:r>
                </w:p>
              </w:tc>
              <w:tc>
                <w:tcPr>
                  <w:tcW w:type="dxa" w:w="1162"/>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审计管理</w:t>
                  </w:r>
                </w:p>
              </w:tc>
              <w:tc>
                <w:tcPr>
                  <w:tcW w:type="dxa" w:w="3880"/>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通过访谈、检查、测试对审计管理员身份鉴别、命令或操作管理、操作审计，以及是否通过审计管理员对审计策略、审计记录进行分析、处理等。</w:t>
                  </w:r>
                </w:p>
              </w:tc>
            </w:tr>
            <w:tr>
              <w:tc>
                <w:tcPr>
                  <w:tcW w:type="dxa" w:w="556"/>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3</w:t>
                  </w:r>
                </w:p>
              </w:tc>
              <w:tc>
                <w:tcPr>
                  <w:tcW w:type="dxa" w:w="1162"/>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安全管理</w:t>
                  </w:r>
                </w:p>
              </w:tc>
              <w:tc>
                <w:tcPr>
                  <w:tcW w:type="dxa" w:w="3880"/>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通过访谈、检查、测试对安全管理员身份鉴别、命令或操作管理、操作审计，以及是否通过安全管理员对安全策略、参数进行配置等。</w:t>
                  </w:r>
                </w:p>
              </w:tc>
            </w:tr>
            <w:tr>
              <w:tc>
                <w:tcPr>
                  <w:tcW w:type="dxa" w:w="556"/>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4</w:t>
                  </w:r>
                </w:p>
              </w:tc>
              <w:tc>
                <w:tcPr>
                  <w:tcW w:type="dxa" w:w="1162"/>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集中管控</w:t>
                  </w:r>
                </w:p>
              </w:tc>
              <w:tc>
                <w:tcPr>
                  <w:tcW w:type="dxa" w:w="3880"/>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测试是否具有特定的管理区域，对分布在网络中的安全设备或安全组件进行集中管控，对网络链路、安全设备、网络设备和服务的运行进行集中监测，对分散在各设备上的审计数据进行收集汇总和集中分析，并确保记录留存符合法律法规要求，对安全策略、恶意代码、升级补丁等安全相关事项进行集中管理，对网络中发生的各类安全事件进行识别、报警和分析等。</w:t>
                  </w:r>
                </w:p>
              </w:tc>
            </w:tr>
          </w:tbl>
          <w:p>
            <w:pPr>
              <w:pStyle w:val="null3"/>
              <w:ind w:firstLine="560"/>
              <w:jc w:val="both"/>
            </w:pPr>
            <w:r>
              <w:rPr>
                <w:rFonts w:ascii="仿宋_GB2312" w:hAnsi="仿宋_GB2312" w:cs="仿宋_GB2312" w:eastAsia="仿宋_GB2312"/>
                <w:sz w:val="28"/>
              </w:rPr>
              <w:t>6.</w:t>
            </w:r>
            <w:r>
              <w:rPr>
                <w:rFonts w:ascii="仿宋_GB2312" w:hAnsi="仿宋_GB2312" w:cs="仿宋_GB2312" w:eastAsia="仿宋_GB2312"/>
                <w:sz w:val="28"/>
              </w:rPr>
              <w:t>安全管理制度</w:t>
            </w:r>
          </w:p>
          <w:tbl>
            <w:tblPr>
              <w:tblBorders>
                <w:top w:val="none" w:color="000000" w:sz="4"/>
                <w:left w:val="none" w:color="000000" w:sz="4"/>
                <w:bottom w:val="none" w:color="000000" w:sz="4"/>
                <w:right w:val="none" w:color="000000" w:sz="4"/>
                <w:insideH w:val="none"/>
                <w:insideV w:val="none"/>
              </w:tblBorders>
            </w:tblPr>
            <w:tblGrid>
              <w:gridCol w:w="677"/>
              <w:gridCol w:w="1142"/>
              <w:gridCol w:w="3779"/>
            </w:tblGrid>
            <w:tr>
              <w:tc>
                <w:tcPr>
                  <w:tcW w:type="dxa" w:w="677"/>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序号</w:t>
                  </w:r>
                </w:p>
              </w:tc>
              <w:tc>
                <w:tcPr>
                  <w:tcW w:type="dxa" w:w="1142"/>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工作单元名称</w:t>
                  </w:r>
                </w:p>
              </w:tc>
              <w:tc>
                <w:tcPr>
                  <w:tcW w:type="dxa" w:w="3779"/>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工作单元描述</w:t>
                  </w:r>
                </w:p>
              </w:tc>
            </w:tr>
            <w:tr>
              <w:tc>
                <w:tcPr>
                  <w:tcW w:type="dxa" w:w="67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1</w:t>
                  </w:r>
                </w:p>
              </w:tc>
              <w:tc>
                <w:tcPr>
                  <w:tcW w:type="dxa" w:w="1142"/>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安全策略</w:t>
                  </w:r>
                </w:p>
              </w:tc>
              <w:tc>
                <w:tcPr>
                  <w:tcW w:type="dxa" w:w="3779"/>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通过访谈、检查网络安全工作的总体方针及安全策略是否全面、完善。</w:t>
                  </w:r>
                </w:p>
              </w:tc>
            </w:tr>
            <w:tr>
              <w:tc>
                <w:tcPr>
                  <w:tcW w:type="dxa" w:w="67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2</w:t>
                  </w:r>
                </w:p>
              </w:tc>
              <w:tc>
                <w:tcPr>
                  <w:tcW w:type="dxa" w:w="1142"/>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管理制度</w:t>
                  </w:r>
                </w:p>
              </w:tc>
              <w:tc>
                <w:tcPr>
                  <w:tcW w:type="dxa" w:w="3779"/>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通过访谈、检查管理制度的制定和发布过程是否遵循一定的流程。</w:t>
                  </w:r>
                </w:p>
              </w:tc>
            </w:tr>
            <w:tr>
              <w:tc>
                <w:tcPr>
                  <w:tcW w:type="dxa" w:w="67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3</w:t>
                  </w:r>
                </w:p>
              </w:tc>
              <w:tc>
                <w:tcPr>
                  <w:tcW w:type="dxa" w:w="1142"/>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制度和发布</w:t>
                  </w:r>
                </w:p>
              </w:tc>
              <w:tc>
                <w:tcPr>
                  <w:tcW w:type="dxa" w:w="3779"/>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通过访谈、检查管理制度定期评审和修订情况。</w:t>
                  </w:r>
                </w:p>
              </w:tc>
            </w:tr>
            <w:tr>
              <w:tc>
                <w:tcPr>
                  <w:tcW w:type="dxa" w:w="67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4</w:t>
                  </w:r>
                </w:p>
              </w:tc>
              <w:tc>
                <w:tcPr>
                  <w:tcW w:type="dxa" w:w="1142"/>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评审和修订</w:t>
                  </w:r>
                </w:p>
              </w:tc>
              <w:tc>
                <w:tcPr>
                  <w:tcW w:type="dxa" w:w="3779"/>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通过访谈、检查管理制度在内容覆盖上是否全面、完善。</w:t>
                  </w:r>
                </w:p>
              </w:tc>
            </w:tr>
          </w:tbl>
          <w:p>
            <w:pPr>
              <w:pStyle w:val="null3"/>
              <w:ind w:firstLine="560"/>
              <w:jc w:val="both"/>
            </w:pPr>
            <w:r>
              <w:rPr>
                <w:rFonts w:ascii="仿宋_GB2312" w:hAnsi="仿宋_GB2312" w:cs="仿宋_GB2312" w:eastAsia="仿宋_GB2312"/>
                <w:sz w:val="28"/>
              </w:rPr>
              <w:t>7.</w:t>
            </w:r>
            <w:r>
              <w:rPr>
                <w:rFonts w:ascii="仿宋_GB2312" w:hAnsi="仿宋_GB2312" w:cs="仿宋_GB2312" w:eastAsia="仿宋_GB2312"/>
                <w:sz w:val="28"/>
              </w:rPr>
              <w:t>安全管理机构</w:t>
            </w:r>
          </w:p>
          <w:tbl>
            <w:tblPr>
              <w:tblBorders>
                <w:top w:val="none" w:color="000000" w:sz="4"/>
                <w:left w:val="none" w:color="000000" w:sz="4"/>
                <w:bottom w:val="none" w:color="000000" w:sz="4"/>
                <w:right w:val="none" w:color="000000" w:sz="4"/>
                <w:insideH w:val="none"/>
                <w:insideV w:val="none"/>
              </w:tblBorders>
            </w:tblPr>
            <w:tblGrid>
              <w:gridCol w:w="677"/>
              <w:gridCol w:w="1142"/>
              <w:gridCol w:w="3779"/>
            </w:tblGrid>
            <w:tr>
              <w:tc>
                <w:tcPr>
                  <w:tcW w:type="dxa" w:w="677"/>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序号</w:t>
                  </w:r>
                </w:p>
              </w:tc>
              <w:tc>
                <w:tcPr>
                  <w:tcW w:type="dxa" w:w="1142"/>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工作单元名称</w:t>
                  </w:r>
                </w:p>
              </w:tc>
              <w:tc>
                <w:tcPr>
                  <w:tcW w:type="dxa" w:w="3779"/>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工作单元描述</w:t>
                  </w:r>
                </w:p>
              </w:tc>
            </w:tr>
            <w:tr>
              <w:tc>
                <w:tcPr>
                  <w:tcW w:type="dxa" w:w="67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1</w:t>
                  </w:r>
                </w:p>
              </w:tc>
              <w:tc>
                <w:tcPr>
                  <w:tcW w:type="dxa" w:w="1142"/>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岗位设置</w:t>
                  </w:r>
                </w:p>
              </w:tc>
              <w:tc>
                <w:tcPr>
                  <w:tcW w:type="dxa" w:w="3779"/>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通过访谈、检查安全主管部门设置情况以及各岗位设置和岗位职责情况。</w:t>
                  </w:r>
                </w:p>
              </w:tc>
            </w:tr>
            <w:tr>
              <w:tc>
                <w:tcPr>
                  <w:tcW w:type="dxa" w:w="67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2</w:t>
                  </w:r>
                </w:p>
              </w:tc>
              <w:tc>
                <w:tcPr>
                  <w:tcW w:type="dxa" w:w="1142"/>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人员配备</w:t>
                  </w:r>
                </w:p>
              </w:tc>
              <w:tc>
                <w:tcPr>
                  <w:tcW w:type="dxa" w:w="3779"/>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通过访谈、检查各个岗位人员配备情况。</w:t>
                  </w:r>
                </w:p>
              </w:tc>
            </w:tr>
            <w:tr>
              <w:tc>
                <w:tcPr>
                  <w:tcW w:type="dxa" w:w="67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3</w:t>
                  </w:r>
                </w:p>
              </w:tc>
              <w:tc>
                <w:tcPr>
                  <w:tcW w:type="dxa" w:w="1142"/>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授权和审批</w:t>
                  </w:r>
                </w:p>
              </w:tc>
              <w:tc>
                <w:tcPr>
                  <w:tcW w:type="dxa" w:w="3779"/>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通过访谈、检查对关键活动的授权和审批情况。</w:t>
                  </w:r>
                </w:p>
              </w:tc>
            </w:tr>
            <w:tr>
              <w:tc>
                <w:tcPr>
                  <w:tcW w:type="dxa" w:w="67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4</w:t>
                  </w:r>
                </w:p>
              </w:tc>
              <w:tc>
                <w:tcPr>
                  <w:tcW w:type="dxa" w:w="1142"/>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沟通和合作</w:t>
                  </w:r>
                </w:p>
              </w:tc>
              <w:tc>
                <w:tcPr>
                  <w:tcW w:type="dxa" w:w="3779"/>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通过访谈、检查内部部门间、与外部单位间的沟通与合作情况。</w:t>
                  </w:r>
                </w:p>
              </w:tc>
            </w:tr>
            <w:tr>
              <w:tc>
                <w:tcPr>
                  <w:tcW w:type="dxa" w:w="67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5</w:t>
                  </w:r>
                </w:p>
              </w:tc>
              <w:tc>
                <w:tcPr>
                  <w:tcW w:type="dxa" w:w="1142"/>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审核和检查</w:t>
                  </w:r>
                </w:p>
              </w:tc>
              <w:tc>
                <w:tcPr>
                  <w:tcW w:type="dxa" w:w="3779"/>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通过访谈、检查安全工作的审核和检查情况。</w:t>
                  </w:r>
                </w:p>
              </w:tc>
            </w:tr>
          </w:tbl>
          <w:p>
            <w:pPr>
              <w:pStyle w:val="null3"/>
              <w:ind w:firstLine="560"/>
              <w:jc w:val="both"/>
            </w:pPr>
            <w:r>
              <w:rPr>
                <w:rFonts w:ascii="仿宋_GB2312" w:hAnsi="仿宋_GB2312" w:cs="仿宋_GB2312" w:eastAsia="仿宋_GB2312"/>
                <w:sz w:val="28"/>
              </w:rPr>
              <w:t>8.</w:t>
            </w:r>
            <w:r>
              <w:rPr>
                <w:rFonts w:ascii="仿宋_GB2312" w:hAnsi="仿宋_GB2312" w:cs="仿宋_GB2312" w:eastAsia="仿宋_GB2312"/>
                <w:sz w:val="28"/>
              </w:rPr>
              <w:t>安全管理人员</w:t>
            </w:r>
          </w:p>
          <w:tbl>
            <w:tblPr>
              <w:tblBorders>
                <w:top w:val="none" w:color="000000" w:sz="4"/>
                <w:left w:val="none" w:color="000000" w:sz="4"/>
                <w:bottom w:val="none" w:color="000000" w:sz="4"/>
                <w:right w:val="none" w:color="000000" w:sz="4"/>
                <w:insideH w:val="none"/>
                <w:insideV w:val="none"/>
              </w:tblBorders>
            </w:tblPr>
            <w:tblGrid>
              <w:gridCol w:w="677"/>
              <w:gridCol w:w="1142"/>
              <w:gridCol w:w="3779"/>
            </w:tblGrid>
            <w:tr>
              <w:tc>
                <w:tcPr>
                  <w:tcW w:type="dxa" w:w="677"/>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序号</w:t>
                  </w:r>
                </w:p>
              </w:tc>
              <w:tc>
                <w:tcPr>
                  <w:tcW w:type="dxa" w:w="1142"/>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工作单元名称</w:t>
                  </w:r>
                </w:p>
              </w:tc>
              <w:tc>
                <w:tcPr>
                  <w:tcW w:type="dxa" w:w="3779"/>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工作单元描述</w:t>
                  </w:r>
                </w:p>
              </w:tc>
            </w:tr>
            <w:tr>
              <w:tc>
                <w:tcPr>
                  <w:tcW w:type="dxa" w:w="67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1</w:t>
                  </w:r>
                </w:p>
              </w:tc>
              <w:tc>
                <w:tcPr>
                  <w:tcW w:type="dxa" w:w="1142"/>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人员录用</w:t>
                  </w:r>
                </w:p>
              </w:tc>
              <w:tc>
                <w:tcPr>
                  <w:tcW w:type="dxa" w:w="3779"/>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通过访谈、检查录用人员时是否对人员提出要求以及是否对其进行各种审查和考核。</w:t>
                  </w:r>
                </w:p>
              </w:tc>
            </w:tr>
            <w:tr>
              <w:tc>
                <w:tcPr>
                  <w:tcW w:type="dxa" w:w="67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2</w:t>
                  </w:r>
                </w:p>
              </w:tc>
              <w:tc>
                <w:tcPr>
                  <w:tcW w:type="dxa" w:w="1142"/>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人员离岗</w:t>
                  </w:r>
                </w:p>
              </w:tc>
              <w:tc>
                <w:tcPr>
                  <w:tcW w:type="dxa" w:w="3779"/>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通过访谈、检查人员离岗时是否按照一定的手续办理。</w:t>
                  </w:r>
                </w:p>
              </w:tc>
            </w:tr>
            <w:tr>
              <w:tc>
                <w:tcPr>
                  <w:tcW w:type="dxa" w:w="67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3</w:t>
                  </w:r>
                </w:p>
              </w:tc>
              <w:tc>
                <w:tcPr>
                  <w:tcW w:type="dxa" w:w="1142"/>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安全意识教育和培训</w:t>
                  </w:r>
                </w:p>
              </w:tc>
              <w:tc>
                <w:tcPr>
                  <w:tcW w:type="dxa" w:w="3779"/>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通过访谈、检查是否对人员进行安全方面的教育和培训。</w:t>
                  </w:r>
                </w:p>
              </w:tc>
            </w:tr>
            <w:tr>
              <w:tc>
                <w:tcPr>
                  <w:tcW w:type="dxa" w:w="67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4</w:t>
                  </w:r>
                </w:p>
              </w:tc>
              <w:tc>
                <w:tcPr>
                  <w:tcW w:type="dxa" w:w="1142"/>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外部人员访问管理</w:t>
                  </w:r>
                </w:p>
              </w:tc>
              <w:tc>
                <w:tcPr>
                  <w:tcW w:type="dxa" w:w="3779"/>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通过访谈、检查对第三方人员访问（物理、逻辑）系统是否采取必要控制措施。</w:t>
                  </w:r>
                </w:p>
              </w:tc>
            </w:tr>
          </w:tbl>
          <w:p>
            <w:pPr>
              <w:pStyle w:val="null3"/>
              <w:ind w:firstLine="560"/>
              <w:jc w:val="both"/>
            </w:pPr>
            <w:r>
              <w:rPr>
                <w:rFonts w:ascii="仿宋_GB2312" w:hAnsi="仿宋_GB2312" w:cs="仿宋_GB2312" w:eastAsia="仿宋_GB2312"/>
                <w:sz w:val="28"/>
              </w:rPr>
              <w:t>9.</w:t>
            </w:r>
            <w:r>
              <w:rPr>
                <w:rFonts w:ascii="仿宋_GB2312" w:hAnsi="仿宋_GB2312" w:cs="仿宋_GB2312" w:eastAsia="仿宋_GB2312"/>
                <w:sz w:val="28"/>
              </w:rPr>
              <w:t>安全建设管理</w:t>
            </w:r>
          </w:p>
          <w:tbl>
            <w:tblPr>
              <w:tblBorders>
                <w:top w:val="none" w:color="000000" w:sz="4"/>
                <w:left w:val="none" w:color="000000" w:sz="4"/>
                <w:bottom w:val="none" w:color="000000" w:sz="4"/>
                <w:right w:val="none" w:color="000000" w:sz="4"/>
                <w:insideH w:val="none"/>
                <w:insideV w:val="none"/>
              </w:tblBorders>
            </w:tblPr>
            <w:tblGrid>
              <w:gridCol w:w="677"/>
              <w:gridCol w:w="1142"/>
              <w:gridCol w:w="3779"/>
            </w:tblGrid>
            <w:tr>
              <w:tc>
                <w:tcPr>
                  <w:tcW w:type="dxa" w:w="677"/>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序号</w:t>
                  </w:r>
                </w:p>
              </w:tc>
              <w:tc>
                <w:tcPr>
                  <w:tcW w:type="dxa" w:w="1142"/>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工作单元名称</w:t>
                  </w:r>
                </w:p>
              </w:tc>
              <w:tc>
                <w:tcPr>
                  <w:tcW w:type="dxa" w:w="3779"/>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工作单元描述</w:t>
                  </w:r>
                </w:p>
              </w:tc>
            </w:tr>
            <w:tr>
              <w:tc>
                <w:tcPr>
                  <w:tcW w:type="dxa" w:w="67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1</w:t>
                  </w:r>
                </w:p>
              </w:tc>
              <w:tc>
                <w:tcPr>
                  <w:tcW w:type="dxa" w:w="1142"/>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定级和备案</w:t>
                  </w:r>
                </w:p>
              </w:tc>
              <w:tc>
                <w:tcPr>
                  <w:tcW w:type="dxa" w:w="3779"/>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通过访谈、检查是否按照一定要求确定系统的安全等级。</w:t>
                  </w:r>
                </w:p>
              </w:tc>
            </w:tr>
            <w:tr>
              <w:tc>
                <w:tcPr>
                  <w:tcW w:type="dxa" w:w="67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2</w:t>
                  </w:r>
                </w:p>
              </w:tc>
              <w:tc>
                <w:tcPr>
                  <w:tcW w:type="dxa" w:w="1142"/>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安全方案设计</w:t>
                  </w:r>
                </w:p>
              </w:tc>
              <w:tc>
                <w:tcPr>
                  <w:tcW w:type="dxa" w:w="3779"/>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通过访谈、检查整体的安全规划设计是否按照一定流程进行。</w:t>
                  </w:r>
                </w:p>
              </w:tc>
            </w:tr>
            <w:tr>
              <w:tc>
                <w:tcPr>
                  <w:tcW w:type="dxa" w:w="67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3</w:t>
                  </w:r>
                </w:p>
              </w:tc>
              <w:tc>
                <w:tcPr>
                  <w:tcW w:type="dxa" w:w="1142"/>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产品采购和使用</w:t>
                  </w:r>
                </w:p>
              </w:tc>
              <w:tc>
                <w:tcPr>
                  <w:tcW w:type="dxa" w:w="3779"/>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通过访谈、检查是否按照一定的要求进行系统的产品采购。</w:t>
                  </w:r>
                </w:p>
              </w:tc>
            </w:tr>
            <w:tr>
              <w:tc>
                <w:tcPr>
                  <w:tcW w:type="dxa" w:w="67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4</w:t>
                  </w:r>
                </w:p>
              </w:tc>
              <w:tc>
                <w:tcPr>
                  <w:tcW w:type="dxa" w:w="1142"/>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自行软件开发</w:t>
                  </w:r>
                </w:p>
              </w:tc>
              <w:tc>
                <w:tcPr>
                  <w:tcW w:type="dxa" w:w="3779"/>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通过访谈、检查自行开发的软件是否采取必要的措施保证开发过程的安全性。</w:t>
                  </w:r>
                </w:p>
              </w:tc>
            </w:tr>
            <w:tr>
              <w:tc>
                <w:tcPr>
                  <w:tcW w:type="dxa" w:w="67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5</w:t>
                  </w:r>
                </w:p>
              </w:tc>
              <w:tc>
                <w:tcPr>
                  <w:tcW w:type="dxa" w:w="1142"/>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外包软件开发</w:t>
                  </w:r>
                </w:p>
              </w:tc>
              <w:tc>
                <w:tcPr>
                  <w:tcW w:type="dxa" w:w="3779"/>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通过访谈、检查外包开发的软件是否采取必要的措施保证开发过程的安全性和日后的维护工作能够正常开展。</w:t>
                  </w:r>
                </w:p>
              </w:tc>
            </w:tr>
            <w:tr>
              <w:tc>
                <w:tcPr>
                  <w:tcW w:type="dxa" w:w="67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6</w:t>
                  </w:r>
                </w:p>
              </w:tc>
              <w:tc>
                <w:tcPr>
                  <w:tcW w:type="dxa" w:w="1142"/>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工程实施</w:t>
                  </w:r>
                </w:p>
              </w:tc>
              <w:tc>
                <w:tcPr>
                  <w:tcW w:type="dxa" w:w="3779"/>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通过访谈、检查建设的实施过程是否采取必要的措施使其在机构可控的范围内进行。</w:t>
                  </w:r>
                </w:p>
              </w:tc>
            </w:tr>
            <w:tr>
              <w:tc>
                <w:tcPr>
                  <w:tcW w:type="dxa" w:w="67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7</w:t>
                  </w:r>
                </w:p>
              </w:tc>
              <w:tc>
                <w:tcPr>
                  <w:tcW w:type="dxa" w:w="1142"/>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测试验收</w:t>
                  </w:r>
                </w:p>
              </w:tc>
              <w:tc>
                <w:tcPr>
                  <w:tcW w:type="dxa" w:w="3779"/>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通过访谈、检查系统运行前是否对其进行测试验收工作。</w:t>
                  </w:r>
                </w:p>
              </w:tc>
            </w:tr>
            <w:tr>
              <w:tc>
                <w:tcPr>
                  <w:tcW w:type="dxa" w:w="67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8</w:t>
                  </w:r>
                </w:p>
              </w:tc>
              <w:tc>
                <w:tcPr>
                  <w:tcW w:type="dxa" w:w="1142"/>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系统交付</w:t>
                  </w:r>
                </w:p>
              </w:tc>
              <w:tc>
                <w:tcPr>
                  <w:tcW w:type="dxa" w:w="3779"/>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通过访谈、检查是否采取必要的措施对系统交付过程进行有效控制。</w:t>
                  </w:r>
                </w:p>
              </w:tc>
            </w:tr>
            <w:tr>
              <w:tc>
                <w:tcPr>
                  <w:tcW w:type="dxa" w:w="67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9</w:t>
                  </w:r>
                </w:p>
              </w:tc>
              <w:tc>
                <w:tcPr>
                  <w:tcW w:type="dxa" w:w="1142"/>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等级测评</w:t>
                  </w:r>
                </w:p>
              </w:tc>
              <w:tc>
                <w:tcPr>
                  <w:tcW w:type="dxa" w:w="3779"/>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通过访谈、检查等级测评、整改情况。</w:t>
                  </w:r>
                </w:p>
              </w:tc>
            </w:tr>
            <w:tr>
              <w:tc>
                <w:tcPr>
                  <w:tcW w:type="dxa" w:w="67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10</w:t>
                  </w:r>
                </w:p>
              </w:tc>
              <w:tc>
                <w:tcPr>
                  <w:tcW w:type="dxa" w:w="1142"/>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服务商选择</w:t>
                  </w:r>
                </w:p>
              </w:tc>
              <w:tc>
                <w:tcPr>
                  <w:tcW w:type="dxa" w:w="3779"/>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通过访谈、检查是否选择符合国家有关规定的安全服务单位进行相关的安全服务工作。</w:t>
                  </w:r>
                </w:p>
              </w:tc>
            </w:tr>
          </w:tbl>
          <w:p>
            <w:pPr>
              <w:pStyle w:val="null3"/>
              <w:ind w:firstLine="280"/>
              <w:jc w:val="both"/>
            </w:pPr>
            <w:r>
              <w:rPr>
                <w:rFonts w:ascii="仿宋_GB2312" w:hAnsi="仿宋_GB2312" w:cs="仿宋_GB2312" w:eastAsia="仿宋_GB2312"/>
                <w:sz w:val="28"/>
              </w:rPr>
              <w:t>10.</w:t>
            </w:r>
            <w:r>
              <w:rPr>
                <w:rFonts w:ascii="仿宋_GB2312" w:hAnsi="仿宋_GB2312" w:cs="仿宋_GB2312" w:eastAsia="仿宋_GB2312"/>
                <w:sz w:val="28"/>
              </w:rPr>
              <w:t>安全运维管理</w:t>
            </w:r>
          </w:p>
          <w:tbl>
            <w:tblPr>
              <w:tblBorders>
                <w:top w:val="none" w:color="000000" w:sz="4"/>
                <w:left w:val="none" w:color="000000" w:sz="4"/>
                <w:bottom w:val="none" w:color="000000" w:sz="4"/>
                <w:right w:val="none" w:color="000000" w:sz="4"/>
                <w:insideH w:val="none"/>
                <w:insideV w:val="none"/>
              </w:tblBorders>
            </w:tblPr>
            <w:tblGrid>
              <w:gridCol w:w="677"/>
              <w:gridCol w:w="1142"/>
              <w:gridCol w:w="3779"/>
            </w:tblGrid>
            <w:tr>
              <w:tc>
                <w:tcPr>
                  <w:tcW w:type="dxa" w:w="677"/>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序号</w:t>
                  </w:r>
                </w:p>
              </w:tc>
              <w:tc>
                <w:tcPr>
                  <w:tcW w:type="dxa" w:w="1142"/>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工作单元名称</w:t>
                  </w:r>
                </w:p>
              </w:tc>
              <w:tc>
                <w:tcPr>
                  <w:tcW w:type="dxa" w:w="3779"/>
                  <w:tcBorders>
                    <w:top w:val="single" w:color="000000" w:sz="4"/>
                    <w:left w:val="single" w:color="000000" w:sz="4"/>
                    <w:bottom w:val="single" w:color="000000" w:sz="4"/>
                    <w:right w:val="single" w:color="000000" w:sz="4"/>
                  </w:tcBorders>
                  <w:shd w:fill="FFFFFF"/>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工作单元描述</w:t>
                  </w:r>
                </w:p>
              </w:tc>
            </w:tr>
            <w:tr>
              <w:tc>
                <w:tcPr>
                  <w:tcW w:type="dxa" w:w="67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1</w:t>
                  </w:r>
                </w:p>
              </w:tc>
              <w:tc>
                <w:tcPr>
                  <w:tcW w:type="dxa" w:w="1142"/>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环境管理</w:t>
                  </w:r>
                </w:p>
              </w:tc>
              <w:tc>
                <w:tcPr>
                  <w:tcW w:type="dxa" w:w="3779"/>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通过访谈、检查是否采取必要的措施对机房的出入控制以及办公环境的人员行为等方面进行安全管理。</w:t>
                  </w:r>
                </w:p>
              </w:tc>
            </w:tr>
            <w:tr>
              <w:tc>
                <w:tcPr>
                  <w:tcW w:type="dxa" w:w="67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2</w:t>
                  </w:r>
                </w:p>
              </w:tc>
              <w:tc>
                <w:tcPr>
                  <w:tcW w:type="dxa" w:w="1142"/>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资产管理</w:t>
                  </w:r>
                </w:p>
              </w:tc>
              <w:tc>
                <w:tcPr>
                  <w:tcW w:type="dxa" w:w="3779"/>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通过访谈、检查是否采取必要的措施对系统的资产进行分类标识管理。</w:t>
                  </w:r>
                </w:p>
              </w:tc>
            </w:tr>
            <w:tr>
              <w:tc>
                <w:tcPr>
                  <w:tcW w:type="dxa" w:w="67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3</w:t>
                  </w:r>
                </w:p>
              </w:tc>
              <w:tc>
                <w:tcPr>
                  <w:tcW w:type="dxa" w:w="1142"/>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介质管理</w:t>
                  </w:r>
                </w:p>
              </w:tc>
              <w:tc>
                <w:tcPr>
                  <w:tcW w:type="dxa" w:w="3779"/>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通过访谈、检查是否采取必要的措施对介质存放环境、使用、维护和销毁等方面进行管理。</w:t>
                  </w:r>
                </w:p>
              </w:tc>
            </w:tr>
            <w:tr>
              <w:tc>
                <w:tcPr>
                  <w:tcW w:type="dxa" w:w="67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4</w:t>
                  </w:r>
                </w:p>
              </w:tc>
              <w:tc>
                <w:tcPr>
                  <w:tcW w:type="dxa" w:w="1142"/>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设备维护管理</w:t>
                  </w:r>
                </w:p>
              </w:tc>
              <w:tc>
                <w:tcPr>
                  <w:tcW w:type="dxa" w:w="3779"/>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通过访谈、检查是否采取必要的措施确保设备在使用、维护和销毁等过程安全。</w:t>
                  </w:r>
                </w:p>
              </w:tc>
            </w:tr>
            <w:tr>
              <w:tc>
                <w:tcPr>
                  <w:tcW w:type="dxa" w:w="67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5</w:t>
                  </w:r>
                </w:p>
              </w:tc>
              <w:tc>
                <w:tcPr>
                  <w:tcW w:type="dxa" w:w="1142"/>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漏洞和风险管理</w:t>
                  </w:r>
                </w:p>
              </w:tc>
              <w:tc>
                <w:tcPr>
                  <w:tcW w:type="dxa" w:w="3779"/>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通过访谈、检查安全漏洞和隐患识别、处理情况，以及是否定期开展安全测评以及安全问题的应对措施。</w:t>
                  </w:r>
                </w:p>
              </w:tc>
            </w:tr>
            <w:tr>
              <w:tc>
                <w:tcPr>
                  <w:tcW w:type="dxa" w:w="67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6</w:t>
                  </w:r>
                </w:p>
              </w:tc>
              <w:tc>
                <w:tcPr>
                  <w:tcW w:type="dxa" w:w="1142"/>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网络和系统安全管理</w:t>
                  </w:r>
                </w:p>
              </w:tc>
              <w:tc>
                <w:tcPr>
                  <w:tcW w:type="dxa" w:w="3779"/>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是否采取必要的措施对系统的安全配置、系统账户、漏洞扫描和审计日志等方面进行有效的管理。是否采取必要的措施对网络的安全配置、网络用户权限和审计日志等方面进行有效的管理，确保网络安全运行。</w:t>
                  </w:r>
                </w:p>
              </w:tc>
            </w:tr>
            <w:tr>
              <w:tc>
                <w:tcPr>
                  <w:tcW w:type="dxa" w:w="67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7</w:t>
                  </w:r>
                </w:p>
              </w:tc>
              <w:tc>
                <w:tcPr>
                  <w:tcW w:type="dxa" w:w="1142"/>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恶意代码防范管理</w:t>
                  </w:r>
                </w:p>
              </w:tc>
              <w:tc>
                <w:tcPr>
                  <w:tcW w:type="dxa" w:w="3779"/>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通过访谈、检查是否采取必要的措施对恶意代码进行有效管理，确保系统具有恶意代码防范能力。</w:t>
                  </w:r>
                </w:p>
              </w:tc>
            </w:tr>
            <w:tr>
              <w:tc>
                <w:tcPr>
                  <w:tcW w:type="dxa" w:w="67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8</w:t>
                  </w:r>
                </w:p>
              </w:tc>
              <w:tc>
                <w:tcPr>
                  <w:tcW w:type="dxa" w:w="1142"/>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配置管理</w:t>
                  </w:r>
                </w:p>
              </w:tc>
              <w:tc>
                <w:tcPr>
                  <w:tcW w:type="dxa" w:w="3779"/>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通过访谈、检查基本配置信息管理情况</w:t>
                  </w:r>
                </w:p>
              </w:tc>
            </w:tr>
            <w:tr>
              <w:tc>
                <w:tcPr>
                  <w:tcW w:type="dxa" w:w="67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9</w:t>
                  </w:r>
                </w:p>
              </w:tc>
              <w:tc>
                <w:tcPr>
                  <w:tcW w:type="dxa" w:w="1142"/>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密码管理</w:t>
                  </w:r>
                </w:p>
              </w:tc>
              <w:tc>
                <w:tcPr>
                  <w:tcW w:type="dxa" w:w="3779"/>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通过访谈、检查是否能够确保信息系统中密码算法和密钥的使用符合国家密码管理规定。</w:t>
                  </w:r>
                </w:p>
              </w:tc>
            </w:tr>
            <w:tr>
              <w:tc>
                <w:tcPr>
                  <w:tcW w:type="dxa" w:w="67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10</w:t>
                  </w:r>
                </w:p>
              </w:tc>
              <w:tc>
                <w:tcPr>
                  <w:tcW w:type="dxa" w:w="1142"/>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变更管理</w:t>
                  </w:r>
                </w:p>
              </w:tc>
              <w:tc>
                <w:tcPr>
                  <w:tcW w:type="dxa" w:w="3779"/>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通过访谈、检查是否采取必要的措施对系统发生的变更进行有效管理。</w:t>
                  </w:r>
                </w:p>
              </w:tc>
            </w:tr>
            <w:tr>
              <w:tc>
                <w:tcPr>
                  <w:tcW w:type="dxa" w:w="67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11</w:t>
                  </w:r>
                </w:p>
              </w:tc>
              <w:tc>
                <w:tcPr>
                  <w:tcW w:type="dxa" w:w="1142"/>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备份与恢复管理</w:t>
                  </w:r>
                </w:p>
              </w:tc>
              <w:tc>
                <w:tcPr>
                  <w:tcW w:type="dxa" w:w="3779"/>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通过访谈、检查是否采取必要的措施对重要业务信息，系统数据和系统软件进行备份，并确保必要时能够对这些数据有效地恢复。</w:t>
                  </w:r>
                </w:p>
              </w:tc>
            </w:tr>
            <w:tr>
              <w:tc>
                <w:tcPr>
                  <w:tcW w:type="dxa" w:w="67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12</w:t>
                  </w:r>
                </w:p>
              </w:tc>
              <w:tc>
                <w:tcPr>
                  <w:tcW w:type="dxa" w:w="1142"/>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安全事件处置</w:t>
                  </w:r>
                </w:p>
              </w:tc>
              <w:tc>
                <w:tcPr>
                  <w:tcW w:type="dxa" w:w="3779"/>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通过访谈、检查是否采取必要的措施对安全事件进行等级划分和对安全事件的报告、处理过程进行有效的管理。</w:t>
                  </w:r>
                </w:p>
              </w:tc>
            </w:tr>
            <w:tr>
              <w:tc>
                <w:tcPr>
                  <w:tcW w:type="dxa" w:w="67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13</w:t>
                  </w:r>
                </w:p>
              </w:tc>
              <w:tc>
                <w:tcPr>
                  <w:tcW w:type="dxa" w:w="1142"/>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应急预案管理</w:t>
                  </w:r>
                </w:p>
              </w:tc>
              <w:tc>
                <w:tcPr>
                  <w:tcW w:type="dxa" w:w="3779"/>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通过访谈、检查是否针对不同安全事件制定相应的应急预案，是否对应急预案展开培训、演练和审查等。</w:t>
                  </w:r>
                </w:p>
              </w:tc>
            </w:tr>
            <w:tr>
              <w:tc>
                <w:tcPr>
                  <w:tcW w:type="dxa" w:w="67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14</w:t>
                  </w:r>
                </w:p>
              </w:tc>
              <w:tc>
                <w:tcPr>
                  <w:tcW w:type="dxa" w:w="1142"/>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外包运维管理</w:t>
                  </w:r>
                </w:p>
              </w:tc>
              <w:tc>
                <w:tcPr>
                  <w:tcW w:type="dxa" w:w="3779"/>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28"/>
                    </w:rPr>
                    <w:t>通过访谈、检查外包运维服务商选择是否符合国家要求，外包运维保密、服务内容管理等。</w:t>
                  </w:r>
                </w:p>
              </w:tc>
            </w:tr>
          </w:tbl>
          <w:p>
            <w:pPr>
              <w:pStyle w:val="null3"/>
              <w:ind w:firstLine="560"/>
              <w:jc w:val="both"/>
            </w:pPr>
            <w:r>
              <w:rPr>
                <w:rFonts w:ascii="仿宋_GB2312" w:hAnsi="仿宋_GB2312" w:cs="仿宋_GB2312" w:eastAsia="仿宋_GB2312"/>
                <w:sz w:val="28"/>
              </w:rPr>
              <w:t>11.</w:t>
            </w:r>
            <w:r>
              <w:rPr>
                <w:rFonts w:ascii="仿宋_GB2312" w:hAnsi="仿宋_GB2312" w:cs="仿宋_GB2312" w:eastAsia="仿宋_GB2312"/>
                <w:sz w:val="28"/>
              </w:rPr>
              <w:t>安全扩展要求</w:t>
            </w:r>
          </w:p>
          <w:p>
            <w:pPr>
              <w:pStyle w:val="null3"/>
              <w:ind w:firstLine="560"/>
              <w:jc w:val="both"/>
            </w:pPr>
            <w:r>
              <w:rPr>
                <w:rFonts w:ascii="仿宋_GB2312" w:hAnsi="仿宋_GB2312" w:cs="仿宋_GB2312" w:eastAsia="仿宋_GB2312"/>
                <w:sz w:val="28"/>
              </w:rPr>
              <w:t>按照所测评系统的具体情况选用计算安全扩展要求、移动互联安全扩展要求、物联网安全扩展要求、工业控制系统安全扩展要求。</w:t>
            </w:r>
          </w:p>
          <w:p>
            <w:pPr>
              <w:pStyle w:val="null3"/>
              <w:ind w:firstLine="560"/>
              <w:jc w:val="both"/>
            </w:pPr>
            <w:r>
              <w:rPr>
                <w:rFonts w:ascii="仿宋_GB2312" w:hAnsi="仿宋_GB2312" w:cs="仿宋_GB2312" w:eastAsia="仿宋_GB2312"/>
                <w:sz w:val="28"/>
              </w:rPr>
              <w:t>12.</w:t>
            </w:r>
            <w:r>
              <w:rPr>
                <w:rFonts w:ascii="仿宋_GB2312" w:hAnsi="仿宋_GB2312" w:cs="仿宋_GB2312" w:eastAsia="仿宋_GB2312"/>
                <w:sz w:val="28"/>
              </w:rPr>
              <w:t>验证测试相关要求</w:t>
            </w:r>
          </w:p>
          <w:p>
            <w:pPr>
              <w:pStyle w:val="null3"/>
              <w:ind w:firstLine="560"/>
              <w:jc w:val="both"/>
            </w:pPr>
            <w:r>
              <w:rPr>
                <w:rFonts w:ascii="仿宋_GB2312" w:hAnsi="仿宋_GB2312" w:cs="仿宋_GB2312" w:eastAsia="仿宋_GB2312"/>
                <w:sz w:val="28"/>
              </w:rPr>
              <w:t>按照等级保护测评要求，测评过程中应配备必要的工具、仪器</w:t>
            </w:r>
            <w:r>
              <w:rPr>
                <w:rFonts w:ascii="仿宋_GB2312" w:hAnsi="仿宋_GB2312" w:cs="仿宋_GB2312" w:eastAsia="仿宋_GB2312"/>
                <w:sz w:val="28"/>
              </w:rPr>
              <w:t>/设备对信息系统进行验证测试，采用的测评工具的生产商应为正规厂商，具有一定的研发和服务能力，能够对产品进行持续更新并提供质量和安全保障。</w:t>
            </w:r>
          </w:p>
          <w:p>
            <w:pPr>
              <w:pStyle w:val="null3"/>
              <w:ind w:firstLine="560"/>
              <w:jc w:val="both"/>
            </w:pPr>
            <w:r>
              <w:rPr>
                <w:rFonts w:ascii="仿宋_GB2312" w:hAnsi="仿宋_GB2312" w:cs="仿宋_GB2312" w:eastAsia="仿宋_GB2312"/>
                <w:sz w:val="28"/>
              </w:rPr>
              <w:t>验证测试内容包括以下：</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渗透测试</w:t>
            </w:r>
          </w:p>
          <w:p>
            <w:pPr>
              <w:pStyle w:val="null3"/>
              <w:ind w:firstLine="560"/>
              <w:jc w:val="both"/>
            </w:pPr>
            <w:r>
              <w:rPr>
                <w:rFonts w:ascii="仿宋_GB2312" w:hAnsi="仿宋_GB2312" w:cs="仿宋_GB2312" w:eastAsia="仿宋_GB2312"/>
                <w:sz w:val="28"/>
              </w:rPr>
              <w:t>验证安全策略正确性；保证用户登录窗体身份验证的安全性；非授权用户不能浏览到未授权内容；不存在跨站点脚本攻击漏洞；脚本不存在</w:t>
            </w:r>
            <w:r>
              <w:rPr>
                <w:rFonts w:ascii="仿宋_GB2312" w:hAnsi="仿宋_GB2312" w:cs="仿宋_GB2312" w:eastAsia="仿宋_GB2312"/>
                <w:sz w:val="28"/>
              </w:rPr>
              <w:t>SQL、Cookie注入漏洞；安全的处理异常，没有出错页面泄露系统信息；应用和系统漏洞及其他，并提出整改建议。验证内容包括（）以下几个方面：</w:t>
            </w:r>
          </w:p>
          <w:tbl>
            <w:tblPr>
              <w:tblBorders>
                <w:top w:val="none" w:color="000000" w:sz="4"/>
                <w:left w:val="none" w:color="000000" w:sz="4"/>
                <w:bottom w:val="none" w:color="000000" w:sz="4"/>
                <w:right w:val="none" w:color="000000" w:sz="4"/>
                <w:insideH w:val="none"/>
                <w:insideV w:val="none"/>
              </w:tblBorders>
            </w:tblPr>
            <w:tblGrid>
              <w:gridCol w:w="2799"/>
              <w:gridCol w:w="2799"/>
            </w:tblGrid>
            <w:tr>
              <w:tc>
                <w:tcPr>
                  <w:tcW w:type="dxa" w:w="2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both"/>
                  </w:pPr>
                  <w:r>
                    <w:rPr>
                      <w:rFonts w:ascii="仿宋_GB2312" w:hAnsi="仿宋_GB2312" w:cs="仿宋_GB2312" w:eastAsia="仿宋_GB2312"/>
                      <w:sz w:val="28"/>
                    </w:rPr>
                    <w:t>注入</w:t>
                  </w:r>
                </w:p>
              </w:tc>
              <w:tc>
                <w:tcPr>
                  <w:tcW w:type="dxa" w:w="2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both"/>
                  </w:pPr>
                  <w:r>
                    <w:rPr>
                      <w:rFonts w:ascii="仿宋_GB2312" w:hAnsi="仿宋_GB2312" w:cs="仿宋_GB2312" w:eastAsia="仿宋_GB2312"/>
                      <w:sz w:val="28"/>
                    </w:rPr>
                    <w:t>失效的身份认证</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both"/>
                  </w:pPr>
                  <w:r>
                    <w:rPr>
                      <w:rFonts w:ascii="仿宋_GB2312" w:hAnsi="仿宋_GB2312" w:cs="仿宋_GB2312" w:eastAsia="仿宋_GB2312"/>
                      <w:sz w:val="28"/>
                    </w:rPr>
                    <w:t>敏感信息泄露</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both"/>
                  </w:pPr>
                  <w:r>
                    <w:rPr>
                      <w:rFonts w:ascii="仿宋_GB2312" w:hAnsi="仿宋_GB2312" w:cs="仿宋_GB2312" w:eastAsia="仿宋_GB2312"/>
                      <w:sz w:val="28"/>
                    </w:rPr>
                    <w:t>XML外部实体（XXE）</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both"/>
                  </w:pPr>
                  <w:r>
                    <w:rPr>
                      <w:rFonts w:ascii="仿宋_GB2312" w:hAnsi="仿宋_GB2312" w:cs="仿宋_GB2312" w:eastAsia="仿宋_GB2312"/>
                      <w:sz w:val="28"/>
                    </w:rPr>
                    <w:t>失效的访问控制</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both"/>
                  </w:pPr>
                  <w:r>
                    <w:rPr>
                      <w:rFonts w:ascii="仿宋_GB2312" w:hAnsi="仿宋_GB2312" w:cs="仿宋_GB2312" w:eastAsia="仿宋_GB2312"/>
                      <w:sz w:val="28"/>
                    </w:rPr>
                    <w:t>安全配置错误</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both"/>
                  </w:pPr>
                  <w:r>
                    <w:rPr>
                      <w:rFonts w:ascii="仿宋_GB2312" w:hAnsi="仿宋_GB2312" w:cs="仿宋_GB2312" w:eastAsia="仿宋_GB2312"/>
                      <w:sz w:val="28"/>
                    </w:rPr>
                    <w:t>跨站脚本（</w:t>
                  </w:r>
                  <w:r>
                    <w:rPr>
                      <w:rFonts w:ascii="仿宋_GB2312" w:hAnsi="仿宋_GB2312" w:cs="仿宋_GB2312" w:eastAsia="仿宋_GB2312"/>
                      <w:sz w:val="28"/>
                    </w:rPr>
                    <w:t>XSS）</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both"/>
                  </w:pPr>
                  <w:r>
                    <w:rPr>
                      <w:rFonts w:ascii="仿宋_GB2312" w:hAnsi="仿宋_GB2312" w:cs="仿宋_GB2312" w:eastAsia="仿宋_GB2312"/>
                      <w:sz w:val="28"/>
                    </w:rPr>
                    <w:t>不安全的反序列化</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both"/>
                  </w:pPr>
                  <w:r>
                    <w:rPr>
                      <w:rFonts w:ascii="仿宋_GB2312" w:hAnsi="仿宋_GB2312" w:cs="仿宋_GB2312" w:eastAsia="仿宋_GB2312"/>
                      <w:sz w:val="28"/>
                    </w:rPr>
                    <w:t>使用含有已知漏洞的组件</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both"/>
                  </w:pPr>
                  <w:r>
                    <w:rPr>
                      <w:rFonts w:ascii="仿宋_GB2312" w:hAnsi="仿宋_GB2312" w:cs="仿宋_GB2312" w:eastAsia="仿宋_GB2312"/>
                      <w:sz w:val="28"/>
                    </w:rPr>
                    <w:t>不足的日志记录和监控</w:t>
                  </w:r>
                </w:p>
              </w:tc>
            </w:tr>
          </w:tbl>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漏洞扫描</w:t>
            </w:r>
          </w:p>
          <w:p>
            <w:pPr>
              <w:pStyle w:val="null3"/>
              <w:ind w:firstLine="560"/>
              <w:jc w:val="both"/>
            </w:pPr>
            <w:r>
              <w:rPr>
                <w:rFonts w:ascii="仿宋_GB2312" w:hAnsi="仿宋_GB2312" w:cs="仿宋_GB2312" w:eastAsia="仿宋_GB2312"/>
                <w:sz w:val="28"/>
              </w:rPr>
              <w:t>据相关标准、规范要求对重要信息系统的安全漏洞进行测评。分析总结系统中存在的主要安全漏洞，指出系统中可能被利用的安全漏洞、系统配置错误等缺陷以及相应的安全加固意见、建议。</w:t>
            </w:r>
          </w:p>
          <w:p>
            <w:pPr>
              <w:pStyle w:val="null3"/>
              <w:jc w:val="both"/>
            </w:pPr>
            <w:r>
              <w:rPr>
                <w:rFonts w:ascii="仿宋_GB2312" w:hAnsi="仿宋_GB2312" w:cs="仿宋_GB2312" w:eastAsia="仿宋_GB2312"/>
                <w:sz w:val="28"/>
                <w:b/>
              </w:rPr>
              <w:t>三、</w:t>
            </w:r>
            <w:r>
              <w:rPr>
                <w:rFonts w:ascii="仿宋_GB2312" w:hAnsi="仿宋_GB2312" w:cs="仿宋_GB2312" w:eastAsia="仿宋_GB2312"/>
                <w:sz w:val="28"/>
                <w:b/>
              </w:rPr>
              <w:t>测评工作步骤</w:t>
            </w:r>
          </w:p>
          <w:p>
            <w:pPr>
              <w:pStyle w:val="null3"/>
              <w:ind w:firstLine="560"/>
              <w:jc w:val="both"/>
            </w:pPr>
            <w:r>
              <w:rPr>
                <w:rFonts w:ascii="仿宋_GB2312" w:hAnsi="仿宋_GB2312" w:cs="仿宋_GB2312" w:eastAsia="仿宋_GB2312"/>
                <w:sz w:val="28"/>
              </w:rPr>
              <w:t>等级保护测评工作流程，受委托测评机构实施的等级测评工作活动及流程与运营、使用单位的自查活动及流程会有所差异，初次等级测评和再次等级测评的工作活动及流程也不完全相同，而且针对不同等级信息系统实施的等级测评工作活动及流程也不相同。受委托测评机构对信息系统的初次等级测评可以分为四项活动：测评准备活动、方案编制活动、现场测评活动、分析与报告编制活动。投标方应对等级保护测评各阶段具体工作内容进行描述。</w:t>
            </w:r>
          </w:p>
          <w:p>
            <w:pPr>
              <w:pStyle w:val="null3"/>
              <w:ind w:firstLine="560"/>
              <w:jc w:val="both"/>
            </w:pPr>
            <w:r>
              <w:rPr>
                <w:rFonts w:ascii="仿宋_GB2312" w:hAnsi="仿宋_GB2312" w:cs="仿宋_GB2312" w:eastAsia="仿宋_GB2312"/>
                <w:sz w:val="28"/>
              </w:rPr>
              <w:t>1.准备活动阶段：对被测系统进行调研分析，明确测评对象、测评方法等工作。</w:t>
            </w:r>
          </w:p>
          <w:p>
            <w:pPr>
              <w:pStyle w:val="null3"/>
              <w:ind w:firstLine="560"/>
              <w:jc w:val="both"/>
            </w:pPr>
            <w:r>
              <w:rPr>
                <w:rFonts w:ascii="仿宋_GB2312" w:hAnsi="仿宋_GB2312" w:cs="仿宋_GB2312" w:eastAsia="仿宋_GB2312"/>
                <w:sz w:val="28"/>
              </w:rPr>
              <w:t>2.方案编制阶段：制定信息安全等级保护测评项目计划书、测评实施方案，并提交委托方确认。</w:t>
            </w:r>
          </w:p>
          <w:p>
            <w:pPr>
              <w:pStyle w:val="null3"/>
              <w:ind w:firstLine="560"/>
              <w:jc w:val="both"/>
            </w:pPr>
            <w:r>
              <w:rPr>
                <w:rFonts w:ascii="仿宋_GB2312" w:hAnsi="仿宋_GB2312" w:cs="仿宋_GB2312" w:eastAsia="仿宋_GB2312"/>
                <w:sz w:val="28"/>
              </w:rPr>
              <w:t>3.现场测评阶段：按照等级保护相关标准规范要求从访谈、检查、测试几方面进行测试评估并出具《差距分析整改建议》，并在整改过程中提供技术咨询服务。</w:t>
            </w:r>
          </w:p>
          <w:p>
            <w:pPr>
              <w:pStyle w:val="null3"/>
              <w:ind w:firstLine="560"/>
              <w:jc w:val="both"/>
            </w:pPr>
            <w:r>
              <w:rPr>
                <w:rFonts w:ascii="仿宋_GB2312" w:hAnsi="仿宋_GB2312" w:cs="仿宋_GB2312" w:eastAsia="仿宋_GB2312"/>
                <w:sz w:val="28"/>
              </w:rPr>
              <w:t>4.分析与报告编制：向委托方提交被测信息系统安全等级保护测评报告以及相应文档。</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b/>
              </w:rPr>
              <w:t>四、</w:t>
            </w:r>
            <w:r>
              <w:rPr>
                <w:rFonts w:ascii="仿宋_GB2312" w:hAnsi="仿宋_GB2312" w:cs="仿宋_GB2312" w:eastAsia="仿宋_GB2312"/>
                <w:sz w:val="28"/>
                <w:b/>
              </w:rPr>
              <w:t>实施要求</w:t>
            </w:r>
          </w:p>
          <w:p>
            <w:pPr>
              <w:pStyle w:val="null3"/>
              <w:ind w:firstLine="560"/>
              <w:jc w:val="both"/>
            </w:pPr>
            <w:r>
              <w:rPr>
                <w:rFonts w:ascii="仿宋_GB2312" w:hAnsi="仿宋_GB2312" w:cs="仿宋_GB2312" w:eastAsia="仿宋_GB2312"/>
                <w:sz w:val="28"/>
              </w:rPr>
              <w:t>1．系统梳理</w:t>
            </w:r>
          </w:p>
          <w:p>
            <w:pPr>
              <w:pStyle w:val="null3"/>
              <w:ind w:firstLine="560"/>
              <w:jc w:val="both"/>
            </w:pPr>
            <w:r>
              <w:rPr>
                <w:rFonts w:ascii="仿宋_GB2312" w:hAnsi="仿宋_GB2312" w:cs="仿宋_GB2312" w:eastAsia="仿宋_GB2312"/>
                <w:sz w:val="28"/>
              </w:rPr>
              <w:t>协助完成待测信息系统梳理工作。</w:t>
            </w:r>
          </w:p>
          <w:p>
            <w:pPr>
              <w:pStyle w:val="null3"/>
              <w:ind w:firstLine="560"/>
              <w:jc w:val="both"/>
            </w:pPr>
            <w:r>
              <w:rPr>
                <w:rFonts w:ascii="仿宋_GB2312" w:hAnsi="仿宋_GB2312" w:cs="仿宋_GB2312" w:eastAsia="仿宋_GB2312"/>
                <w:sz w:val="28"/>
              </w:rPr>
              <w:t>2．初测</w:t>
            </w:r>
          </w:p>
          <w:p>
            <w:pPr>
              <w:pStyle w:val="null3"/>
              <w:ind w:firstLine="560"/>
              <w:jc w:val="both"/>
            </w:pPr>
            <w:r>
              <w:rPr>
                <w:rFonts w:ascii="仿宋_GB2312" w:hAnsi="仿宋_GB2312" w:cs="仿宋_GB2312" w:eastAsia="仿宋_GB2312"/>
                <w:sz w:val="28"/>
              </w:rPr>
              <w:t>对本项目所涉及信息系统进行现场测评，初次测评完成后提交初评的整改意见报告。</w:t>
            </w:r>
          </w:p>
          <w:p>
            <w:pPr>
              <w:pStyle w:val="null3"/>
              <w:ind w:firstLine="560"/>
              <w:jc w:val="both"/>
            </w:pPr>
            <w:r>
              <w:rPr>
                <w:rFonts w:ascii="仿宋_GB2312" w:hAnsi="仿宋_GB2312" w:cs="仿宋_GB2312" w:eastAsia="仿宋_GB2312"/>
                <w:sz w:val="28"/>
              </w:rPr>
              <w:t>3．整改加固协助</w:t>
            </w:r>
          </w:p>
          <w:p>
            <w:pPr>
              <w:pStyle w:val="null3"/>
              <w:ind w:firstLine="560"/>
              <w:jc w:val="both"/>
            </w:pPr>
            <w:r>
              <w:rPr>
                <w:rFonts w:ascii="仿宋_GB2312" w:hAnsi="仿宋_GB2312" w:cs="仿宋_GB2312" w:eastAsia="仿宋_GB2312"/>
                <w:sz w:val="28"/>
              </w:rPr>
              <w:t>协助对测评过程中发现的安全问题进行技术整改加固工作，并进行整改后的回归测评。</w:t>
            </w:r>
          </w:p>
          <w:p>
            <w:pPr>
              <w:pStyle w:val="null3"/>
              <w:ind w:firstLine="560"/>
              <w:jc w:val="both"/>
            </w:pPr>
            <w:r>
              <w:rPr>
                <w:rFonts w:ascii="仿宋_GB2312" w:hAnsi="仿宋_GB2312" w:cs="仿宋_GB2312" w:eastAsia="仿宋_GB2312"/>
                <w:sz w:val="28"/>
              </w:rPr>
              <w:t>4．成果递交</w:t>
            </w:r>
          </w:p>
          <w:p>
            <w:pPr>
              <w:pStyle w:val="null3"/>
              <w:ind w:firstLine="560"/>
              <w:jc w:val="both"/>
            </w:pPr>
            <w:r>
              <w:rPr>
                <w:rFonts w:ascii="仿宋_GB2312" w:hAnsi="仿宋_GB2312" w:cs="仿宋_GB2312" w:eastAsia="仿宋_GB2312"/>
                <w:sz w:val="28"/>
              </w:rPr>
              <w:t>整理测评结果，提交被测信息系统安全等级保护测评报告以及相应文档。</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b/>
              </w:rPr>
              <w:t>五、</w:t>
            </w:r>
            <w:r>
              <w:rPr>
                <w:rFonts w:ascii="仿宋_GB2312" w:hAnsi="仿宋_GB2312" w:cs="仿宋_GB2312" w:eastAsia="仿宋_GB2312"/>
                <w:sz w:val="28"/>
                <w:b/>
              </w:rPr>
              <w:t>项目管理与实施保障</w:t>
            </w:r>
          </w:p>
          <w:p>
            <w:pPr>
              <w:pStyle w:val="null3"/>
              <w:ind w:firstLine="560"/>
              <w:jc w:val="both"/>
            </w:pPr>
            <w:r>
              <w:rPr>
                <w:rFonts w:ascii="仿宋_GB2312" w:hAnsi="仿宋_GB2312" w:cs="仿宋_GB2312" w:eastAsia="仿宋_GB2312"/>
                <w:sz w:val="28"/>
              </w:rPr>
              <w:t>对项目进行科学严格的管理，通过系统计划、有序组织、科学指导和有效控制，促进项目全面顺利实施，供应商必须提供完整的项目管理方案，并符合以下要求：</w:t>
            </w:r>
          </w:p>
          <w:p>
            <w:pPr>
              <w:pStyle w:val="null3"/>
              <w:ind w:firstLine="560"/>
              <w:jc w:val="both"/>
            </w:pPr>
            <w:r>
              <w:rPr>
                <w:rFonts w:ascii="仿宋_GB2312" w:hAnsi="仿宋_GB2312" w:cs="仿宋_GB2312" w:eastAsia="仿宋_GB2312"/>
                <w:sz w:val="28"/>
              </w:rPr>
              <w:t>1．供应商及其测评人员应当严格执行有关国家信息安全等级保护相关标准和有关规定，提供客观、公平、公正、有效的等级保护测评服务，并承担相应的法律责任。</w:t>
            </w:r>
          </w:p>
          <w:p>
            <w:pPr>
              <w:pStyle w:val="null3"/>
              <w:ind w:firstLine="560"/>
              <w:jc w:val="both"/>
            </w:pPr>
            <w:r>
              <w:rPr>
                <w:rFonts w:ascii="仿宋_GB2312" w:hAnsi="仿宋_GB2312" w:cs="仿宋_GB2312" w:eastAsia="仿宋_GB2312"/>
                <w:sz w:val="28"/>
              </w:rPr>
              <w:t>2．应具备能够保证其公正性、独立性的质量体系，确保测评活动不受任何可能影响测评结果的商业、财务、健康、环境等方面的压力。</w:t>
            </w:r>
          </w:p>
          <w:p>
            <w:pPr>
              <w:pStyle w:val="null3"/>
              <w:ind w:firstLine="560"/>
              <w:jc w:val="both"/>
            </w:pPr>
            <w:r>
              <w:rPr>
                <w:rFonts w:ascii="仿宋_GB2312" w:hAnsi="仿宋_GB2312" w:cs="仿宋_GB2312" w:eastAsia="仿宋_GB2312"/>
                <w:sz w:val="28"/>
              </w:rPr>
              <w:t>3．供应商在对被测评单位开展等级保护测评服务之前需与被测评单位签订保密协议，测评过程中向被测评单位借阅的文档资料应在测评工作结束后全部归还被测评单位，未经被测评单位允许，不得擅自复制、保留。</w:t>
            </w:r>
          </w:p>
          <w:p>
            <w:pPr>
              <w:pStyle w:val="null3"/>
              <w:ind w:firstLine="560"/>
              <w:jc w:val="both"/>
            </w:pPr>
            <w:r>
              <w:rPr>
                <w:rFonts w:ascii="仿宋_GB2312" w:hAnsi="仿宋_GB2312" w:cs="仿宋_GB2312" w:eastAsia="仿宋_GB2312"/>
                <w:sz w:val="28"/>
              </w:rPr>
              <w:t>4．供应商的岗位配置要至少配置项目经理（或总测评师）、技术负责人、质量负责人、保密安全员和档案管理员，其中项目经理（或总测评师）、技术负责人、质量负责人、保密安全员和档案管理员应独立配置，不能有兼任的情况。</w:t>
            </w:r>
          </w:p>
          <w:p>
            <w:pPr>
              <w:pStyle w:val="null3"/>
              <w:ind w:firstLine="560"/>
              <w:jc w:val="both"/>
            </w:pPr>
            <w:r>
              <w:rPr>
                <w:rFonts w:ascii="仿宋_GB2312" w:hAnsi="仿宋_GB2312" w:cs="仿宋_GB2312" w:eastAsia="仿宋_GB2312"/>
                <w:sz w:val="28"/>
              </w:rPr>
              <w:t>5．测评人员要求</w:t>
            </w:r>
          </w:p>
          <w:p>
            <w:pPr>
              <w:pStyle w:val="null3"/>
              <w:ind w:firstLine="560"/>
              <w:jc w:val="both"/>
            </w:pPr>
            <w:r>
              <w:rPr>
                <w:rFonts w:ascii="仿宋_GB2312" w:hAnsi="仿宋_GB2312" w:cs="仿宋_GB2312" w:eastAsia="仿宋_GB2312"/>
                <w:sz w:val="28"/>
              </w:rPr>
              <w:t>参与此次等级保护测评的供应商其测评人员应具备并符合以下要求：</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1）开展此次等级保护测评工作的人员仅限于中华人民共和国境内的中国公民，且无犯罪记录。</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2）测评项目组人员在对开展等级保护测评工作之前需签订保密协议。</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三年，合同一年一签（每年考核合格可续签服务合同）。供应商需在本项目合同签订生效之日起60个日历天内，完成资源平台系统部署、调试，并提供相应资源服务能力。</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绵阳市。</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财政部关于进一步加强政府采购需求和履约验收管理的指导意见》（财库〔2016〕205号）、《绵阳市财政局关于进一步做好政府采购项目履约验收工作的通知》(绵财采〔2021〕15号)的要求进行验收；政府采购项目履约验收工作由采购人负责</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1、项目合同签订后，达到付款条件起20日内，支付合同总金额的40.00%</w:t>
            </w:r>
          </w:p>
          <w:p>
            <w:pPr>
              <w:pStyle w:val="null3"/>
              <w:jc w:val="left"/>
            </w:pPr>
            <w:r>
              <w:rPr>
                <w:rFonts w:ascii="仿宋_GB2312" w:hAnsi="仿宋_GB2312" w:cs="仿宋_GB2312" w:eastAsia="仿宋_GB2312"/>
              </w:rPr>
              <w:t>2、服务期满6个月后，达到付款条件起20日内，支付合同总金额的30.00%</w:t>
            </w:r>
          </w:p>
          <w:p>
            <w:pPr>
              <w:pStyle w:val="null3"/>
              <w:jc w:val="left"/>
            </w:pPr>
            <w:r>
              <w:rPr>
                <w:rFonts w:ascii="仿宋_GB2312" w:hAnsi="仿宋_GB2312" w:cs="仿宋_GB2312" w:eastAsia="仿宋_GB2312"/>
              </w:rPr>
              <w:t>3、服务期满12个月后，达到付款条件起20日内，支付合同总金额的30.00%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 xml:space="preserve"> ①采购人及供应商双方必须遵守采购合同并执行合同中的各项规定，保证采购合同的正常履行。任何一方违约给对方造成的直接损失均负有赔偿责任，对方均有权视情况要求对方继续履行合同或提出解除合同。 ②如因供应商在履行过程中的疏忽、失职、过错等故意或者过失原因给采购人造成损失或侵害，包括但不限于采购人本身的财产损失、由此而导致的采购人对任何第三方的法律责任等，供应商对此均应承担全部的赔偿责任。 ③如供应商提交的成果达不到相关质量要求或未按采购人时间进度安排完成成果，采购人有权扣除合同支付金额和提出解除合同。 （2）争议解决办法 ①采购人及供应商双方就采购合同所产生的任何争议都应该进行友好协商，协商解决不成的，任何一方均可向项目所在地仲裁委员会申请仲裁。 ②仲裁费应由败诉方承担。 ③在仲裁期间，正在进行仲裁的部分外，合同其他部分继续执行</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三年，合同一年一签</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绵阳市。</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财政部关于进一步加强政府采购需求和履约验收管理的指导意见》（财库〔2016〕205号）、《绵阳市财政局关于进一步做好政府采购项目履约验收工作的通知》(绵财采〔2021〕15号)的要求进行验收；政府采购项目履约验收工作由采购人负责</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1、项目合同签订后，达到付款条件起20日内，支付合同总金额的40.00%</w:t>
            </w:r>
          </w:p>
          <w:p>
            <w:pPr>
              <w:pStyle w:val="null3"/>
              <w:jc w:val="left"/>
            </w:pPr>
            <w:r>
              <w:rPr>
                <w:rFonts w:ascii="仿宋_GB2312" w:hAnsi="仿宋_GB2312" w:cs="仿宋_GB2312" w:eastAsia="仿宋_GB2312"/>
              </w:rPr>
              <w:t>2、服务期满6个月后，达到付款条件起20日内，支付合同总金额的30.00%</w:t>
            </w:r>
          </w:p>
          <w:p>
            <w:pPr>
              <w:pStyle w:val="null3"/>
              <w:jc w:val="left"/>
            </w:pPr>
            <w:r>
              <w:rPr>
                <w:rFonts w:ascii="仿宋_GB2312" w:hAnsi="仿宋_GB2312" w:cs="仿宋_GB2312" w:eastAsia="仿宋_GB2312"/>
              </w:rPr>
              <w:t>3、服务期满12个月后，达到付款条件起20日内，支付合同总金额的30.00%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 xml:space="preserve"> ①采购人及供应商双方必须遵守采购合同并执行合同中的各项规定，保证采购合同的正常履行。任何一方违约给对方造成的直接损失均负有赔偿责任，对方均有权视情况要求对方继续履行合同或提出解除合同。 ②如因供应商在履行过程中的疏忽、失职、过错等故意或者过失原因给采购人造成损失或侵害，包括但不限于采购人本身的财产损失、由此而导致的采购人对任何第三方的法律责任等，供应商对此均应承担全部的赔偿责任。 ③如供应商提交的成果达不到相关质量要求或未按采购人时间进度安排完成成果，采购人有权扣除合同支付金额和提出解除合同。 （2）争议解决办法 ①采购人及供应商双方就采购合同所产生的任何争议都应该进行友好协商，协商解决不成的，任何一方均可向项目所在地仲裁委员会申请仲裁。 ②仲裁费应由败诉方承担。 ③在仲裁期间，正在进行仲裁的部分外，合同其他部分继续执行</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三年，合同一年一签。</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绵阳市</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财政部关于进一步加强政府采购需求和履约验收管理的指导意见》（财库〔2016〕205号）、《绵阳市财政局关于进一步做好政府采购项目履约验收工作的通知》(绵财采〔2021〕15号)的要求进行验收；政府采购项目履约验收工作由采购人负责</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1、项目合同签订后，达到付款条件起20日内，支付合同总金额的40.00%</w:t>
            </w:r>
          </w:p>
          <w:p>
            <w:pPr>
              <w:pStyle w:val="null3"/>
              <w:jc w:val="left"/>
            </w:pPr>
            <w:r>
              <w:rPr>
                <w:rFonts w:ascii="仿宋_GB2312" w:hAnsi="仿宋_GB2312" w:cs="仿宋_GB2312" w:eastAsia="仿宋_GB2312"/>
              </w:rPr>
              <w:t>2、服务期满6个月，达到付款条件起20日内，支付合同总金额的30.00%</w:t>
            </w:r>
          </w:p>
          <w:p>
            <w:pPr>
              <w:pStyle w:val="null3"/>
              <w:jc w:val="left"/>
            </w:pPr>
            <w:r>
              <w:rPr>
                <w:rFonts w:ascii="仿宋_GB2312" w:hAnsi="仿宋_GB2312" w:cs="仿宋_GB2312" w:eastAsia="仿宋_GB2312"/>
              </w:rPr>
              <w:t>3、服务期满12个月后，达到付款条件起20日内，支付合同总金额的30.00%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①采购人及供应商双方必须遵守采购合同并执行合同中的各项规定，保证采购合同的正常履行。任何一方违约给对方造成的直接损失均负有赔偿责任，对方均有权视情况要求对方继续履行合同或提出解除合同。 ②如因供应商在履行过程中的疏忽、失职、过错等故意或者过失原因给采购人造成损失或侵害，包括但不限于采购人本身的财产损失、由此而导致的采购人对任何第三方的法律责任等，供应商对此均应承担全部的赔偿责任。 ③如供应商提交的成果达不到相关质量要求或未按采购人时间进度安排完成成果，采购人有权扣除合同支付金额和提出解除合同。 （2）争议解决办法 ①采购人及供应商双方就采购合同所产生的任何争议都应该进行友好协商，协商解决不成的，任何一方均可向项目所在地仲裁委员会申请仲裁。 ②仲裁费应由败诉方承担。 ③在仲裁期间，正在进行仲裁的部分外，合同其他部分继续执行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应根据本项目技术及服务要求中的内容并结合自身实际情况分别对应编制实施方案。2.投标人应根据本项目技术及服务要求中的内容并结合自身实际情况分别对应编制应急方案。3.为本项目委派服务团队。4.具备类似业绩</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1.投标人应根据本项目服务内容及要求并结合自身实际情况，据实编制本项目监理方案。2.为本项目委派服务团队。</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1.根据本项目服务内容及要求并结合自身实际情况，据实编制本项目等保测评服务方案。2.为本项目委派服务团队。3.具备类似业绩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1、供应商需在项目电子化交易系统中按要求填写《投标（响应）函》完成承诺并进行电子签章。 2、供应商为企业（包括合伙企业）、个体工商户的,应提供工商营业执照或提供由市场监管部门核发的法人或者其他组织统一社会信用代码的营业执照（扫描件）；供应商属于银行、保险、石油石化、电力、电信等有行业特殊情况的，提供企业分支机构营业执照或统一社会信用代码的营业执照（扫描件）；供应商为其他组织的，提供事业单位法人证书或执业许可证等证明文件（扫描件）；如为自然人的提供《中华人民共和国居民身份证》（扫描件）。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具有独立承担民事责任的能力证明材料.docx,投标文件封面,投标（响应）函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 xml:space="preserve"> 1、供应商需在项目电子化交易系统中按要求填写《投标（响应）函》完成承诺并进行电子签章。 2、供应商为企业（包括合伙企业）、个体工商户的,应提供工商营业执照或提供由市场监管部门核发的法人或者其他组织统一社会信用代码的营业执照（扫描件）；供应商属于银行、保险、石油石化、电力、电信等有行业特殊情况的，提供企业分支机构营业执照或统一社会信用代码的营业执照（扫描件）；供应商为其他组织的，提供事业单位法人证书或执业许可证等证明文件（扫描件）；如为自然人的提供《中华人民共和国居民身份证》（扫描件）。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具有独立承担民事责任的能力证明材料.docx,投标文件封面,投标（响应）函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1、供应商需在项目电子化交易系统中按要求填写《投标（响应）函》完成承诺并进行电子签章。 2、供应商为企业（包括合伙企业）、个体工商户的,应提供工商营业执照或提供由市场监管部门核发的法人或者其他组织统一社会信用代码的营业执照（扫描件）；供应商属于银行、保险、石油石化、电力、电信等有行业特殊情况的，提供企业分支机构营业执照或统一社会信用代码的营业执照（扫描件）；供应商为其他组织的，提供事业单位法人证书或执业许可证等证明文件（扫描件）；如为自然人的提供《中华人民共和国居民身份证》（扫描件）。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具有独立承担民事责任的能力证明材料.docx,投标文件封面,投标（响应）函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具有公安部第三研究所颁发的有效的《网络安全服务认证证书等级保护测评服务认证》或《网络安全等级测评与检测评估机构服务认证证书》证书。</w:t>
            </w:r>
          </w:p>
        </w:tc>
        <w:tc>
          <w:tcPr>
            <w:tcW w:type="dxa" w:w="3322"/>
          </w:tcPr>
          <w:p>
            <w:pPr>
              <w:pStyle w:val="null3"/>
              <w:jc w:val="left"/>
            </w:pPr>
            <w:r>
              <w:rPr>
                <w:rFonts w:ascii="仿宋_GB2312" w:hAnsi="仿宋_GB2312" w:cs="仿宋_GB2312" w:eastAsia="仿宋_GB2312"/>
              </w:rPr>
              <w:t>提供公安部第三研究所颁发的有效的《网络安全服务认证证书等级保护测评服务认证》证书或《网络安全等级测评与检测评估机构服务认证证书》证书扫描件。</w:t>
            </w:r>
          </w:p>
        </w:tc>
        <w:tc>
          <w:tcPr>
            <w:tcW w:type="dxa" w:w="1661"/>
          </w:tcPr>
          <w:p>
            <w:pPr>
              <w:pStyle w:val="null3"/>
              <w:jc w:val="left"/>
            </w:pPr>
            <w:r>
              <w:rPr>
                <w:rFonts w:ascii="仿宋_GB2312" w:hAnsi="仿宋_GB2312" w:cs="仿宋_GB2312" w:eastAsia="仿宋_GB2312"/>
              </w:rPr>
              <w:t>包3特定资格要求.docx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实质性要求响应</w:t>
            </w:r>
          </w:p>
        </w:tc>
        <w:tc>
          <w:tcPr>
            <w:tcW w:type="dxa" w:w="3322"/>
          </w:tcPr>
          <w:p>
            <w:pPr>
              <w:pStyle w:val="null3"/>
              <w:jc w:val="left"/>
            </w:pPr>
            <w:r>
              <w:rPr>
                <w:rFonts w:ascii="仿宋_GB2312" w:hAnsi="仿宋_GB2312" w:cs="仿宋_GB2312" w:eastAsia="仿宋_GB2312"/>
              </w:rPr>
              <w:t>满足招标文件第三章的 实质性要求</w:t>
            </w:r>
          </w:p>
        </w:tc>
        <w:tc>
          <w:tcPr>
            <w:tcW w:type="dxa" w:w="1661"/>
          </w:tcPr>
          <w:p>
            <w:pPr>
              <w:pStyle w:val="null3"/>
              <w:jc w:val="left"/>
            </w:pPr>
            <w:r>
              <w:rPr>
                <w:rFonts w:ascii="仿宋_GB2312" w:hAnsi="仿宋_GB2312" w:cs="仿宋_GB2312" w:eastAsia="仿宋_GB2312"/>
              </w:rPr>
              <w:t>服务要求应答表.docx,供应商认为可提交的相关证明材料.docx,技术要求应答表.docx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法定代表人身份证明和授权委托书</w:t>
            </w:r>
          </w:p>
        </w:tc>
        <w:tc>
          <w:tcPr>
            <w:tcW w:type="dxa" w:w="3322"/>
          </w:tcPr>
          <w:p>
            <w:pPr>
              <w:pStyle w:val="null3"/>
              <w:jc w:val="left"/>
            </w:pPr>
            <w:r>
              <w:rPr>
                <w:rFonts w:ascii="仿宋_GB2312" w:hAnsi="仿宋_GB2312" w:cs="仿宋_GB2312" w:eastAsia="仿宋_GB2312"/>
              </w:rPr>
              <w:t>供应商需在使用投标(响应)客户端编制响应文件时，按要求填写《法定代表人身份证明及授权委托书》并进行电子签章。</w:t>
            </w:r>
          </w:p>
        </w:tc>
        <w:tc>
          <w:tcPr>
            <w:tcW w:type="dxa" w:w="1661"/>
          </w:tcPr>
          <w:p>
            <w:pPr>
              <w:pStyle w:val="null3"/>
              <w:jc w:val="left"/>
            </w:pPr>
            <w:r>
              <w:rPr>
                <w:rFonts w:ascii="仿宋_GB2312" w:hAnsi="仿宋_GB2312" w:cs="仿宋_GB2312" w:eastAsia="仿宋_GB2312"/>
              </w:rPr>
              <w:t>法定代表人身份证明及授权委托书.docx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报价</w:t>
            </w:r>
          </w:p>
        </w:tc>
        <w:tc>
          <w:tcPr>
            <w:tcW w:type="dxa" w:w="3322"/>
          </w:tcPr>
          <w:p>
            <w:pPr>
              <w:pStyle w:val="null3"/>
              <w:jc w:val="left"/>
            </w:pPr>
            <w:r>
              <w:rPr>
                <w:rFonts w:ascii="仿宋_GB2312" w:hAnsi="仿宋_GB2312" w:cs="仿宋_GB2312" w:eastAsia="仿宋_GB2312"/>
              </w:rPr>
              <w:t>报价符合招标文件要求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实质性要求响应</w:t>
            </w:r>
          </w:p>
        </w:tc>
        <w:tc>
          <w:tcPr>
            <w:tcW w:type="dxa" w:w="3322"/>
          </w:tcPr>
          <w:p>
            <w:pPr>
              <w:pStyle w:val="null3"/>
              <w:jc w:val="left"/>
            </w:pPr>
            <w:r>
              <w:rPr>
                <w:rFonts w:ascii="仿宋_GB2312" w:hAnsi="仿宋_GB2312" w:cs="仿宋_GB2312" w:eastAsia="仿宋_GB2312"/>
              </w:rPr>
              <w:t>满足招标文件第三章的 实质性要求</w:t>
            </w:r>
          </w:p>
        </w:tc>
        <w:tc>
          <w:tcPr>
            <w:tcW w:type="dxa" w:w="1661"/>
          </w:tcPr>
          <w:p>
            <w:pPr>
              <w:pStyle w:val="null3"/>
              <w:jc w:val="left"/>
            </w:pPr>
            <w:r>
              <w:rPr>
                <w:rFonts w:ascii="仿宋_GB2312" w:hAnsi="仿宋_GB2312" w:cs="仿宋_GB2312" w:eastAsia="仿宋_GB2312"/>
              </w:rPr>
              <w:t>服务要求应答表.docx,供应商认为可提交的相关证明材料.docx,技术要求应答表.docx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法定代表人身份证明和授权委托书</w:t>
            </w:r>
          </w:p>
        </w:tc>
        <w:tc>
          <w:tcPr>
            <w:tcW w:type="dxa" w:w="3322"/>
          </w:tcPr>
          <w:p>
            <w:pPr>
              <w:pStyle w:val="null3"/>
              <w:jc w:val="left"/>
            </w:pPr>
            <w:r>
              <w:rPr>
                <w:rFonts w:ascii="仿宋_GB2312" w:hAnsi="仿宋_GB2312" w:cs="仿宋_GB2312" w:eastAsia="仿宋_GB2312"/>
              </w:rPr>
              <w:t>供应商需在使用投标(响应)客户端编制响应文件时，按要求填写《法定代表人身份证明及授权委托书》并进行电子签章。</w:t>
            </w:r>
          </w:p>
        </w:tc>
        <w:tc>
          <w:tcPr>
            <w:tcW w:type="dxa" w:w="1661"/>
          </w:tcPr>
          <w:p>
            <w:pPr>
              <w:pStyle w:val="null3"/>
              <w:jc w:val="left"/>
            </w:pPr>
            <w:r>
              <w:rPr>
                <w:rFonts w:ascii="仿宋_GB2312" w:hAnsi="仿宋_GB2312" w:cs="仿宋_GB2312" w:eastAsia="仿宋_GB2312"/>
              </w:rPr>
              <w:t>法定代表人身份证明及授权委托书.docx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报价</w:t>
            </w:r>
          </w:p>
        </w:tc>
        <w:tc>
          <w:tcPr>
            <w:tcW w:type="dxa" w:w="3322"/>
          </w:tcPr>
          <w:p>
            <w:pPr>
              <w:pStyle w:val="null3"/>
              <w:jc w:val="left"/>
            </w:pPr>
            <w:r>
              <w:rPr>
                <w:rFonts w:ascii="仿宋_GB2312" w:hAnsi="仿宋_GB2312" w:cs="仿宋_GB2312" w:eastAsia="仿宋_GB2312"/>
              </w:rPr>
              <w:t>报价符合招标文件要求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实质性要求响应</w:t>
            </w:r>
          </w:p>
        </w:tc>
        <w:tc>
          <w:tcPr>
            <w:tcW w:type="dxa" w:w="3322"/>
          </w:tcPr>
          <w:p>
            <w:pPr>
              <w:pStyle w:val="null3"/>
              <w:jc w:val="left"/>
            </w:pPr>
            <w:r>
              <w:rPr>
                <w:rFonts w:ascii="仿宋_GB2312" w:hAnsi="仿宋_GB2312" w:cs="仿宋_GB2312" w:eastAsia="仿宋_GB2312"/>
              </w:rPr>
              <w:t>满足招标文件第三章的 实质性要求</w:t>
            </w:r>
          </w:p>
        </w:tc>
        <w:tc>
          <w:tcPr>
            <w:tcW w:type="dxa" w:w="1661"/>
          </w:tcPr>
          <w:p>
            <w:pPr>
              <w:pStyle w:val="null3"/>
              <w:jc w:val="left"/>
            </w:pPr>
            <w:r>
              <w:rPr>
                <w:rFonts w:ascii="仿宋_GB2312" w:hAnsi="仿宋_GB2312" w:cs="仿宋_GB2312" w:eastAsia="仿宋_GB2312"/>
              </w:rPr>
              <w:t>服务要求应答表.docx,供应商认为可提交的相关证明材料.docx,技术要求应答表.docx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法定代表人身份证明和授权委托书</w:t>
            </w:r>
          </w:p>
        </w:tc>
        <w:tc>
          <w:tcPr>
            <w:tcW w:type="dxa" w:w="3322"/>
          </w:tcPr>
          <w:p>
            <w:pPr>
              <w:pStyle w:val="null3"/>
              <w:jc w:val="left"/>
            </w:pPr>
            <w:r>
              <w:rPr>
                <w:rFonts w:ascii="仿宋_GB2312" w:hAnsi="仿宋_GB2312" w:cs="仿宋_GB2312" w:eastAsia="仿宋_GB2312"/>
              </w:rPr>
              <w:t>供应商需在使用投标(响应)客户端编制响应文件时，按要求填写《法定代表人身份证明及授权委托书》并进行电子签章。</w:t>
            </w:r>
          </w:p>
        </w:tc>
        <w:tc>
          <w:tcPr>
            <w:tcW w:type="dxa" w:w="1661"/>
          </w:tcPr>
          <w:p>
            <w:pPr>
              <w:pStyle w:val="null3"/>
              <w:jc w:val="left"/>
            </w:pPr>
            <w:r>
              <w:rPr>
                <w:rFonts w:ascii="仿宋_GB2312" w:hAnsi="仿宋_GB2312" w:cs="仿宋_GB2312" w:eastAsia="仿宋_GB2312"/>
              </w:rPr>
              <w:t>法定代表人身份证明及授权委托书.docx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报价</w:t>
            </w:r>
          </w:p>
        </w:tc>
        <w:tc>
          <w:tcPr>
            <w:tcW w:type="dxa" w:w="3322"/>
          </w:tcPr>
          <w:p>
            <w:pPr>
              <w:pStyle w:val="null3"/>
              <w:jc w:val="left"/>
            </w:pPr>
            <w:r>
              <w:rPr>
                <w:rFonts w:ascii="仿宋_GB2312" w:hAnsi="仿宋_GB2312" w:cs="仿宋_GB2312" w:eastAsia="仿宋_GB2312"/>
              </w:rPr>
              <w:t>报价符合招标文件要求</w:t>
            </w:r>
          </w:p>
        </w:tc>
        <w:tc>
          <w:tcPr>
            <w:tcW w:type="dxa" w:w="1661"/>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采购包3：</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技术指标响应</w:t>
            </w:r>
          </w:p>
        </w:tc>
        <w:tc>
          <w:tcPr>
            <w:tcW w:type="dxa" w:w="2575"/>
          </w:tcPr>
          <w:p>
            <w:pPr>
              <w:pStyle w:val="null3"/>
              <w:jc w:val="left"/>
            </w:pPr>
            <w:r>
              <w:rPr>
                <w:rFonts w:ascii="仿宋_GB2312" w:hAnsi="仿宋_GB2312" w:cs="仿宋_GB2312" w:eastAsia="仿宋_GB2312"/>
              </w:rPr>
              <w:t>技术指标及配置完全满足招标文件规定的技术参数及要求没有负偏离的27分。技术参数中带“★”号项参数为实质性要求，必须满足，否则为无效投标。“▲”参数条款（9条）每有一项负偏离扣1分，共9分；一般等级编参数条款（90条）每有一项负偏离扣0.2分，共18分。 注：1、以最低号为一项参数；若无最低等级编号，则以上一级别编号为一项参数，以此类推。2、响应的技术参数及配置要求等于或高于本采购文件要求的，都视作满足采购文件要求。采购文件中有明确要求提供佐证材料的，需按采购文件要求提供并加盖电子印章，未提供的视为负偏离进行相应扣分处理。未明确要求的可据实直接响应。</w:t>
            </w:r>
          </w:p>
        </w:tc>
        <w:tc>
          <w:tcPr>
            <w:tcW w:type="dxa" w:w="831"/>
          </w:tcPr>
          <w:p>
            <w:pPr>
              <w:pStyle w:val="null3"/>
              <w:jc w:val="center"/>
            </w:pPr>
            <w:r>
              <w:rPr>
                <w:rFonts w:ascii="仿宋_GB2312" w:hAnsi="仿宋_GB2312" w:cs="仿宋_GB2312" w:eastAsia="仿宋_GB2312"/>
              </w:rPr>
              <w:t>27.0000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技术要求应答表.docx</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投标人应根据本项目技术及服务要求中的内容并结合自身实际情况分别对应编制以下实施方案，包括以下内容：①整体技术架构（包括总体架构设计、总体实施标准）、②实施进度计划（包括进度保障措施、项目实施阶段计划、工作流程设计）、③平台建设与系统迁移方案（平台部署实施计划、数据迁移保障、集成方案）、④运行维护服务方案（包括平台基础运维、应用系统维护、运维流程管理）、⑤安全保障服务方案（包括安全体系架构设计、安全运维与漏洞防护、数据安全保障）、⑥培训方案（培训计划、培训方式、培训内容、培训目标）、⑦保密方案（包括保密管理制度、项目实施人员保密教育、项目实施全过程保密管理措施、保密监督及信息管理）；上述所有方案完全满足项目需求的得28分，每有一项内容缺项或漏项（具体是指：所涉及的对方案中的7个单项方案）的扣4分，扣完为止。每个对应上述7个单项方案中的内容存在不足或缺陷的，每个单项对应分值扣2分（单项内容要素扣减分值不超过4分），扣完为止。 注：1、内容满足需求是指：①内容与项目服务需求吻合，有具体详细的阐述；②阐述从实际出发，切合项目背景、项目需求并提出专业技术建议或者解决方案；③内容符合国家、地方、行业标准、行业惯例以及项目特点；④内容清楚明了、表述规范、含义准确。 2、①不足具体是指：对应单项中的内容缺失（不完整）、与对应单项的要求缺少重要节点（如仅有框架或标题、单项内容仅有复制招标内容的要求、涉及内容无重点）、对应单项中的内容中有与履行本项目无关的方案；②缺陷具体是指：单项方案中出现套用其他项目方案或内容、内容中出现前后描述不一致现象或语言描述出现有错误、内容涉及适用的规范及标准（方法）出现错误、方案内容中有与履行本项目无关的描述等任意一种情形。</w:t>
            </w:r>
          </w:p>
        </w:tc>
        <w:tc>
          <w:tcPr>
            <w:tcW w:type="dxa" w:w="831"/>
          </w:tcPr>
          <w:p>
            <w:pPr>
              <w:pStyle w:val="null3"/>
              <w:jc w:val="center"/>
            </w:pPr>
            <w:r>
              <w:rPr>
                <w:rFonts w:ascii="仿宋_GB2312" w:hAnsi="仿宋_GB2312" w:cs="仿宋_GB2312" w:eastAsia="仿宋_GB2312"/>
              </w:rPr>
              <w:t>28.0000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包1项目实施方案.docx</w:t>
            </w:r>
          </w:p>
        </w:tc>
      </w:tr>
      <w:tr>
        <w:tc>
          <w:tcPr>
            <w:tcW w:type="dxa" w:w="831"/>
            <w:vMerge/>
          </w:tcPr>
          <w:p/>
        </w:tc>
        <w:tc>
          <w:tcPr>
            <w:tcW w:type="dxa" w:w="1661"/>
          </w:tcPr>
          <w:p>
            <w:pPr>
              <w:pStyle w:val="null3"/>
              <w:jc w:val="left"/>
            </w:pPr>
            <w:r>
              <w:rPr>
                <w:rFonts w:ascii="仿宋_GB2312" w:hAnsi="仿宋_GB2312" w:cs="仿宋_GB2312" w:eastAsia="仿宋_GB2312"/>
              </w:rPr>
              <w:t>应急方案</w:t>
            </w:r>
          </w:p>
        </w:tc>
        <w:tc>
          <w:tcPr>
            <w:tcW w:type="dxa" w:w="2575"/>
          </w:tcPr>
          <w:p>
            <w:pPr>
              <w:pStyle w:val="null3"/>
              <w:jc w:val="left"/>
            </w:pPr>
            <w:r>
              <w:rPr>
                <w:rFonts w:ascii="仿宋_GB2312" w:hAnsi="仿宋_GB2312" w:cs="仿宋_GB2312" w:eastAsia="仿宋_GB2312"/>
              </w:rPr>
              <w:t>投标人应根据本项目技术及服务要求中的内容并结合自身实际情况分别对应编制以下应急方案，内容包括：①运维应急流程和应急响应体系建设（包括运维应急事件分级及对应处理流程制定、应急响应组织架构及职责分工规划）、②对故障应急处理（包括故障监测预警机制、故障快速恢复策略及处置流程）、③非工作时间故障应急措施（非工作时间故障接收与报告流程设定、非工作时间应急技术支持调配方案）、④应急后勤保障方案（应急保障清单、后勤保障资源储备与调配措施）进行综合评审，上述所有方案完全满足项目需求的得12分，每有一项内容缺项或漏项（具体是指：所涉及的对方案中的4个单项方案）的扣3分，扣完为止。每个对应上述4个单项方案中的内容存在不足或缺陷的，每个单项对应分值扣1.5分（单项内容要素扣减分值不超过3分），扣完为止。 注：1、内容满足需求是指：①内容与项目服务需求吻合，有具体详细的阐述；②阐述从实际出发，切合项目背景、项目需求并提出专业技术建议或者解决方案；③内容符合国家、地方、行业标准、行业惯例以及项目特点；④内容清楚明了、表述规范、含义准确。 2、①不足具体是指：对应单项中的内容缺失（不完整）、与对应单项的要求缺少重要节点（如仅有框架或标题、单项内容仅有复制招标内容的要求、涉及内容无重点）、对应单项中的内容中有与履行本项目无关的方案；②缺陷具体是指：单项方案中出现套用其他项目方案或内容、内容中出现前后描述不一致现象或语言描述出现有错误、内容涉及适用的规范及标准（方法）出现错误、方案内容中有与履行本项目无关的描述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包1应急方案.docx</w:t>
            </w:r>
          </w:p>
        </w:tc>
      </w:tr>
      <w:tr>
        <w:tc>
          <w:tcPr>
            <w:tcW w:type="dxa" w:w="831"/>
            <w:vMerge/>
          </w:tcPr>
          <w:p/>
        </w:tc>
        <w:tc>
          <w:tcPr>
            <w:tcW w:type="dxa" w:w="1661"/>
          </w:tcPr>
          <w:p>
            <w:pPr>
              <w:pStyle w:val="null3"/>
              <w:jc w:val="left"/>
            </w:pPr>
            <w:r>
              <w:rPr>
                <w:rFonts w:ascii="仿宋_GB2312" w:hAnsi="仿宋_GB2312" w:cs="仿宋_GB2312" w:eastAsia="仿宋_GB2312"/>
              </w:rPr>
              <w:t>服务团队</w:t>
            </w:r>
          </w:p>
        </w:tc>
        <w:tc>
          <w:tcPr>
            <w:tcW w:type="dxa" w:w="2575"/>
          </w:tcPr>
          <w:p>
            <w:pPr>
              <w:pStyle w:val="null3"/>
              <w:jc w:val="left"/>
            </w:pPr>
            <w:r>
              <w:rPr>
                <w:rFonts w:ascii="仿宋_GB2312" w:hAnsi="仿宋_GB2312" w:cs="仿宋_GB2312" w:eastAsia="仿宋_GB2312"/>
              </w:rPr>
              <w:t>1、项目负责人（1人）：拟派的项目负责人具备工信部和人社部颁发的信息系统项目管理师或系统规划与管理师的得4分，本项最高得4分。 2、拟派驻本项目现场实施的团队（除项目负责人）： ①每有1人具备以下任意一项证书（工信部和人社部颁发的：系统集成项目管理工程师证书、信息系统管理工程师证书、网络工程师证书、数据库与系统工程师）的得2分，最高得10分； ②每具备1名中国信息安全测评中心颁发的CISP注册信息安全专业人员证书的得2分，最高4分。 注： ①上述人员不重复计分。②上述所有人员须提供人员资质证书(件)，否则不得分。③须提供投标供应商为其在职证明（在职证明包括：社保缴纳凭证或劳动合同或工资发放证明，如为退休人员须提供退休证及与供应商之间的劳动关系证明资料）复印件。</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服务团队.docx</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供应商具备2023年1月1日至投标截止时间的类似业绩，每提供一个得2.5分,最多得5分。（类似业绩是指：软件系统运维类或资源平台建设类项目） 注：以提供中标/成交通知书扫描件或合同关键页扫描件为准，未提供不得分。</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包1类似业绩.docx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服务团队</w:t>
            </w:r>
          </w:p>
        </w:tc>
        <w:tc>
          <w:tcPr>
            <w:tcW w:type="dxa" w:w="2575"/>
          </w:tcPr>
          <w:p>
            <w:pPr>
              <w:pStyle w:val="null3"/>
              <w:jc w:val="left"/>
            </w:pPr>
            <w:r>
              <w:rPr>
                <w:rFonts w:ascii="仿宋_GB2312" w:hAnsi="仿宋_GB2312" w:cs="仿宋_GB2312" w:eastAsia="仿宋_GB2312"/>
              </w:rPr>
              <w:t>1.总监理工程师（1人）：具有工信部和人社部颁发的计算机技术与软件专业技术资格证书（信息系统监理师）得5分；具有高级职称证书（计算机类或电子信息工程类）的得5分，具有中级职称证书计算机类或电子信息工程类）得2.5分，（职称证书按照较高级别的计分）。本项最多得10分。 2.其他人员：派驻本项目其他人员具备每有1人具备以下任意一项证书（工信部和人社部颁发的计算机技术与软件专业技术资格证书中的信息系统监理师或系统集成项目管理工程师或信息系统管理工程师）的得5分；本项最多得15分。 ①上述所有人员须提供人员资质证书(件)，否则不得分。 ②须提供投标供应商为其在职证明（在职证明包括：社保缴纳凭证或劳动合同或工资发放证明，如为退休人员须提供退休证及与供应商之间的劳动关系证明资料）复印件。 ③上述人员不重复计分。</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服务团队.docx</w:t>
            </w:r>
          </w:p>
        </w:tc>
      </w:tr>
      <w:tr>
        <w:tc>
          <w:tcPr>
            <w:tcW w:type="dxa" w:w="831"/>
            <w:vMerge/>
          </w:tcPr>
          <w:p/>
        </w:tc>
        <w:tc>
          <w:tcPr>
            <w:tcW w:type="dxa" w:w="1661"/>
          </w:tcPr>
          <w:p>
            <w:pPr>
              <w:pStyle w:val="null3"/>
              <w:jc w:val="left"/>
            </w:pPr>
            <w:r>
              <w:rPr>
                <w:rFonts w:ascii="仿宋_GB2312" w:hAnsi="仿宋_GB2312" w:cs="仿宋_GB2312" w:eastAsia="仿宋_GB2312"/>
              </w:rPr>
              <w:t>监理服务方案</w:t>
            </w:r>
          </w:p>
        </w:tc>
        <w:tc>
          <w:tcPr>
            <w:tcW w:type="dxa" w:w="2575"/>
          </w:tcPr>
          <w:p>
            <w:pPr>
              <w:pStyle w:val="null3"/>
              <w:jc w:val="left"/>
            </w:pPr>
            <w:r>
              <w:rPr>
                <w:rFonts w:ascii="仿宋_GB2312" w:hAnsi="仿宋_GB2312" w:cs="仿宋_GB2312" w:eastAsia="仿宋_GB2312"/>
              </w:rPr>
              <w:t>供应商应根据本项目服务内容及要求并结合自身实际情况，据实编制本项目监理方案，包括以下内容： 1.基础保障监理措施（20分）：①资源配置措施（人力资源配置、软硬件资源配置）、②文档管理措施（文档收集管控、文档归档管控、文档使用管控）、③组织协调措施（监理团队内部沟通协调、建立三方沟通机制）、④监理工具运维措施（工具部署管控、工具运维管控）。上述所有方案完全满足项目需求的得20分，每有一项内容缺项或漏项（具体是指：所涉及的方案中的4个单项方案）的扣5分，扣完为止。每个对应上述4个单项方案中的内容存在不足或缺陷的，每个单项对应分值扣2.5分（单项内容要素扣减分值不超过5分），扣完为止。 2.核心管控监理措施（30分）：①质量控制措施（日常运维质量管控、故障处置质量管控、运维成果质量管控）、②进度控制措施（运维计划管控、进度跟踪管控、进度预警管控）、③投资（成本）控制措施（运维预算管控、成本优化管控）、④变更控制措施（变更申请审核、变更实施管控、变更归档管控）、⑤运维服务考核措施（考核指标管控、考核实施管控）。上述所有方案完全满足项目需求的得30分，每有一项内容缺项或漏项（具体是指：所涉及的方案中的5个单项方案）的扣6分，扣完为止。每个对应上述5个单项方案中的内容存在不足或缺陷的，每个单项对应分值扣3分（单项内容要素扣减分值不超过6分），扣完为止。 3.风险防控监理措施（15分）：①合同管理措施（合同审核管控、合同执行管控、合同归档管控）、②信息安全管理措施（安全合规管控、安全技术管控、安全人员管控）、③风险管控措施（风险识别管控、风险预警管控、风险处置管控）。上述所有方案完全满足项目需求的得15分，每有一项内容缺项或漏项（具体是指：所涉及的对监理服务方案中的3个单项方案）的扣5分，扣完为止。每个对应上述3个单项方案中的内容存在不足或缺陷的，每个单项对应分值扣2.5分（单项内容要素扣减分值不超过5分），扣完为止。 注：1、内容满足需求是指：①内容与项目服务需求吻合，有具体详细的阐述；②阐述从实际出发，切合项目背景、项目需求并提出专业技术建议或者解决方案；③内容符合国家、地方、行业标准、行业惯例以及项目特点；④内容清楚明了、表述规范、含义准确。 2、①不足具体是指：对应单项中的内容缺失（不完整）、与对应单项的要求缺少重要节点（如仅有框架或标题、单项内容仅有复制招标内容的要求、涉及内容无重点）；②缺陷具体是指：单项方案中出现套用其他项目方案或内容、内容中出现前后描述不一致现象或语言描述出现有错误、内容涉及适用的规范及标准（方法）出现错误等任意一种情形。</w:t>
            </w:r>
          </w:p>
        </w:tc>
        <w:tc>
          <w:tcPr>
            <w:tcW w:type="dxa" w:w="831"/>
          </w:tcPr>
          <w:p>
            <w:pPr>
              <w:pStyle w:val="null3"/>
              <w:jc w:val="center"/>
            </w:pPr>
            <w:r>
              <w:rPr>
                <w:rFonts w:ascii="仿宋_GB2312" w:hAnsi="仿宋_GB2312" w:cs="仿宋_GB2312" w:eastAsia="仿宋_GB2312"/>
              </w:rPr>
              <w:t>65.0000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包2监理服务方案.docx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服务团队</w:t>
            </w:r>
          </w:p>
        </w:tc>
        <w:tc>
          <w:tcPr>
            <w:tcW w:type="dxa" w:w="2575"/>
          </w:tcPr>
          <w:p>
            <w:pPr>
              <w:pStyle w:val="null3"/>
              <w:jc w:val="left"/>
            </w:pPr>
            <w:r>
              <w:rPr>
                <w:rFonts w:ascii="仿宋_GB2312" w:hAnsi="仿宋_GB2312" w:cs="仿宋_GB2312" w:eastAsia="仿宋_GB2312"/>
              </w:rPr>
              <w:t>1.拟派总测评师1名：具有信息（或网络）安全等级测评师（高级）证书得3分；具有高级职称证书（数据安全或网络安全类）的得2分，中级职称（数据安全或网络安全类）的得1分，（职称证书按照较高级别的计分）。本项最多得5分。 2.项目技术负责人：具有工信部和人社部颁发的计算机技术与软件专业技术资格证书中的数据库系统工程师或系统分析师或系统规划与管理师资格证书的得3分。 3.项目质量负责人：具有信息（或网络）安全等级测评师证书得3分；具有高级职称证书（数据安全或网络安全类）的得2分，中级职称（数据安全或网络安全类）的得1分，（职称证书按照较高级别的计分）本项最多得5分。 4.项目测评工程师具有以下证书分别加分，同一人员和同一证书不重复计分，本项最多5分。 （1）具有工信部和人社部颁发的计算机技术与软件专业技术资格证书（信息安全工程师证书）得2.5分； （2）具有注册信息安全渗透测试工程师证书（CISP-PTE）得2.5分； 注：①上述所有人员须提供人员资质证书(件)，否则不得分。 ②须提供投标供应商为其在职证明（在职证明包括：社保缴纳凭证或劳动合同或工资发放证明，如为退休人员须提供退休证及与供应商之间的劳动关系证明资料）复印件。 ③上述人员不重复计分。</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服务团队.docx</w:t>
            </w:r>
          </w:p>
        </w:tc>
      </w:tr>
      <w:tr>
        <w:tc>
          <w:tcPr>
            <w:tcW w:type="dxa" w:w="831"/>
            <w:vMerge/>
          </w:tcPr>
          <w:p/>
        </w:tc>
        <w:tc>
          <w:tcPr>
            <w:tcW w:type="dxa" w:w="1661"/>
          </w:tcPr>
          <w:p>
            <w:pPr>
              <w:pStyle w:val="null3"/>
              <w:jc w:val="left"/>
            </w:pPr>
            <w:r>
              <w:rPr>
                <w:rFonts w:ascii="仿宋_GB2312" w:hAnsi="仿宋_GB2312" w:cs="仿宋_GB2312" w:eastAsia="仿宋_GB2312"/>
              </w:rPr>
              <w:t>等保测评服务方案</w:t>
            </w:r>
          </w:p>
        </w:tc>
        <w:tc>
          <w:tcPr>
            <w:tcW w:type="dxa" w:w="2575"/>
          </w:tcPr>
          <w:p>
            <w:pPr>
              <w:pStyle w:val="null3"/>
              <w:jc w:val="left"/>
            </w:pPr>
            <w:r>
              <w:rPr>
                <w:rFonts w:ascii="仿宋_GB2312" w:hAnsi="仿宋_GB2312" w:cs="仿宋_GB2312" w:eastAsia="仿宋_GB2312"/>
              </w:rPr>
              <w:t>供应商应根据本项目服务内容及要求并结合自身实际情况，据实编制本项目等保测评服务方案，包括以下内容：①安全物理环境；②安全通信网络；③安全区域边界；④安全计算环境；⑤安全管理中心；⑥安全管理制度；⑦安全管理机构；⑧安全管理人员；⑨安全运维管理；⑩安全建设管理。 上述所有方案完全满足项目需求的得60分，每有一项内容缺项或漏项（具体是指：所涉及的对等保测评服务方案中的10个单项方案）的扣6分，扣完为止。每个对应上述10个单项方案中的内容存在不足或缺陷的，每个单项对应分值扣3分（单项内容要素扣减分值不超过6分），扣完为止。 注：1、内容满足需求是指：①内容与项目服务需求吻合，有具体详细的阐述；②阐述从实际出发，切合项目背景、项目需求并提出专业技术建议或者解决方案；③内容符合国家、地方、行业标准、行业惯例以及项目特点；④内容清楚明了、表述规范、含义准确。 2、①不足具体是指：对应单项中的内容缺失（不完整）、与对应单项的要求缺少重要节点（如仅有框架或标题、单项内容仅有复制招标内容的要求、涉及内容无重点）；②缺陷具体是指：单项方案中出现套用其他项目方案或内容、内容中出现前后描述不一致现象或语言描述出现有错误、内容涉及适用的规范及标准（方法）出现错误等任意一种情形。</w:t>
            </w:r>
          </w:p>
        </w:tc>
        <w:tc>
          <w:tcPr>
            <w:tcW w:type="dxa" w:w="831"/>
          </w:tcPr>
          <w:p>
            <w:pPr>
              <w:pStyle w:val="null3"/>
              <w:jc w:val="center"/>
            </w:pPr>
            <w:r>
              <w:rPr>
                <w:rFonts w:ascii="仿宋_GB2312" w:hAnsi="仿宋_GB2312" w:cs="仿宋_GB2312" w:eastAsia="仿宋_GB2312"/>
              </w:rPr>
              <w:t>60.0000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包3等保测评服务方案.docx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供应商2023年1月1日至今，每具有一个类似业绩得4分，本项最高得12分。 注：提供合同扫描件或成交（中标）通知书扫描件并加盖供应商公章。</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包3履约能力.docx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详见附件：包1类似业绩.docx</w:t>
      </w:r>
    </w:p>
    <w:p>
      <w:pPr>
        <w:pStyle w:val="null3"/>
        <w:ind w:firstLine="960"/>
        <w:jc w:val="left"/>
      </w:pPr>
      <w:r>
        <w:rPr>
          <w:rFonts w:ascii="仿宋_GB2312" w:hAnsi="仿宋_GB2312" w:cs="仿宋_GB2312" w:eastAsia="仿宋_GB2312"/>
        </w:rPr>
        <w:t>详见附件：包1项目实施方案.docx</w:t>
      </w:r>
    </w:p>
    <w:p>
      <w:pPr>
        <w:pStyle w:val="null3"/>
        <w:ind w:firstLine="960"/>
        <w:jc w:val="left"/>
      </w:pPr>
      <w:r>
        <w:rPr>
          <w:rFonts w:ascii="仿宋_GB2312" w:hAnsi="仿宋_GB2312" w:cs="仿宋_GB2312" w:eastAsia="仿宋_GB2312"/>
        </w:rPr>
        <w:t>详见附件：包1应急方案.docx</w:t>
      </w:r>
    </w:p>
    <w:p>
      <w:pPr>
        <w:pStyle w:val="null3"/>
        <w:ind w:firstLine="960"/>
        <w:jc w:val="left"/>
      </w:pPr>
      <w:r>
        <w:rPr>
          <w:rFonts w:ascii="仿宋_GB2312" w:hAnsi="仿宋_GB2312" w:cs="仿宋_GB2312" w:eastAsia="仿宋_GB2312"/>
        </w:rPr>
        <w:t>详见附件：法定代表人身份证明及授权委托书.docx</w:t>
      </w:r>
    </w:p>
    <w:p>
      <w:pPr>
        <w:pStyle w:val="null3"/>
        <w:ind w:firstLine="960"/>
        <w:jc w:val="left"/>
      </w:pPr>
      <w:r>
        <w:rPr>
          <w:rFonts w:ascii="仿宋_GB2312" w:hAnsi="仿宋_GB2312" w:cs="仿宋_GB2312" w:eastAsia="仿宋_GB2312"/>
        </w:rPr>
        <w:t>详见附件：服务要求应答表.docx</w:t>
      </w:r>
    </w:p>
    <w:p>
      <w:pPr>
        <w:pStyle w:val="null3"/>
        <w:ind w:firstLine="960"/>
        <w:jc w:val="left"/>
      </w:pPr>
      <w:r>
        <w:rPr>
          <w:rFonts w:ascii="仿宋_GB2312" w:hAnsi="仿宋_GB2312" w:cs="仿宋_GB2312" w:eastAsia="仿宋_GB2312"/>
        </w:rPr>
        <w:t>详见附件：供应商认为可提交的相关证明材料.docx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详见附件：具有独立承担民事责任的能力证明材料.docx</w:t>
      </w:r>
    </w:p>
    <w:p>
      <w:pPr>
        <w:pStyle w:val="null3"/>
        <w:ind w:firstLine="960"/>
        <w:jc w:val="left"/>
      </w:pPr>
      <w:r>
        <w:rPr>
          <w:rFonts w:ascii="仿宋_GB2312" w:hAnsi="仿宋_GB2312" w:cs="仿宋_GB2312" w:eastAsia="仿宋_GB2312"/>
        </w:rPr>
        <w:t>详见附件：服务团队.docx</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详见附件：包2监理服务方案.docx</w:t>
      </w:r>
    </w:p>
    <w:p>
      <w:pPr>
        <w:pStyle w:val="null3"/>
        <w:ind w:firstLine="960"/>
        <w:jc w:val="left"/>
      </w:pPr>
      <w:r>
        <w:rPr>
          <w:rFonts w:ascii="仿宋_GB2312" w:hAnsi="仿宋_GB2312" w:cs="仿宋_GB2312" w:eastAsia="仿宋_GB2312"/>
        </w:rPr>
        <w:t>详见附件：法定代表人身份证明及授权委托书.docx</w:t>
      </w:r>
    </w:p>
    <w:p>
      <w:pPr>
        <w:pStyle w:val="null3"/>
        <w:ind w:firstLine="960"/>
        <w:jc w:val="left"/>
      </w:pPr>
      <w:r>
        <w:rPr>
          <w:rFonts w:ascii="仿宋_GB2312" w:hAnsi="仿宋_GB2312" w:cs="仿宋_GB2312" w:eastAsia="仿宋_GB2312"/>
        </w:rPr>
        <w:t>详见附件：服务团队.docx</w:t>
      </w:r>
    </w:p>
    <w:p>
      <w:pPr>
        <w:pStyle w:val="null3"/>
        <w:ind w:firstLine="960"/>
        <w:jc w:val="left"/>
      </w:pPr>
      <w:r>
        <w:rPr>
          <w:rFonts w:ascii="仿宋_GB2312" w:hAnsi="仿宋_GB2312" w:cs="仿宋_GB2312" w:eastAsia="仿宋_GB2312"/>
        </w:rPr>
        <w:t>详见附件：服务要求应答表.docx</w:t>
      </w:r>
    </w:p>
    <w:p>
      <w:pPr>
        <w:pStyle w:val="null3"/>
        <w:ind w:firstLine="960"/>
        <w:jc w:val="left"/>
      </w:pPr>
      <w:r>
        <w:rPr>
          <w:rFonts w:ascii="仿宋_GB2312" w:hAnsi="仿宋_GB2312" w:cs="仿宋_GB2312" w:eastAsia="仿宋_GB2312"/>
        </w:rPr>
        <w:t>详见附件：供应商认为可提交的相关证明材料.docx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详见附件：具有独立承担民事责任的能力证明材料.docx</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详见附件：包3等保测评服务方案.docx</w:t>
      </w:r>
    </w:p>
    <w:p>
      <w:pPr>
        <w:pStyle w:val="null3"/>
        <w:ind w:firstLine="960"/>
        <w:jc w:val="left"/>
      </w:pPr>
      <w:r>
        <w:rPr>
          <w:rFonts w:ascii="仿宋_GB2312" w:hAnsi="仿宋_GB2312" w:cs="仿宋_GB2312" w:eastAsia="仿宋_GB2312"/>
        </w:rPr>
        <w:t>详见附件：包3履约能力.docx</w:t>
      </w:r>
    </w:p>
    <w:p>
      <w:pPr>
        <w:pStyle w:val="null3"/>
        <w:ind w:firstLine="960"/>
        <w:jc w:val="left"/>
      </w:pPr>
      <w:r>
        <w:rPr>
          <w:rFonts w:ascii="仿宋_GB2312" w:hAnsi="仿宋_GB2312" w:cs="仿宋_GB2312" w:eastAsia="仿宋_GB2312"/>
        </w:rPr>
        <w:t>详见附件：包3特定资格要求.docx</w:t>
      </w:r>
    </w:p>
    <w:p>
      <w:pPr>
        <w:pStyle w:val="null3"/>
        <w:ind w:firstLine="960"/>
        <w:jc w:val="left"/>
      </w:pPr>
      <w:r>
        <w:rPr>
          <w:rFonts w:ascii="仿宋_GB2312" w:hAnsi="仿宋_GB2312" w:cs="仿宋_GB2312" w:eastAsia="仿宋_GB2312"/>
        </w:rPr>
        <w:t>详见附件：法定代表人身份证明及授权委托书.docx</w:t>
      </w:r>
    </w:p>
    <w:p>
      <w:pPr>
        <w:pStyle w:val="null3"/>
        <w:ind w:firstLine="960"/>
        <w:jc w:val="left"/>
      </w:pPr>
      <w:r>
        <w:rPr>
          <w:rFonts w:ascii="仿宋_GB2312" w:hAnsi="仿宋_GB2312" w:cs="仿宋_GB2312" w:eastAsia="仿宋_GB2312"/>
        </w:rPr>
        <w:t>详见附件：服务团队.docx</w:t>
      </w:r>
    </w:p>
    <w:p>
      <w:pPr>
        <w:pStyle w:val="null3"/>
        <w:ind w:firstLine="960"/>
        <w:jc w:val="left"/>
      </w:pPr>
      <w:r>
        <w:rPr>
          <w:rFonts w:ascii="仿宋_GB2312" w:hAnsi="仿宋_GB2312" w:cs="仿宋_GB2312" w:eastAsia="仿宋_GB2312"/>
        </w:rPr>
        <w:t>详见附件：服务要求应答表.docx</w:t>
      </w:r>
    </w:p>
    <w:p>
      <w:pPr>
        <w:pStyle w:val="null3"/>
        <w:ind w:firstLine="960"/>
        <w:jc w:val="left"/>
      </w:pPr>
      <w:r>
        <w:rPr>
          <w:rFonts w:ascii="仿宋_GB2312" w:hAnsi="仿宋_GB2312" w:cs="仿宋_GB2312" w:eastAsia="仿宋_GB2312"/>
        </w:rPr>
        <w:t>详见附件：供应商认为可提交的相关证明材料.docx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详见附件：具有独立承担民事责任的能力证明材料.docx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