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版本号：N511402202600007120260506001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医疗设备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N5114022026000071</w:t>
      </w:r>
    </w:p>
    <w:p>
      <w:pPr>
        <w:pStyle w:val="null3"/>
        <w:jc w:val="left"/>
        <w:outlineLvl w:val="2"/>
      </w:pPr>
      <w:r>
        <w:rPr>
          <w:rFonts w:ascii="仿宋_GB2312" w:hAnsi="仿宋_GB2312" w:cs="仿宋_GB2312" w:eastAsia="仿宋_GB2312"/>
          <w:sz w:val="28"/>
          <w:b/>
        </w:rPr>
        <w:t>眉山市东坡区苏祠街道社区卫生服务中心</w:t>
      </w:r>
    </w:p>
    <w:p>
      <w:pPr>
        <w:pStyle w:val="null3"/>
        <w:jc w:val="center"/>
        <w:outlineLvl w:val="2"/>
      </w:pPr>
      <w:r>
        <w:rPr>
          <w:rFonts w:ascii="仿宋_GB2312" w:hAnsi="仿宋_GB2312" w:cs="仿宋_GB2312" w:eastAsia="仿宋_GB2312"/>
          <w:sz w:val="28"/>
          <w:b/>
        </w:rPr>
        <w:t>四川庆得工程建设管理有限公司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四川庆得工程建设管理有限公司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眉山市东坡区苏祠街道社区卫生服务中心</w:t>
      </w:r>
      <w:r>
        <w:rPr>
          <w:rFonts w:ascii="仿宋_GB2312" w:hAnsi="仿宋_GB2312" w:cs="仿宋_GB2312" w:eastAsia="仿宋_GB2312"/>
        </w:rPr>
        <w:t xml:space="preserve"> 委托，拟对 </w:t>
      </w:r>
      <w:r>
        <w:rPr>
          <w:rFonts w:ascii="仿宋_GB2312" w:hAnsi="仿宋_GB2312" w:cs="仿宋_GB2312" w:eastAsia="仿宋_GB2312"/>
        </w:rPr>
        <w:t>医疗设备</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眉山市东坡区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N5114022026000071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医疗设备</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采购医疗设备一台。</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1、投标产品为医疗器械须符合《医疗器械注册与备案管理办法》要求并提供中华人民共和国医疗器械注册证或注册登记表或备案证；2、投标人须符合《医疗器械监督管理条例》要求并提供医疗器械生产或经营企业许可证或备案证明材料；3、若投标产品为医用射线装置的，投标人须具有有效的《辐射安全许可证》。（描述：1、投标产品为医疗器械须符合《医疗器械注册与备案管理办法》要求并提供中华人民共和国医疗器械注册证或注册登记表或备案证；2、投标人须符合《医疗器械监督管理条例》要求并提供医疗器械生产或经营企业许可证或备案证明材料；3、若投标产品为医用射线装置的，投标人须具有有效的《辐射安全许可证》。）</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眉山市东坡区苏祠街道社区卫生服务中心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眉山市东坡区大北街37号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620010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郑老师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028-35100686</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四川庆得工程建设管理有限公司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四川省眉山市东坡区岷江大道东段375号衡达柏林谷6栋4层1号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620010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阚老师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028-38206155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采购包1：508,000.00元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代理服务费收费标准：参照《招标代理服务收费管理暂行办法》计价格[2002]1980号文和发改价格[2011]534号，本项目代理费7000元。</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眉山市东坡区苏祠街道社区卫生服务中心</w:t>
      </w:r>
      <w:r>
        <w:rPr>
          <w:rFonts w:ascii="仿宋_GB2312" w:hAnsi="仿宋_GB2312" w:cs="仿宋_GB2312" w:eastAsia="仿宋_GB2312"/>
        </w:rPr>
        <w:t xml:space="preserve"> 和 </w:t>
      </w:r>
      <w:r>
        <w:rPr>
          <w:rFonts w:ascii="仿宋_GB2312" w:hAnsi="仿宋_GB2312" w:cs="仿宋_GB2312" w:eastAsia="仿宋_GB2312"/>
        </w:rPr>
        <w:t>四川庆得工程建设管理有限公司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眉山市东坡区苏祠街道社区卫生服务中心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四川庆得工程建设管理有限公司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所有货物到货安装调试完成，经验收合格后</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按照采购文件技术条款进行验收。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按照采购文件商务条款进行验收。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以采购文件服务内容要求、供应商响应内容、合同文本内容要求及《财政部关于进一步加强政府采购需求和履约验收管理的指导意见》(财库〔2016〕205号)的要求进行验收。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眉山市东坡区苏祠街道社区卫生服务中心</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四川庆得工程建设管理有限公司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四川庆得工程建设管理有限公司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联系人：阚老师</w:t>
      </w:r>
    </w:p>
    <w:p>
      <w:pPr>
        <w:pStyle w:val="null3"/>
        <w:jc w:val="left"/>
      </w:pPr>
      <w:r>
        <w:rPr>
          <w:rFonts w:ascii="仿宋_GB2312" w:hAnsi="仿宋_GB2312" w:cs="仿宋_GB2312" w:eastAsia="仿宋_GB2312"/>
        </w:rPr>
        <w:t>联系电话：028-38206155</w:t>
      </w:r>
    </w:p>
    <w:p>
      <w:pPr>
        <w:pStyle w:val="null3"/>
        <w:jc w:val="left"/>
      </w:pPr>
      <w:r>
        <w:rPr>
          <w:rFonts w:ascii="仿宋_GB2312" w:hAnsi="仿宋_GB2312" w:cs="仿宋_GB2312" w:eastAsia="仿宋_GB2312"/>
        </w:rPr>
        <w:t>地址：眉山市东坡区迎春北街159号</w:t>
      </w:r>
    </w:p>
    <w:p>
      <w:pPr>
        <w:pStyle w:val="null3"/>
        <w:jc w:val="left"/>
      </w:pPr>
      <w:r>
        <w:rPr>
          <w:rFonts w:ascii="仿宋_GB2312" w:hAnsi="仿宋_GB2312" w:cs="仿宋_GB2312" w:eastAsia="仿宋_GB2312"/>
        </w:rPr>
        <w:t>邮编：620010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508,000.00</w:t>
      </w:r>
    </w:p>
    <w:p>
      <w:pPr>
        <w:pStyle w:val="null3"/>
        <w:jc w:val="left"/>
      </w:pPr>
      <w:r>
        <w:rPr>
          <w:rFonts w:ascii="仿宋_GB2312" w:hAnsi="仿宋_GB2312" w:cs="仿宋_GB2312" w:eastAsia="仿宋_GB2312"/>
        </w:rPr>
        <w:t>采购包最高限价（元）: 508,000.00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A02321200 医用 X 线诊断设备</w:t>
            </w:r>
          </w:p>
        </w:tc>
        <w:tc>
          <w:tcPr>
            <w:tcW w:type="dxa" w:w="821"/>
          </w:tcPr>
          <w:p>
            <w:pPr>
              <w:pStyle w:val="null3"/>
              <w:jc w:val="left"/>
            </w:pPr>
            <w:r>
              <w:rPr>
                <w:rFonts w:ascii="仿宋_GB2312" w:hAnsi="仿宋_GB2312" w:cs="仿宋_GB2312" w:eastAsia="仿宋_GB2312"/>
              </w:rPr>
              <w:t>DR设备</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508,000.00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DR设备</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508,000.00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A02321200 医用 X 线诊断设备</w:t>
            </w:r>
          </w:p>
        </w:tc>
        <w:tc>
          <w:tcPr>
            <w:tcW w:type="dxa" w:w="2492"/>
          </w:tcPr>
          <w:p>
            <w:pPr>
              <w:pStyle w:val="null3"/>
              <w:jc w:val="left"/>
            </w:pPr>
            <w:r>
              <w:rPr>
                <w:rFonts w:ascii="仿宋_GB2312" w:hAnsi="仿宋_GB2312" w:cs="仿宋_GB2312" w:eastAsia="仿宋_GB2312"/>
              </w:rPr>
              <w:t>DR设备</w:t>
            </w:r>
          </w:p>
        </w:tc>
        <w:tc>
          <w:tcPr>
            <w:tcW w:type="dxa" w:w="2492"/>
          </w:tcPr>
          <w:p>
            <w:pPr>
              <w:pStyle w:val="null3"/>
              <w:jc w:val="left"/>
            </w:pPr>
            <w:r>
              <w:rPr>
                <w:rFonts w:ascii="仿宋_GB2312" w:hAnsi="仿宋_GB2312" w:cs="仿宋_GB2312" w:eastAsia="仿宋_GB2312"/>
              </w:rPr>
              <w:t>DR设备</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标的名称：DR设备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具备</w:t>
            </w:r>
            <w:r>
              <w:rPr>
                <w:rFonts w:ascii="仿宋_GB2312" w:hAnsi="仿宋_GB2312" w:cs="仿宋_GB2312" w:eastAsia="仿宋_GB2312"/>
                <w:sz w:val="21"/>
              </w:rPr>
              <w:t>平板探测器</w:t>
            </w:r>
            <w:r>
              <w:rPr>
                <w:rFonts w:ascii="仿宋_GB2312" w:hAnsi="仿宋_GB2312" w:cs="仿宋_GB2312" w:eastAsia="仿宋_GB2312"/>
                <w:sz w:val="21"/>
              </w:rPr>
              <w:t>1</w:t>
            </w:r>
            <w:r>
              <w:rPr>
                <w:rFonts w:ascii="仿宋_GB2312" w:hAnsi="仿宋_GB2312" w:cs="仿宋_GB2312" w:eastAsia="仿宋_GB2312"/>
                <w:sz w:val="21"/>
              </w:rPr>
              <w:t>套</w:t>
            </w:r>
            <w:r>
              <w:rPr>
                <w:rFonts w:ascii="仿宋_GB2312" w:hAnsi="仿宋_GB2312" w:cs="仿宋_GB2312" w:eastAsia="仿宋_GB2312"/>
                <w:sz w:val="21"/>
              </w:rPr>
              <w:t>、</w:t>
            </w:r>
            <w:r>
              <w:rPr>
                <w:rFonts w:ascii="仿宋_GB2312" w:hAnsi="仿宋_GB2312" w:cs="仿宋_GB2312" w:eastAsia="仿宋_GB2312"/>
                <w:sz w:val="21"/>
              </w:rPr>
              <w:t>X射线管</w:t>
            </w:r>
            <w:r>
              <w:rPr>
                <w:rFonts w:ascii="仿宋_GB2312" w:hAnsi="仿宋_GB2312" w:cs="仿宋_GB2312" w:eastAsia="仿宋_GB2312"/>
                <w:sz w:val="21"/>
              </w:rPr>
              <w:t>1套</w:t>
            </w:r>
            <w:r>
              <w:rPr>
                <w:rFonts w:ascii="仿宋_GB2312" w:hAnsi="仿宋_GB2312" w:cs="仿宋_GB2312" w:eastAsia="仿宋_GB2312"/>
                <w:sz w:val="21"/>
              </w:rPr>
              <w:t>、高压发生器</w:t>
            </w:r>
            <w:r>
              <w:rPr>
                <w:rFonts w:ascii="仿宋_GB2312" w:hAnsi="仿宋_GB2312" w:cs="仿宋_GB2312" w:eastAsia="仿宋_GB2312"/>
                <w:sz w:val="21"/>
              </w:rPr>
              <w:t>1套</w:t>
            </w:r>
            <w:r>
              <w:rPr>
                <w:rFonts w:ascii="仿宋_GB2312" w:hAnsi="仿宋_GB2312" w:cs="仿宋_GB2312" w:eastAsia="仿宋_GB2312"/>
                <w:sz w:val="21"/>
              </w:rPr>
              <w:t>、摄影机架</w:t>
            </w:r>
            <w:r>
              <w:rPr>
                <w:rFonts w:ascii="仿宋_GB2312" w:hAnsi="仿宋_GB2312" w:cs="仿宋_GB2312" w:eastAsia="仿宋_GB2312"/>
                <w:sz w:val="21"/>
              </w:rPr>
              <w:t>1套</w:t>
            </w:r>
            <w:r>
              <w:rPr>
                <w:rFonts w:ascii="仿宋_GB2312" w:hAnsi="仿宋_GB2312" w:cs="仿宋_GB2312" w:eastAsia="仿宋_GB2312"/>
                <w:sz w:val="21"/>
              </w:rPr>
              <w:t>、无需工具即可拆卸的物理滤线栅</w:t>
            </w:r>
            <w:r>
              <w:rPr>
                <w:rFonts w:ascii="仿宋_GB2312" w:hAnsi="仿宋_GB2312" w:cs="仿宋_GB2312" w:eastAsia="仿宋_GB2312"/>
                <w:sz w:val="21"/>
              </w:rPr>
              <w:t>2套、物理三野电离室2套、剂量面积积指示DAP</w:t>
            </w:r>
            <w:r>
              <w:rPr>
                <w:rFonts w:ascii="仿宋_GB2312" w:hAnsi="仿宋_GB2312" w:cs="仿宋_GB2312" w:eastAsia="仿宋_GB2312"/>
                <w:sz w:val="21"/>
              </w:rPr>
              <w:t>1套</w:t>
            </w:r>
            <w:r>
              <w:rPr>
                <w:rFonts w:ascii="仿宋_GB2312" w:hAnsi="仿宋_GB2312" w:cs="仿宋_GB2312" w:eastAsia="仿宋_GB2312"/>
                <w:sz w:val="21"/>
              </w:rPr>
              <w:t>、立位和卧位追踪随动功能</w:t>
            </w:r>
            <w:r>
              <w:rPr>
                <w:rFonts w:ascii="仿宋_GB2312" w:hAnsi="仿宋_GB2312" w:cs="仿宋_GB2312" w:eastAsia="仿宋_GB2312"/>
                <w:sz w:val="21"/>
              </w:rPr>
              <w:t>1套，图像自动A</w:t>
            </w:r>
            <w:r>
              <w:rPr>
                <w:rFonts w:ascii="仿宋_GB2312" w:hAnsi="仿宋_GB2312" w:cs="仿宋_GB2312" w:eastAsia="仿宋_GB2312"/>
                <w:sz w:val="21"/>
              </w:rPr>
              <w:t>I</w:t>
            </w:r>
            <w:r>
              <w:rPr>
                <w:rFonts w:ascii="仿宋_GB2312" w:hAnsi="仿宋_GB2312" w:cs="仿宋_GB2312" w:eastAsia="仿宋_GB2312"/>
                <w:sz w:val="21"/>
              </w:rPr>
              <w:t>质控系统</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b/>
              </w:rPr>
              <w:t>2.技术规格及配置要求</w:t>
            </w:r>
          </w:p>
          <w:p>
            <w:pPr>
              <w:pStyle w:val="null3"/>
              <w:jc w:val="both"/>
            </w:pPr>
            <w:r>
              <w:rPr>
                <w:rFonts w:ascii="仿宋_GB2312" w:hAnsi="仿宋_GB2312" w:cs="仿宋_GB2312" w:eastAsia="仿宋_GB2312"/>
                <w:sz w:val="21"/>
              </w:rPr>
              <w:t>1高压发生器</w:t>
            </w:r>
          </w:p>
          <w:p>
            <w:pPr>
              <w:pStyle w:val="null3"/>
              <w:jc w:val="both"/>
            </w:pPr>
            <w:r>
              <w:rPr>
                <w:rFonts w:ascii="仿宋_GB2312" w:hAnsi="仿宋_GB2312" w:cs="仿宋_GB2312" w:eastAsia="仿宋_GB2312"/>
                <w:sz w:val="21"/>
              </w:rPr>
              <w:t>1.1管电压可调范围≥40～150KV，最大电流输出≥600mA</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2最</w:t>
            </w:r>
            <w:r>
              <w:rPr>
                <w:rFonts w:ascii="仿宋_GB2312" w:hAnsi="仿宋_GB2312" w:cs="仿宋_GB2312" w:eastAsia="仿宋_GB2312"/>
                <w:sz w:val="21"/>
              </w:rPr>
              <w:t>小</w:t>
            </w:r>
            <w:r>
              <w:rPr>
                <w:rFonts w:ascii="仿宋_GB2312" w:hAnsi="仿宋_GB2312" w:cs="仿宋_GB2312" w:eastAsia="仿宋_GB2312"/>
                <w:sz w:val="21"/>
              </w:rPr>
              <w:t>时间电流积</w:t>
            </w:r>
            <w:r>
              <w:rPr>
                <w:rFonts w:ascii="仿宋_GB2312" w:hAnsi="仿宋_GB2312" w:cs="仿宋_GB2312" w:eastAsia="仿宋_GB2312"/>
                <w:sz w:val="21"/>
              </w:rPr>
              <w:t>≥</w:t>
            </w:r>
            <w:r>
              <w:rPr>
                <w:rFonts w:ascii="仿宋_GB2312" w:hAnsi="仿宋_GB2312" w:cs="仿宋_GB2312" w:eastAsia="仿宋_GB2312"/>
                <w:sz w:val="21"/>
              </w:rPr>
              <w:t>0.3</w:t>
            </w:r>
            <w:r>
              <w:rPr>
                <w:rFonts w:ascii="仿宋_GB2312" w:hAnsi="仿宋_GB2312" w:cs="仿宋_GB2312" w:eastAsia="仿宋_GB2312"/>
                <w:sz w:val="21"/>
              </w:rPr>
              <w:t>m</w:t>
            </w:r>
            <w:r>
              <w:rPr>
                <w:rFonts w:ascii="仿宋_GB2312" w:hAnsi="仿宋_GB2312" w:cs="仿宋_GB2312" w:eastAsia="仿宋_GB2312"/>
                <w:sz w:val="21"/>
              </w:rPr>
              <w:t>A</w:t>
            </w:r>
            <w:r>
              <w:rPr>
                <w:rFonts w:ascii="仿宋_GB2312" w:hAnsi="仿宋_GB2312" w:cs="仿宋_GB2312" w:eastAsia="仿宋_GB2312"/>
                <w:sz w:val="21"/>
              </w:rPr>
              <w:t>s，</w:t>
            </w:r>
            <w:r>
              <w:rPr>
                <w:rFonts w:ascii="仿宋_GB2312" w:hAnsi="仿宋_GB2312" w:cs="仿宋_GB2312" w:eastAsia="仿宋_GB2312"/>
                <w:sz w:val="21"/>
              </w:rPr>
              <w:t>最大时间电流积</w:t>
            </w:r>
            <w:r>
              <w:rPr>
                <w:rFonts w:ascii="仿宋_GB2312" w:hAnsi="仿宋_GB2312" w:cs="仿宋_GB2312" w:eastAsia="仿宋_GB2312"/>
                <w:sz w:val="21"/>
              </w:rPr>
              <w:t>≥1000mAs，</w:t>
            </w:r>
            <w:r>
              <w:rPr>
                <w:rFonts w:ascii="仿宋_GB2312" w:hAnsi="仿宋_GB2312" w:cs="仿宋_GB2312" w:eastAsia="仿宋_GB2312"/>
                <w:sz w:val="21"/>
              </w:rPr>
              <w:t>提供技术白皮书或检测报告</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最大逆变</w:t>
            </w:r>
            <w:r>
              <w:rPr>
                <w:rFonts w:ascii="仿宋_GB2312" w:hAnsi="仿宋_GB2312" w:cs="仿宋_GB2312" w:eastAsia="仿宋_GB2312"/>
                <w:sz w:val="21"/>
              </w:rPr>
              <w:t>频率</w:t>
            </w:r>
            <w:r>
              <w:rPr>
                <w:rFonts w:ascii="仿宋_GB2312" w:hAnsi="仿宋_GB2312" w:cs="仿宋_GB2312" w:eastAsia="仿宋_GB2312"/>
                <w:sz w:val="21"/>
              </w:rPr>
              <w:t>≥250</w:t>
            </w:r>
            <w:r>
              <w:rPr>
                <w:rFonts w:ascii="仿宋_GB2312" w:hAnsi="仿宋_GB2312" w:cs="仿宋_GB2312" w:eastAsia="仿宋_GB2312"/>
                <w:sz w:val="21"/>
              </w:rPr>
              <w:t>k</w:t>
            </w:r>
            <w:r>
              <w:rPr>
                <w:rFonts w:ascii="仿宋_GB2312" w:hAnsi="仿宋_GB2312" w:cs="仿宋_GB2312" w:eastAsia="仿宋_GB2312"/>
                <w:sz w:val="21"/>
              </w:rPr>
              <w:t>HZ</w:t>
            </w:r>
            <w:r>
              <w:rPr>
                <w:rFonts w:ascii="仿宋_GB2312" w:hAnsi="仿宋_GB2312" w:cs="仿宋_GB2312" w:eastAsia="仿宋_GB2312"/>
                <w:sz w:val="21"/>
              </w:rPr>
              <w:t>，</w:t>
            </w:r>
            <w:r>
              <w:rPr>
                <w:rFonts w:ascii="仿宋_GB2312" w:hAnsi="仿宋_GB2312" w:cs="仿宋_GB2312" w:eastAsia="仿宋_GB2312"/>
                <w:sz w:val="21"/>
              </w:rPr>
              <w:t>最短曝光时间</w:t>
            </w:r>
            <w:r>
              <w:rPr>
                <w:rFonts w:ascii="仿宋_GB2312" w:hAnsi="仿宋_GB2312" w:cs="仿宋_GB2312" w:eastAsia="仿宋_GB2312"/>
                <w:sz w:val="21"/>
              </w:rPr>
              <w:t>≤1ms，最长曝光时间≥10s</w:t>
            </w:r>
          </w:p>
          <w:p>
            <w:pPr>
              <w:pStyle w:val="null3"/>
              <w:jc w:val="both"/>
            </w:pPr>
            <w:r>
              <w:rPr>
                <w:rFonts w:ascii="仿宋_GB2312" w:hAnsi="仿宋_GB2312" w:cs="仿宋_GB2312" w:eastAsia="仿宋_GB2312"/>
                <w:sz w:val="21"/>
              </w:rPr>
              <w:t>2.无线平板探测器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2.1配备无线平板探测器：像素尺寸</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40um，成像数据位≥16bit，最大极限分辨率：≥3.6 LP/mm，</w:t>
            </w:r>
            <w:r>
              <w:rPr>
                <w:rFonts w:ascii="仿宋_GB2312" w:hAnsi="仿宋_GB2312" w:cs="仿宋_GB2312" w:eastAsia="仿宋_GB2312"/>
                <w:sz w:val="21"/>
              </w:rPr>
              <w:t>非晶硅碘化铯材质，</w:t>
            </w:r>
            <w:r>
              <w:rPr>
                <w:rFonts w:ascii="仿宋_GB2312" w:hAnsi="仿宋_GB2312" w:cs="仿宋_GB2312" w:eastAsia="仿宋_GB2312"/>
                <w:sz w:val="21"/>
              </w:rPr>
              <w:t>平板可在胸片架</w:t>
            </w:r>
            <w:r>
              <w:rPr>
                <w:rFonts w:ascii="仿宋_GB2312" w:hAnsi="仿宋_GB2312" w:cs="仿宋_GB2312" w:eastAsia="仿宋_GB2312"/>
                <w:sz w:val="21"/>
              </w:rPr>
              <w:t>或</w:t>
            </w:r>
            <w:r>
              <w:rPr>
                <w:rFonts w:ascii="仿宋_GB2312" w:hAnsi="仿宋_GB2312" w:cs="仿宋_GB2312" w:eastAsia="仿宋_GB2312"/>
                <w:sz w:val="21"/>
              </w:rPr>
              <w:t>摄影床使用，</w:t>
            </w:r>
            <w:r>
              <w:rPr>
                <w:rFonts w:ascii="仿宋_GB2312" w:hAnsi="仿宋_GB2312" w:cs="仿宋_GB2312" w:eastAsia="仿宋_GB2312"/>
                <w:sz w:val="21"/>
              </w:rPr>
              <w:t>提供技术白皮书或检测报告</w:t>
            </w:r>
          </w:p>
          <w:p>
            <w:pPr>
              <w:pStyle w:val="null3"/>
              <w:jc w:val="both"/>
            </w:pPr>
            <w:r>
              <w:rPr>
                <w:rFonts w:ascii="仿宋_GB2312" w:hAnsi="仿宋_GB2312" w:cs="仿宋_GB2312" w:eastAsia="仿宋_GB2312"/>
                <w:sz w:val="21"/>
              </w:rPr>
              <w:t>2.2探测器</w:t>
            </w:r>
            <w:r>
              <w:rPr>
                <w:rFonts w:ascii="仿宋_GB2312" w:hAnsi="仿宋_GB2312" w:cs="仿宋_GB2312" w:eastAsia="仿宋_GB2312"/>
                <w:sz w:val="21"/>
              </w:rPr>
              <w:t>在</w:t>
            </w:r>
            <w:r>
              <w:rPr>
                <w:rFonts w:ascii="仿宋_GB2312" w:hAnsi="仿宋_GB2312" w:cs="仿宋_GB2312" w:eastAsia="仿宋_GB2312"/>
                <w:sz w:val="21"/>
              </w:rPr>
              <w:t>片盒内</w:t>
            </w:r>
            <w:r>
              <w:rPr>
                <w:rFonts w:ascii="仿宋_GB2312" w:hAnsi="仿宋_GB2312" w:cs="仿宋_GB2312" w:eastAsia="仿宋_GB2312"/>
                <w:sz w:val="21"/>
              </w:rPr>
              <w:t>可实时</w:t>
            </w:r>
            <w:r>
              <w:rPr>
                <w:rFonts w:ascii="仿宋_GB2312" w:hAnsi="仿宋_GB2312" w:cs="仿宋_GB2312" w:eastAsia="仿宋_GB2312"/>
                <w:sz w:val="21"/>
              </w:rPr>
              <w:t>充电，无需拆卸、更换电池，充电无需单独插拔线缆</w:t>
            </w:r>
          </w:p>
          <w:p>
            <w:pPr>
              <w:pStyle w:val="null3"/>
              <w:jc w:val="both"/>
            </w:pPr>
            <w:r>
              <w:rPr>
                <w:rFonts w:ascii="仿宋_GB2312" w:hAnsi="仿宋_GB2312" w:cs="仿宋_GB2312" w:eastAsia="仿宋_GB2312"/>
                <w:sz w:val="21"/>
              </w:rPr>
              <w:t>2.3具备无线传输功能</w:t>
            </w:r>
            <w:r>
              <w:rPr>
                <w:rFonts w:ascii="仿宋_GB2312" w:hAnsi="仿宋_GB2312" w:cs="仿宋_GB2312" w:eastAsia="仿宋_GB2312"/>
                <w:sz w:val="21"/>
              </w:rPr>
              <w:t>，</w:t>
            </w:r>
            <w:r>
              <w:rPr>
                <w:rFonts w:ascii="仿宋_GB2312" w:hAnsi="仿宋_GB2312" w:cs="仿宋_GB2312" w:eastAsia="仿宋_GB2312"/>
                <w:sz w:val="21"/>
              </w:rPr>
              <w:t>预览时间</w:t>
            </w:r>
            <w:r>
              <w:rPr>
                <w:rFonts w:ascii="仿宋_GB2312" w:hAnsi="仿宋_GB2312" w:cs="仿宋_GB2312" w:eastAsia="仿宋_GB2312"/>
                <w:sz w:val="21"/>
              </w:rPr>
              <w:t>≤3s，完整成像时间≤5s</w:t>
            </w:r>
          </w:p>
          <w:p>
            <w:pPr>
              <w:pStyle w:val="null3"/>
              <w:jc w:val="both"/>
            </w:pPr>
            <w:r>
              <w:rPr>
                <w:rFonts w:ascii="仿宋_GB2312" w:hAnsi="仿宋_GB2312" w:cs="仿宋_GB2312" w:eastAsia="仿宋_GB2312"/>
                <w:sz w:val="21"/>
              </w:rPr>
              <w:t>2.4平板探测器片盒推入胸片架或摄影床内时，具备</w:t>
            </w:r>
            <w:r>
              <w:rPr>
                <w:rFonts w:ascii="仿宋_GB2312" w:hAnsi="仿宋_GB2312" w:cs="仿宋_GB2312" w:eastAsia="仿宋_GB2312"/>
                <w:sz w:val="21"/>
              </w:rPr>
              <w:t>片盒吸附</w:t>
            </w:r>
            <w:r>
              <w:rPr>
                <w:rFonts w:ascii="仿宋_GB2312" w:hAnsi="仿宋_GB2312" w:cs="仿宋_GB2312" w:eastAsia="仿宋_GB2312"/>
                <w:sz w:val="21"/>
              </w:rPr>
              <w:t>式安全设计</w:t>
            </w:r>
          </w:p>
          <w:p>
            <w:pPr>
              <w:pStyle w:val="null3"/>
              <w:jc w:val="both"/>
            </w:pPr>
            <w:r>
              <w:rPr>
                <w:rFonts w:ascii="仿宋_GB2312" w:hAnsi="仿宋_GB2312" w:cs="仿宋_GB2312" w:eastAsia="仿宋_GB2312"/>
                <w:sz w:val="21"/>
              </w:rPr>
              <w:t>3.X线球管</w:t>
            </w:r>
          </w:p>
          <w:p>
            <w:pPr>
              <w:pStyle w:val="null3"/>
              <w:jc w:val="both"/>
            </w:pPr>
            <w:r>
              <w:rPr>
                <w:rFonts w:ascii="仿宋_GB2312" w:hAnsi="仿宋_GB2312" w:cs="仿宋_GB2312" w:eastAsia="仿宋_GB2312"/>
                <w:sz w:val="21"/>
              </w:rPr>
              <w:t>3.1</w:t>
            </w:r>
            <w:r>
              <w:rPr>
                <w:rFonts w:ascii="仿宋_GB2312" w:hAnsi="仿宋_GB2312" w:cs="仿宋_GB2312" w:eastAsia="仿宋_GB2312"/>
                <w:sz w:val="21"/>
              </w:rPr>
              <w:t>球管端配置</w:t>
            </w:r>
            <w:r>
              <w:rPr>
                <w:rFonts w:ascii="仿宋_GB2312" w:hAnsi="仿宋_GB2312" w:cs="仿宋_GB2312" w:eastAsia="仿宋_GB2312"/>
                <w:sz w:val="21"/>
              </w:rPr>
              <w:t>主动和被动双重散热系统</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3.2球管绕垂直轴旋转≥-90º~+180º，球管绕水平轴旋转≥±120º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3.3球管端具备物理重力角度显示仪，非发热零部件，提供产品</w:t>
            </w:r>
            <w:r>
              <w:rPr>
                <w:rFonts w:ascii="仿宋_GB2312" w:hAnsi="仿宋_GB2312" w:cs="仿宋_GB2312" w:eastAsia="仿宋_GB2312"/>
                <w:sz w:val="21"/>
              </w:rPr>
              <w:t>球管端</w:t>
            </w:r>
            <w:r>
              <w:rPr>
                <w:rFonts w:ascii="仿宋_GB2312" w:hAnsi="仿宋_GB2312" w:cs="仿宋_GB2312" w:eastAsia="仿宋_GB2312"/>
                <w:sz w:val="21"/>
              </w:rPr>
              <w:t>图片</w:t>
            </w:r>
            <w:r>
              <w:rPr>
                <w:rFonts w:ascii="仿宋_GB2312" w:hAnsi="仿宋_GB2312" w:cs="仿宋_GB2312" w:eastAsia="仿宋_GB2312"/>
                <w:sz w:val="21"/>
              </w:rPr>
              <w:t>和技术白皮书</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胸片架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4.1胸片架</w:t>
            </w:r>
            <w:r>
              <w:rPr>
                <w:rFonts w:ascii="仿宋_GB2312" w:hAnsi="仿宋_GB2312" w:cs="仿宋_GB2312" w:eastAsia="仿宋_GB2312"/>
                <w:sz w:val="21"/>
              </w:rPr>
              <w:t>具有</w:t>
            </w:r>
            <w:r>
              <w:rPr>
                <w:rFonts w:ascii="仿宋_GB2312" w:hAnsi="仿宋_GB2312" w:cs="仿宋_GB2312" w:eastAsia="仿宋_GB2312"/>
                <w:sz w:val="21"/>
              </w:rPr>
              <w:t>手动</w:t>
            </w:r>
            <w:r>
              <w:rPr>
                <w:rFonts w:ascii="仿宋_GB2312" w:hAnsi="仿宋_GB2312" w:cs="仿宋_GB2312" w:eastAsia="仿宋_GB2312"/>
                <w:sz w:val="21"/>
              </w:rPr>
              <w:t>按键控制上下运动，以及</w:t>
            </w:r>
            <w:r>
              <w:rPr>
                <w:rFonts w:ascii="仿宋_GB2312" w:hAnsi="仿宋_GB2312" w:cs="仿宋_GB2312" w:eastAsia="仿宋_GB2312"/>
                <w:sz w:val="21"/>
              </w:rPr>
              <w:t>电动</w:t>
            </w:r>
            <w:r>
              <w:rPr>
                <w:rFonts w:ascii="仿宋_GB2312" w:hAnsi="仿宋_GB2312" w:cs="仿宋_GB2312" w:eastAsia="仿宋_GB2312"/>
                <w:sz w:val="21"/>
              </w:rPr>
              <w:t>按键操作上下运动</w:t>
            </w:r>
            <w:r>
              <w:rPr>
                <w:rFonts w:ascii="仿宋_GB2312" w:hAnsi="仿宋_GB2312" w:cs="仿宋_GB2312" w:eastAsia="仿宋_GB2312"/>
                <w:sz w:val="21"/>
              </w:rPr>
              <w:t>，</w:t>
            </w:r>
            <w:r>
              <w:rPr>
                <w:rFonts w:ascii="仿宋_GB2312" w:hAnsi="仿宋_GB2312" w:cs="仿宋_GB2312" w:eastAsia="仿宋_GB2312"/>
                <w:sz w:val="21"/>
              </w:rPr>
              <w:t>提供技术白皮书或检测报告</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4.2胸片架上探测器盒中心距离地面最小高度＜34 cm，</w:t>
            </w:r>
            <w:r>
              <w:rPr>
                <w:rFonts w:ascii="仿宋_GB2312" w:hAnsi="仿宋_GB2312" w:cs="仿宋_GB2312" w:eastAsia="仿宋_GB2312"/>
                <w:sz w:val="21"/>
              </w:rPr>
              <w:t>提供技术白皮书或检测报告</w:t>
            </w:r>
          </w:p>
          <w:p>
            <w:pPr>
              <w:pStyle w:val="null3"/>
              <w:jc w:val="both"/>
            </w:pPr>
            <w:r>
              <w:rPr>
                <w:rFonts w:ascii="仿宋_GB2312" w:hAnsi="仿宋_GB2312" w:cs="仿宋_GB2312" w:eastAsia="仿宋_GB2312"/>
                <w:sz w:val="21"/>
              </w:rPr>
              <w:t>4.3胸片架垂直升降范围≥1500mm，</w:t>
            </w:r>
            <w:r>
              <w:rPr>
                <w:rFonts w:ascii="仿宋_GB2312" w:hAnsi="仿宋_GB2312" w:cs="仿宋_GB2312" w:eastAsia="仿宋_GB2312"/>
                <w:sz w:val="21"/>
              </w:rPr>
              <w:t>提供技术白皮书或检测报告</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.X射线管支撑装置</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1 X射线管支撑装置沿摄影床纵向移动距离≥1860</w:t>
            </w:r>
            <w:r>
              <w:rPr>
                <w:rFonts w:ascii="仿宋_GB2312" w:hAnsi="仿宋_GB2312" w:cs="仿宋_GB2312" w:eastAsia="仿宋_GB2312"/>
                <w:sz w:val="21"/>
              </w:rPr>
              <w:t>m</w:t>
            </w:r>
            <w:r>
              <w:rPr>
                <w:rFonts w:ascii="仿宋_GB2312" w:hAnsi="仿宋_GB2312" w:cs="仿宋_GB2312" w:eastAsia="仿宋_GB2312"/>
                <w:sz w:val="21"/>
              </w:rPr>
              <w:t>m，球管组件垂直移动范围≥1250mm</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提供技术白皮书或检测报告</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5.2球管</w:t>
            </w:r>
            <w:r>
              <w:rPr>
                <w:rFonts w:ascii="仿宋_GB2312" w:hAnsi="仿宋_GB2312" w:cs="仿宋_GB2312" w:eastAsia="仿宋_GB2312"/>
                <w:sz w:val="21"/>
              </w:rPr>
              <w:t>上下运动，系统支持</w:t>
            </w:r>
            <w:r>
              <w:rPr>
                <w:rFonts w:ascii="仿宋_GB2312" w:hAnsi="仿宋_GB2312" w:cs="仿宋_GB2312" w:eastAsia="仿宋_GB2312"/>
                <w:sz w:val="21"/>
              </w:rPr>
              <w:t>胸片架与球管</w:t>
            </w:r>
            <w:r>
              <w:rPr>
                <w:rFonts w:ascii="仿宋_GB2312" w:hAnsi="仿宋_GB2312" w:cs="仿宋_GB2312" w:eastAsia="仿宋_GB2312"/>
                <w:sz w:val="21"/>
              </w:rPr>
              <w:t>自动</w:t>
            </w:r>
            <w:r>
              <w:rPr>
                <w:rFonts w:ascii="仿宋_GB2312" w:hAnsi="仿宋_GB2312" w:cs="仿宋_GB2312" w:eastAsia="仿宋_GB2312"/>
                <w:sz w:val="21"/>
              </w:rPr>
              <w:t>对中</w:t>
            </w:r>
            <w:r>
              <w:rPr>
                <w:rFonts w:ascii="仿宋_GB2312" w:hAnsi="仿宋_GB2312" w:cs="仿宋_GB2312" w:eastAsia="仿宋_GB2312"/>
                <w:sz w:val="21"/>
              </w:rPr>
              <w:t>随动；胸片架上下运动，系统支持球管与片盒自动对中随动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5.3具备一键隔室遥控，实现胸片架探测器片盒与球管支架沿垂直方向运动与</w:t>
            </w:r>
            <w:r>
              <w:rPr>
                <w:rFonts w:ascii="仿宋_GB2312" w:hAnsi="仿宋_GB2312" w:cs="仿宋_GB2312" w:eastAsia="仿宋_GB2312"/>
                <w:sz w:val="21"/>
              </w:rPr>
              <w:t>光野指示灯</w:t>
            </w:r>
            <w:r>
              <w:rPr>
                <w:rFonts w:ascii="仿宋_GB2312" w:hAnsi="仿宋_GB2312" w:cs="仿宋_GB2312" w:eastAsia="仿宋_GB2312"/>
                <w:sz w:val="21"/>
              </w:rPr>
              <w:t>控制，</w:t>
            </w:r>
            <w:r>
              <w:rPr>
                <w:rFonts w:ascii="仿宋_GB2312" w:hAnsi="仿宋_GB2312" w:cs="仿宋_GB2312" w:eastAsia="仿宋_GB2312"/>
                <w:sz w:val="21"/>
              </w:rPr>
              <w:t>提供技术白皮书或检测报告</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固定式</w:t>
            </w:r>
            <w:r>
              <w:rPr>
                <w:rFonts w:ascii="仿宋_GB2312" w:hAnsi="仿宋_GB2312" w:cs="仿宋_GB2312" w:eastAsia="仿宋_GB2312"/>
                <w:sz w:val="21"/>
              </w:rPr>
              <w:t>摄影床</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 xml:space="preserve">6.1四向浮动摄影床，床面移动范围：纵向≥1000 </w:t>
            </w:r>
            <w:r>
              <w:rPr>
                <w:rFonts w:ascii="仿宋_GB2312" w:hAnsi="仿宋_GB2312" w:cs="仿宋_GB2312" w:eastAsia="仿宋_GB2312"/>
                <w:sz w:val="21"/>
              </w:rPr>
              <w:t>m</w:t>
            </w:r>
            <w:r>
              <w:rPr>
                <w:rFonts w:ascii="仿宋_GB2312" w:hAnsi="仿宋_GB2312" w:cs="仿宋_GB2312" w:eastAsia="仿宋_GB2312"/>
                <w:sz w:val="21"/>
              </w:rPr>
              <w:t>m，横向≥240mm，</w:t>
            </w:r>
            <w:r>
              <w:rPr>
                <w:rFonts w:ascii="仿宋_GB2312" w:hAnsi="仿宋_GB2312" w:cs="仿宋_GB2312" w:eastAsia="仿宋_GB2312"/>
                <w:sz w:val="21"/>
              </w:rPr>
              <w:t>提供技术白皮书或检测报告</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6.2为防止误踩操作，床面运动控制开关采用内踢式，非垂直脚踏式开关，</w:t>
            </w:r>
            <w:r>
              <w:rPr>
                <w:rFonts w:ascii="仿宋_GB2312" w:hAnsi="仿宋_GB2312" w:cs="仿宋_GB2312" w:eastAsia="仿宋_GB2312"/>
                <w:sz w:val="21"/>
              </w:rPr>
              <w:t>提供技术白皮书或检测报告</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6.3要求高压发生器装置放置在固定摄影床下</w:t>
            </w:r>
            <w:r>
              <w:rPr>
                <w:rFonts w:ascii="仿宋_GB2312" w:hAnsi="仿宋_GB2312" w:cs="仿宋_GB2312" w:eastAsia="仿宋_GB2312"/>
                <w:sz w:val="21"/>
              </w:rPr>
              <w:t>以满足机房多样化</w:t>
            </w:r>
            <w:r>
              <w:rPr>
                <w:rFonts w:ascii="仿宋_GB2312" w:hAnsi="仿宋_GB2312" w:cs="仿宋_GB2312" w:eastAsia="仿宋_GB2312"/>
                <w:sz w:val="21"/>
              </w:rPr>
              <w:t>，</w:t>
            </w:r>
            <w:r>
              <w:rPr>
                <w:rFonts w:ascii="仿宋_GB2312" w:hAnsi="仿宋_GB2312" w:cs="仿宋_GB2312" w:eastAsia="仿宋_GB2312"/>
                <w:sz w:val="21"/>
              </w:rPr>
              <w:t>提供技术白皮书或检测报告</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6.4摄影床长*宽≥2300mm*840mm，床高支持≤70cm</w:t>
            </w:r>
          </w:p>
          <w:p>
            <w:pPr>
              <w:pStyle w:val="null3"/>
              <w:jc w:val="both"/>
            </w:pPr>
            <w:r>
              <w:rPr>
                <w:rFonts w:ascii="仿宋_GB2312" w:hAnsi="仿宋_GB2312" w:cs="仿宋_GB2312" w:eastAsia="仿宋_GB2312"/>
                <w:sz w:val="21"/>
              </w:rPr>
              <w:t xml:space="preserve">6.5床承重≥250kg </w:t>
            </w:r>
            <w:r>
              <w:rPr>
                <w:rFonts w:ascii="仿宋_GB2312" w:hAnsi="仿宋_GB2312" w:cs="仿宋_GB2312" w:eastAsia="仿宋_GB2312"/>
                <w:sz w:val="21"/>
              </w:rPr>
              <w:t>，</w:t>
            </w:r>
            <w:r>
              <w:rPr>
                <w:rFonts w:ascii="仿宋_GB2312" w:hAnsi="仿宋_GB2312" w:cs="仿宋_GB2312" w:eastAsia="仿宋_GB2312"/>
                <w:sz w:val="21"/>
              </w:rPr>
              <w:t>床下平板托盘移动范围</w:t>
            </w:r>
            <w:r>
              <w:rPr>
                <w:rFonts w:ascii="仿宋_GB2312" w:hAnsi="仿宋_GB2312" w:cs="仿宋_GB2312" w:eastAsia="仿宋_GB2312"/>
                <w:sz w:val="21"/>
              </w:rPr>
              <w:t>≥500mm</w:t>
            </w:r>
            <w:r>
              <w:rPr>
                <w:rFonts w:ascii="仿宋_GB2312" w:hAnsi="仿宋_GB2312" w:cs="仿宋_GB2312" w:eastAsia="仿宋_GB2312"/>
                <w:sz w:val="21"/>
              </w:rPr>
              <w:t>，滤线栅栅格比</w:t>
            </w:r>
            <w:r>
              <w:rPr>
                <w:rFonts w:ascii="仿宋_GB2312" w:hAnsi="仿宋_GB2312" w:cs="仿宋_GB2312" w:eastAsia="仿宋_GB2312"/>
                <w:sz w:val="21"/>
              </w:rPr>
              <w:t>≥</w:t>
            </w:r>
            <w:r>
              <w:rPr>
                <w:rFonts w:ascii="仿宋_GB2312" w:hAnsi="仿宋_GB2312" w:cs="仿宋_GB2312" w:eastAsia="仿宋_GB2312"/>
                <w:sz w:val="21"/>
              </w:rPr>
              <w:t>10：1 栅密度</w:t>
            </w:r>
            <w:r>
              <w:rPr>
                <w:rFonts w:ascii="仿宋_GB2312" w:hAnsi="仿宋_GB2312" w:cs="仿宋_GB2312" w:eastAsia="仿宋_GB2312"/>
                <w:sz w:val="21"/>
              </w:rPr>
              <w:t>≥</w:t>
            </w:r>
            <w:r>
              <w:rPr>
                <w:rFonts w:ascii="仿宋_GB2312" w:hAnsi="仿宋_GB2312" w:cs="仿宋_GB2312" w:eastAsia="仿宋_GB2312"/>
                <w:sz w:val="21"/>
              </w:rPr>
              <w:t>40L/cm</w:t>
            </w:r>
          </w:p>
          <w:p>
            <w:pPr>
              <w:pStyle w:val="null3"/>
              <w:jc w:val="both"/>
            </w:pPr>
            <w:r>
              <w:rPr>
                <w:rFonts w:ascii="仿宋_GB2312" w:hAnsi="仿宋_GB2312" w:cs="仿宋_GB2312" w:eastAsia="仿宋_GB2312"/>
                <w:sz w:val="21"/>
              </w:rPr>
              <w:t>7图像采集处理系统</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7.1</w:t>
            </w:r>
            <w:r>
              <w:rPr>
                <w:rFonts w:ascii="仿宋_GB2312" w:hAnsi="仿宋_GB2312" w:cs="仿宋_GB2312" w:eastAsia="仿宋_GB2312"/>
                <w:sz w:val="21"/>
              </w:rPr>
              <w:t>具备</w:t>
            </w:r>
            <w:r>
              <w:rPr>
                <w:rFonts w:ascii="仿宋_GB2312" w:hAnsi="仿宋_GB2312" w:cs="仿宋_GB2312" w:eastAsia="仿宋_GB2312"/>
                <w:sz w:val="21"/>
              </w:rPr>
              <w:t>嵌入式</w:t>
            </w:r>
            <w:r>
              <w:rPr>
                <w:rFonts w:ascii="仿宋_GB2312" w:hAnsi="仿宋_GB2312" w:cs="仿宋_GB2312" w:eastAsia="仿宋_GB2312"/>
                <w:sz w:val="21"/>
              </w:rPr>
              <w:t>AI辅助摆位质控，可在采集工作站上自动实时识别/标记/显示摆位状态，并对图像进行等级标准判定</w:t>
            </w:r>
            <w:r>
              <w:rPr>
                <w:rFonts w:ascii="仿宋_GB2312" w:hAnsi="仿宋_GB2312" w:cs="仿宋_GB2312" w:eastAsia="仿宋_GB2312"/>
                <w:sz w:val="21"/>
              </w:rPr>
              <w:t>，</w:t>
            </w:r>
            <w:r>
              <w:rPr>
                <w:rFonts w:ascii="仿宋_GB2312" w:hAnsi="仿宋_GB2312" w:cs="仿宋_GB2312" w:eastAsia="仿宋_GB2312"/>
                <w:sz w:val="21"/>
              </w:rPr>
              <w:t>辅助摆位质控项至少包含肺野不全，中线偏移，肩胛骨未打开，非医源性异物识别等</w:t>
            </w:r>
            <w:r>
              <w:rPr>
                <w:rFonts w:ascii="仿宋_GB2312" w:hAnsi="仿宋_GB2312" w:cs="仿宋_GB2312" w:eastAsia="仿宋_GB2312"/>
                <w:sz w:val="21"/>
              </w:rPr>
              <w:t>。</w:t>
            </w:r>
            <w:r>
              <w:rPr>
                <w:rFonts w:ascii="仿宋_GB2312" w:hAnsi="仿宋_GB2312" w:cs="仿宋_GB2312" w:eastAsia="仿宋_GB2312"/>
                <w:sz w:val="21"/>
              </w:rPr>
              <w:t>（提供带厂家标识的采集工作站上的功能界面</w:t>
            </w:r>
            <w:r>
              <w:rPr>
                <w:rFonts w:ascii="仿宋_GB2312" w:hAnsi="仿宋_GB2312" w:cs="仿宋_GB2312" w:eastAsia="仿宋_GB2312"/>
                <w:sz w:val="21"/>
              </w:rPr>
              <w:t>证明</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 xml:space="preserve">7.2 </w:t>
            </w:r>
            <w:r>
              <w:rPr>
                <w:rFonts w:ascii="仿宋_GB2312" w:hAnsi="仿宋_GB2312" w:cs="仿宋_GB2312" w:eastAsia="仿宋_GB2312"/>
                <w:sz w:val="21"/>
              </w:rPr>
              <w:t>具备摆位智能辅助，用于指导技师操作，至少包含识别与提醒部位异物、中线偏移、影像范围、摆位姿势</w:t>
            </w:r>
          </w:p>
          <w:p>
            <w:pPr>
              <w:pStyle w:val="null3"/>
              <w:jc w:val="both"/>
            </w:pPr>
            <w:r>
              <w:rPr>
                <w:rFonts w:ascii="仿宋_GB2312" w:hAnsi="仿宋_GB2312" w:cs="仿宋_GB2312" w:eastAsia="仿宋_GB2312"/>
                <w:sz w:val="21"/>
              </w:rPr>
              <w:t>7.3基于windows操作系统的专业图像工作站，≥23英寸的显示屏，符合DICOM标准接</w:t>
            </w:r>
            <w:r>
              <w:rPr>
                <w:rFonts w:ascii="仿宋_GB2312" w:hAnsi="仿宋_GB2312" w:cs="仿宋_GB2312" w:eastAsia="仿宋_GB2312"/>
                <w:sz w:val="21"/>
              </w:rPr>
              <w:t>，</w:t>
            </w:r>
            <w:r>
              <w:rPr>
                <w:rFonts w:ascii="仿宋_GB2312" w:hAnsi="仿宋_GB2312" w:cs="仿宋_GB2312" w:eastAsia="仿宋_GB2312"/>
                <w:sz w:val="21"/>
              </w:rPr>
              <w:t>具备一键整机开</w:t>
            </w:r>
            <w:r>
              <w:rPr>
                <w:rFonts w:ascii="仿宋_GB2312" w:hAnsi="仿宋_GB2312" w:cs="仿宋_GB2312" w:eastAsia="仿宋_GB2312"/>
                <w:sz w:val="21"/>
              </w:rPr>
              <w:t>/关机功能，只需通过一键即可控制整机及各部件开机或关机，包括一键可完成采集工作站、高压发生器、机械系统等设备所有部件的开关机</w:t>
            </w:r>
          </w:p>
          <w:p>
            <w:pPr>
              <w:pStyle w:val="null3"/>
              <w:jc w:val="both"/>
            </w:pPr>
            <w:r>
              <w:rPr>
                <w:rFonts w:ascii="仿宋_GB2312" w:hAnsi="仿宋_GB2312" w:cs="仿宋_GB2312" w:eastAsia="仿宋_GB2312"/>
                <w:sz w:val="21"/>
              </w:rPr>
              <w:t>7.4系统软件支持球管热容量状态百分比显示，支持平板探测器状态显示，如电量、信号信息等，整机具备故障预判功能，可精准定位系统故障，</w:t>
            </w:r>
            <w:r>
              <w:rPr>
                <w:rFonts w:ascii="仿宋_GB2312" w:hAnsi="仿宋_GB2312" w:cs="仿宋_GB2312" w:eastAsia="仿宋_GB2312"/>
                <w:sz w:val="21"/>
              </w:rPr>
              <w:t>可</w:t>
            </w:r>
            <w:r>
              <w:rPr>
                <w:rFonts w:ascii="仿宋_GB2312" w:hAnsi="仿宋_GB2312" w:cs="仿宋_GB2312" w:eastAsia="仿宋_GB2312"/>
                <w:sz w:val="21"/>
              </w:rPr>
              <w:t>提供相关故障诊断中文文字说明</w:t>
            </w:r>
            <w:r>
              <w:rPr>
                <w:rFonts w:ascii="仿宋_GB2312" w:hAnsi="仿宋_GB2312" w:cs="仿宋_GB2312" w:eastAsia="仿宋_GB2312"/>
                <w:sz w:val="21"/>
              </w:rPr>
              <w:t>，提供功能软件截图</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8.供应商提供的产品需包括工作站和胶片打印机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9.供应商在川内具备售后维修点或承诺中标后在川内设置售后维修点（提供川内售后维修点的证明材料或承诺函）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10.供应商在收到采购人售后服务需求时，须在24小时内响应（提供承诺函）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11.供应商提供的产品，应为合同签订之日前3个月内生产的产品（提供承诺函）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12.供应商提供的产品必须配置相关防护用品。</w:t>
            </w:r>
          </w:p>
          <w:tbl>
            <w:tblPr>
              <w:tblBorders>
                <w:top w:val="none" w:color="000000" w:sz="4"/>
                <w:left w:val="none" w:color="000000" w:sz="4"/>
                <w:bottom w:val="none" w:color="000000" w:sz="4"/>
                <w:right w:val="none" w:color="000000" w:sz="4"/>
                <w:insideH w:val="none"/>
                <w:insideV w:val="none"/>
              </w:tblBorders>
            </w:tblPr>
            <w:tblGrid>
              <w:gridCol w:w="326"/>
              <w:gridCol w:w="395"/>
              <w:gridCol w:w="2054"/>
              <w:gridCol w:w="573"/>
              <w:gridCol w:w="869"/>
              <w:gridCol w:w="908"/>
              <w:gridCol w:w="474"/>
            </w:tblGrid>
            <w:tr>
              <w:tc>
                <w:tcPr>
                  <w:tcW w:type="dxa" w:w="5599"/>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该项目涉及配置防护用品如下</w:t>
                  </w:r>
                  <w:r>
                    <w:rPr>
                      <w:rFonts w:ascii="仿宋_GB2312" w:hAnsi="仿宋_GB2312" w:cs="仿宋_GB2312" w:eastAsia="仿宋_GB2312"/>
                      <w:sz w:val="21"/>
                      <w:b/>
                      <w:color w:val="000000"/>
                    </w:rPr>
                    <w:t>↵</w:t>
                  </w:r>
                </w:p>
              </w:tc>
            </w:tr>
            <w:tr>
              <w:tc>
                <w:tcPr>
                  <w:tcW w:type="dxa" w:w="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人员</w:t>
                  </w:r>
                </w:p>
              </w:tc>
              <w:tc>
                <w:tcPr>
                  <w:tcW w:type="dxa" w:w="2449"/>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个人防护用品种类</w:t>
                  </w:r>
                </w:p>
              </w:tc>
              <w:tc>
                <w:tcPr>
                  <w:tcW w:type="dxa" w:w="57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配备</w:t>
                  </w:r>
                </w:p>
              </w:tc>
              <w:tc>
                <w:tcPr>
                  <w:tcW w:type="dxa" w:w="86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要求配</w:t>
                  </w:r>
                </w:p>
              </w:tc>
              <w:tc>
                <w:tcPr>
                  <w:tcW w:type="dxa" w:w="90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要求铅当量</w:t>
                  </w:r>
                </w:p>
              </w:tc>
              <w:tc>
                <w:tcPr>
                  <w:tcW w:type="dxa" w:w="47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评价</w:t>
                  </w:r>
                </w:p>
              </w:tc>
            </w:tr>
            <w:tr>
              <w:tc>
                <w:tcPr>
                  <w:tcW w:type="dxa" w:w="326"/>
                  <w:vMerge/>
                  <w:tcBorders>
                    <w:top w:val="none" w:color="000000" w:sz="4"/>
                    <w:left w:val="single" w:color="000000" w:sz="4"/>
                    <w:bottom w:val="single" w:color="000000" w:sz="4"/>
                    <w:right w:val="single" w:color="000000" w:sz="4"/>
                  </w:tcBorders>
                </w:tcPr>
                <w:p/>
              </w:tc>
              <w:tc>
                <w:tcPr>
                  <w:tcW w:type="dxa" w:w="2449"/>
                  <w:gridSpan w:val="2"/>
                  <w:vMerge/>
                  <w:tcBorders>
                    <w:top w:val="single" w:color="000000" w:sz="4"/>
                    <w:left w:val="none" w:color="000000" w:sz="4"/>
                    <w:bottom w:val="single" w:color="000000" w:sz="4"/>
                    <w:right w:val="single" w:color="000000" w:sz="4"/>
                  </w:tcBorders>
                </w:tcPr>
                <w:p/>
              </w:tc>
              <w:tc>
                <w:tcPr>
                  <w:tcW w:type="dxa" w:w="573"/>
                  <w:vMerge/>
                  <w:tcBorders>
                    <w:top w:val="single" w:color="000000" w:sz="4"/>
                    <w:left w:val="none" w:color="000000" w:sz="4"/>
                    <w:bottom w:val="single" w:color="000000" w:sz="4"/>
                    <w:right w:val="single" w:color="000000" w:sz="4"/>
                  </w:tcBorders>
                </w:tcPr>
                <w:p/>
              </w:tc>
              <w:tc>
                <w:tcPr>
                  <w:tcW w:type="dxa" w:w="869"/>
                  <w:vMerge/>
                  <w:tcBorders>
                    <w:top w:val="single" w:color="000000" w:sz="4"/>
                    <w:left w:val="none" w:color="000000" w:sz="4"/>
                    <w:bottom w:val="single" w:color="000000" w:sz="4"/>
                    <w:right w:val="single" w:color="000000" w:sz="4"/>
                  </w:tcBorders>
                </w:tcPr>
                <w:p/>
              </w:tc>
            </w:tr>
            <w:tr>
              <w:tc>
                <w:tcPr>
                  <w:tcW w:type="dxa" w:w="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受检者</w:t>
                  </w:r>
                </w:p>
              </w:tc>
              <w:tc>
                <w:tcPr>
                  <w:tcW w:type="dxa" w:w="3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成人</w:t>
                  </w:r>
                </w:p>
              </w:tc>
              <w:tc>
                <w:tcPr>
                  <w:tcW w:type="dxa" w:w="205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铅橡胶性腺防护围裙</w:t>
                  </w:r>
                  <w:r>
                    <w:rPr>
                      <w:rFonts w:ascii="仿宋_GB2312" w:hAnsi="仿宋_GB2312" w:cs="仿宋_GB2312" w:eastAsia="仿宋_GB2312"/>
                      <w:sz w:val="21"/>
                      <w:color w:val="000000"/>
                    </w:rPr>
                    <w:t>(方形)或方巾</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1件及以上</w:t>
                  </w:r>
                  <w:r>
                    <w:rPr>
                      <w:rFonts w:ascii="仿宋_GB2312" w:hAnsi="仿宋_GB2312" w:cs="仿宋_GB2312" w:eastAsia="仿宋_GB2312"/>
                      <w:sz w:val="21"/>
                      <w:color w:val="000000"/>
                    </w:rPr>
                    <w:t>↵</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≥0.5mmPbe</w:t>
                  </w:r>
                </w:p>
              </w:tc>
              <w:tc>
                <w:tcPr>
                  <w:tcW w:type="dxa" w:w="4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符合</w:t>
                  </w:r>
                </w:p>
              </w:tc>
            </w:tr>
            <w:tr>
              <w:tc>
                <w:tcPr>
                  <w:tcW w:type="dxa" w:w="326"/>
                  <w:vMerge/>
                  <w:tcBorders>
                    <w:top w:val="none" w:color="000000" w:sz="4"/>
                    <w:left w:val="singl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20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铅橡胶颈套</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1件及以上</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≥0.5mmPb</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符合</w:t>
                  </w:r>
                </w:p>
              </w:tc>
            </w:tr>
            <w:tr>
              <w:tc>
                <w:tcPr>
                  <w:tcW w:type="dxa" w:w="326"/>
                  <w:vMerge/>
                  <w:tcBorders>
                    <w:top w:val="none" w:color="000000" w:sz="4"/>
                    <w:left w:val="singl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选配：铅橡胶帽子</w:t>
                  </w:r>
                  <w:r>
                    <w:rPr>
                      <w:rFonts w:ascii="仿宋_GB2312" w:hAnsi="仿宋_GB2312" w:cs="仿宋_GB2312" w:eastAsia="仿宋_GB2312"/>
                      <w:sz w:val="21"/>
                      <w:color w:val="000000"/>
                    </w:rPr>
                    <w:t>↵</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≥0.25mmPb</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符合</w:t>
                  </w:r>
                </w:p>
              </w:tc>
            </w:tr>
            <w:tr>
              <w:tc>
                <w:tcPr>
                  <w:tcW w:type="dxa" w:w="326"/>
                  <w:vMerge/>
                  <w:tcBorders>
                    <w:top w:val="none" w:color="000000" w:sz="4"/>
                    <w:left w:val="single" w:color="000000" w:sz="4"/>
                    <w:bottom w:val="single" w:color="000000" w:sz="4"/>
                    <w:right w:val="single" w:color="000000" w:sz="4"/>
                  </w:tcBorders>
                </w:tcPr>
                <w:p/>
              </w:tc>
              <w:tc>
                <w:tcPr>
                  <w:tcW w:type="dxa" w:w="3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儿童</w:t>
                  </w:r>
                </w:p>
              </w:tc>
              <w:tc>
                <w:tcPr>
                  <w:tcW w:type="dxa" w:w="205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铅橡胶性腺防护围裙</w:t>
                  </w:r>
                </w:p>
              </w:tc>
              <w:tc>
                <w:tcPr>
                  <w:tcW w:type="dxa" w:w="5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tc>
              <w:tc>
                <w:tcPr>
                  <w:tcW w:type="dxa" w:w="86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1件及以上</w:t>
                  </w:r>
                  <w:r>
                    <w:rPr>
                      <w:rFonts w:ascii="仿宋_GB2312" w:hAnsi="仿宋_GB2312" w:cs="仿宋_GB2312" w:eastAsia="仿宋_GB2312"/>
                      <w:sz w:val="21"/>
                      <w:color w:val="000000"/>
                    </w:rPr>
                    <w:t>↵</w:t>
                  </w:r>
                </w:p>
              </w:tc>
              <w:tc>
                <w:tcPr>
                  <w:tcW w:type="dxa" w:w="9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≥0.5mmPb</w:t>
                  </w:r>
                </w:p>
              </w:tc>
              <w:tc>
                <w:tcPr>
                  <w:tcW w:type="dxa" w:w="4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符合</w:t>
                  </w:r>
                </w:p>
              </w:tc>
            </w:tr>
            <w:tr>
              <w:tc>
                <w:tcPr>
                  <w:tcW w:type="dxa" w:w="326"/>
                  <w:vMerge/>
                  <w:tcBorders>
                    <w:top w:val="none" w:color="000000" w:sz="4"/>
                    <w:left w:val="singl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2054"/>
                  <w:vMerge/>
                  <w:tcBorders>
                    <w:top w:val="none" w:color="000000" w:sz="4"/>
                    <w:left w:val="none" w:color="000000" w:sz="4"/>
                    <w:bottom w:val="single" w:color="000000" w:sz="4"/>
                    <w:right w:val="single" w:color="000000" w:sz="4"/>
                  </w:tcBorders>
                </w:tcPr>
                <w:p/>
              </w:tc>
              <w:tc>
                <w:tcPr>
                  <w:tcW w:type="dxa" w:w="573"/>
                  <w:vMerge/>
                  <w:tcBorders>
                    <w:top w:val="none" w:color="000000" w:sz="4"/>
                    <w:left w:val="none" w:color="000000" w:sz="4"/>
                    <w:bottom w:val="single" w:color="000000" w:sz="4"/>
                    <w:right w:val="single" w:color="000000" w:sz="4"/>
                  </w:tcBorders>
                </w:tcPr>
                <w:p/>
              </w:tc>
              <w:tc>
                <w:tcPr>
                  <w:tcW w:type="dxa" w:w="869"/>
                  <w:vMerge/>
                  <w:tcBorders>
                    <w:top w:val="none" w:color="000000" w:sz="4"/>
                    <w:left w:val="none" w:color="000000" w:sz="4"/>
                    <w:bottom w:val="single" w:color="000000" w:sz="4"/>
                    <w:right w:val="single" w:color="000000" w:sz="4"/>
                  </w:tcBorders>
                </w:tcPr>
                <w:p/>
              </w:tc>
              <w:tc>
                <w:tcPr>
                  <w:tcW w:type="dxa" w:w="908"/>
                  <w:vMerge/>
                  <w:tcBorders>
                    <w:top w:val="none" w:color="000000" w:sz="4"/>
                    <w:left w:val="none" w:color="000000" w:sz="4"/>
                    <w:bottom w:val="single" w:color="000000" w:sz="4"/>
                    <w:right w:val="single" w:color="000000" w:sz="4"/>
                  </w:tcBorders>
                </w:tcPr>
                <w:p/>
              </w:tc>
              <w:tc>
                <w:tcPr>
                  <w:tcW w:type="dxa" w:w="474"/>
                  <w:vMerge/>
                  <w:tcBorders>
                    <w:top w:val="none" w:color="000000" w:sz="4"/>
                    <w:left w:val="none" w:color="000000" w:sz="4"/>
                    <w:bottom w:val="single" w:color="000000" w:sz="4"/>
                    <w:right w:val="single" w:color="000000" w:sz="4"/>
                  </w:tcBorders>
                </w:tcPr>
                <w:p/>
              </w:tc>
            </w:tr>
            <w:tr>
              <w:tc>
                <w:tcPr>
                  <w:tcW w:type="dxa" w:w="326"/>
                  <w:vMerge/>
                  <w:tcBorders>
                    <w:top w:val="none" w:color="000000" w:sz="4"/>
                    <w:left w:val="singl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儿童专用铅橡胶颈套</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1件及以上</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≥0.5mmPb</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符合</w:t>
                  </w:r>
                </w:p>
              </w:tc>
            </w:tr>
            <w:tr>
              <w:tc>
                <w:tcPr>
                  <w:tcW w:type="dxa" w:w="326"/>
                  <w:vMerge/>
                  <w:tcBorders>
                    <w:top w:val="none" w:color="000000" w:sz="4"/>
                    <w:left w:val="singl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205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选配：儿童专用铅橡胶帽子</w:t>
                  </w:r>
                  <w:r>
                    <w:rPr>
                      <w:rFonts w:ascii="仿宋_GB2312" w:hAnsi="仿宋_GB2312" w:cs="仿宋_GB2312" w:eastAsia="仿宋_GB2312"/>
                      <w:sz w:val="21"/>
                      <w:color w:val="000000"/>
                    </w:rPr>
                    <w:t>↵</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≥0.5mmPbu</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符合</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陪检者</w:t>
                  </w:r>
                </w:p>
              </w:tc>
              <w:tc>
                <w:tcPr>
                  <w:tcW w:type="dxa" w:w="244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铅衣</w:t>
                  </w:r>
                </w:p>
              </w:tc>
              <w:tc>
                <w:tcPr>
                  <w:tcW w:type="dxa" w:w="5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r>
                    <w:rPr>
                      <w:rFonts w:ascii="仿宋_GB2312" w:hAnsi="仿宋_GB2312" w:cs="仿宋_GB2312" w:eastAsia="仿宋_GB2312"/>
                      <w:sz w:val="21"/>
                      <w:color w:val="000000"/>
                    </w:rPr>
                    <w:t>件</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≥0.5mmPb</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符合</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rPr>
              <w:t>详见技术要求。</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合同签订后30日内</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1、合同签订后，支付预付款，达到付款条件起15日内，支付合同总金额的40.00%</w:t>
            </w:r>
          </w:p>
          <w:p>
            <w:pPr>
              <w:pStyle w:val="null3"/>
              <w:jc w:val="left"/>
            </w:pPr>
            <w:r>
              <w:rPr>
                <w:rFonts w:ascii="仿宋_GB2312" w:hAnsi="仿宋_GB2312" w:cs="仿宋_GB2312" w:eastAsia="仿宋_GB2312"/>
              </w:rPr>
              <w:t>2、所有货物到货安装调试完成，经验收合格后，达到付款条件起15日内，支付合同总金额的60.00%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以采购文件服务内容要求、供应商响应内容、合同文本内容要求及《财政部关于进一步加强政府采购需求和履约验收管理的指导意见》(财库〔2016〕205号)的要求进行验收。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按照法律法规相关文件和采购文件要求执行。</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合同约定</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本项目将对1、技术指标及配置；2、实施方案；3、售后服务方案；4、业绩进行综合评审。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投标人需在使用投标(响应)客户端编制投标文件时，1、按要求填写《投标（响应）函》完成承诺并进行电子签章；2、提供营业执照副本复印件并电子签章。</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提供截至提交投标文件截止之日前一年内，经审计的财务报告（包含审计报告和审计报告中所涉及的财务报表和报表附注）或者银行出具的资信证明。未经审计的提供财务报告（包括资产负债表、利润表、现金流量表、所有者权益变动表及其附注）。投标人注册时间截至提交投标文件截止之日前不足一年的，也可提供在相关主管部门备案的公司章程等证明材料。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1、投标产品为医疗器械须符合《医疗器械注册与备案管理办法》要求并提供中华人民共和国医疗器械注册证或注册登记表或备案证；2、投标人须符合《医疗器械监督管理条例》要求并提供医疗器械生产或经营企业许可证或备案证明材料；3、若投标产品为医用射线装置的，投标人须具有有效的《辐射安全许可证》。</w:t>
            </w:r>
          </w:p>
        </w:tc>
        <w:tc>
          <w:tcPr>
            <w:tcW w:type="dxa" w:w="3322"/>
          </w:tcPr>
          <w:p>
            <w:pPr>
              <w:pStyle w:val="null3"/>
              <w:jc w:val="left"/>
            </w:pPr>
            <w:r>
              <w:rPr>
                <w:rFonts w:ascii="仿宋_GB2312" w:hAnsi="仿宋_GB2312" w:cs="仿宋_GB2312" w:eastAsia="仿宋_GB2312"/>
              </w:rPr>
              <w:t>1、投标产品为医疗器械须符合《医疗器械注册与备案管理办法》要求并提供中华人民共和国医疗器械注册证或注册登记表或备案证；2、投标人须符合《医疗器械监督管理条例》要求并提供医疗器械生产或经营企业许可证或备案证明材料；3、若投标产品为医用射线装置的，投标人须具有有效的《辐射安全许可证》。</w:t>
            </w:r>
          </w:p>
        </w:tc>
        <w:tc>
          <w:tcPr>
            <w:tcW w:type="dxa" w:w="1661"/>
          </w:tcPr>
          <w:p>
            <w:pPr>
              <w:pStyle w:val="null3"/>
              <w:jc w:val="left"/>
            </w:pPr>
            <w:r>
              <w:rPr>
                <w:rFonts w:ascii="仿宋_GB2312" w:hAnsi="仿宋_GB2312" w:cs="仿宋_GB2312" w:eastAsia="仿宋_GB2312"/>
              </w:rPr>
              <w:t>投标人应提交的相关证明材料,关于符合本国产品标准的声明函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技术指标及配置</w:t>
            </w:r>
          </w:p>
        </w:tc>
        <w:tc>
          <w:tcPr>
            <w:tcW w:type="dxa" w:w="2575"/>
          </w:tcPr>
          <w:p>
            <w:pPr>
              <w:pStyle w:val="null3"/>
              <w:jc w:val="left"/>
            </w:pPr>
            <w:r>
              <w:rPr>
                <w:rFonts w:ascii="仿宋_GB2312" w:hAnsi="仿宋_GB2312" w:cs="仿宋_GB2312" w:eastAsia="仿宋_GB2312"/>
              </w:rPr>
              <w:t>完全符合采购文件“技术参数”没有负偏离得52分。1、一般技术参数条款（一般技术参数条款指未标注“▲”、“★”的条款）响应得分=（供应商满足一般技术参数条款的数量÷一般技术参数条款的总数量）×4分。2、“▲”技术参数条款响应得分=（供应商满足“▲”技术参数条款的数量÷“▲”技术参数条款的总数量）×48分。</w:t>
            </w:r>
          </w:p>
        </w:tc>
        <w:tc>
          <w:tcPr>
            <w:tcW w:type="dxa" w:w="831"/>
          </w:tcPr>
          <w:p>
            <w:pPr>
              <w:pStyle w:val="null3"/>
              <w:jc w:val="center"/>
            </w:pPr>
            <w:r>
              <w:rPr>
                <w:rFonts w:ascii="仿宋_GB2312" w:hAnsi="仿宋_GB2312" w:cs="仿宋_GB2312" w:eastAsia="仿宋_GB2312"/>
              </w:rPr>
              <w:t>52.0000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供应商对本项目实施方案进行评审，包括但不限于①工作组织安排、②工期保障措施、③进度计划安排、④应急保障措施、⑤质量保证措施、⑥运输方案等内容。提供以上内容的得6分,每缺少一项内容扣1分，每一项内容中有一处缺陷扣0.5分，未提供方案不得分。 注：以上方案中的缺陷是指前后内容不一致，存在凭空编造，前后逻辑错误或矛盾，涉及的规范及标准错误，项目名称或实施地点区域错误，内容简略或与本项目无关，套用其他方案，结合本项目采购需求描述论证阐述不清晰、不充分、不完整等任意一种情况。</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投标供应商提供项目售后服务方案，包括但不限于以下内容：①售后服务流程：要求提供详细的流程及方法，②售后服务电话、响应时间及联系人；③紧急事故处理响应及流程；④售后服务点等，提供以上内容的得6分,每缺少一项内容扣1.5分，每一项内容中有一处缺陷扣0.75分，未提供方案不得分。 注：以上方案中的缺陷是指前后内容不一致，存在凭空编造，前后逻辑错误或矛盾，涉及的规范及标准错误，项目名称或实施地点区域错误，内容简略或与本项目无关，套用其他方案，结合本项目采购需求描述论证阐述不清晰、不充分、不完整等任意一种情况。</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投标人自2023年4月1日至今，有1个同类项目供货业绩的得3分，最高6分。注：1、提供中标通知书或合同复印件。2、提供销售发票复印件。</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