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版本号：N512001202600008820260514001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导管室数字减影血管造影机（DSA）维保服务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N5120012026000088</w:t>
      </w:r>
    </w:p>
    <w:p>
      <w:pPr>
        <w:pStyle w:val="null3"/>
        <w:jc w:val="center"/>
        <w:outlineLvl w:val="2"/>
      </w:pPr>
      <w:r>
        <w:rPr>
          <w:rFonts w:ascii="仿宋_GB2312" w:hAnsi="仿宋_GB2312" w:cs="仿宋_GB2312" w:eastAsia="仿宋_GB2312"/>
          <w:sz w:val="28"/>
          <w:b/>
        </w:rPr>
        <w:t>资阳市中医医院</w:t>
      </w:r>
    </w:p>
    <w:p>
      <w:pPr>
        <w:pStyle w:val="null3"/>
        <w:jc w:val="center"/>
        <w:outlineLvl w:val="2"/>
      </w:pPr>
      <w:r>
        <w:rPr>
          <w:rFonts w:ascii="仿宋_GB2312" w:hAnsi="仿宋_GB2312" w:cs="仿宋_GB2312" w:eastAsia="仿宋_GB2312"/>
          <w:sz w:val="28"/>
          <w:b/>
        </w:rPr>
        <w:t>成都优引力项目管理有限公司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成都优引力项目管理有限公司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资阳市中医医院</w:t>
      </w:r>
      <w:r>
        <w:rPr>
          <w:rFonts w:ascii="仿宋_GB2312" w:hAnsi="仿宋_GB2312" w:cs="仿宋_GB2312" w:eastAsia="仿宋_GB2312"/>
        </w:rPr>
        <w:t xml:space="preserve"> 委托，拟对 </w:t>
      </w:r>
      <w:r>
        <w:rPr>
          <w:rFonts w:ascii="仿宋_GB2312" w:hAnsi="仿宋_GB2312" w:cs="仿宋_GB2312" w:eastAsia="仿宋_GB2312"/>
        </w:rPr>
        <w:t>导管室数字减影血管造影机（DSA）维保服务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资阳市市本级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N5120012026000088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导管室数字减影血管造影机（DSA）维保服务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资阳市中医医院拟采购导管室数字减影血管造影机（DSA）维保服务一项，本项目为1个包。预算金额80万元/年，服务期为三年，合同一年一签，达到采购人要求且验收通过后，续签下一年合同。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1、特殊资格要求（描述：供应商在电子交易系统提供《辐射安全许可证》（经营种类和范围需包含DSA设备）复印件并加盖供应商公章。）</w:t>
      </w:r>
    </w:p>
    <w:p>
      <w:pPr>
        <w:pStyle w:val="null3"/>
        <w:jc w:val="left"/>
      </w:pPr>
      <w:r>
        <w:rPr>
          <w:rFonts w:ascii="仿宋_GB2312" w:hAnsi="仿宋_GB2312" w:cs="仿宋_GB2312" w:eastAsia="仿宋_GB2312"/>
        </w:rPr>
        <w:t>2、特殊资格要求（描述：若提供的配件属于医疗器械的：供应商若为生产厂家，须符合《医疗器械监督管理条例》要求并提供中华人民共和国医疗器械生产许可证/生产备案凭证；供应商若为非生产厂家，须符合《医疗器械监督管理条例》要求并提供中华人民共和国医疗器械经营许可证/经营备案凭证（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资阳市中医医院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资阳市雁江区希望大道1号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028-26827207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成都优引力项目管理有限公司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四川省成都市武侯区武科西一路65号3栋5层503号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薛毅丰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028-61152662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财政厅关于印发《四川省政府采购营商环境指标提升专项行动工作方案》的通知（川财采〔2020〕74号）]文件中成本支出加合理利润原则，以成交金额为基准价，按照下列收费标准下浮30%进行收取，由成交供应商支付。（金额100万元以下费率：1.5%；100-500万元费率：0.8%；500-1000万元费率：0.45%；1000-5000万元费率：0.25%。注：招标代理服务收费按差额定率累进法计算。）收款信息：户 名：成都优引力项目管理有限公司 账 号：581891621600015 开 户 行：浙江民泰商业银行股份有限公司成都分行</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资阳市中医医院</w:t>
      </w:r>
      <w:r>
        <w:rPr>
          <w:rFonts w:ascii="仿宋_GB2312" w:hAnsi="仿宋_GB2312" w:cs="仿宋_GB2312" w:eastAsia="仿宋_GB2312"/>
        </w:rPr>
        <w:t xml:space="preserve"> 和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资阳市中医医院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成都优引力项目管理有限公司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结合采购文件要求的每项服务要求，以及供应商的响应文件应答和承诺的条款和内容逐项核实履约情况。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结合采购文件要求的商务要求，以及供应商的响应文件应答和承诺的条款和内容逐项核实履约情况。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采购文件的质量要求和技术指标、规定的验收交付标准和方法，供应商的响应文件及承诺与本合同约定标准进行验收；双方如对质量要求和技术指标的约定标准有相互抵触或异议的事项，由采购人在采购文件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财政部关于进一步加强政府采购需求和履约验收管理的指导意见》(财库〔2016〕205号)、《政府采购需求管理办法》(财库〔2021〕22号)的和采购文件要求进行验收。符合国家有关规定、磋商文件的质量要求和技术指标、供应商的响应文件及承诺以及合同条款。</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资阳市中医医院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联系人：薛毅丰</w:t>
      </w:r>
    </w:p>
    <w:p>
      <w:pPr>
        <w:pStyle w:val="null3"/>
        <w:jc w:val="left"/>
      </w:pPr>
      <w:r>
        <w:rPr>
          <w:rFonts w:ascii="仿宋_GB2312" w:hAnsi="仿宋_GB2312" w:cs="仿宋_GB2312" w:eastAsia="仿宋_GB2312"/>
        </w:rPr>
        <w:t>联系电话：028-61152662</w:t>
      </w:r>
    </w:p>
    <w:p>
      <w:pPr>
        <w:pStyle w:val="null3"/>
        <w:jc w:val="left"/>
      </w:pPr>
      <w:r>
        <w:rPr>
          <w:rFonts w:ascii="仿宋_GB2312" w:hAnsi="仿宋_GB2312" w:cs="仿宋_GB2312" w:eastAsia="仿宋_GB2312"/>
        </w:rPr>
        <w:t>地址：四川省成都市武侯区武科西一路65号3栋5层503号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联系人：冯老师</w:t>
      </w:r>
    </w:p>
    <w:p>
      <w:pPr>
        <w:pStyle w:val="null3"/>
        <w:jc w:val="left"/>
      </w:pPr>
      <w:r>
        <w:rPr>
          <w:rFonts w:ascii="仿宋_GB2312" w:hAnsi="仿宋_GB2312" w:cs="仿宋_GB2312" w:eastAsia="仿宋_GB2312"/>
        </w:rPr>
        <w:t>联系电话：028-26827207</w:t>
      </w:r>
    </w:p>
    <w:p>
      <w:pPr>
        <w:pStyle w:val="null3"/>
        <w:jc w:val="left"/>
      </w:pPr>
      <w:r>
        <w:rPr>
          <w:rFonts w:ascii="仿宋_GB2312" w:hAnsi="仿宋_GB2312" w:cs="仿宋_GB2312" w:eastAsia="仿宋_GB2312"/>
        </w:rPr>
        <w:t>地址：资阳市雁江区希望大道1号</w:t>
      </w:r>
    </w:p>
    <w:p>
      <w:pPr>
        <w:pStyle w:val="null3"/>
        <w:jc w:val="left"/>
      </w:pPr>
      <w:r>
        <w:rPr>
          <w:rFonts w:ascii="仿宋_GB2312" w:hAnsi="仿宋_GB2312" w:cs="仿宋_GB2312" w:eastAsia="仿宋_GB2312"/>
        </w:rPr>
        <w:t>邮编：641300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C23129900 其他维修和保养服务</w:t>
            </w:r>
          </w:p>
        </w:tc>
        <w:tc>
          <w:tcPr>
            <w:tcW w:type="dxa" w:w="821"/>
          </w:tcPr>
          <w:p>
            <w:pPr>
              <w:pStyle w:val="null3"/>
              <w:jc w:val="left"/>
            </w:pPr>
            <w:r>
              <w:rPr>
                <w:rFonts w:ascii="仿宋_GB2312" w:hAnsi="仿宋_GB2312" w:cs="仿宋_GB2312" w:eastAsia="仿宋_GB2312"/>
              </w:rPr>
              <w:t>导管室数字减影血管造影机（DSA）维保服务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导管室数字减影血管造影机（DSA）维保服务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标的名称：导管室数字减影血管造影机（DSA）维保服务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服务技术要求</w:t>
            </w:r>
          </w:p>
        </w:tc>
        <w:tc>
          <w:tcPr>
            <w:tcW w:type="dxa" w:w="5814"/>
          </w:tcPr>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维保范围：</w:t>
            </w:r>
            <w:r>
              <w:rPr>
                <w:rFonts w:ascii="仿宋_GB2312" w:hAnsi="仿宋_GB2312" w:cs="仿宋_GB2312" w:eastAsia="仿宋_GB2312"/>
                <w:sz w:val="24"/>
              </w:rPr>
              <w:t>GE DSAIGS330型号</w:t>
            </w:r>
            <w:r>
              <w:rPr>
                <w:rFonts w:ascii="仿宋_GB2312" w:hAnsi="仿宋_GB2312" w:cs="仿宋_GB2312" w:eastAsia="仿宋_GB2312"/>
                <w:sz w:val="24"/>
                <w:shd w:fill="FFFFFF" w:val="clear"/>
              </w:rPr>
              <w:t>DSA设备整机维保</w:t>
            </w:r>
            <w:r>
              <w:rPr>
                <w:rFonts w:ascii="仿宋_GB2312" w:hAnsi="仿宋_GB2312" w:cs="仿宋_GB2312" w:eastAsia="仿宋_GB2312"/>
                <w:sz w:val="24"/>
              </w:rPr>
              <w:t>，</w:t>
            </w:r>
            <w:r>
              <w:rPr>
                <w:rFonts w:ascii="仿宋_GB2312" w:hAnsi="仿宋_GB2312" w:cs="仿宋_GB2312" w:eastAsia="仿宋_GB2312"/>
                <w:sz w:val="24"/>
              </w:rPr>
              <w:t>包括</w:t>
            </w:r>
            <w:r>
              <w:rPr>
                <w:rFonts w:ascii="仿宋_GB2312" w:hAnsi="仿宋_GB2312" w:cs="仿宋_GB2312" w:eastAsia="仿宋_GB2312"/>
                <w:sz w:val="24"/>
              </w:rPr>
              <w:t>DSA整机系统，含球管、探测器及附属配件，高压注射器、计算机及软件系统、工作站等整机相关所有部件的保修及更换。包含人工维修及定期保养服务；保修期内所更换的零配件费用以及人员工时费、差旅费等全部费用由供应商承担。</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供应商工程师在维护保养、维修以及更换设备配件过程中不能影响其他设备正常运行。如造成其他设备以及本设备其他正常运行部件损坏的由供应商负责。</w:t>
            </w:r>
            <w:r>
              <w:rPr>
                <w:rFonts w:ascii="仿宋_GB2312" w:hAnsi="仿宋_GB2312" w:cs="仿宋_GB2312" w:eastAsia="仿宋_GB2312"/>
                <w:sz w:val="24"/>
                <w:b/>
              </w:rPr>
              <w:t>（提供响应承诺函并加盖公章</w:t>
            </w:r>
            <w:r>
              <w:rPr>
                <w:rFonts w:ascii="仿宋_GB2312" w:hAnsi="仿宋_GB2312" w:cs="仿宋_GB2312" w:eastAsia="仿宋_GB2312"/>
                <w:sz w:val="24"/>
                <w:b/>
              </w:rPr>
              <w:t>,如未提供视为未实质性响应）</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供应商须提供一套</w:t>
            </w:r>
            <w:r>
              <w:rPr>
                <w:rFonts w:ascii="仿宋_GB2312" w:hAnsi="仿宋_GB2312" w:cs="仿宋_GB2312" w:eastAsia="仿宋_GB2312"/>
                <w:sz w:val="24"/>
              </w:rPr>
              <w:t>DSA大屏改</w:t>
            </w:r>
            <w:r>
              <w:rPr>
                <w:rFonts w:ascii="仿宋_GB2312" w:hAnsi="仿宋_GB2312" w:cs="仿宋_GB2312" w:eastAsia="仿宋_GB2312"/>
                <w:sz w:val="24"/>
              </w:rPr>
              <w:t>造〔现有屏幕：</w:t>
            </w:r>
            <w:r>
              <w:rPr>
                <w:rFonts w:ascii="仿宋_GB2312" w:hAnsi="仿宋_GB2312" w:cs="仿宋_GB2312" w:eastAsia="仿宋_GB2312"/>
                <w:sz w:val="24"/>
              </w:rPr>
              <w:t>FlexScur S1923（型号：S1923）。尺寸：①48厘米（19.0英寸）级彩色液晶显示器；②48.1厘米（18.9英寸）可视影像大小〕</w:t>
            </w:r>
            <w:r>
              <w:rPr>
                <w:rFonts w:ascii="仿宋_GB2312" w:hAnsi="仿宋_GB2312" w:cs="仿宋_GB2312" w:eastAsia="仿宋_GB2312"/>
                <w:sz w:val="21"/>
              </w:rPr>
              <w:t>，</w:t>
            </w:r>
            <w:r>
              <w:rPr>
                <w:rFonts w:ascii="仿宋_GB2312" w:hAnsi="仿宋_GB2312" w:cs="仿宋_GB2312" w:eastAsia="仿宋_GB2312"/>
                <w:sz w:val="24"/>
              </w:rPr>
              <w:t>改造后参数应不低于：</w:t>
            </w:r>
            <w:r>
              <w:rPr>
                <w:rFonts w:ascii="仿宋_GB2312" w:hAnsi="仿宋_GB2312" w:cs="仿宋_GB2312" w:eastAsia="仿宋_GB2312"/>
                <w:sz w:val="24"/>
              </w:rPr>
              <w:t>（</w:t>
            </w:r>
            <w:r>
              <w:rPr>
                <w:rFonts w:ascii="仿宋_GB2312" w:hAnsi="仿宋_GB2312" w:cs="仿宋_GB2312" w:eastAsia="仿宋_GB2312"/>
                <w:sz w:val="24"/>
              </w:rPr>
              <w:t>1）基础参数</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≥55 inch active TFT di</w:t>
            </w:r>
            <w:r>
              <w:rPr>
                <w:rFonts w:ascii="仿宋_GB2312" w:hAnsi="仿宋_GB2312" w:cs="仿宋_GB2312" w:eastAsia="仿宋_GB2312"/>
                <w:sz w:val="24"/>
              </w:rPr>
              <w:t>splay，分辨率≥3840×2160，纵横比≥16:9，点距≤0.315 (H) x0.315 (V)mm，最大亮度≥800cd/m²，视角≥178°，响应时间≤8ms，净重≤34Kg</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）色彩</w:t>
            </w:r>
            <w:r>
              <w:rPr>
                <w:rFonts w:ascii="仿宋_GB2312" w:hAnsi="仿宋_GB2312" w:cs="仿宋_GB2312" w:eastAsia="仿宋_GB2312"/>
                <w:sz w:val="24"/>
              </w:rPr>
              <w:t>≥36bit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）视频输入端口</w:t>
            </w:r>
            <w:r>
              <w:rPr>
                <w:rFonts w:ascii="仿宋_GB2312" w:hAnsi="仿宋_GB2312" w:cs="仿宋_GB2312" w:eastAsia="仿宋_GB2312"/>
                <w:sz w:val="24"/>
              </w:rPr>
              <w:t>：</w:t>
            </w:r>
            <w:r>
              <w:rPr>
                <w:rFonts w:ascii="仿宋_GB2312" w:hAnsi="仿宋_GB2312" w:cs="仿宋_GB2312" w:eastAsia="仿宋_GB2312"/>
                <w:sz w:val="24"/>
              </w:rPr>
              <w:t>DVI≥7; DP≥1; HDMI2.0≥1; HDMI1.4≥1</w:t>
            </w:r>
            <w:r>
              <w:rPr>
                <w:rFonts w:ascii="仿宋_GB2312" w:hAnsi="仿宋_GB2312" w:cs="仿宋_GB2312" w:eastAsia="仿宋_GB2312"/>
                <w:sz w:val="24"/>
              </w:rPr>
              <w:t>; 3G-SDI≥11</w:t>
            </w:r>
            <w:r>
              <w:rPr>
                <w:rFonts w:ascii="仿宋_GB2312" w:hAnsi="仿宋_GB2312" w:cs="仿宋_GB2312" w:eastAsia="仿宋_GB2312"/>
                <w:sz w:val="24"/>
              </w:rPr>
              <w:t>；</w:t>
            </w:r>
            <w:r>
              <w:rPr>
                <w:rFonts w:ascii="仿宋_GB2312" w:hAnsi="仿宋_GB2312" w:cs="仿宋_GB2312" w:eastAsia="仿宋_GB2312"/>
                <w:sz w:val="24"/>
              </w:rPr>
              <w:t>2G-SDI≥1</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）校准曲线内置</w:t>
            </w:r>
            <w:r>
              <w:rPr>
                <w:rFonts w:ascii="仿宋_GB2312" w:hAnsi="仿宋_GB2312" w:cs="仿宋_GB2312" w:eastAsia="仿宋_GB2312"/>
                <w:sz w:val="24"/>
              </w:rPr>
              <w:t>GAMMA1.8,GAMMA2.0,GAMMA2.2,GAMMA2.4,GAMMA2.6,DICOM,USER-G,USER-P,USER-S曲线</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）同屏显示：可实现</w:t>
            </w:r>
            <w:r>
              <w:rPr>
                <w:rFonts w:ascii="仿宋_GB2312" w:hAnsi="仿宋_GB2312" w:cs="仿宋_GB2312" w:eastAsia="仿宋_GB2312"/>
                <w:sz w:val="24"/>
              </w:rPr>
              <w:t>≥10路信号输入，≥6路画面同屏显示</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）系统控制软件：配套系统控制软件，可远程控制显示器画面布局，具有</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种画面预设布局以及自定义布局</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响应时间：</w:t>
            </w:r>
            <w:r>
              <w:rPr>
                <w:rFonts w:ascii="仿宋_GB2312" w:hAnsi="仿宋_GB2312" w:cs="仿宋_GB2312" w:eastAsia="仿宋_GB2312"/>
                <w:sz w:val="24"/>
              </w:rPr>
              <w:t>具备</w:t>
            </w:r>
            <w:r>
              <w:rPr>
                <w:rFonts w:ascii="仿宋_GB2312" w:hAnsi="仿宋_GB2312" w:cs="仿宋_GB2312" w:eastAsia="仿宋_GB2312"/>
                <w:sz w:val="24"/>
              </w:rPr>
              <w:t>客户服务专线电话，提供</w:t>
            </w:r>
            <w:r>
              <w:rPr>
                <w:rFonts w:ascii="仿宋_GB2312" w:hAnsi="仿宋_GB2312" w:cs="仿宋_GB2312" w:eastAsia="仿宋_GB2312"/>
                <w:sz w:val="24"/>
              </w:rPr>
              <w:t>24小时×365天技术支持诊断、报修业务。接到客户报修电话后，应在20分钟内作出响应，24小时内维修工程师到达医院现场，紧急情况应在4-6小时内达到现场维修。</w:t>
            </w:r>
            <w:r>
              <w:rPr>
                <w:rFonts w:ascii="仿宋_GB2312" w:hAnsi="仿宋_GB2312" w:cs="仿宋_GB2312" w:eastAsia="仿宋_GB2312"/>
                <w:sz w:val="24"/>
                <w:b/>
              </w:rPr>
              <w:t>（提供响应承诺函并加盖公章</w:t>
            </w:r>
            <w:r>
              <w:rPr>
                <w:rFonts w:ascii="仿宋_GB2312" w:hAnsi="仿宋_GB2312" w:cs="仿宋_GB2312" w:eastAsia="仿宋_GB2312"/>
                <w:sz w:val="24"/>
                <w:b/>
              </w:rPr>
              <w:t>,如未提供视为未实质性响应）</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保证全年设备开机率达</w:t>
            </w:r>
            <w:r>
              <w:rPr>
                <w:rFonts w:ascii="仿宋_GB2312" w:hAnsi="仿宋_GB2312" w:cs="仿宋_GB2312" w:eastAsia="仿宋_GB2312"/>
                <w:sz w:val="24"/>
              </w:rPr>
              <w:t>95%以上，即每年停机不超过18日(1年365天)，停机每超出一日(不足一日按一日计算)，合同期限自动延长10日。</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定期保养服务：每年</w:t>
            </w:r>
            <w:r>
              <w:rPr>
                <w:rFonts w:ascii="仿宋_GB2312" w:hAnsi="仿宋_GB2312" w:cs="仿宋_GB2312" w:eastAsia="仿宋_GB2312"/>
                <w:sz w:val="24"/>
              </w:rPr>
              <w:t>对设备提供4次定期维护、保养</w:t>
            </w:r>
            <w:r>
              <w:rPr>
                <w:rFonts w:ascii="仿宋_GB2312" w:hAnsi="仿宋_GB2312" w:cs="仿宋_GB2312" w:eastAsia="仿宋_GB2312"/>
                <w:sz w:val="24"/>
              </w:rPr>
              <w:t>（其中包含一次深度保养，能够对DSA设备做预防性维护及部件焕新），并定期对设备的数据进行备份，确保系统能按照制造商的产品规格运行的标准来运行</w:t>
            </w:r>
            <w:r>
              <w:rPr>
                <w:rFonts w:ascii="仿宋_GB2312" w:hAnsi="仿宋_GB2312" w:cs="仿宋_GB2312" w:eastAsia="仿宋_GB2312"/>
                <w:sz w:val="24"/>
              </w:rPr>
              <w:t>。</w:t>
            </w:r>
            <w:r>
              <w:rPr>
                <w:rFonts w:ascii="仿宋_GB2312" w:hAnsi="仿宋_GB2312" w:cs="仿宋_GB2312" w:eastAsia="仿宋_GB2312"/>
                <w:sz w:val="24"/>
              </w:rPr>
              <w:t>定期维护服务间隔进行，具体内容包括：（</w:t>
            </w:r>
            <w:r>
              <w:rPr>
                <w:rFonts w:ascii="仿宋_GB2312" w:hAnsi="仿宋_GB2312" w:cs="仿宋_GB2312" w:eastAsia="仿宋_GB2312"/>
                <w:sz w:val="24"/>
              </w:rPr>
              <w:t>1）设备的安全检查;（2）影像质量检查;（3）球管使用情况检查;（4）设备清洁保养、性能测试及校准、运行状态检查；（5）系统软件维护；（6）应急问题处理。</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备件保障</w:t>
            </w:r>
            <w:r>
              <w:rPr>
                <w:rFonts w:ascii="仿宋_GB2312" w:hAnsi="仿宋_GB2312" w:cs="仿宋_GB2312" w:eastAsia="仿宋_GB2312"/>
                <w:sz w:val="24"/>
              </w:rPr>
              <w:t>：所有更换的零部件必须为原厂认证</w:t>
            </w:r>
            <w:r>
              <w:rPr>
                <w:rFonts w:ascii="仿宋_GB2312" w:hAnsi="仿宋_GB2312" w:cs="仿宋_GB2312" w:eastAsia="仿宋_GB2312"/>
                <w:sz w:val="24"/>
              </w:rPr>
              <w:t>/测试合格件,有追踪号码；探测器、球管等关键部件，</w:t>
            </w:r>
            <w:r>
              <w:rPr>
                <w:rFonts w:ascii="仿宋_GB2312" w:hAnsi="仿宋_GB2312" w:cs="仿宋_GB2312" w:eastAsia="仿宋_GB2312"/>
                <w:sz w:val="24"/>
              </w:rPr>
              <w:t>更换时</w:t>
            </w:r>
            <w:r>
              <w:rPr>
                <w:rFonts w:ascii="仿宋_GB2312" w:hAnsi="仿宋_GB2312" w:cs="仿宋_GB2312" w:eastAsia="仿宋_GB2312"/>
                <w:sz w:val="24"/>
              </w:rPr>
              <w:t>须提供相应的合法进口报关证明。</w:t>
            </w:r>
            <w:r>
              <w:rPr>
                <w:rFonts w:ascii="仿宋_GB2312" w:hAnsi="仿宋_GB2312" w:cs="仿宋_GB2312" w:eastAsia="仿宋_GB2312"/>
                <w:sz w:val="24"/>
                <w:b/>
              </w:rPr>
              <w:t>（提供</w:t>
            </w:r>
            <w:r>
              <w:rPr>
                <w:rFonts w:ascii="仿宋_GB2312" w:hAnsi="仿宋_GB2312" w:cs="仿宋_GB2312" w:eastAsia="仿宋_GB2312"/>
                <w:sz w:val="24"/>
                <w:b/>
              </w:rPr>
              <w:t>响应承诺函并加盖公章，承诺内容包含但不限于提供相应的合法进口报关证明）</w:t>
            </w:r>
            <w:r>
              <w:rPr>
                <w:rFonts w:ascii="仿宋_GB2312" w:hAnsi="仿宋_GB2312" w:cs="仿宋_GB2312" w:eastAsia="仿宋_GB2312"/>
                <w:sz w:val="24"/>
              </w:rPr>
              <w:t>。更换下的旧备件由</w:t>
            </w:r>
            <w:r>
              <w:rPr>
                <w:rFonts w:ascii="仿宋_GB2312" w:hAnsi="仿宋_GB2312" w:cs="仿宋_GB2312" w:eastAsia="仿宋_GB2312"/>
                <w:sz w:val="24"/>
              </w:rPr>
              <w:t>供应商</w:t>
            </w:r>
            <w:r>
              <w:rPr>
                <w:rFonts w:ascii="仿宋_GB2312" w:hAnsi="仿宋_GB2312" w:cs="仿宋_GB2312" w:eastAsia="仿宋_GB2312"/>
                <w:sz w:val="24"/>
              </w:rPr>
              <w:t>负责</w:t>
            </w:r>
            <w:r>
              <w:rPr>
                <w:rFonts w:ascii="仿宋_GB2312" w:hAnsi="仿宋_GB2312" w:cs="仿宋_GB2312" w:eastAsia="仿宋_GB2312"/>
                <w:sz w:val="24"/>
              </w:rPr>
              <w:t>回收</w:t>
            </w:r>
            <w:r>
              <w:rPr>
                <w:rFonts w:ascii="仿宋_GB2312" w:hAnsi="仿宋_GB2312" w:cs="仿宋_GB2312" w:eastAsia="仿宋_GB2312"/>
                <w:sz w:val="24"/>
              </w:rPr>
              <w:t>并</w:t>
            </w:r>
            <w:r>
              <w:rPr>
                <w:rFonts w:ascii="仿宋_GB2312" w:hAnsi="仿宋_GB2312" w:cs="仿宋_GB2312" w:eastAsia="仿宋_GB2312"/>
                <w:sz w:val="24"/>
              </w:rPr>
              <w:t>在国内设有常用备件库</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供应商须有能力提供全新原装球管，且球管具有注册证，注册证在有效期内；如没有单独球管注册证，须</w:t>
            </w:r>
            <w:r>
              <w:rPr>
                <w:rFonts w:ascii="仿宋_GB2312" w:hAnsi="仿宋_GB2312" w:cs="仿宋_GB2312" w:eastAsia="仿宋_GB2312"/>
                <w:sz w:val="24"/>
              </w:rPr>
              <w:t>具备</w:t>
            </w:r>
            <w:r>
              <w:rPr>
                <w:rFonts w:ascii="仿宋_GB2312" w:hAnsi="仿宋_GB2312" w:cs="仿宋_GB2312" w:eastAsia="仿宋_GB2312"/>
                <w:sz w:val="24"/>
              </w:rPr>
              <w:t>整机注册证。球管经过整机匹配性测试合格，成交后</w:t>
            </w:r>
            <w:r>
              <w:rPr>
                <w:rFonts w:ascii="仿宋_GB2312" w:hAnsi="仿宋_GB2312" w:cs="仿宋_GB2312" w:eastAsia="仿宋_GB2312"/>
                <w:sz w:val="24"/>
              </w:rPr>
              <w:t>须</w:t>
            </w:r>
            <w:r>
              <w:rPr>
                <w:rFonts w:ascii="仿宋_GB2312" w:hAnsi="仿宋_GB2312" w:cs="仿宋_GB2312" w:eastAsia="仿宋_GB2312"/>
                <w:sz w:val="24"/>
              </w:rPr>
              <w:t>提供测试报告</w:t>
            </w:r>
            <w:r>
              <w:rPr>
                <w:rFonts w:ascii="仿宋_GB2312" w:hAnsi="仿宋_GB2312" w:cs="仿宋_GB2312" w:eastAsia="仿宋_GB2312"/>
                <w:sz w:val="24"/>
              </w:rPr>
              <w:t>；</w:t>
            </w:r>
            <w:r>
              <w:rPr>
                <w:rFonts w:ascii="仿宋_GB2312" w:hAnsi="仿宋_GB2312" w:cs="仿宋_GB2312" w:eastAsia="仿宋_GB2312"/>
                <w:sz w:val="24"/>
              </w:rPr>
              <w:t>球管损坏后，必须更换为全新原装球管（不允许维修，或者提供二手球管）；</w:t>
            </w:r>
            <w:r>
              <w:rPr>
                <w:rFonts w:ascii="仿宋_GB2312" w:hAnsi="仿宋_GB2312" w:cs="仿宋_GB2312" w:eastAsia="仿宋_GB2312"/>
                <w:sz w:val="24"/>
              </w:rPr>
              <w:t>3年期内球管更换不限制数量，如果3年期内球管没有损坏，合同结束后，供应商需要提供一支全新原装的球管给医院。</w:t>
            </w:r>
            <w:r>
              <w:rPr>
                <w:rFonts w:ascii="仿宋_GB2312" w:hAnsi="仿宋_GB2312" w:cs="仿宋_GB2312" w:eastAsia="仿宋_GB2312"/>
                <w:sz w:val="24"/>
                <w:b/>
              </w:rPr>
              <w:t>（提供响应承诺函并加盖公章</w:t>
            </w:r>
            <w:r>
              <w:rPr>
                <w:rFonts w:ascii="仿宋_GB2312" w:hAnsi="仿宋_GB2312" w:cs="仿宋_GB2312" w:eastAsia="仿宋_GB2312"/>
                <w:sz w:val="24"/>
                <w:b/>
              </w:rPr>
              <w:t>,如未提供视为未实质性响应）</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维修工程师须具有提供可显示全套原厂诊断软件的能力，能够合法获得、完整使用有效的原厂高级故障诊断维修钥匙</w:t>
            </w:r>
            <w:r>
              <w:rPr>
                <w:rFonts w:ascii="仿宋_GB2312" w:hAnsi="仿宋_GB2312" w:cs="仿宋_GB2312" w:eastAsia="仿宋_GB2312"/>
                <w:sz w:val="24"/>
              </w:rPr>
              <w:t>(Servi</w:t>
            </w:r>
            <w:r>
              <w:rPr>
                <w:rFonts w:ascii="仿宋_GB2312" w:hAnsi="仿宋_GB2312" w:cs="仿宋_GB2312" w:eastAsia="仿宋_GB2312"/>
                <w:sz w:val="24"/>
              </w:rPr>
              <w:t>ce Key)，以解决相应故障。</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在服务期内提供设备（含独立工作站）的系统软件升级补丁和技术支持，并达到符合原厂系统的标准及相应的国家质量标准的要求，保证所有系统软件为最新版本。</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供应商</w:t>
            </w:r>
            <w:r>
              <w:rPr>
                <w:rFonts w:ascii="仿宋_GB2312" w:hAnsi="仿宋_GB2312" w:cs="仿宋_GB2312" w:eastAsia="仿宋_GB2312"/>
                <w:sz w:val="24"/>
              </w:rPr>
              <w:t>需承诺如遇重大活动、紧急事件，需</w:t>
            </w:r>
            <w:r>
              <w:rPr>
                <w:rFonts w:ascii="仿宋_GB2312" w:hAnsi="仿宋_GB2312" w:cs="仿宋_GB2312" w:eastAsia="仿宋_GB2312"/>
                <w:sz w:val="24"/>
              </w:rPr>
              <w:t>拟派不低于</w:t>
            </w:r>
            <w:r>
              <w:rPr>
                <w:rFonts w:ascii="仿宋_GB2312" w:hAnsi="仿宋_GB2312" w:cs="仿宋_GB2312" w:eastAsia="仿宋_GB2312"/>
                <w:sz w:val="24"/>
              </w:rPr>
              <w:t>1名</w:t>
            </w:r>
            <w:r>
              <w:rPr>
                <w:rFonts w:ascii="仿宋_GB2312" w:hAnsi="仿宋_GB2312" w:cs="仿宋_GB2312" w:eastAsia="仿宋_GB2312"/>
                <w:sz w:val="24"/>
              </w:rPr>
              <w:t>工程师到场服务，维护设备，直至重大活动、紧急事件结束。</w:t>
            </w:r>
          </w:p>
          <w:p>
            <w:pPr>
              <w:pStyle w:val="null3"/>
              <w:ind w:left="420"/>
              <w:jc w:val="both"/>
            </w:pPr>
            <w:r>
              <w:rPr>
                <w:rFonts w:ascii="仿宋_GB2312" w:hAnsi="仿宋_GB2312" w:cs="仿宋_GB2312" w:eastAsia="仿宋_GB2312"/>
                <w:sz w:val="24"/>
              </w:rPr>
              <w:t>12.</w:t>
            </w:r>
            <w:r>
              <w:rPr>
                <w:rFonts w:ascii="仿宋_GB2312" w:hAnsi="仿宋_GB2312" w:cs="仿宋_GB2312" w:eastAsia="仿宋_GB2312"/>
                <w:sz w:val="24"/>
              </w:rPr>
              <w:t>故障维修：供应商保证设备维修达到符合原厂标准及相应的国家质量标准要求，每年提交设备质控报告，进行</w:t>
            </w:r>
            <w:r>
              <w:rPr>
                <w:rFonts w:ascii="仿宋_GB2312" w:hAnsi="仿宋_GB2312" w:cs="仿宋_GB2312" w:eastAsia="仿宋_GB2312"/>
                <w:sz w:val="24"/>
              </w:rPr>
              <w:t>1次风险评估工作，与年度维保工作内容汇总成册。</w:t>
            </w:r>
          </w:p>
          <w:p>
            <w:pPr>
              <w:pStyle w:val="null3"/>
              <w:ind w:left="420"/>
              <w:jc w:val="both"/>
            </w:pPr>
            <w:r>
              <w:rPr>
                <w:rFonts w:ascii="仿宋_GB2312" w:hAnsi="仿宋_GB2312" w:cs="仿宋_GB2312" w:eastAsia="仿宋_GB2312"/>
                <w:sz w:val="24"/>
              </w:rPr>
              <w:t>13.</w:t>
            </w:r>
            <w:r>
              <w:rPr>
                <w:rFonts w:ascii="仿宋_GB2312" w:hAnsi="仿宋_GB2312" w:cs="仿宋_GB2312" w:eastAsia="仿宋_GB2312"/>
                <w:sz w:val="24"/>
              </w:rPr>
              <w:t>供应商须提供互联网远程服务系统，能够远程实时检查设备的运行状态、设备运行环境温湿度信息等</w:t>
            </w:r>
            <w:r>
              <w:rPr>
                <w:rFonts w:ascii="仿宋_GB2312" w:hAnsi="仿宋_GB2312" w:cs="仿宋_GB2312" w:eastAsia="仿宋_GB2312"/>
                <w:sz w:val="24"/>
              </w:rPr>
              <w:t>,提供自动预警、技术诊断及远程临床应用技术指导服务等。</w:t>
            </w:r>
          </w:p>
          <w:p>
            <w:pPr>
              <w:pStyle w:val="null3"/>
              <w:ind w:left="420"/>
              <w:jc w:val="both"/>
            </w:pPr>
            <w:r>
              <w:rPr>
                <w:rFonts w:ascii="仿宋_GB2312" w:hAnsi="仿宋_GB2312" w:cs="仿宋_GB2312" w:eastAsia="仿宋_GB2312"/>
                <w:sz w:val="24"/>
              </w:rPr>
              <w:t>14.</w:t>
            </w:r>
            <w:r>
              <w:rPr>
                <w:rFonts w:ascii="仿宋_GB2312" w:hAnsi="仿宋_GB2312" w:cs="仿宋_GB2312" w:eastAsia="仿宋_GB2312"/>
                <w:sz w:val="24"/>
              </w:rPr>
              <w:t>配合设备年检：</w:t>
            </w:r>
            <w:r>
              <w:rPr>
                <w:rFonts w:ascii="仿宋_GB2312" w:hAnsi="仿宋_GB2312" w:cs="仿宋_GB2312" w:eastAsia="仿宋_GB2312"/>
                <w:sz w:val="24"/>
              </w:rPr>
              <w:t>供应商</w:t>
            </w:r>
            <w:r>
              <w:rPr>
                <w:rFonts w:ascii="仿宋_GB2312" w:hAnsi="仿宋_GB2312" w:cs="仿宋_GB2312" w:eastAsia="仿宋_GB2312"/>
                <w:sz w:val="24"/>
              </w:rPr>
              <w:t>需配合医院每年的设备年检，负责把设备调试到最佳状态，并保证全部检测指标达标。参照三级医院评审要求，配合医院完善医用设备管理档案</w:t>
            </w:r>
            <w:r>
              <w:rPr>
                <w:rFonts w:ascii="仿宋_GB2312" w:hAnsi="仿宋_GB2312" w:cs="仿宋_GB2312" w:eastAsia="仿宋_GB2312"/>
                <w:sz w:val="24"/>
              </w:rPr>
              <w:t>，</w:t>
            </w:r>
            <w:r>
              <w:rPr>
                <w:rFonts w:ascii="仿宋_GB2312" w:hAnsi="仿宋_GB2312" w:cs="仿宋_GB2312" w:eastAsia="仿宋_GB2312"/>
                <w:sz w:val="24"/>
              </w:rPr>
              <w:t>至少包含：服务开始提供该年度维护保养计划书，年终提供年度运行报告书。</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供应商</w:t>
            </w:r>
            <w:r>
              <w:rPr>
                <w:rFonts w:ascii="仿宋_GB2312" w:hAnsi="仿宋_GB2312" w:cs="仿宋_GB2312" w:eastAsia="仿宋_GB2312"/>
                <w:sz w:val="24"/>
              </w:rPr>
              <w:t>每年开展不少于两次日常操作和维护等相关知识的临床专题培训，并提供培训记录（包括培训项目、培训目的、实施形式、培训对象、课件目录、授课人、签到表等），与年度报告汇总成册。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考核办法</w:t>
            </w:r>
          </w:p>
        </w:tc>
        <w:tc>
          <w:tcPr>
            <w:tcW w:type="dxa" w:w="5814"/>
          </w:tcPr>
          <w:p>
            <w:pPr>
              <w:pStyle w:val="null3"/>
              <w:ind w:left="480"/>
              <w:jc w:val="left"/>
            </w:pPr>
            <w:r>
              <w:rPr>
                <w:rFonts w:ascii="仿宋_GB2312" w:hAnsi="仿宋_GB2312" w:cs="仿宋_GB2312" w:eastAsia="仿宋_GB2312"/>
                <w:sz w:val="24"/>
              </w:rPr>
              <w:t>1、评价考核表：采购人每半年考核一次</w:t>
            </w:r>
          </w:p>
          <w:p>
            <w:pPr>
              <w:pStyle w:val="null3"/>
              <w:ind w:left="480"/>
              <w:jc w:val="left"/>
            </w:pPr>
            <w:r>
              <w:rPr>
                <w:rFonts w:ascii="仿宋_GB2312" w:hAnsi="仿宋_GB2312" w:cs="仿宋_GB2312" w:eastAsia="仿宋_GB2312"/>
                <w:sz w:val="24"/>
              </w:rPr>
              <w:t>2、供应商应配合采购人每半年进行一次考核，考核分值≥80分，为合格，80分以下每少一分，按每年维保费的1%扣除，分值低于70分，为差，采购人有权终止合同。</w:t>
            </w:r>
          </w:p>
          <w:p>
            <w:pPr>
              <w:pStyle w:val="null3"/>
              <w:ind w:left="480"/>
              <w:jc w:val="left"/>
            </w:pPr>
            <w:r>
              <w:rPr>
                <w:rFonts w:ascii="仿宋_GB2312" w:hAnsi="仿宋_GB2312" w:cs="仿宋_GB2312" w:eastAsia="仿宋_GB2312"/>
                <w:sz w:val="24"/>
              </w:rPr>
              <w:t>3、若更换的零备件影响了整机性能，所更换的备件给原设备带来伤害，采购人有权终止合同并追究成交人的法律责任。</w:t>
            </w:r>
          </w:p>
          <w:p>
            <w:pPr>
              <w:pStyle w:val="null3"/>
              <w:ind w:left="480"/>
              <w:jc w:val="left"/>
            </w:pPr>
            <w:r>
              <w:rPr>
                <w:rFonts w:ascii="仿宋_GB2312" w:hAnsi="仿宋_GB2312" w:cs="仿宋_GB2312" w:eastAsia="仿宋_GB2312"/>
                <w:sz w:val="24"/>
              </w:rPr>
              <w:t>4、评价考核表如下：</w:t>
            </w:r>
          </w:p>
          <w:p>
            <w:pPr>
              <w:pStyle w:val="null3"/>
              <w:ind w:left="480"/>
              <w:jc w:val="center"/>
            </w:pPr>
            <w:r>
              <w:rPr>
                <w:rFonts w:ascii="仿宋_GB2312" w:hAnsi="仿宋_GB2312" w:cs="仿宋_GB2312" w:eastAsia="仿宋_GB2312"/>
                <w:sz w:val="24"/>
              </w:rPr>
              <w:t>维保服务考核表</w:t>
            </w:r>
          </w:p>
          <w:tbl>
            <w:tblPr>
              <w:tblInd w:type="dxa" w:w="120"/>
              <w:tblBorders>
                <w:top w:val="none" w:color="000000" w:sz="4"/>
                <w:left w:val="none" w:color="000000" w:sz="4"/>
                <w:bottom w:val="none" w:color="000000" w:sz="4"/>
                <w:right w:val="none" w:color="000000" w:sz="4"/>
                <w:insideH w:val="none"/>
                <w:insideV w:val="none"/>
              </w:tblBorders>
            </w:tblPr>
            <w:tblGrid>
              <w:gridCol w:w="1304"/>
              <w:gridCol w:w="1608"/>
              <w:gridCol w:w="1956"/>
              <w:gridCol w:w="706"/>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维保项目名称</w:t>
                  </w:r>
                </w:p>
              </w:tc>
              <w:tc>
                <w:tcPr>
                  <w:tcW w:type="dxa" w:w="427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考核周期</w:t>
                  </w:r>
                </w:p>
              </w:tc>
              <w:tc>
                <w:tcPr>
                  <w:tcW w:type="dxa" w:w="42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维保公司</w:t>
                  </w:r>
                </w:p>
              </w:tc>
              <w:tc>
                <w:tcPr>
                  <w:tcW w:type="dxa" w:w="42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考核项目</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考核内容</w:t>
                  </w:r>
                </w:p>
              </w:tc>
              <w:tc>
                <w:tcPr>
                  <w:tcW w:type="dxa" w:w="1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评分标准</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分数</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设备维保档案资料：包含</w:t>
                  </w:r>
                  <w:r>
                    <w:rPr>
                      <w:rFonts w:ascii="仿宋_GB2312" w:hAnsi="仿宋_GB2312" w:cs="仿宋_GB2312" w:eastAsia="仿宋_GB2312"/>
                      <w:sz w:val="22"/>
                    </w:rPr>
                    <w:t>维护保养计划书，运行报告书</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10分）</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按照</w:t>
                  </w:r>
                  <w:r>
                    <w:rPr>
                      <w:rFonts w:ascii="仿宋_GB2312" w:hAnsi="仿宋_GB2312" w:cs="仿宋_GB2312" w:eastAsia="仿宋_GB2312"/>
                      <w:sz w:val="22"/>
                    </w:rPr>
                    <w:t>采购文件</w:t>
                  </w:r>
                  <w:r>
                    <w:rPr>
                      <w:rFonts w:ascii="仿宋_GB2312" w:hAnsi="仿宋_GB2312" w:cs="仿宋_GB2312" w:eastAsia="仿宋_GB2312"/>
                      <w:sz w:val="22"/>
                    </w:rPr>
                    <w:t>、</w:t>
                  </w:r>
                  <w:r>
                    <w:rPr>
                      <w:rFonts w:ascii="仿宋_GB2312" w:hAnsi="仿宋_GB2312" w:cs="仿宋_GB2312" w:eastAsia="仿宋_GB2312"/>
                      <w:sz w:val="22"/>
                    </w:rPr>
                    <w:t>响应文件</w:t>
                  </w:r>
                  <w:r>
                    <w:rPr>
                      <w:rFonts w:ascii="仿宋_GB2312" w:hAnsi="仿宋_GB2312" w:cs="仿宋_GB2312" w:eastAsia="仿宋_GB2312"/>
                      <w:sz w:val="22"/>
                    </w:rPr>
                    <w:t>和合同要求。</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以成册（含文字和图片）交采购人为准，未建立扣</w:t>
                  </w:r>
                  <w:r>
                    <w:rPr>
                      <w:rFonts w:ascii="仿宋_GB2312" w:hAnsi="仿宋_GB2312" w:cs="仿宋_GB2312" w:eastAsia="仿宋_GB2312"/>
                      <w:sz w:val="22"/>
                    </w:rPr>
                    <w:t>10分，少一项扣2分，此项分扣完为止。</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预防性维护保养</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20分）</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每年不少于</w:t>
                  </w:r>
                  <w:r>
                    <w:rPr>
                      <w:rFonts w:ascii="仿宋_GB2312" w:hAnsi="仿宋_GB2312" w:cs="仿宋_GB2312" w:eastAsia="仿宋_GB2312"/>
                      <w:sz w:val="22"/>
                    </w:rPr>
                    <w:t>4次</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以提交保养报告</w:t>
                  </w:r>
                  <w:r>
                    <w:rPr>
                      <w:rFonts w:ascii="仿宋_GB2312" w:hAnsi="仿宋_GB2312" w:cs="仿宋_GB2312" w:eastAsia="仿宋_GB2312"/>
                      <w:sz w:val="22"/>
                    </w:rPr>
                    <w:t>（资料）</w:t>
                  </w:r>
                  <w:r>
                    <w:rPr>
                      <w:rFonts w:ascii="仿宋_GB2312" w:hAnsi="仿宋_GB2312" w:cs="仿宋_GB2312" w:eastAsia="仿宋_GB2312"/>
                      <w:sz w:val="22"/>
                    </w:rPr>
                    <w:t>为准，少一次扣</w:t>
                  </w:r>
                  <w:r>
                    <w:rPr>
                      <w:rFonts w:ascii="仿宋_GB2312" w:hAnsi="仿宋_GB2312" w:cs="仿宋_GB2312" w:eastAsia="仿宋_GB2312"/>
                      <w:sz w:val="22"/>
                    </w:rPr>
                    <w:t>5分。</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维修响应</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分）</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在</w:t>
                  </w:r>
                  <w:r>
                    <w:rPr>
                      <w:rFonts w:ascii="仿宋_GB2312" w:hAnsi="仿宋_GB2312" w:cs="仿宋_GB2312" w:eastAsia="仿宋_GB2312"/>
                      <w:sz w:val="22"/>
                    </w:rPr>
                    <w:t>20分钟内作出响应，24小时内维修工程师到达医院现场，紧急情况应在4-6小时内达到现场维修。</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未满足要求一次扣</w:t>
                  </w:r>
                  <w:r>
                    <w:rPr>
                      <w:rFonts w:ascii="仿宋_GB2312" w:hAnsi="仿宋_GB2312" w:cs="仿宋_GB2312" w:eastAsia="仿宋_GB2312"/>
                      <w:sz w:val="22"/>
                    </w:rPr>
                    <w:t>5分，以采购人电话或微信通知记录为依据，此项分扣完为止。</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维修效果</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分）</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维修质量保证</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同一故障维修后一个月内仍反复出现，一次扣</w:t>
                  </w:r>
                  <w:r>
                    <w:rPr>
                      <w:rFonts w:ascii="仿宋_GB2312" w:hAnsi="仿宋_GB2312" w:cs="仿宋_GB2312" w:eastAsia="仿宋_GB2312"/>
                      <w:sz w:val="22"/>
                    </w:rPr>
                    <w:t>10-15分；将故障扩大化，一次扣15-20分；此项分扣完为止。</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开机率</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分）</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设备实际开机率应达</w:t>
                  </w:r>
                  <w:r>
                    <w:rPr>
                      <w:rFonts w:ascii="仿宋_GB2312" w:hAnsi="仿宋_GB2312" w:cs="仿宋_GB2312" w:eastAsia="仿宋_GB2312"/>
                      <w:sz w:val="22"/>
                    </w:rPr>
                    <w:t>95%以上</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以一年</w:t>
                  </w:r>
                  <w:r>
                    <w:rPr>
                      <w:rFonts w:ascii="仿宋_GB2312" w:hAnsi="仿宋_GB2312" w:cs="仿宋_GB2312" w:eastAsia="仿宋_GB2312"/>
                      <w:sz w:val="22"/>
                    </w:rPr>
                    <w:t>365</w:t>
                  </w:r>
                  <w:r>
                    <w:rPr>
                      <w:rFonts w:ascii="仿宋_GB2312" w:hAnsi="仿宋_GB2312" w:cs="仿宋_GB2312" w:eastAsia="仿宋_GB2312"/>
                      <w:sz w:val="22"/>
                    </w:rPr>
                    <w:t>天计算，未达到要求每一天扣</w:t>
                  </w:r>
                  <w:r>
                    <w:rPr>
                      <w:rFonts w:ascii="仿宋_GB2312" w:hAnsi="仿宋_GB2312" w:cs="仿宋_GB2312" w:eastAsia="仿宋_GB2312"/>
                      <w:sz w:val="22"/>
                    </w:rPr>
                    <w:t>2</w:t>
                  </w:r>
                  <w:r>
                    <w:rPr>
                      <w:rFonts w:ascii="仿宋_GB2312" w:hAnsi="仿宋_GB2312" w:cs="仿宋_GB2312" w:eastAsia="仿宋_GB2312"/>
                      <w:sz w:val="22"/>
                    </w:rPr>
                    <w:t>分，此项分扣完为止。</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8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总分</w:t>
                  </w:r>
                  <w:r>
                    <w:rPr>
                      <w:rFonts w:ascii="仿宋_GB2312" w:hAnsi="仿宋_GB2312" w:cs="仿宋_GB2312" w:eastAsia="仿宋_GB2312"/>
                      <w:sz w:val="22"/>
                    </w:rPr>
                    <w:t>（满分</w:t>
                  </w:r>
                  <w:r>
                    <w:rPr>
                      <w:rFonts w:ascii="仿宋_GB2312" w:hAnsi="仿宋_GB2312" w:cs="仿宋_GB2312" w:eastAsia="仿宋_GB2312"/>
                      <w:sz w:val="22"/>
                    </w:rPr>
                    <w:t>100分</w:t>
                  </w:r>
                  <w:r>
                    <w:rPr>
                      <w:rFonts w:ascii="仿宋_GB2312" w:hAnsi="仿宋_GB2312" w:cs="仿宋_GB2312" w:eastAsia="仿宋_GB2312"/>
                      <w:sz w:val="22"/>
                    </w:rPr>
                    <w:t>）</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rPr>
              <w:t>供应商投入本项目工作人员的人身安全由供应商负责，供应商应为本项目工作人员购买人身意外伤害险及与项目实施有关的一切保险。凡在项目实施过程中发生安全责任事故或其他责任事故，均由供应商承担全部民事和刑事责任，因供应商应自身安全措施不力造成的事故责任和因此发生的费用及后果由均供应商承担，采购人概不负责。</w:t>
            </w:r>
            <w:r>
              <w:rPr>
                <w:rFonts w:ascii="仿宋_GB2312" w:hAnsi="仿宋_GB2312" w:cs="仿宋_GB2312" w:eastAsia="仿宋_GB2312"/>
                <w:sz w:val="24"/>
                <w:b/>
              </w:rPr>
              <w:t>（提供响应承诺函并加盖公章</w:t>
            </w:r>
            <w:r>
              <w:rPr>
                <w:rFonts w:ascii="仿宋_GB2312" w:hAnsi="仿宋_GB2312" w:cs="仿宋_GB2312" w:eastAsia="仿宋_GB2312"/>
                <w:sz w:val="24"/>
                <w:b/>
              </w:rPr>
              <w:t>,如未提供视为未实质性响应）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ind w:firstLine="480"/>
              <w:jc w:val="left"/>
            </w:pPr>
            <w:r>
              <w:rPr>
                <w:rFonts w:ascii="仿宋_GB2312" w:hAnsi="仿宋_GB2312" w:cs="仿宋_GB2312" w:eastAsia="仿宋_GB2312"/>
                <w:sz w:val="24"/>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ind w:firstLine="480"/>
              <w:jc w:val="left"/>
            </w:pPr>
            <w:r>
              <w:rPr>
                <w:rFonts w:ascii="仿宋_GB2312" w:hAnsi="仿宋_GB2312" w:cs="仿宋_GB2312" w:eastAsia="仿宋_GB2312"/>
                <w:sz w:val="24"/>
              </w:rPr>
              <w:t>2.供应商应为本项目提供履约的所有人员按照国家规定购买相关保险。</w:t>
            </w:r>
          </w:p>
          <w:p>
            <w:pPr>
              <w:pStyle w:val="null3"/>
              <w:ind w:firstLine="480"/>
              <w:jc w:val="left"/>
            </w:pPr>
            <w:r>
              <w:rPr>
                <w:rFonts w:ascii="仿宋_GB2312" w:hAnsi="仿宋_GB2312" w:cs="仿宋_GB2312" w:eastAsia="仿宋_GB2312"/>
                <w:sz w:val="24"/>
                <w:b/>
              </w:rPr>
              <w:t>（以上两项提供响应承诺函并加盖公章</w:t>
            </w:r>
            <w:r>
              <w:rPr>
                <w:rFonts w:ascii="仿宋_GB2312" w:hAnsi="仿宋_GB2312" w:cs="仿宋_GB2312" w:eastAsia="仿宋_GB2312"/>
                <w:sz w:val="24"/>
                <w:b/>
              </w:rPr>
              <w:t>,如未提供视为未实质性响应）</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rPr>
              <w:t>1.供应商根据本项目采购需求制定的维保服务方案内容包含：①常规与定期的维保计划（包含日常维修保养、定期维护保养、年检维护保养）；②设备检查检测方案（包含影像质量检查措施、性能测试及校准措施、电气环境检测计划）；③维保难点及应对措施（包含项目实施过程中的重点难点分析、应对措施）；④维保实施服务（包含设备除尘保养措施、运行状态维护计划）；⑤维保档案管理制度（包含档案管理制度、资料保密制度）。</w:t>
            </w:r>
          </w:p>
          <w:p>
            <w:pPr>
              <w:pStyle w:val="null3"/>
              <w:ind w:firstLine="480"/>
              <w:jc w:val="left"/>
            </w:pPr>
            <w:r>
              <w:rPr>
                <w:rFonts w:ascii="仿宋_GB2312" w:hAnsi="仿宋_GB2312" w:cs="仿宋_GB2312" w:eastAsia="仿宋_GB2312"/>
                <w:sz w:val="24"/>
              </w:rPr>
              <w:t>2.供应商根据本项目采购需求制定的安全应急预案内容包含：①安全管理措施（包含安全责任制度、人员及设备安全管理措施）；②应急维护响应（包含应急维护时间响应、应急维护人员响应）；③内部质量监管制度（包含内部应急处理流程、内部质量监管制度及结构）；④突发事件的应急预案（包含项目运行过程中可能出现的突发事件，应急恢复方案）</w:t>
            </w:r>
          </w:p>
          <w:p>
            <w:pPr>
              <w:pStyle w:val="null3"/>
              <w:ind w:firstLine="480"/>
              <w:jc w:val="left"/>
            </w:pPr>
            <w:r>
              <w:rPr>
                <w:rFonts w:ascii="仿宋_GB2312" w:hAnsi="仿宋_GB2312" w:cs="仿宋_GB2312" w:eastAsia="仿宋_GB2312"/>
                <w:sz w:val="24"/>
              </w:rPr>
              <w:t>3.供应商需具有类似项目的履约能力和服务团队。</w:t>
            </w:r>
          </w:p>
          <w:p>
            <w:pPr>
              <w:pStyle w:val="null3"/>
              <w:ind w:firstLine="480"/>
              <w:jc w:val="left"/>
            </w:pPr>
            <w:r>
              <w:rPr>
                <w:rFonts w:ascii="仿宋_GB2312" w:hAnsi="仿宋_GB2312" w:cs="仿宋_GB2312" w:eastAsia="仿宋_GB2312"/>
                <w:sz w:val="24"/>
              </w:rPr>
              <w:t>注：本项服务要求供应商无需在（服务要求应答表</w:t>
            </w:r>
            <w:r>
              <w:rPr>
                <w:rFonts w:ascii="仿宋_GB2312" w:hAnsi="仿宋_GB2312" w:cs="仿宋_GB2312" w:eastAsia="仿宋_GB2312"/>
                <w:sz w:val="24"/>
              </w:rPr>
              <w:t>/技术要求响应表）中响应，由供应商根据自身实际情况按以上要求另行提供即可，评审小组按照“采购文件第五章 5.4.2. 评标细则及标准”对供应商提供的相应内容进行评审。</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自上一合同截止之日次日起3年，合同一年一签，考核合格后续签下一年合同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资阳市中医医院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 自行验收。 2.是否邀请本项目的其他供应商： 否。 3.是否邀请专家： 否。 4.是否邀请服务对象：否。 5.是否邀请第三方检测机构： 否。 6.履约验收程序： 一次性验收。 7.履约验收时间：验收条件说明： 供应商提出验收申请之日起 ，达到验收条件起 20 日内，验收合同总金额的 100%。 8.验收组织的其他事项：无。 9.技术履约验收内容： 结合采购文件要求的每项服务要求，以及供应商的响应文件应答和承诺的条款和内容逐项核实履约情况。 10.商务履约验收内容：结合采购文件要求的商务要求，以及供应商的响应文件应答和承诺的条款和内容逐项核实履约情况。 11.履约验收标准：按国家有关规定以及采购人采购文件的质量要求和技术指标、规定的验收交付标准和方法，供应商的响应文件及承诺与本合同约定标准进行验收；双方如对质量要求和技术指标的约定标准有相互抵触或异议的事项，由采购人在采购文件与响应文件中按质量要求和技术指标比较优胜的原则确定该项的约定标准进行验收。 12.履约验收其他事项：其他未尽事宜严格按照《财政部关于进一步加强政府采购需求和履约验收管理的指导意见》(财库〔2016〕205号)、《政府采购需求管理办法》(财库〔2021〕22号)的和采购文件要求进行验收。符合国家有关规定、磋商文件的质量要求和技术指标、供应商的响应文件及承诺以及合同条款。 13.验收、交付标准和方法： （1）按国家有关规定以及采购文件的服务要求和服务内容、供应商的响应文件及承诺与本合同约定标准进行验收；采购人与供应商双方如对服务要求和服务内容的约定标准有相互抵触或异议的事项，由采购人在采购文件及响应文件中按服务要求和服务内容比较优胜的原则确定该项的约定标准进行验收。 （2）验收时如发现所交付服务成果或其它不符合标准及本合同规定之情形，采购人应做出详尽的现场记录，或由采购人与供应商双方签署备忘录，此现场记录或备忘录可用作修改服务成果的有效证据，由此产生的时间延误与有关费用由供应商承担，验收期限相应顺延。 （3）采购人在合同约定时间内无故不进行验收工作，视同供应商已安装完成并验收合格。 （4）采购项目达到采购人要求和采购文件等验收条件后验收由采购人组织，供应商配合进行，经三次整改，仍达不到采购文件和采购人的要求，采购人将终止采购活动，并依法追究违约责任。 （5）项目验收合格的，采购人按合同约定支付采购资金；验收不合格且拒不整改的，将不予支付采购资金，还可能上报本项目同级财政部门按照政府采购法律法规给予行政处罚或者以失信行为记入诚信档案。 （6）若本项目的采购内容涉及强制性国家、行业以及地方规定或标准按其相关规定或标准执行，若涉及须提供相关证书或证明材料的，交货或验收时由采购人查验。 （7）其他验收：按照政府采购相关法律法规以及《财政部关于进一步加强政府采购需求和履约验收管理的指导意见》（财库〔2016〕205号）的要求进行验收。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1、尾款，按年度支付，每年维保服务期结束后结合考核办法支付合同款项，达到付款条件起60日内，支付合同总金额的100.00%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（1）采购人应遵守合同并执行合同中的各项规定，保证合同的正常履行。 （2）采购人无正当理由拒收服务成果的，采购人应偿付合同总价百分之五的违约金； （3）采购人逾期支付服务合同款项的，除应及时付足合同款项外，应向供应商偿付欠款总额万分之五/天的违约金；逾期付款超过六十天的，供应商有权终止合同。 （4）采购人偿付的违约金不足以弥补供应商损失的，还应按供应商经济损失尚未弥补的部分，支付赔偿金给供应商。 2.供应商违约责任： （1）供应商必需遵守采购合同并执行合同中的各项规定，保证采购合同的正常履行。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不能按时提供服务（成果）或逾期提供的而违约的，除应及时提供服务外，应向采购人偿付逾期提供部分服务总额的万分之五/天的违约金；逾期超过30天，采购人有权终止合同，供应商则应按合同总价的百分之十的款额向采购人偿付违约金，并需全额退还采购人已经付给供应商的服务费及其利息。 （4）供应商在履约过程中，服务经采购人考核不合格的，采购人有权要求供应商整改，供应商三次整改仍不符合要求的，采购人有权终止合同。 （5）供应商应当遵守采购人的相关项目需求及相关技术要求及实质性条款，实施完成采购合同应当完全满足相关项目需求及相关技术要求及实质性条款，若供应商瑕疵履行采购合同，采购人有权向供应商要求赔偿合同总价款5%的违约金，若造成相关损失的，采购人有权要求供应商承担所有赔偿责任。 （6）如供应商未按合同约定和采购人要求履行本合同约定的维修保养义务，每发生一次违约情况，按年度维修保养费3%向采购人支付违约金，违约金不足以弥补损失的，还应按实际损失足额弥补。 （7）供应商除法定可以解除合同的情形外，单方面解除合同的或不续签合同的，供应商应向采购人按年度维修保养费的10%向采购人支付违约金，违约金不足以弥补损失的，还应按实际损失足额弥补。 3.解决争议的方法： （1）在执行本合同中发生的或与本合同有关的争端，双方应通过友好协商解决，经协商在60天内不能达成协议时，双方均有权向采购人所在地人民法院提起诉讼。 （2）合同落款处双方通讯地址视为双方确认送达地址，适用于双方文件、函件往来、法院文书送达等。供应商地址变更应当书面告知采购人，否则采购人按照该地址送达视为有效送达。</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注：1.采购文件所引用的相关标准或规范文件，如相关标准或规范文件有最新替代版本，按最新版本执行，或在实施过程中有修订或变更，按修订或变更后的标准或规范执行。 2.本项目不适用《关于在政府采购中实施本国产品标准及相关政策的通知》：因本项目为在用医疗设备整机维保服务，在服务期内设备故障不可预测，无法提前确定需更换的全部配件。维修涉及的关键部件为原厂认证/测试合格，有追踪号的进口部件，且不涉及独立货物采购。（以上条款供应商无需在响应文件中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提供证明材料并进行电子签章。企业提供有效期内的营业执照副本扫描件，事业单位提供事业单位法人证书扫描件，其他组织提供执业许可证或营业执照等证明文件扫描件，自然人提供身份证明均具备此条同等效力。</w:t>
            </w:r>
          </w:p>
        </w:tc>
        <w:tc>
          <w:tcPr>
            <w:tcW w:type="dxa" w:w="1661"/>
          </w:tcPr>
          <w:p>
            <w:pPr>
              <w:pStyle w:val="null3"/>
              <w:jc w:val="left"/>
            </w:pPr>
            <w:r>
              <w:rPr>
                <w:rFonts w:ascii="仿宋_GB2312" w:hAnsi="仿宋_GB2312" w:cs="仿宋_GB2312" w:eastAsia="仿宋_GB2312"/>
              </w:rPr>
              <w:t>响应文件封面,资格证明材料,投标（响应）函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供应商在电子交易系统提供《辐射安全许可证》（经营种类和范围需包含DSA设备）复印件并加盖供应商公章。</w:t>
            </w:r>
          </w:p>
        </w:tc>
        <w:tc>
          <w:tcPr>
            <w:tcW w:type="dxa" w:w="1661"/>
          </w:tcPr>
          <w:p>
            <w:pPr>
              <w:pStyle w:val="null3"/>
              <w:jc w:val="left"/>
            </w:pPr>
            <w:r>
              <w:rPr>
                <w:rFonts w:ascii="仿宋_GB2312" w:hAnsi="仿宋_GB2312" w:cs="仿宋_GB2312" w:eastAsia="仿宋_GB2312"/>
              </w:rPr>
              <w:t>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若提供的配件属于医疗器械的：供应商若为生产厂家，须符合《医疗器械监督管理条例》要求并提供中华人民共和国医疗器械生产许可证/生产备案凭证；供应商若为非生产厂家，须符合《医疗器械监督管理条例》要求并提供中华人民共和国医疗器械经营许可证/经营备案凭证（已提供包含二类备案的多证合一营业执照的供应商除外）。</w:t>
            </w:r>
          </w:p>
        </w:tc>
        <w:tc>
          <w:tcPr>
            <w:tcW w:type="dxa" w:w="1661"/>
          </w:tcPr>
          <w:p>
            <w:pPr>
              <w:pStyle w:val="null3"/>
              <w:jc w:val="left"/>
            </w:pPr>
            <w:r>
              <w:rPr>
                <w:rFonts w:ascii="仿宋_GB2312" w:hAnsi="仿宋_GB2312" w:cs="仿宋_GB2312" w:eastAsia="仿宋_GB2312"/>
              </w:rPr>
              <w:t>资格证明材料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供应商完全响应采购文件第三章“3.2.技术要求”中带“ ★”项条款要求。</w:t>
            </w:r>
          </w:p>
        </w:tc>
        <w:tc>
          <w:tcPr>
            <w:tcW w:type="dxa" w:w="1661"/>
          </w:tcPr>
          <w:p>
            <w:pPr>
              <w:pStyle w:val="null3"/>
              <w:jc w:val="left"/>
            </w:pPr>
            <w:r>
              <w:rPr>
                <w:rFonts w:ascii="仿宋_GB2312" w:hAnsi="仿宋_GB2312" w:cs="仿宋_GB2312" w:eastAsia="仿宋_GB2312"/>
              </w:rPr>
              <w:t>技术要求响应表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供应商完全响应采购文件第三章“3.3.服务要求”中带“ ★”项条款要求。</w:t>
            </w:r>
          </w:p>
        </w:tc>
        <w:tc>
          <w:tcPr>
            <w:tcW w:type="dxa" w:w="1661"/>
          </w:tcPr>
          <w:p>
            <w:pPr>
              <w:pStyle w:val="null3"/>
              <w:jc w:val="left"/>
            </w:pPr>
            <w:r>
              <w:rPr>
                <w:rFonts w:ascii="仿宋_GB2312" w:hAnsi="仿宋_GB2312" w:cs="仿宋_GB2312" w:eastAsia="仿宋_GB2312"/>
              </w:rPr>
              <w:t>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其他实质性要求承诺函,投标（响应）函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其他情形</w:t>
            </w:r>
          </w:p>
        </w:tc>
        <w:tc>
          <w:tcPr>
            <w:tcW w:type="dxa" w:w="3322"/>
          </w:tcPr>
          <w:p>
            <w:pPr>
              <w:pStyle w:val="null3"/>
              <w:jc w:val="left"/>
            </w:pPr>
            <w:r>
              <w:rPr>
                <w:rFonts w:ascii="仿宋_GB2312" w:hAnsi="仿宋_GB2312" w:cs="仿宋_GB2312" w:eastAsia="仿宋_GB2312"/>
              </w:rPr>
              <w:t>其他不满足采购文件及相关法律法规规定要求的情形。</w:t>
            </w:r>
          </w:p>
        </w:tc>
        <w:tc>
          <w:tcPr>
            <w:tcW w:type="dxa" w:w="1661"/>
          </w:tcPr>
          <w:p>
            <w:pPr>
              <w:pStyle w:val="null3"/>
              <w:jc w:val="left"/>
            </w:pPr>
            <w:r>
              <w:rPr>
                <w:rFonts w:ascii="仿宋_GB2312" w:hAnsi="仿宋_GB2312" w:cs="仿宋_GB2312" w:eastAsia="仿宋_GB2312"/>
              </w:rPr>
              <w:t>响应文件封面,其他实质性要求承诺函,中小企业声明函,残疾人福利性单位声明函,技术要求响应表,资格证明材料,报价表,投标（响应）函,项目服务方案,其他证明资料,监狱企业的证明文件,服务要求应答表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人员团队</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维保服务方案</w:t>
            </w:r>
          </w:p>
        </w:tc>
        <w:tc>
          <w:tcPr>
            <w:tcW w:type="dxa" w:w="2575"/>
          </w:tcPr>
          <w:p>
            <w:pPr>
              <w:pStyle w:val="null3"/>
              <w:jc w:val="left"/>
            </w:pPr>
            <w:r>
              <w:rPr>
                <w:rFonts w:ascii="仿宋_GB2312" w:hAnsi="仿宋_GB2312" w:cs="仿宋_GB2312" w:eastAsia="仿宋_GB2312"/>
              </w:rPr>
              <w:t>针对供应商提供的维保服务方案，进行评审：①常规与定期的维保计划；②设备检查检测方案；③维保难点及应对措施；④维保实施服务；⑤维保档案管理制度。 以上五项完全满足项目需求的得35分。每缺少一项扣7分，每项中有一处缺陷的扣3.5分；单项最多扣7分。 注：缺陷是指每项在对应的内容中存在下列任意一情形：本项目相关信息错误（方案中项目名称错误、履约内容错误、采购人信息错误）；只有方案标题无方案内容；未按采购文件3.3.1中“其他要求”中方案内容逐条提供；方案内容与本项目需求无关；相同方案内容重复提供；照抄照搬采购文件；套用其他项目方案。</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项目服务方案</w:t>
            </w:r>
          </w:p>
        </w:tc>
      </w:tr>
      <w:tr>
        <w:tc>
          <w:tcPr>
            <w:tcW w:type="dxa" w:w="831"/>
            <w:vMerge/>
          </w:tcPr>
          <w:p/>
        </w:tc>
        <w:tc>
          <w:tcPr>
            <w:tcW w:type="dxa" w:w="1661"/>
          </w:tcPr>
          <w:p>
            <w:pPr>
              <w:pStyle w:val="null3"/>
              <w:jc w:val="left"/>
            </w:pPr>
            <w:r>
              <w:rPr>
                <w:rFonts w:ascii="仿宋_GB2312" w:hAnsi="仿宋_GB2312" w:cs="仿宋_GB2312" w:eastAsia="仿宋_GB2312"/>
              </w:rPr>
              <w:t>安全应急预案</w:t>
            </w:r>
          </w:p>
        </w:tc>
        <w:tc>
          <w:tcPr>
            <w:tcW w:type="dxa" w:w="2575"/>
          </w:tcPr>
          <w:p>
            <w:pPr>
              <w:pStyle w:val="null3"/>
              <w:jc w:val="left"/>
            </w:pPr>
            <w:r>
              <w:rPr>
                <w:rFonts w:ascii="仿宋_GB2312" w:hAnsi="仿宋_GB2312" w:cs="仿宋_GB2312" w:eastAsia="仿宋_GB2312"/>
              </w:rPr>
              <w:t>针对供应商提供的安全应急预案，进行评审：①安全管理措施；②应急维护响应；③内部质量监管制度；④突发事件的应急预案。 以上四项完全满足项目需求的得20分。每缺少一项扣5分，每项中有一处缺陷的扣2.5分；单项最多扣5分。 注：缺陷是指每项在对应的内容中存在下列任意一情形：本项目相关信息错误（方案中项目名称错误、履约内容错误、采购人信息错误）；只有方案标题无方案内容；未按采购文件3.3.1中“其他要求”中方案内容逐条提供；方案内容与本项目需求无关；相同方案内容重复提供；照抄照搬采购文件；套用其他项目方案。</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项目服务方案</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供应商每具有一个类似业绩的，得3分，本项最多得9分。未提供不得分。 注：1.至少提供同类业务合同复印件并加盖供应商公章；提供的相关证明材料中无法判别是否为类似项目的，该业绩不得分。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其他证明资料</w:t>
            </w:r>
          </w:p>
        </w:tc>
      </w:tr>
      <w:tr>
        <w:tc>
          <w:tcPr>
            <w:tcW w:type="dxa" w:w="831"/>
            <w:vMerge/>
          </w:tcPr>
          <w:p/>
        </w:tc>
        <w:tc>
          <w:tcPr>
            <w:tcW w:type="dxa" w:w="1661"/>
          </w:tcPr>
          <w:p>
            <w:pPr>
              <w:pStyle w:val="null3"/>
              <w:jc w:val="left"/>
            </w:pPr>
            <w:r>
              <w:rPr>
                <w:rFonts w:ascii="仿宋_GB2312" w:hAnsi="仿宋_GB2312" w:cs="仿宋_GB2312" w:eastAsia="仿宋_GB2312"/>
              </w:rPr>
              <w:t>人员团队</w:t>
            </w:r>
          </w:p>
        </w:tc>
        <w:tc>
          <w:tcPr>
            <w:tcW w:type="dxa" w:w="2575"/>
          </w:tcPr>
          <w:p>
            <w:pPr>
              <w:pStyle w:val="null3"/>
              <w:jc w:val="left"/>
            </w:pPr>
            <w:r>
              <w:rPr>
                <w:rFonts w:ascii="仿宋_GB2312" w:hAnsi="仿宋_GB2312" w:cs="仿宋_GB2312" w:eastAsia="仿宋_GB2312"/>
              </w:rPr>
              <w:t>1.供应商为本项目配备3名DSA维修工程师的，得基础分5分。 2.其中每有1名接受过原厂DSA培训合格的，加5分。本项最多加10分。 注:第一项需提供人员名单、身份证复印件、具备DSA设备的维修经验和能力的承诺函；第二项提供DSA设备原厂培训证书复印件，加盖供应商公章。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其他证明资料</w:t>
            </w:r>
          </w:p>
        </w:tc>
      </w:tr>
      <w:tr>
        <w:tc>
          <w:tcPr>
            <w:tcW w:type="dxa" w:w="831"/>
            <w:vMerge/>
          </w:tcPr>
          <w:p/>
        </w:tc>
        <w:tc>
          <w:tcPr>
            <w:tcW w:type="dxa" w:w="1661"/>
          </w:tcPr>
          <w:p>
            <w:pPr>
              <w:pStyle w:val="null3"/>
              <w:jc w:val="left"/>
            </w:pPr>
            <w:r>
              <w:rPr>
                <w:rFonts w:ascii="仿宋_GB2312" w:hAnsi="仿宋_GB2312" w:cs="仿宋_GB2312" w:eastAsia="仿宋_GB2312"/>
              </w:rPr>
              <w:t>综合能力</w:t>
            </w:r>
          </w:p>
        </w:tc>
        <w:tc>
          <w:tcPr>
            <w:tcW w:type="dxa" w:w="2575"/>
          </w:tcPr>
          <w:p>
            <w:pPr>
              <w:pStyle w:val="null3"/>
              <w:jc w:val="left"/>
            </w:pPr>
            <w:r>
              <w:rPr>
                <w:rFonts w:ascii="仿宋_GB2312" w:hAnsi="仿宋_GB2312" w:cs="仿宋_GB2312" w:eastAsia="仿宋_GB2312"/>
              </w:rPr>
              <w:t>供应商在四川省内设置长期稳定的（至少覆盖本项目服务期限）维修服务机构的，得满分6分。 注：（1）已在四川省内具有维修服务机构的：提供服务机构名称、地址及联系电话、以及至少覆盖本项目服务期限的承诺函；（2）未设立的提供成交后设置长期稳定的（至少覆盖本项目服务期限）维修服务机构的承诺函。</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磋商报价得分=（磋商基准价/最后磋商报价）×15%×100。</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详见附件：技术要求响应表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详见附件：资格证明材料</w:t>
      </w:r>
    </w:p>
    <w:p>
      <w:pPr>
        <w:pStyle w:val="null3"/>
        <w:ind w:firstLine="960"/>
        <w:jc w:val="left"/>
      </w:pPr>
      <w:r>
        <w:rPr>
          <w:rFonts w:ascii="仿宋_GB2312" w:hAnsi="仿宋_GB2312" w:cs="仿宋_GB2312" w:eastAsia="仿宋_GB2312"/>
        </w:rPr>
        <w:t>详见附件：其他证明资料</w:t>
      </w:r>
    </w:p>
    <w:p>
      <w:pPr>
        <w:pStyle w:val="null3"/>
        <w:ind w:firstLine="960"/>
        <w:jc w:val="left"/>
      </w:pPr>
      <w:r>
        <w:rPr>
          <w:rFonts w:ascii="仿宋_GB2312" w:hAnsi="仿宋_GB2312" w:cs="仿宋_GB2312" w:eastAsia="仿宋_GB2312"/>
        </w:rPr>
        <w:t>详见附件：项目服务方案</w:t>
      </w:r>
    </w:p>
    <w:p>
      <w:pPr>
        <w:pStyle w:val="null3"/>
        <w:ind w:firstLine="960"/>
        <w:jc w:val="left"/>
      </w:pPr>
      <w:r>
        <w:rPr>
          <w:rFonts w:ascii="仿宋_GB2312" w:hAnsi="仿宋_GB2312" w:cs="仿宋_GB2312" w:eastAsia="仿宋_GB2312"/>
        </w:rPr>
        <w:t>详见附件：其他实质性要求承诺函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