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outlineLvl w:val="0"/>
      </w:pPr>
      <w:r>
        <w:rPr>
          <w:rFonts w:ascii="仿宋_GB2312" w:hAnsi="仿宋_GB2312" w:eastAsia="仿宋_GB2312" w:cs="仿宋_GB2312"/>
          <w:b/>
          <w:sz w:val="48"/>
        </w:rPr>
        <w:t>政府采购项目采购需求</w:t>
      </w:r>
    </w:p>
    <w:p>
      <w:pPr>
        <w:pStyle w:val="5"/>
        <w:spacing w:before="3000"/>
        <w:outlineLvl w:val="2"/>
      </w:pPr>
      <w:r>
        <w:rPr>
          <w:rFonts w:ascii="仿宋_GB2312" w:hAnsi="仿宋_GB2312" w:eastAsia="仿宋_GB2312" w:cs="仿宋_GB2312"/>
          <w:b/>
          <w:sz w:val="28"/>
        </w:rPr>
        <w:t>采购单位：</w:t>
      </w:r>
    </w:p>
    <w:p>
      <w:pPr>
        <w:pStyle w:val="5"/>
        <w:outlineLvl w:val="2"/>
      </w:pPr>
      <w:r>
        <w:rPr>
          <w:rFonts w:ascii="仿宋_GB2312" w:hAnsi="仿宋_GB2312" w:eastAsia="仿宋_GB2312" w:cs="仿宋_GB2312"/>
          <w:b/>
          <w:sz w:val="28"/>
        </w:rPr>
        <w:t>古蔺县二郎镇人民政府</w:t>
      </w:r>
    </w:p>
    <w:p>
      <w:pPr>
        <w:pStyle w:val="5"/>
        <w:jc w:val="right"/>
        <w:outlineLvl w:val="2"/>
      </w:pPr>
      <w:r>
        <w:rPr>
          <w:rFonts w:ascii="仿宋_GB2312" w:hAnsi="仿宋_GB2312" w:eastAsia="仿宋_GB2312" w:cs="仿宋_GB2312"/>
          <w:b/>
          <w:sz w:val="28"/>
        </w:rPr>
        <w:t>所属年度：</w:t>
      </w:r>
    </w:p>
    <w:p>
      <w:pPr>
        <w:pStyle w:val="5"/>
        <w:outlineLvl w:val="2"/>
      </w:pPr>
      <w:r>
        <w:rPr>
          <w:rFonts w:ascii="仿宋_GB2312" w:hAnsi="仿宋_GB2312" w:eastAsia="仿宋_GB2312" w:cs="仿宋_GB2312"/>
          <w:b/>
          <w:sz w:val="28"/>
        </w:rPr>
        <w:t>2026年</w:t>
      </w:r>
    </w:p>
    <w:p>
      <w:pPr>
        <w:pStyle w:val="5"/>
        <w:jc w:val="right"/>
        <w:outlineLvl w:val="2"/>
      </w:pPr>
      <w:r>
        <w:rPr>
          <w:rFonts w:ascii="仿宋_GB2312" w:hAnsi="仿宋_GB2312" w:eastAsia="仿宋_GB2312" w:cs="仿宋_GB2312"/>
          <w:b/>
          <w:sz w:val="28"/>
        </w:rPr>
        <w:t>编制单位：</w:t>
      </w:r>
    </w:p>
    <w:p>
      <w:pPr>
        <w:pStyle w:val="5"/>
        <w:outlineLvl w:val="2"/>
      </w:pPr>
      <w:r>
        <w:rPr>
          <w:rFonts w:ascii="仿宋_GB2312" w:hAnsi="仿宋_GB2312" w:eastAsia="仿宋_GB2312" w:cs="仿宋_GB2312"/>
          <w:b/>
          <w:sz w:val="28"/>
        </w:rPr>
        <w:t>古蔺县二郎镇人民政府</w:t>
      </w:r>
    </w:p>
    <w:p>
      <w:pPr>
        <w:pStyle w:val="5"/>
        <w:jc w:val="right"/>
        <w:outlineLvl w:val="2"/>
      </w:pPr>
      <w:r>
        <w:rPr>
          <w:rFonts w:ascii="仿宋_GB2312" w:hAnsi="仿宋_GB2312" w:eastAsia="仿宋_GB2312" w:cs="仿宋_GB2312"/>
          <w:b/>
          <w:sz w:val="28"/>
        </w:rPr>
        <w:t>编制时间：</w:t>
      </w:r>
    </w:p>
    <w:p>
      <w:pPr>
        <w:pStyle w:val="5"/>
        <w:outlineLvl w:val="2"/>
      </w:pPr>
      <w:r>
        <w:rPr>
          <w:rFonts w:ascii="仿宋_GB2312" w:hAnsi="仿宋_GB2312" w:eastAsia="仿宋_GB2312" w:cs="仿宋_GB2312"/>
          <w:b/>
          <w:sz w:val="28"/>
        </w:rPr>
        <w:t>2026年02月26日</w:t>
      </w:r>
    </w:p>
    <w:p>
      <w:pPr>
        <w:pStyle w:val="5"/>
        <w:outlineLvl w:val="2"/>
      </w:pPr>
      <w:r>
        <w:rPr>
          <w:rFonts w:ascii="仿宋_GB2312" w:hAnsi="仿宋_GB2312" w:eastAsia="仿宋_GB2312" w:cs="仿宋_GB2312"/>
          <w:b/>
          <w:sz w:val="28"/>
        </w:rPr>
        <w:t>一、项目总体情况</w:t>
      </w:r>
    </w:p>
    <w:p>
      <w:pPr>
        <w:pStyle w:val="5"/>
      </w:pPr>
      <w:r>
        <w:rPr>
          <w:rFonts w:ascii="仿宋_GB2312" w:hAnsi="仿宋_GB2312" w:eastAsia="仿宋_GB2312" w:cs="仿宋_GB2312"/>
        </w:rPr>
        <w:t xml:space="preserve"> （一）项目名称： 二郎镇场镇智慧停车建设设施设备采购项目（电梯部分）</w:t>
      </w:r>
    </w:p>
    <w:p>
      <w:pPr>
        <w:pStyle w:val="5"/>
      </w:pPr>
      <w:r>
        <w:rPr>
          <w:rFonts w:ascii="仿宋_GB2312" w:hAnsi="仿宋_GB2312" w:eastAsia="仿宋_GB2312" w:cs="仿宋_GB2312"/>
        </w:rPr>
        <w:t xml:space="preserve"> （二）项目所属年度： 2026年</w:t>
      </w:r>
    </w:p>
    <w:p>
      <w:pPr>
        <w:pStyle w:val="5"/>
      </w:pPr>
      <w:r>
        <w:rPr>
          <w:rFonts w:ascii="仿宋_GB2312" w:hAnsi="仿宋_GB2312" w:eastAsia="仿宋_GB2312" w:cs="仿宋_GB2312"/>
        </w:rPr>
        <w:t xml:space="preserve"> （三）项目所属分类： 货物</w:t>
      </w:r>
    </w:p>
    <w:p>
      <w:pPr>
        <w:pStyle w:val="5"/>
      </w:pPr>
      <w:r>
        <w:rPr>
          <w:rFonts w:ascii="仿宋_GB2312" w:hAnsi="仿宋_GB2312" w:eastAsia="仿宋_GB2312" w:cs="仿宋_GB2312"/>
        </w:rPr>
        <w:t xml:space="preserve"> （四）预算金额（元）：470,000.00元 ，大写（人民币）：肆拾柒万元整</w:t>
      </w:r>
    </w:p>
    <w:p>
      <w:pPr>
        <w:pStyle w:val="5"/>
        <w:ind w:firstLine="200" w:firstLineChars="100"/>
      </w:pPr>
      <w:r>
        <w:rPr>
          <w:rFonts w:ascii="仿宋_GB2312" w:hAnsi="仿宋_GB2312" w:eastAsia="仿宋_GB2312" w:cs="仿宋_GB2312"/>
        </w:rPr>
        <w:t>（五）项目概况：</w:t>
      </w:r>
    </w:p>
    <w:p>
      <w:pPr>
        <w:pStyle w:val="5"/>
        <w:ind w:firstLine="480"/>
        <w:jc w:val="left"/>
        <w:rPr>
          <w:rFonts w:hint="eastAsia" w:ascii="仿宋_GB2312" w:hAnsi="仿宋_GB2312" w:eastAsia="仿宋_GB2312" w:cs="仿宋_GB2312"/>
          <w:color w:val="FF0000"/>
          <w:lang w:val="en-US" w:eastAsia="zh-CN"/>
        </w:rPr>
      </w:pPr>
      <w:r>
        <w:rPr>
          <w:rFonts w:ascii="仿宋_GB2312" w:hAnsi="仿宋_GB2312" w:eastAsia="仿宋_GB2312" w:cs="仿宋_GB2312"/>
        </w:rPr>
        <w:t>购买安装电梯1部</w:t>
      </w:r>
      <w:r>
        <w:rPr>
          <w:rFonts w:hint="eastAsia" w:eastAsia="仿宋_GB2312"/>
          <w:lang w:eastAsia="zh-CN"/>
        </w:rPr>
        <w:t>，</w:t>
      </w:r>
      <w:r>
        <w:rPr>
          <w:rFonts w:hint="eastAsia" w:ascii="仿宋_GB2312" w:hAnsi="仿宋_GB2312" w:eastAsia="仿宋_GB2312" w:cs="仿宋_GB2312"/>
          <w:color w:val="FF0000"/>
          <w:lang w:val="en-US" w:eastAsia="zh-CN"/>
        </w:rPr>
        <w:t>包括电梯方案设计、施工图设计（含钢结构、基础、连廊、电梯），安装、调试、检测、验收。</w:t>
      </w:r>
    </w:p>
    <w:p>
      <w:pPr>
        <w:pStyle w:val="5"/>
        <w:ind w:firstLine="200" w:firstLineChars="100"/>
      </w:pPr>
      <w:r>
        <w:rPr>
          <w:rFonts w:ascii="仿宋_GB2312" w:hAnsi="仿宋_GB2312" w:eastAsia="仿宋_GB2312" w:cs="仿宋_GB2312"/>
        </w:rPr>
        <w:t>（六）本项目是否有为采购项目提供整体设计、规范编制或者项目管理、监理、检测等服务的供应商：否</w:t>
      </w:r>
    </w:p>
    <w:p>
      <w:pPr>
        <w:pStyle w:val="5"/>
        <w:outlineLvl w:val="2"/>
      </w:pPr>
      <w:r>
        <w:rPr>
          <w:rFonts w:ascii="仿宋_GB2312" w:hAnsi="仿宋_GB2312" w:eastAsia="仿宋_GB2312" w:cs="仿宋_GB2312"/>
          <w:b/>
          <w:sz w:val="28"/>
        </w:rPr>
        <w:t>二、项目需求调查情况</w:t>
      </w:r>
    </w:p>
    <w:p>
      <w:pPr>
        <w:pStyle w:val="5"/>
      </w:pPr>
      <w:r>
        <w:rPr>
          <w:rFonts w:ascii="仿宋_GB2312" w:hAnsi="仿宋_GB2312" w:eastAsia="仿宋_GB2312" w:cs="仿宋_GB2312"/>
        </w:rPr>
        <w:t>依据《政府采购需求管理办法》的规定，本项目不需要需求调查，具体情况如下：</w:t>
      </w:r>
    </w:p>
    <w:p>
      <w:pPr>
        <w:pStyle w:val="5"/>
        <w:outlineLvl w:val="2"/>
      </w:pPr>
      <w:r>
        <w:rPr>
          <w:rFonts w:ascii="仿宋_GB2312" w:hAnsi="仿宋_GB2312" w:eastAsia="仿宋_GB2312" w:cs="仿宋_GB2312"/>
          <w:b/>
          <w:sz w:val="28"/>
        </w:rPr>
        <w:t>三、项目采购实施计划</w:t>
      </w:r>
    </w:p>
    <w:p>
      <w:pPr>
        <w:pStyle w:val="5"/>
      </w:pPr>
      <w:r>
        <w:rPr>
          <w:rFonts w:ascii="仿宋_GB2312" w:hAnsi="仿宋_GB2312" w:eastAsia="仿宋_GB2312" w:cs="仿宋_GB2312"/>
        </w:rPr>
        <w:t>（一）采购组织形式：政府集中采购</w:t>
      </w:r>
    </w:p>
    <w:p>
      <w:pPr>
        <w:pStyle w:val="5"/>
      </w:pPr>
      <w:r>
        <w:rPr>
          <w:rFonts w:ascii="仿宋_GB2312" w:hAnsi="仿宋_GB2312" w:eastAsia="仿宋_GB2312" w:cs="仿宋_GB2312"/>
        </w:rPr>
        <w:t>（二）采购方式：公开招标</w:t>
      </w:r>
    </w:p>
    <w:p>
      <w:pPr>
        <w:pStyle w:val="5"/>
      </w:pPr>
      <w:r>
        <w:rPr>
          <w:rFonts w:ascii="仿宋_GB2312" w:hAnsi="仿宋_GB2312" w:eastAsia="仿宋_GB2312" w:cs="仿宋_GB2312"/>
        </w:rPr>
        <w:t>（三）本项目是否单位自行组织采购：否</w:t>
      </w:r>
    </w:p>
    <w:p>
      <w:pPr>
        <w:pStyle w:val="5"/>
      </w:pPr>
      <w:r>
        <w:rPr>
          <w:rFonts w:ascii="仿宋_GB2312" w:hAnsi="仿宋_GB2312" w:eastAsia="仿宋_GB2312" w:cs="仿宋_GB2312"/>
        </w:rPr>
        <w:t>（四）采购包划分：不分包采购</w:t>
      </w:r>
    </w:p>
    <w:p>
      <w:pPr>
        <w:pStyle w:val="5"/>
      </w:pPr>
      <w:r>
        <w:rPr>
          <w:rFonts w:ascii="仿宋_GB2312" w:hAnsi="仿宋_GB2312" w:eastAsia="仿宋_GB2312" w:cs="仿宋_GB2312"/>
        </w:rPr>
        <w:t>（五）执行政府采购促进中小企业发展的相关政策</w:t>
      </w:r>
    </w:p>
    <w:p>
      <w:pPr>
        <w:pStyle w:val="5"/>
      </w:pPr>
      <w:r>
        <w:rPr>
          <w:rFonts w:ascii="仿宋_GB2312" w:hAnsi="仿宋_GB2312" w:eastAsia="仿宋_GB2312" w:cs="仿宋_GB2312"/>
        </w:rPr>
        <w:t>本项目专门面向中小企业采购。面向中小企业采购金额为420000.00元，总体预留比例为100%，其中，面向小微企业采购金额为0.00元，占0%。</w:t>
      </w:r>
    </w:p>
    <w:p>
      <w:pPr>
        <w:pStyle w:val="5"/>
        <w:rPr>
          <w:rFonts w:hint="eastAsia" w:eastAsia="仿宋_GB2312"/>
          <w:lang w:eastAsia="zh-CN"/>
        </w:rPr>
      </w:pPr>
      <w:r>
        <w:rPr>
          <w:rFonts w:ascii="仿宋_GB2312" w:hAnsi="仿宋_GB2312" w:eastAsia="仿宋_GB2312" w:cs="仿宋_GB2312"/>
        </w:rPr>
        <w:t>（六）是否采购环境标识产品：</w:t>
      </w:r>
      <w:r>
        <w:rPr>
          <w:rFonts w:hint="eastAsia" w:ascii="仿宋_GB2312" w:hAnsi="仿宋_GB2312" w:eastAsia="仿宋_GB2312" w:cs="仿宋_GB2312"/>
          <w:lang w:eastAsia="zh-CN"/>
        </w:rPr>
        <w:t>否</w:t>
      </w:r>
    </w:p>
    <w:p>
      <w:pPr>
        <w:pStyle w:val="5"/>
        <w:rPr>
          <w:rFonts w:hint="eastAsia" w:eastAsia="仿宋_GB2312"/>
          <w:lang w:eastAsia="zh-CN"/>
        </w:rPr>
      </w:pPr>
      <w:r>
        <w:rPr>
          <w:rFonts w:ascii="仿宋_GB2312" w:hAnsi="仿宋_GB2312" w:eastAsia="仿宋_GB2312" w:cs="仿宋_GB2312"/>
        </w:rPr>
        <w:t>（七）是否采购节能产品：</w:t>
      </w:r>
      <w:r>
        <w:rPr>
          <w:rFonts w:hint="eastAsia" w:ascii="仿宋_GB2312" w:hAnsi="仿宋_GB2312" w:eastAsia="仿宋_GB2312" w:cs="仿宋_GB2312"/>
          <w:lang w:eastAsia="zh-CN"/>
        </w:rPr>
        <w:t>否</w:t>
      </w:r>
    </w:p>
    <w:p>
      <w:pPr>
        <w:pStyle w:val="5"/>
      </w:pPr>
      <w:r>
        <w:rPr>
          <w:rFonts w:ascii="仿宋_GB2312" w:hAnsi="仿宋_GB2312" w:eastAsia="仿宋_GB2312" w:cs="仿宋_GB2312"/>
        </w:rPr>
        <w:t>（八）项目的采购标的是否包含进口产品：否</w:t>
      </w:r>
    </w:p>
    <w:p>
      <w:pPr>
        <w:pStyle w:val="5"/>
      </w:pPr>
      <w:r>
        <w:rPr>
          <w:rFonts w:ascii="仿宋_GB2312" w:hAnsi="仿宋_GB2312" w:eastAsia="仿宋_GB2312" w:cs="仿宋_GB2312"/>
        </w:rPr>
        <w:t>（九）采购标的是否属于政府购买服务：否</w:t>
      </w:r>
    </w:p>
    <w:p>
      <w:pPr>
        <w:pStyle w:val="5"/>
      </w:pPr>
      <w:r>
        <w:rPr>
          <w:rFonts w:ascii="仿宋_GB2312" w:hAnsi="仿宋_GB2312" w:eastAsia="仿宋_GB2312" w:cs="仿宋_GB2312"/>
        </w:rPr>
        <w:t>（十）是否属于政务信息系统项目：否</w:t>
      </w:r>
    </w:p>
    <w:p>
      <w:pPr>
        <w:pStyle w:val="5"/>
      </w:pPr>
      <w:r>
        <w:rPr>
          <w:rFonts w:ascii="仿宋_GB2312" w:hAnsi="仿宋_GB2312" w:eastAsia="仿宋_GB2312" w:cs="仿宋_GB2312"/>
        </w:rPr>
        <w:t>（十一）是否属于高校、科研院所的科研仪器设备采购：否</w:t>
      </w:r>
    </w:p>
    <w:p>
      <w:pPr>
        <w:pStyle w:val="5"/>
      </w:pPr>
      <w:r>
        <w:rPr>
          <w:rFonts w:ascii="仿宋_GB2312" w:hAnsi="仿宋_GB2312" w:eastAsia="仿宋_GB2312" w:cs="仿宋_GB2312"/>
        </w:rPr>
        <w:t>（十二）是否属于PPP项目：否</w:t>
      </w:r>
    </w:p>
    <w:p>
      <w:pPr>
        <w:pStyle w:val="5"/>
      </w:pPr>
      <w:r>
        <w:rPr>
          <w:rFonts w:ascii="仿宋_GB2312" w:hAnsi="仿宋_GB2312" w:eastAsia="仿宋_GB2312" w:cs="仿宋_GB2312"/>
        </w:rPr>
        <w:t>（十三）是否属于签订不超过3年履行期限政府采购合同的项目：否</w:t>
      </w:r>
    </w:p>
    <w:p>
      <w:pPr>
        <w:pStyle w:val="5"/>
        <w:ind w:firstLine="1275"/>
        <w:outlineLvl w:val="2"/>
      </w:pPr>
      <w:r>
        <w:rPr>
          <w:rFonts w:ascii="仿宋_GB2312" w:hAnsi="仿宋_GB2312" w:eastAsia="仿宋_GB2312" w:cs="仿宋_GB2312"/>
          <w:b/>
          <w:sz w:val="28"/>
        </w:rPr>
        <w:t>四、项目需求及分包情况、采购标的</w:t>
      </w:r>
    </w:p>
    <w:p>
      <w:pPr>
        <w:pStyle w:val="5"/>
        <w:outlineLvl w:val="4"/>
      </w:pPr>
      <w:r>
        <w:rPr>
          <w:rFonts w:ascii="仿宋_GB2312" w:hAnsi="仿宋_GB2312" w:eastAsia="仿宋_GB2312" w:cs="仿宋_GB2312"/>
          <w:b/>
          <w:sz w:val="20"/>
        </w:rPr>
        <w:t>（一）分包名称：合同包一</w:t>
      </w:r>
    </w:p>
    <w:p>
      <w:pPr>
        <w:pStyle w:val="5"/>
      </w:pPr>
      <w:r>
        <w:rPr>
          <w:rFonts w:ascii="仿宋_GB2312" w:hAnsi="仿宋_GB2312" w:eastAsia="仿宋_GB2312" w:cs="仿宋_GB2312"/>
        </w:rPr>
        <w:t>1、执行政府采购促进中小企业发展的相关政策</w:t>
      </w:r>
    </w:p>
    <w:p>
      <w:pPr>
        <w:pStyle w:val="5"/>
      </w:pPr>
      <w:r>
        <w:rPr>
          <w:rFonts w:ascii="仿宋_GB2312" w:hAnsi="仿宋_GB2312" w:eastAsia="仿宋_GB2312" w:cs="仿宋_GB2312"/>
          <w:color w:val="000000"/>
        </w:rPr>
        <w:t>1)</w:t>
      </w:r>
      <w:r>
        <w:rPr>
          <w:rFonts w:ascii="仿宋_GB2312" w:hAnsi="仿宋_GB2312" w:eastAsia="仿宋_GB2312" w:cs="仿宋_GB2312"/>
        </w:rPr>
        <w:t>专门面向中小企业采购</w:t>
      </w:r>
    </w:p>
    <w:p>
      <w:pPr>
        <w:pStyle w:val="5"/>
        <w:ind w:firstLine="840"/>
      </w:pPr>
      <w:r>
        <w:rPr>
          <w:rFonts w:ascii="仿宋_GB2312" w:hAnsi="仿宋_GB2312" w:eastAsia="仿宋_GB2312" w:cs="仿宋_GB2312"/>
          <w:color w:val="000000"/>
        </w:rPr>
        <w:t>2)面向的企业规模：</w:t>
      </w:r>
      <w:r>
        <w:rPr>
          <w:rFonts w:ascii="仿宋_GB2312" w:hAnsi="仿宋_GB2312" w:eastAsia="仿宋_GB2312" w:cs="仿宋_GB2312"/>
        </w:rPr>
        <w:t>中小企业</w:t>
      </w:r>
    </w:p>
    <w:p>
      <w:pPr>
        <w:pStyle w:val="5"/>
        <w:ind w:firstLine="840"/>
      </w:pPr>
      <w:r>
        <w:rPr>
          <w:rFonts w:ascii="仿宋_GB2312" w:hAnsi="仿宋_GB2312" w:eastAsia="仿宋_GB2312" w:cs="仿宋_GB2312"/>
          <w:color w:val="000000"/>
        </w:rPr>
        <w:t>3)预留形式：</w:t>
      </w:r>
      <w:r>
        <w:rPr>
          <w:rFonts w:ascii="仿宋_GB2312" w:hAnsi="仿宋_GB2312" w:eastAsia="仿宋_GB2312" w:cs="仿宋_GB2312"/>
        </w:rPr>
        <w:t>专门采购包预留</w:t>
      </w:r>
    </w:p>
    <w:p>
      <w:pPr>
        <w:pStyle w:val="5"/>
        <w:ind w:firstLine="840"/>
      </w:pPr>
      <w:r>
        <w:rPr>
          <w:rFonts w:ascii="仿宋_GB2312" w:hAnsi="仿宋_GB2312" w:eastAsia="仿宋_GB2312" w:cs="仿宋_GB2312"/>
          <w:color w:val="000000"/>
        </w:rPr>
        <w:t>4)预留比例：</w:t>
      </w:r>
      <w:r>
        <w:rPr>
          <w:rFonts w:ascii="仿宋_GB2312" w:hAnsi="仿宋_GB2312" w:eastAsia="仿宋_GB2312" w:cs="仿宋_GB2312"/>
        </w:rPr>
        <w:t>100%</w:t>
      </w:r>
    </w:p>
    <w:p>
      <w:pPr>
        <w:pStyle w:val="5"/>
      </w:pPr>
      <w:r>
        <w:rPr>
          <w:rFonts w:ascii="仿宋_GB2312" w:hAnsi="仿宋_GB2312" w:eastAsia="仿宋_GB2312" w:cs="仿宋_GB2312"/>
        </w:rPr>
        <w:t>2、预算金额（元）：470,000.00 ，大写（人民币）： 肆拾柒万元整</w:t>
      </w:r>
    </w:p>
    <w:p>
      <w:pPr>
        <w:pStyle w:val="5"/>
        <w:ind w:firstLine="780"/>
      </w:pPr>
      <w:r>
        <w:rPr>
          <w:rFonts w:ascii="仿宋_GB2312" w:hAnsi="仿宋_GB2312" w:eastAsia="仿宋_GB2312" w:cs="仿宋_GB2312"/>
        </w:rPr>
        <w:t xml:space="preserve"> 最高限价（元）： 420,000.00 ，大写（人民币）： 肆拾贰万元整</w:t>
      </w:r>
    </w:p>
    <w:p>
      <w:pPr>
        <w:pStyle w:val="5"/>
      </w:pPr>
      <w:r>
        <w:rPr>
          <w:rFonts w:ascii="仿宋_GB2312" w:hAnsi="仿宋_GB2312" w:eastAsia="仿宋_GB2312" w:cs="仿宋_GB2312"/>
        </w:rPr>
        <w:t>3、评审方法：综合评分法</w:t>
      </w:r>
    </w:p>
    <w:p>
      <w:pPr>
        <w:pStyle w:val="5"/>
      </w:pPr>
      <w:r>
        <w:rPr>
          <w:rFonts w:ascii="仿宋_GB2312" w:hAnsi="仿宋_GB2312" w:eastAsia="仿宋_GB2312" w:cs="仿宋_GB2312"/>
        </w:rPr>
        <w:t>4、定价方式：固定总价</w:t>
      </w:r>
    </w:p>
    <w:p>
      <w:pPr>
        <w:pStyle w:val="5"/>
      </w:pPr>
      <w:r>
        <w:rPr>
          <w:rFonts w:ascii="仿宋_GB2312" w:hAnsi="仿宋_GB2312" w:eastAsia="仿宋_GB2312" w:cs="仿宋_GB2312"/>
        </w:rPr>
        <w:t>5、是否支持联合体投标：否</w:t>
      </w:r>
    </w:p>
    <w:p>
      <w:pPr>
        <w:pStyle w:val="5"/>
        <w:rPr>
          <w:rFonts w:hint="eastAsia" w:ascii="仿宋_GB2312" w:hAnsi="仿宋_GB2312" w:eastAsia="仿宋_GB2312" w:cs="仿宋_GB2312"/>
          <w:lang w:val="en-US" w:eastAsia="zh-CN"/>
        </w:rPr>
      </w:pPr>
      <w:r>
        <w:rPr>
          <w:rFonts w:ascii="仿宋_GB2312" w:hAnsi="仿宋_GB2312" w:eastAsia="仿宋_GB2312" w:cs="仿宋_GB2312"/>
        </w:rPr>
        <w:t>6、是否允许合同分包选项：</w:t>
      </w:r>
      <w:r>
        <w:rPr>
          <w:rFonts w:hint="eastAsia" w:ascii="仿宋_GB2312" w:hAnsi="仿宋_GB2312" w:eastAsia="仿宋_GB2312" w:cs="仿宋_GB2312"/>
          <w:color w:val="FF0000"/>
          <w:lang w:val="en-US" w:eastAsia="zh-CN"/>
        </w:rPr>
        <w:t>是</w:t>
      </w:r>
    </w:p>
    <w:p>
      <w:pPr>
        <w:pStyle w:val="5"/>
      </w:pPr>
      <w:r>
        <w:rPr>
          <w:rFonts w:ascii="仿宋_GB2312" w:hAnsi="仿宋_GB2312" w:eastAsia="仿宋_GB2312" w:cs="仿宋_GB2312"/>
        </w:rPr>
        <w:t>7、拟采购标的的技术要求</w:t>
      </w:r>
    </w:p>
    <w:tbl>
      <w:tblPr>
        <w:tblStyle w:val="4"/>
        <w:tblW w:w="830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97"/>
        <w:gridCol w:w="1993"/>
        <w:gridCol w:w="1661"/>
        <w:gridCol w:w="1993"/>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97" w:type="dxa"/>
            <w:vMerge w:val="restart"/>
          </w:tcPr>
          <w:p>
            <w:pPr>
              <w:pStyle w:val="5"/>
            </w:pPr>
            <w:r>
              <w:rPr>
                <w:rFonts w:ascii="仿宋_GB2312" w:hAnsi="仿宋_GB2312" w:eastAsia="仿宋_GB2312" w:cs="仿宋_GB2312"/>
              </w:rPr>
              <w:t>1</w:t>
            </w:r>
          </w:p>
        </w:tc>
        <w:tc>
          <w:tcPr>
            <w:tcW w:w="1993" w:type="dxa"/>
          </w:tcPr>
          <w:p>
            <w:pPr>
              <w:pStyle w:val="5"/>
              <w:jc w:val="center"/>
            </w:pPr>
            <w:r>
              <w:rPr>
                <w:rFonts w:ascii="仿宋_GB2312" w:hAnsi="仿宋_GB2312" w:eastAsia="仿宋_GB2312" w:cs="仿宋_GB2312"/>
                <w:b/>
                <w:color w:val="000000"/>
              </w:rPr>
              <w:t>采购品目</w:t>
            </w:r>
          </w:p>
        </w:tc>
        <w:tc>
          <w:tcPr>
            <w:tcW w:w="1661" w:type="dxa"/>
          </w:tcPr>
          <w:p>
            <w:pPr>
              <w:pStyle w:val="5"/>
            </w:pPr>
            <w:r>
              <w:rPr>
                <w:rFonts w:ascii="仿宋_GB2312" w:hAnsi="仿宋_GB2312" w:eastAsia="仿宋_GB2312" w:cs="仿宋_GB2312"/>
              </w:rPr>
              <w:t>A02051227 电梯</w:t>
            </w:r>
          </w:p>
        </w:tc>
        <w:tc>
          <w:tcPr>
            <w:tcW w:w="1993" w:type="dxa"/>
          </w:tcPr>
          <w:p>
            <w:pPr>
              <w:pStyle w:val="5"/>
              <w:jc w:val="center"/>
            </w:pPr>
            <w:r>
              <w:rPr>
                <w:rFonts w:ascii="仿宋_GB2312" w:hAnsi="仿宋_GB2312" w:eastAsia="仿宋_GB2312" w:cs="仿宋_GB2312"/>
                <w:b/>
                <w:color w:val="000000"/>
              </w:rPr>
              <w:t>标的名称</w:t>
            </w:r>
          </w:p>
        </w:tc>
        <w:tc>
          <w:tcPr>
            <w:tcW w:w="1661" w:type="dxa"/>
          </w:tcPr>
          <w:p>
            <w:pPr>
              <w:pStyle w:val="5"/>
            </w:pPr>
            <w:r>
              <w:rPr>
                <w:rFonts w:ascii="仿宋_GB2312" w:hAnsi="仿宋_GB2312" w:eastAsia="仿宋_GB2312" w:cs="仿宋_GB2312"/>
              </w:rPr>
              <w:t>电梯</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97" w:type="dxa"/>
            <w:vMerge w:val="continue"/>
          </w:tcPr>
          <w:p/>
        </w:tc>
        <w:tc>
          <w:tcPr>
            <w:tcW w:w="1993" w:type="dxa"/>
          </w:tcPr>
          <w:p>
            <w:pPr>
              <w:pStyle w:val="5"/>
              <w:jc w:val="center"/>
            </w:pPr>
            <w:r>
              <w:rPr>
                <w:rFonts w:ascii="仿宋_GB2312" w:hAnsi="仿宋_GB2312" w:eastAsia="仿宋_GB2312" w:cs="仿宋_GB2312"/>
                <w:b/>
                <w:color w:val="000000"/>
              </w:rPr>
              <w:t>数量</w:t>
            </w:r>
          </w:p>
        </w:tc>
        <w:tc>
          <w:tcPr>
            <w:tcW w:w="1661" w:type="dxa"/>
          </w:tcPr>
          <w:p>
            <w:pPr>
              <w:pStyle w:val="5"/>
              <w:jc w:val="right"/>
            </w:pPr>
            <w:r>
              <w:rPr>
                <w:rFonts w:ascii="仿宋_GB2312" w:hAnsi="仿宋_GB2312" w:eastAsia="仿宋_GB2312" w:cs="仿宋_GB2312"/>
              </w:rPr>
              <w:t>1.00</w:t>
            </w:r>
          </w:p>
        </w:tc>
        <w:tc>
          <w:tcPr>
            <w:tcW w:w="1993" w:type="dxa"/>
          </w:tcPr>
          <w:p>
            <w:pPr>
              <w:pStyle w:val="5"/>
              <w:jc w:val="center"/>
            </w:pPr>
            <w:r>
              <w:rPr>
                <w:rFonts w:ascii="仿宋_GB2312" w:hAnsi="仿宋_GB2312" w:eastAsia="仿宋_GB2312" w:cs="仿宋_GB2312"/>
                <w:b/>
                <w:color w:val="000000"/>
              </w:rPr>
              <w:t>单位</w:t>
            </w:r>
          </w:p>
        </w:tc>
        <w:tc>
          <w:tcPr>
            <w:tcW w:w="1661" w:type="dxa"/>
          </w:tcPr>
          <w:p>
            <w:pPr>
              <w:pStyle w:val="5"/>
            </w:pPr>
            <w:r>
              <w:rPr>
                <w:rFonts w:ascii="仿宋_GB2312" w:hAnsi="仿宋_GB2312" w:eastAsia="仿宋_GB2312" w:cs="仿宋_GB2312"/>
              </w:rPr>
              <w:t>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97" w:type="dxa"/>
            <w:vMerge w:val="continue"/>
          </w:tcPr>
          <w:p/>
        </w:tc>
        <w:tc>
          <w:tcPr>
            <w:tcW w:w="1993" w:type="dxa"/>
          </w:tcPr>
          <w:p>
            <w:pPr>
              <w:pStyle w:val="5"/>
              <w:jc w:val="center"/>
            </w:pPr>
            <w:r>
              <w:rPr>
                <w:rFonts w:ascii="仿宋_GB2312" w:hAnsi="仿宋_GB2312" w:eastAsia="仿宋_GB2312" w:cs="仿宋_GB2312"/>
                <w:b/>
                <w:color w:val="000000"/>
              </w:rPr>
              <w:t>合计金额（元）</w:t>
            </w:r>
          </w:p>
        </w:tc>
        <w:tc>
          <w:tcPr>
            <w:tcW w:w="1661" w:type="dxa"/>
          </w:tcPr>
          <w:p>
            <w:pPr>
              <w:pStyle w:val="5"/>
              <w:jc w:val="right"/>
            </w:pPr>
            <w:r>
              <w:rPr>
                <w:rFonts w:ascii="仿宋_GB2312" w:hAnsi="仿宋_GB2312" w:eastAsia="仿宋_GB2312" w:cs="仿宋_GB2312"/>
              </w:rPr>
              <w:t>420,000.00</w:t>
            </w:r>
          </w:p>
        </w:tc>
        <w:tc>
          <w:tcPr>
            <w:tcW w:w="1993" w:type="dxa"/>
          </w:tcPr>
          <w:p>
            <w:pPr>
              <w:pStyle w:val="5"/>
              <w:jc w:val="center"/>
            </w:pPr>
            <w:r>
              <w:rPr>
                <w:rFonts w:ascii="仿宋_GB2312" w:hAnsi="仿宋_GB2312" w:eastAsia="仿宋_GB2312" w:cs="仿宋_GB2312"/>
                <w:b/>
                <w:color w:val="000000"/>
              </w:rPr>
              <w:t>单价（元）</w:t>
            </w:r>
          </w:p>
        </w:tc>
        <w:tc>
          <w:tcPr>
            <w:tcW w:w="1661" w:type="dxa"/>
          </w:tcPr>
          <w:p>
            <w:pPr>
              <w:pStyle w:val="5"/>
              <w:jc w:val="right"/>
            </w:pPr>
            <w:r>
              <w:rPr>
                <w:rFonts w:ascii="仿宋_GB2312" w:hAnsi="仿宋_GB2312" w:eastAsia="仿宋_GB2312" w:cs="仿宋_GB2312"/>
              </w:rPr>
              <w:t>420,000.00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97" w:type="dxa"/>
            <w:vMerge w:val="continue"/>
          </w:tcPr>
          <w:p/>
        </w:tc>
        <w:tc>
          <w:tcPr>
            <w:tcW w:w="1993" w:type="dxa"/>
          </w:tcPr>
          <w:p>
            <w:pPr>
              <w:pStyle w:val="5"/>
              <w:jc w:val="center"/>
            </w:pPr>
            <w:r>
              <w:rPr>
                <w:rFonts w:ascii="仿宋_GB2312" w:hAnsi="仿宋_GB2312" w:eastAsia="仿宋_GB2312" w:cs="仿宋_GB2312"/>
                <w:b/>
                <w:color w:val="000000"/>
              </w:rPr>
              <w:t>是否涉及强制采购节能产品</w:t>
            </w:r>
          </w:p>
        </w:tc>
        <w:tc>
          <w:tcPr>
            <w:tcW w:w="1661" w:type="dxa"/>
          </w:tcPr>
          <w:p>
            <w:pPr>
              <w:pStyle w:val="5"/>
            </w:pPr>
            <w:r>
              <w:rPr>
                <w:rFonts w:ascii="仿宋_GB2312" w:hAnsi="仿宋_GB2312" w:eastAsia="仿宋_GB2312" w:cs="仿宋_GB2312"/>
              </w:rPr>
              <w:t>是</w:t>
            </w:r>
          </w:p>
        </w:tc>
        <w:tc>
          <w:tcPr>
            <w:tcW w:w="1993" w:type="dxa"/>
          </w:tcPr>
          <w:p>
            <w:pPr>
              <w:pStyle w:val="5"/>
              <w:jc w:val="center"/>
            </w:pPr>
            <w:r>
              <w:rPr>
                <w:rFonts w:ascii="仿宋_GB2312" w:hAnsi="仿宋_GB2312" w:eastAsia="仿宋_GB2312" w:cs="仿宋_GB2312"/>
                <w:b/>
                <w:color w:val="000000"/>
              </w:rPr>
              <w:t>不涉及强制采购节能产品原因</w:t>
            </w:r>
          </w:p>
        </w:tc>
        <w:tc>
          <w:tcPr>
            <w:tcW w:w="1661" w:type="dxa"/>
          </w:tcPr>
          <w:p>
            <w:pPr>
              <w:pStyle w:val="5"/>
            </w:pPr>
            <w:r>
              <w:rPr>
                <w:rFonts w:ascii="仿宋_GB2312" w:hAnsi="仿宋_GB2312" w:eastAsia="仿宋_GB2312" w:cs="仿宋_GB2312"/>
              </w:rPr>
              <w:t>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97" w:type="dxa"/>
            <w:vMerge w:val="continue"/>
          </w:tcPr>
          <w:p/>
        </w:tc>
        <w:tc>
          <w:tcPr>
            <w:tcW w:w="1993" w:type="dxa"/>
          </w:tcPr>
          <w:p>
            <w:pPr>
              <w:pStyle w:val="5"/>
              <w:jc w:val="center"/>
            </w:pPr>
            <w:r>
              <w:rPr>
                <w:rFonts w:ascii="仿宋_GB2312" w:hAnsi="仿宋_GB2312" w:eastAsia="仿宋_GB2312" w:cs="仿宋_GB2312"/>
                <w:b/>
                <w:color w:val="000000"/>
              </w:rPr>
              <w:t>是否涉及优先采购环境标志产品</w:t>
            </w:r>
          </w:p>
        </w:tc>
        <w:tc>
          <w:tcPr>
            <w:tcW w:w="1661" w:type="dxa"/>
          </w:tcPr>
          <w:p>
            <w:pPr>
              <w:pStyle w:val="5"/>
            </w:pPr>
            <w:r>
              <w:rPr>
                <w:rFonts w:ascii="仿宋_GB2312" w:hAnsi="仿宋_GB2312" w:eastAsia="仿宋_GB2312" w:cs="仿宋_GB2312"/>
              </w:rPr>
              <w:t>是</w:t>
            </w:r>
          </w:p>
        </w:tc>
        <w:tc>
          <w:tcPr>
            <w:tcW w:w="1993" w:type="dxa"/>
          </w:tcPr>
          <w:p>
            <w:pPr>
              <w:pStyle w:val="5"/>
              <w:jc w:val="center"/>
            </w:pPr>
            <w:r>
              <w:rPr>
                <w:rFonts w:ascii="仿宋_GB2312" w:hAnsi="仿宋_GB2312" w:eastAsia="仿宋_GB2312" w:cs="仿宋_GB2312"/>
                <w:b/>
                <w:color w:val="000000"/>
              </w:rPr>
              <w:t>不涉及优先采购环境标志产品原因</w:t>
            </w:r>
          </w:p>
        </w:tc>
        <w:tc>
          <w:tcPr>
            <w:tcW w:w="1661" w:type="dxa"/>
          </w:tcPr>
          <w:p>
            <w:pPr>
              <w:pStyle w:val="5"/>
            </w:pPr>
            <w:r>
              <w:rPr>
                <w:rFonts w:ascii="仿宋_GB2312" w:hAnsi="仿宋_GB2312" w:eastAsia="仿宋_GB2312" w:cs="仿宋_GB2312"/>
              </w:rPr>
              <w:t>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97" w:type="dxa"/>
            <w:vMerge w:val="continue"/>
          </w:tcPr>
          <w:p/>
        </w:tc>
        <w:tc>
          <w:tcPr>
            <w:tcW w:w="1993" w:type="dxa"/>
          </w:tcPr>
          <w:p>
            <w:pPr>
              <w:pStyle w:val="5"/>
              <w:jc w:val="center"/>
            </w:pPr>
            <w:r>
              <w:rPr>
                <w:rFonts w:ascii="仿宋_GB2312" w:hAnsi="仿宋_GB2312" w:eastAsia="仿宋_GB2312" w:cs="仿宋_GB2312"/>
                <w:b/>
                <w:color w:val="000000"/>
              </w:rPr>
              <w:t>是否涉及采购进口产品</w:t>
            </w:r>
          </w:p>
        </w:tc>
        <w:tc>
          <w:tcPr>
            <w:tcW w:w="1661" w:type="dxa"/>
          </w:tcPr>
          <w:p>
            <w:pPr>
              <w:pStyle w:val="5"/>
            </w:pPr>
            <w:r>
              <w:rPr>
                <w:rFonts w:ascii="仿宋_GB2312" w:hAnsi="仿宋_GB2312" w:eastAsia="仿宋_GB2312" w:cs="仿宋_GB2312"/>
              </w:rPr>
              <w:t>否</w:t>
            </w:r>
          </w:p>
        </w:tc>
        <w:tc>
          <w:tcPr>
            <w:tcW w:w="1993" w:type="dxa"/>
          </w:tcPr>
          <w:p>
            <w:pPr>
              <w:pStyle w:val="5"/>
              <w:jc w:val="center"/>
            </w:pPr>
            <w:r>
              <w:rPr>
                <w:rFonts w:ascii="仿宋_GB2312" w:hAnsi="仿宋_GB2312" w:eastAsia="仿宋_GB2312" w:cs="仿宋_GB2312"/>
                <w:b/>
                <w:color w:val="000000"/>
              </w:rPr>
              <w:t>标的物所属行业</w:t>
            </w:r>
          </w:p>
        </w:tc>
        <w:tc>
          <w:tcPr>
            <w:tcW w:w="1661" w:type="dxa"/>
          </w:tcPr>
          <w:p>
            <w:pPr>
              <w:pStyle w:val="5"/>
            </w:pPr>
            <w:r>
              <w:rPr>
                <w:rFonts w:ascii="仿宋_GB2312" w:hAnsi="仿宋_GB2312" w:eastAsia="仿宋_GB2312" w:cs="仿宋_GB2312"/>
              </w:rPr>
              <w:t>建筑业</w:t>
            </w:r>
          </w:p>
        </w:tc>
      </w:tr>
    </w:tbl>
    <w:p>
      <w:pPr>
        <w:pStyle w:val="5"/>
      </w:pPr>
      <w:r>
        <w:rPr>
          <w:rFonts w:ascii="仿宋_GB2312" w:hAnsi="仿宋_GB2312" w:eastAsia="仿宋_GB2312" w:cs="仿宋_GB2312"/>
        </w:rPr>
        <w:t>标的名称：电梯</w:t>
      </w:r>
    </w:p>
    <w:tbl>
      <w:tblPr>
        <w:tblStyle w:val="4"/>
        <w:tblW w:w="8522"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008"/>
        <w:gridCol w:w="2009"/>
        <w:gridCol w:w="2009"/>
        <w:gridCol w:w="249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008" w:type="dxa"/>
          </w:tcPr>
          <w:p>
            <w:pPr>
              <w:pStyle w:val="5"/>
            </w:pPr>
            <w:r>
              <w:rPr>
                <w:rFonts w:ascii="仿宋_GB2312" w:hAnsi="仿宋_GB2312" w:eastAsia="仿宋_GB2312" w:cs="仿宋_GB2312"/>
              </w:rPr>
              <w:t xml:space="preserve"> 参数性质</w:t>
            </w:r>
          </w:p>
        </w:tc>
        <w:tc>
          <w:tcPr>
            <w:tcW w:w="2009" w:type="dxa"/>
          </w:tcPr>
          <w:p>
            <w:pPr>
              <w:pStyle w:val="5"/>
            </w:pPr>
            <w:r>
              <w:rPr>
                <w:rFonts w:ascii="仿宋_GB2312" w:hAnsi="仿宋_GB2312" w:eastAsia="仿宋_GB2312" w:cs="仿宋_GB2312"/>
              </w:rPr>
              <w:t xml:space="preserve"> 序号</w:t>
            </w:r>
          </w:p>
        </w:tc>
        <w:tc>
          <w:tcPr>
            <w:tcW w:w="2009" w:type="dxa"/>
          </w:tcPr>
          <w:p>
            <w:pPr>
              <w:pStyle w:val="5"/>
            </w:pPr>
            <w:r>
              <w:rPr>
                <w:rFonts w:ascii="仿宋_GB2312" w:hAnsi="仿宋_GB2312" w:eastAsia="仿宋_GB2312" w:cs="仿宋_GB2312"/>
              </w:rPr>
              <w:t xml:space="preserve"> 技术要求名称</w:t>
            </w:r>
          </w:p>
        </w:tc>
        <w:tc>
          <w:tcPr>
            <w:tcW w:w="2496" w:type="dxa"/>
          </w:tcPr>
          <w:p>
            <w:pPr>
              <w:pStyle w:val="5"/>
            </w:pPr>
            <w:r>
              <w:rPr>
                <w:rFonts w:ascii="仿宋_GB2312" w:hAnsi="仿宋_GB2312" w:eastAsia="仿宋_GB2312" w:cs="仿宋_GB2312"/>
              </w:rPr>
              <w:t xml:space="preserve"> 技术参数与性能指标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008" w:type="dxa"/>
          </w:tcPr>
          <w:p/>
        </w:tc>
        <w:tc>
          <w:tcPr>
            <w:tcW w:w="2009" w:type="dxa"/>
          </w:tcPr>
          <w:p>
            <w:pPr>
              <w:pStyle w:val="5"/>
            </w:pPr>
            <w:r>
              <w:rPr>
                <w:rFonts w:ascii="仿宋_GB2312" w:hAnsi="仿宋_GB2312" w:eastAsia="仿宋_GB2312" w:cs="仿宋_GB2312"/>
              </w:rPr>
              <w:t>1</w:t>
            </w:r>
          </w:p>
        </w:tc>
        <w:tc>
          <w:tcPr>
            <w:tcW w:w="2009" w:type="dxa"/>
          </w:tcPr>
          <w:p>
            <w:pPr>
              <w:pStyle w:val="5"/>
            </w:pPr>
            <w:r>
              <w:rPr>
                <w:rFonts w:ascii="仿宋_GB2312" w:hAnsi="仿宋_GB2312" w:eastAsia="仿宋_GB2312" w:cs="仿宋_GB2312"/>
              </w:rPr>
              <w:t>电梯采购安装</w:t>
            </w:r>
          </w:p>
        </w:tc>
        <w:tc>
          <w:tcPr>
            <w:tcW w:w="2496" w:type="dxa"/>
          </w:tcPr>
          <w:p>
            <w:pPr>
              <w:pStyle w:val="5"/>
              <w:jc w:val="left"/>
            </w:pPr>
            <w:r>
              <w:rPr>
                <w:rFonts w:ascii="仿宋_GB2312" w:hAnsi="仿宋_GB2312" w:eastAsia="仿宋_GB2312" w:cs="仿宋_GB2312"/>
                <w:sz w:val="24"/>
              </w:rPr>
              <w:t>★1、电梯种类/用途：无机房无障碍乘客电梯、载重量（KG)≥800kg、运行速度（m/s)≥1.0m/s、电梯停靠层/站5层5站、驱动方式永磁同步无齿轮曳引驱动、开门方式自动中分、控制方式单控、单台载人（人）≥10。（说明：底坑深度（mm)1300、顶层高度（mm)4300、轿厢净尺寸（宽*深*高）（mm)1400*1420*2500（以深化设计为准，提供技术资料）、井道净尺寸（宽*深）（mm)2000*1750、）</w:t>
            </w:r>
          </w:p>
          <w:p>
            <w:pPr>
              <w:pStyle w:val="5"/>
              <w:jc w:val="left"/>
            </w:pPr>
            <w:r>
              <w:rPr>
                <w:rFonts w:ascii="仿宋_GB2312" w:hAnsi="仿宋_GB2312" w:eastAsia="仿宋_GB2312" w:cs="仿宋_GB2312"/>
                <w:sz w:val="24"/>
              </w:rPr>
              <w:t>▲2、所投电梯采用的控制柜与电梯为同一品牌，控制柜防护等级≥IP55，控制柜宽电压范围≥(380±20%)V。（提供第三方检测机构出具的带CMA标识的证明材料复印件，并加盖供应商公章）</w:t>
            </w:r>
          </w:p>
          <w:p>
            <w:pPr>
              <w:pStyle w:val="5"/>
              <w:jc w:val="left"/>
            </w:pPr>
            <w:r>
              <w:rPr>
                <w:rFonts w:ascii="仿宋_GB2312" w:hAnsi="仿宋_GB2312" w:eastAsia="仿宋_GB2312" w:cs="仿宋_GB2312"/>
                <w:sz w:val="24"/>
              </w:rPr>
              <w:t>3、轿内、各楼层运行方向和楼层显示采用液晶屏显示，黑底白字。</w:t>
            </w:r>
          </w:p>
          <w:p>
            <w:pPr>
              <w:pStyle w:val="5"/>
              <w:jc w:val="left"/>
            </w:pPr>
            <w:r>
              <w:rPr>
                <w:rFonts w:ascii="仿宋_GB2312" w:hAnsi="仿宋_GB2312" w:eastAsia="仿宋_GB2312" w:cs="仿宋_GB2312"/>
                <w:sz w:val="24"/>
              </w:rPr>
              <w:t>4、厅门发纹不锈钢。</w:t>
            </w:r>
          </w:p>
          <w:p>
            <w:pPr>
              <w:pStyle w:val="5"/>
              <w:jc w:val="left"/>
            </w:pPr>
            <w:r>
              <w:rPr>
                <w:rFonts w:ascii="仿宋_GB2312" w:hAnsi="仿宋_GB2312" w:eastAsia="仿宋_GB2312" w:cs="仿宋_GB2312"/>
                <w:sz w:val="24"/>
              </w:rPr>
              <w:t>★5、左右轿厢壁板采用304发纹不锈钢，厚度≥1.5mm。</w:t>
            </w:r>
          </w:p>
          <w:p>
            <w:pPr>
              <w:pStyle w:val="5"/>
              <w:jc w:val="left"/>
            </w:pPr>
            <w:r>
              <w:rPr>
                <w:rFonts w:ascii="仿宋_GB2312" w:hAnsi="仿宋_GB2312" w:eastAsia="仿宋_GB2312" w:cs="仿宋_GB2312"/>
                <w:sz w:val="24"/>
              </w:rPr>
              <w:t>★6、前后轿厢壁板采用304发纹不锈钢，厚度≥1.5mm。</w:t>
            </w:r>
          </w:p>
          <w:p>
            <w:pPr>
              <w:pStyle w:val="5"/>
              <w:jc w:val="left"/>
            </w:pPr>
            <w:r>
              <w:rPr>
                <w:rFonts w:ascii="仿宋_GB2312" w:hAnsi="仿宋_GB2312" w:eastAsia="仿宋_GB2312" w:cs="仿宋_GB2312"/>
                <w:sz w:val="24"/>
              </w:rPr>
              <w:t>7、轿厢地坎材质硬质铝合金地坎。</w:t>
            </w:r>
          </w:p>
          <w:p>
            <w:pPr>
              <w:pStyle w:val="5"/>
              <w:jc w:val="left"/>
            </w:pPr>
            <w:r>
              <w:rPr>
                <w:rFonts w:ascii="仿宋_GB2312" w:hAnsi="仿宋_GB2312" w:eastAsia="仿宋_GB2312" w:cs="仿宋_GB2312"/>
                <w:sz w:val="24"/>
              </w:rPr>
              <w:t>★8、门楣采用304发纹不锈钢，厚度≥1.5mm。</w:t>
            </w:r>
          </w:p>
          <w:p>
            <w:pPr>
              <w:pStyle w:val="5"/>
              <w:jc w:val="left"/>
            </w:pPr>
            <w:r>
              <w:rPr>
                <w:rFonts w:ascii="仿宋_GB2312" w:hAnsi="仿宋_GB2312" w:eastAsia="仿宋_GB2312" w:cs="仿宋_GB2312"/>
                <w:sz w:val="24"/>
              </w:rPr>
              <w:t>★9、轿门门扇采用304发纹不锈钢，厚度≥1.5mm。</w:t>
            </w:r>
          </w:p>
          <w:p>
            <w:pPr>
              <w:pStyle w:val="5"/>
              <w:jc w:val="left"/>
            </w:pPr>
            <w:r>
              <w:rPr>
                <w:rFonts w:ascii="仿宋_GB2312" w:hAnsi="仿宋_GB2312" w:eastAsia="仿宋_GB2312" w:cs="仿宋_GB2312"/>
                <w:sz w:val="24"/>
              </w:rPr>
              <w:t>10、扶手圆型、后侧，采用304不锈钢，厚度≥1.5mm。</w:t>
            </w:r>
          </w:p>
          <w:p>
            <w:pPr>
              <w:pStyle w:val="5"/>
              <w:jc w:val="left"/>
            </w:pPr>
            <w:r>
              <w:rPr>
                <w:rFonts w:ascii="仿宋_GB2312" w:hAnsi="仿宋_GB2312" w:eastAsia="仿宋_GB2312" w:cs="仿宋_GB2312"/>
                <w:sz w:val="24"/>
              </w:rPr>
              <w:t>11、吊顶一体式吊顶，材质：发纹不锈钢，LED灯、节能灯柔性照明。</w:t>
            </w:r>
          </w:p>
          <w:p>
            <w:pPr>
              <w:pStyle w:val="5"/>
              <w:jc w:val="left"/>
            </w:pPr>
            <w:r>
              <w:rPr>
                <w:rFonts w:ascii="仿宋_GB2312" w:hAnsi="仿宋_GB2312" w:eastAsia="仿宋_GB2312" w:cs="仿宋_GB2312"/>
                <w:sz w:val="24"/>
              </w:rPr>
              <w:t>12、地板拼花PVC（厚度≥3㎜。）</w:t>
            </w:r>
          </w:p>
          <w:p>
            <w:pPr>
              <w:pStyle w:val="5"/>
              <w:jc w:val="left"/>
            </w:pPr>
            <w:r>
              <w:rPr>
                <w:rFonts w:ascii="仿宋_GB2312" w:hAnsi="仿宋_GB2312" w:eastAsia="仿宋_GB2312" w:cs="仿宋_GB2312"/>
                <w:sz w:val="24"/>
              </w:rPr>
              <w:t>13、操作盘发纹不锈钢。</w:t>
            </w:r>
          </w:p>
          <w:p>
            <w:pPr>
              <w:pStyle w:val="5"/>
              <w:jc w:val="left"/>
            </w:pPr>
            <w:r>
              <w:rPr>
                <w:rFonts w:ascii="仿宋_GB2312" w:hAnsi="仿宋_GB2312" w:eastAsia="仿宋_GB2312" w:cs="仿宋_GB2312"/>
                <w:sz w:val="24"/>
              </w:rPr>
              <w:t>▲14、导轨支架防锈等级要求到达：中性盐雾试验时间≥120h，表面无明显锈蚀（须提供带CMA标识的证明材料复印件，并加盖供应商公章）</w:t>
            </w:r>
          </w:p>
          <w:p>
            <w:pPr>
              <w:pStyle w:val="5"/>
              <w:jc w:val="left"/>
            </w:pPr>
            <w:r>
              <w:rPr>
                <w:rFonts w:ascii="仿宋_GB2312" w:hAnsi="仿宋_GB2312" w:eastAsia="仿宋_GB2312" w:cs="仿宋_GB2312"/>
                <w:sz w:val="24"/>
              </w:rPr>
              <w:t>▲15、主要部件稳定性：所投品牌电梯以下主要部件全部要求采用原厂原品牌：①主机、②门机、③控制柜、④限速器、⑤安全钳、⑥缓冲器、⑦安全电路、⑧层门门锁、⑨上行超速保护装置、⑩轿厢意外移动保护装置（</w:t>
            </w:r>
            <w:bookmarkStart w:id="0" w:name="OLE_LINK1"/>
            <w:r>
              <w:rPr>
                <w:rFonts w:ascii="仿宋_GB2312" w:hAnsi="仿宋_GB2312" w:eastAsia="仿宋_GB2312" w:cs="仿宋_GB2312"/>
                <w:sz w:val="24"/>
              </w:rPr>
              <w:t>须提供带CMA标识的证明材料复印件，并加盖供应商公章</w:t>
            </w:r>
            <w:bookmarkEnd w:id="0"/>
            <w:r>
              <w:rPr>
                <w:rFonts w:ascii="仿宋_GB2312" w:hAnsi="仿宋_GB2312" w:eastAsia="仿宋_GB2312" w:cs="仿宋_GB2312"/>
                <w:sz w:val="24"/>
              </w:rPr>
              <w:t>）</w:t>
            </w:r>
          </w:p>
          <w:p>
            <w:pPr>
              <w:pStyle w:val="5"/>
              <w:jc w:val="left"/>
            </w:pPr>
            <w:r>
              <w:rPr>
                <w:rFonts w:ascii="仿宋_GB2312" w:hAnsi="仿宋_GB2312" w:eastAsia="仿宋_GB2312" w:cs="仿宋_GB2312"/>
                <w:sz w:val="24"/>
              </w:rPr>
              <w:t>▲16、主机制动器动作寿命：电梯曳引机制动器动作寿命≥2100万次（</w:t>
            </w:r>
            <w:r>
              <w:rPr>
                <w:rFonts w:hint="eastAsia" w:ascii="仿宋_GB2312" w:hAnsi="仿宋_GB2312" w:eastAsia="仿宋_GB2312" w:cs="仿宋_GB2312"/>
                <w:sz w:val="24"/>
                <w:lang w:eastAsia="zh-CN"/>
              </w:rPr>
              <w:t>须提供带CMA标识的第三方检测报告</w:t>
            </w:r>
            <w:r>
              <w:rPr>
                <w:rFonts w:ascii="仿宋_GB2312" w:hAnsi="仿宋_GB2312" w:eastAsia="仿宋_GB2312" w:cs="仿宋_GB2312"/>
                <w:sz w:val="24"/>
              </w:rPr>
              <w:t>）</w:t>
            </w:r>
          </w:p>
          <w:p>
            <w:pPr>
              <w:pStyle w:val="5"/>
              <w:jc w:val="left"/>
            </w:pPr>
            <w:r>
              <w:rPr>
                <w:rFonts w:ascii="仿宋_GB2312" w:hAnsi="仿宋_GB2312" w:eastAsia="仿宋_GB2312" w:cs="仿宋_GB2312"/>
                <w:sz w:val="24"/>
              </w:rPr>
              <w:t>▲17、电梯安全性能要求三大安全部件（限速器、安全钳、缓冲器）的模拟使用寿命需达到30年（第三方检测机构出具的带CMA标识的证明材料复印件)。</w:t>
            </w:r>
          </w:p>
          <w:p>
            <w:pPr>
              <w:pStyle w:val="5"/>
              <w:jc w:val="left"/>
            </w:pPr>
            <w:r>
              <w:rPr>
                <w:rFonts w:ascii="仿宋_GB2312" w:hAnsi="仿宋_GB2312" w:eastAsia="仿宋_GB2312" w:cs="仿宋_GB2312"/>
                <w:sz w:val="24"/>
              </w:rPr>
              <w:t>▲18、要求电梯轿门锁装置机械耐久试验次数≥2010万次（需提供第三方检测机构出具的带CMA标识的证明材料复印件)。</w:t>
            </w:r>
          </w:p>
          <w:p>
            <w:pPr>
              <w:pStyle w:val="5"/>
              <w:jc w:val="left"/>
            </w:pPr>
            <w:r>
              <w:rPr>
                <w:rFonts w:ascii="仿宋_GB2312" w:hAnsi="仿宋_GB2312" w:eastAsia="仿宋_GB2312" w:cs="仿宋_GB2312"/>
                <w:sz w:val="24"/>
              </w:rPr>
              <w:t>19、光幕：所投品牌电梯光幕要求采用原厂原品牌，并且需满足以下要求：光束≥194束，外壳防护等级≥IP65（需提供第三方检测机构出具的带CMA标识的证明材料复印件)</w:t>
            </w:r>
          </w:p>
          <w:p>
            <w:pPr>
              <w:pStyle w:val="5"/>
              <w:jc w:val="left"/>
            </w:pPr>
            <w:r>
              <w:rPr>
                <w:rFonts w:ascii="仿宋_GB2312" w:hAnsi="仿宋_GB2312" w:eastAsia="仿宋_GB2312" w:cs="仿宋_GB2312"/>
                <w:sz w:val="24"/>
              </w:rPr>
              <w:t>▲20、轿门锁：所投品牌电梯轿门锁需采用免维护的摆臂式结构（</w:t>
            </w:r>
            <w:r>
              <w:rPr>
                <w:rFonts w:hint="eastAsia" w:ascii="仿宋_GB2312" w:hAnsi="仿宋_GB2312" w:eastAsia="仿宋_GB2312" w:cs="仿宋_GB2312"/>
                <w:sz w:val="24"/>
                <w:lang w:eastAsia="zh-CN"/>
              </w:rPr>
              <w:t>须提供具有资质的第三方权威机构出具的证明材料</w:t>
            </w:r>
            <w:r>
              <w:rPr>
                <w:rFonts w:ascii="仿宋_GB2312" w:hAnsi="仿宋_GB2312" w:eastAsia="仿宋_GB2312" w:cs="仿宋_GB2312"/>
                <w:sz w:val="24"/>
              </w:rPr>
              <w:t>）。</w:t>
            </w:r>
          </w:p>
          <w:p>
            <w:pPr>
              <w:pStyle w:val="5"/>
              <w:jc w:val="left"/>
            </w:pPr>
            <w:r>
              <w:rPr>
                <w:rFonts w:ascii="仿宋_GB2312" w:hAnsi="仿宋_GB2312" w:eastAsia="仿宋_GB2312" w:cs="仿宋_GB2312"/>
                <w:sz w:val="24"/>
              </w:rPr>
              <w:t>▲21、</w:t>
            </w:r>
            <w:r>
              <w:rPr>
                <w:rFonts w:ascii="仿宋_GB2312" w:hAnsi="仿宋_GB2312" w:eastAsia="仿宋_GB2312" w:cs="仿宋_GB2312"/>
                <w:sz w:val="21"/>
              </w:rPr>
              <w:t>编码器：所投品牌电梯主机编码器（须提供带CMA标识</w:t>
            </w:r>
            <w:r>
              <w:rPr>
                <w:rFonts w:ascii="仿宋_GB2312" w:hAnsi="仿宋_GB2312" w:eastAsia="仿宋_GB2312" w:cs="仿宋_GB2312"/>
                <w:sz w:val="24"/>
              </w:rPr>
              <w:t>标识的证明材料复印件)</w:t>
            </w:r>
          </w:p>
          <w:p>
            <w:pPr>
              <w:pStyle w:val="5"/>
              <w:spacing w:before="120"/>
              <w:jc w:val="both"/>
            </w:pPr>
            <w:r>
              <w:rPr>
                <w:rFonts w:ascii="仿宋_GB2312" w:hAnsi="仿宋_GB2312" w:eastAsia="仿宋_GB2312" w:cs="仿宋_GB2312"/>
                <w:sz w:val="24"/>
              </w:rPr>
              <w:t>▲22、变频器：热管散热式变频器（</w:t>
            </w:r>
            <w:r>
              <w:rPr>
                <w:rFonts w:hint="eastAsia" w:ascii="仿宋_GB2312" w:hAnsi="仿宋_GB2312" w:eastAsia="仿宋_GB2312" w:cs="仿宋_GB2312"/>
                <w:sz w:val="24"/>
                <w:lang w:eastAsia="zh-CN"/>
              </w:rPr>
              <w:t>为须提供具有资质的第三方权威机构出具的证明材料</w:t>
            </w:r>
            <w:r>
              <w:rPr>
                <w:rFonts w:ascii="仿宋_GB2312" w:hAnsi="仿宋_GB2312" w:eastAsia="仿宋_GB2312" w:cs="仿宋_GB2312"/>
                <w:sz w:val="24"/>
              </w:rPr>
              <w:t>）。</w:t>
            </w:r>
          </w:p>
          <w:p>
            <w:pPr>
              <w:pStyle w:val="5"/>
              <w:spacing w:before="120"/>
              <w:jc w:val="both"/>
            </w:pPr>
            <w:r>
              <w:rPr>
                <w:rFonts w:ascii="仿宋_GB2312" w:hAnsi="仿宋_GB2312" w:eastAsia="仿宋_GB2312" w:cs="仿宋_GB2312"/>
                <w:sz w:val="24"/>
              </w:rPr>
              <w:t>23所投品牌电梯制造商所生产的电梯能达到以下噪音指标：轿厢内运行噪音≤50db(A) ，开关门过程噪音≤55db(A) （须提供带CMA标识的证明材料复印件，并加盖供应商公章）</w:t>
            </w:r>
          </w:p>
          <w:p>
            <w:pPr>
              <w:pStyle w:val="5"/>
              <w:spacing w:before="120"/>
              <w:jc w:val="both"/>
            </w:pPr>
            <w:r>
              <w:rPr>
                <w:rFonts w:ascii="仿宋_GB2312" w:hAnsi="仿宋_GB2312" w:eastAsia="仿宋_GB2312" w:cs="仿宋_GB2312"/>
                <w:sz w:val="24"/>
              </w:rPr>
              <w:t>24所投品牌电梯制造商所生产的电梯能达到以下垂直振动指标：轿厢垂直振动最大峰峰值≤0.15m/s² ，垂直振动A95峰峰值≤0.10m/s² （须提供带CMA的证明材料复印件，并加盖供应商公章）</w:t>
            </w:r>
          </w:p>
          <w:p>
            <w:pPr>
              <w:pStyle w:val="5"/>
            </w:pPr>
            <w:r>
              <w:rPr>
                <w:rFonts w:ascii="仿宋_GB2312" w:hAnsi="仿宋_GB2312" w:eastAsia="仿宋_GB2312" w:cs="仿宋_GB2312"/>
                <w:sz w:val="24"/>
              </w:rPr>
              <w:t>▲25、功能要求必须具备以下功能：登记指令取消、防捣乱保护、起动力矩补偿、提前开门、再平层功能、照明风扇节能、光幕保护装置、语音播报系统、门回路检测、门锁触点检测、门旁路装置、轿厢意外移动保护装置、制动器力矩自监测、关门力矩保护、轿门的开启、IC卡系统、接触器触点粘连检测、缺相保护、电气制动功能、限速器-安全钳联动试验、超载运行试验（须提供</w:t>
            </w:r>
            <w:r>
              <w:rPr>
                <w:rFonts w:hint="eastAsia" w:ascii="仿宋_GB2312" w:hAnsi="仿宋_GB2312" w:eastAsia="仿宋_GB2312" w:cs="仿宋_GB2312"/>
                <w:sz w:val="24"/>
              </w:rPr>
              <w:t>供具有资质的第三方权威机构</w:t>
            </w:r>
            <w:r>
              <w:rPr>
                <w:rFonts w:ascii="仿宋_GB2312" w:hAnsi="仿宋_GB2312" w:eastAsia="仿宋_GB2312" w:cs="仿宋_GB2312"/>
                <w:sz w:val="24"/>
              </w:rPr>
              <w:t>出具的试验报告复印件作为证明材料)。</w:t>
            </w:r>
          </w:p>
        </w:tc>
      </w:tr>
    </w:tbl>
    <w:p>
      <w:pPr>
        <w:pStyle w:val="5"/>
      </w:pPr>
      <w:r>
        <w:rPr>
          <w:rFonts w:ascii="仿宋_GB2312" w:hAnsi="仿宋_GB2312" w:eastAsia="仿宋_GB2312" w:cs="仿宋_GB2312"/>
        </w:rPr>
        <w:t>8、供应商一般资格要求</w:t>
      </w:r>
    </w:p>
    <w:tbl>
      <w:tblPr>
        <w:tblStyle w:val="4"/>
        <w:tblW w:w="8307"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2769"/>
        <w:gridCol w:w="2769"/>
        <w:gridCol w:w="276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5"/>
            </w:pPr>
            <w:r>
              <w:rPr>
                <w:rFonts w:ascii="仿宋_GB2312" w:hAnsi="仿宋_GB2312" w:eastAsia="仿宋_GB2312" w:cs="仿宋_GB2312"/>
              </w:rPr>
              <w:t>序号</w:t>
            </w:r>
          </w:p>
        </w:tc>
        <w:tc>
          <w:tcPr>
            <w:tcW w:w="2769" w:type="dxa"/>
          </w:tcPr>
          <w:p>
            <w:pPr>
              <w:pStyle w:val="5"/>
            </w:pPr>
            <w:r>
              <w:rPr>
                <w:rFonts w:ascii="仿宋_GB2312" w:hAnsi="仿宋_GB2312" w:eastAsia="仿宋_GB2312" w:cs="仿宋_GB2312"/>
              </w:rPr>
              <w:t>资格要求名称</w:t>
            </w:r>
          </w:p>
        </w:tc>
        <w:tc>
          <w:tcPr>
            <w:tcW w:w="2769" w:type="dxa"/>
          </w:tcPr>
          <w:p>
            <w:pPr>
              <w:pStyle w:val="5"/>
            </w:pPr>
            <w:r>
              <w:rPr>
                <w:rFonts w:ascii="仿宋_GB2312" w:hAnsi="仿宋_GB2312" w:eastAsia="仿宋_GB2312" w:cs="仿宋_GB2312"/>
              </w:rPr>
              <w:t>资格要求详细说明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5"/>
            </w:pPr>
            <w:r>
              <w:rPr>
                <w:rFonts w:ascii="仿宋_GB2312" w:hAnsi="仿宋_GB2312" w:eastAsia="仿宋_GB2312" w:cs="仿宋_GB2312"/>
              </w:rPr>
              <w:t>1</w:t>
            </w:r>
          </w:p>
        </w:tc>
        <w:tc>
          <w:tcPr>
            <w:tcW w:w="2769" w:type="dxa"/>
          </w:tcPr>
          <w:p>
            <w:pPr>
              <w:pStyle w:val="5"/>
            </w:pPr>
            <w:r>
              <w:rPr>
                <w:rFonts w:ascii="仿宋_GB2312" w:hAnsi="仿宋_GB2312" w:eastAsia="仿宋_GB2312" w:cs="仿宋_GB2312"/>
              </w:rPr>
              <w:t>具有独立承担民事责任的能力。</w:t>
            </w:r>
          </w:p>
        </w:tc>
        <w:tc>
          <w:tcPr>
            <w:tcW w:w="2769" w:type="dxa"/>
          </w:tcPr>
          <w:p>
            <w:pPr>
              <w:pStyle w:val="5"/>
            </w:pPr>
            <w:r>
              <w:rPr>
                <w:rFonts w:ascii="仿宋_GB2312" w:hAnsi="仿宋_GB2312" w:eastAsia="仿宋_GB2312" w:cs="仿宋_GB2312"/>
              </w:rPr>
              <w:t>投标人需在使用投标(响应)客户端编制投标文件时，按要求填写《投标（响应）函》完成承诺并进行电子签章。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5"/>
            </w:pPr>
            <w:r>
              <w:rPr>
                <w:rFonts w:ascii="仿宋_GB2312" w:hAnsi="仿宋_GB2312" w:eastAsia="仿宋_GB2312" w:cs="仿宋_GB2312"/>
              </w:rPr>
              <w:t>2</w:t>
            </w:r>
          </w:p>
        </w:tc>
        <w:tc>
          <w:tcPr>
            <w:tcW w:w="2769" w:type="dxa"/>
          </w:tcPr>
          <w:p>
            <w:pPr>
              <w:pStyle w:val="5"/>
            </w:pPr>
            <w:r>
              <w:rPr>
                <w:rFonts w:ascii="仿宋_GB2312" w:hAnsi="仿宋_GB2312" w:eastAsia="仿宋_GB2312" w:cs="仿宋_GB2312"/>
              </w:rPr>
              <w:t>具有良好的商业信誉</w:t>
            </w:r>
          </w:p>
        </w:tc>
        <w:tc>
          <w:tcPr>
            <w:tcW w:w="2769" w:type="dxa"/>
          </w:tcPr>
          <w:p>
            <w:pPr>
              <w:pStyle w:val="5"/>
            </w:pPr>
            <w:r>
              <w:rPr>
                <w:rFonts w:ascii="仿宋_GB2312" w:hAnsi="仿宋_GB2312" w:eastAsia="仿宋_GB2312" w:cs="仿宋_GB2312"/>
              </w:rPr>
              <w:t>投标人需在使用投标(响应)客户端编制投标文件时，按要求填写《投标（响应）函》完成承诺并进行电子签章。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5"/>
            </w:pPr>
            <w:r>
              <w:rPr>
                <w:rFonts w:ascii="仿宋_GB2312" w:hAnsi="仿宋_GB2312" w:eastAsia="仿宋_GB2312" w:cs="仿宋_GB2312"/>
              </w:rPr>
              <w:t>3</w:t>
            </w:r>
          </w:p>
        </w:tc>
        <w:tc>
          <w:tcPr>
            <w:tcW w:w="2769" w:type="dxa"/>
          </w:tcPr>
          <w:p>
            <w:pPr>
              <w:pStyle w:val="5"/>
            </w:pPr>
            <w:r>
              <w:rPr>
                <w:rFonts w:ascii="仿宋_GB2312" w:hAnsi="仿宋_GB2312" w:eastAsia="仿宋_GB2312" w:cs="仿宋_GB2312"/>
              </w:rPr>
              <w:t>具有健全的财务会计制度。</w:t>
            </w:r>
          </w:p>
        </w:tc>
        <w:tc>
          <w:tcPr>
            <w:tcW w:w="2769" w:type="dxa"/>
          </w:tcPr>
          <w:p>
            <w:pPr>
              <w:pStyle w:val="5"/>
            </w:pPr>
            <w:r>
              <w:rPr>
                <w:rFonts w:ascii="仿宋_GB2312" w:hAnsi="仿宋_GB2312" w:eastAsia="仿宋_GB2312" w:cs="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5"/>
            </w:pPr>
            <w:r>
              <w:rPr>
                <w:rFonts w:ascii="仿宋_GB2312" w:hAnsi="仿宋_GB2312" w:eastAsia="仿宋_GB2312" w:cs="仿宋_GB2312"/>
              </w:rPr>
              <w:t>4</w:t>
            </w:r>
          </w:p>
        </w:tc>
        <w:tc>
          <w:tcPr>
            <w:tcW w:w="2769" w:type="dxa"/>
          </w:tcPr>
          <w:p>
            <w:pPr>
              <w:pStyle w:val="5"/>
            </w:pPr>
            <w:r>
              <w:rPr>
                <w:rFonts w:ascii="仿宋_GB2312" w:hAnsi="仿宋_GB2312" w:eastAsia="仿宋_GB2312" w:cs="仿宋_GB2312"/>
              </w:rPr>
              <w:t>具有履行合同所必需的设备和专业技术能力。</w:t>
            </w:r>
          </w:p>
        </w:tc>
        <w:tc>
          <w:tcPr>
            <w:tcW w:w="2769" w:type="dxa"/>
          </w:tcPr>
          <w:p>
            <w:pPr>
              <w:pStyle w:val="5"/>
            </w:pPr>
            <w:r>
              <w:rPr>
                <w:rFonts w:ascii="仿宋_GB2312" w:hAnsi="仿宋_GB2312" w:eastAsia="仿宋_GB2312" w:cs="仿宋_GB2312"/>
              </w:rPr>
              <w:t>投标人需在使用投标(响应)客户端编制投标文件时，按要求填写《投标（响应）函》完成承诺并进行电子签章。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5"/>
            </w:pPr>
            <w:r>
              <w:rPr>
                <w:rFonts w:ascii="仿宋_GB2312" w:hAnsi="仿宋_GB2312" w:eastAsia="仿宋_GB2312" w:cs="仿宋_GB2312"/>
              </w:rPr>
              <w:t>5</w:t>
            </w:r>
          </w:p>
        </w:tc>
        <w:tc>
          <w:tcPr>
            <w:tcW w:w="2769" w:type="dxa"/>
          </w:tcPr>
          <w:p>
            <w:pPr>
              <w:pStyle w:val="5"/>
            </w:pPr>
            <w:r>
              <w:rPr>
                <w:rFonts w:ascii="仿宋_GB2312" w:hAnsi="仿宋_GB2312" w:eastAsia="仿宋_GB2312" w:cs="仿宋_GB2312"/>
              </w:rPr>
              <w:t>有依法缴纳税收和社会保障资金的良好记录。</w:t>
            </w:r>
          </w:p>
        </w:tc>
        <w:tc>
          <w:tcPr>
            <w:tcW w:w="2769" w:type="dxa"/>
          </w:tcPr>
          <w:p>
            <w:pPr>
              <w:pStyle w:val="5"/>
            </w:pPr>
            <w:r>
              <w:rPr>
                <w:rFonts w:ascii="仿宋_GB2312" w:hAnsi="仿宋_GB2312" w:eastAsia="仿宋_GB2312" w:cs="仿宋_GB2312"/>
              </w:rPr>
              <w:t>投标人需在使用投标(响应)客户端编制投标文件时，按要求填写《投标（响应）函》完成承诺并进行电子签章。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5"/>
            </w:pPr>
            <w:r>
              <w:rPr>
                <w:rFonts w:ascii="仿宋_GB2312" w:hAnsi="仿宋_GB2312" w:eastAsia="仿宋_GB2312" w:cs="仿宋_GB2312"/>
              </w:rPr>
              <w:t>6</w:t>
            </w:r>
          </w:p>
        </w:tc>
        <w:tc>
          <w:tcPr>
            <w:tcW w:w="2769" w:type="dxa"/>
          </w:tcPr>
          <w:p>
            <w:pPr>
              <w:pStyle w:val="5"/>
            </w:pPr>
            <w:r>
              <w:rPr>
                <w:rFonts w:ascii="仿宋_GB2312" w:hAnsi="仿宋_GB2312" w:eastAsia="仿宋_GB2312" w:cs="仿宋_GB2312"/>
              </w:rPr>
              <w:t>参加政府采购活动前三年内，在经营活动中没有重大违法记录。</w:t>
            </w:r>
          </w:p>
        </w:tc>
        <w:tc>
          <w:tcPr>
            <w:tcW w:w="2769" w:type="dxa"/>
          </w:tcPr>
          <w:p>
            <w:pPr>
              <w:pStyle w:val="5"/>
            </w:pPr>
            <w:r>
              <w:rPr>
                <w:rFonts w:ascii="仿宋_GB2312" w:hAnsi="仿宋_GB2312" w:eastAsia="仿宋_GB2312" w:cs="仿宋_GB2312"/>
              </w:rPr>
              <w:t>投标人需在使用投标(响应)客户端编制投标文件时，按要求填写《投标（响应）函》完成承诺并进行电子签章。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5"/>
            </w:pPr>
            <w:r>
              <w:rPr>
                <w:rFonts w:ascii="仿宋_GB2312" w:hAnsi="仿宋_GB2312" w:eastAsia="仿宋_GB2312" w:cs="仿宋_GB2312"/>
              </w:rPr>
              <w:t>7</w:t>
            </w:r>
          </w:p>
        </w:tc>
        <w:tc>
          <w:tcPr>
            <w:tcW w:w="2769" w:type="dxa"/>
          </w:tcPr>
          <w:p>
            <w:pPr>
              <w:pStyle w:val="5"/>
            </w:pPr>
            <w:r>
              <w:rPr>
                <w:rFonts w:ascii="仿宋_GB2312" w:hAnsi="仿宋_GB2312" w:eastAsia="仿宋_GB2312" w:cs="仿宋_GB2312"/>
              </w:rPr>
              <w:t>符合《中华人民共和国政府采购法实施条例》第十八条第一款规定。</w:t>
            </w:r>
          </w:p>
        </w:tc>
        <w:tc>
          <w:tcPr>
            <w:tcW w:w="2769" w:type="dxa"/>
          </w:tcPr>
          <w:p>
            <w:pPr>
              <w:pStyle w:val="5"/>
            </w:pPr>
            <w:r>
              <w:rPr>
                <w:rFonts w:ascii="仿宋_GB2312" w:hAnsi="仿宋_GB2312" w:eastAsia="仿宋_GB2312" w:cs="仿宋_GB2312"/>
              </w:rPr>
              <w:t>投标人需在使用投标(响应)客户端编制投标文件时，按要求填写《投标（响应）函》完成承诺并进行电子签章。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2769" w:type="dxa"/>
          </w:tcPr>
          <w:p>
            <w:pPr>
              <w:pStyle w:val="5"/>
            </w:pPr>
            <w:r>
              <w:rPr>
                <w:rFonts w:ascii="仿宋_GB2312" w:hAnsi="仿宋_GB2312" w:eastAsia="仿宋_GB2312" w:cs="仿宋_GB2312"/>
              </w:rPr>
              <w:t>8</w:t>
            </w:r>
          </w:p>
        </w:tc>
        <w:tc>
          <w:tcPr>
            <w:tcW w:w="2769" w:type="dxa"/>
          </w:tcPr>
          <w:p>
            <w:pPr>
              <w:pStyle w:val="5"/>
            </w:pPr>
            <w:r>
              <w:rPr>
                <w:rFonts w:ascii="仿宋_GB2312" w:hAnsi="仿宋_GB2312" w:eastAsia="仿宋_GB2312" w:cs="仿宋_GB2312"/>
              </w:rPr>
              <w:t>不属于为本项目提供整体设计、规范编制或者项目管理、监理、检测等服务的投标人。</w:t>
            </w:r>
          </w:p>
        </w:tc>
        <w:tc>
          <w:tcPr>
            <w:tcW w:w="2769" w:type="dxa"/>
          </w:tcPr>
          <w:p>
            <w:pPr>
              <w:pStyle w:val="5"/>
            </w:pPr>
            <w:r>
              <w:rPr>
                <w:rFonts w:ascii="仿宋_GB2312" w:hAnsi="仿宋_GB2312" w:eastAsia="仿宋_GB2312" w:cs="仿宋_GB2312"/>
              </w:rPr>
              <w:t>投标人需在使用投标(响应)客户端编制投标文件时，按要求填写《投标（响应）函》完成承诺并进行电子签章。</w:t>
            </w:r>
          </w:p>
        </w:tc>
      </w:tr>
    </w:tbl>
    <w:p>
      <w:pPr>
        <w:pStyle w:val="5"/>
      </w:pPr>
      <w:r>
        <w:rPr>
          <w:rFonts w:ascii="仿宋_GB2312" w:hAnsi="仿宋_GB2312" w:eastAsia="仿宋_GB2312" w:cs="仿宋_GB2312"/>
        </w:rPr>
        <w:t>9、供应商特殊资格要求</w:t>
      </w:r>
    </w:p>
    <w:tbl>
      <w:tblPr>
        <w:tblStyle w:val="4"/>
        <w:tblW w:w="830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489"/>
        <w:gridCol w:w="1954"/>
        <w:gridCol w:w="586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489" w:type="dxa"/>
          </w:tcPr>
          <w:p>
            <w:pPr>
              <w:pStyle w:val="5"/>
            </w:pPr>
            <w:r>
              <w:rPr>
                <w:rFonts w:ascii="仿宋_GB2312" w:hAnsi="仿宋_GB2312" w:eastAsia="仿宋_GB2312" w:cs="仿宋_GB2312"/>
              </w:rPr>
              <w:t>序号</w:t>
            </w:r>
          </w:p>
        </w:tc>
        <w:tc>
          <w:tcPr>
            <w:tcW w:w="1954" w:type="dxa"/>
          </w:tcPr>
          <w:p>
            <w:pPr>
              <w:pStyle w:val="5"/>
            </w:pPr>
            <w:r>
              <w:rPr>
                <w:rFonts w:ascii="仿宋_GB2312" w:hAnsi="仿宋_GB2312" w:eastAsia="仿宋_GB2312" w:cs="仿宋_GB2312"/>
              </w:rPr>
              <w:t>资格要求名称</w:t>
            </w:r>
          </w:p>
        </w:tc>
        <w:tc>
          <w:tcPr>
            <w:tcW w:w="5863" w:type="dxa"/>
          </w:tcPr>
          <w:p>
            <w:pPr>
              <w:pStyle w:val="5"/>
            </w:pPr>
            <w:r>
              <w:rPr>
                <w:rFonts w:ascii="仿宋_GB2312" w:hAnsi="仿宋_GB2312" w:eastAsia="仿宋_GB2312" w:cs="仿宋_GB2312"/>
              </w:rPr>
              <w:t>资格要求详细说明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8306" w:type="dxa"/>
            <w:gridSpan w:val="3"/>
          </w:tcPr>
          <w:p>
            <w:pPr>
              <w:ind w:firstLine="400" w:firstLineChars="200"/>
              <w:jc w:val="left"/>
            </w:pPr>
            <w:r>
              <w:rPr>
                <w:rFonts w:hint="eastAsia" w:ascii="仿宋_GB2312" w:hAnsi="仿宋_GB2312" w:eastAsia="仿宋_GB2312" w:cs="仿宋_GB2312"/>
                <w:color w:val="FF0000"/>
                <w:kern w:val="0"/>
                <w:sz w:val="20"/>
                <w:szCs w:val="20"/>
                <w:lang w:val="en-US" w:eastAsia="zh-Hans"/>
              </w:rPr>
              <w:t>1、①若供应商为产品制造（生产）单位，须具备国家行政主管部门颁发的有效的《中华人民共和国特种设备生产许可证》：电梯制造（含安装、修理）。 ②若供应商为非产品制造（生产）单位，其所投产品制造（生产）单位必须具有国家行政主管部门颁发的有效的《中华人民共和国特种设备生产许可证》：电梯制造（含安装、修理），同时投标供应商应具有国家行政主管部门颁发的有效的《中华人民共和国特种设备生产许可证》：电梯安装（含修理）。（描述：①若响应供应商为制造（生产）单位，提供国家行政主管部门颁发的有效的《中华人民共和国特种设备生产许可证》，许可项目为电梯制造（含安装、修理）证书的原件扫描件或复印件。 ②若响应供应商为非产品制造（生产）单位，提供所投产品制造商国家行政主管部门颁发的有效的《中华人民共和国特种设备生产许可证》，许可项目为电梯制造（含安装、修理）证书的原件扫描件或复印件；同时提供投标供应商的由国家行政主管部门颁发的有效的《中华人民共和国特种设备生产许可证》，许可项目为电梯安装（含修理）证书的原件扫描件或复印件。）</w:t>
            </w:r>
          </w:p>
        </w:tc>
      </w:tr>
    </w:tbl>
    <w:p>
      <w:pPr>
        <w:pStyle w:val="5"/>
      </w:pPr>
      <w:r>
        <w:rPr>
          <w:rFonts w:ascii="仿宋_GB2312" w:hAnsi="仿宋_GB2312" w:eastAsia="仿宋_GB2312" w:cs="仿宋_GB2312"/>
        </w:rPr>
        <w:t>10、分包的评审条款</w:t>
      </w:r>
    </w:p>
    <w:tbl>
      <w:tblPr>
        <w:tblStyle w:val="4"/>
        <w:tblW w:w="8304"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384" w:type="dxa"/>
          </w:tcPr>
          <w:p>
            <w:pPr>
              <w:pStyle w:val="5"/>
            </w:pPr>
            <w:r>
              <w:rPr>
                <w:rFonts w:ascii="仿宋_GB2312" w:hAnsi="仿宋_GB2312" w:eastAsia="仿宋_GB2312" w:cs="仿宋_GB2312"/>
              </w:rPr>
              <w:t>评审项编号</w:t>
            </w:r>
          </w:p>
        </w:tc>
        <w:tc>
          <w:tcPr>
            <w:tcW w:w="1384" w:type="dxa"/>
          </w:tcPr>
          <w:p>
            <w:pPr>
              <w:pStyle w:val="5"/>
            </w:pPr>
            <w:r>
              <w:rPr>
                <w:rFonts w:ascii="仿宋_GB2312" w:hAnsi="仿宋_GB2312" w:eastAsia="仿宋_GB2312" w:cs="仿宋_GB2312"/>
              </w:rPr>
              <w:t>一级评审项</w:t>
            </w:r>
          </w:p>
        </w:tc>
        <w:tc>
          <w:tcPr>
            <w:tcW w:w="1384" w:type="dxa"/>
          </w:tcPr>
          <w:p>
            <w:pPr>
              <w:pStyle w:val="5"/>
            </w:pPr>
            <w:r>
              <w:rPr>
                <w:rFonts w:ascii="仿宋_GB2312" w:hAnsi="仿宋_GB2312" w:eastAsia="仿宋_GB2312" w:cs="仿宋_GB2312"/>
              </w:rPr>
              <w:t>二级评审项</w:t>
            </w:r>
          </w:p>
        </w:tc>
        <w:tc>
          <w:tcPr>
            <w:tcW w:w="1384" w:type="dxa"/>
          </w:tcPr>
          <w:p>
            <w:pPr>
              <w:pStyle w:val="5"/>
            </w:pPr>
            <w:r>
              <w:rPr>
                <w:rFonts w:ascii="仿宋_GB2312" w:hAnsi="仿宋_GB2312" w:eastAsia="仿宋_GB2312" w:cs="仿宋_GB2312"/>
              </w:rPr>
              <w:t>详细要求</w:t>
            </w:r>
          </w:p>
        </w:tc>
        <w:tc>
          <w:tcPr>
            <w:tcW w:w="1384" w:type="dxa"/>
          </w:tcPr>
          <w:p>
            <w:pPr>
              <w:pStyle w:val="5"/>
            </w:pPr>
            <w:r>
              <w:rPr>
                <w:rFonts w:ascii="仿宋_GB2312" w:hAnsi="仿宋_GB2312" w:eastAsia="仿宋_GB2312" w:cs="仿宋_GB2312"/>
              </w:rPr>
              <w:t>分值</w:t>
            </w:r>
          </w:p>
        </w:tc>
        <w:tc>
          <w:tcPr>
            <w:tcW w:w="1384" w:type="dxa"/>
          </w:tcPr>
          <w:p>
            <w:pPr>
              <w:pStyle w:val="5"/>
            </w:pPr>
            <w:r>
              <w:rPr>
                <w:rFonts w:ascii="仿宋_GB2312" w:hAnsi="仿宋_GB2312" w:eastAsia="仿宋_GB2312" w:cs="仿宋_GB2312"/>
              </w:rPr>
              <w:t>客观评审项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384" w:type="dxa"/>
          </w:tcPr>
          <w:p>
            <w:pPr>
              <w:pStyle w:val="5"/>
            </w:pPr>
            <w:r>
              <w:rPr>
                <w:rFonts w:ascii="仿宋_GB2312" w:hAnsi="仿宋_GB2312" w:eastAsia="仿宋_GB2312" w:cs="仿宋_GB2312"/>
              </w:rPr>
              <w:t>1</w:t>
            </w:r>
          </w:p>
        </w:tc>
        <w:tc>
          <w:tcPr>
            <w:tcW w:w="1384" w:type="dxa"/>
          </w:tcPr>
          <w:p>
            <w:pPr>
              <w:pStyle w:val="5"/>
            </w:pPr>
            <w:r>
              <w:rPr>
                <w:rFonts w:ascii="仿宋_GB2312" w:hAnsi="仿宋_GB2312" w:eastAsia="仿宋_GB2312" w:cs="仿宋_GB2312"/>
              </w:rPr>
              <w:t>详细评审</w:t>
            </w:r>
          </w:p>
        </w:tc>
        <w:tc>
          <w:tcPr>
            <w:tcW w:w="1384" w:type="dxa"/>
          </w:tcPr>
          <w:p>
            <w:pPr>
              <w:pStyle w:val="5"/>
            </w:pPr>
            <w:r>
              <w:rPr>
                <w:rFonts w:ascii="仿宋_GB2312" w:hAnsi="仿宋_GB2312" w:eastAsia="仿宋_GB2312" w:cs="仿宋_GB2312"/>
              </w:rPr>
              <w:t>技术部分</w:t>
            </w:r>
          </w:p>
        </w:tc>
        <w:tc>
          <w:tcPr>
            <w:tcW w:w="1384" w:type="dxa"/>
          </w:tcPr>
          <w:p>
            <w:pPr>
              <w:pStyle w:val="5"/>
            </w:pPr>
            <w:r>
              <w:rPr>
                <w:rFonts w:ascii="仿宋_GB2312" w:hAnsi="仿宋_GB2312" w:eastAsia="仿宋_GB2312" w:cs="仿宋_GB2312"/>
              </w:rPr>
              <w:t>本项共30分，其中：（1）带“▲”参数条款共计10条，完全满足得20分，每有一个负偏离扣2分；（2）非“▲”号参数条款共计10条，完全满足得10分，每有一个负偏离扣1分。注：（1）技术参数中“★”条款为实质性要求，不在评分范围内，不允许负偏离；（2）佐证材料以招标文件中要求为准（若有），未提供有效佐证材料或佐证材料中内容与响应内容不一致的，视为未满足该项要求。</w:t>
            </w:r>
          </w:p>
        </w:tc>
        <w:tc>
          <w:tcPr>
            <w:tcW w:w="1384" w:type="dxa"/>
          </w:tcPr>
          <w:p>
            <w:pPr>
              <w:pStyle w:val="5"/>
              <w:jc w:val="right"/>
              <w:rPr>
                <w:rFonts w:hint="default" w:eastAsiaTheme="minorEastAsia"/>
                <w:lang w:val="en-US" w:eastAsia="zh-CN"/>
              </w:rPr>
            </w:pPr>
            <w:r>
              <w:rPr>
                <w:rFonts w:hint="eastAsia" w:ascii="仿宋_GB2312" w:hAnsi="仿宋_GB2312" w:eastAsia="仿宋_GB2312" w:cs="仿宋_GB2312"/>
                <w:lang w:val="en-US" w:eastAsia="zh-CN"/>
              </w:rPr>
              <w:t>30</w:t>
            </w:r>
          </w:p>
        </w:tc>
        <w:tc>
          <w:tcPr>
            <w:tcW w:w="1384" w:type="dxa"/>
          </w:tcPr>
          <w:p>
            <w:pPr>
              <w:pStyle w:val="5"/>
            </w:pPr>
            <w:r>
              <w:rPr>
                <w:rFonts w:ascii="仿宋_GB2312" w:hAnsi="仿宋_GB2312" w:eastAsia="仿宋_GB2312" w:cs="仿宋_GB2312"/>
              </w:rPr>
              <w:t>是</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384" w:type="dxa"/>
          </w:tcPr>
          <w:p>
            <w:pPr>
              <w:pStyle w:val="5"/>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c>
          <w:tcPr>
            <w:tcW w:w="1384" w:type="dxa"/>
          </w:tcPr>
          <w:p>
            <w:pPr>
              <w:pStyle w:val="5"/>
              <w:rPr>
                <w:rFonts w:ascii="仿宋_GB2312" w:hAnsi="仿宋_GB2312" w:eastAsia="仿宋_GB2312" w:cs="仿宋_GB2312"/>
              </w:rPr>
            </w:pPr>
            <w:r>
              <w:rPr>
                <w:rFonts w:ascii="仿宋_GB2312" w:hAnsi="仿宋_GB2312" w:eastAsia="仿宋_GB2312" w:cs="仿宋_GB2312"/>
              </w:rPr>
              <w:t>详细评审</w:t>
            </w:r>
          </w:p>
        </w:tc>
        <w:tc>
          <w:tcPr>
            <w:tcW w:w="1384" w:type="dxa"/>
          </w:tcPr>
          <w:p>
            <w:pPr>
              <w:pStyle w:val="5"/>
              <w:rPr>
                <w:rFonts w:ascii="仿宋_GB2312" w:hAnsi="仿宋_GB2312" w:eastAsia="仿宋_GB2312" w:cs="仿宋_GB2312"/>
              </w:rPr>
            </w:pPr>
            <w:r>
              <w:rPr>
                <w:rFonts w:ascii="仿宋_GB2312" w:hAnsi="仿宋_GB2312" w:eastAsia="仿宋_GB2312" w:cs="仿宋_GB2312"/>
              </w:rPr>
              <w:t>施工图设计完整性</w:t>
            </w:r>
          </w:p>
        </w:tc>
        <w:tc>
          <w:tcPr>
            <w:tcW w:w="1384" w:type="dxa"/>
          </w:tcPr>
          <w:p>
            <w:pPr>
              <w:pStyle w:val="5"/>
              <w:rPr>
                <w:rFonts w:ascii="仿宋_GB2312" w:hAnsi="仿宋_GB2312" w:eastAsia="仿宋_GB2312" w:cs="仿宋_GB2312"/>
              </w:rPr>
            </w:pPr>
            <w:r>
              <w:rPr>
                <w:rFonts w:ascii="仿宋_GB2312" w:hAnsi="仿宋_GB2312" w:eastAsia="仿宋_GB2312" w:cs="仿宋_GB2312"/>
              </w:rPr>
              <w:t>对投标人所投电梯的施工图设计完整性与图纸质量包括： 1.图纸齐全性：提供了完整的土建布置图（包括井道、机房、底坑</w:t>
            </w:r>
            <w:r>
              <w:rPr>
                <w:rFonts w:hint="eastAsia" w:ascii="仿宋_GB2312" w:hAnsi="仿宋_GB2312" w:eastAsia="仿宋_GB2312" w:cs="仿宋_GB2312"/>
                <w:lang w:eastAsia="zh-CN"/>
              </w:rPr>
              <w:t>、</w:t>
            </w:r>
            <w:r>
              <w:rPr>
                <w:rFonts w:hint="eastAsia" w:ascii="仿宋_GB2312" w:hAnsi="仿宋_GB2312" w:eastAsia="仿宋_GB2312" w:cs="仿宋_GB2312"/>
                <w:color w:val="FF0000"/>
                <w:lang w:eastAsia="zh-CN"/>
              </w:rPr>
              <w:t>连廊</w:t>
            </w:r>
            <w:r>
              <w:rPr>
                <w:rFonts w:ascii="仿宋_GB2312" w:hAnsi="仿宋_GB2312" w:eastAsia="仿宋_GB2312" w:cs="仿宋_GB2312"/>
              </w:rPr>
              <w:t>）、电气原理图、部件安装详图等全套设计图纸。 2.图纸规范性：图纸符合制图标准，图例、标注、尺寸清晰准确，设计说明详尽。 3.与建筑结构的匹配度：设计图纸与招标项目提供的建筑结构图无缝对接，预留尺寸、荷载要求等精确吻合。4.人性化设计：井道、机房、底坑</w:t>
            </w:r>
            <w:r>
              <w:rPr>
                <w:rFonts w:hint="eastAsia" w:ascii="仿宋_GB2312" w:hAnsi="仿宋_GB2312" w:eastAsia="仿宋_GB2312" w:cs="仿宋_GB2312"/>
                <w:lang w:eastAsia="zh-CN"/>
              </w:rPr>
              <w:t>、</w:t>
            </w:r>
            <w:r>
              <w:rPr>
                <w:rFonts w:hint="eastAsia" w:ascii="仿宋_GB2312" w:hAnsi="仿宋_GB2312" w:eastAsia="仿宋_GB2312" w:cs="仿宋_GB2312"/>
                <w:color w:val="FF0000"/>
                <w:lang w:eastAsia="zh-CN"/>
              </w:rPr>
              <w:t>连廊</w:t>
            </w:r>
            <w:r>
              <w:rPr>
                <w:rFonts w:ascii="仿宋_GB2312" w:hAnsi="仿宋_GB2312" w:eastAsia="仿宋_GB2312" w:cs="仿宋_GB2312"/>
              </w:rPr>
              <w:t>的设置位置合理（综合考虑了建筑结构、使用功能、安全规范及空间利用等因素），设计预留了未来功能升级（如群控系统优化、新增楼层接入）的接口或空间等提升用户体验的设计。以上内容齐全，完全满足招标文件及采购人要求的得 10分；每缺少1项内容的扣2.5分，扣完为止；每1项存在错误、不合理或缺陷的扣1分。</w:t>
            </w:r>
          </w:p>
        </w:tc>
        <w:tc>
          <w:tcPr>
            <w:tcW w:w="1384" w:type="dxa"/>
          </w:tcPr>
          <w:p>
            <w:pPr>
              <w:pStyle w:val="5"/>
              <w:jc w:val="right"/>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c>
          <w:tcPr>
            <w:tcW w:w="1384" w:type="dxa"/>
          </w:tcPr>
          <w:p>
            <w:pPr>
              <w:pStyle w:val="5"/>
              <w:rPr>
                <w:rFonts w:hint="eastAsia" w:ascii="仿宋_GB2312" w:hAnsi="仿宋_GB2312" w:eastAsia="仿宋_GB2312" w:cs="仿宋_GB2312"/>
                <w:lang w:eastAsia="zh-CN"/>
              </w:rPr>
            </w:pPr>
            <w:r>
              <w:rPr>
                <w:rFonts w:hint="eastAsia" w:ascii="仿宋_GB2312" w:hAnsi="仿宋_GB2312" w:eastAsia="仿宋_GB2312" w:cs="仿宋_GB2312"/>
                <w:lang w:eastAsia="zh-CN"/>
              </w:rPr>
              <w:t>是</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384" w:type="dxa"/>
          </w:tcPr>
          <w:p>
            <w:pPr>
              <w:pStyle w:val="5"/>
              <w:rPr>
                <w:rFonts w:hint="eastAsia" w:eastAsiaTheme="minorEastAsia"/>
                <w:lang w:eastAsia="zh-CN"/>
              </w:rPr>
            </w:pPr>
            <w:r>
              <w:rPr>
                <w:rFonts w:hint="eastAsia" w:ascii="仿宋_GB2312" w:hAnsi="仿宋_GB2312" w:eastAsia="仿宋_GB2312" w:cs="仿宋_GB2312"/>
                <w:lang w:val="en-US" w:eastAsia="zh-CN"/>
              </w:rPr>
              <w:t>3</w:t>
            </w:r>
          </w:p>
        </w:tc>
        <w:tc>
          <w:tcPr>
            <w:tcW w:w="1384" w:type="dxa"/>
          </w:tcPr>
          <w:p>
            <w:pPr>
              <w:pStyle w:val="5"/>
            </w:pPr>
            <w:r>
              <w:rPr>
                <w:rFonts w:ascii="仿宋_GB2312" w:hAnsi="仿宋_GB2312" w:eastAsia="仿宋_GB2312" w:cs="仿宋_GB2312"/>
              </w:rPr>
              <w:t>详细评审</w:t>
            </w:r>
          </w:p>
        </w:tc>
        <w:tc>
          <w:tcPr>
            <w:tcW w:w="1384" w:type="dxa"/>
          </w:tcPr>
          <w:p>
            <w:pPr>
              <w:pStyle w:val="5"/>
              <w:rPr>
                <w:rFonts w:hint="eastAsia" w:eastAsiaTheme="minorEastAsia"/>
                <w:lang w:eastAsia="zh-CN"/>
              </w:rPr>
            </w:pPr>
            <w:r>
              <w:rPr>
                <w:rFonts w:hint="eastAsia" w:ascii="仿宋_GB2312" w:hAnsi="仿宋_GB2312" w:eastAsia="仿宋_GB2312" w:cs="仿宋_GB2312"/>
                <w:lang w:eastAsia="zh-CN"/>
              </w:rPr>
              <w:t>实施方案</w:t>
            </w:r>
          </w:p>
        </w:tc>
        <w:tc>
          <w:tcPr>
            <w:tcW w:w="1384" w:type="dxa"/>
          </w:tcPr>
          <w:p>
            <w:pPr>
              <w:pStyle w:val="5"/>
            </w:pPr>
            <w:r>
              <w:rPr>
                <w:rFonts w:ascii="仿宋_GB2312" w:hAnsi="仿宋_GB2312" w:eastAsia="仿宋_GB2312" w:cs="仿宋_GB2312"/>
              </w:rPr>
              <w:t>投标人需提供的针对本项目的实施方案；内容包括：1、人员配置及分工，技术及安装人员需提供相应的资格证书复印件。2、货源组织及包装运输方案。3、项目实施规划及时间进度安排。4、项目实施应急预案、质量保障措施。5、安全保障措施。6、安装调试、培训验收等共及6个方案。 以上内容齐全，完全满足招标文件及采购人要求的得 18分；每缺少1项内容的扣3分，扣完为止；每1项存在错误或缺陷的扣1分。 说明：方案存在错误或缺陷（（缺陷是指：项目名称错误、地点区域错误、内 容与本项目需求不一致、仅有框架或标题无具体内容、适用的标准(方法)错误、内容前后矛盾、明显复制其他项目内容等任意一种情形。）</w:t>
            </w:r>
          </w:p>
        </w:tc>
        <w:tc>
          <w:tcPr>
            <w:tcW w:w="1384" w:type="dxa"/>
          </w:tcPr>
          <w:p>
            <w:pPr>
              <w:pStyle w:val="5"/>
              <w:jc w:val="right"/>
            </w:pPr>
            <w:r>
              <w:rPr>
                <w:rFonts w:hint="eastAsia" w:ascii="仿宋_GB2312" w:hAnsi="仿宋_GB2312" w:eastAsia="仿宋_GB2312" w:cs="仿宋_GB2312"/>
                <w:lang w:val="en-US" w:eastAsia="zh-CN"/>
              </w:rPr>
              <w:t>18</w:t>
            </w:r>
            <w:r>
              <w:rPr>
                <w:rFonts w:ascii="仿宋_GB2312" w:hAnsi="仿宋_GB2312" w:eastAsia="仿宋_GB2312" w:cs="仿宋_GB2312"/>
              </w:rPr>
              <w:t>.0000</w:t>
            </w:r>
          </w:p>
        </w:tc>
        <w:tc>
          <w:tcPr>
            <w:tcW w:w="1384" w:type="dxa"/>
          </w:tcPr>
          <w:p>
            <w:pPr>
              <w:pStyle w:val="5"/>
            </w:pPr>
            <w:r>
              <w:rPr>
                <w:rFonts w:ascii="仿宋_GB2312" w:hAnsi="仿宋_GB2312" w:eastAsia="仿宋_GB2312" w:cs="仿宋_GB2312"/>
              </w:rPr>
              <w:t>是</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384" w:type="dxa"/>
          </w:tcPr>
          <w:p>
            <w:pPr>
              <w:pStyle w:val="5"/>
              <w:rPr>
                <w:rFonts w:hint="eastAsia" w:eastAsiaTheme="minorEastAsia"/>
                <w:lang w:eastAsia="zh-CN"/>
              </w:rPr>
            </w:pPr>
            <w:r>
              <w:rPr>
                <w:rFonts w:hint="eastAsia" w:ascii="仿宋_GB2312" w:hAnsi="仿宋_GB2312" w:eastAsia="仿宋_GB2312" w:cs="仿宋_GB2312"/>
                <w:lang w:val="en-US" w:eastAsia="zh-CN"/>
              </w:rPr>
              <w:t>4</w:t>
            </w:r>
          </w:p>
        </w:tc>
        <w:tc>
          <w:tcPr>
            <w:tcW w:w="1384" w:type="dxa"/>
          </w:tcPr>
          <w:p>
            <w:pPr>
              <w:pStyle w:val="5"/>
            </w:pPr>
            <w:r>
              <w:rPr>
                <w:rFonts w:ascii="仿宋_GB2312" w:hAnsi="仿宋_GB2312" w:eastAsia="仿宋_GB2312" w:cs="仿宋_GB2312"/>
              </w:rPr>
              <w:t>详细评审</w:t>
            </w:r>
          </w:p>
        </w:tc>
        <w:tc>
          <w:tcPr>
            <w:tcW w:w="1384" w:type="dxa"/>
          </w:tcPr>
          <w:p>
            <w:pPr>
              <w:pStyle w:val="5"/>
            </w:pPr>
            <w:r>
              <w:rPr>
                <w:rFonts w:ascii="仿宋_GB2312" w:hAnsi="仿宋_GB2312" w:eastAsia="仿宋_GB2312" w:cs="仿宋_GB2312"/>
              </w:rPr>
              <w:t>售后服务方案</w:t>
            </w:r>
          </w:p>
        </w:tc>
        <w:tc>
          <w:tcPr>
            <w:tcW w:w="1384" w:type="dxa"/>
          </w:tcPr>
          <w:p>
            <w:pPr>
              <w:pStyle w:val="5"/>
            </w:pPr>
            <w:r>
              <w:rPr>
                <w:rFonts w:ascii="仿宋_GB2312" w:hAnsi="仿宋_GB2312" w:eastAsia="仿宋_GB2312" w:cs="仿宋_GB2312"/>
              </w:rPr>
              <w:t>根据投标人提出的售后服务方案，包括但不限于:(1)售后服务范围;(2)售后服务人员和职责;(3)备品备件配置;(4)应急措施。以上内容详尽且符合采购需求的得1</w:t>
            </w:r>
            <w:r>
              <w:rPr>
                <w:rFonts w:hint="eastAsia" w:ascii="仿宋_GB2312" w:hAnsi="仿宋_GB2312" w:eastAsia="仿宋_GB2312" w:cs="仿宋_GB2312"/>
                <w:lang w:val="en-US" w:eastAsia="zh-CN"/>
              </w:rPr>
              <w:t>2</w:t>
            </w:r>
            <w:r>
              <w:rPr>
                <w:rFonts w:ascii="仿宋_GB2312" w:hAnsi="仿宋_GB2312" w:eastAsia="仿宋_GB2312" w:cs="仿宋_GB2312"/>
              </w:rPr>
              <w:t>分;每缺少一项内容扣</w:t>
            </w:r>
            <w:r>
              <w:rPr>
                <w:rFonts w:hint="eastAsia" w:ascii="仿宋_GB2312" w:hAnsi="仿宋_GB2312" w:eastAsia="仿宋_GB2312" w:cs="仿宋_GB2312"/>
                <w:lang w:val="en-US" w:eastAsia="zh-CN"/>
              </w:rPr>
              <w:t>3</w:t>
            </w:r>
            <w:bookmarkStart w:id="1" w:name="_GoBack"/>
            <w:bookmarkEnd w:id="1"/>
            <w:r>
              <w:rPr>
                <w:rFonts w:ascii="仿宋_GB2312" w:hAnsi="仿宋_GB2312" w:eastAsia="仿宋_GB2312" w:cs="仿宋_GB2312"/>
              </w:rPr>
              <w:t>分;每一项中每有1处存在内容缺陷扣2分，该项分值扣完为止。注:缺陷是指以下情形中的任意一项:方案内容体现不齐全，仅有框架或标题，涉及内容无重点，项目名称、服务内容及要求、实施地点、进度计划超期、涉及的规范、标准与本项目要求不一致。</w:t>
            </w:r>
          </w:p>
        </w:tc>
        <w:tc>
          <w:tcPr>
            <w:tcW w:w="1384" w:type="dxa"/>
          </w:tcPr>
          <w:p>
            <w:pPr>
              <w:pStyle w:val="5"/>
              <w:jc w:val="right"/>
            </w:pPr>
            <w:r>
              <w:rPr>
                <w:rFonts w:hint="eastAsia" w:ascii="仿宋_GB2312" w:hAnsi="仿宋_GB2312" w:eastAsia="仿宋_GB2312" w:cs="仿宋_GB2312"/>
                <w:lang w:val="en-US" w:eastAsia="zh-CN"/>
              </w:rPr>
              <w:t>12</w:t>
            </w:r>
            <w:r>
              <w:rPr>
                <w:rFonts w:ascii="仿宋_GB2312" w:hAnsi="仿宋_GB2312" w:eastAsia="仿宋_GB2312" w:cs="仿宋_GB2312"/>
              </w:rPr>
              <w:t>.0000</w:t>
            </w:r>
          </w:p>
        </w:tc>
        <w:tc>
          <w:tcPr>
            <w:tcW w:w="1384" w:type="dxa"/>
          </w:tcPr>
          <w:p>
            <w:pPr>
              <w:pStyle w:val="5"/>
            </w:pPr>
            <w:r>
              <w:rPr>
                <w:rFonts w:ascii="仿宋_GB2312" w:hAnsi="仿宋_GB2312" w:eastAsia="仿宋_GB2312" w:cs="仿宋_GB2312"/>
              </w:rPr>
              <w:t>是</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1384" w:type="dxa"/>
          </w:tcPr>
          <w:p>
            <w:pPr>
              <w:pStyle w:val="5"/>
              <w:rPr>
                <w:rFonts w:hint="eastAsia" w:eastAsiaTheme="minorEastAsia"/>
                <w:lang w:eastAsia="zh-CN"/>
              </w:rPr>
            </w:pPr>
            <w:r>
              <w:rPr>
                <w:rFonts w:hint="eastAsia" w:ascii="仿宋_GB2312" w:hAnsi="仿宋_GB2312" w:eastAsia="仿宋_GB2312" w:cs="仿宋_GB2312"/>
                <w:lang w:val="en-US" w:eastAsia="zh-CN"/>
              </w:rPr>
              <w:t>5</w:t>
            </w:r>
          </w:p>
        </w:tc>
        <w:tc>
          <w:tcPr>
            <w:tcW w:w="1384" w:type="dxa"/>
          </w:tcPr>
          <w:p>
            <w:pPr>
              <w:pStyle w:val="5"/>
            </w:pPr>
            <w:r>
              <w:rPr>
                <w:rFonts w:ascii="仿宋_GB2312" w:hAnsi="仿宋_GB2312" w:eastAsia="仿宋_GB2312" w:cs="仿宋_GB2312"/>
              </w:rPr>
              <w:t>详细评审</w:t>
            </w:r>
          </w:p>
        </w:tc>
        <w:tc>
          <w:tcPr>
            <w:tcW w:w="1384" w:type="dxa"/>
          </w:tcPr>
          <w:p>
            <w:pPr>
              <w:pStyle w:val="5"/>
            </w:pPr>
            <w:r>
              <w:rPr>
                <w:rFonts w:ascii="仿宋_GB2312" w:hAnsi="仿宋_GB2312" w:eastAsia="仿宋_GB2312" w:cs="仿宋_GB2312"/>
              </w:rPr>
              <w:t>报价</w:t>
            </w:r>
          </w:p>
        </w:tc>
        <w:tc>
          <w:tcPr>
            <w:tcW w:w="1384" w:type="dxa"/>
          </w:tcPr>
          <w:p>
            <w:pPr>
              <w:pStyle w:val="5"/>
            </w:pPr>
            <w:r>
              <w:rPr>
                <w:rFonts w:ascii="仿宋_GB2312" w:hAnsi="仿宋_GB2312" w:eastAsia="仿宋_GB2312" w:cs="仿宋_GB2312"/>
              </w:rPr>
              <w:t>满足招标文件要求且报价最低的为评审基准价，价格得分=(评审基准价/报价)x标准分值</w:t>
            </w:r>
          </w:p>
        </w:tc>
        <w:tc>
          <w:tcPr>
            <w:tcW w:w="1384" w:type="dxa"/>
          </w:tcPr>
          <w:p>
            <w:pPr>
              <w:pStyle w:val="5"/>
              <w:jc w:val="right"/>
            </w:pPr>
            <w:r>
              <w:rPr>
                <w:rFonts w:ascii="仿宋_GB2312" w:hAnsi="仿宋_GB2312" w:eastAsia="仿宋_GB2312" w:cs="仿宋_GB2312"/>
              </w:rPr>
              <w:t>30.0000</w:t>
            </w:r>
          </w:p>
        </w:tc>
        <w:tc>
          <w:tcPr>
            <w:tcW w:w="1384" w:type="dxa"/>
          </w:tcPr>
          <w:p>
            <w:pPr>
              <w:pStyle w:val="5"/>
            </w:pPr>
            <w:r>
              <w:rPr>
                <w:rFonts w:ascii="仿宋_GB2312" w:hAnsi="仿宋_GB2312" w:eastAsia="仿宋_GB2312" w:cs="仿宋_GB2312"/>
              </w:rPr>
              <w:t>是</w:t>
            </w:r>
          </w:p>
        </w:tc>
      </w:tr>
    </w:tbl>
    <w:p>
      <w:pPr>
        <w:pStyle w:val="5"/>
      </w:pPr>
      <w:r>
        <w:rPr>
          <w:rFonts w:ascii="仿宋_GB2312" w:hAnsi="仿宋_GB2312" w:eastAsia="仿宋_GB2312" w:cs="仿宋_GB2312"/>
        </w:rPr>
        <w:t>11、合同管理安排</w:t>
      </w:r>
    </w:p>
    <w:p>
      <w:pPr>
        <w:pStyle w:val="5"/>
        <w:ind w:firstLine="840"/>
      </w:pPr>
      <w:r>
        <w:rPr>
          <w:rFonts w:ascii="仿宋_GB2312" w:hAnsi="仿宋_GB2312" w:eastAsia="仿宋_GB2312" w:cs="仿宋_GB2312"/>
        </w:rPr>
        <w:t>1）合同类型：买卖合同</w:t>
      </w:r>
    </w:p>
    <w:p>
      <w:pPr>
        <w:pStyle w:val="5"/>
        <w:ind w:firstLine="840"/>
      </w:pPr>
      <w:r>
        <w:rPr>
          <w:rFonts w:ascii="仿宋_GB2312" w:hAnsi="仿宋_GB2312" w:eastAsia="仿宋_GB2312" w:cs="仿宋_GB2312"/>
        </w:rPr>
        <w:t>2）合同定价方式：固定总价</w:t>
      </w:r>
    </w:p>
    <w:p>
      <w:pPr>
        <w:pStyle w:val="5"/>
        <w:ind w:firstLine="840"/>
      </w:pPr>
      <w:r>
        <w:rPr>
          <w:rFonts w:ascii="仿宋_GB2312" w:hAnsi="仿宋_GB2312" w:eastAsia="仿宋_GB2312" w:cs="仿宋_GB2312"/>
        </w:rPr>
        <w:t>3）合同履行期限：自合同签订之日起60日</w:t>
      </w:r>
    </w:p>
    <w:p>
      <w:pPr>
        <w:pStyle w:val="5"/>
        <w:ind w:firstLine="840"/>
      </w:pPr>
      <w:r>
        <w:rPr>
          <w:rFonts w:ascii="仿宋_GB2312" w:hAnsi="仿宋_GB2312" w:eastAsia="仿宋_GB2312" w:cs="仿宋_GB2312"/>
        </w:rPr>
        <w:t>4）合同履约地点：古蔺县二郎镇黄金社区</w:t>
      </w:r>
    </w:p>
    <w:p>
      <w:pPr>
        <w:pStyle w:val="5"/>
        <w:ind w:firstLine="840"/>
      </w:pPr>
      <w:r>
        <w:rPr>
          <w:rFonts w:ascii="仿宋_GB2312" w:hAnsi="仿宋_GB2312" w:eastAsia="仿宋_GB2312" w:cs="仿宋_GB2312"/>
        </w:rPr>
        <w:t>5）支付方式：分期付款</w:t>
      </w:r>
    </w:p>
    <w:p>
      <w:pPr>
        <w:pStyle w:val="5"/>
        <w:ind w:firstLine="840"/>
      </w:pPr>
      <w:r>
        <w:rPr>
          <w:rFonts w:ascii="仿宋_GB2312" w:hAnsi="仿宋_GB2312" w:eastAsia="仿宋_GB2312" w:cs="仿宋_GB2312"/>
        </w:rPr>
        <w:t>6）履约保证金及缴纳形式：</w:t>
      </w:r>
    </w:p>
    <w:p>
      <w:pPr>
        <w:pStyle w:val="5"/>
      </w:pPr>
      <w:r>
        <w:rPr>
          <w:rFonts w:ascii="仿宋_GB2312" w:hAnsi="仿宋_GB2312" w:eastAsia="仿宋_GB2312" w:cs="仿宋_GB2312"/>
        </w:rPr>
        <w:t>中标/成交供应商是否需要缴纳履约保证金：是</w:t>
      </w:r>
    </w:p>
    <w:p>
      <w:pPr>
        <w:pStyle w:val="5"/>
        <w:ind w:firstLine="1200"/>
      </w:pPr>
      <w:r>
        <w:rPr>
          <w:rFonts w:ascii="仿宋_GB2312" w:hAnsi="仿宋_GB2312" w:eastAsia="仿宋_GB2312" w:cs="仿宋_GB2312"/>
        </w:rPr>
        <w:t>履约保证金缴纳比例：10.0%</w:t>
      </w:r>
    </w:p>
    <w:p>
      <w:pPr>
        <w:pStyle w:val="5"/>
        <w:ind w:firstLine="1200"/>
      </w:pPr>
      <w:r>
        <w:rPr>
          <w:rFonts w:ascii="仿宋_GB2312" w:hAnsi="仿宋_GB2312" w:eastAsia="仿宋_GB2312" w:cs="仿宋_GB2312"/>
        </w:rPr>
        <w:t>缴纳方式：银行转账，支票/汇票/本票，保函/保险</w:t>
      </w:r>
    </w:p>
    <w:p>
      <w:pPr>
        <w:pStyle w:val="5"/>
        <w:ind w:firstLine="1200"/>
      </w:pPr>
      <w:r>
        <w:rPr>
          <w:rFonts w:ascii="仿宋_GB2312" w:hAnsi="仿宋_GB2312" w:eastAsia="仿宋_GB2312" w:cs="仿宋_GB2312"/>
        </w:rPr>
        <w:t>缴纳说明：项目完工后15日内退还</w:t>
      </w:r>
    </w:p>
    <w:p>
      <w:pPr>
        <w:pStyle w:val="5"/>
        <w:ind w:firstLine="840"/>
      </w:pPr>
      <w:r>
        <w:rPr>
          <w:rFonts w:ascii="仿宋_GB2312" w:hAnsi="仿宋_GB2312" w:eastAsia="仿宋_GB2312" w:cs="仿宋_GB2312"/>
        </w:rPr>
        <w:t>7）质量保证金及缴纳形式：</w:t>
      </w:r>
    </w:p>
    <w:p>
      <w:pPr>
        <w:pStyle w:val="5"/>
      </w:pPr>
      <w:r>
        <w:rPr>
          <w:rFonts w:ascii="仿宋_GB2312" w:hAnsi="仿宋_GB2312" w:eastAsia="仿宋_GB2312" w:cs="仿宋_GB2312"/>
        </w:rPr>
        <w:t>中标/成交供应商是否需要缴纳质量保证金：否</w:t>
      </w:r>
    </w:p>
    <w:p>
      <w:pPr>
        <w:pStyle w:val="5"/>
        <w:ind w:firstLine="840"/>
      </w:pPr>
      <w:r>
        <w:rPr>
          <w:rFonts w:ascii="仿宋_GB2312" w:hAnsi="仿宋_GB2312" w:eastAsia="仿宋_GB2312" w:cs="仿宋_GB2312"/>
        </w:rPr>
        <w:t>8）付款进度安排：</w:t>
      </w:r>
    </w:p>
    <w:p>
      <w:pPr>
        <w:pStyle w:val="5"/>
      </w:pPr>
      <w:r>
        <w:rPr>
          <w:rFonts w:ascii="仿宋_GB2312" w:hAnsi="仿宋_GB2312" w:eastAsia="仿宋_GB2312" w:cs="仿宋_GB2312"/>
        </w:rPr>
        <w:t>1、 付款条件说明： 项目完工后竣工验收合格 ，达到付款条件起 30 日内， 支付合同总金额的95.00%。</w:t>
      </w:r>
    </w:p>
    <w:p>
      <w:pPr>
        <w:pStyle w:val="5"/>
        <w:ind w:firstLine="1200"/>
      </w:pPr>
      <w:r>
        <w:rPr>
          <w:rFonts w:ascii="仿宋_GB2312" w:hAnsi="仿宋_GB2312" w:eastAsia="仿宋_GB2312" w:cs="仿宋_GB2312"/>
        </w:rPr>
        <w:t>2、 付款条件说明： 竣工验收一年以后 ，达到付款条件起 30 日内， 支付合同总金额的5.00%。</w:t>
      </w:r>
    </w:p>
    <w:p>
      <w:pPr>
        <w:pStyle w:val="5"/>
        <w:ind w:firstLine="840"/>
      </w:pPr>
      <w:r>
        <w:rPr>
          <w:rFonts w:ascii="仿宋_GB2312" w:hAnsi="仿宋_GB2312" w:eastAsia="仿宋_GB2312" w:cs="仿宋_GB2312"/>
        </w:rPr>
        <w:t>9）验收交付标准和方法：1.验收总则：验收严格按照《财政部关于进一步加强政府采购需求和履约验收管理的指导意见》(财库(2016)205号)的要求组织验收，以投标文件技术响应和合同要求为准。如出现未在招标文件中明确规定的，以行业相关标准为准。如采购双方如对质量要求和技术指标的约定标准有相互抵触或异议的事项，由采购人在采购与投标文件中按质量要求和技术指标、行业标准比较优胜的原则确定该项的约定标准进行验收。如出现争议，在场验收人员无法确定的，委托第三方质检机构进行检测，检测费用由中标人垫付，最终验收标准以检测结果为准，如检测合格由采购人承担检测费用，如检测不合格由中标人承担。如出现中标人提供虚假材料谋取中标或达不到招标要求的，采购人按政府采购相关法律法规向采购人同级财政部门汇报，追究其相关法律责任。 2.必须保证提供的货物（包括零部件）是全新的、未使用过的，具有稳定性、可靠性、安全性，并完全符合国家、行业规定的质量、规格和性能要求等技术标准。</w:t>
      </w:r>
    </w:p>
    <w:p>
      <w:pPr>
        <w:pStyle w:val="5"/>
        <w:ind w:firstLine="840"/>
      </w:pPr>
      <w:r>
        <w:rPr>
          <w:rFonts w:ascii="仿宋_GB2312" w:hAnsi="仿宋_GB2312" w:eastAsia="仿宋_GB2312" w:cs="仿宋_GB2312"/>
        </w:rPr>
        <w:t>10）质量保修范围和保修期：质保期间1年</w:t>
      </w:r>
    </w:p>
    <w:p>
      <w:pPr>
        <w:pStyle w:val="5"/>
        <w:ind w:firstLine="840"/>
      </w:pPr>
      <w:r>
        <w:rPr>
          <w:rFonts w:ascii="仿宋_GB2312" w:hAnsi="仿宋_GB2312" w:eastAsia="仿宋_GB2312" w:cs="仿宋_GB2312"/>
        </w:rPr>
        <w:t>11）知识产权归属和处理方式：1、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3、如使用投标人所不拥有的知识产权，则在投标报价中必须包括合法使用该知识产权的相关费用。</w:t>
      </w:r>
    </w:p>
    <w:p>
      <w:pPr>
        <w:pStyle w:val="5"/>
        <w:ind w:firstLine="840"/>
      </w:pPr>
      <w:r>
        <w:rPr>
          <w:rFonts w:ascii="仿宋_GB2312" w:hAnsi="仿宋_GB2312" w:eastAsia="仿宋_GB2312" w:cs="仿宋_GB2312"/>
        </w:rPr>
        <w:t>12）成本补偿和风险分担约定：根据国家相关政策及法律法规及时调整</w:t>
      </w:r>
    </w:p>
    <w:p>
      <w:pPr>
        <w:pStyle w:val="5"/>
        <w:ind w:firstLine="840"/>
      </w:pPr>
      <w:r>
        <w:rPr>
          <w:rFonts w:ascii="仿宋_GB2312" w:hAnsi="仿宋_GB2312" w:eastAsia="仿宋_GB2312" w:cs="仿宋_GB2312"/>
        </w:rPr>
        <w:t>13）违约责任与解决争议的方法：1.甲乙双方均应遵守本合同，非因不可抗力而单方面终止执行合同的，将赔偿因违约给对方造成的经济损失，并向对方支付本合同总额10%的违约金；如因乙方原因造成的，并由甲方提请项目同级财政部门将其列入不良行为记录。2、若因乙方原因在合同规定期限内无法提供服务/交货，甲方有权终止合同，并请示项目同级财政部门（采购科/股）取消其中标资格，由乙方向甲方支付10%的违约金，按照供应商诚信管理规定进行记分；或经甲、乙双方协商同意继续履行合同，甲方视情况在延迟服务/交货期内每天按合同总额3‰的标准收取违约金，并按照供应商诚信管理规定进行记分。因不可抗拒力所导致的交货及付款延迟等按照《中华人民共和国民法典》有关条文及本合同第八条处理。3、乙方提供的服务质量不符合合同规定的，乙方应向甲方支付合同总价的5%的违约金并限期 / 日内整改，否则，视作乙方无法提供合格的服务违约，按第七条第2款进行处理。4、乙方保证本合同服务的权利无瑕疵，保证所提供的服务的所有权完全属于乙方且无任何抵押、查封等产权瑕疵。如有产权瑕疵的，视为乙方违约，除应向甲方返还已收款项外，还应另按合同总价的10%向甲方支付违约金并赔偿因此给甲方造成的一切损失。5.乙方应严格遵守服务承诺，如有违约，将赔偿因服务违约给甲方造成的经济损失。如因乙方工作人员在履行职务过程中的的疏忽、失职、过错等故意或者过失原因给甲方造成损失或侵害，包括但不限于甲方本身的财产损失、由此而导致的甲方对任何第三方的法律责任等，乙方对此均应承担全部的赔偿责任，并按照供应商诚信管理规定进行记分。6．验收合格后，甲方应在合同约定的付款期限内及时支付合同款项，如因甲方原因造成付款延误的，乙方视情况在延迟付款期内每天按合同总额3‰的标准收取违约金。7、因服务的质量问题发生争议，由具有法定资格条件的质量技术监督（检测）机构进行质量鉴定。服务符合标准的，鉴定费由甲方承担；服务不符合质量标准的，鉴定费由乙方承担。8、合同履行期间,若双方发生争议，双方本着友好合作的态度，对合同履行过程中发生的违约行为进行及时的协商解决或由有关部门调解解决，如不能协商解决可向合同签约地法院通过法律诉讼解决。</w:t>
      </w:r>
    </w:p>
    <w:p>
      <w:pPr>
        <w:pStyle w:val="5"/>
        <w:ind w:firstLine="840"/>
      </w:pPr>
      <w:r>
        <w:rPr>
          <w:rFonts w:ascii="仿宋_GB2312" w:hAnsi="仿宋_GB2312" w:eastAsia="仿宋_GB2312" w:cs="仿宋_GB2312"/>
        </w:rPr>
        <w:t>14）合同其他条款：无</w:t>
      </w:r>
    </w:p>
    <w:p>
      <w:pPr>
        <w:pStyle w:val="5"/>
      </w:pPr>
      <w:r>
        <w:rPr>
          <w:rFonts w:ascii="仿宋_GB2312" w:hAnsi="仿宋_GB2312" w:eastAsia="仿宋_GB2312" w:cs="仿宋_GB2312"/>
        </w:rPr>
        <w:t>12、履约验收方案</w:t>
      </w:r>
    </w:p>
    <w:p>
      <w:pPr>
        <w:pStyle w:val="5"/>
        <w:ind w:firstLine="840"/>
      </w:pPr>
      <w:r>
        <w:rPr>
          <w:rFonts w:ascii="仿宋_GB2312" w:hAnsi="仿宋_GB2312" w:eastAsia="仿宋_GB2312" w:cs="仿宋_GB2312"/>
        </w:rPr>
        <w:t>1）验收组织方式：自行验收</w:t>
      </w:r>
    </w:p>
    <w:p>
      <w:pPr>
        <w:pStyle w:val="5"/>
        <w:ind w:firstLine="840"/>
      </w:pPr>
      <w:r>
        <w:rPr>
          <w:rFonts w:ascii="仿宋_GB2312" w:hAnsi="仿宋_GB2312" w:eastAsia="仿宋_GB2312" w:cs="仿宋_GB2312"/>
        </w:rPr>
        <w:t>2）是否邀请本项目的其他供应商：否</w:t>
      </w:r>
    </w:p>
    <w:p>
      <w:pPr>
        <w:pStyle w:val="5"/>
        <w:ind w:firstLine="840"/>
      </w:pPr>
      <w:r>
        <w:rPr>
          <w:rFonts w:ascii="仿宋_GB2312" w:hAnsi="仿宋_GB2312" w:eastAsia="仿宋_GB2312" w:cs="仿宋_GB2312"/>
        </w:rPr>
        <w:t>3）是否邀请专家：否</w:t>
      </w:r>
    </w:p>
    <w:p>
      <w:pPr>
        <w:pStyle w:val="5"/>
        <w:ind w:firstLine="840"/>
      </w:pPr>
      <w:r>
        <w:rPr>
          <w:rFonts w:ascii="仿宋_GB2312" w:hAnsi="仿宋_GB2312" w:eastAsia="仿宋_GB2312" w:cs="仿宋_GB2312"/>
        </w:rPr>
        <w:t>4）是否邀请服务对象：是</w:t>
      </w:r>
    </w:p>
    <w:p>
      <w:pPr>
        <w:pStyle w:val="5"/>
        <w:ind w:firstLine="840"/>
      </w:pPr>
      <w:r>
        <w:rPr>
          <w:rFonts w:ascii="仿宋_GB2312" w:hAnsi="仿宋_GB2312" w:eastAsia="仿宋_GB2312" w:cs="仿宋_GB2312"/>
        </w:rPr>
        <w:t>5）是否邀请第三方检测机构：是</w:t>
      </w:r>
    </w:p>
    <w:p>
      <w:pPr>
        <w:pStyle w:val="5"/>
        <w:ind w:firstLine="840"/>
      </w:pPr>
      <w:r>
        <w:rPr>
          <w:rFonts w:ascii="仿宋_GB2312" w:hAnsi="仿宋_GB2312" w:eastAsia="仿宋_GB2312" w:cs="仿宋_GB2312"/>
        </w:rPr>
        <w:t>6）履约验收程序：一次性验收</w:t>
      </w:r>
    </w:p>
    <w:p>
      <w:pPr>
        <w:pStyle w:val="5"/>
        <w:ind w:firstLine="840"/>
      </w:pPr>
      <w:r>
        <w:rPr>
          <w:rFonts w:ascii="仿宋_GB2312" w:hAnsi="仿宋_GB2312" w:eastAsia="仿宋_GB2312" w:cs="仿宋_GB2312"/>
        </w:rPr>
        <w:t>7）履约验收时间：</w:t>
      </w:r>
    </w:p>
    <w:p>
      <w:pPr>
        <w:pStyle w:val="5"/>
      </w:pPr>
      <w:r>
        <w:rPr>
          <w:rFonts w:ascii="仿宋_GB2312" w:hAnsi="仿宋_GB2312" w:eastAsia="仿宋_GB2312" w:cs="仿宋_GB2312"/>
        </w:rPr>
        <w:t>1、 验收条件说明： 项目完工后 ，达到验收条件起 15 日内，验收合同总金额的 100%；</w:t>
      </w:r>
    </w:p>
    <w:p>
      <w:pPr>
        <w:pStyle w:val="5"/>
        <w:ind w:firstLine="840"/>
      </w:pPr>
      <w:r>
        <w:rPr>
          <w:rFonts w:ascii="仿宋_GB2312" w:hAnsi="仿宋_GB2312" w:eastAsia="仿宋_GB2312" w:cs="仿宋_GB2312"/>
        </w:rPr>
        <w:t>8）验收组织的其他事项：无</w:t>
      </w:r>
    </w:p>
    <w:p>
      <w:pPr>
        <w:pStyle w:val="5"/>
        <w:ind w:firstLine="840"/>
      </w:pPr>
      <w:r>
        <w:rPr>
          <w:rFonts w:ascii="仿宋_GB2312" w:hAnsi="仿宋_GB2312" w:eastAsia="仿宋_GB2312" w:cs="仿宋_GB2312"/>
        </w:rPr>
        <w:t>9）技术履约验收内容：根据国家相关政策及法律法规、采购文件以及供应商响应文件执行。</w:t>
      </w:r>
    </w:p>
    <w:p>
      <w:pPr>
        <w:pStyle w:val="5"/>
        <w:ind w:firstLine="840"/>
      </w:pPr>
      <w:r>
        <w:rPr>
          <w:rFonts w:ascii="仿宋_GB2312" w:hAnsi="仿宋_GB2312" w:eastAsia="仿宋_GB2312" w:cs="仿宋_GB2312"/>
        </w:rPr>
        <w:t>10）商务履约验收内容：根据国家相关政策及法律法规、采购文件以及供应商响应文件执行。</w:t>
      </w:r>
    </w:p>
    <w:p>
      <w:pPr>
        <w:pStyle w:val="5"/>
        <w:ind w:firstLine="840"/>
      </w:pPr>
      <w:r>
        <w:rPr>
          <w:rFonts w:ascii="仿宋_GB2312" w:hAnsi="仿宋_GB2312" w:eastAsia="仿宋_GB2312" w:cs="仿宋_GB2312"/>
        </w:rPr>
        <w:t>11）履约验收标准：根据国家相关政策及法律法规、采购文件以及供应商响应文件执行。</w:t>
      </w:r>
    </w:p>
    <w:p>
      <w:pPr>
        <w:pStyle w:val="5"/>
        <w:ind w:firstLine="840"/>
      </w:pPr>
      <w:r>
        <w:rPr>
          <w:rFonts w:ascii="仿宋_GB2312" w:hAnsi="仿宋_GB2312" w:eastAsia="仿宋_GB2312" w:cs="仿宋_GB2312"/>
        </w:rPr>
        <w:t>12）履约验收其他事项：无</w:t>
      </w:r>
    </w:p>
    <w:p>
      <w:pPr>
        <w:pStyle w:val="5"/>
        <w:outlineLvl w:val="2"/>
      </w:pPr>
      <w:r>
        <w:rPr>
          <w:rFonts w:ascii="仿宋_GB2312" w:hAnsi="仿宋_GB2312" w:eastAsia="仿宋_GB2312" w:cs="仿宋_GB2312"/>
          <w:b/>
          <w:sz w:val="28"/>
        </w:rPr>
        <w:t>五、风险控制措施和替代方案</w:t>
      </w:r>
    </w:p>
    <w:p>
      <w:pPr>
        <w:pStyle w:val="5"/>
        <w:ind w:firstLine="840"/>
      </w:pPr>
      <w:r>
        <w:rPr>
          <w:rFonts w:ascii="仿宋_GB2312" w:hAnsi="仿宋_GB2312" w:eastAsia="仿宋_GB2312" w:cs="仿宋_GB2312"/>
        </w:rPr>
        <w:t>该采购项目按照《政府采购需求管理办法》第二十五条规定，本项目是否需要组织风险判断、提出处置措施和替代方案：否</w:t>
      </w:r>
    </w:p>
    <w:p>
      <w:pPr>
        <w:pStyle w:val="5"/>
      </w:pPr>
    </w:p>
    <w:p>
      <w:pPr>
        <w:pStyle w:val="5"/>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BE7598E"/>
    <w:rsid w:val="177F50ED"/>
    <w:rsid w:val="2C4C4B1F"/>
    <w:rsid w:val="31A4686E"/>
    <w:rsid w:val="46BE5E71"/>
    <w:rsid w:val="53B52B8D"/>
    <w:rsid w:val="5CFA0164"/>
    <w:rsid w:val="6F7C762B"/>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Times New Roman" w:hAnsi="Times New Roman" w:eastAsia="宋体" w:cs="Times New Roman"/>
      <w:kern w:val="1"/>
      <w:sz w:val="24"/>
      <w:szCs w:val="24"/>
      <w:lang w:val="en-US" w:eastAsia="ar-SA"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4851</Words>
  <Characters>5114</Characters>
  <Lines>0</Lines>
  <Paragraphs>0</Paragraphs>
  <TotalTime>27</TotalTime>
  <ScaleCrop>false</ScaleCrop>
  <LinksUpToDate>false</LinksUpToDate>
  <CharactersWithSpaces>5161</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Administrator</cp:lastModifiedBy>
  <dcterms:modified xsi:type="dcterms:W3CDTF">2026-04-01T08:39:34Z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KSOTemplateDocerSaveRecord">
    <vt:lpwstr>eyJoZGlkIjoiZTY3ODM2YmI3ZTkxNDgwN2ZkNzc1NDlhNzY1ZGQ2NTAiLCJ1c2VySWQiOiIzMDMyMDkzNjQifQ==</vt:lpwstr>
  </property>
  <property fmtid="{D5CDD505-2E9C-101B-9397-08002B2CF9AE}" pid="4" name="ICV">
    <vt:lpwstr>8D8010A9DD164197942FCB965006CBB3_13</vt:lpwstr>
  </property>
</Properties>
</file>