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版本号：N510525202600003720260506001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二郎镇场镇智慧停车建设设施设备采购项目（电梯部分）(二次)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N5105252026000037</w:t>
      </w:r>
    </w:p>
    <w:p>
      <w:pPr>
        <w:pStyle w:val="null3"/>
        <w:jc w:val="left"/>
        <w:outlineLvl w:val="2"/>
      </w:pPr>
      <w:r>
        <w:rPr>
          <w:rFonts w:ascii="仿宋_GB2312" w:hAnsi="仿宋_GB2312" w:cs="仿宋_GB2312" w:eastAsia="仿宋_GB2312"/>
          <w:sz w:val="28"/>
          <w:b/>
        </w:rPr>
        <w:t>古蔺县二郎镇人民政府</w:t>
      </w:r>
    </w:p>
    <w:p>
      <w:pPr>
        <w:pStyle w:val="null3"/>
        <w:jc w:val="center"/>
        <w:outlineLvl w:val="2"/>
      </w:pPr>
      <w:r>
        <w:rPr>
          <w:rFonts w:ascii="仿宋_GB2312" w:hAnsi="仿宋_GB2312" w:cs="仿宋_GB2312" w:eastAsia="仿宋_GB2312"/>
          <w:sz w:val="28"/>
          <w:b/>
        </w:rPr>
        <w:t>古蔺县政府采购中心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古蔺县政府采购中心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古蔺县二郎镇人民政府</w:t>
      </w:r>
      <w:r>
        <w:rPr>
          <w:rFonts w:ascii="仿宋_GB2312" w:hAnsi="仿宋_GB2312" w:cs="仿宋_GB2312" w:eastAsia="仿宋_GB2312"/>
        </w:rPr>
        <w:t xml:space="preserve"> 委托，拟对 </w:t>
      </w:r>
      <w:r>
        <w:rPr>
          <w:rFonts w:ascii="仿宋_GB2312" w:hAnsi="仿宋_GB2312" w:cs="仿宋_GB2312" w:eastAsia="仿宋_GB2312"/>
        </w:rPr>
        <w:t>二郎镇场镇智慧停车建设设施设备采购项目（电梯部分）(二次)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N5105252026000037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二郎镇场镇智慧停车建设设施设备采购项目（电梯部分）(二次)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color w:val="FF0000"/>
        </w:rPr>
        <w:t>采购范围为电梯，包括方案设计、施工图设计（含钢结构、基础、连廊、电梯），安装、调试、检测、验收。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1、特定资格审查（描述：①若供应商为产品制造（生产）单位，须具备国家行政主管部门颁发的有效的《中华人民共和国特种设备生产许可证》：电梯制造（含安装、修理）。 ②若供应商为非产品制造（生产）单位，其所投产品制造（生产）单位必须具有国家行政主管部门颁发的有效的《中华人民共和国特种设备生产许可证》：电梯制造（含安装、修理），同时投标供应商应具有国家行政主管部门颁发的有效的《中华人民共和国特种设备生产许可证》：电梯安装（含修理）。（描述：①若响应供应商为制造（生产）单位，提供国家行政主管部门颁发的有效的《中华人民共和国特种设备生产许可证》，许可项目为电梯制造（含安装、修理）证书的原件扫描件或复印件。 ②若响应供应商为非产品制造（生产）单位，提供所投产品制造商国家行政主管部门颁发的有效的《中华人民共和国特种设备生产许可证》，许可项目为电梯制造（含安装、修理）证书的原件扫描件或复印件；同时提供投标供应商的由国家行政主管部门颁发的有效的《中华人民共和国特种设备生产许可证》，许可项目为电梯安装（含修理）证书的原件扫描件或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古蔺县二郎镇人民政府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四川省泸州市古蔺二郎镇二郎滩社区街村</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646523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15228267530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古蔺县政府采购中心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四川省泸州市古蔺县彰德街道迎宾大道865号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邓丽春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文件咨询：0830-7771136 开评标咨询：0830-7771136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项目完工后15日内退还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古蔺县二郎镇人民政府</w:t>
      </w:r>
      <w:r>
        <w:rPr>
          <w:rFonts w:ascii="仿宋_GB2312" w:hAnsi="仿宋_GB2312" w:cs="仿宋_GB2312" w:eastAsia="仿宋_GB2312"/>
        </w:rPr>
        <w:t xml:space="preserve"> 和 </w:t>
      </w:r>
      <w:r>
        <w:rPr>
          <w:rFonts w:ascii="仿宋_GB2312" w:hAnsi="仿宋_GB2312" w:cs="仿宋_GB2312" w:eastAsia="仿宋_GB2312"/>
        </w:rPr>
        <w:t>古蔺县政府采购中心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古蔺县二郎镇人民政府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古蔺县政府采购中心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本项目允许中标单位将钢结构设计、基础设计等分包给具有相应资质的单位，但分包单位需经招标人书面认可，且总包单位对设计质量负总责。</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项目完工后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根据国家相关政策及法律法规、采购文件以及供应商响应文件执行。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根据国家相关政策及法律法规、采购文件以及供应商响应文件执行。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根据国家相关政策及法律法规、采购文件以及供应商响应文件执行。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古蔺县二郎镇人民政府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古蔺县政府采购中心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古蔺县政府采购中心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联系人：胡康</w:t>
      </w:r>
    </w:p>
    <w:p>
      <w:pPr>
        <w:pStyle w:val="null3"/>
        <w:jc w:val="left"/>
      </w:pPr>
      <w:r>
        <w:rPr>
          <w:rFonts w:ascii="仿宋_GB2312" w:hAnsi="仿宋_GB2312" w:cs="仿宋_GB2312" w:eastAsia="仿宋_GB2312"/>
        </w:rPr>
        <w:t>联系电话：15228267530</w:t>
      </w:r>
    </w:p>
    <w:p>
      <w:pPr>
        <w:pStyle w:val="null3"/>
        <w:jc w:val="left"/>
      </w:pPr>
      <w:r>
        <w:rPr>
          <w:rFonts w:ascii="仿宋_GB2312" w:hAnsi="仿宋_GB2312" w:cs="仿宋_GB2312" w:eastAsia="仿宋_GB2312"/>
        </w:rPr>
        <w:t>地址：四川省泸州市古蔺二郎镇二郎滩社区街村</w:t>
      </w:r>
    </w:p>
    <w:p>
      <w:pPr>
        <w:pStyle w:val="null3"/>
        <w:jc w:val="left"/>
      </w:pPr>
      <w:r>
        <w:rPr>
          <w:rFonts w:ascii="仿宋_GB2312" w:hAnsi="仿宋_GB2312" w:cs="仿宋_GB2312" w:eastAsia="仿宋_GB2312"/>
        </w:rPr>
        <w:t>邮编：646523</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470,000.00</w:t>
      </w:r>
    </w:p>
    <w:p>
      <w:pPr>
        <w:pStyle w:val="null3"/>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A02051227 电梯</w:t>
            </w:r>
          </w:p>
        </w:tc>
        <w:tc>
          <w:tcPr>
            <w:tcW w:type="dxa" w:w="821"/>
          </w:tcPr>
          <w:p>
            <w:pPr>
              <w:pStyle w:val="null3"/>
              <w:jc w:val="left"/>
            </w:pPr>
            <w:r>
              <w:rPr>
                <w:rFonts w:ascii="仿宋_GB2312" w:hAnsi="仿宋_GB2312" w:cs="仿宋_GB2312" w:eastAsia="仿宋_GB2312"/>
              </w:rPr>
              <w:t>电梯</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电梯</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A02051227 电梯</w:t>
            </w:r>
          </w:p>
        </w:tc>
        <w:tc>
          <w:tcPr>
            <w:tcW w:type="dxa" w:w="2492"/>
          </w:tcPr>
          <w:p>
            <w:pPr>
              <w:pStyle w:val="null3"/>
              <w:jc w:val="left"/>
            </w:pPr>
            <w:r>
              <w:rPr>
                <w:rFonts w:ascii="仿宋_GB2312" w:hAnsi="仿宋_GB2312" w:cs="仿宋_GB2312" w:eastAsia="仿宋_GB2312"/>
              </w:rPr>
              <w:t>电梯</w:t>
            </w:r>
          </w:p>
        </w:tc>
        <w:tc>
          <w:tcPr>
            <w:tcW w:type="dxa" w:w="2492"/>
          </w:tcPr>
          <w:p>
            <w:pPr>
              <w:pStyle w:val="null3"/>
              <w:jc w:val="left"/>
            </w:pPr>
            <w:r>
              <w:rPr>
                <w:rFonts w:ascii="仿宋_GB2312" w:hAnsi="仿宋_GB2312" w:cs="仿宋_GB2312" w:eastAsia="仿宋_GB2312"/>
              </w:rPr>
              <w:t>电梯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电梯</w:t>
            </w:r>
          </w:p>
        </w:tc>
        <w:tc>
          <w:tcPr>
            <w:tcW w:type="dxa" w:w="5814"/>
          </w:tcPr>
          <w:p>
            <w:pPr>
              <w:pStyle w:val="null3"/>
              <w:jc w:val="left"/>
            </w:pPr>
            <w:r>
              <w:rPr>
                <w:rFonts w:ascii="仿宋_GB2312" w:hAnsi="仿宋_GB2312" w:cs="仿宋_GB2312" w:eastAsia="仿宋_GB2312"/>
                <w:sz w:val="24"/>
              </w:rPr>
              <w:t>★1、电梯种类/用途：无机房无障碍乘客电梯、载重量（KG)≥800kg、运行速度（m/s)≥1.0m/s、电梯停靠层/站5层5站、驱动方式永磁同步无齿轮曳引驱动、开门方式自动中分、控制方式单控、单台载人（人）≥10。（说明：底坑深度（mm)1300、顶层高度（mm)4300、轿厢净尺寸（宽*深*高）（mm)1400*1420*2500（以深化设计为准，提供技术资料）、井道净尺寸（宽*深）（mm)2000*1750、）</w:t>
            </w:r>
          </w:p>
          <w:p>
            <w:pPr>
              <w:pStyle w:val="null3"/>
              <w:jc w:val="left"/>
            </w:pPr>
            <w:r>
              <w:rPr>
                <w:rFonts w:ascii="仿宋_GB2312" w:hAnsi="仿宋_GB2312" w:cs="仿宋_GB2312" w:eastAsia="仿宋_GB2312"/>
                <w:sz w:val="24"/>
              </w:rPr>
              <w:t>▲2、所投电梯采用的控制柜与电梯为同一品牌，控制柜防护等级≥IP55，控制柜宽电压范围≥(380±20%)V。（提供第三方检测机构出具的带CMA标识的证明材料复印件，并加盖供应商公章）</w:t>
            </w:r>
          </w:p>
          <w:p>
            <w:pPr>
              <w:pStyle w:val="null3"/>
              <w:jc w:val="left"/>
            </w:pPr>
            <w:r>
              <w:rPr>
                <w:rFonts w:ascii="仿宋_GB2312" w:hAnsi="仿宋_GB2312" w:cs="仿宋_GB2312" w:eastAsia="仿宋_GB2312"/>
                <w:sz w:val="24"/>
              </w:rPr>
              <w:t>3、轿内、各楼层运行方向和楼层显示采用液晶屏显示，黑底白字。</w:t>
            </w:r>
          </w:p>
          <w:p>
            <w:pPr>
              <w:pStyle w:val="null3"/>
              <w:jc w:val="left"/>
            </w:pPr>
            <w:r>
              <w:rPr>
                <w:rFonts w:ascii="仿宋_GB2312" w:hAnsi="仿宋_GB2312" w:cs="仿宋_GB2312" w:eastAsia="仿宋_GB2312"/>
                <w:sz w:val="24"/>
              </w:rPr>
              <w:t>4、厅门发纹不锈钢。</w:t>
            </w:r>
          </w:p>
          <w:p>
            <w:pPr>
              <w:pStyle w:val="null3"/>
              <w:jc w:val="left"/>
            </w:pPr>
            <w:r>
              <w:rPr>
                <w:rFonts w:ascii="仿宋_GB2312" w:hAnsi="仿宋_GB2312" w:cs="仿宋_GB2312" w:eastAsia="仿宋_GB2312"/>
                <w:sz w:val="24"/>
              </w:rPr>
              <w:t>★5、左右轿厢壁板采用304发纹不锈钢，厚度≥1.5mm。</w:t>
            </w:r>
          </w:p>
          <w:p>
            <w:pPr>
              <w:pStyle w:val="null3"/>
              <w:jc w:val="left"/>
            </w:pPr>
            <w:r>
              <w:rPr>
                <w:rFonts w:ascii="仿宋_GB2312" w:hAnsi="仿宋_GB2312" w:cs="仿宋_GB2312" w:eastAsia="仿宋_GB2312"/>
                <w:sz w:val="24"/>
              </w:rPr>
              <w:t>★6、前后轿厢壁板采用304发纹不锈钢，厚度≥1.5mm。</w:t>
            </w:r>
          </w:p>
          <w:p>
            <w:pPr>
              <w:pStyle w:val="null3"/>
              <w:jc w:val="left"/>
            </w:pPr>
            <w:r>
              <w:rPr>
                <w:rFonts w:ascii="仿宋_GB2312" w:hAnsi="仿宋_GB2312" w:cs="仿宋_GB2312" w:eastAsia="仿宋_GB2312"/>
                <w:sz w:val="24"/>
              </w:rPr>
              <w:t>7、轿厢地坎材质硬质铝合金地坎。</w:t>
            </w:r>
          </w:p>
          <w:p>
            <w:pPr>
              <w:pStyle w:val="null3"/>
              <w:jc w:val="left"/>
            </w:pPr>
            <w:r>
              <w:rPr>
                <w:rFonts w:ascii="仿宋_GB2312" w:hAnsi="仿宋_GB2312" w:cs="仿宋_GB2312" w:eastAsia="仿宋_GB2312"/>
                <w:sz w:val="24"/>
              </w:rPr>
              <w:t>★8、门楣采用304发纹不锈钢，厚度≥1.5mm。</w:t>
            </w:r>
          </w:p>
          <w:p>
            <w:pPr>
              <w:pStyle w:val="null3"/>
              <w:jc w:val="left"/>
            </w:pPr>
            <w:r>
              <w:rPr>
                <w:rFonts w:ascii="仿宋_GB2312" w:hAnsi="仿宋_GB2312" w:cs="仿宋_GB2312" w:eastAsia="仿宋_GB2312"/>
                <w:sz w:val="24"/>
              </w:rPr>
              <w:t>★9、轿门门扇采用304发纹不锈钢，厚度≥1.5mm。</w:t>
            </w:r>
          </w:p>
          <w:p>
            <w:pPr>
              <w:pStyle w:val="null3"/>
              <w:jc w:val="left"/>
            </w:pPr>
            <w:r>
              <w:rPr>
                <w:rFonts w:ascii="仿宋_GB2312" w:hAnsi="仿宋_GB2312" w:cs="仿宋_GB2312" w:eastAsia="仿宋_GB2312"/>
                <w:sz w:val="24"/>
              </w:rPr>
              <w:t>10、扶手圆型、后侧，采用304不锈钢，厚度≥1.5mm。</w:t>
            </w:r>
          </w:p>
          <w:p>
            <w:pPr>
              <w:pStyle w:val="null3"/>
              <w:jc w:val="left"/>
            </w:pPr>
            <w:r>
              <w:rPr>
                <w:rFonts w:ascii="仿宋_GB2312" w:hAnsi="仿宋_GB2312" w:cs="仿宋_GB2312" w:eastAsia="仿宋_GB2312"/>
                <w:sz w:val="24"/>
              </w:rPr>
              <w:t>11、吊顶一体式吊顶，材质：发纹不锈钢，LED灯、节能灯柔性照明。</w:t>
            </w:r>
          </w:p>
          <w:p>
            <w:pPr>
              <w:pStyle w:val="null3"/>
              <w:jc w:val="left"/>
            </w:pPr>
            <w:r>
              <w:rPr>
                <w:rFonts w:ascii="仿宋_GB2312" w:hAnsi="仿宋_GB2312" w:cs="仿宋_GB2312" w:eastAsia="仿宋_GB2312"/>
                <w:sz w:val="24"/>
              </w:rPr>
              <w:t>12、地板拼花PVC（厚度≥3㎜。）</w:t>
            </w:r>
          </w:p>
          <w:p>
            <w:pPr>
              <w:pStyle w:val="null3"/>
              <w:jc w:val="left"/>
            </w:pPr>
            <w:r>
              <w:rPr>
                <w:rFonts w:ascii="仿宋_GB2312" w:hAnsi="仿宋_GB2312" w:cs="仿宋_GB2312" w:eastAsia="仿宋_GB2312"/>
                <w:sz w:val="24"/>
              </w:rPr>
              <w:t>13、操作盘发纹不锈钢。</w:t>
            </w:r>
          </w:p>
          <w:p>
            <w:pPr>
              <w:pStyle w:val="null3"/>
              <w:jc w:val="left"/>
            </w:pPr>
            <w:r>
              <w:rPr>
                <w:rFonts w:ascii="仿宋_GB2312" w:hAnsi="仿宋_GB2312" w:cs="仿宋_GB2312" w:eastAsia="仿宋_GB2312"/>
                <w:sz w:val="24"/>
              </w:rPr>
              <w:t>▲14、导轨支架防锈等级要求到达：中性盐雾试验时间≥120h，表面无明显锈蚀（须提供带CMA标识的证明材料复印件，并加盖供应商公章）</w:t>
            </w:r>
          </w:p>
          <w:p>
            <w:pPr>
              <w:pStyle w:val="null3"/>
              <w:jc w:val="left"/>
            </w:pPr>
            <w:r>
              <w:rPr>
                <w:rFonts w:ascii="仿宋_GB2312" w:hAnsi="仿宋_GB2312" w:cs="仿宋_GB2312" w:eastAsia="仿宋_GB2312"/>
                <w:sz w:val="24"/>
              </w:rPr>
              <w:t>▲15、主要部件稳定性：所投品牌电梯以下主要部件全部要求采用原厂原品牌：①主机、②门机、③控制柜、④限速器、⑤安全钳、⑥缓冲器、⑦安全电路、⑧层门门锁、⑨上行超速保护装置、⑩轿厢意外移动保护装置（</w:t>
            </w:r>
            <w:r>
              <w:rPr>
                <w:rFonts w:ascii="仿宋_GB2312" w:hAnsi="仿宋_GB2312" w:cs="仿宋_GB2312" w:eastAsia="仿宋_GB2312"/>
                <w:sz w:val="24"/>
              </w:rPr>
              <w:t>须提供带</w:t>
            </w:r>
            <w:r>
              <w:rPr>
                <w:rFonts w:ascii="仿宋_GB2312" w:hAnsi="仿宋_GB2312" w:cs="仿宋_GB2312" w:eastAsia="仿宋_GB2312"/>
                <w:sz w:val="24"/>
              </w:rPr>
              <w:t>CMA标识的证明材料复印件，并加盖供应商公章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▲16、主机制动器动作寿命：电梯曳引机制动器动作寿命≥2100万次（</w:t>
            </w:r>
            <w:r>
              <w:rPr>
                <w:rFonts w:ascii="仿宋_GB2312" w:hAnsi="仿宋_GB2312" w:cs="仿宋_GB2312" w:eastAsia="仿宋_GB2312"/>
                <w:sz w:val="24"/>
              </w:rPr>
              <w:t>须提供带</w:t>
            </w:r>
            <w:r>
              <w:rPr>
                <w:rFonts w:ascii="仿宋_GB2312" w:hAnsi="仿宋_GB2312" w:cs="仿宋_GB2312" w:eastAsia="仿宋_GB2312"/>
                <w:sz w:val="24"/>
              </w:rPr>
              <w:t>CMA标识的第三方检测报告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▲17、电梯安全性能要求三大安全部件（限速器、安全钳、缓冲器）的模拟使用寿命需达到30年（第三方检测机构出具的带CMA标识的证明材料复印件)。</w:t>
            </w:r>
          </w:p>
          <w:p>
            <w:pPr>
              <w:pStyle w:val="null3"/>
              <w:jc w:val="left"/>
            </w:pPr>
            <w:r>
              <w:rPr>
                <w:rFonts w:ascii="仿宋_GB2312" w:hAnsi="仿宋_GB2312" w:cs="仿宋_GB2312" w:eastAsia="仿宋_GB2312"/>
                <w:sz w:val="24"/>
              </w:rPr>
              <w:t>▲18、要求电梯轿门锁装置机械耐久试验次数≥2010万次（需提供第三方检测机构出具的带CMA标识的证明材料复印件)。</w:t>
            </w:r>
          </w:p>
          <w:p>
            <w:pPr>
              <w:pStyle w:val="null3"/>
              <w:jc w:val="left"/>
            </w:pPr>
            <w:r>
              <w:rPr>
                <w:rFonts w:ascii="仿宋_GB2312" w:hAnsi="仿宋_GB2312" w:cs="仿宋_GB2312" w:eastAsia="仿宋_GB2312"/>
                <w:sz w:val="24"/>
              </w:rPr>
              <w:t>19、光幕：所投品牌电梯光幕要求采用原厂原品牌，并且需满足以下要求：光束≥194束，外壳防护等级≥IP65（需提供第三方检测机构出具的带CMA标识的证明材料复印件)</w:t>
            </w:r>
          </w:p>
          <w:p>
            <w:pPr>
              <w:pStyle w:val="null3"/>
              <w:jc w:val="left"/>
            </w:pPr>
            <w:r>
              <w:rPr>
                <w:rFonts w:ascii="仿宋_GB2312" w:hAnsi="仿宋_GB2312" w:cs="仿宋_GB2312" w:eastAsia="仿宋_GB2312"/>
                <w:sz w:val="24"/>
              </w:rPr>
              <w:t>▲20、轿门锁：所投品牌电梯轿门锁需采用免维护的摆臂式结构（</w:t>
            </w:r>
            <w:r>
              <w:rPr>
                <w:rFonts w:ascii="仿宋_GB2312" w:hAnsi="仿宋_GB2312" w:cs="仿宋_GB2312" w:eastAsia="仿宋_GB2312"/>
                <w:sz w:val="24"/>
              </w:rPr>
              <w:t>须提供具有资质的第三方权威机构出具的证明材料</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1"/>
              </w:rPr>
              <w:t>编码器：所投品牌电梯主机编码器（须提供带</w:t>
            </w:r>
            <w:r>
              <w:rPr>
                <w:rFonts w:ascii="仿宋_GB2312" w:hAnsi="仿宋_GB2312" w:cs="仿宋_GB2312" w:eastAsia="仿宋_GB2312"/>
                <w:sz w:val="21"/>
              </w:rPr>
              <w:t>CMA标识</w:t>
            </w:r>
            <w:r>
              <w:rPr>
                <w:rFonts w:ascii="仿宋_GB2312" w:hAnsi="仿宋_GB2312" w:cs="仿宋_GB2312" w:eastAsia="仿宋_GB2312"/>
                <w:sz w:val="24"/>
              </w:rPr>
              <w:t>标识的证明材料复印件</w:t>
            </w:r>
            <w:r>
              <w:rPr>
                <w:rFonts w:ascii="仿宋_GB2312" w:hAnsi="仿宋_GB2312" w:cs="仿宋_GB2312" w:eastAsia="仿宋_GB2312"/>
                <w:sz w:val="24"/>
              </w:rPr>
              <w:t>)</w:t>
            </w:r>
          </w:p>
          <w:p>
            <w:pPr>
              <w:pStyle w:val="null3"/>
              <w:spacing w:before="120"/>
              <w:jc w:val="both"/>
            </w:pPr>
            <w:r>
              <w:rPr>
                <w:rFonts w:ascii="仿宋_GB2312" w:hAnsi="仿宋_GB2312" w:cs="仿宋_GB2312" w:eastAsia="仿宋_GB2312"/>
                <w:sz w:val="24"/>
              </w:rPr>
              <w:t>▲22、变频器：热管散热式变频器（</w:t>
            </w:r>
            <w:r>
              <w:rPr>
                <w:rFonts w:ascii="仿宋_GB2312" w:hAnsi="仿宋_GB2312" w:cs="仿宋_GB2312" w:eastAsia="仿宋_GB2312"/>
                <w:sz w:val="24"/>
              </w:rPr>
              <w:t>为须提供具有资质的第三方权威机构出具的证明材料</w:t>
            </w:r>
            <w:r>
              <w:rPr>
                <w:rFonts w:ascii="仿宋_GB2312" w:hAnsi="仿宋_GB2312" w:cs="仿宋_GB2312" w:eastAsia="仿宋_GB2312"/>
                <w:sz w:val="24"/>
              </w:rPr>
              <w:t>）。</w:t>
            </w:r>
          </w:p>
          <w:p>
            <w:pPr>
              <w:pStyle w:val="null3"/>
              <w:spacing w:before="120"/>
              <w:jc w:val="both"/>
            </w:pPr>
            <w:r>
              <w:rPr>
                <w:rFonts w:ascii="仿宋_GB2312" w:hAnsi="仿宋_GB2312" w:cs="仿宋_GB2312" w:eastAsia="仿宋_GB2312"/>
                <w:sz w:val="24"/>
              </w:rPr>
              <w:t>23所投品牌电梯制造商所生产的电梯能达到以下噪音指标：轿厢内运行噪音≤50db(A) ，开关门过程噪音≤55db(A) （须提供带CMA标识的证明材料复印件，并加盖供应商公章）</w:t>
            </w:r>
          </w:p>
          <w:p>
            <w:pPr>
              <w:pStyle w:val="null3"/>
              <w:spacing w:before="120"/>
              <w:jc w:val="both"/>
            </w:pPr>
            <w:r>
              <w:rPr>
                <w:rFonts w:ascii="仿宋_GB2312" w:hAnsi="仿宋_GB2312" w:cs="仿宋_GB2312" w:eastAsia="仿宋_GB2312"/>
                <w:sz w:val="24"/>
              </w:rPr>
              <w:t>24所投品牌电梯制造商所生产的电梯能达到以下垂直振动指标：轿厢垂直振动最大峰峰值≤0.15m/s² ，垂直振动A95峰峰值≤0.10m/s² （须提供带CMA的证明材料复印件，并加盖供应商公章）</w:t>
            </w:r>
          </w:p>
          <w:p>
            <w:pPr>
              <w:pStyle w:val="null3"/>
              <w:jc w:val="left"/>
            </w:pPr>
            <w:r>
              <w:rPr>
                <w:rFonts w:ascii="仿宋_GB2312" w:hAnsi="仿宋_GB2312" w:cs="仿宋_GB2312" w:eastAsia="仿宋_GB2312"/>
                <w:sz w:val="24"/>
              </w:rPr>
              <w:t>▲25、功能要求必须具备以下功能：登记指令取消、防捣乱保护、起动力矩补偿、提前开门、再平层功能、照明风扇节能、光幕保护装置、语音播报系统、门回路检测、门锁触点检测、门旁路装置、轿厢意外移动保护装置、制动器力矩自监测、关门力矩保护、轿门的开启、IC卡系统、接触器触点粘连检测、缺相保护、电气制动功能、限速器-安全钳联动试验、超载运行试验（须提供</w:t>
            </w:r>
            <w:r>
              <w:rPr>
                <w:rFonts w:ascii="仿宋_GB2312" w:hAnsi="仿宋_GB2312" w:cs="仿宋_GB2312" w:eastAsia="仿宋_GB2312"/>
                <w:sz w:val="24"/>
              </w:rPr>
              <w:t>具有资质的第三方权威机构</w:t>
            </w:r>
            <w:r>
              <w:rPr>
                <w:rFonts w:ascii="仿宋_GB2312" w:hAnsi="仿宋_GB2312" w:cs="仿宋_GB2312" w:eastAsia="仿宋_GB2312"/>
                <w:sz w:val="24"/>
              </w:rPr>
              <w:t>出具的试验报告复印件作为证明材料</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古蔺县二郎镇黄金社区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1、项目完工后竣工验收合格，达到付款条件起30日内，支付合同总金额的95.00%</w:t>
            </w:r>
          </w:p>
          <w:p>
            <w:pPr>
              <w:pStyle w:val="null3"/>
              <w:jc w:val="left"/>
            </w:pPr>
            <w:r>
              <w:rPr>
                <w:rFonts w:ascii="仿宋_GB2312" w:hAnsi="仿宋_GB2312" w:cs="仿宋_GB2312" w:eastAsia="仿宋_GB2312"/>
              </w:rPr>
              <w:t>2、竣工验收一年以后，达到付款条件起30日内，支付合同总金额的5.00%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总则：验收严格按照《财政部关于进一步加强政府采购需求和履约验收管理的指导意见》(财库(2016)205号)的要求组织验收，以投标文件技术响应和合同要求为准。如出现未在招标文件中明确规定的，以行业相关标准为准。如采购双方如对质量要求和技术指标的约定标准有相互抵触或异议的事项，由采购人在采购与投标文件中按质量要求和技术指标、行业标准比较优胜的原则确定该项的约定标准进行验收。如出现争议，在场验收人员无法确定的，委托第三方质检机构进行检测，检测费用由中标人垫付，最终验收标准以检测结果为准，如检测合格由采购人承担检测费用，如检测不合格由中标人承担。如出现中标人提供虚假材料谋取中标或达不到招标要求的，采购人按政府采购相关法律法规向采购人同级财政部门汇报，追究其相关法律责任。 2.必须保证提供的货物（包括零部件）是全新的、未使用过的，具有稳定性、可靠性、安全性，并完全符合国家、行业规定的质量、规格和性能要求等技术标准。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质保期间1年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均应遵守本合同，非因不可抗力而单方面终止执行合同的，将赔偿因违约给对方造成的经济损失，并向对方支付本合同总额10%的违约金；如因乙方原因造成的，并由甲方提请项目同级财政部门将其列入不良行为记录。2、若因乙方原因在合同规定期限内无法提供服务/交货，甲方有权终止合同，并请示项目同级财政部门（采购科/股）取消其中标资格，由乙方向甲方支付10%的违约金，按照供应商诚信管理规定进行记分；或经甲、乙双方协商同意继续履行合同，甲方视情况在延迟服务/交货期内每天按合同总额3‰的标准收取违约金，并按照供应商诚信管理规定进行记分。因不可抗拒力所导致的交货及付款延迟等按照《中华人民共和国民法典》有关条文及本合同第八条处理。3、乙方提供的服务质量不符合合同规定的，乙方应向甲方支付合同总价的5%的违约金并限期 / 日内整改，否则，视作乙方无法提供合格的服务违约，按第七条第2款进行处理。4、乙方保证本合同服务的权利无瑕疵，保证所提供的服务的所有权完全属于乙方且无任何抵押、查封等产权瑕疵。如有产权瑕疵的，视为乙方违约，除应向甲方返还已收款项外，还应另按合同总价的10%向甲方支付违约金并赔偿因此给甲方造成的一切损失。5.乙方应严格遵守服务承诺，如有违约，将赔偿因服务违约给甲方造成的经济损失。如因乙方工作人员在履行职务过程中的的疏忽、失职、过错等故意或者过失原因给甲方造成损失或侵害，包括但不限于甲方本身的财产损失、由此而导致的甲方对任何第三方的法律责任等，乙方对此均应承担全部的赔偿责任，并按照供应商诚信管理规定进行记分。6．验收合格后，甲方应在合同约定的付款期限内及时支付合同款项，如因甲方原因造成付款延误的，乙方视情况在延迟付款期内每天按合同总额3‰的标准收取违约金。7、因服务的质量问题发生争议，由具有法定资格条件的质量技术监督（检测）机构进行质量鉴定。服务符合标准的，鉴定费由甲方承担；服务不符合质量标准的，鉴定费由乙方承担。8、合同履行期间,若双方发生争议，双方本着友好合作的态度，对合同履行过程中发生的违约行为进行及时的协商解决或由有关部门调解解决，如不能协商解决可向合同签约地法院通过法律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根据本项目的采购需求结合企业自身实际情况拟定项目实施方案，包含：(1)施工方案与技术措施;(2)质量保证措施;(3)各分部分项的施工工艺、工程质量控制要点;(4)安全保证措施;(5)工程进度计划与措施;(6)针对本项目各分部分项的重、难点分析。2.投标人根据本项目的采购需求结合企业自身实际情况拟定项目售后服务方案，包含：(1)售后服务范围;(2)售后服务人员和职责;(3)备品备件配置;(4)应急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①若供应商为产品制造（生产）单位，须具备国家行政主管部门颁发的有效的《中华人民共和国特种设备生产许可证》：电梯制造（含安装、修理）。 ②若供应商为非产品制造（生产）单位，其所投产品制造（生产）单位必须具有国家行政主管部门颁发的有效的《中华人民共和国特种设备生产许可证》：电梯制造（含安装、修理），同时投标供应商应具有国家行政主管部门颁发的有效的《中华人民共和国特种设备生产许可证》：电梯安装（含修理）。（描述：①若响应供应商为制造（生产）单位，提供国家行政主管部门颁发的有效的《中华人民共和国特种设备生产许可证》，许可项目为电梯制造（含安装、修理）证书的原件扫描件或复印件。 ②若响应供应商为非产品制造（生产）单位，提供所投产品制造商国家行政主管部门颁发的有效的《中华人民共和国特种设备生产许可证》，许可项目为电梯制造（含安装、修理）证书的原件扫描件或复印件；同时提供投标供应商的由国家行政主管部门颁发的有效的《中华人民共和国特种设备生产许可证》，许可项目为电梯安装（含修理）证书的原件扫描件或复印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w:t>
            </w:r>
          </w:p>
        </w:tc>
        <w:tc>
          <w:tcPr>
            <w:tcW w:type="dxa" w:w="3322"/>
          </w:tcPr>
          <w:p>
            <w:pPr>
              <w:pStyle w:val="null3"/>
              <w:jc w:val="left"/>
            </w:pPr>
            <w:r>
              <w:rPr>
                <w:rFonts w:ascii="仿宋_GB2312" w:hAnsi="仿宋_GB2312" w:cs="仿宋_GB2312" w:eastAsia="仿宋_GB2312"/>
              </w:rPr>
              <w:t>按照采购文件规定提供</w:t>
            </w:r>
          </w:p>
        </w:tc>
        <w:tc>
          <w:tcPr>
            <w:tcW w:type="dxa" w:w="1661"/>
          </w:tcPr>
          <w:p>
            <w:pPr>
              <w:pStyle w:val="null3"/>
              <w:jc w:val="left"/>
            </w:pPr>
            <w:r>
              <w:rPr>
                <w:rFonts w:ascii="仿宋_GB2312" w:hAnsi="仿宋_GB2312" w:cs="仿宋_GB2312" w:eastAsia="仿宋_GB2312"/>
              </w:rPr>
              <w:t>产品技术参数响应表,服务应答表,报价表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技术部分</w:t>
            </w:r>
          </w:p>
        </w:tc>
        <w:tc>
          <w:tcPr>
            <w:tcW w:type="dxa" w:w="2575"/>
          </w:tcPr>
          <w:p>
            <w:pPr>
              <w:pStyle w:val="null3"/>
              <w:jc w:val="left"/>
            </w:pPr>
            <w:r>
              <w:rPr>
                <w:rFonts w:ascii="仿宋_GB2312" w:hAnsi="仿宋_GB2312" w:cs="仿宋_GB2312" w:eastAsia="仿宋_GB2312"/>
              </w:rPr>
              <w:t>本项共30分，其中：（1）带“▲”参数条款共计10条，完全满足得20分，每有一个负偏离扣2分；（2）非“▲”号参数条款共计10条，完全满足得10分，每有一个负偏离扣1分。注：（1）技术参数中“★”条款为实质性要求，不在评分范围内，不允许负偏离；（2）佐证材料以招标文件中要求为准（若有），未提供有效佐证材料或佐证材料中内容与响应内容不一致的，视为未满足该项要求。</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施工图设计完整性</w:t>
            </w:r>
          </w:p>
        </w:tc>
        <w:tc>
          <w:tcPr>
            <w:tcW w:type="dxa" w:w="2575"/>
          </w:tcPr>
          <w:p>
            <w:pPr>
              <w:pStyle w:val="null3"/>
              <w:jc w:val="left"/>
            </w:pPr>
            <w:r>
              <w:rPr>
                <w:rFonts w:ascii="仿宋_GB2312" w:hAnsi="仿宋_GB2312" w:cs="仿宋_GB2312" w:eastAsia="仿宋_GB2312"/>
              </w:rPr>
              <w:t>对投标人所投电梯的施工图设计完整性与图纸质量包括： 1.图纸齐全性：提供了完整的土建布置图（包括井道、机房、底坑）、电气原理图、部件安装详图等全套设计图纸。 2.图纸规范性：图纸符合制图标准，图例、标注、尺寸清晰准确，设计说明详尽。 3.与建筑结构的匹配度：设计图纸与招标项目提供的建筑结构图无缝对接，预留尺寸、荷载要求等精确吻合。 4.人性化设计：井道、机房、底坑的设置位置合理（综合考虑了建筑结构、使用功能、安全规范及空间利用等因素），设计预留了未来功能升级（如群控系统优化、新增楼层接入）的接口或空间等提升用户体验的设计。 以上内容齐全，完全满足招标文件及采购人要求的得 10分；每缺少1项内容的扣2.5分，扣完为止；每1项存在错误、不合理或缺陷的扣1分。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需提供的针对本项目售后服务方案；内容包括：1、售后处理方案。2、售后服务响应时间为2小时。3、售后服务人员安排。4、应急故障处置。5、易损件保障措施。6、后期运行维护，包含质保期内及质保期后。 方案符合采购需求、无缺项且无缺陷的得12分；每缺少1项内容的扣2分，扣完为止；每1项中有错误或缺陷的扣1分。 说明：方案存在错误或缺陷（缺陷是指：项目名称错误、地点区域错误、内 容与本项目需求不一致、仅有框架或标题无具体内容、适用的标准 (方法 ) 错误、内容前后矛盾、明显复制其他项目内容等任意一种情形）。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需提供的针对本项目的实施方案；内容包括：1、人员配置及分工，技术及安装人员需提供相应的资格证书复印件。2、货源组织及包装运输方案。3、项目实施规划及时间进度安排。4、项目实施应急预案、质量保障措施。5、安全保障措施。6、安装调试、培训验收等共及6个方案。 以上内容齐全，完全满足招标文件及采购人要求的得 18分；每缺少1项内容的扣3分，扣完为止；每1项存在错误或缺陷的扣1分。 说明：方案存在错误或缺陷（（缺陷是指：项目名称错误、地点区域错误、内 容与本项目需求不一致、仅有框架或标题无具体内容、适用的标准 (方法 ) 错误、内容前后矛盾、明显复制其他项目内容等任意一种情形。）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