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版本号：N511903202600004320260512001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巴中市恩阳区高标准农田建设跟踪审计服务项目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N5119032026000043</w:t>
      </w:r>
    </w:p>
    <w:p>
      <w:pPr>
        <w:pStyle w:val="null3"/>
        <w:jc w:val="center"/>
        <w:outlineLvl w:val="2"/>
      </w:pPr>
      <w:r>
        <w:rPr>
          <w:rFonts w:ascii="仿宋_GB2312" w:hAnsi="仿宋_GB2312" w:cs="仿宋_GB2312" w:eastAsia="仿宋_GB2312"/>
          <w:sz w:val="28"/>
          <w:b/>
        </w:rPr>
        <w:t>巴中市恩阳区农业农村局</w:t>
      </w:r>
    </w:p>
    <w:p>
      <w:pPr>
        <w:pStyle w:val="null3"/>
        <w:jc w:val="center"/>
        <w:outlineLvl w:val="2"/>
      </w:pPr>
      <w:r>
        <w:rPr>
          <w:rFonts w:ascii="仿宋_GB2312" w:hAnsi="仿宋_GB2312" w:cs="仿宋_GB2312" w:eastAsia="仿宋_GB2312"/>
          <w:sz w:val="28"/>
          <w:b/>
        </w:rPr>
        <w:t>巴中市鑫汇农业服务有限公司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巴中市鑫汇农业服务有限公司</w:t>
      </w:r>
      <w:r>
        <w:rPr>
          <w:rFonts w:ascii="仿宋_GB2312" w:hAnsi="仿宋_GB2312" w:cs="仿宋_GB2312" w:eastAsia="仿宋_GB2312"/>
        </w:rPr>
        <w:t xml:space="preserve"> （以下简称“代理机构”）受 </w:t>
      </w:r>
      <w:r>
        <w:rPr>
          <w:rFonts w:ascii="仿宋_GB2312" w:hAnsi="仿宋_GB2312" w:cs="仿宋_GB2312" w:eastAsia="仿宋_GB2312"/>
        </w:rPr>
        <w:t>巴中市恩阳区农业农村局</w:t>
      </w:r>
      <w:r>
        <w:rPr>
          <w:rFonts w:ascii="仿宋_GB2312" w:hAnsi="仿宋_GB2312" w:cs="仿宋_GB2312" w:eastAsia="仿宋_GB2312"/>
        </w:rPr>
        <w:t xml:space="preserve"> 委托，拟对 </w:t>
      </w:r>
      <w:r>
        <w:rPr>
          <w:rFonts w:ascii="仿宋_GB2312" w:hAnsi="仿宋_GB2312" w:cs="仿宋_GB2312" w:eastAsia="仿宋_GB2312"/>
        </w:rPr>
        <w:t>巴中市恩阳区高标准农田建设跟踪审计服务项目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巴中市恩阳区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N5119032026000043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巴中市恩阳区高标准农田建设跟踪审计服务项目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共1个包，采购《巴中市恩阳区高标准农田建设跟踪审计服务项目》服务供应商1名，采购预算：62.391万元（大写：陆拾贰万叁仟玖佰壹拾元整）；最高限价：62.391万元（大写：陆拾贰万叁仟玖佰壹拾元整）。项目规模：新改建5.0万亩（新建3.0万亩、改造提升2.0万亩）。供应商根据跟踪审计服务内容组织相关专业人员开展跟踪审计服务工作。</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巴中市恩阳区农业农村局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巴中市恩阳区规划40路6号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636064</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何磊</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19980290118</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巴中市鑫汇农业服务有限公司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巴中市经济开发区时新街道通州大道8号（国资大厦）A区1楼8号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636099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赵鹏程</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0827-5700036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采购包1：623,910.00元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代理服务费收费标准：按预算金额参照国家计委计价格[2002]1980号及发改办价格[2003]857号通知规定向成交供应商以转账方式定额收取。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巴中市恩阳区农业农村局</w:t>
      </w:r>
      <w:r>
        <w:rPr>
          <w:rFonts w:ascii="仿宋_GB2312" w:hAnsi="仿宋_GB2312" w:cs="仿宋_GB2312" w:eastAsia="仿宋_GB2312"/>
        </w:rPr>
        <w:t xml:space="preserve"> 和 </w:t>
      </w:r>
      <w:r>
        <w:rPr>
          <w:rFonts w:ascii="仿宋_GB2312" w:hAnsi="仿宋_GB2312" w:cs="仿宋_GB2312" w:eastAsia="仿宋_GB2312"/>
        </w:rPr>
        <w:t>巴中市鑫汇农业服务有限公司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巴中市恩阳区农业农村局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巴中市鑫汇农业服务有限公司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自供应商提出验收之日起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按照合同约定。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按照合同约定。</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按照合同约定。</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成交供应商与采购人应严格按照《财政部关于进一步加强政府采购需求和履约验收管理的指导意见》（财库〔2016〕205号）、《政府采购需求管理办法》（财库〔2021〕22号）及《巴中市财政局关于进一步加强政府采购项目合同履约验收管理工作的通知》（巴财采〔2021〕21号）的要求进行验收。验收方法：项目实施结束后，成交供应商向采购人提出项目验收申请，采购人在10日内组织专家组进行验收，并出具验收报告。</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按照合同约定。</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巴中市恩阳区农业农村局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巴中市鑫汇农业服务有限公司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巴中市鑫汇农业服务有限公司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联系人：何磊</w:t>
      </w:r>
    </w:p>
    <w:p>
      <w:pPr>
        <w:pStyle w:val="null3"/>
        <w:jc w:val="left"/>
      </w:pPr>
      <w:r>
        <w:rPr>
          <w:rFonts w:ascii="仿宋_GB2312" w:hAnsi="仿宋_GB2312" w:cs="仿宋_GB2312" w:eastAsia="仿宋_GB2312"/>
        </w:rPr>
        <w:t>联系电话：19980290118</w:t>
      </w:r>
    </w:p>
    <w:p>
      <w:pPr>
        <w:pStyle w:val="null3"/>
        <w:jc w:val="left"/>
      </w:pPr>
      <w:r>
        <w:rPr>
          <w:rFonts w:ascii="仿宋_GB2312" w:hAnsi="仿宋_GB2312" w:cs="仿宋_GB2312" w:eastAsia="仿宋_GB2312"/>
        </w:rPr>
        <w:t>地址：巴中市恩阳区规划40路6号</w:t>
      </w:r>
    </w:p>
    <w:p>
      <w:pPr>
        <w:pStyle w:val="null3"/>
        <w:jc w:val="left"/>
      </w:pPr>
      <w:r>
        <w:rPr>
          <w:rFonts w:ascii="仿宋_GB2312" w:hAnsi="仿宋_GB2312" w:cs="仿宋_GB2312" w:eastAsia="仿宋_GB2312"/>
        </w:rPr>
        <w:t>邮编：636064</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联系人：赵鹏程</w:t>
      </w:r>
    </w:p>
    <w:p>
      <w:pPr>
        <w:pStyle w:val="null3"/>
        <w:jc w:val="left"/>
      </w:pPr>
      <w:r>
        <w:rPr>
          <w:rFonts w:ascii="仿宋_GB2312" w:hAnsi="仿宋_GB2312" w:cs="仿宋_GB2312" w:eastAsia="仿宋_GB2312"/>
        </w:rPr>
        <w:t>联系电话：0827-5700036</w:t>
      </w:r>
    </w:p>
    <w:p>
      <w:pPr>
        <w:pStyle w:val="null3"/>
        <w:jc w:val="left"/>
      </w:pPr>
      <w:r>
        <w:rPr>
          <w:rFonts w:ascii="仿宋_GB2312" w:hAnsi="仿宋_GB2312" w:cs="仿宋_GB2312" w:eastAsia="仿宋_GB2312"/>
        </w:rPr>
        <w:t>地址：巴中市经济开发区时新街道通州大道8号（国资大厦）A区1楼8号</w:t>
      </w:r>
    </w:p>
    <w:p>
      <w:pPr>
        <w:pStyle w:val="null3"/>
        <w:jc w:val="left"/>
      </w:pPr>
      <w:r>
        <w:rPr>
          <w:rFonts w:ascii="仿宋_GB2312" w:hAnsi="仿宋_GB2312" w:cs="仿宋_GB2312" w:eastAsia="仿宋_GB2312"/>
        </w:rPr>
        <w:t>邮编：636099</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623,910.00</w:t>
      </w:r>
    </w:p>
    <w:p>
      <w:pPr>
        <w:pStyle w:val="null3"/>
        <w:jc w:val="left"/>
      </w:pPr>
      <w:r>
        <w:rPr>
          <w:rFonts w:ascii="仿宋_GB2312" w:hAnsi="仿宋_GB2312" w:cs="仿宋_GB2312" w:eastAsia="仿宋_GB2312"/>
        </w:rPr>
        <w:t>采购包最高限价（元）: 623,910.00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C20039900 其他咨询服务</w:t>
            </w:r>
          </w:p>
        </w:tc>
        <w:tc>
          <w:tcPr>
            <w:tcW w:type="dxa" w:w="821"/>
          </w:tcPr>
          <w:p>
            <w:pPr>
              <w:pStyle w:val="null3"/>
              <w:jc w:val="left"/>
            </w:pPr>
            <w:r>
              <w:rPr>
                <w:rFonts w:ascii="仿宋_GB2312" w:hAnsi="仿宋_GB2312" w:cs="仿宋_GB2312" w:eastAsia="仿宋_GB2312"/>
              </w:rPr>
              <w:t>巴中市恩阳区高标准农田建设跟踪审计服务项目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623,910.00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巴中市恩阳区高标准农田建设跟踪审计服务项目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623,910.00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标的名称：巴中市恩阳区高标准农田建设跟踪审计服务项目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项目概述</w:t>
            </w:r>
          </w:p>
        </w:tc>
        <w:tc>
          <w:tcPr>
            <w:tcW w:type="dxa" w:w="5814"/>
          </w:tcPr>
          <w:p>
            <w:pPr>
              <w:pStyle w:val="null3"/>
              <w:ind w:firstLine="480"/>
              <w:jc w:val="left"/>
            </w:pPr>
            <w:r>
              <w:rPr>
                <w:rFonts w:ascii="仿宋_GB2312" w:hAnsi="仿宋_GB2312" w:cs="仿宋_GB2312" w:eastAsia="仿宋_GB2312"/>
                <w:sz w:val="24"/>
                <w:color w:val="000000"/>
              </w:rPr>
              <w:t>本项目共</w:t>
            </w:r>
            <w:r>
              <w:rPr>
                <w:rFonts w:ascii="仿宋_GB2312" w:hAnsi="仿宋_GB2312" w:cs="仿宋_GB2312" w:eastAsia="仿宋_GB2312"/>
                <w:sz w:val="24"/>
                <w:color w:val="000000"/>
              </w:rPr>
              <w:t>1个包，采购《巴中市恩阳区高标准农田建设跟踪审计服务项目》服务供应商1名，采购预算：62.391万元（大写：陆拾贰万叁仟玖佰壹拾元整）；最高限价：62.391万元（大写：陆拾贰万叁仟玖佰壹拾元整）。项目规模：新改建5.0万亩（新建3.0万亩、改造提升2.0万亩）。供应商根据跟踪审计服务内容组织相关专业人员开展跟踪审计服务工作。</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ind w:firstLine="240"/>
              <w:jc w:val="both"/>
            </w:pPr>
            <w:r>
              <w:rPr>
                <w:rFonts w:ascii="仿宋_GB2312" w:hAnsi="仿宋_GB2312" w:cs="仿宋_GB2312" w:eastAsia="仿宋_GB2312"/>
                <w:sz w:val="24"/>
                <w:color w:val="000000"/>
              </w:rPr>
              <w:t>（一）服务范围：</w:t>
            </w:r>
          </w:p>
          <w:p>
            <w:pPr>
              <w:pStyle w:val="null3"/>
              <w:ind w:firstLine="240"/>
              <w:jc w:val="both"/>
            </w:pPr>
            <w:r>
              <w:rPr>
                <w:rFonts w:ascii="仿宋_GB2312" w:hAnsi="仿宋_GB2312" w:cs="仿宋_GB2312" w:eastAsia="仿宋_GB2312"/>
                <w:sz w:val="24"/>
                <w:color w:val="000000"/>
              </w:rPr>
              <w:t>项目全过程（前期建设程序及流程、工程管理部门内部控制制度的设计和执行情况、招投标和合同履行情况、进度款的核对及支付、隐蔽工程、设计变更签证、索赔、工程价款、验收结算等）跟踪审计服务。</w:t>
            </w:r>
          </w:p>
          <w:p>
            <w:pPr>
              <w:pStyle w:val="null3"/>
              <w:ind w:firstLine="240"/>
              <w:jc w:val="both"/>
            </w:pPr>
            <w:r>
              <w:rPr>
                <w:rFonts w:ascii="仿宋_GB2312" w:hAnsi="仿宋_GB2312" w:cs="仿宋_GB2312" w:eastAsia="仿宋_GB2312"/>
                <w:sz w:val="24"/>
                <w:color w:val="000000"/>
              </w:rPr>
              <w:t>（二）服务内容</w:t>
            </w:r>
          </w:p>
          <w:p>
            <w:pPr>
              <w:pStyle w:val="null3"/>
              <w:ind w:firstLine="240"/>
              <w:jc w:val="both"/>
            </w:pPr>
            <w:r>
              <w:rPr>
                <w:rFonts w:ascii="仿宋_GB2312" w:hAnsi="仿宋_GB2312" w:cs="仿宋_GB2312" w:eastAsia="仿宋_GB2312"/>
                <w:sz w:val="24"/>
                <w:color w:val="000000"/>
              </w:rPr>
              <w:t>1.项目前期建设程序及流程。对建设项目开工前的立项、招投标及经济合同签订等活动进行审计。含建设项目立项、可研、初步设计、概算等文件的流程；建设项目招标代理、勘察、设计、施工、监理等事项的招投标程序、合同审签的合规性及落实情况等。</w:t>
            </w:r>
          </w:p>
          <w:p>
            <w:pPr>
              <w:pStyle w:val="null3"/>
              <w:ind w:firstLine="240"/>
              <w:jc w:val="both"/>
            </w:pPr>
            <w:r>
              <w:rPr>
                <w:rFonts w:ascii="仿宋_GB2312" w:hAnsi="仿宋_GB2312" w:cs="仿宋_GB2312" w:eastAsia="仿宋_GB2312"/>
                <w:sz w:val="24"/>
                <w:color w:val="000000"/>
              </w:rPr>
              <w:t>2.工程项目相关职能部门内部控制制度的设置和落实情况的评审。一是督促职能部门在工程项目实施过程中制定组织措施、经济措施、技术措施和合同措施以保证工程项目按预算或概算投资执行；二是督促职能部门事先编制好施工过程的资金使用计划，确定、分解投资控制目标，进行投资跟踪控制，定期进行投资实际支出与计划目标值的比较。发现偏差及时提出整改措施建议。</w:t>
            </w:r>
          </w:p>
          <w:p>
            <w:pPr>
              <w:pStyle w:val="null3"/>
              <w:ind w:firstLine="240"/>
              <w:jc w:val="both"/>
            </w:pPr>
            <w:r>
              <w:rPr>
                <w:rFonts w:ascii="仿宋_GB2312" w:hAnsi="仿宋_GB2312" w:cs="仿宋_GB2312" w:eastAsia="仿宋_GB2312"/>
                <w:sz w:val="24"/>
                <w:color w:val="000000"/>
              </w:rPr>
              <w:t>3.按照招标文件和合同要求对项目实施参与跟踪审核，对建设项目全过程的真实性、合法性和效益进行审计监督、分析评价，并为竣工结（决）算审计提供依据。主要按照国家法律、法规和规章制度对项目基本建设程序履行情况、建设资金要素保障、招标投标、质量安全与进度管理、造价控制、参建单位履职履责、项目建设推进、重大政策措施落实、内控制度执行等内容进行跟踪审计。全过程参与现场施工调整变更、阶段性验收、县级初验等项目管理工作，并在施工单位提交分期拨付工程进度款申请后10个工作日内出具阶段性跟踪审计报告，在县(区)农业农村局完成县级初验10个工作日内出具项目跟踪审计报告。</w:t>
            </w:r>
          </w:p>
          <w:p>
            <w:pPr>
              <w:pStyle w:val="null3"/>
              <w:ind w:firstLine="240"/>
              <w:jc w:val="both"/>
            </w:pPr>
            <w:r>
              <w:rPr>
                <w:rFonts w:ascii="仿宋_GB2312" w:hAnsi="仿宋_GB2312" w:cs="仿宋_GB2312" w:eastAsia="仿宋_GB2312"/>
                <w:sz w:val="24"/>
                <w:color w:val="000000"/>
              </w:rPr>
              <w:t>4.审查与工程有关的各类合同。审计合同存在的疏漏，并进行分析判断，提出建议。</w:t>
            </w:r>
          </w:p>
          <w:p>
            <w:pPr>
              <w:pStyle w:val="null3"/>
              <w:ind w:firstLine="240"/>
              <w:jc w:val="both"/>
            </w:pPr>
            <w:r>
              <w:rPr>
                <w:rFonts w:ascii="仿宋_GB2312" w:hAnsi="仿宋_GB2312" w:cs="仿宋_GB2312" w:eastAsia="仿宋_GB2312"/>
                <w:sz w:val="24"/>
                <w:color w:val="000000"/>
              </w:rPr>
              <w:t>5.审核预算清单、招标清单的准确性，对比实际施工与图纸差异，及时跟进工程量的变化。</w:t>
            </w:r>
          </w:p>
          <w:p>
            <w:pPr>
              <w:pStyle w:val="null3"/>
              <w:ind w:firstLine="240"/>
              <w:jc w:val="both"/>
            </w:pPr>
            <w:r>
              <w:rPr>
                <w:rFonts w:ascii="仿宋_GB2312" w:hAnsi="仿宋_GB2312" w:cs="仿宋_GB2312" w:eastAsia="仿宋_GB2312"/>
                <w:sz w:val="24"/>
                <w:color w:val="000000"/>
              </w:rPr>
              <w:t>6.审核概预算执行及控制情况。</w:t>
            </w:r>
          </w:p>
          <w:p>
            <w:pPr>
              <w:pStyle w:val="null3"/>
              <w:ind w:firstLine="240"/>
              <w:jc w:val="both"/>
            </w:pPr>
            <w:r>
              <w:rPr>
                <w:rFonts w:ascii="仿宋_GB2312" w:hAnsi="仿宋_GB2312" w:cs="仿宋_GB2312" w:eastAsia="仿宋_GB2312"/>
                <w:sz w:val="24"/>
                <w:color w:val="000000"/>
              </w:rPr>
              <w:t>7.隐蔽工程现场核查。</w:t>
            </w:r>
          </w:p>
          <w:p>
            <w:pPr>
              <w:pStyle w:val="null3"/>
              <w:ind w:firstLine="240"/>
              <w:jc w:val="both"/>
            </w:pPr>
            <w:r>
              <w:rPr>
                <w:rFonts w:ascii="仿宋_GB2312" w:hAnsi="仿宋_GB2312" w:cs="仿宋_GB2312" w:eastAsia="仿宋_GB2312"/>
                <w:sz w:val="24"/>
                <w:color w:val="000000"/>
              </w:rPr>
              <w:t>7.1审计隐蔽工程的工程量、施工工艺是否符合相关规范及要求，核实隐蔽工程施工内容与记录的一致性，及时做好隐蔽工程跟踪审核记录。做好隐蔽工程的审查，涉及造价增减的，要求按程序报批，审查图片、文字资料是否齐全，对收集的资料及时存档。</w:t>
            </w:r>
          </w:p>
          <w:p>
            <w:pPr>
              <w:pStyle w:val="null3"/>
              <w:ind w:firstLine="240"/>
              <w:jc w:val="both"/>
            </w:pPr>
            <w:r>
              <w:rPr>
                <w:rFonts w:ascii="仿宋_GB2312" w:hAnsi="仿宋_GB2312" w:cs="仿宋_GB2312" w:eastAsia="仿宋_GB2312"/>
                <w:sz w:val="24"/>
                <w:color w:val="000000"/>
              </w:rPr>
              <w:t>7.2主要审查隐蔽工程的真实性、准确性。一是监督工程项目基础实物工程量，检查是否按有关规定进行收方，核实实物工程量；二是审查土石方比例及运距，检查是否按有关规定进行认定；三是审查隐蔽工程资料是否真实、准确、完整。</w:t>
            </w:r>
          </w:p>
          <w:p>
            <w:pPr>
              <w:pStyle w:val="null3"/>
              <w:ind w:firstLine="240"/>
              <w:jc w:val="both"/>
            </w:pPr>
            <w:r>
              <w:rPr>
                <w:rFonts w:ascii="仿宋_GB2312" w:hAnsi="仿宋_GB2312" w:cs="仿宋_GB2312" w:eastAsia="仿宋_GB2312"/>
                <w:sz w:val="24"/>
                <w:color w:val="000000"/>
              </w:rPr>
              <w:t>8.设计变更审查。主要审查工程项目设计变更的真实性、合理性和必要性。一是审查设计变更的处理程序是否符合规定，手续是否完备；二是审查设计变更的内容及数量是否真实；三是审查设计变更价款的合理性和准确性。分析变更对造价的影响；并审查承包人因设计变更造成的费用增减，对必要的变更进行技术经济比较，审查技术措施是否合理。</w:t>
            </w:r>
          </w:p>
          <w:p>
            <w:pPr>
              <w:pStyle w:val="null3"/>
              <w:ind w:firstLine="240"/>
              <w:jc w:val="both"/>
            </w:pPr>
            <w:r>
              <w:rPr>
                <w:rFonts w:ascii="仿宋_GB2312" w:hAnsi="仿宋_GB2312" w:cs="仿宋_GB2312" w:eastAsia="仿宋_GB2312"/>
                <w:sz w:val="24"/>
                <w:color w:val="000000"/>
              </w:rPr>
              <w:t>9.工程签证审查。核对合规性与审批流程、现场与资料交叉验证真实性、计算复核工程量和单价、确认费用合理性、形成审核意见反馈。</w:t>
            </w:r>
          </w:p>
          <w:p>
            <w:pPr>
              <w:pStyle w:val="null3"/>
              <w:ind w:firstLine="240"/>
              <w:jc w:val="both"/>
            </w:pPr>
            <w:r>
              <w:rPr>
                <w:rFonts w:ascii="仿宋_GB2312" w:hAnsi="仿宋_GB2312" w:cs="仿宋_GB2312" w:eastAsia="仿宋_GB2312"/>
                <w:sz w:val="24"/>
                <w:color w:val="000000"/>
              </w:rPr>
              <w:t>10.工程进度款审查。审查工程进度款是否按合同约定支付，监理单位是否按已完工程实物量审核,进度款支付是否与工程进度匹配，在施工单位提交工程进度款申请后10个工作日内出具阶段性跟踪审计报告。</w:t>
            </w:r>
          </w:p>
          <w:p>
            <w:pPr>
              <w:pStyle w:val="null3"/>
              <w:ind w:firstLine="240"/>
              <w:jc w:val="both"/>
            </w:pPr>
            <w:r>
              <w:rPr>
                <w:rFonts w:ascii="仿宋_GB2312" w:hAnsi="仿宋_GB2312" w:cs="仿宋_GB2312" w:eastAsia="仿宋_GB2312"/>
                <w:sz w:val="24"/>
                <w:color w:val="000000"/>
              </w:rPr>
              <w:t>11.合同履行审查</w:t>
            </w:r>
          </w:p>
          <w:p>
            <w:pPr>
              <w:pStyle w:val="null3"/>
              <w:ind w:firstLine="240"/>
              <w:jc w:val="both"/>
            </w:pPr>
            <w:r>
              <w:rPr>
                <w:rFonts w:ascii="仿宋_GB2312" w:hAnsi="仿宋_GB2312" w:cs="仿宋_GB2312" w:eastAsia="仿宋_GB2312"/>
                <w:sz w:val="24"/>
                <w:color w:val="000000"/>
              </w:rPr>
              <w:t>11.1一是审查是否按合同约定的条款执行；二是审查因安全施工、不可抗力、合同分包、技术工艺、文物或障碍物等事件对合同履行所产生的影响，以及由此带来的索赔；三是审查合同价款的变更或增减费用的合理性、合规性和合法性。</w:t>
            </w:r>
          </w:p>
          <w:p>
            <w:pPr>
              <w:pStyle w:val="null3"/>
              <w:ind w:firstLine="240"/>
              <w:jc w:val="both"/>
            </w:pPr>
            <w:r>
              <w:rPr>
                <w:rFonts w:ascii="仿宋_GB2312" w:hAnsi="仿宋_GB2312" w:cs="仿宋_GB2312" w:eastAsia="仿宋_GB2312"/>
                <w:sz w:val="24"/>
                <w:color w:val="000000"/>
              </w:rPr>
              <w:t>11.2审查设备、材料等是否按设计要求和合同约定进行采购，是否提供产品合格证或质量检测合格证明材料。如供应商提供的质量证明材料与进场产品不一致时，有权建议采购人组织参建单位进行产品抽样并送检。</w:t>
            </w:r>
          </w:p>
          <w:p>
            <w:pPr>
              <w:pStyle w:val="null3"/>
              <w:ind w:firstLine="240"/>
              <w:jc w:val="both"/>
            </w:pPr>
            <w:r>
              <w:rPr>
                <w:rFonts w:ascii="仿宋_GB2312" w:hAnsi="仿宋_GB2312" w:cs="仿宋_GB2312" w:eastAsia="仿宋_GB2312"/>
                <w:sz w:val="24"/>
                <w:color w:val="000000"/>
              </w:rPr>
              <w:t>11.3审查设备、材料暂估价。重点审查设备、材料暂估价定价的真实性、合理性。审计服务人员应监督设备、材料价格的询价与核定工作，以及监督招标采购活动。对设备、材料的价格提出核定意见。对已购设备、材料因故不能使用的，要分析原因，分清责任，并督促相关单位及时处理，避免造成更大损失。</w:t>
            </w:r>
          </w:p>
          <w:p>
            <w:pPr>
              <w:pStyle w:val="null3"/>
              <w:ind w:firstLine="240"/>
              <w:jc w:val="both"/>
            </w:pPr>
            <w:r>
              <w:rPr>
                <w:rFonts w:ascii="仿宋_GB2312" w:hAnsi="仿宋_GB2312" w:cs="仿宋_GB2312" w:eastAsia="仿宋_GB2312"/>
                <w:sz w:val="24"/>
                <w:color w:val="000000"/>
              </w:rPr>
              <w:t>12.审查建设现场管理、内部控制制度的执行情况。审查施工进度是否符合计划，材料进场验收、设备使用是否规范。</w:t>
            </w:r>
          </w:p>
          <w:p>
            <w:pPr>
              <w:pStyle w:val="null3"/>
              <w:ind w:firstLine="240"/>
              <w:jc w:val="both"/>
            </w:pPr>
            <w:r>
              <w:rPr>
                <w:rFonts w:ascii="仿宋_GB2312" w:hAnsi="仿宋_GB2312" w:cs="仿宋_GB2312" w:eastAsia="仿宋_GB2312"/>
                <w:sz w:val="24"/>
                <w:color w:val="000000"/>
              </w:rPr>
              <w:t>13索赔审查。一是审查索赔事由是否成立；二是审查索赔程序和时效是否合规；三是审查索赔费用和（或）工期的合理性和准确性。</w:t>
            </w:r>
          </w:p>
          <w:p>
            <w:pPr>
              <w:pStyle w:val="null3"/>
              <w:ind w:firstLine="240"/>
              <w:jc w:val="both"/>
            </w:pPr>
            <w:r>
              <w:rPr>
                <w:rFonts w:ascii="仿宋_GB2312" w:hAnsi="仿宋_GB2312" w:cs="仿宋_GB2312" w:eastAsia="仿宋_GB2312"/>
                <w:sz w:val="24"/>
                <w:color w:val="000000"/>
              </w:rPr>
              <w:t>14.工程价款结算审查。</w:t>
            </w:r>
          </w:p>
          <w:p>
            <w:pPr>
              <w:pStyle w:val="null3"/>
              <w:ind w:firstLine="240"/>
              <w:jc w:val="both"/>
            </w:pPr>
            <w:r>
              <w:rPr>
                <w:rFonts w:ascii="仿宋_GB2312" w:hAnsi="仿宋_GB2312" w:cs="仿宋_GB2312" w:eastAsia="仿宋_GB2312"/>
                <w:sz w:val="24"/>
                <w:color w:val="000000"/>
              </w:rPr>
              <w:t>14.1根据工程合同约定的工程价款结算方式，结合工程进度及预付款项和工程监理情况，审查经工程项目管理部门签证的工程价款结算账单，提出资金拨付意见。</w:t>
            </w:r>
          </w:p>
          <w:p>
            <w:pPr>
              <w:pStyle w:val="null3"/>
              <w:ind w:firstLine="240"/>
              <w:jc w:val="both"/>
            </w:pPr>
            <w:r>
              <w:rPr>
                <w:rFonts w:ascii="仿宋_GB2312" w:hAnsi="仿宋_GB2312" w:cs="仿宋_GB2312" w:eastAsia="仿宋_GB2312"/>
                <w:sz w:val="24"/>
                <w:color w:val="000000"/>
              </w:rPr>
              <w:t>14.2工程进入竣工阶段，提请建设单位督促施工单位及时收集和完善工程竣工资料和竣工图。做好项目的跟踪审核工作总结，汇总整个跟踪阶段的审核工作内容，审计建议，解决的问题，汇总整个跟踪阶段的变更签证资料，同时总结本项目的跟踪审计成果，分析存在的问题，提出合理化建议并形成书面资料，报送委托单位。</w:t>
            </w:r>
          </w:p>
          <w:p>
            <w:pPr>
              <w:pStyle w:val="null3"/>
              <w:ind w:firstLine="240"/>
              <w:jc w:val="both"/>
            </w:pPr>
            <w:r>
              <w:rPr>
                <w:rFonts w:ascii="仿宋_GB2312" w:hAnsi="仿宋_GB2312" w:cs="仿宋_GB2312" w:eastAsia="仿宋_GB2312"/>
                <w:sz w:val="24"/>
                <w:color w:val="000000"/>
              </w:rPr>
              <w:t>15.跟踪审计单位对承包人提交的竣工结算进行审计，并出具审核报告。全过程监督现场施工、调整变更、阶段性验收、县级初验、市级竣工结算验收等项目管理工作，并在县(区)农业农村局完成县级初验10个工作日内出具项目跟踪审计报告，明确核定的分类分项工程量和金额，在跟踪审核形成的所有档案资料应完善归档，同步报采购人存档备查（涉及各相关单位应加盖鲜章）。</w:t>
            </w:r>
          </w:p>
          <w:p>
            <w:pPr>
              <w:pStyle w:val="null3"/>
              <w:ind w:firstLine="240"/>
              <w:jc w:val="both"/>
            </w:pPr>
            <w:r>
              <w:rPr>
                <w:rFonts w:ascii="仿宋_GB2312" w:hAnsi="仿宋_GB2312" w:cs="仿宋_GB2312" w:eastAsia="仿宋_GB2312"/>
                <w:sz w:val="24"/>
                <w:color w:val="000000"/>
              </w:rPr>
              <w:t>16.其他工作：向委托人提供国内和本市工程项目的造价咨询业务有关法律、法令、条例、规定、标准、规范和一般惯例的咨询服务；向委托人提供涉及委托工程项目的材料、设备等造价信息和规定的咨询服务；对所审核的项目工程风险终身负责，即：咨询人对所出具的各阶段跟踪审核报告的真实性、完整性、合法性终身负责。</w:t>
            </w:r>
          </w:p>
          <w:p>
            <w:pPr>
              <w:pStyle w:val="null3"/>
              <w:ind w:firstLine="240"/>
              <w:jc w:val="both"/>
            </w:pPr>
            <w:r>
              <w:rPr>
                <w:rFonts w:ascii="仿宋_GB2312" w:hAnsi="仿宋_GB2312" w:cs="仿宋_GB2312" w:eastAsia="仿宋_GB2312"/>
                <w:sz w:val="24"/>
                <w:color w:val="000000"/>
              </w:rPr>
              <w:t>17.其他服务要求</w:t>
            </w:r>
          </w:p>
          <w:p>
            <w:pPr>
              <w:pStyle w:val="null3"/>
              <w:ind w:firstLine="240"/>
              <w:jc w:val="both"/>
            </w:pPr>
            <w:r>
              <w:rPr>
                <w:rFonts w:ascii="仿宋_GB2312" w:hAnsi="仿宋_GB2312" w:cs="仿宋_GB2312" w:eastAsia="仿宋_GB2312"/>
                <w:sz w:val="24"/>
                <w:color w:val="000000"/>
              </w:rPr>
              <w:t>17.1供应商应当认真履行以下职责：</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1）严格执行国家审计法律、法规、规章，遵守行业执业准则、职业道德规范和廉洁审计纪律规定，不得将参审项目转包或分包给其他单位或个人；</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2）接受采购人的监督和管理，服从管理，接受对其成果文件的复核和监督，执行业主制定的现行制度；</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3）严格遵守国家保密规定，不向外泄露审计成果及相关信息，不利用审计获取的信息牟取利益或用于其他与审计无关的任何事项；</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4）在参与审核过程中，应随项目推进及时了解项目情况，发表参审意见。应采购人要求按时出具阶段性审核报告（月报、年度报告和建议函等）、审核报告或采购人要求的其他成果文件；</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5）在提供审核服务过程中，应及时报告重大事项或重要情况。</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6）对特殊环节或重大变更事项进行专项审计，出具独立审计意见。</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7）每月出具月度跟踪审计报告（含完成工程数量和金额）、问题整改建议。</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8）成立跟踪审计项目组并制订跟踪审计实施方案，该方案应包括人员安排、工作计划、技术手段和方法、工作制度等内容。</w:t>
            </w:r>
          </w:p>
          <w:p>
            <w:pPr>
              <w:pStyle w:val="null3"/>
              <w:ind w:firstLine="240"/>
              <w:jc w:val="both"/>
            </w:pPr>
            <w:r>
              <w:rPr>
                <w:rFonts w:ascii="仿宋_GB2312" w:hAnsi="仿宋_GB2312" w:cs="仿宋_GB2312" w:eastAsia="仿宋_GB2312"/>
                <w:sz w:val="24"/>
                <w:color w:val="000000"/>
              </w:rPr>
              <w:t>17.2服务标准</w:t>
            </w:r>
          </w:p>
          <w:p>
            <w:pPr>
              <w:pStyle w:val="null3"/>
              <w:ind w:firstLine="240"/>
              <w:jc w:val="both"/>
            </w:pPr>
            <w:r>
              <w:rPr>
                <w:rFonts w:ascii="仿宋_GB2312" w:hAnsi="仿宋_GB2312" w:cs="仿宋_GB2312" w:eastAsia="仿宋_GB2312"/>
                <w:sz w:val="24"/>
                <w:color w:val="000000"/>
              </w:rPr>
              <w:t>17.2.1过程和成果须符合相关规定及项目所在下发的有关工程方面的文件和规定。</w:t>
            </w:r>
          </w:p>
          <w:p>
            <w:pPr>
              <w:pStyle w:val="null3"/>
              <w:ind w:firstLine="240"/>
              <w:jc w:val="both"/>
            </w:pPr>
            <w:r>
              <w:rPr>
                <w:rFonts w:ascii="仿宋_GB2312" w:hAnsi="仿宋_GB2312" w:cs="仿宋_GB2312" w:eastAsia="仿宋_GB2312"/>
                <w:sz w:val="24"/>
                <w:color w:val="000000"/>
              </w:rPr>
              <w:t>17.2</w:t>
            </w:r>
            <w:r>
              <w:rPr>
                <w:rFonts w:ascii="仿宋_GB2312" w:hAnsi="仿宋_GB2312" w:cs="仿宋_GB2312" w:eastAsia="仿宋_GB2312"/>
                <w:sz w:val="24"/>
                <w:color w:val="000000"/>
              </w:rPr>
              <w:t>.2在合同履行过程中，如果国家或有关部门颁布了新的技术标准或规范，应采用新的标准或规范进行服务工作，及其他相关国家规范。</w:t>
            </w:r>
          </w:p>
          <w:p>
            <w:pPr>
              <w:pStyle w:val="null3"/>
              <w:ind w:firstLine="240"/>
              <w:jc w:val="both"/>
            </w:pPr>
            <w:r>
              <w:rPr>
                <w:rFonts w:ascii="仿宋_GB2312" w:hAnsi="仿宋_GB2312" w:cs="仿宋_GB2312" w:eastAsia="仿宋_GB2312"/>
                <w:sz w:val="24"/>
                <w:color w:val="000000"/>
              </w:rPr>
              <w:t>（三）成果要求</w:t>
            </w:r>
          </w:p>
          <w:p>
            <w:pPr>
              <w:pStyle w:val="null3"/>
              <w:ind w:firstLine="240"/>
              <w:jc w:val="both"/>
            </w:pPr>
            <w:r>
              <w:rPr>
                <w:rFonts w:ascii="仿宋_GB2312" w:hAnsi="仿宋_GB2312" w:cs="仿宋_GB2312" w:eastAsia="仿宋_GB2312"/>
                <w:sz w:val="24"/>
                <w:color w:val="000000"/>
              </w:rPr>
              <w:t>1.将审计形成的全部纸质资料原件及电子资料完整整理后移交给采购人，包括：</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1）阶段性审核报告、跟踪审计报告、竣工结算审核报告、审核实施方案、审核取记录、现场踏勘方案及记录表、工程量计算底稿及差异表、相关会议纪要等；</w:t>
            </w:r>
          </w:p>
          <w:p>
            <w:pPr>
              <w:pStyle w:val="null3"/>
              <w:ind w:firstLine="2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2）跟踪审计单位内部三级复核表、营业执照复印件、审核质量承诺书、保密承诺书、廉洁承诺书等；</w:t>
            </w:r>
          </w:p>
          <w:p>
            <w:pPr>
              <w:pStyle w:val="null3"/>
              <w:ind w:firstLine="240"/>
              <w:jc w:val="both"/>
            </w:pPr>
            <w:r>
              <w:rPr>
                <w:rFonts w:ascii="仿宋_GB2312" w:hAnsi="仿宋_GB2312" w:cs="仿宋_GB2312" w:eastAsia="仿宋_GB2312"/>
                <w:sz w:val="24"/>
                <w:color w:val="000000"/>
              </w:rPr>
              <w:t>2.审核报告包括纸质和电子两种文件(其中，纸质文件6份，电子文件1份)，格式为 WORD、JPG、PDF、GCFX等(最终根据采购人要求提供)。</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项目要求</w:t>
            </w:r>
          </w:p>
        </w:tc>
        <w:tc>
          <w:tcPr>
            <w:tcW w:type="dxa" w:w="5814"/>
          </w:tcPr>
          <w:p>
            <w:pPr>
              <w:pStyle w:val="null3"/>
              <w:jc w:val="left"/>
            </w:pPr>
            <w:r>
              <w:rPr>
                <w:rFonts w:ascii="仿宋_GB2312" w:hAnsi="仿宋_GB2312" w:cs="仿宋_GB2312" w:eastAsia="仿宋_GB2312"/>
                <w:sz w:val="28"/>
              </w:rPr>
              <w:t>根据供应商提供的</w:t>
            </w:r>
            <w:r>
              <w:rPr>
                <w:rFonts w:ascii="仿宋_GB2312" w:hAnsi="仿宋_GB2312" w:cs="仿宋_GB2312" w:eastAsia="仿宋_GB2312"/>
                <w:sz w:val="28"/>
              </w:rPr>
              <w:t>项目实施</w:t>
            </w:r>
            <w:r>
              <w:rPr>
                <w:rFonts w:ascii="仿宋_GB2312" w:hAnsi="仿宋_GB2312" w:cs="仿宋_GB2312" w:eastAsia="仿宋_GB2312"/>
                <w:sz w:val="28"/>
              </w:rPr>
              <w:t>方案进行综合评审，内容包含但不限于：</w:t>
            </w:r>
          </w:p>
          <w:p>
            <w:pPr>
              <w:pStyle w:val="null3"/>
              <w:ind w:firstLine="240"/>
              <w:jc w:val="both"/>
            </w:pPr>
            <w:r>
              <w:rPr>
                <w:rFonts w:ascii="仿宋_GB2312" w:hAnsi="仿宋_GB2312" w:cs="仿宋_GB2312" w:eastAsia="仿宋_GB2312"/>
                <w:sz w:val="24"/>
                <w:color w:val="000000"/>
              </w:rPr>
              <w:t>①项目审前调查方案；</w:t>
            </w:r>
          </w:p>
          <w:p>
            <w:pPr>
              <w:pStyle w:val="null3"/>
              <w:ind w:firstLine="240"/>
              <w:jc w:val="both"/>
            </w:pPr>
            <w:r>
              <w:rPr>
                <w:rFonts w:ascii="仿宋_GB2312" w:hAnsi="仿宋_GB2312" w:cs="仿宋_GB2312" w:eastAsia="仿宋_GB2312"/>
                <w:sz w:val="24"/>
                <w:color w:val="000000"/>
              </w:rPr>
              <w:t>②审计工作流程及工作内容分配；</w:t>
            </w:r>
          </w:p>
          <w:p>
            <w:pPr>
              <w:pStyle w:val="null3"/>
              <w:ind w:firstLine="240"/>
              <w:jc w:val="both"/>
            </w:pPr>
            <w:r>
              <w:rPr>
                <w:rFonts w:ascii="仿宋_GB2312" w:hAnsi="仿宋_GB2312" w:cs="仿宋_GB2312" w:eastAsia="仿宋_GB2312"/>
                <w:sz w:val="24"/>
                <w:color w:val="000000"/>
              </w:rPr>
              <w:t>③项目实施人员管理；</w:t>
            </w:r>
          </w:p>
          <w:p>
            <w:pPr>
              <w:pStyle w:val="null3"/>
              <w:ind w:firstLine="240"/>
              <w:jc w:val="both"/>
            </w:pPr>
            <w:r>
              <w:rPr>
                <w:rFonts w:ascii="仿宋_GB2312" w:hAnsi="仿宋_GB2312" w:cs="仿宋_GB2312" w:eastAsia="仿宋_GB2312"/>
                <w:sz w:val="24"/>
                <w:color w:val="000000"/>
              </w:rPr>
              <w:t>④认质认价措施；</w:t>
            </w:r>
          </w:p>
          <w:p>
            <w:pPr>
              <w:pStyle w:val="null3"/>
              <w:ind w:firstLine="240"/>
              <w:jc w:val="both"/>
            </w:pPr>
            <w:r>
              <w:rPr>
                <w:rFonts w:ascii="仿宋_GB2312" w:hAnsi="仿宋_GB2312" w:cs="仿宋_GB2312" w:eastAsia="仿宋_GB2312"/>
                <w:sz w:val="24"/>
                <w:color w:val="000000"/>
              </w:rPr>
              <w:t>⑤成本控制措施；</w:t>
            </w:r>
          </w:p>
          <w:p>
            <w:pPr>
              <w:pStyle w:val="null3"/>
              <w:ind w:firstLine="240"/>
              <w:jc w:val="both"/>
            </w:pPr>
            <w:r>
              <w:rPr>
                <w:rFonts w:ascii="仿宋_GB2312" w:hAnsi="仿宋_GB2312" w:cs="仿宋_GB2312" w:eastAsia="仿宋_GB2312"/>
                <w:sz w:val="24"/>
                <w:color w:val="000000"/>
              </w:rPr>
              <w:t>⑥组织协调措施；</w:t>
            </w:r>
          </w:p>
          <w:p>
            <w:pPr>
              <w:pStyle w:val="null3"/>
              <w:ind w:firstLine="240"/>
              <w:jc w:val="both"/>
            </w:pPr>
            <w:r>
              <w:rPr>
                <w:rFonts w:ascii="仿宋_GB2312" w:hAnsi="仿宋_GB2312" w:cs="仿宋_GB2312" w:eastAsia="仿宋_GB2312"/>
                <w:sz w:val="24"/>
                <w:color w:val="000000"/>
              </w:rPr>
              <w:t>⑦工程资料档案；</w:t>
            </w:r>
          </w:p>
          <w:p>
            <w:pPr>
              <w:pStyle w:val="null3"/>
              <w:ind w:firstLine="240"/>
              <w:jc w:val="both"/>
            </w:pPr>
            <w:r>
              <w:rPr>
                <w:rFonts w:ascii="仿宋_GB2312" w:hAnsi="仿宋_GB2312" w:cs="仿宋_GB2312" w:eastAsia="仿宋_GB2312"/>
                <w:sz w:val="24"/>
                <w:color w:val="000000"/>
              </w:rPr>
              <w:t>⑧廉洁纪律措施；</w:t>
            </w:r>
          </w:p>
          <w:p>
            <w:pPr>
              <w:pStyle w:val="null3"/>
              <w:ind w:firstLine="240"/>
              <w:jc w:val="both"/>
            </w:pPr>
            <w:r>
              <w:rPr>
                <w:rFonts w:ascii="仿宋_GB2312" w:hAnsi="仿宋_GB2312" w:cs="仿宋_GB2312" w:eastAsia="仿宋_GB2312"/>
                <w:sz w:val="24"/>
                <w:color w:val="000000"/>
              </w:rPr>
              <w:t>⑨质量控制体系及控制计划；</w:t>
            </w:r>
          </w:p>
          <w:p>
            <w:pPr>
              <w:pStyle w:val="null3"/>
              <w:ind w:firstLine="240"/>
              <w:jc w:val="both"/>
            </w:pPr>
            <w:r>
              <w:rPr>
                <w:rFonts w:ascii="仿宋_GB2312" w:hAnsi="仿宋_GB2312" w:cs="仿宋_GB2312" w:eastAsia="仿宋_GB2312"/>
                <w:sz w:val="24"/>
                <w:color w:val="000000"/>
              </w:rPr>
              <w:t>⑩审计结果分析。</w:t>
            </w:r>
          </w:p>
          <w:p>
            <w:pPr>
              <w:pStyle w:val="null3"/>
              <w:ind w:firstLine="482"/>
              <w:jc w:val="left"/>
            </w:pPr>
            <w:r>
              <w:rPr>
                <w:rFonts w:ascii="仿宋_GB2312" w:hAnsi="仿宋_GB2312" w:cs="仿宋_GB2312" w:eastAsia="仿宋_GB2312"/>
                <w:sz w:val="24"/>
                <w:b/>
                <w:color w:val="000000"/>
              </w:rPr>
              <w:t>（二）后续服务方案</w:t>
            </w:r>
          </w:p>
          <w:p>
            <w:pPr>
              <w:pStyle w:val="null3"/>
              <w:ind w:firstLine="280"/>
              <w:jc w:val="left"/>
            </w:pPr>
            <w:r>
              <w:rPr>
                <w:rFonts w:ascii="仿宋_GB2312" w:hAnsi="仿宋_GB2312" w:cs="仿宋_GB2312" w:eastAsia="仿宋_GB2312"/>
                <w:sz w:val="28"/>
              </w:rPr>
              <w:t>根据供应商提供的</w:t>
            </w:r>
            <w:r>
              <w:rPr>
                <w:rFonts w:ascii="仿宋_GB2312" w:hAnsi="仿宋_GB2312" w:cs="仿宋_GB2312" w:eastAsia="仿宋_GB2312"/>
                <w:sz w:val="28"/>
              </w:rPr>
              <w:t>后续</w:t>
            </w:r>
            <w:r>
              <w:rPr>
                <w:rFonts w:ascii="仿宋_GB2312" w:hAnsi="仿宋_GB2312" w:cs="仿宋_GB2312" w:eastAsia="仿宋_GB2312"/>
                <w:sz w:val="28"/>
              </w:rPr>
              <w:t>服务方案进行综合评审，内容包含但不限于：</w:t>
            </w:r>
          </w:p>
          <w:p>
            <w:pPr>
              <w:pStyle w:val="null3"/>
              <w:ind w:firstLine="240"/>
              <w:jc w:val="both"/>
            </w:pPr>
            <w:r>
              <w:rPr>
                <w:rFonts w:ascii="仿宋_GB2312" w:hAnsi="仿宋_GB2312" w:cs="仿宋_GB2312" w:eastAsia="仿宋_GB2312"/>
                <w:sz w:val="24"/>
                <w:color w:val="000000"/>
              </w:rPr>
              <w:t>①后续服务方案（包含：响应时间、响应次数、服务体系等）；</w:t>
            </w:r>
          </w:p>
          <w:p>
            <w:pPr>
              <w:pStyle w:val="null3"/>
              <w:ind w:left="240"/>
              <w:jc w:val="both"/>
            </w:pPr>
            <w:r>
              <w:rPr>
                <w:rFonts w:ascii="仿宋_GB2312" w:hAnsi="仿宋_GB2312" w:cs="仿宋_GB2312" w:eastAsia="仿宋_GB2312"/>
                <w:sz w:val="24"/>
                <w:color w:val="000000"/>
              </w:rPr>
              <w:t>②后续服务保障承诺（包含：服务网点、服务电话及后续技术服务人员名单等）；③后续服务承诺；</w:t>
            </w:r>
          </w:p>
          <w:p>
            <w:pPr>
              <w:pStyle w:val="null3"/>
              <w:ind w:firstLine="240"/>
              <w:jc w:val="both"/>
            </w:pPr>
            <w:r>
              <w:rPr>
                <w:rFonts w:ascii="仿宋_GB2312" w:hAnsi="仿宋_GB2312" w:cs="仿宋_GB2312" w:eastAsia="仿宋_GB2312"/>
                <w:sz w:val="24"/>
                <w:color w:val="000000"/>
              </w:rPr>
              <w:t>④潜在问题、责任及争议解决措施。</w:t>
            </w:r>
          </w:p>
          <w:p>
            <w:pPr>
              <w:pStyle w:val="null3"/>
              <w:ind w:firstLine="482"/>
              <w:jc w:val="left"/>
            </w:pPr>
            <w:r>
              <w:rPr>
                <w:rFonts w:ascii="仿宋_GB2312" w:hAnsi="仿宋_GB2312" w:cs="仿宋_GB2312" w:eastAsia="仿宋_GB2312"/>
                <w:sz w:val="24"/>
                <w:b/>
                <w:color w:val="000000"/>
              </w:rPr>
              <w:t>（三）人员配备</w:t>
            </w:r>
          </w:p>
          <w:p>
            <w:pPr>
              <w:pStyle w:val="null3"/>
              <w:ind w:firstLine="241"/>
              <w:jc w:val="both"/>
            </w:pPr>
            <w:r>
              <w:rPr>
                <w:rFonts w:ascii="仿宋_GB2312" w:hAnsi="仿宋_GB2312" w:cs="仿宋_GB2312" w:eastAsia="仿宋_GB2312"/>
                <w:sz w:val="24"/>
                <w:b/>
                <w:color w:val="000000"/>
              </w:rPr>
              <w:t>1.项目负责人：</w:t>
            </w:r>
            <w:r>
              <w:rPr>
                <w:rFonts w:ascii="仿宋_GB2312" w:hAnsi="仿宋_GB2312" w:cs="仿宋_GB2312" w:eastAsia="仿宋_GB2312"/>
                <w:sz w:val="24"/>
                <w:color w:val="000000"/>
              </w:rPr>
              <w:t>具有一级造价工程师（水利工程专业）或全国注册造价工程师（水利工程专业）资格。</w:t>
            </w:r>
          </w:p>
          <w:p>
            <w:pPr>
              <w:pStyle w:val="null3"/>
              <w:ind w:firstLine="241"/>
              <w:jc w:val="both"/>
            </w:pPr>
            <w:r>
              <w:rPr>
                <w:rFonts w:ascii="仿宋_GB2312" w:hAnsi="仿宋_GB2312" w:cs="仿宋_GB2312" w:eastAsia="仿宋_GB2312"/>
                <w:sz w:val="24"/>
                <w:b/>
                <w:color w:val="000000"/>
              </w:rPr>
              <w:t>2.技术负责人：</w:t>
            </w:r>
            <w:r>
              <w:rPr>
                <w:rFonts w:ascii="仿宋_GB2312" w:hAnsi="仿宋_GB2312" w:cs="仿宋_GB2312" w:eastAsia="仿宋_GB2312"/>
                <w:sz w:val="24"/>
                <w:color w:val="000000"/>
              </w:rPr>
              <w:t>具有一级造价工程师（水利工程专业）或全国注册造价工程师（水利工程专业）资格。</w:t>
            </w:r>
          </w:p>
          <w:p>
            <w:pPr>
              <w:pStyle w:val="null3"/>
              <w:ind w:firstLine="241"/>
              <w:jc w:val="both"/>
            </w:pP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3.拟投入项目其他技术人员：二级及以上注册造价工程师执业资格或工程类中级及以上技术职称</w:t>
            </w:r>
            <w:r>
              <w:rPr>
                <w:rFonts w:ascii="仿宋_GB2312" w:hAnsi="仿宋_GB2312" w:cs="仿宋_GB2312" w:eastAsia="仿宋_GB2312"/>
                <w:sz w:val="24"/>
                <w:color w:val="000000"/>
              </w:rPr>
              <w:t>。</w:t>
            </w:r>
          </w:p>
          <w:p>
            <w:pPr>
              <w:pStyle w:val="null3"/>
              <w:ind w:firstLine="482"/>
              <w:jc w:val="left"/>
            </w:pPr>
            <w:r>
              <w:rPr>
                <w:rFonts w:ascii="仿宋_GB2312" w:hAnsi="仿宋_GB2312" w:cs="仿宋_GB2312" w:eastAsia="仿宋_GB2312"/>
                <w:sz w:val="24"/>
                <w:b/>
                <w:color w:val="000000"/>
              </w:rPr>
              <w:t>（四）业绩</w:t>
            </w:r>
          </w:p>
          <w:p>
            <w:pPr>
              <w:pStyle w:val="null3"/>
              <w:ind w:firstLine="240"/>
              <w:jc w:val="both"/>
            </w:pPr>
            <w:r>
              <w:rPr>
                <w:rFonts w:ascii="仿宋_GB2312" w:hAnsi="仿宋_GB2312" w:cs="仿宋_GB2312" w:eastAsia="仿宋_GB2312"/>
                <w:sz w:val="24"/>
                <w:color w:val="000000"/>
              </w:rPr>
              <w:t>供应商提供</w:t>
            </w:r>
            <w:r>
              <w:rPr>
                <w:rFonts w:ascii="仿宋_GB2312" w:hAnsi="仿宋_GB2312" w:cs="仿宋_GB2312" w:eastAsia="仿宋_GB2312"/>
                <w:sz w:val="24"/>
                <w:color w:val="000000"/>
              </w:rPr>
              <w:t>2023年1月1日以来类似本项目业绩。</w:t>
            </w:r>
          </w:p>
          <w:p>
            <w:pPr>
              <w:pStyle w:val="null3"/>
              <w:ind w:firstLine="482"/>
              <w:jc w:val="left"/>
            </w:pPr>
            <w:r>
              <w:rPr>
                <w:rFonts w:ascii="仿宋_GB2312" w:hAnsi="仿宋_GB2312" w:cs="仿宋_GB2312" w:eastAsia="仿宋_GB2312"/>
                <w:sz w:val="24"/>
                <w:b/>
                <w:color w:val="000000"/>
              </w:rPr>
              <w:t>注：后续服务方案、后续服务方案、人员配备、业绩，仅作为综合评审要求。</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合同签订且接到采购人正式进场通知后，270个日历天内完成。(具体服务期限需服务至项目实际完成)</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标准：本项目成交供应商与采购人应严格按照《财政部关于进一步加强政府采购需求和履约验收管理的指导意见》（财库〔2016〕205号）、《政府采购需求管理办法》（财库〔2021〕22号）及《巴中市财政局关于进一步加强政府采购项目合同履约验收管理工作的通知》（巴财采〔2021〕21号）的要求进行验收。验收方法：项目实施结束后，成交供应商向采购人提出项目验收申请，采购人在10日内组织专家组进行验收，并出具验收报告。</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1、签订合同后，人员进场开展工作后，达到付款条件起15日内，支付合同总金额的30.00%</w:t>
            </w:r>
          </w:p>
          <w:p>
            <w:pPr>
              <w:pStyle w:val="null3"/>
              <w:jc w:val="left"/>
            </w:pPr>
            <w:r>
              <w:rPr>
                <w:rFonts w:ascii="仿宋_GB2312" w:hAnsi="仿宋_GB2312" w:cs="仿宋_GB2312" w:eastAsia="仿宋_GB2312"/>
              </w:rPr>
              <w:t>2、跟踪审计累计满9个月，累计完成跟踪审计主要内容（技术要求中审计服务内容），并提供跟踪审计成果文件，经委托单位验收合格后，达到付款条件起15日内，支付合同总金额的50.00%</w:t>
            </w:r>
          </w:p>
          <w:p>
            <w:pPr>
              <w:pStyle w:val="null3"/>
              <w:jc w:val="left"/>
            </w:pPr>
            <w:r>
              <w:rPr>
                <w:rFonts w:ascii="仿宋_GB2312" w:hAnsi="仿宋_GB2312" w:cs="仿宋_GB2312" w:eastAsia="仿宋_GB2312"/>
              </w:rPr>
              <w:t>3、提供装订成册的全套跟踪审计档案并经采购人检查无误后，达到付款条件起15日内，支付合同总金额的20.00%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采购合同的履行、违约责任和解决争议的方式等适用《中华人民共和国合同法》，若不可以调矛盾按照所属地人民法院进行判罚。乙方责任：（1）甲乙双方必须遵守本合同并执行合同中的各项规定，保证本合同的正常履行。（2）如因乙方工作人员在履行职务过程中的疏忽、失职、过错等故意或者过失原因给甲方造成损失或侵害，包括但不限于甲方本身的财产损失、由此而导致的甲方对任何第三方的法律责任等，乙方对此均应承担全部的赔偿责任。（3）成交供应商须严格按照采购文件承诺内容提供相应服务，委托方有权对成交供应商抽检前准备情况、抽检实施过程、售后服务情况进行检查、考核和客观评价。甲方责任：（1）甲乙双方必须遵守本合同并执行合同中的各项规定，保证本合同的正常履行。（2）甲乙方签订合同时，甲方不得无故拖延合同签订时间，需提前告知乙方，若无故延长合同签订时间，乙方有权向甲方追加赔偿。按成交金额的0.1％的成交金额向乙方支付赔偿金额。 解决争议的方法：在执行本项目中发生的或与本项目有关的争端，双方应通过友好协商解决，经协商在60天内不能达成协议时，应向当地人民法院起诉。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最终实际审计项目名称和金额以采购人正式工作安排为准；若项目无法实施或部分无法实施，按照实际实施内容支付服务费；若因政策调整或不具备工作条件等非采购人原因导致拟审计的项目无法实施的，采购人有权根据《中华人民共和国民法典》的相关规定与投标人协商解除合同，不视为采购人违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复印件；未换证的提供“营业执照、税务登记证、组织机构代码证或三证合一的营业执照”复印件。②若为事业法人：提供“统一社会信用代码法人登记证书”复印件；未换证的提交“事业法人登记证书、组织机构代码证”复印件。③若为其他组织：提供“对应主管部门颁发的准许执业证明文件或营业执照”复印件。④若为自然人：提供其身份证明复印件。⑤供应商属于银行、保险、石油石化、电力、电信、移动、联通、广电等有行业特殊情况的，可提供企业分支机构统一社会信用代码的营业执照（复印件）及总公司授权的证明材料复印件。</w:t>
            </w:r>
          </w:p>
        </w:tc>
        <w:tc>
          <w:tcPr>
            <w:tcW w:type="dxa" w:w="1661"/>
          </w:tcPr>
          <w:p>
            <w:pPr>
              <w:pStyle w:val="null3"/>
              <w:jc w:val="left"/>
            </w:pPr>
            <w:r>
              <w:rPr>
                <w:rFonts w:ascii="仿宋_GB2312" w:hAnsi="仿宋_GB2312" w:cs="仿宋_GB2312" w:eastAsia="仿宋_GB2312"/>
              </w:rPr>
              <w:t>响应文件封面,供应商应提交的相关资格证明材料.docx,投标（响应）函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2023或2024任一年度经审计的财务报告（包含审计报告和审计报告中所涉及的财务报表和报表附注）。②可提供2023或2024任一年度供应商完整的全套财务报表（应当包括资产负债表、利润表、现金流量表）。③可提供截至响应文件提交截止日有效期内银行出具的资信证明复印件。④供应商注册时间截至响应文件提交截止日不足一年的，也可提供在市场监督管理部门备案的公司章程复印件。⑤可提供承诺函。</w:t>
            </w:r>
          </w:p>
        </w:tc>
        <w:tc>
          <w:tcPr>
            <w:tcW w:type="dxa" w:w="1661"/>
          </w:tcPr>
          <w:p>
            <w:pPr>
              <w:pStyle w:val="null3"/>
              <w:jc w:val="left"/>
            </w:pPr>
            <w:r>
              <w:rPr>
                <w:rFonts w:ascii="仿宋_GB2312" w:hAnsi="仿宋_GB2312" w:cs="仿宋_GB2312" w:eastAsia="仿宋_GB2312"/>
              </w:rPr>
              <w:t>供应商应提交的相关资格证明材料.docx,具有健全财务会计制度的证明材料,投标（响应）函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响应文件的有效性、完整性和响应程度审查</w:t>
            </w:r>
          </w:p>
        </w:tc>
        <w:tc>
          <w:tcPr>
            <w:tcW w:type="dxa" w:w="3322"/>
          </w:tcPr>
          <w:p>
            <w:pPr>
              <w:pStyle w:val="null3"/>
              <w:jc w:val="left"/>
            </w:pPr>
            <w:r>
              <w:rPr>
                <w:rFonts w:ascii="仿宋_GB2312" w:hAnsi="仿宋_GB2312" w:cs="仿宋_GB2312" w:eastAsia="仿宋_GB2312"/>
              </w:rPr>
              <w:t>1.响应文件的语言、计量单位、知识产权、响应有效期、响应文件技术、服务要求应答、商务要求应答、实质性要求条款响应等不符合磋商文件的规定，影响评审小组评判的。 2.经最终磋商后，供应商的响应文件仍不能实质响应磋商文件可实质性变动的实质性要求的。 3.未载明或者载明的采购项目履约时间、方式、数量及其他政府采购合同实质性内容与本竞争性磋商文件要求不一致，且采购单位无法接受的。 4.属于磋商文件中无效响应情形的。</w:t>
            </w:r>
          </w:p>
        </w:tc>
        <w:tc>
          <w:tcPr>
            <w:tcW w:type="dxa" w:w="1661"/>
          </w:tcPr>
          <w:p>
            <w:pPr>
              <w:pStyle w:val="null3"/>
              <w:jc w:val="left"/>
            </w:pPr>
            <w:r>
              <w:rPr>
                <w:rFonts w:ascii="仿宋_GB2312" w:hAnsi="仿宋_GB2312" w:cs="仿宋_GB2312" w:eastAsia="仿宋_GB2312"/>
              </w:rPr>
              <w:t>供应商认为提交的相关资料（格式自拟）.docx,报价明细表,供应商应提交的相关证明材料,报价表,服务应答表,商务应答表.docx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 xml:space="preserve"> 评分标准中的服务方案及后续服务方案 </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根据供应商提供的服务方案进行评审，内容包括： ①项目审前调查方案； ②审计工作流程及工作内容分配； ③项目实施人员管理； ④认质认价措施； ⑤成本控制措施； ⑥组织协调措施； ⑦工程资料档案； ⑧廉洁纪律措施； ⑨质量控制体系及控制计划； ⑩审计结果分析。 提供以上10项内容且无缺陷得30分，每有1项未提供扣3分，每有1项存在缺陷的扣1.5分，扣完为止。（注：存在缺陷是指内容描述前后矛盾或项目名称及项目编号错误或所阐述的项目信息与本项目实际信息不一致或提供的文字、图片内容错误或本项目内容引用的规定、规范、标准错误或描述不符合国家相关法律法规、规范要求或阐述的方式方法等不符合本项目实际情况）</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响应文件封面</w:t>
            </w:r>
          </w:p>
          <w:p>
            <w:pPr>
              <w:pStyle w:val="null3"/>
              <w:jc w:val="left"/>
            </w:pPr>
            <w:r>
              <w:rPr>
                <w:rFonts w:ascii="仿宋_GB2312" w:hAnsi="仿宋_GB2312" w:cs="仿宋_GB2312" w:eastAsia="仿宋_GB2312"/>
              </w:rPr>
              <w:t>供应商认为提交的相关资料（格式自拟）.docx</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根据供应商提供的后续服务方案进行评审，内容包括：①后续服务方案（包含：响应时间、响应次数、服务体系等）； ②后续服务保障承诺（包含：服务网点、服务电话及后续技术服务人员名单等）； ③后续服务承诺； ④潜在问题、责任及争议解决措施。 提供以上4项内容且无缺陷得16分，每有1项未提供扣4分，每有1项存在缺陷的扣2分，扣完为止。（注：存在缺陷是指内容描述前后矛盾或项目名称及项目编号错误或所阐述的项目信息与本项目实际信息不一致或提供的文字、图片内容错误或本项目内容引用的规定、规范、标准错误或描述不符合国家相关法律法规、规范要求或阐述的方式方法等不符合本项目实际情况）</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供应商认为提交的相关资料（格式自拟）.docx</w:t>
            </w:r>
          </w:p>
          <w:p>
            <w:pPr>
              <w:pStyle w:val="null3"/>
              <w:jc w:val="left"/>
            </w:pPr>
            <w:r>
              <w:rPr>
                <w:rFonts w:ascii="仿宋_GB2312" w:hAnsi="仿宋_GB2312" w:cs="仿宋_GB2312" w:eastAsia="仿宋_GB2312"/>
              </w:rPr>
              <w:t>响应文件封面</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1.供应商拟派本项目的项目负责人1人： 具有一级造价工程师（水利工程专业）或全国注册造价工程师（水利工程专业）资格得4分;具有水利工程类相关专业中级及以上技术职称的得3分。(本项最多得7分) 2、技术负责人1人： 具有一级造价工程师（水利工程专业）或全国注册造价工程师（水利工程专业）资格得3分;具有水利工程类相关专业中级及以上技术职称的得2分。(本项最多得5分) 3、其他人员： 每配备1名二级及以上注册造价工程师执业资格或工程类中级及以上技术职称的3分。(本项最多得15分) 注：①提供以上相关人员证书复印件并加盖供应商单位鲜章。 ②以上人员不能重复得分。</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响应文件封面</w:t>
            </w:r>
          </w:p>
          <w:p>
            <w:pPr>
              <w:pStyle w:val="null3"/>
              <w:jc w:val="left"/>
            </w:pPr>
            <w:r>
              <w:rPr>
                <w:rFonts w:ascii="仿宋_GB2312" w:hAnsi="仿宋_GB2312" w:cs="仿宋_GB2312" w:eastAsia="仿宋_GB2312"/>
              </w:rPr>
              <w:t>供应商认为提交的相关资料（格式自拟）.docx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供应商提供2023年1月1日以来类似本项目业绩，每提供一个得4分，本项最多得12分，未提供不得分。 注：①类似业绩：审计服务类或造价服务类业绩。②以供应商提供的合同或者中标/成交通知书复印件加盖供应商单位鲜章为依据。③新公司成立不足1年且无业绩的投标单位的得4分。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响应文件封面</w:t>
            </w:r>
          </w:p>
          <w:p>
            <w:pPr>
              <w:pStyle w:val="null3"/>
              <w:jc w:val="left"/>
            </w:pPr>
            <w:r>
              <w:rPr>
                <w:rFonts w:ascii="仿宋_GB2312" w:hAnsi="仿宋_GB2312" w:cs="仿宋_GB2312" w:eastAsia="仿宋_GB2312"/>
              </w:rPr>
              <w:t>供应商认为提交的相关资料（格式自拟）.docx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满足磋商文件要求且响应价格最低的磋商最终报价作为基准价，响应报价得分＝(基准价／有效响应报价)×15。 注:①按四舍五入保留两位小数。②本项目属于专门面向中小企业采购，不再进行价格扣除。</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详见附件：供应商认为提交的相关资料（格式自拟）.docx</w:t>
      </w:r>
    </w:p>
    <w:p>
      <w:pPr>
        <w:pStyle w:val="null3"/>
        <w:ind w:firstLine="960"/>
        <w:jc w:val="left"/>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