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438,000.00</w:t>
      </w:r>
    </w:p>
    <w:p>
      <w:pPr>
        <w:pStyle w:val="4"/>
        <w:jc w:val="left"/>
      </w:pPr>
      <w:r>
        <w:rPr>
          <w:rFonts w:ascii="仿宋_GB2312" w:hAnsi="仿宋_GB2312" w:eastAsia="仿宋_GB2312" w:cs="仿宋_GB2312"/>
        </w:rPr>
        <w:t>采购包最高限价（元）: 438,000.00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1016"/>
        <w:gridCol w:w="1216"/>
        <w:gridCol w:w="704"/>
        <w:gridCol w:w="704"/>
        <w:gridCol w:w="704"/>
        <w:gridCol w:w="704"/>
        <w:gridCol w:w="576"/>
        <w:gridCol w:w="5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C18040199 其他商业保险服务</w:t>
            </w:r>
          </w:p>
        </w:tc>
        <w:tc>
          <w:tcPr>
            <w:tcW w:w="821" w:type="dxa"/>
          </w:tcPr>
          <w:p>
            <w:pPr>
              <w:pStyle w:val="4"/>
              <w:jc w:val="left"/>
            </w:pPr>
            <w:r>
              <w:rPr>
                <w:rFonts w:ascii="仿宋_GB2312" w:hAnsi="仿宋_GB2312" w:eastAsia="仿宋_GB2312" w:cs="仿宋_GB2312"/>
              </w:rPr>
              <w:t>五通桥区2026年持证残疾人意外伤害保险</w:t>
            </w:r>
          </w:p>
        </w:tc>
        <w:tc>
          <w:tcPr>
            <w:tcW w:w="821" w:type="dxa"/>
          </w:tcPr>
          <w:p>
            <w:pPr>
              <w:pStyle w:val="4"/>
              <w:jc w:val="right"/>
            </w:pPr>
            <w:r>
              <w:rPr>
                <w:rFonts w:ascii="仿宋_GB2312" w:hAnsi="仿宋_GB2312" w:eastAsia="仿宋_GB2312" w:cs="仿宋_GB2312"/>
              </w:rPr>
              <w:t>8,760.00（项）</w:t>
            </w:r>
          </w:p>
        </w:tc>
        <w:tc>
          <w:tcPr>
            <w:tcW w:w="821" w:type="dxa"/>
          </w:tcPr>
          <w:p>
            <w:pPr>
              <w:pStyle w:val="4"/>
              <w:jc w:val="right"/>
            </w:pPr>
            <w:r>
              <w:rPr>
                <w:rFonts w:ascii="仿宋_GB2312" w:hAnsi="仿宋_GB2312" w:eastAsia="仿宋_GB2312" w:cs="仿宋_GB2312"/>
              </w:rPr>
              <w:t>438,000.00</w:t>
            </w:r>
          </w:p>
        </w:tc>
        <w:tc>
          <w:tcPr>
            <w:tcW w:w="821" w:type="dxa"/>
          </w:tcPr>
          <w:p>
            <w:pPr>
              <w:pStyle w:val="4"/>
              <w:jc w:val="left"/>
            </w:pPr>
            <w:r>
              <w:rPr>
                <w:rFonts w:ascii="仿宋_GB2312" w:hAnsi="仿宋_GB2312" w:eastAsia="仿宋_GB2312" w:cs="仿宋_GB2312"/>
              </w:rPr>
              <w:t>保险业金融机构</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 xml:space="preserve"> 是否适用本国产品标准：</w:t>
      </w:r>
    </w:p>
    <w:p>
      <w:pPr>
        <w:pStyle w:val="4"/>
        <w:jc w:val="left"/>
      </w:pPr>
      <w:r>
        <w:rPr>
          <w:rFonts w:ascii="仿宋_GB2312" w:hAnsi="仿宋_GB2312" w:eastAsia="仿宋_GB2312" w:cs="仿宋_GB2312"/>
        </w:rPr>
        <w:t>采购包1：否</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五通桥区2026年持证残疾人意外伤害保险</w:t>
            </w:r>
          </w:p>
        </w:tc>
        <w:tc>
          <w:tcPr>
            <w:tcW w:w="1138" w:type="dxa"/>
          </w:tcPr>
          <w:p>
            <w:pPr>
              <w:pStyle w:val="4"/>
              <w:jc w:val="center"/>
            </w:pPr>
            <w:r>
              <w:rPr>
                <w:rFonts w:ascii="仿宋_GB2312" w:hAnsi="仿宋_GB2312" w:eastAsia="仿宋_GB2312" w:cs="仿宋_GB2312"/>
              </w:rPr>
              <w:t>8,760.00（项）</w:t>
            </w:r>
          </w:p>
        </w:tc>
        <w:tc>
          <w:tcPr>
            <w:tcW w:w="1365" w:type="dxa"/>
          </w:tcPr>
          <w:p>
            <w:pPr>
              <w:pStyle w:val="4"/>
              <w:jc w:val="center"/>
            </w:pPr>
            <w:r>
              <w:rPr>
                <w:rFonts w:ascii="仿宋_GB2312" w:hAnsi="仿宋_GB2312" w:eastAsia="仿宋_GB2312" w:cs="仿宋_GB2312"/>
              </w:rPr>
              <w:t>438,000.00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pPr>
        <w:pStyle w:val="4"/>
        <w:jc w:val="left"/>
        <w:outlineLvl w:val="3"/>
      </w:pPr>
      <w:r>
        <w:rPr>
          <w:rFonts w:ascii="仿宋_GB2312" w:hAnsi="仿宋_GB2312" w:eastAsia="仿宋_GB2312" w:cs="仿宋_GB2312"/>
          <w:b/>
          <w:sz w:val="24"/>
        </w:rPr>
        <w:t>本项目涉及核心产品：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标的名称：五通桥区2026年持证残疾人意外伤害保险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保险服务内容、赔偿标准</w:t>
            </w:r>
          </w:p>
        </w:tc>
        <w:tc>
          <w:tcPr>
            <w:tcW w:w="5814" w:type="dxa"/>
          </w:tcPr>
          <w:p>
            <w:pPr>
              <w:pStyle w:val="4"/>
              <w:spacing w:before="165"/>
              <w:ind w:firstLine="241"/>
              <w:jc w:val="both"/>
            </w:pPr>
            <w:r>
              <w:rPr>
                <w:rFonts w:ascii="仿宋_GB2312" w:hAnsi="仿宋_GB2312" w:eastAsia="仿宋_GB2312" w:cs="仿宋_GB2312"/>
                <w:b/>
                <w:color w:val="000000"/>
                <w:sz w:val="24"/>
              </w:rPr>
              <w:t>1.保险金额及保费</w:t>
            </w:r>
          </w:p>
          <w:p>
            <w:pPr>
              <w:pStyle w:val="4"/>
              <w:ind w:firstLine="480"/>
              <w:jc w:val="both"/>
            </w:pPr>
            <w:r>
              <w:rPr>
                <w:rFonts w:ascii="仿宋_GB2312" w:hAnsi="仿宋_GB2312" w:eastAsia="仿宋_GB2312" w:cs="仿宋_GB2312"/>
                <w:color w:val="000000"/>
                <w:sz w:val="24"/>
              </w:rPr>
              <w:t>（1）责任限额由投标供应商根据自身情况综合考虑，但应满足以下标准：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78"/>
              <w:gridCol w:w="1282"/>
              <w:gridCol w:w="1319"/>
              <w:gridCol w:w="151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4"/>
                    </w:rPr>
                    <w:t>意外伤害身故保险金额（元）</w:t>
                  </w:r>
                </w:p>
              </w:tc>
              <w:tc>
                <w:tcPr>
                  <w:tcW w:w="12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4"/>
                    </w:rPr>
                    <w:t>意外伤害伤残保险金额（元）</w:t>
                  </w:r>
                </w:p>
              </w:tc>
              <w:tc>
                <w:tcPr>
                  <w:tcW w:w="13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4"/>
                    </w:rPr>
                    <w:t>附加意外伤害医疗保险金额（元）</w:t>
                  </w:r>
                </w:p>
              </w:tc>
              <w:tc>
                <w:tcPr>
                  <w:tcW w:w="15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4"/>
                    </w:rPr>
                    <w:t>附加意外伤害住院津贴保险金额（元/天）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4"/>
                    </w:rPr>
                    <w:t>50000</w:t>
                  </w:r>
                </w:p>
              </w:tc>
              <w:tc>
                <w:tcPr>
                  <w:tcW w:w="12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4"/>
                    </w:rPr>
                    <w:t>50000</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4"/>
                    </w:rPr>
                    <w:t>6000</w:t>
                  </w:r>
                </w:p>
              </w:tc>
              <w:tc>
                <w:tcPr>
                  <w:tcW w:w="15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4"/>
                    </w:rPr>
                    <w:t>50</w:t>
                  </w:r>
                </w:p>
              </w:tc>
            </w:tr>
          </w:tbl>
          <w:p>
            <w:pPr>
              <w:pStyle w:val="4"/>
              <w:ind w:firstLine="480"/>
              <w:jc w:val="both"/>
            </w:pPr>
            <w:r>
              <w:rPr>
                <w:rFonts w:ascii="仿宋_GB2312" w:hAnsi="仿宋_GB2312" w:eastAsia="仿宋_GB2312" w:cs="仿宋_GB2312"/>
                <w:color w:val="000000"/>
                <w:sz w:val="24"/>
              </w:rPr>
              <w:t>（2）每人每年保险费定额50元。拟参保人数为8760人（据实结算），保险期限为365天，本项目报价为固定单价，供应商报价表填写不得高于或低于该单价。各投标人应综合考虑项目履约期间的各项潜在因素，其费用风险由投标人自行承担。</w:t>
            </w:r>
          </w:p>
          <w:p>
            <w:pPr>
              <w:pStyle w:val="4"/>
              <w:ind w:firstLine="480"/>
              <w:jc w:val="both"/>
            </w:pPr>
            <w:r>
              <w:rPr>
                <w:rFonts w:ascii="仿宋_GB2312" w:hAnsi="仿宋_GB2312" w:eastAsia="仿宋_GB2312" w:cs="仿宋_GB2312"/>
                <w:color w:val="000000"/>
                <w:sz w:val="24"/>
              </w:rPr>
              <w:t>（3）各供应商应当在响应文件中就意外伤害身故保险金额、意外伤害伤残保险金额、附加意外伤害医疗保险金额、附加意外伤害住院津贴保险金额，在满足上述基准标准要求的基础上，结合自身能力，分别一次性响应填制对应的保险金额。如若成交，则按其响应填制的保险金额签定合同。</w:t>
            </w:r>
          </w:p>
          <w:p>
            <w:pPr>
              <w:pStyle w:val="4"/>
              <w:ind w:firstLine="482"/>
              <w:jc w:val="both"/>
            </w:pPr>
            <w:r>
              <w:rPr>
                <w:rFonts w:ascii="仿宋_GB2312" w:hAnsi="仿宋_GB2312" w:eastAsia="仿宋_GB2312" w:cs="仿宋_GB2312"/>
                <w:b/>
                <w:color w:val="000000"/>
                <w:sz w:val="24"/>
              </w:rPr>
              <w:t>2.保险责任及赔偿标准</w:t>
            </w:r>
          </w:p>
          <w:p>
            <w:pPr>
              <w:pStyle w:val="4"/>
              <w:ind w:firstLine="480"/>
              <w:jc w:val="both"/>
            </w:pPr>
            <w:r>
              <w:rPr>
                <w:rFonts w:ascii="仿宋_GB2312" w:hAnsi="仿宋_GB2312" w:eastAsia="仿宋_GB2312" w:cs="仿宋_GB2312"/>
                <w:color w:val="000000"/>
                <w:sz w:val="24"/>
              </w:rPr>
              <w:t>在保险期间被保险人遭受外来的、突发的、非本意的、非疾病的客观事件直接致使身体受到的伤害，即意外伤害，主要包括但不限于：乘坐公交车或其它交通工具，户内外及公共场所发生的交通事故、磕碰、摔伤、高空坠物，煤气中毒、溺水、动物伤人、烧烫伤等意外人身伤害。被保险人发生人身意外伤害，可得到相应保险保障，实际理赔时，扣除相关免赔额，其中意外伤害医疗每人每次事故免赔100元，意外伤害住院津贴每人每次事故免赔3天。</w:t>
            </w:r>
          </w:p>
          <w:p>
            <w:pPr>
              <w:pStyle w:val="4"/>
              <w:ind w:firstLine="480"/>
              <w:jc w:val="both"/>
            </w:pPr>
            <w:r>
              <w:rPr>
                <w:rFonts w:ascii="仿宋_GB2312" w:hAnsi="仿宋_GB2312" w:eastAsia="仿宋_GB2312" w:cs="仿宋_GB2312"/>
                <w:color w:val="000000"/>
                <w:sz w:val="24"/>
              </w:rPr>
              <w:t>（1）意外伤害身故：</w:t>
            </w:r>
          </w:p>
          <w:p>
            <w:pPr>
              <w:pStyle w:val="4"/>
              <w:ind w:firstLine="480"/>
              <w:jc w:val="both"/>
            </w:pPr>
            <w:r>
              <w:rPr>
                <w:rFonts w:ascii="仿宋_GB2312" w:hAnsi="仿宋_GB2312" w:eastAsia="仿宋_GB2312" w:cs="仿宋_GB2312"/>
                <w:color w:val="000000"/>
                <w:sz w:val="24"/>
              </w:rPr>
              <w:t>在保险期间内，被保险人遭受意外伤害，并自该意外伤害发生之日起180日内因该意外伤害导致身故的，保险人按保险金额扣除本保险年度已给付伤残保险金后的余额给付身故保险金。</w:t>
            </w:r>
          </w:p>
          <w:p>
            <w:pPr>
              <w:pStyle w:val="4"/>
              <w:ind w:firstLine="480"/>
              <w:jc w:val="both"/>
            </w:pPr>
            <w:r>
              <w:rPr>
                <w:rFonts w:ascii="仿宋_GB2312" w:hAnsi="仿宋_GB2312" w:eastAsia="仿宋_GB2312" w:cs="仿宋_GB2312"/>
                <w:color w:val="000000"/>
                <w:sz w:val="24"/>
              </w:rPr>
              <w:t>（2）意外伤害伤残：</w:t>
            </w:r>
          </w:p>
          <w:p>
            <w:pPr>
              <w:pStyle w:val="4"/>
              <w:ind w:firstLine="480"/>
              <w:jc w:val="both"/>
            </w:pPr>
            <w:r>
              <w:rPr>
                <w:rFonts w:ascii="仿宋_GB2312" w:hAnsi="仿宋_GB2312" w:eastAsia="仿宋_GB2312" w:cs="仿宋_GB2312"/>
                <w:color w:val="000000"/>
                <w:sz w:val="24"/>
              </w:rPr>
              <w:t>在保险期间内，被保险人遭受意外伤害，并自意外伤害发生之日起180日后治疗仍未结束的，因该意外伤害造成《人身保险伤残评定标准及代码》所列伤残程度之一的，按当日的身体情况进行伤残评定，保险人按《评定标准及代码》所对应伤残等级的给付比例乘以意外伤害保险金额给付伤残保险金（见下表）。伤残保险金以被保险人的保险金额为限，但无限定赔付次数。</w:t>
            </w:r>
          </w:p>
          <w:p>
            <w:pPr>
              <w:pStyle w:val="4"/>
              <w:ind w:firstLine="480"/>
              <w:jc w:val="both"/>
            </w:pPr>
            <w:r>
              <w:rPr>
                <w:rFonts w:ascii="仿宋_GB2312" w:hAnsi="仿宋_GB2312" w:eastAsia="仿宋_GB2312" w:cs="仿宋_GB2312"/>
                <w:b/>
                <w:color w:val="000000"/>
                <w:sz w:val="24"/>
              </w:rPr>
              <w:t>十级伤残程度与保险金给付比例表（给付表）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78"/>
              <w:gridCol w:w="1910"/>
              <w:gridCol w:w="24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ind w:firstLine="482"/>
                    <w:jc w:val="right"/>
                  </w:pPr>
                  <w:r>
                    <w:rPr>
                      <w:rFonts w:ascii="仿宋_GB2312" w:hAnsi="仿宋_GB2312" w:eastAsia="仿宋_GB2312" w:cs="仿宋_GB2312"/>
                      <w:b/>
                      <w:color w:val="000000"/>
                      <w:sz w:val="24"/>
                    </w:rPr>
                    <w:t>项目</w:t>
                  </w:r>
                </w:p>
                <w:p>
                  <w:pPr>
                    <w:pStyle w:val="4"/>
                    <w:jc w:val="center"/>
                  </w:pPr>
                  <w:r>
                    <w:rPr>
                      <w:rFonts w:ascii="仿宋_GB2312" w:hAnsi="仿宋_GB2312" w:eastAsia="仿宋_GB2312" w:cs="仿宋_GB2312"/>
                      <w:b/>
                      <w:color w:val="000000"/>
                      <w:sz w:val="24"/>
                    </w:rPr>
                    <w:t>序号</w:t>
                  </w:r>
                </w:p>
              </w:tc>
              <w:tc>
                <w:tcPr>
                  <w:tcW w:w="1913"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伤害程度</w:t>
                  </w:r>
                </w:p>
              </w:tc>
              <w:tc>
                <w:tcPr>
                  <w:tcW w:w="2404"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赔付处理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1</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一级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2</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二级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3</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三级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4</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四级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5</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五级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6</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六级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7</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七级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8</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八级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9</w:t>
                  </w:r>
                </w:p>
              </w:tc>
              <w:tc>
                <w:tcPr>
                  <w:tcW w:w="1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九级</w:t>
                  </w:r>
                </w:p>
              </w:tc>
              <w:tc>
                <w:tcPr>
                  <w:tcW w:w="2404" w:type="dxa"/>
                  <w:tcBorders>
                    <w:top w:val="single" w:color="000000" w:sz="4" w:space="0"/>
                    <w:left w:val="single" w:color="000000" w:sz="4" w:space="0"/>
                    <w:bottom w:val="single" w:color="000000" w:sz="4"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9" w:type="dxa"/>
                  <w:tcBorders>
                    <w:top w:val="single" w:color="000000" w:sz="4" w:space="0"/>
                    <w:left w:val="single" w:color="000000" w:sz="8" w:space="0"/>
                    <w:bottom w:val="single" w:color="000000" w:sz="8"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10</w:t>
                  </w:r>
                </w:p>
              </w:tc>
              <w:tc>
                <w:tcPr>
                  <w:tcW w:w="1913" w:type="dxa"/>
                  <w:tcBorders>
                    <w:top w:val="single" w:color="000000" w:sz="4" w:space="0"/>
                    <w:left w:val="single" w:color="000000" w:sz="4" w:space="0"/>
                    <w:bottom w:val="single" w:color="000000" w:sz="8"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十级</w:t>
                  </w:r>
                </w:p>
              </w:tc>
              <w:tc>
                <w:tcPr>
                  <w:tcW w:w="2404" w:type="dxa"/>
                  <w:tcBorders>
                    <w:top w:val="single" w:color="000000" w:sz="4" w:space="0"/>
                    <w:left w:val="single" w:color="000000" w:sz="4" w:space="0"/>
                    <w:bottom w:val="single" w:color="000000" w:sz="8" w:space="0"/>
                    <w:right w:val="single" w:color="000000" w:sz="8"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4"/>
                    </w:rPr>
                    <w:t>10%</w:t>
                  </w:r>
                </w:p>
              </w:tc>
            </w:tr>
          </w:tbl>
          <w:p>
            <w:pPr>
              <w:pStyle w:val="4"/>
              <w:ind w:firstLine="480"/>
              <w:jc w:val="both"/>
            </w:pPr>
            <w:r>
              <w:rPr>
                <w:rFonts w:ascii="仿宋_GB2312" w:hAnsi="仿宋_GB2312" w:eastAsia="仿宋_GB2312" w:cs="仿宋_GB2312"/>
                <w:color w:val="000000"/>
                <w:sz w:val="24"/>
              </w:rPr>
              <w:t>（3）意外伤害医疗：</w:t>
            </w:r>
          </w:p>
          <w:p>
            <w:pPr>
              <w:pStyle w:val="4"/>
              <w:ind w:firstLine="480"/>
              <w:jc w:val="both"/>
            </w:pPr>
            <w:r>
              <w:rPr>
                <w:rFonts w:ascii="仿宋_GB2312" w:hAnsi="仿宋_GB2312" w:eastAsia="仿宋_GB2312" w:cs="仿宋_GB2312"/>
                <w:color w:val="000000"/>
                <w:sz w:val="24"/>
              </w:rPr>
              <w:t>在保险期间内，被保险人遭受意外伤害，并因该意外伤害在乡镇卫生院或社区卫生服务中心及以上医疗机构或保险人认可的其他医疗机构诊疗，对被保险人每次意外伤害事故所实际发生并支出的费用，保险人在扣除已从当地社会基本医疗保险或其他途径获得补偿或给付的部分(不含重点救助对象的政府救助部分)以及免赔部分后，对其他部分给付保险金。对被保险人给付的保险金以该被保险人的保险金额为限。</w:t>
            </w:r>
          </w:p>
          <w:p>
            <w:pPr>
              <w:pStyle w:val="4"/>
              <w:ind w:firstLine="480"/>
              <w:jc w:val="both"/>
            </w:pPr>
            <w:r>
              <w:rPr>
                <w:rFonts w:ascii="仿宋_GB2312" w:hAnsi="仿宋_GB2312" w:eastAsia="仿宋_GB2312" w:cs="仿宋_GB2312"/>
                <w:color w:val="000000"/>
                <w:sz w:val="24"/>
              </w:rPr>
              <w:t>（4）意外伤害住院津贴：</w:t>
            </w:r>
          </w:p>
          <w:p>
            <w:pPr>
              <w:pStyle w:val="4"/>
              <w:ind w:firstLine="480"/>
              <w:jc w:val="both"/>
            </w:pPr>
            <w:r>
              <w:rPr>
                <w:rFonts w:ascii="仿宋_GB2312" w:hAnsi="仿宋_GB2312" w:eastAsia="仿宋_GB2312" w:cs="仿宋_GB2312"/>
                <w:color w:val="000000"/>
                <w:sz w:val="24"/>
              </w:rPr>
              <w:t>在保险期间内，被保险人遭受意外伤害，并因该意外伤害在乡镇卫生院或社区卫生服务中心及以上医疗机构或保险人认可的其他医疗机构住院治疗，保险人按扣除免赔日后的每次实际住院日数给付保险金，累计给付日数以180日为限。</w:t>
            </w:r>
          </w:p>
          <w:p>
            <w:pPr>
              <w:pStyle w:val="4"/>
              <w:ind w:firstLine="482"/>
              <w:jc w:val="both"/>
            </w:pPr>
            <w:r>
              <w:rPr>
                <w:rFonts w:ascii="仿宋_GB2312" w:hAnsi="仿宋_GB2312" w:eastAsia="仿宋_GB2312" w:cs="仿宋_GB2312"/>
                <w:b/>
                <w:color w:val="000000"/>
                <w:sz w:val="24"/>
              </w:rPr>
              <w:t>3.免责内容</w:t>
            </w:r>
          </w:p>
          <w:p>
            <w:pPr>
              <w:pStyle w:val="4"/>
              <w:ind w:firstLine="480"/>
              <w:jc w:val="both"/>
            </w:pPr>
            <w:r>
              <w:rPr>
                <w:rFonts w:ascii="仿宋_GB2312" w:hAnsi="仿宋_GB2312" w:eastAsia="仿宋_GB2312" w:cs="仿宋_GB2312"/>
                <w:color w:val="000000"/>
                <w:sz w:val="24"/>
              </w:rPr>
              <w:t>被保险人在参保前所发生的意外伤害事故均不属于保险责任。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保险服务要求</w:t>
            </w:r>
          </w:p>
        </w:tc>
        <w:tc>
          <w:tcPr>
            <w:tcW w:w="5814" w:type="dxa"/>
          </w:tcPr>
          <w:p>
            <w:pPr>
              <w:pStyle w:val="4"/>
              <w:spacing w:before="165"/>
              <w:ind w:firstLine="241"/>
              <w:jc w:val="both"/>
            </w:pPr>
            <w:r>
              <w:rPr>
                <w:rFonts w:ascii="仿宋_GB2312" w:hAnsi="仿宋_GB2312" w:eastAsia="仿宋_GB2312" w:cs="仿宋_GB2312"/>
                <w:sz w:val="24"/>
              </w:rPr>
              <w:t xml:space="preserve">  1.保险理赔及时性要求:保险公司处理理赔时,需被保险人提供相关证明材料的,要一次性告知;被保险人资料齐全后，保险公司应尽快予以理赔。如果情况比较复杂,应沟通采购人，在30天内达成结论，并告知理赔的结果；确定具体赔偿金额后，2万元以内（含2万元）的应即时给付，2万元以上的在5个工作日内完成给付。</w:t>
            </w:r>
          </w:p>
          <w:p>
            <w:pPr>
              <w:pStyle w:val="4"/>
              <w:ind w:firstLine="480"/>
              <w:jc w:val="both"/>
            </w:pPr>
            <w:r>
              <w:rPr>
                <w:rFonts w:ascii="仿宋_GB2312" w:hAnsi="仿宋_GB2312" w:eastAsia="仿宋_GB2312" w:cs="仿宋_GB2312"/>
                <w:sz w:val="24"/>
              </w:rPr>
              <w:t>2.信息保密义务:成交供应商在合同履行过程中形成的或采购人向其提供的所有非公开信息和数据，除非获得采购人的事先书面同意,否则成交供应商获得的该保密信息只能用于本项目所需之用途。如法律规定或有关监管机构要求成交供应商必须对保密信息做出披露时,成交供应商应立即通知采购人，并仅在法律或监管机构要求的范围内提供信息。因成交供应商私自泄露相关资料、信息带来的一切损失,由成交供应商一力承担。</w:t>
            </w:r>
          </w:p>
          <w:p>
            <w:pPr>
              <w:pStyle w:val="4"/>
              <w:ind w:firstLine="480"/>
              <w:jc w:val="both"/>
            </w:pPr>
            <w:r>
              <w:rPr>
                <w:rFonts w:ascii="仿宋_GB2312" w:hAnsi="仿宋_GB2312" w:eastAsia="仿宋_GB2312" w:cs="仿宋_GB2312"/>
                <w:sz w:val="24"/>
              </w:rPr>
              <w:t>3.供应商整个服务过程须无条件接受采购人统一管理和监督，采购人定期对残疾人意外保险工作开展监督检查，动态掌握残疾人意外伤害保险工作的开展和理赔等情况，若采购人发现并指出问题，成交供应商应当及时整改到位。合同服务期内发生任何有效投诉超过3 起（含），一经查实，立即终止承保人的资格，情节严重的，取消中标资格并退还全部合同金额，如有向参保残疾人另行收取保费、截留挪用保险赔偿金的，由甲方视情处理，构成违法的，依法处理。</w:t>
            </w:r>
          </w:p>
          <w:p>
            <w:pPr>
              <w:pStyle w:val="4"/>
              <w:ind w:firstLine="480"/>
              <w:jc w:val="both"/>
            </w:pPr>
            <w:r>
              <w:rPr>
                <w:rFonts w:ascii="仿宋_GB2312" w:hAnsi="仿宋_GB2312" w:eastAsia="仿宋_GB2312" w:cs="仿宋_GB2312"/>
                <w:sz w:val="24"/>
              </w:rPr>
              <w:t>4.成立项目保险服务领导小组：供应商需成立专门的项目保险服务领导小组，统一协调指挥乐山市五通桥区残疾人意外伤害保险项目的实施，力求快速、高效、优质地服务受保对象，年内不少于2次向采购人通报相关情况。</w:t>
            </w:r>
          </w:p>
          <w:p>
            <w:pPr>
              <w:pStyle w:val="4"/>
              <w:ind w:firstLine="480"/>
              <w:jc w:val="both"/>
            </w:pPr>
            <w:r>
              <w:rPr>
                <w:rFonts w:ascii="仿宋_GB2312" w:hAnsi="仿宋_GB2312" w:eastAsia="仿宋_GB2312" w:cs="仿宋_GB2312"/>
                <w:sz w:val="24"/>
              </w:rPr>
              <w:t>5.建立完善的服务保障体系：在乐山市范围内应建有完善的保险服务网络，在乐山市范围内的所有承保理赔工作都能及时到达现场，提供详细的、合理的、科学的理赔方案，尽可能的方便残疾人办理赔付。</w:t>
            </w:r>
          </w:p>
          <w:p>
            <w:pPr>
              <w:pStyle w:val="4"/>
              <w:jc w:val="left"/>
            </w:pPr>
            <w:r>
              <w:rPr>
                <w:rFonts w:ascii="仿宋_GB2312" w:hAnsi="仿宋_GB2312" w:eastAsia="仿宋_GB2312" w:cs="仿宋_GB2312"/>
                <w:sz w:val="24"/>
              </w:rPr>
              <w:t xml:space="preserve">    6.提供增值服务：供应商根据本项目特征，提供增值服务，增值服务方案包括①助残、扶残项目及活动方案；②根据案情或家庭情况特殊的残疾人，制定宽松的理赔政策；③扩展保险保障范围、附加责任；④针对被保险人出现的困难情况，提供必要的关心关爱。</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pPr>
              <w:pStyle w:val="4"/>
              <w:jc w:val="center"/>
            </w:pPr>
            <w:r>
              <w:rPr>
                <w:rFonts w:ascii="仿宋_GB2312" w:hAnsi="仿宋_GB2312" w:eastAsia="仿宋_GB2312" w:cs="仿宋_GB2312"/>
              </w:rPr>
              <w:t>无</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保险期满后三个月内，乙方应向甲方提供完整的服务方案及服务档案记录（包含但不限于理赔花名册及汇总表，银行汇单，服务照片），因乙方的原因导致甲方在规定时间内无法完成项目验收的，甲方有权将乙方列入采购黑名单，三年内不得参与甲方的项目采购。采购人有权回访被保人服务满意度。 2.成交供应商与采购人应严格按照国家、行业相关法律法规及《财政部关于进一步加强政府采购需求和履约验收管理的指导意见》(财库〔2016〕205号)的要求，依据采购文件、供应商响应文件及采购合同进行验收。 3.验收合格的出具验收合格报告，验收不合格的，要求成交供应商一次性整改后，再次验收，依然不合格的，视为成交供应商无履约能力，采购人可根据《民法典》中相关的解除合同规定单方解除合同，并报同级财政部门按照政府采购法律法规等有关规定给予行政处罚或者以失信行为记入诚信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一次付清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1、在本项目签定合同后一月内，一次性向成交供应商支付，达到付款条件起30日内，据实结算说明为按合同签订当日，五通桥区实际持证残疾人人数进行结算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甲乙双方必须遵守本合同并执行合同中的各项规定，保证本合同的正常履行。如因乙方工作人员在履行职务过程中的的疏忽、失职、过错等故意或者过失原因给甲方造成损失或侵害，包括但不限于甲方本身的财产损失、由此而导致的甲方对任何第三方的法律责任等，乙方对此均应承担全部的赔偿责任。解决办法：1、在执行本合同中发生的或与本合同有关的争端，双方应通过友好协商解决，经协商在30天内不能达成协议时，应由采购人所在地人民法院管辖。2、在协商、调解、法院诉讼期间，乙方不得停止服务，并应保证政府采购合同的继续履行执行。</w:t>
            </w:r>
          </w:p>
        </w:tc>
      </w:tr>
    </w:tbl>
    <w:p>
      <w:pPr>
        <w:pStyle w:val="4"/>
        <w:jc w:val="left"/>
        <w:outlineLvl w:val="2"/>
      </w:pPr>
      <w:r>
        <w:rPr>
          <w:rFonts w:ascii="仿宋_GB2312" w:hAnsi="仿宋_GB2312" w:eastAsia="仿宋_GB2312" w:cs="仿宋_GB2312"/>
          <w:b/>
          <w:sz w:val="28"/>
        </w:rPr>
        <w:t>3.4.其他要求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无</w:t>
      </w:r>
    </w:p>
    <w:p>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B400883"/>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2026-05-28T01:42:16Z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07692F50DA6C43068C6F6E5878AF3049</vt:lpwstr>
  </property>
</Properties>
</file>