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10DFD">
      <w:pPr>
        <w:pStyle w:val="4"/>
        <w:jc w:val="center"/>
        <w:outlineLvl w:val="1"/>
        <w:rPr>
          <w:rFonts w:hint="default" w:eastAsia="仿宋_GB2312"/>
          <w:lang w:val="en-US" w:eastAsia="zh-CN"/>
        </w:rPr>
      </w:pPr>
      <w:bookmarkStart w:id="0" w:name="_GoBack"/>
      <w:bookmarkEnd w:id="0"/>
      <w:r>
        <w:rPr>
          <w:rFonts w:hint="eastAsia" w:ascii="仿宋_GB2312" w:hAnsi="仿宋_GB2312" w:eastAsia="仿宋_GB2312" w:cs="仿宋_GB2312"/>
          <w:b/>
          <w:sz w:val="36"/>
          <w:lang w:val="en-US" w:eastAsia="zh-CN"/>
        </w:rPr>
        <w:t>采购需求</w:t>
      </w:r>
    </w:p>
    <w:p w14:paraId="4F32373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71C0DFE">
      <w:pPr>
        <w:pStyle w:val="4"/>
        <w:jc w:val="left"/>
        <w:outlineLvl w:val="2"/>
      </w:pPr>
      <w:r>
        <w:rPr>
          <w:rFonts w:ascii="仿宋_GB2312" w:hAnsi="仿宋_GB2312" w:eastAsia="仿宋_GB2312" w:cs="仿宋_GB2312"/>
          <w:b/>
          <w:sz w:val="28"/>
        </w:rPr>
        <w:t>3.1.采购内容</w:t>
      </w:r>
    </w:p>
    <w:p w14:paraId="57A5BDC2">
      <w:pPr>
        <w:pStyle w:val="4"/>
        <w:jc w:val="left"/>
      </w:pPr>
      <w:r>
        <w:rPr>
          <w:rFonts w:ascii="仿宋_GB2312" w:hAnsi="仿宋_GB2312" w:eastAsia="仿宋_GB2312" w:cs="仿宋_GB2312"/>
        </w:rPr>
        <w:t>采购包1：</w:t>
      </w:r>
    </w:p>
    <w:p w14:paraId="09FFCBC3">
      <w:pPr>
        <w:pStyle w:val="4"/>
        <w:jc w:val="left"/>
      </w:pPr>
      <w:r>
        <w:rPr>
          <w:rFonts w:ascii="仿宋_GB2312" w:hAnsi="仿宋_GB2312" w:eastAsia="仿宋_GB2312" w:cs="仿宋_GB2312"/>
        </w:rPr>
        <w:t>采购包预算金额（元）: 1,500,000.00</w:t>
      </w:r>
    </w:p>
    <w:p w14:paraId="3B6A8684">
      <w:pPr>
        <w:pStyle w:val="4"/>
        <w:jc w:val="left"/>
      </w:pPr>
      <w:r>
        <w:rPr>
          <w:rFonts w:ascii="仿宋_GB2312" w:hAnsi="仿宋_GB2312" w:eastAsia="仿宋_GB2312" w:cs="仿宋_GB2312"/>
        </w:rPr>
        <w:t>采购包最高限价（元）: 1,500,000.00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0751A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49A6B8">
            <w:pPr>
              <w:pStyle w:val="4"/>
              <w:jc w:val="center"/>
            </w:pPr>
            <w:r>
              <w:rPr>
                <w:rFonts w:ascii="仿宋_GB2312" w:hAnsi="仿宋_GB2312" w:eastAsia="仿宋_GB2312" w:cs="仿宋_GB2312"/>
              </w:rPr>
              <w:t>序号</w:t>
            </w:r>
          </w:p>
        </w:tc>
        <w:tc>
          <w:tcPr>
            <w:tcW w:w="821" w:type="dxa"/>
          </w:tcPr>
          <w:p w14:paraId="31D4623C">
            <w:pPr>
              <w:pStyle w:val="4"/>
              <w:jc w:val="center"/>
            </w:pPr>
            <w:r>
              <w:rPr>
                <w:rFonts w:ascii="仿宋_GB2312" w:hAnsi="仿宋_GB2312" w:eastAsia="仿宋_GB2312" w:cs="仿宋_GB2312"/>
              </w:rPr>
              <w:t>采购品目名称</w:t>
            </w:r>
          </w:p>
        </w:tc>
        <w:tc>
          <w:tcPr>
            <w:tcW w:w="821" w:type="dxa"/>
          </w:tcPr>
          <w:p w14:paraId="753F8CAD">
            <w:pPr>
              <w:pStyle w:val="4"/>
              <w:jc w:val="center"/>
            </w:pPr>
            <w:r>
              <w:rPr>
                <w:rFonts w:ascii="仿宋_GB2312" w:hAnsi="仿宋_GB2312" w:eastAsia="仿宋_GB2312" w:cs="仿宋_GB2312"/>
              </w:rPr>
              <w:t>标的名称</w:t>
            </w:r>
          </w:p>
        </w:tc>
        <w:tc>
          <w:tcPr>
            <w:tcW w:w="821" w:type="dxa"/>
          </w:tcPr>
          <w:p w14:paraId="7A12C14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45002E7">
            <w:pPr>
              <w:pStyle w:val="4"/>
              <w:jc w:val="center"/>
            </w:pPr>
            <w:r>
              <w:rPr>
                <w:rFonts w:ascii="仿宋_GB2312" w:hAnsi="仿宋_GB2312" w:eastAsia="仿宋_GB2312" w:cs="仿宋_GB2312"/>
              </w:rPr>
              <w:t>标的金额 （元）</w:t>
            </w:r>
          </w:p>
        </w:tc>
        <w:tc>
          <w:tcPr>
            <w:tcW w:w="821" w:type="dxa"/>
          </w:tcPr>
          <w:p w14:paraId="6BF225CA">
            <w:pPr>
              <w:pStyle w:val="4"/>
              <w:jc w:val="center"/>
            </w:pPr>
            <w:r>
              <w:rPr>
                <w:rFonts w:ascii="仿宋_GB2312" w:hAnsi="仿宋_GB2312" w:eastAsia="仿宋_GB2312" w:cs="仿宋_GB2312"/>
              </w:rPr>
              <w:t>所属行业</w:t>
            </w:r>
          </w:p>
        </w:tc>
        <w:tc>
          <w:tcPr>
            <w:tcW w:w="821" w:type="dxa"/>
          </w:tcPr>
          <w:p w14:paraId="0575C503">
            <w:pPr>
              <w:pStyle w:val="4"/>
              <w:jc w:val="center"/>
            </w:pPr>
            <w:r>
              <w:rPr>
                <w:rFonts w:ascii="仿宋_GB2312" w:hAnsi="仿宋_GB2312" w:eastAsia="仿宋_GB2312" w:cs="仿宋_GB2312"/>
              </w:rPr>
              <w:t>是否涉及核心产品</w:t>
            </w:r>
          </w:p>
        </w:tc>
        <w:tc>
          <w:tcPr>
            <w:tcW w:w="821" w:type="dxa"/>
          </w:tcPr>
          <w:p w14:paraId="7E656B03">
            <w:pPr>
              <w:pStyle w:val="4"/>
              <w:jc w:val="center"/>
            </w:pPr>
            <w:r>
              <w:rPr>
                <w:rFonts w:ascii="仿宋_GB2312" w:hAnsi="仿宋_GB2312" w:eastAsia="仿宋_GB2312" w:cs="仿宋_GB2312"/>
              </w:rPr>
              <w:t>是否涉及采购进口产品</w:t>
            </w:r>
          </w:p>
        </w:tc>
        <w:tc>
          <w:tcPr>
            <w:tcW w:w="821" w:type="dxa"/>
          </w:tcPr>
          <w:p w14:paraId="65EDD51B">
            <w:pPr>
              <w:pStyle w:val="4"/>
              <w:jc w:val="center"/>
            </w:pPr>
            <w:r>
              <w:rPr>
                <w:rFonts w:ascii="仿宋_GB2312" w:hAnsi="仿宋_GB2312" w:eastAsia="仿宋_GB2312" w:cs="仿宋_GB2312"/>
              </w:rPr>
              <w:t>是否涉及强制采购节能产品</w:t>
            </w:r>
          </w:p>
        </w:tc>
        <w:tc>
          <w:tcPr>
            <w:tcW w:w="639" w:type="dxa"/>
          </w:tcPr>
          <w:p w14:paraId="53FE72FB">
            <w:pPr>
              <w:pStyle w:val="4"/>
              <w:jc w:val="center"/>
            </w:pPr>
            <w:r>
              <w:rPr>
                <w:rFonts w:ascii="仿宋_GB2312" w:hAnsi="仿宋_GB2312" w:eastAsia="仿宋_GB2312" w:cs="仿宋_GB2312"/>
              </w:rPr>
              <w:t>是否涉及优先采购节能产品</w:t>
            </w:r>
          </w:p>
        </w:tc>
        <w:tc>
          <w:tcPr>
            <w:tcW w:w="639" w:type="dxa"/>
          </w:tcPr>
          <w:p w14:paraId="2061D06C">
            <w:pPr>
              <w:pStyle w:val="4"/>
              <w:jc w:val="center"/>
            </w:pPr>
            <w:r>
              <w:rPr>
                <w:rFonts w:ascii="仿宋_GB2312" w:hAnsi="仿宋_GB2312" w:eastAsia="仿宋_GB2312" w:cs="仿宋_GB2312"/>
              </w:rPr>
              <w:t>是否涉及优先采购环境标志产品</w:t>
            </w:r>
          </w:p>
        </w:tc>
      </w:tr>
      <w:tr w14:paraId="3CE0D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684AEA">
            <w:pPr>
              <w:pStyle w:val="4"/>
              <w:jc w:val="left"/>
            </w:pPr>
            <w:r>
              <w:rPr>
                <w:rFonts w:ascii="仿宋_GB2312" w:hAnsi="仿宋_GB2312" w:eastAsia="仿宋_GB2312" w:cs="仿宋_GB2312"/>
              </w:rPr>
              <w:t>1</w:t>
            </w:r>
          </w:p>
        </w:tc>
        <w:tc>
          <w:tcPr>
            <w:tcW w:w="821" w:type="dxa"/>
          </w:tcPr>
          <w:p w14:paraId="04793197">
            <w:pPr>
              <w:pStyle w:val="4"/>
              <w:jc w:val="left"/>
            </w:pPr>
            <w:r>
              <w:rPr>
                <w:rFonts w:ascii="仿宋_GB2312" w:hAnsi="仿宋_GB2312" w:eastAsia="仿宋_GB2312" w:cs="仿宋_GB2312"/>
              </w:rPr>
              <w:t>C05040100 公共安全服务</w:t>
            </w:r>
          </w:p>
        </w:tc>
        <w:tc>
          <w:tcPr>
            <w:tcW w:w="821" w:type="dxa"/>
          </w:tcPr>
          <w:p w14:paraId="0FA37D62">
            <w:pPr>
              <w:pStyle w:val="4"/>
              <w:jc w:val="left"/>
            </w:pPr>
            <w:r>
              <w:rPr>
                <w:rFonts w:ascii="仿宋_GB2312" w:hAnsi="仿宋_GB2312" w:eastAsia="仿宋_GB2312" w:cs="仿宋_GB2312"/>
              </w:rPr>
              <w:t>安全生产综合监管技术服务</w:t>
            </w:r>
          </w:p>
        </w:tc>
        <w:tc>
          <w:tcPr>
            <w:tcW w:w="821" w:type="dxa"/>
          </w:tcPr>
          <w:p w14:paraId="6F4CB3D3">
            <w:pPr>
              <w:pStyle w:val="4"/>
              <w:jc w:val="right"/>
            </w:pPr>
            <w:r>
              <w:rPr>
                <w:rFonts w:ascii="仿宋_GB2312" w:hAnsi="仿宋_GB2312" w:eastAsia="仿宋_GB2312" w:cs="仿宋_GB2312"/>
              </w:rPr>
              <w:t>1.00（项）</w:t>
            </w:r>
          </w:p>
        </w:tc>
        <w:tc>
          <w:tcPr>
            <w:tcW w:w="821" w:type="dxa"/>
          </w:tcPr>
          <w:p w14:paraId="39C4C17C">
            <w:pPr>
              <w:pStyle w:val="4"/>
              <w:jc w:val="right"/>
            </w:pPr>
            <w:r>
              <w:rPr>
                <w:rFonts w:ascii="仿宋_GB2312" w:hAnsi="仿宋_GB2312" w:eastAsia="仿宋_GB2312" w:cs="仿宋_GB2312"/>
              </w:rPr>
              <w:t>1,500,000.00</w:t>
            </w:r>
          </w:p>
        </w:tc>
        <w:tc>
          <w:tcPr>
            <w:tcW w:w="821" w:type="dxa"/>
          </w:tcPr>
          <w:p w14:paraId="6E91959A">
            <w:pPr>
              <w:pStyle w:val="4"/>
              <w:jc w:val="left"/>
            </w:pPr>
            <w:r>
              <w:rPr>
                <w:rFonts w:ascii="仿宋_GB2312" w:hAnsi="仿宋_GB2312" w:eastAsia="仿宋_GB2312" w:cs="仿宋_GB2312"/>
              </w:rPr>
              <w:t>其他未列明行业</w:t>
            </w:r>
          </w:p>
        </w:tc>
        <w:tc>
          <w:tcPr>
            <w:tcW w:w="821" w:type="dxa"/>
          </w:tcPr>
          <w:p w14:paraId="3398060C">
            <w:pPr>
              <w:pStyle w:val="4"/>
              <w:jc w:val="left"/>
            </w:pPr>
            <w:r>
              <w:rPr>
                <w:rFonts w:ascii="仿宋_GB2312" w:hAnsi="仿宋_GB2312" w:eastAsia="仿宋_GB2312" w:cs="仿宋_GB2312"/>
              </w:rPr>
              <w:t>否</w:t>
            </w:r>
          </w:p>
        </w:tc>
        <w:tc>
          <w:tcPr>
            <w:tcW w:w="821" w:type="dxa"/>
          </w:tcPr>
          <w:p w14:paraId="36A6196E">
            <w:pPr>
              <w:pStyle w:val="4"/>
              <w:jc w:val="left"/>
            </w:pPr>
            <w:r>
              <w:rPr>
                <w:rFonts w:ascii="仿宋_GB2312" w:hAnsi="仿宋_GB2312" w:eastAsia="仿宋_GB2312" w:cs="仿宋_GB2312"/>
              </w:rPr>
              <w:t>否</w:t>
            </w:r>
          </w:p>
        </w:tc>
        <w:tc>
          <w:tcPr>
            <w:tcW w:w="821" w:type="dxa"/>
          </w:tcPr>
          <w:p w14:paraId="294C4C70">
            <w:pPr>
              <w:pStyle w:val="4"/>
              <w:jc w:val="left"/>
            </w:pPr>
            <w:r>
              <w:rPr>
                <w:rFonts w:ascii="仿宋_GB2312" w:hAnsi="仿宋_GB2312" w:eastAsia="仿宋_GB2312" w:cs="仿宋_GB2312"/>
              </w:rPr>
              <w:t>否</w:t>
            </w:r>
          </w:p>
        </w:tc>
        <w:tc>
          <w:tcPr>
            <w:tcW w:w="639" w:type="dxa"/>
          </w:tcPr>
          <w:p w14:paraId="65DF3F11">
            <w:pPr>
              <w:pStyle w:val="4"/>
              <w:jc w:val="left"/>
            </w:pPr>
            <w:r>
              <w:rPr>
                <w:rFonts w:ascii="仿宋_GB2312" w:hAnsi="仿宋_GB2312" w:eastAsia="仿宋_GB2312" w:cs="仿宋_GB2312"/>
              </w:rPr>
              <w:t>否</w:t>
            </w:r>
          </w:p>
        </w:tc>
        <w:tc>
          <w:tcPr>
            <w:tcW w:w="639" w:type="dxa"/>
          </w:tcPr>
          <w:p w14:paraId="662068AB">
            <w:pPr>
              <w:pStyle w:val="4"/>
              <w:jc w:val="left"/>
            </w:pPr>
            <w:r>
              <w:rPr>
                <w:rFonts w:ascii="仿宋_GB2312" w:hAnsi="仿宋_GB2312" w:eastAsia="仿宋_GB2312" w:cs="仿宋_GB2312"/>
              </w:rPr>
              <w:t>否</w:t>
            </w:r>
          </w:p>
        </w:tc>
      </w:tr>
    </w:tbl>
    <w:p w14:paraId="5C514CA0">
      <w:pPr>
        <w:pStyle w:val="4"/>
        <w:jc w:val="left"/>
      </w:pPr>
      <w:r>
        <w:rPr>
          <w:rFonts w:ascii="仿宋_GB2312" w:hAnsi="仿宋_GB2312" w:eastAsia="仿宋_GB2312" w:cs="仿宋_GB2312"/>
        </w:rPr>
        <w:t xml:space="preserve"> 是否适用本国产品标准：</w:t>
      </w:r>
    </w:p>
    <w:p w14:paraId="1690408F">
      <w:pPr>
        <w:pStyle w:val="4"/>
        <w:jc w:val="left"/>
      </w:pPr>
      <w:r>
        <w:rPr>
          <w:rFonts w:ascii="仿宋_GB2312" w:hAnsi="仿宋_GB2312" w:eastAsia="仿宋_GB2312" w:cs="仿宋_GB2312"/>
        </w:rPr>
        <w:t>采购包1：否</w:t>
      </w:r>
    </w:p>
    <w:p w14:paraId="6A5554B7">
      <w:pPr>
        <w:pStyle w:val="4"/>
        <w:jc w:val="left"/>
        <w:outlineLvl w:val="3"/>
      </w:pPr>
      <w:r>
        <w:rPr>
          <w:rFonts w:ascii="仿宋_GB2312" w:hAnsi="仿宋_GB2312" w:eastAsia="仿宋_GB2312" w:cs="仿宋_GB2312"/>
          <w:b/>
          <w:sz w:val="24"/>
        </w:rPr>
        <w:t>报价要求</w:t>
      </w:r>
    </w:p>
    <w:p w14:paraId="5C0DDCB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27E6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4DBCCC">
            <w:pPr>
              <w:pStyle w:val="4"/>
              <w:jc w:val="center"/>
            </w:pPr>
            <w:r>
              <w:rPr>
                <w:rFonts w:ascii="仿宋_GB2312" w:hAnsi="仿宋_GB2312" w:eastAsia="仿宋_GB2312" w:cs="仿宋_GB2312"/>
              </w:rPr>
              <w:t>序号</w:t>
            </w:r>
          </w:p>
        </w:tc>
        <w:tc>
          <w:tcPr>
            <w:tcW w:w="1707" w:type="dxa"/>
          </w:tcPr>
          <w:p w14:paraId="7BC72EDC">
            <w:pPr>
              <w:pStyle w:val="4"/>
              <w:jc w:val="center"/>
            </w:pPr>
            <w:r>
              <w:rPr>
                <w:rFonts w:ascii="仿宋_GB2312" w:hAnsi="仿宋_GB2312" w:eastAsia="仿宋_GB2312" w:cs="仿宋_GB2312"/>
              </w:rPr>
              <w:t>报价内容</w:t>
            </w:r>
          </w:p>
        </w:tc>
        <w:tc>
          <w:tcPr>
            <w:tcW w:w="1138" w:type="dxa"/>
          </w:tcPr>
          <w:p w14:paraId="7007B63B">
            <w:pPr>
              <w:pStyle w:val="4"/>
              <w:jc w:val="center"/>
            </w:pPr>
            <w:r>
              <w:rPr>
                <w:rFonts w:ascii="仿宋_GB2312" w:hAnsi="仿宋_GB2312" w:eastAsia="仿宋_GB2312" w:cs="仿宋_GB2312"/>
              </w:rPr>
              <w:t>数量（计量单位）</w:t>
            </w:r>
          </w:p>
        </w:tc>
        <w:tc>
          <w:tcPr>
            <w:tcW w:w="1365" w:type="dxa"/>
          </w:tcPr>
          <w:p w14:paraId="142E7667">
            <w:pPr>
              <w:pStyle w:val="4"/>
              <w:jc w:val="center"/>
            </w:pPr>
            <w:r>
              <w:rPr>
                <w:rFonts w:ascii="仿宋_GB2312" w:hAnsi="仿宋_GB2312" w:eastAsia="仿宋_GB2312" w:cs="仿宋_GB2312"/>
              </w:rPr>
              <w:t>最高限价</w:t>
            </w:r>
          </w:p>
        </w:tc>
        <w:tc>
          <w:tcPr>
            <w:tcW w:w="1138" w:type="dxa"/>
          </w:tcPr>
          <w:p w14:paraId="0DC9D3F1">
            <w:pPr>
              <w:pStyle w:val="4"/>
              <w:jc w:val="center"/>
            </w:pPr>
            <w:r>
              <w:rPr>
                <w:rFonts w:ascii="仿宋_GB2312" w:hAnsi="仿宋_GB2312" w:eastAsia="仿宋_GB2312" w:cs="仿宋_GB2312"/>
              </w:rPr>
              <w:t>价款形式</w:t>
            </w:r>
          </w:p>
        </w:tc>
        <w:tc>
          <w:tcPr>
            <w:tcW w:w="1934" w:type="dxa"/>
          </w:tcPr>
          <w:p w14:paraId="71523599">
            <w:pPr>
              <w:pStyle w:val="4"/>
              <w:jc w:val="center"/>
            </w:pPr>
            <w:r>
              <w:rPr>
                <w:rFonts w:ascii="仿宋_GB2312" w:hAnsi="仿宋_GB2312" w:eastAsia="仿宋_GB2312" w:cs="仿宋_GB2312"/>
              </w:rPr>
              <w:t>报价说明</w:t>
            </w:r>
          </w:p>
        </w:tc>
      </w:tr>
      <w:tr w14:paraId="01FFF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D08A30">
            <w:pPr>
              <w:pStyle w:val="4"/>
              <w:jc w:val="center"/>
            </w:pPr>
            <w:r>
              <w:rPr>
                <w:rFonts w:ascii="仿宋_GB2312" w:hAnsi="仿宋_GB2312" w:eastAsia="仿宋_GB2312" w:cs="仿宋_GB2312"/>
              </w:rPr>
              <w:t>1</w:t>
            </w:r>
          </w:p>
        </w:tc>
        <w:tc>
          <w:tcPr>
            <w:tcW w:w="1707" w:type="dxa"/>
          </w:tcPr>
          <w:p w14:paraId="4C92027F">
            <w:pPr>
              <w:pStyle w:val="4"/>
              <w:jc w:val="center"/>
            </w:pPr>
            <w:r>
              <w:rPr>
                <w:rFonts w:ascii="仿宋_GB2312" w:hAnsi="仿宋_GB2312" w:eastAsia="仿宋_GB2312" w:cs="仿宋_GB2312"/>
              </w:rPr>
              <w:t>安全生产综合监管技术服务</w:t>
            </w:r>
          </w:p>
        </w:tc>
        <w:tc>
          <w:tcPr>
            <w:tcW w:w="1138" w:type="dxa"/>
          </w:tcPr>
          <w:p w14:paraId="73EA679E">
            <w:pPr>
              <w:pStyle w:val="4"/>
              <w:jc w:val="center"/>
            </w:pPr>
            <w:r>
              <w:rPr>
                <w:rFonts w:ascii="仿宋_GB2312" w:hAnsi="仿宋_GB2312" w:eastAsia="仿宋_GB2312" w:cs="仿宋_GB2312"/>
              </w:rPr>
              <w:t>1.00（项）</w:t>
            </w:r>
          </w:p>
        </w:tc>
        <w:tc>
          <w:tcPr>
            <w:tcW w:w="1365" w:type="dxa"/>
          </w:tcPr>
          <w:p w14:paraId="6B9BD1B3">
            <w:pPr>
              <w:pStyle w:val="4"/>
              <w:jc w:val="center"/>
            </w:pPr>
            <w:r>
              <w:rPr>
                <w:rFonts w:ascii="仿宋_GB2312" w:hAnsi="仿宋_GB2312" w:eastAsia="仿宋_GB2312" w:cs="仿宋_GB2312"/>
              </w:rPr>
              <w:t>1,500,000.00</w:t>
            </w:r>
          </w:p>
        </w:tc>
        <w:tc>
          <w:tcPr>
            <w:tcW w:w="1138" w:type="dxa"/>
          </w:tcPr>
          <w:p w14:paraId="79BC8075">
            <w:pPr>
              <w:pStyle w:val="4"/>
              <w:jc w:val="center"/>
            </w:pPr>
            <w:r>
              <w:rPr>
                <w:rFonts w:ascii="仿宋_GB2312" w:hAnsi="仿宋_GB2312" w:eastAsia="仿宋_GB2312" w:cs="仿宋_GB2312"/>
              </w:rPr>
              <w:t>总价</w:t>
            </w:r>
          </w:p>
        </w:tc>
        <w:tc>
          <w:tcPr>
            <w:tcW w:w="1934" w:type="dxa"/>
          </w:tcPr>
          <w:p w14:paraId="25047AC3">
            <w:pPr>
              <w:pStyle w:val="4"/>
              <w:jc w:val="left"/>
            </w:pPr>
            <w:r>
              <w:rPr>
                <w:rFonts w:ascii="仿宋_GB2312" w:hAnsi="仿宋_GB2312" w:eastAsia="仿宋_GB2312" w:cs="仿宋_GB2312"/>
              </w:rPr>
              <w:t>无</w:t>
            </w:r>
          </w:p>
        </w:tc>
      </w:tr>
    </w:tbl>
    <w:p w14:paraId="68F534B3">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E85650E">
      <w:pPr>
        <w:pStyle w:val="4"/>
        <w:jc w:val="left"/>
        <w:outlineLvl w:val="3"/>
      </w:pPr>
      <w:r>
        <w:rPr>
          <w:rFonts w:ascii="仿宋_GB2312" w:hAnsi="仿宋_GB2312" w:eastAsia="仿宋_GB2312" w:cs="仿宋_GB2312"/>
          <w:b/>
          <w:sz w:val="24"/>
        </w:rPr>
        <w:t>本项目涉及核心产品：</w:t>
      </w:r>
    </w:p>
    <w:p w14:paraId="2A6F145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C7F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50DEB2B">
            <w:pPr>
              <w:pStyle w:val="4"/>
              <w:jc w:val="center"/>
            </w:pPr>
            <w:r>
              <w:rPr>
                <w:rFonts w:ascii="仿宋_GB2312" w:hAnsi="仿宋_GB2312" w:eastAsia="仿宋_GB2312" w:cs="仿宋_GB2312"/>
              </w:rPr>
              <w:t>序号</w:t>
            </w:r>
          </w:p>
        </w:tc>
        <w:tc>
          <w:tcPr>
            <w:tcW w:w="2492" w:type="dxa"/>
          </w:tcPr>
          <w:p w14:paraId="14CE70AA">
            <w:pPr>
              <w:pStyle w:val="4"/>
              <w:jc w:val="center"/>
            </w:pPr>
            <w:r>
              <w:rPr>
                <w:rFonts w:ascii="仿宋_GB2312" w:hAnsi="仿宋_GB2312" w:eastAsia="仿宋_GB2312" w:cs="仿宋_GB2312"/>
              </w:rPr>
              <w:t>采购品目名称</w:t>
            </w:r>
          </w:p>
        </w:tc>
        <w:tc>
          <w:tcPr>
            <w:tcW w:w="2492" w:type="dxa"/>
          </w:tcPr>
          <w:p w14:paraId="55FA2F23">
            <w:pPr>
              <w:pStyle w:val="4"/>
              <w:jc w:val="center"/>
            </w:pPr>
            <w:r>
              <w:rPr>
                <w:rFonts w:ascii="仿宋_GB2312" w:hAnsi="仿宋_GB2312" w:eastAsia="仿宋_GB2312" w:cs="仿宋_GB2312"/>
              </w:rPr>
              <w:t>标的名称</w:t>
            </w:r>
          </w:p>
        </w:tc>
        <w:tc>
          <w:tcPr>
            <w:tcW w:w="2492" w:type="dxa"/>
          </w:tcPr>
          <w:p w14:paraId="57AE992F">
            <w:pPr>
              <w:pStyle w:val="4"/>
              <w:jc w:val="center"/>
            </w:pPr>
            <w:r>
              <w:rPr>
                <w:rFonts w:ascii="仿宋_GB2312" w:hAnsi="仿宋_GB2312" w:eastAsia="仿宋_GB2312" w:cs="仿宋_GB2312"/>
              </w:rPr>
              <w:t>产品名称</w:t>
            </w:r>
          </w:p>
        </w:tc>
      </w:tr>
      <w:tr w14:paraId="74873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1524DF">
            <w:pPr>
              <w:pStyle w:val="4"/>
              <w:jc w:val="center"/>
            </w:pPr>
            <w:r>
              <w:rPr>
                <w:rFonts w:ascii="仿宋_GB2312" w:hAnsi="仿宋_GB2312" w:eastAsia="仿宋_GB2312" w:cs="仿宋_GB2312"/>
              </w:rPr>
              <w:t>不涉及</w:t>
            </w:r>
          </w:p>
        </w:tc>
      </w:tr>
    </w:tbl>
    <w:p w14:paraId="36622501">
      <w:pPr>
        <w:pStyle w:val="4"/>
        <w:ind w:firstLine="480"/>
        <w:jc w:val="left"/>
      </w:pPr>
      <w:r>
        <w:rPr>
          <w:rFonts w:ascii="仿宋_GB2312" w:hAnsi="仿宋_GB2312" w:eastAsia="仿宋_GB2312" w:cs="仿宋_GB2312"/>
        </w:rPr>
        <w:t>注：涉及核心产品的，具体评审规定见第五章。</w:t>
      </w:r>
    </w:p>
    <w:p w14:paraId="076AC16F">
      <w:pPr>
        <w:pStyle w:val="4"/>
        <w:jc w:val="left"/>
        <w:outlineLvl w:val="3"/>
      </w:pPr>
      <w:r>
        <w:rPr>
          <w:rFonts w:ascii="仿宋_GB2312" w:hAnsi="仿宋_GB2312" w:eastAsia="仿宋_GB2312" w:cs="仿宋_GB2312"/>
          <w:b/>
          <w:sz w:val="24"/>
        </w:rPr>
        <w:t>本项目涉及采购进口产品：</w:t>
      </w:r>
    </w:p>
    <w:p w14:paraId="02E4389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C6EA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C18A42">
            <w:pPr>
              <w:pStyle w:val="4"/>
              <w:jc w:val="center"/>
            </w:pPr>
            <w:r>
              <w:rPr>
                <w:rFonts w:ascii="仿宋_GB2312" w:hAnsi="仿宋_GB2312" w:eastAsia="仿宋_GB2312" w:cs="仿宋_GB2312"/>
              </w:rPr>
              <w:t>序号</w:t>
            </w:r>
          </w:p>
        </w:tc>
        <w:tc>
          <w:tcPr>
            <w:tcW w:w="2492" w:type="dxa"/>
          </w:tcPr>
          <w:p w14:paraId="370FE77B">
            <w:pPr>
              <w:pStyle w:val="4"/>
              <w:jc w:val="center"/>
            </w:pPr>
            <w:r>
              <w:rPr>
                <w:rFonts w:ascii="仿宋_GB2312" w:hAnsi="仿宋_GB2312" w:eastAsia="仿宋_GB2312" w:cs="仿宋_GB2312"/>
              </w:rPr>
              <w:t>采购品目名称</w:t>
            </w:r>
          </w:p>
        </w:tc>
        <w:tc>
          <w:tcPr>
            <w:tcW w:w="2492" w:type="dxa"/>
          </w:tcPr>
          <w:p w14:paraId="16563EFA">
            <w:pPr>
              <w:pStyle w:val="4"/>
              <w:jc w:val="center"/>
            </w:pPr>
            <w:r>
              <w:rPr>
                <w:rFonts w:ascii="仿宋_GB2312" w:hAnsi="仿宋_GB2312" w:eastAsia="仿宋_GB2312" w:cs="仿宋_GB2312"/>
              </w:rPr>
              <w:t>标的名称</w:t>
            </w:r>
          </w:p>
        </w:tc>
        <w:tc>
          <w:tcPr>
            <w:tcW w:w="2492" w:type="dxa"/>
          </w:tcPr>
          <w:p w14:paraId="5B6D9EF3">
            <w:pPr>
              <w:pStyle w:val="4"/>
              <w:jc w:val="center"/>
            </w:pPr>
            <w:r>
              <w:rPr>
                <w:rFonts w:ascii="仿宋_GB2312" w:hAnsi="仿宋_GB2312" w:eastAsia="仿宋_GB2312" w:cs="仿宋_GB2312"/>
              </w:rPr>
              <w:t>产品名称</w:t>
            </w:r>
          </w:p>
        </w:tc>
      </w:tr>
      <w:tr w14:paraId="6D55F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7AAC533">
            <w:pPr>
              <w:pStyle w:val="4"/>
              <w:jc w:val="center"/>
            </w:pPr>
            <w:r>
              <w:rPr>
                <w:rFonts w:ascii="仿宋_GB2312" w:hAnsi="仿宋_GB2312" w:eastAsia="仿宋_GB2312" w:cs="仿宋_GB2312"/>
              </w:rPr>
              <w:t>不涉及</w:t>
            </w:r>
          </w:p>
        </w:tc>
      </w:tr>
    </w:tbl>
    <w:p w14:paraId="324D80E3">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40AC1F19">
      <w:pPr>
        <w:pStyle w:val="4"/>
        <w:jc w:val="left"/>
        <w:outlineLvl w:val="3"/>
      </w:pPr>
      <w:r>
        <w:rPr>
          <w:rFonts w:ascii="仿宋_GB2312" w:hAnsi="仿宋_GB2312" w:eastAsia="仿宋_GB2312" w:cs="仿宋_GB2312"/>
          <w:b/>
          <w:sz w:val="24"/>
        </w:rPr>
        <w:t>本项目涉及强制采购节能产品：</w:t>
      </w:r>
    </w:p>
    <w:p w14:paraId="0B40A45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B05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BEC3748">
            <w:pPr>
              <w:pStyle w:val="4"/>
              <w:jc w:val="center"/>
            </w:pPr>
            <w:r>
              <w:rPr>
                <w:rFonts w:ascii="仿宋_GB2312" w:hAnsi="仿宋_GB2312" w:eastAsia="仿宋_GB2312" w:cs="仿宋_GB2312"/>
              </w:rPr>
              <w:t>序号</w:t>
            </w:r>
          </w:p>
        </w:tc>
        <w:tc>
          <w:tcPr>
            <w:tcW w:w="2492" w:type="dxa"/>
          </w:tcPr>
          <w:p w14:paraId="3A79F3E8">
            <w:pPr>
              <w:pStyle w:val="4"/>
              <w:jc w:val="center"/>
            </w:pPr>
            <w:r>
              <w:rPr>
                <w:rFonts w:ascii="仿宋_GB2312" w:hAnsi="仿宋_GB2312" w:eastAsia="仿宋_GB2312" w:cs="仿宋_GB2312"/>
              </w:rPr>
              <w:t>采购品目名称</w:t>
            </w:r>
          </w:p>
        </w:tc>
        <w:tc>
          <w:tcPr>
            <w:tcW w:w="2492" w:type="dxa"/>
          </w:tcPr>
          <w:p w14:paraId="50399DB2">
            <w:pPr>
              <w:pStyle w:val="4"/>
              <w:jc w:val="center"/>
            </w:pPr>
            <w:r>
              <w:rPr>
                <w:rFonts w:ascii="仿宋_GB2312" w:hAnsi="仿宋_GB2312" w:eastAsia="仿宋_GB2312" w:cs="仿宋_GB2312"/>
              </w:rPr>
              <w:t>标的名称</w:t>
            </w:r>
          </w:p>
        </w:tc>
        <w:tc>
          <w:tcPr>
            <w:tcW w:w="2492" w:type="dxa"/>
          </w:tcPr>
          <w:p w14:paraId="7CF068BE">
            <w:pPr>
              <w:pStyle w:val="4"/>
              <w:jc w:val="center"/>
            </w:pPr>
            <w:r>
              <w:rPr>
                <w:rFonts w:ascii="仿宋_GB2312" w:hAnsi="仿宋_GB2312" w:eastAsia="仿宋_GB2312" w:cs="仿宋_GB2312"/>
              </w:rPr>
              <w:t>产品名称</w:t>
            </w:r>
          </w:p>
        </w:tc>
      </w:tr>
      <w:tr w14:paraId="5BBE5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A9D7A2">
            <w:pPr>
              <w:pStyle w:val="4"/>
              <w:jc w:val="center"/>
            </w:pPr>
            <w:r>
              <w:rPr>
                <w:rFonts w:ascii="仿宋_GB2312" w:hAnsi="仿宋_GB2312" w:eastAsia="仿宋_GB2312" w:cs="仿宋_GB2312"/>
              </w:rPr>
              <w:t>不涉及</w:t>
            </w:r>
          </w:p>
        </w:tc>
      </w:tr>
    </w:tbl>
    <w:p w14:paraId="22E7C083">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ABD93E0">
      <w:pPr>
        <w:pStyle w:val="4"/>
        <w:jc w:val="left"/>
      </w:pPr>
      <w:r>
        <w:rPr>
          <w:rFonts w:ascii="仿宋_GB2312" w:hAnsi="仿宋_GB2312" w:eastAsia="仿宋_GB2312" w:cs="仿宋_GB2312"/>
          <w:b/>
        </w:rPr>
        <w:t>本项目涉及优先采购节能产品：</w:t>
      </w:r>
    </w:p>
    <w:p w14:paraId="5D6D3FD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C3D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B74A18">
            <w:pPr>
              <w:pStyle w:val="4"/>
              <w:jc w:val="center"/>
            </w:pPr>
            <w:r>
              <w:rPr>
                <w:rFonts w:ascii="仿宋_GB2312" w:hAnsi="仿宋_GB2312" w:eastAsia="仿宋_GB2312" w:cs="仿宋_GB2312"/>
              </w:rPr>
              <w:t>序号</w:t>
            </w:r>
          </w:p>
        </w:tc>
        <w:tc>
          <w:tcPr>
            <w:tcW w:w="2492" w:type="dxa"/>
          </w:tcPr>
          <w:p w14:paraId="75DF5735">
            <w:pPr>
              <w:pStyle w:val="4"/>
              <w:jc w:val="center"/>
            </w:pPr>
            <w:r>
              <w:rPr>
                <w:rFonts w:ascii="仿宋_GB2312" w:hAnsi="仿宋_GB2312" w:eastAsia="仿宋_GB2312" w:cs="仿宋_GB2312"/>
              </w:rPr>
              <w:t>采购品目名称</w:t>
            </w:r>
          </w:p>
        </w:tc>
        <w:tc>
          <w:tcPr>
            <w:tcW w:w="2492" w:type="dxa"/>
          </w:tcPr>
          <w:p w14:paraId="58374EC4">
            <w:pPr>
              <w:pStyle w:val="4"/>
              <w:jc w:val="center"/>
            </w:pPr>
            <w:r>
              <w:rPr>
                <w:rFonts w:ascii="仿宋_GB2312" w:hAnsi="仿宋_GB2312" w:eastAsia="仿宋_GB2312" w:cs="仿宋_GB2312"/>
              </w:rPr>
              <w:t>标的名称</w:t>
            </w:r>
          </w:p>
        </w:tc>
        <w:tc>
          <w:tcPr>
            <w:tcW w:w="2492" w:type="dxa"/>
          </w:tcPr>
          <w:p w14:paraId="1923AE40">
            <w:pPr>
              <w:pStyle w:val="4"/>
              <w:jc w:val="center"/>
            </w:pPr>
            <w:r>
              <w:rPr>
                <w:rFonts w:ascii="仿宋_GB2312" w:hAnsi="仿宋_GB2312" w:eastAsia="仿宋_GB2312" w:cs="仿宋_GB2312"/>
              </w:rPr>
              <w:t>产品名称</w:t>
            </w:r>
          </w:p>
        </w:tc>
      </w:tr>
      <w:tr w14:paraId="1CDFE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97BF40">
            <w:pPr>
              <w:pStyle w:val="4"/>
              <w:jc w:val="center"/>
            </w:pPr>
            <w:r>
              <w:rPr>
                <w:rFonts w:ascii="仿宋_GB2312" w:hAnsi="仿宋_GB2312" w:eastAsia="仿宋_GB2312" w:cs="仿宋_GB2312"/>
              </w:rPr>
              <w:t>不涉及</w:t>
            </w:r>
          </w:p>
        </w:tc>
      </w:tr>
    </w:tbl>
    <w:p w14:paraId="02EC24D1">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C882442">
      <w:pPr>
        <w:pStyle w:val="4"/>
        <w:jc w:val="left"/>
        <w:outlineLvl w:val="3"/>
      </w:pPr>
      <w:r>
        <w:rPr>
          <w:rFonts w:ascii="仿宋_GB2312" w:hAnsi="仿宋_GB2312" w:eastAsia="仿宋_GB2312" w:cs="仿宋_GB2312"/>
          <w:b/>
          <w:sz w:val="24"/>
        </w:rPr>
        <w:t>本项目涉及优先采购环境标志产品：</w:t>
      </w:r>
    </w:p>
    <w:p w14:paraId="4C48D01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F8AF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C6627D">
            <w:pPr>
              <w:pStyle w:val="4"/>
              <w:jc w:val="center"/>
            </w:pPr>
            <w:r>
              <w:rPr>
                <w:rFonts w:ascii="仿宋_GB2312" w:hAnsi="仿宋_GB2312" w:eastAsia="仿宋_GB2312" w:cs="仿宋_GB2312"/>
              </w:rPr>
              <w:t>序号</w:t>
            </w:r>
          </w:p>
        </w:tc>
        <w:tc>
          <w:tcPr>
            <w:tcW w:w="2492" w:type="dxa"/>
          </w:tcPr>
          <w:p w14:paraId="55730240">
            <w:pPr>
              <w:pStyle w:val="4"/>
              <w:jc w:val="center"/>
            </w:pPr>
            <w:r>
              <w:rPr>
                <w:rFonts w:ascii="仿宋_GB2312" w:hAnsi="仿宋_GB2312" w:eastAsia="仿宋_GB2312" w:cs="仿宋_GB2312"/>
              </w:rPr>
              <w:t>采购品目名称</w:t>
            </w:r>
          </w:p>
        </w:tc>
        <w:tc>
          <w:tcPr>
            <w:tcW w:w="2492" w:type="dxa"/>
          </w:tcPr>
          <w:p w14:paraId="3291F2DD">
            <w:pPr>
              <w:pStyle w:val="4"/>
              <w:jc w:val="center"/>
            </w:pPr>
            <w:r>
              <w:rPr>
                <w:rFonts w:ascii="仿宋_GB2312" w:hAnsi="仿宋_GB2312" w:eastAsia="仿宋_GB2312" w:cs="仿宋_GB2312"/>
              </w:rPr>
              <w:t>标的名称</w:t>
            </w:r>
          </w:p>
        </w:tc>
        <w:tc>
          <w:tcPr>
            <w:tcW w:w="2492" w:type="dxa"/>
          </w:tcPr>
          <w:p w14:paraId="23F42450">
            <w:pPr>
              <w:pStyle w:val="4"/>
              <w:jc w:val="center"/>
            </w:pPr>
            <w:r>
              <w:rPr>
                <w:rFonts w:ascii="仿宋_GB2312" w:hAnsi="仿宋_GB2312" w:eastAsia="仿宋_GB2312" w:cs="仿宋_GB2312"/>
              </w:rPr>
              <w:t>产品名称</w:t>
            </w:r>
          </w:p>
        </w:tc>
      </w:tr>
      <w:tr w14:paraId="5208C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F2499D7">
            <w:pPr>
              <w:pStyle w:val="4"/>
              <w:jc w:val="center"/>
            </w:pPr>
            <w:r>
              <w:rPr>
                <w:rFonts w:ascii="仿宋_GB2312" w:hAnsi="仿宋_GB2312" w:eastAsia="仿宋_GB2312" w:cs="仿宋_GB2312"/>
              </w:rPr>
              <w:t>不涉及</w:t>
            </w:r>
          </w:p>
        </w:tc>
      </w:tr>
    </w:tbl>
    <w:p w14:paraId="012544AC">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8726F31">
      <w:pPr>
        <w:pStyle w:val="4"/>
        <w:jc w:val="left"/>
        <w:outlineLvl w:val="2"/>
      </w:pPr>
      <w:r>
        <w:rPr>
          <w:rFonts w:ascii="仿宋_GB2312" w:hAnsi="仿宋_GB2312" w:eastAsia="仿宋_GB2312" w:cs="仿宋_GB2312"/>
          <w:b/>
          <w:sz w:val="28"/>
        </w:rPr>
        <w:t>3.2.技术要求</w:t>
      </w:r>
    </w:p>
    <w:p w14:paraId="303101A3">
      <w:pPr>
        <w:pStyle w:val="4"/>
        <w:jc w:val="left"/>
      </w:pPr>
      <w:r>
        <w:rPr>
          <w:rFonts w:ascii="仿宋_GB2312" w:hAnsi="仿宋_GB2312" w:eastAsia="仿宋_GB2312" w:cs="仿宋_GB2312"/>
        </w:rPr>
        <w:t>采购包1：</w:t>
      </w:r>
    </w:p>
    <w:p w14:paraId="3E2D70C5">
      <w:pPr>
        <w:pStyle w:val="4"/>
        <w:jc w:val="left"/>
      </w:pPr>
      <w:r>
        <w:rPr>
          <w:rFonts w:ascii="仿宋_GB2312" w:hAnsi="仿宋_GB2312" w:eastAsia="仿宋_GB2312" w:cs="仿宋_GB2312"/>
        </w:rPr>
        <w:t>标的名称：安全生产综合监管技术服务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968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E63921">
            <w:pPr>
              <w:pStyle w:val="4"/>
              <w:jc w:val="center"/>
            </w:pPr>
            <w:r>
              <w:rPr>
                <w:rFonts w:ascii="仿宋_GB2312" w:hAnsi="仿宋_GB2312" w:eastAsia="仿宋_GB2312" w:cs="仿宋_GB2312"/>
              </w:rPr>
              <w:t>序号</w:t>
            </w:r>
          </w:p>
        </w:tc>
        <w:tc>
          <w:tcPr>
            <w:tcW w:w="581" w:type="dxa"/>
          </w:tcPr>
          <w:p w14:paraId="06F175C4">
            <w:pPr>
              <w:pStyle w:val="4"/>
              <w:jc w:val="center"/>
            </w:pPr>
            <w:r>
              <w:rPr>
                <w:rFonts w:ascii="仿宋_GB2312" w:hAnsi="仿宋_GB2312" w:eastAsia="仿宋_GB2312" w:cs="仿宋_GB2312"/>
              </w:rPr>
              <w:t>符号标识</w:t>
            </w:r>
          </w:p>
        </w:tc>
        <w:tc>
          <w:tcPr>
            <w:tcW w:w="1495" w:type="dxa"/>
          </w:tcPr>
          <w:p w14:paraId="7DAF3274">
            <w:pPr>
              <w:pStyle w:val="4"/>
              <w:jc w:val="center"/>
            </w:pPr>
            <w:r>
              <w:rPr>
                <w:rFonts w:ascii="仿宋_GB2312" w:hAnsi="仿宋_GB2312" w:eastAsia="仿宋_GB2312" w:cs="仿宋_GB2312"/>
              </w:rPr>
              <w:t>技术要求名称</w:t>
            </w:r>
          </w:p>
        </w:tc>
        <w:tc>
          <w:tcPr>
            <w:tcW w:w="5814" w:type="dxa"/>
          </w:tcPr>
          <w:p w14:paraId="3B01F2A6">
            <w:pPr>
              <w:pStyle w:val="4"/>
              <w:jc w:val="center"/>
            </w:pPr>
            <w:r>
              <w:rPr>
                <w:rFonts w:ascii="仿宋_GB2312" w:hAnsi="仿宋_GB2312" w:eastAsia="仿宋_GB2312" w:cs="仿宋_GB2312"/>
              </w:rPr>
              <w:t>技术参数与性能指标</w:t>
            </w:r>
          </w:p>
        </w:tc>
      </w:tr>
      <w:tr w14:paraId="0FE9C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6E3B23">
            <w:pPr>
              <w:pStyle w:val="4"/>
              <w:jc w:val="center"/>
            </w:pPr>
            <w:r>
              <w:rPr>
                <w:rFonts w:ascii="仿宋_GB2312" w:hAnsi="仿宋_GB2312" w:eastAsia="仿宋_GB2312" w:cs="仿宋_GB2312"/>
              </w:rPr>
              <w:t>1</w:t>
            </w:r>
          </w:p>
        </w:tc>
        <w:tc>
          <w:tcPr>
            <w:tcW w:w="581" w:type="dxa"/>
          </w:tcPr>
          <w:p w14:paraId="5DD4980F">
            <w:pPr>
              <w:pStyle w:val="4"/>
              <w:jc w:val="center"/>
            </w:pPr>
            <w:r>
              <w:rPr>
                <w:rFonts w:ascii="仿宋_GB2312" w:hAnsi="仿宋_GB2312" w:eastAsia="仿宋_GB2312" w:cs="仿宋_GB2312"/>
              </w:rPr>
              <w:t>★</w:t>
            </w:r>
          </w:p>
        </w:tc>
        <w:tc>
          <w:tcPr>
            <w:tcW w:w="1495" w:type="dxa"/>
          </w:tcPr>
          <w:p w14:paraId="78415279">
            <w:pPr>
              <w:pStyle w:val="4"/>
              <w:jc w:val="left"/>
            </w:pPr>
            <w:r>
              <w:rPr>
                <w:rFonts w:ascii="仿宋_GB2312" w:hAnsi="仿宋_GB2312" w:eastAsia="仿宋_GB2312" w:cs="仿宋_GB2312"/>
              </w:rPr>
              <w:t>服务内容及要求</w:t>
            </w:r>
          </w:p>
        </w:tc>
        <w:tc>
          <w:tcPr>
            <w:tcW w:w="5814" w:type="dxa"/>
          </w:tcPr>
          <w:p w14:paraId="2853F4E8">
            <w:pPr>
              <w:pStyle w:val="4"/>
              <w:ind w:left="240" w:firstLine="281"/>
              <w:jc w:val="both"/>
            </w:pPr>
            <w:r>
              <w:rPr>
                <w:rFonts w:ascii="仿宋_GB2312" w:hAnsi="仿宋_GB2312" w:eastAsia="仿宋_GB2312" w:cs="仿宋_GB2312"/>
                <w:b/>
                <w:sz w:val="28"/>
              </w:rPr>
              <w:t>（一）服务内容</w:t>
            </w:r>
          </w:p>
          <w:p w14:paraId="7ED7221F">
            <w:pPr>
              <w:pStyle w:val="4"/>
              <w:ind w:firstLine="480"/>
              <w:jc w:val="both"/>
            </w:pPr>
            <w:r>
              <w:rPr>
                <w:rFonts w:ascii="仿宋_GB2312" w:hAnsi="仿宋_GB2312" w:eastAsia="仿宋_GB2312" w:cs="仿宋_GB2312"/>
                <w:sz w:val="24"/>
              </w:rPr>
              <w:t>1、综合协调组织：供应商根据采购人在安全生产监管领域的实际业务需求提供辅服务，负责制定落实工作计划,根据采购人要求组织专家开展安全生产技术服务工作，负责协助、对接做好安全管理技术服务日常工作，主要负责草拟制安全服务计划、协同开展日常安全生产检查和隐患排查、问题对标整改、隐患台账建立、复查验收和闭环管理等有关辅助服务。</w:t>
            </w:r>
          </w:p>
          <w:p w14:paraId="1A5FD8A6">
            <w:pPr>
              <w:pStyle w:val="4"/>
              <w:ind w:firstLine="480"/>
              <w:jc w:val="both"/>
            </w:pPr>
            <w:r>
              <w:rPr>
                <w:rFonts w:ascii="仿宋_GB2312" w:hAnsi="仿宋_GB2312" w:eastAsia="仿宋_GB2312" w:cs="仿宋_GB2312"/>
                <w:sz w:val="24"/>
              </w:rPr>
              <w:t>2、安全生产检查和隐患排查辅助服务：供应商协助采购人组织全域性安全生产督导检查、专项检查、专项整治；为采购人提供迎接各级安全生产督查、检查、专项整治的相关工作的辅助服务；负责协助采购人提出修订本安全生产综合监管部门、行业监管部门和其他有关部门安全生产职责规定（分工）的咨询及建议；协助检查工贸企业、危化企业、矿山企业,对检查出的问题隐患做好记录及出具情况分析报告反馈给采购人。</w:t>
            </w:r>
          </w:p>
          <w:p w14:paraId="370D3227">
            <w:pPr>
              <w:pStyle w:val="4"/>
              <w:ind w:firstLine="480"/>
              <w:jc w:val="both"/>
            </w:pPr>
            <w:r>
              <w:rPr>
                <w:rFonts w:ascii="仿宋_GB2312" w:hAnsi="仿宋_GB2312" w:eastAsia="仿宋_GB2312" w:cs="仿宋_GB2312"/>
                <w:sz w:val="24"/>
              </w:rPr>
              <w:t>3、为重点检查内容包括不限于消防安全、重大事故隐患和高风险领域安全、危险化学品安全管理提供人员培训、制度建设建议、风险隐患管控建议、应急演练等辅助性服务工作。</w:t>
            </w:r>
          </w:p>
          <w:p w14:paraId="204616DB">
            <w:pPr>
              <w:pStyle w:val="4"/>
              <w:ind w:firstLine="480"/>
              <w:jc w:val="both"/>
            </w:pPr>
            <w:r>
              <w:rPr>
                <w:rFonts w:ascii="仿宋_GB2312" w:hAnsi="仿宋_GB2312" w:eastAsia="仿宋_GB2312" w:cs="仿宋_GB2312"/>
                <w:sz w:val="24"/>
              </w:rPr>
              <w:t>4、考核巡查辅助服务：供应商协助采购人对行政处罚工作的案卷进行整理，协助采购人对非生产安全事故类行政处罚工作的案卷宗整理。</w:t>
            </w:r>
          </w:p>
          <w:p w14:paraId="51DCB348">
            <w:pPr>
              <w:pStyle w:val="4"/>
              <w:ind w:firstLine="480"/>
              <w:jc w:val="both"/>
            </w:pPr>
            <w:r>
              <w:rPr>
                <w:rFonts w:ascii="仿宋_GB2312" w:hAnsi="仿宋_GB2312" w:eastAsia="仿宋_GB2312" w:cs="仿宋_GB2312"/>
                <w:sz w:val="24"/>
              </w:rPr>
              <w:t>5、事故调查处理辅助服务：供应商协助采购人对生产安全事故数据共计、分析事故原因，提出防范建议，负责对生产安全事故数据统计、分析事故原因,提供防范措施等建议；协助采购人规范生产安全事故调查处理工作流程，提升事故调查处理工作质量和业务能力；负责对生产安全事故调查处理事故案卷归档整理。</w:t>
            </w:r>
          </w:p>
          <w:p w14:paraId="3219DE4A">
            <w:pPr>
              <w:pStyle w:val="4"/>
              <w:ind w:firstLine="480"/>
              <w:jc w:val="both"/>
            </w:pPr>
            <w:r>
              <w:rPr>
                <w:rFonts w:ascii="仿宋_GB2312" w:hAnsi="仿宋_GB2312" w:eastAsia="仿宋_GB2312" w:cs="仿宋_GB2312"/>
                <w:sz w:val="24"/>
              </w:rPr>
              <w:t>6、风险研判：向采购人提供安全生产工作会商研判机制，提出对策措施建议；协助采购人推进组织开展本级每日安全风险研判、每月安全生产形势分析、重要节假日及时间节点社会安全风险提示；协助采购人建立台账实行动态管理，完善安全生产工作机制；定期向采购人提出安全生产工作对策建议。</w:t>
            </w:r>
            <w:r>
              <w:br w:type="textWrapping"/>
            </w:r>
            <w:r>
              <w:rPr>
                <w:rFonts w:ascii="仿宋_GB2312" w:hAnsi="仿宋_GB2312" w:eastAsia="仿宋_GB2312" w:cs="仿宋_GB2312"/>
                <w:sz w:val="24"/>
              </w:rPr>
              <w:t xml:space="preserve">  7、在重要会议、重大活动、特殊时段等关键节点，提供专项安全生产监管保障服务，协助采购人提前联合相关部门对所有相关设施进行全面检查与优化，确保监管工作不受任何干扰。</w:t>
            </w:r>
          </w:p>
          <w:p w14:paraId="39221C83">
            <w:pPr>
              <w:pStyle w:val="4"/>
              <w:ind w:firstLine="480"/>
              <w:jc w:val="both"/>
            </w:pPr>
            <w:r>
              <w:rPr>
                <w:rFonts w:ascii="仿宋_GB2312" w:hAnsi="仿宋_GB2312" w:eastAsia="仿宋_GB2312" w:cs="仿宋_GB2312"/>
                <w:sz w:val="24"/>
              </w:rPr>
              <w:t>8、在紧急情况或突发事件响应期间，提供迅速的现场或远程综合技术与业务支持，当发生安全生产事故、自然灾害等突发事件时，第一时间启动应急响应预案，为应急指挥决策提供数据支撑，同时根据需要迅速赶赴事故现场，协助开展现场秩序维护、隐患二次排查等工作。</w:t>
            </w:r>
          </w:p>
          <w:p w14:paraId="23E04D21">
            <w:pPr>
              <w:pStyle w:val="4"/>
              <w:ind w:firstLine="480"/>
              <w:jc w:val="both"/>
            </w:pPr>
            <w:r>
              <w:rPr>
                <w:rFonts w:ascii="仿宋_GB2312" w:hAnsi="仿宋_GB2312" w:eastAsia="仿宋_GB2312" w:cs="仿宋_GB2312"/>
                <w:sz w:val="24"/>
              </w:rPr>
              <w:t>9、安全生产信息化、宣传和咨询服务、开展安全生产培训教育、其他的安全生产技术服务，全方位助力提升监管效率与区域安全生产水平。</w:t>
            </w:r>
            <w:r>
              <w:br w:type="textWrapping"/>
            </w:r>
            <w:r>
              <w:rPr>
                <w:rFonts w:ascii="仿宋_GB2312" w:hAnsi="仿宋_GB2312" w:eastAsia="仿宋_GB2312" w:cs="仿宋_GB2312"/>
                <w:sz w:val="24"/>
              </w:rPr>
              <w:t xml:space="preserve">  10、供应商协助处理安全生产举报投诉工作，沟通协调投诉人、投诉资料整理、证据收集等辅助服务。</w:t>
            </w:r>
          </w:p>
          <w:p w14:paraId="5B8D6484">
            <w:pPr>
              <w:pStyle w:val="4"/>
              <w:ind w:firstLine="480"/>
              <w:jc w:val="both"/>
            </w:pPr>
            <w:r>
              <w:rPr>
                <w:rFonts w:ascii="仿宋_GB2312" w:hAnsi="仿宋_GB2312" w:eastAsia="仿宋_GB2312" w:cs="仿宋_GB2312"/>
                <w:sz w:val="24"/>
              </w:rPr>
              <w:t>11、供应商协助完成“互联网+执法”系统数据录入和整理，确保各项指标符合四川省互联网+执法量化考评指标。</w:t>
            </w:r>
          </w:p>
          <w:p w14:paraId="0AAA75C3">
            <w:pPr>
              <w:pStyle w:val="4"/>
              <w:ind w:firstLine="480"/>
              <w:jc w:val="both"/>
            </w:pPr>
            <w:r>
              <w:rPr>
                <w:rFonts w:ascii="仿宋_GB2312" w:hAnsi="仿宋_GB2312" w:eastAsia="仿宋_GB2312" w:cs="仿宋_GB2312"/>
                <w:sz w:val="24"/>
              </w:rPr>
              <w:t>12、供应商协助完成安全生产执法信息收集、数据报送、卷宗档案整理等辅助服务及临时性工作任务。</w:t>
            </w:r>
          </w:p>
          <w:p w14:paraId="6CD6E0C8">
            <w:pPr>
              <w:pStyle w:val="4"/>
              <w:ind w:left="840"/>
              <w:jc w:val="both"/>
            </w:pPr>
            <w:r>
              <w:rPr>
                <w:rFonts w:ascii="仿宋_GB2312" w:hAnsi="仿宋_GB2312" w:eastAsia="仿宋_GB2312" w:cs="仿宋_GB2312"/>
                <w:b/>
                <w:sz w:val="28"/>
              </w:rPr>
              <w:t>（二）服务要求</w:t>
            </w:r>
          </w:p>
          <w:p w14:paraId="149E65C3">
            <w:pPr>
              <w:pStyle w:val="4"/>
              <w:ind w:firstLine="480"/>
              <w:jc w:val="both"/>
            </w:pPr>
            <w:r>
              <w:rPr>
                <w:rFonts w:ascii="仿宋_GB2312" w:hAnsi="仿宋_GB2312" w:eastAsia="仿宋_GB2312" w:cs="仿宋_GB2312"/>
                <w:sz w:val="24"/>
              </w:rPr>
              <w:t>1、供应商应当具备安全生产综合监管技术服务能力，具备专职技术服务人员，且⼈员要求相对稳定，能够承担安全生产检查和隐患排查、考核巡查、事故调查、重点检查等工作能力和技术支持能力；根据服务内容及项目实际情况，本项目中供应商应当提供不少于16名相关技术工作人员，人员要求为45岁以下，身体健康、无传染病史，具备相关技术服务能力，专业经验，有相关工作经历或者提供相关技术服务能力培训及考核合格的证明， 提供的工作人员应当积极配合采购人工作，人员确需调整的应提前征得采购人同意，确因⼯作不⼒需要调整的⼈员，采购人在提出⼈员更换要求后3个⼯作⽇内，供应商应及时补充⼈员到位。采购人对驻点⼯作⼈员实⾏考勤管理，并严格执⾏请销假制度。派驻⼈员需参与并严格执⾏采购人办公室⽇常管理和节假⽇值班安排，值班期间不得离开市区。根据工作需要和行业特点,适时邀请国家、省、市专家库的安全专家参与服务工作，相关费用由供应商承担。</w:t>
            </w:r>
          </w:p>
          <w:p w14:paraId="3A3D0B15">
            <w:pPr>
              <w:pStyle w:val="4"/>
              <w:ind w:firstLine="480"/>
              <w:jc w:val="both"/>
            </w:pPr>
            <w:r>
              <w:rPr>
                <w:rFonts w:ascii="仿宋_GB2312" w:hAnsi="仿宋_GB2312" w:eastAsia="仿宋_GB2312" w:cs="仿宋_GB2312"/>
                <w:sz w:val="24"/>
              </w:rPr>
              <w:t>2、项目负责人要求：</w:t>
            </w:r>
          </w:p>
          <w:p w14:paraId="737618F4">
            <w:pPr>
              <w:pStyle w:val="4"/>
              <w:ind w:firstLine="480"/>
              <w:jc w:val="both"/>
            </w:pPr>
            <w:r>
              <w:rPr>
                <w:rFonts w:ascii="仿宋_GB2312" w:hAnsi="仿宋_GB2312" w:eastAsia="仿宋_GB2312" w:cs="仿宋_GB2312"/>
                <w:sz w:val="24"/>
              </w:rPr>
              <w:t>（1）供应商须为本项⽬配备1名专职现场管理⼈员，均需全程驻点开展⼯作，不得兼任本项⽬外其他⼯作任务，且须在合同签订后3个⼯作⽇内到岗履职。</w:t>
            </w:r>
          </w:p>
          <w:p w14:paraId="321CCA5D">
            <w:pPr>
              <w:pStyle w:val="4"/>
              <w:ind w:firstLine="480"/>
              <w:jc w:val="both"/>
            </w:pPr>
            <w:r>
              <w:rPr>
                <w:rFonts w:ascii="仿宋_GB2312" w:hAnsi="仿宋_GB2312" w:eastAsia="仿宋_GB2312" w:cs="仿宋_GB2312"/>
                <w:sz w:val="24"/>
              </w:rPr>
              <w:t>（2）项目负责人需统筹协调项⽬全流程⼯作，对服务⼈员、专家团队进⾏统⼀管理。负责⼯作调度、资料归档、与采购⼈的⽇常对接等⼯作，确保服务有序开展。</w:t>
            </w:r>
          </w:p>
          <w:p w14:paraId="4EC8D932">
            <w:pPr>
              <w:pStyle w:val="4"/>
              <w:ind w:firstLine="480"/>
              <w:jc w:val="both"/>
            </w:pPr>
            <w:r>
              <w:rPr>
                <w:rFonts w:ascii="仿宋_GB2312" w:hAnsi="仿宋_GB2312" w:eastAsia="仿宋_GB2312" w:cs="仿宋_GB2312"/>
                <w:sz w:val="24"/>
              </w:rPr>
              <w:t>（3）项目负责人须保持稳定，合同期内原则上不得更换；确因特殊情况需调整的，供应商应提前15个⼯作⽇向采购⼈提交书⾯申请及拟更换⼈员的资质、经验证明材料，经采购⼈书⾯同意后⽅可更换，且拟更换⼈员的资质、经验不得低于原⼈员标准，更换期间不得影响项⽬正常开展。</w:t>
            </w:r>
          </w:p>
          <w:p w14:paraId="1421D071">
            <w:pPr>
              <w:pStyle w:val="4"/>
              <w:ind w:firstLine="480"/>
              <w:jc w:val="both"/>
            </w:pPr>
            <w:r>
              <w:rPr>
                <w:rFonts w:ascii="仿宋_GB2312" w:hAnsi="仿宋_GB2312" w:eastAsia="仿宋_GB2312" w:cs="仿宋_GB2312"/>
                <w:sz w:val="24"/>
              </w:rPr>
              <w:t>（4）项目负责人须每⽉向采购⼈提交项⽬⼯作⽉报，包含服务⼈员⼯作完成情况、专家排查开展情况、问题整改跟踪情况等，接受采购⼈的监督、检查和考核。</w:t>
            </w:r>
          </w:p>
          <w:p w14:paraId="69ED50AB">
            <w:pPr>
              <w:pStyle w:val="4"/>
              <w:ind w:firstLine="480"/>
              <w:jc w:val="both"/>
            </w:pPr>
            <w:r>
              <w:rPr>
                <w:rFonts w:ascii="仿宋_GB2312" w:hAnsi="仿宋_GB2312" w:eastAsia="仿宋_GB2312" w:cs="仿宋_GB2312"/>
                <w:sz w:val="24"/>
              </w:rPr>
              <w:t>3、供应商投入本项目的服务人员须认真完成采购人指派任务要求，服从安排。</w:t>
            </w:r>
          </w:p>
          <w:p w14:paraId="6BAD6F9F">
            <w:pPr>
              <w:pStyle w:val="4"/>
              <w:ind w:firstLine="480"/>
              <w:jc w:val="both"/>
            </w:pPr>
            <w:r>
              <w:rPr>
                <w:rFonts w:ascii="仿宋_GB2312" w:hAnsi="仿宋_GB2312" w:eastAsia="仿宋_GB2312" w:cs="仿宋_GB2312"/>
                <w:sz w:val="24"/>
              </w:rPr>
              <w:t>4、供应商投入本项目的服务人员需熟悉相关工作内容，不断提高人员专业水平，组织本项目服务人员开展不少于2次应急演练。</w:t>
            </w:r>
            <w:r>
              <w:br w:type="textWrapping"/>
            </w:r>
            <w:r>
              <w:rPr>
                <w:rFonts w:ascii="仿宋_GB2312" w:hAnsi="仿宋_GB2312" w:eastAsia="仿宋_GB2312" w:cs="仿宋_GB2312"/>
                <w:sz w:val="24"/>
              </w:rPr>
              <w:t xml:space="preserve">  5、合同签订后，供应商不得随意更换服务人员，确有特殊原因需要更换的，须提前就对应服务内容服务人员任职要求的新员工的有效证明材料报采购人审核通过后，方可按程序要求更换人员。如发生服务人员自行离职等原因，供应商应在2日内补足相应人员。对关键岗位实行AB角配置，确保岗位始终有人员在岗，避免因人员缺位导致工作断档。</w:t>
            </w:r>
            <w:r>
              <w:br w:type="textWrapping"/>
            </w:r>
            <w:r>
              <w:rPr>
                <w:rFonts w:ascii="仿宋_GB2312" w:hAnsi="仿宋_GB2312" w:eastAsia="仿宋_GB2312" w:cs="仿宋_GB2312"/>
                <w:sz w:val="24"/>
              </w:rPr>
              <w:t xml:space="preserve">  6、供应商报价应符合政府采购及国家相关政策规定，服务期内如果发生政府调整最低工资标准，供应商应按照最新标准同步调整服务人员最低工资标准的要求。供应商应严格按照国家、省市相关政策规定为提供服务人员缴纳社会保险费。</w:t>
            </w:r>
          </w:p>
          <w:p w14:paraId="59B061C2">
            <w:pPr>
              <w:pStyle w:val="4"/>
              <w:ind w:firstLine="480"/>
              <w:jc w:val="both"/>
            </w:pPr>
            <w:r>
              <w:rPr>
                <w:rFonts w:ascii="仿宋_GB2312" w:hAnsi="仿宋_GB2312" w:eastAsia="仿宋_GB2312" w:cs="仿宋_GB2312"/>
                <w:sz w:val="24"/>
              </w:rPr>
              <w:t>7、安全责任：</w:t>
            </w:r>
          </w:p>
          <w:p w14:paraId="7FD350F6">
            <w:pPr>
              <w:pStyle w:val="4"/>
              <w:ind w:firstLine="480"/>
              <w:jc w:val="both"/>
            </w:pPr>
            <w:r>
              <w:rPr>
                <w:rFonts w:ascii="仿宋_GB2312" w:hAnsi="仿宋_GB2312" w:eastAsia="仿宋_GB2312" w:cs="仿宋_GB2312"/>
                <w:sz w:val="24"/>
              </w:rPr>
              <w:t>7.1供应商自行负责服务期间的工作人员食宿、交通、技术设备等保障以及人员的行为规范和安全管理。</w:t>
            </w:r>
          </w:p>
          <w:p w14:paraId="3C218238">
            <w:pPr>
              <w:pStyle w:val="4"/>
              <w:ind w:firstLine="480"/>
              <w:jc w:val="both"/>
            </w:pPr>
            <w:r>
              <w:rPr>
                <w:rFonts w:ascii="仿宋_GB2312" w:hAnsi="仿宋_GB2312" w:eastAsia="仿宋_GB2312" w:cs="仿宋_GB2312"/>
                <w:sz w:val="24"/>
              </w:rPr>
              <w:t>7.2供应商在履行合同过程中，应采取严格的安全措施保障人身及财产安全，因其自身或其工作人员在履行职务过程中的疏忽、失职、过错等故意或者过失原因造成的人员安全责任及事故责任由供应商负责，如对采购人造成损失的，包括但不限于采购人本身的财产损失、由此而导致的采购人对任何第三方的法律责任等，供应商对此应承担相应的责任。</w:t>
            </w:r>
          </w:p>
          <w:p w14:paraId="3D5E2CA2">
            <w:pPr>
              <w:pStyle w:val="4"/>
              <w:ind w:firstLine="480"/>
              <w:jc w:val="left"/>
            </w:pPr>
            <w:r>
              <w:rPr>
                <w:rFonts w:ascii="仿宋_GB2312" w:hAnsi="仿宋_GB2312" w:eastAsia="仿宋_GB2312" w:cs="仿宋_GB2312"/>
                <w:sz w:val="24"/>
              </w:rPr>
              <w:t>8、供应商在使用采购人为供应商提供的数据、政策、文件及采购人相关的业务和技术文档等内容时，应遵循以下规定：</w:t>
            </w:r>
          </w:p>
          <w:p w14:paraId="62FD7518">
            <w:pPr>
              <w:pStyle w:val="4"/>
              <w:ind w:firstLine="480"/>
              <w:jc w:val="both"/>
            </w:pPr>
            <w:r>
              <w:rPr>
                <w:rFonts w:ascii="仿宋_GB2312" w:hAnsi="仿宋_GB2312" w:eastAsia="仿宋_GB2312" w:cs="仿宋_GB2312"/>
                <w:sz w:val="24"/>
              </w:rPr>
              <w:t>（1）未经采购人书面同意，不得泄露、公开或传播采购人提供的数据和信息；</w:t>
            </w:r>
          </w:p>
          <w:p w14:paraId="09115917">
            <w:pPr>
              <w:pStyle w:val="4"/>
              <w:ind w:firstLine="480"/>
              <w:jc w:val="both"/>
            </w:pPr>
            <w:r>
              <w:rPr>
                <w:rFonts w:ascii="仿宋_GB2312" w:hAnsi="仿宋_GB2312" w:eastAsia="仿宋_GB2312" w:cs="仿宋_GB2312"/>
                <w:sz w:val="24"/>
              </w:rPr>
              <w:t>（2）未经采购人书面同意，不得对有关信息进行修改、补充、复制；</w:t>
            </w:r>
          </w:p>
          <w:p w14:paraId="17DE8323">
            <w:pPr>
              <w:pStyle w:val="4"/>
              <w:ind w:firstLine="480"/>
              <w:jc w:val="both"/>
            </w:pPr>
            <w:r>
              <w:rPr>
                <w:rFonts w:ascii="仿宋_GB2312" w:hAnsi="仿宋_GB2312" w:eastAsia="仿宋_GB2312" w:cs="仿宋_GB2312"/>
                <w:sz w:val="24"/>
              </w:rPr>
              <w:t>（3）未经采购人书面同意，不得将信息披露、透露、泄露、转让、转借、另行存储或以任何其他方式提供给任何第三人；保密期限不受合同有效期的限制，在合同有效期结束后，供应商仍应承担保密义务，直至该等信息失去其保密性质且为公众所知悉时止。若有违反或非法传播，供应商将承担由此产生的全部经济和法律责任。</w:t>
            </w:r>
          </w:p>
          <w:p w14:paraId="2F856AD0">
            <w:pPr>
              <w:pStyle w:val="4"/>
              <w:ind w:firstLine="480"/>
              <w:jc w:val="both"/>
            </w:pPr>
            <w:r>
              <w:rPr>
                <w:rFonts w:ascii="仿宋_GB2312" w:hAnsi="仿宋_GB2312" w:eastAsia="仿宋_GB2312" w:cs="仿宋_GB2312"/>
                <w:sz w:val="24"/>
              </w:rPr>
              <w:t>(4)供应商应保证所提供的服务、成果或其任何一部分均不会侵犯任何第三方的专利权、商标权、著作权或其他合法权益。</w:t>
            </w:r>
          </w:p>
          <w:p w14:paraId="2622A391">
            <w:pPr>
              <w:pStyle w:val="4"/>
              <w:ind w:firstLine="480"/>
              <w:jc w:val="both"/>
            </w:pPr>
            <w:r>
              <w:rPr>
                <w:rFonts w:ascii="仿宋_GB2312" w:hAnsi="仿宋_GB2312" w:eastAsia="仿宋_GB2312" w:cs="仿宋_GB2312"/>
                <w:sz w:val="24"/>
              </w:rPr>
              <w:t>9、接受项目行业管理部门及政府有关部门的指导，接受采购人的监督。</w:t>
            </w:r>
          </w:p>
          <w:p w14:paraId="55AF40D2">
            <w:pPr>
              <w:pStyle w:val="4"/>
              <w:ind w:firstLine="480"/>
              <w:jc w:val="both"/>
            </w:pPr>
            <w:r>
              <w:rPr>
                <w:rFonts w:ascii="仿宋_GB2312" w:hAnsi="仿宋_GB2312" w:eastAsia="仿宋_GB2312" w:cs="仿宋_GB2312"/>
                <w:sz w:val="24"/>
              </w:rPr>
              <w:t>10、考核要求</w:t>
            </w:r>
          </w:p>
          <w:p w14:paraId="279ED3B3">
            <w:pPr>
              <w:pStyle w:val="4"/>
              <w:ind w:firstLine="480"/>
              <w:jc w:val="both"/>
            </w:pPr>
            <w:r>
              <w:rPr>
                <w:rFonts w:ascii="仿宋_GB2312" w:hAnsi="仿宋_GB2312" w:eastAsia="仿宋_GB2312" w:cs="仿宋_GB2312"/>
                <w:sz w:val="24"/>
              </w:rPr>
              <w:t>10.1.供应商的服务质量必须接受采购人的监督与考核，不得以任何理由推脱。若拒绝接受采购人考核，则视为供应商虚假响应，采购人将报财政部门处罚，并以此视为供应商单方面无故终止合同，因此产生的责任由供应商自行负责，采购人将依法追究其法律责任且不承担任何责任。</w:t>
            </w:r>
          </w:p>
          <w:p w14:paraId="25CE0ABE">
            <w:pPr>
              <w:pStyle w:val="4"/>
              <w:ind w:firstLine="480"/>
              <w:jc w:val="both"/>
            </w:pPr>
            <w:r>
              <w:rPr>
                <w:rFonts w:ascii="仿宋_GB2312" w:hAnsi="仿宋_GB2312" w:eastAsia="仿宋_GB2312" w:cs="仿宋_GB2312"/>
                <w:sz w:val="24"/>
              </w:rPr>
              <w:t>10.2为规范项目服务，提升服务质量，由采购人对照安全生产技术服务项目年度考核细则表每半年对项目服务（优、良、合格、不合格）进行评分，服务评分总分为100分，95分及以上为优、94-90分为良、89-80分为合格、80分以下为不合格。具体评定细则见下表：</w:t>
            </w:r>
            <w:r>
              <w:br w:type="textWrapping"/>
            </w:r>
            <w:r>
              <w:rPr>
                <w:rFonts w:ascii="仿宋_GB2312" w:hAnsi="仿宋_GB2312" w:eastAsia="仿宋_GB2312" w:cs="仿宋_GB2312"/>
                <w:sz w:val="24"/>
              </w:rPr>
              <w:t xml:space="preserve">  10.3采购人根据《安全生产技术服务项目年度考核细则表》的考核结果得分，并按如下原则进行处理，项目服务评定为优的给予供应商及技术人员表扬，具体方式由采购人确定；评定为良的给予供应商提醒并要求达到优的标准，评定为合格的给予供应商及服务人员整改并要求限期到达优的标准，评定为不合格的要求整改，根据情况要求增加人员及更换人员及其它方面的保障，限期达到优的标准。</w:t>
            </w:r>
          </w:p>
          <w:p w14:paraId="569DCD2D">
            <w:pPr>
              <w:pStyle w:val="4"/>
              <w:jc w:val="center"/>
            </w:pPr>
            <w:r>
              <w:rPr>
                <w:rFonts w:ascii="仿宋_GB2312" w:hAnsi="仿宋_GB2312" w:eastAsia="仿宋_GB2312" w:cs="仿宋_GB2312"/>
                <w:sz w:val="24"/>
              </w:rPr>
              <w:t>安全生产技术服务项目年度考核细则表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0"/>
              <w:gridCol w:w="720"/>
              <w:gridCol w:w="600"/>
              <w:gridCol w:w="1366"/>
              <w:gridCol w:w="1809"/>
              <w:gridCol w:w="618"/>
            </w:tblGrid>
            <w:tr w14:paraId="277400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1A443DF4">
                  <w:pPr>
                    <w:pStyle w:val="4"/>
                    <w:spacing w:before="120" w:after="120"/>
                    <w:jc w:val="both"/>
                  </w:pPr>
                  <w:r>
                    <w:rPr>
                      <w:rFonts w:ascii="仿宋_GB2312" w:hAnsi="仿宋_GB2312" w:eastAsia="仿宋_GB2312" w:cs="仿宋_GB2312"/>
                      <w:sz w:val="24"/>
                    </w:rPr>
                    <w:t>序号</w:t>
                  </w:r>
                </w:p>
              </w:tc>
              <w:tc>
                <w:tcPr>
                  <w:tcW w:w="638"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1F52B34A">
                  <w:pPr>
                    <w:pStyle w:val="4"/>
                    <w:spacing w:before="120" w:after="120"/>
                    <w:jc w:val="both"/>
                  </w:pPr>
                  <w:r>
                    <w:rPr>
                      <w:rFonts w:ascii="仿宋_GB2312" w:hAnsi="仿宋_GB2312" w:eastAsia="仿宋_GB2312" w:cs="仿宋_GB2312"/>
                      <w:sz w:val="24"/>
                    </w:rPr>
                    <w:t>考核大类</w:t>
                  </w:r>
                </w:p>
              </w:tc>
              <w:tc>
                <w:tcPr>
                  <w:tcW w:w="391"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38A89CBB">
                  <w:pPr>
                    <w:pStyle w:val="4"/>
                    <w:spacing w:before="120" w:after="120"/>
                    <w:jc w:val="both"/>
                  </w:pPr>
                  <w:r>
                    <w:rPr>
                      <w:rFonts w:ascii="仿宋_GB2312" w:hAnsi="仿宋_GB2312" w:eastAsia="仿宋_GB2312" w:cs="仿宋_GB2312"/>
                      <w:sz w:val="24"/>
                    </w:rPr>
                    <w:t>分值</w:t>
                  </w:r>
                </w:p>
              </w:tc>
              <w:tc>
                <w:tcPr>
                  <w:tcW w:w="1540"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2BCE2B2B">
                  <w:pPr>
                    <w:pStyle w:val="4"/>
                    <w:spacing w:before="120" w:after="120"/>
                    <w:jc w:val="both"/>
                  </w:pPr>
                  <w:r>
                    <w:rPr>
                      <w:rFonts w:ascii="仿宋_GB2312" w:hAnsi="仿宋_GB2312" w:eastAsia="仿宋_GB2312" w:cs="仿宋_GB2312"/>
                      <w:sz w:val="24"/>
                    </w:rPr>
                    <w:t>考核内容及评分标准</w:t>
                  </w:r>
                </w:p>
              </w:tc>
              <w:tc>
                <w:tcPr>
                  <w:tcW w:w="2101"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2DC90DE0">
                  <w:pPr>
                    <w:pStyle w:val="4"/>
                    <w:spacing w:before="120" w:after="120"/>
                    <w:jc w:val="both"/>
                  </w:pPr>
                  <w:r>
                    <w:rPr>
                      <w:rFonts w:ascii="仿宋_GB2312" w:hAnsi="仿宋_GB2312" w:eastAsia="仿宋_GB2312" w:cs="仿宋_GB2312"/>
                      <w:sz w:val="24"/>
                    </w:rPr>
                    <w:t>扣分标准</w:t>
                  </w:r>
                </w:p>
              </w:tc>
              <w:tc>
                <w:tcPr>
                  <w:tcW w:w="655" w:type="dxa"/>
                  <w:tcBorders>
                    <w:top w:val="single" w:color="000000" w:sz="4" w:space="0"/>
                    <w:left w:val="single" w:color="000000" w:sz="4" w:space="0"/>
                    <w:bottom w:val="single" w:color="000000" w:sz="4" w:space="0"/>
                    <w:right w:val="single" w:color="000000" w:sz="4" w:space="0"/>
                  </w:tcBorders>
                  <w:tcMar>
                    <w:top w:w="60" w:type="dxa"/>
                    <w:left w:w="120" w:type="dxa"/>
                    <w:bottom w:w="30" w:type="dxa"/>
                    <w:right w:w="120" w:type="dxa"/>
                  </w:tcMar>
                  <w:vAlign w:val="top"/>
                </w:tcPr>
                <w:p w14:paraId="77C222D6">
                  <w:pPr>
                    <w:pStyle w:val="4"/>
                    <w:spacing w:before="120" w:after="120"/>
                    <w:jc w:val="both"/>
                  </w:pPr>
                  <w:r>
                    <w:rPr>
                      <w:rFonts w:ascii="仿宋_GB2312" w:hAnsi="仿宋_GB2312" w:eastAsia="仿宋_GB2312" w:cs="仿宋_GB2312"/>
                      <w:sz w:val="24"/>
                    </w:rPr>
                    <w:t>实得分</w:t>
                  </w:r>
                </w:p>
              </w:tc>
            </w:tr>
            <w:tr w14:paraId="33B2D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E310BAF">
                  <w:pPr>
                    <w:pStyle w:val="4"/>
                    <w:spacing w:before="120" w:after="120"/>
                    <w:jc w:val="both"/>
                  </w:pPr>
                  <w:r>
                    <w:rPr>
                      <w:rFonts w:ascii="仿宋_GB2312" w:hAnsi="仿宋_GB2312" w:eastAsia="仿宋_GB2312" w:cs="仿宋_GB2312"/>
                      <w:sz w:val="24"/>
                    </w:rPr>
                    <w:t>1</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4C63C03">
                  <w:pPr>
                    <w:pStyle w:val="4"/>
                    <w:spacing w:before="120" w:after="120"/>
                    <w:jc w:val="both"/>
                  </w:pPr>
                  <w:r>
                    <w:rPr>
                      <w:rFonts w:ascii="仿宋_GB2312" w:hAnsi="仿宋_GB2312" w:eastAsia="仿宋_GB2312" w:cs="仿宋_GB2312"/>
                      <w:sz w:val="24"/>
                    </w:rPr>
                    <w:t>综合协调与日常安全管理服务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D0F786F">
                  <w:pPr>
                    <w:pStyle w:val="4"/>
                    <w:spacing w:before="120" w:after="120"/>
                    <w:jc w:val="both"/>
                  </w:pPr>
                  <w:r>
                    <w:rPr>
                      <w:rFonts w:ascii="仿宋_GB2312" w:hAnsi="仿宋_GB2312" w:eastAsia="仿宋_GB2312" w:cs="仿宋_GB2312"/>
                      <w:sz w:val="24"/>
                    </w:rPr>
                    <w:t>12</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795C387">
                  <w:pPr>
                    <w:pStyle w:val="4"/>
                    <w:spacing w:before="120" w:after="120"/>
                    <w:jc w:val="both"/>
                  </w:pPr>
                  <w:r>
                    <w:rPr>
                      <w:rFonts w:ascii="仿宋_GB2312" w:hAnsi="仿宋_GB2312" w:eastAsia="仿宋_GB2312" w:cs="仿宋_GB2312"/>
                      <w:sz w:val="24"/>
                    </w:rPr>
                    <w:t>负责工作计划制定落实、专家服务组织对接、日常安全检查、隐患台账建立、问题对标整改、复查验收及闭环管理等日常辅助工作，服务流程规范、资料齐全、履职到位。</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8C53506">
                  <w:pPr>
                    <w:pStyle w:val="4"/>
                    <w:spacing w:before="120" w:after="120"/>
                    <w:jc w:val="both"/>
                  </w:pPr>
                  <w:r>
                    <w:rPr>
                      <w:rFonts w:ascii="仿宋_GB2312" w:hAnsi="仿宋_GB2312" w:eastAsia="仿宋_GB2312" w:cs="仿宋_GB2312"/>
                      <w:sz w:val="24"/>
                    </w:rPr>
                    <w:t>1.未按时制定、上报安全服务工作计划，每次扣2分；2.日常检查、隐患排查漏项、记录不规范，每处扣1分；3.隐患台账更新不及时、信息有误，每次扣2分；4.隐患复查、闭环管理不到位，每起扣3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EC6E99D">
                  <w:pPr>
                    <w:pStyle w:val="4"/>
                    <w:spacing w:before="120" w:after="120"/>
                    <w:jc w:val="both"/>
                  </w:pPr>
                </w:p>
              </w:tc>
            </w:tr>
            <w:tr w14:paraId="267B5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0E8ABCA">
                  <w:pPr>
                    <w:pStyle w:val="4"/>
                    <w:jc w:val="both"/>
                  </w:pPr>
                  <w:r>
                    <w:rPr>
                      <w:rFonts w:ascii="仿宋_GB2312" w:hAnsi="仿宋_GB2312" w:eastAsia="仿宋_GB2312" w:cs="仿宋_GB2312"/>
                      <w:sz w:val="24"/>
                    </w:rPr>
                    <w:t>2</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79FD1B0">
                  <w:pPr>
                    <w:pStyle w:val="4"/>
                    <w:spacing w:before="120" w:after="120"/>
                    <w:jc w:val="both"/>
                  </w:pPr>
                  <w:r>
                    <w:rPr>
                      <w:rFonts w:ascii="仿宋_GB2312" w:hAnsi="仿宋_GB2312" w:eastAsia="仿宋_GB2312" w:cs="仿宋_GB2312"/>
                      <w:sz w:val="24"/>
                    </w:rPr>
                    <w:t>安全检查、专项整治及企业监管辅助服务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204BFD2">
                  <w:pPr>
                    <w:pStyle w:val="4"/>
                    <w:spacing w:before="120" w:after="120"/>
                    <w:jc w:val="both"/>
                  </w:pPr>
                  <w:r>
                    <w:rPr>
                      <w:rFonts w:ascii="仿宋_GB2312" w:hAnsi="仿宋_GB2312" w:eastAsia="仿宋_GB2312" w:cs="仿宋_GB2312"/>
                      <w:sz w:val="24"/>
                    </w:rPr>
                    <w:t>12</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33E9AC2">
                  <w:pPr>
                    <w:pStyle w:val="4"/>
                    <w:spacing w:before="120" w:after="120"/>
                    <w:jc w:val="both"/>
                  </w:pPr>
                  <w:r>
                    <w:rPr>
                      <w:rFonts w:ascii="仿宋_GB2312" w:hAnsi="仿宋_GB2312" w:eastAsia="仿宋_GB2312" w:cs="仿宋_GB2312"/>
                      <w:sz w:val="24"/>
                    </w:rPr>
                    <w:t>协助开展全域性安全督导、专项检查、专项整治；做好各级督查迎检辅助工作；协助梳理部门安全职责分工并提供咨询建议；完成工贸、危化、矿山等企业检查，按期出具隐患分析报告。</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3081825">
                  <w:pPr>
                    <w:pStyle w:val="4"/>
                    <w:spacing w:before="120" w:after="120"/>
                    <w:jc w:val="both"/>
                  </w:pPr>
                  <w:r>
                    <w:rPr>
                      <w:rFonts w:ascii="仿宋_GB2312" w:hAnsi="仿宋_GB2312" w:eastAsia="仿宋_GB2312" w:cs="仿宋_GB2312"/>
                      <w:sz w:val="24"/>
                    </w:rPr>
                    <w:t>1.各类检查、整治工作配合不力、推诿滞后，每次扣2分；2.迎检资料准备不充分、出现疏漏，每次扣3分；3.企业检查记录缺失、内容不实，每起扣2分；4.未按时提交隐患情况分析报告或报告质量不合格，每次扣3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50ACC69">
                  <w:pPr>
                    <w:pStyle w:val="4"/>
                    <w:spacing w:before="120" w:after="120"/>
                    <w:jc w:val="both"/>
                  </w:pPr>
                </w:p>
              </w:tc>
            </w:tr>
            <w:tr w14:paraId="506DD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727BD85">
                  <w:pPr>
                    <w:pStyle w:val="4"/>
                    <w:jc w:val="both"/>
                  </w:pPr>
                  <w:r>
                    <w:rPr>
                      <w:rFonts w:ascii="仿宋_GB2312" w:hAnsi="仿宋_GB2312" w:eastAsia="仿宋_GB2312" w:cs="仿宋_GB2312"/>
                      <w:sz w:val="24"/>
                    </w:rPr>
                    <w:t>3</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FC43DAE">
                  <w:pPr>
                    <w:pStyle w:val="4"/>
                    <w:spacing w:before="120" w:after="120"/>
                    <w:jc w:val="both"/>
                  </w:pPr>
                  <w:r>
                    <w:rPr>
                      <w:rFonts w:ascii="仿宋_GB2312" w:hAnsi="仿宋_GB2312" w:eastAsia="仿宋_GB2312" w:cs="仿宋_GB2312"/>
                      <w:sz w:val="24"/>
                    </w:rPr>
                    <w:t>重点领域安全检查辅助服务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2D0BB0F">
                  <w:pPr>
                    <w:pStyle w:val="4"/>
                    <w:spacing w:before="120" w:after="120"/>
                    <w:jc w:val="both"/>
                  </w:pPr>
                  <w:r>
                    <w:rPr>
                      <w:rFonts w:ascii="仿宋_GB2312" w:hAnsi="仿宋_GB2312" w:eastAsia="仿宋_GB2312" w:cs="仿宋_GB2312"/>
                      <w:sz w:val="24"/>
                    </w:rPr>
                    <w:t>10</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849D075">
                  <w:pPr>
                    <w:pStyle w:val="4"/>
                    <w:spacing w:before="120" w:after="120"/>
                    <w:jc w:val="both"/>
                  </w:pPr>
                  <w:r>
                    <w:rPr>
                      <w:rFonts w:ascii="仿宋_GB2312" w:hAnsi="仿宋_GB2312" w:eastAsia="仿宋_GB2312" w:cs="仿宋_GB2312"/>
                      <w:sz w:val="24"/>
                    </w:rPr>
                    <w:t>全面覆盖消防安全、重大隐患与高风险领域管控、制度建设、人员培训、应急演练、危化品安全管理等重点检查内容，排查全面、重点突出、无遗漏。</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D43FD2C">
                  <w:pPr>
                    <w:pStyle w:val="4"/>
                    <w:spacing w:before="120" w:after="120"/>
                    <w:jc w:val="both"/>
                  </w:pPr>
                  <w:r>
                    <w:rPr>
                      <w:rFonts w:ascii="仿宋_GB2312" w:hAnsi="仿宋_GB2312" w:eastAsia="仿宋_GB2312" w:cs="仿宋_GB2312"/>
                      <w:sz w:val="24"/>
                    </w:rPr>
                    <w:t>1.重点检查领域出现漏检、缺项，每类扣2分；2.高风险隐患未及时识别、未重点标注，每起扣3分；3.制度、培训、应急演练等核查资料整理不规范，每处扣1分；本项分值扣完为止。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2F3E043">
                  <w:pPr>
                    <w:pStyle w:val="4"/>
                    <w:spacing w:before="120" w:after="120"/>
                    <w:jc w:val="both"/>
                  </w:pPr>
                </w:p>
              </w:tc>
            </w:tr>
            <w:tr w14:paraId="5C4E5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98A09BD">
                  <w:pPr>
                    <w:pStyle w:val="4"/>
                    <w:jc w:val="both"/>
                  </w:pPr>
                  <w:r>
                    <w:rPr>
                      <w:rFonts w:ascii="仿宋_GB2312" w:hAnsi="仿宋_GB2312" w:eastAsia="仿宋_GB2312" w:cs="仿宋_GB2312"/>
                      <w:sz w:val="24"/>
                    </w:rPr>
                    <w:t>4</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FE595F9">
                  <w:pPr>
                    <w:pStyle w:val="4"/>
                    <w:spacing w:before="120" w:after="120"/>
                    <w:jc w:val="both"/>
                  </w:pPr>
                  <w:r>
                    <w:rPr>
                      <w:rFonts w:ascii="仿宋_GB2312" w:hAnsi="仿宋_GB2312" w:eastAsia="仿宋_GB2312" w:cs="仿宋_GB2312"/>
                      <w:sz w:val="24"/>
                    </w:rPr>
                    <w:t>考核巡查与案卷整理服务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63FEC71">
                  <w:pPr>
                    <w:pStyle w:val="4"/>
                    <w:spacing w:before="120" w:after="120"/>
                    <w:jc w:val="both"/>
                  </w:pPr>
                  <w:r>
                    <w:rPr>
                      <w:rFonts w:ascii="仿宋_GB2312" w:hAnsi="仿宋_GB2312" w:eastAsia="仿宋_GB2312" w:cs="仿宋_GB2312"/>
                      <w:sz w:val="24"/>
                    </w:rPr>
                    <w:t>8</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E15CA0A">
                  <w:pPr>
                    <w:pStyle w:val="4"/>
                    <w:spacing w:before="120" w:after="120"/>
                    <w:jc w:val="both"/>
                  </w:pPr>
                  <w:r>
                    <w:rPr>
                      <w:rFonts w:ascii="仿宋_GB2312" w:hAnsi="仿宋_GB2312" w:eastAsia="仿宋_GB2312" w:cs="仿宋_GB2312"/>
                      <w:sz w:val="24"/>
                    </w:rPr>
                    <w:t>协助完成安全考核巡查工作，规范整理行政处罚、非生产安全事故类执法案卷，做到卷宗完整、分类清晰、归档规范。</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88FC4AE">
                  <w:pPr>
                    <w:pStyle w:val="4"/>
                    <w:spacing w:before="120" w:after="120"/>
                    <w:jc w:val="both"/>
                  </w:pPr>
                  <w:r>
                    <w:rPr>
                      <w:rFonts w:ascii="仿宋_GB2312" w:hAnsi="仿宋_GB2312" w:eastAsia="仿宋_GB2312" w:cs="仿宋_GB2312"/>
                      <w:sz w:val="24"/>
                    </w:rPr>
                    <w:t>1.案卷整理不及时、拖延滞后，每次扣2分；2.案卷资料缺失、装订混乱、信息错误，每卷扣2分；3.考核巡查辅助工作配合不到位，每次扣2分；本项分值扣完为止。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AA5A7C6">
                  <w:pPr>
                    <w:pStyle w:val="4"/>
                    <w:spacing w:before="120" w:after="120"/>
                    <w:jc w:val="both"/>
                  </w:pPr>
                </w:p>
              </w:tc>
            </w:tr>
            <w:tr w14:paraId="332D31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F1E9491">
                  <w:pPr>
                    <w:pStyle w:val="4"/>
                    <w:jc w:val="both"/>
                  </w:pPr>
                  <w:r>
                    <w:rPr>
                      <w:rFonts w:ascii="仿宋_GB2312" w:hAnsi="仿宋_GB2312" w:eastAsia="仿宋_GB2312" w:cs="仿宋_GB2312"/>
                      <w:sz w:val="24"/>
                    </w:rPr>
                    <w:t>5</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14DCE9A">
                  <w:pPr>
                    <w:pStyle w:val="4"/>
                    <w:spacing w:before="120" w:after="120"/>
                    <w:jc w:val="both"/>
                  </w:pPr>
                  <w:r>
                    <w:rPr>
                      <w:rFonts w:ascii="仿宋_GB2312" w:hAnsi="仿宋_GB2312" w:eastAsia="仿宋_GB2312" w:cs="仿宋_GB2312"/>
                      <w:sz w:val="24"/>
                    </w:rPr>
                    <w:t>事故调查处理及案卷归档服务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A768346">
                  <w:pPr>
                    <w:pStyle w:val="4"/>
                    <w:spacing w:before="120" w:after="120"/>
                    <w:jc w:val="both"/>
                  </w:pPr>
                  <w:r>
                    <w:rPr>
                      <w:rFonts w:ascii="仿宋_GB2312" w:hAnsi="仿宋_GB2312" w:eastAsia="仿宋_GB2312" w:cs="仿宋_GB2312"/>
                      <w:sz w:val="24"/>
                    </w:rPr>
                    <w:t>10</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B967DFB">
                  <w:pPr>
                    <w:pStyle w:val="4"/>
                    <w:spacing w:before="120" w:after="120"/>
                    <w:jc w:val="both"/>
                  </w:pPr>
                  <w:r>
                    <w:rPr>
                      <w:rFonts w:ascii="仿宋_GB2312" w:hAnsi="仿宋_GB2312" w:eastAsia="仿宋_GB2312" w:cs="仿宋_GB2312"/>
                      <w:sz w:val="24"/>
                    </w:rPr>
                    <w:t>负责生产安全事故数据统计、原因分析，精准提出防范对策建议；协助规范事故调查流程，提升处置质量，完成事故案卷标准化归档整理。</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46F86B7">
                  <w:pPr>
                    <w:pStyle w:val="4"/>
                    <w:spacing w:before="120" w:after="120"/>
                    <w:jc w:val="both"/>
                  </w:pPr>
                  <w:r>
                    <w:rPr>
                      <w:rFonts w:ascii="仿宋_GB2312" w:hAnsi="仿宋_GB2312" w:eastAsia="仿宋_GB2312" w:cs="仿宋_GB2312"/>
                      <w:sz w:val="24"/>
                    </w:rPr>
                    <w:t>1.事故数据统计错误、遗漏，每起扣3分；2.原因分析片面、防范建议无针对性，每次扣3分；3.事故调查流程协助不到位、案卷归档不规范，每起扣2分；本项分值扣完为止。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10DD7F2">
                  <w:pPr>
                    <w:pStyle w:val="4"/>
                    <w:spacing w:before="120" w:after="120"/>
                    <w:jc w:val="both"/>
                  </w:pPr>
                </w:p>
              </w:tc>
            </w:tr>
            <w:tr w14:paraId="19682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39F10C3">
                  <w:pPr>
                    <w:pStyle w:val="4"/>
                    <w:jc w:val="both"/>
                  </w:pPr>
                  <w:r>
                    <w:rPr>
                      <w:rFonts w:ascii="仿宋_GB2312" w:hAnsi="仿宋_GB2312" w:eastAsia="仿宋_GB2312" w:cs="仿宋_GB2312"/>
                      <w:sz w:val="24"/>
                    </w:rPr>
                    <w:t>6</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B411A31">
                  <w:pPr>
                    <w:pStyle w:val="4"/>
                    <w:spacing w:before="120" w:after="120"/>
                    <w:jc w:val="both"/>
                  </w:pPr>
                  <w:r>
                    <w:rPr>
                      <w:rFonts w:ascii="仿宋_GB2312" w:hAnsi="仿宋_GB2312" w:eastAsia="仿宋_GB2312" w:cs="仿宋_GB2312"/>
                      <w:sz w:val="24"/>
                    </w:rPr>
                    <w:t>安全生产风险研判服务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F6801D8">
                  <w:pPr>
                    <w:pStyle w:val="4"/>
                    <w:spacing w:before="120" w:after="120"/>
                    <w:jc w:val="both"/>
                  </w:pPr>
                  <w:r>
                    <w:rPr>
                      <w:rFonts w:ascii="仿宋_GB2312" w:hAnsi="仿宋_GB2312" w:eastAsia="仿宋_GB2312" w:cs="仿宋_GB2312"/>
                      <w:sz w:val="24"/>
                    </w:rPr>
                    <w:t>10</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119456C">
                  <w:pPr>
                    <w:pStyle w:val="4"/>
                    <w:spacing w:before="120" w:after="120"/>
                    <w:jc w:val="both"/>
                  </w:pPr>
                  <w:r>
                    <w:rPr>
                      <w:rFonts w:ascii="仿宋_GB2312" w:hAnsi="仿宋_GB2312" w:eastAsia="仿宋_GB2312" w:cs="仿宋_GB2312"/>
                      <w:sz w:val="24"/>
                    </w:rPr>
                    <w:t>建立安全会商研判机制，落实每日研判、每月形势分析、节假日风险提示；动态更新风险台账，定期提交安全生产工作对策建议，完善安全工作机制。</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9B59316">
                  <w:pPr>
                    <w:pStyle w:val="4"/>
                    <w:spacing w:before="120" w:after="120"/>
                    <w:jc w:val="both"/>
                  </w:pPr>
                  <w:r>
                    <w:rPr>
                      <w:rFonts w:ascii="仿宋_GB2312" w:hAnsi="仿宋_GB2312" w:eastAsia="仿宋_GB2312" w:cs="仿宋_GB2312"/>
                      <w:sz w:val="24"/>
                    </w:rPr>
                    <w:t>1.每日研判、每月形势分析未按时开展或未提交资料，每次扣2分；2.节假日、重点节点未开展风险提示，每次扣3分；3.风险台账更新不及时、动态管理不到位，每次扣2分；4.未按期提交工作建议或建议无参考价值，每次扣2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4AAE004">
                  <w:pPr>
                    <w:pStyle w:val="4"/>
                    <w:spacing w:before="120" w:after="120"/>
                    <w:jc w:val="both"/>
                  </w:pPr>
                </w:p>
              </w:tc>
            </w:tr>
            <w:tr w14:paraId="234D8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3D21F2C">
                  <w:pPr>
                    <w:pStyle w:val="4"/>
                    <w:jc w:val="both"/>
                  </w:pPr>
                  <w:r>
                    <w:rPr>
                      <w:rFonts w:ascii="仿宋_GB2312" w:hAnsi="仿宋_GB2312" w:eastAsia="仿宋_GB2312" w:cs="仿宋_GB2312"/>
                      <w:sz w:val="24"/>
                    </w:rPr>
                    <w:t>7</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D01EF02">
                  <w:pPr>
                    <w:pStyle w:val="4"/>
                    <w:spacing w:before="120" w:after="120"/>
                    <w:jc w:val="both"/>
                  </w:pPr>
                  <w:r>
                    <w:rPr>
                      <w:rFonts w:ascii="仿宋_GB2312" w:hAnsi="仿宋_GB2312" w:eastAsia="仿宋_GB2312" w:cs="仿宋_GB2312"/>
                      <w:sz w:val="24"/>
                    </w:rPr>
                    <w:t>重大节点专项安全保障服务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7138739">
                  <w:pPr>
                    <w:pStyle w:val="4"/>
                    <w:spacing w:before="120" w:after="120"/>
                    <w:jc w:val="both"/>
                  </w:pPr>
                  <w:r>
                    <w:rPr>
                      <w:rFonts w:ascii="仿宋_GB2312" w:hAnsi="仿宋_GB2312" w:eastAsia="仿宋_GB2312" w:cs="仿宋_GB2312"/>
                      <w:sz w:val="24"/>
                    </w:rPr>
                    <w:t>8</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E495206">
                  <w:pPr>
                    <w:pStyle w:val="4"/>
                    <w:spacing w:before="120" w:after="120"/>
                    <w:jc w:val="both"/>
                  </w:pPr>
                  <w:r>
                    <w:rPr>
                      <w:rFonts w:ascii="仿宋_GB2312" w:hAnsi="仿宋_GB2312" w:eastAsia="仿宋_GB2312" w:cs="仿宋_GB2312"/>
                      <w:sz w:val="24"/>
                    </w:rPr>
                    <w:t>在重要会议、重大活动、特殊时段，提供专项安全监管保障，配合开展全域设施排查、隐患优化整改，保障监管工作平稳运行。</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21D6CF7">
                  <w:pPr>
                    <w:pStyle w:val="4"/>
                    <w:spacing w:before="120" w:after="120"/>
                    <w:jc w:val="both"/>
                  </w:pPr>
                  <w:r>
                    <w:rPr>
                      <w:rFonts w:ascii="仿宋_GB2312" w:hAnsi="仿宋_GB2312" w:eastAsia="仿宋_GB2312" w:cs="仿宋_GB2312"/>
                      <w:sz w:val="24"/>
                    </w:rPr>
                    <w:t>1.关键节点未提前开展排查保障工作，每次扣4分；2.排查不全面、遗留安全隐患，每处扣2分；3.保障期间服务响应不及时、履职缺位，每次扣3分；本项分值扣完为止。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3C6E30E">
                  <w:pPr>
                    <w:pStyle w:val="4"/>
                    <w:spacing w:before="120" w:after="120"/>
                    <w:jc w:val="both"/>
                  </w:pPr>
                </w:p>
              </w:tc>
            </w:tr>
            <w:tr w14:paraId="4B913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93A2A3B">
                  <w:pPr>
                    <w:pStyle w:val="4"/>
                    <w:jc w:val="both"/>
                  </w:pPr>
                  <w:r>
                    <w:rPr>
                      <w:rFonts w:ascii="仿宋_GB2312" w:hAnsi="仿宋_GB2312" w:eastAsia="仿宋_GB2312" w:cs="仿宋_GB2312"/>
                      <w:sz w:val="24"/>
                    </w:rPr>
                    <w:t>8</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B9BC148">
                  <w:pPr>
                    <w:pStyle w:val="4"/>
                    <w:spacing w:before="120" w:after="120"/>
                    <w:jc w:val="both"/>
                  </w:pPr>
                  <w:r>
                    <w:rPr>
                      <w:rFonts w:ascii="仿宋_GB2312" w:hAnsi="仿宋_GB2312" w:eastAsia="仿宋_GB2312" w:cs="仿宋_GB2312"/>
                      <w:sz w:val="24"/>
                    </w:rPr>
                    <w:t>突发事件应急响应服务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6D3768A">
                  <w:pPr>
                    <w:pStyle w:val="4"/>
                    <w:spacing w:before="120" w:after="120"/>
                    <w:jc w:val="both"/>
                  </w:pPr>
                  <w:r>
                    <w:rPr>
                      <w:rFonts w:ascii="仿宋_GB2312" w:hAnsi="仿宋_GB2312" w:eastAsia="仿宋_GB2312" w:cs="仿宋_GB2312"/>
                      <w:sz w:val="24"/>
                    </w:rPr>
                    <w:t>8</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E090FC8">
                  <w:pPr>
                    <w:pStyle w:val="4"/>
                    <w:spacing w:before="120" w:after="120"/>
                    <w:jc w:val="both"/>
                  </w:pPr>
                  <w:r>
                    <w:rPr>
                      <w:rFonts w:ascii="仿宋_GB2312" w:hAnsi="仿宋_GB2312" w:eastAsia="仿宋_GB2312" w:cs="仿宋_GB2312"/>
                      <w:sz w:val="24"/>
                    </w:rPr>
                    <w:t>突发事件、安全事故、自然灾害发生时，快速启动响应，提供远程/现场技术支撑、数据保障，协助现场秩序维护、隐患二次排查等应急辅助工作。</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46E1084">
                  <w:pPr>
                    <w:pStyle w:val="4"/>
                    <w:spacing w:before="120" w:after="120"/>
                    <w:jc w:val="both"/>
                  </w:pPr>
                  <w:r>
                    <w:rPr>
                      <w:rFonts w:ascii="仿宋_GB2312" w:hAnsi="仿宋_GB2312" w:eastAsia="仿宋_GB2312" w:cs="仿宋_GB2312"/>
                      <w:sz w:val="24"/>
                    </w:rPr>
                    <w:t>1.突发事件响应迟缓、未及时配合处置，每次扣4分；2.应急数据支撑缺失、数据有误，每次扣2分；3.现场协助处置不到位、未按要求开展二次排查，每起扣3分；本项分值扣完为止。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BD86B7F">
                  <w:pPr>
                    <w:pStyle w:val="4"/>
                    <w:spacing w:before="120" w:after="120"/>
                    <w:jc w:val="both"/>
                  </w:pPr>
                </w:p>
              </w:tc>
            </w:tr>
            <w:tr w14:paraId="27CE8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AEC6BEF">
                  <w:pPr>
                    <w:pStyle w:val="4"/>
                    <w:jc w:val="both"/>
                  </w:pPr>
                  <w:r>
                    <w:rPr>
                      <w:rFonts w:ascii="仿宋_GB2312" w:hAnsi="仿宋_GB2312" w:eastAsia="仿宋_GB2312" w:cs="仿宋_GB2312"/>
                      <w:sz w:val="24"/>
                    </w:rPr>
                    <w:t>9</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6DFD7CD">
                  <w:pPr>
                    <w:pStyle w:val="4"/>
                    <w:spacing w:before="120" w:after="120"/>
                    <w:jc w:val="both"/>
                  </w:pPr>
                  <w:r>
                    <w:rPr>
                      <w:rFonts w:ascii="仿宋_GB2312" w:hAnsi="仿宋_GB2312" w:eastAsia="仿宋_GB2312" w:cs="仿宋_GB2312"/>
                      <w:sz w:val="24"/>
                    </w:rPr>
                    <w:t>信息化、宣传培训及综合技术服务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C9EC113">
                  <w:pPr>
                    <w:pStyle w:val="4"/>
                    <w:spacing w:before="120" w:after="120"/>
                    <w:jc w:val="both"/>
                  </w:pPr>
                  <w:r>
                    <w:rPr>
                      <w:rFonts w:ascii="仿宋_GB2312" w:hAnsi="仿宋_GB2312" w:eastAsia="仿宋_GB2312" w:cs="仿宋_GB2312"/>
                      <w:sz w:val="24"/>
                    </w:rPr>
                    <w:t>6</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3CE6C0B">
                  <w:pPr>
                    <w:pStyle w:val="4"/>
                    <w:spacing w:before="120" w:after="120"/>
                    <w:jc w:val="both"/>
                  </w:pPr>
                  <w:r>
                    <w:rPr>
                      <w:rFonts w:ascii="仿宋_GB2312" w:hAnsi="仿宋_GB2312" w:eastAsia="仿宋_GB2312" w:cs="仿宋_GB2312"/>
                      <w:sz w:val="24"/>
                    </w:rPr>
                    <w:t>协助推进安全信息化建设，开展安全宣传、政策咨询、安全教育培训等工作，全面助力提升区域安全监管水平。</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41B570E">
                  <w:pPr>
                    <w:pStyle w:val="4"/>
                    <w:spacing w:before="120" w:after="120"/>
                    <w:jc w:val="both"/>
                  </w:pPr>
                  <w:r>
                    <w:rPr>
                      <w:rFonts w:ascii="仿宋_GB2312" w:hAnsi="仿宋_GB2312" w:eastAsia="仿宋_GB2312" w:cs="仿宋_GB2312"/>
                      <w:sz w:val="24"/>
                    </w:rPr>
                    <w:t>1.宣传、培训工作未按要求配合开展，每次扣2分；2.信息化辅助工作推进滞后、配合不力，每次扣2分；3.咨询服务不专业、答复有误，每次扣1分；本项分值扣完为止。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5D66731">
                  <w:pPr>
                    <w:pStyle w:val="4"/>
                    <w:spacing w:before="120" w:after="120"/>
                    <w:jc w:val="both"/>
                  </w:pPr>
                </w:p>
              </w:tc>
            </w:tr>
            <w:tr w14:paraId="27157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DB44E0E">
                  <w:pPr>
                    <w:pStyle w:val="4"/>
                    <w:jc w:val="both"/>
                  </w:pPr>
                  <w:r>
                    <w:rPr>
                      <w:rFonts w:ascii="仿宋_GB2312" w:hAnsi="仿宋_GB2312" w:eastAsia="仿宋_GB2312" w:cs="仿宋_GB2312"/>
                      <w:sz w:val="24"/>
                    </w:rPr>
                    <w:t>10</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97E9892">
                  <w:pPr>
                    <w:pStyle w:val="4"/>
                    <w:spacing w:before="120" w:after="120"/>
                    <w:jc w:val="both"/>
                  </w:pPr>
                  <w:r>
                    <w:rPr>
                      <w:rFonts w:ascii="仿宋_GB2312" w:hAnsi="仿宋_GB2312" w:eastAsia="仿宋_GB2312" w:cs="仿宋_GB2312"/>
                      <w:sz w:val="24"/>
                    </w:rPr>
                    <w:t>安全举报投诉处置服务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8400CED">
                  <w:pPr>
                    <w:pStyle w:val="4"/>
                    <w:spacing w:before="120" w:after="120"/>
                    <w:jc w:val="both"/>
                  </w:pPr>
                  <w:r>
                    <w:rPr>
                      <w:rFonts w:ascii="仿宋_GB2312" w:hAnsi="仿宋_GB2312" w:eastAsia="仿宋_GB2312" w:cs="仿宋_GB2312"/>
                      <w:sz w:val="24"/>
                    </w:rPr>
                    <w:t>4</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789F0A7">
                  <w:pPr>
                    <w:pStyle w:val="4"/>
                    <w:spacing w:before="120" w:after="120"/>
                    <w:jc w:val="both"/>
                  </w:pPr>
                  <w:r>
                    <w:rPr>
                      <w:rFonts w:ascii="仿宋_GB2312" w:hAnsi="仿宋_GB2312" w:eastAsia="仿宋_GB2312" w:cs="仿宋_GB2312"/>
                      <w:sz w:val="24"/>
                    </w:rPr>
                    <w:t>协助对接投诉人、整理举报投诉资料、收集留存证据，规范协助处置各类安全生产举报投诉事项。</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DD8C60A">
                  <w:pPr>
                    <w:pStyle w:val="4"/>
                    <w:spacing w:before="120" w:after="120"/>
                    <w:jc w:val="both"/>
                  </w:pPr>
                  <w:r>
                    <w:rPr>
                      <w:rFonts w:ascii="仿宋_GB2312" w:hAnsi="仿宋_GB2312" w:eastAsia="仿宋_GB2312" w:cs="仿宋_GB2312"/>
                      <w:sz w:val="24"/>
                    </w:rPr>
                    <w:t>1.举报投诉对接不及时、沟通不当引发问题，每次扣2分；2.资料、证据整理缺失、不规范，每次扣2分；本项分值扣完为止。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60DCD1D">
                  <w:pPr>
                    <w:pStyle w:val="4"/>
                    <w:spacing w:before="120" w:after="120"/>
                    <w:jc w:val="both"/>
                  </w:pPr>
                </w:p>
              </w:tc>
            </w:tr>
            <w:tr w14:paraId="76FA0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D74631A">
                  <w:pPr>
                    <w:pStyle w:val="4"/>
                    <w:jc w:val="both"/>
                  </w:pPr>
                  <w:r>
                    <w:rPr>
                      <w:rFonts w:ascii="仿宋_GB2312" w:hAnsi="仿宋_GB2312" w:eastAsia="仿宋_GB2312" w:cs="仿宋_GB2312"/>
                      <w:sz w:val="24"/>
                    </w:rPr>
                    <w:t>11</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0C35D33">
                  <w:pPr>
                    <w:pStyle w:val="4"/>
                    <w:spacing w:before="120" w:after="120"/>
                    <w:jc w:val="both"/>
                  </w:pPr>
                  <w:r>
                    <w:rPr>
                      <w:rFonts w:ascii="仿宋_GB2312" w:hAnsi="仿宋_GB2312" w:eastAsia="仿宋_GB2312" w:cs="仿宋_GB2312"/>
                      <w:sz w:val="24"/>
                    </w:rPr>
                    <w:t>“互联网+执法”系统运维服务</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8668424">
                  <w:pPr>
                    <w:pStyle w:val="4"/>
                    <w:spacing w:before="120" w:after="120"/>
                    <w:jc w:val="both"/>
                  </w:pPr>
                  <w:r>
                    <w:rPr>
                      <w:rFonts w:ascii="仿宋_GB2312" w:hAnsi="仿宋_GB2312" w:eastAsia="仿宋_GB2312" w:cs="仿宋_GB2312"/>
                      <w:sz w:val="24"/>
                    </w:rPr>
                    <w:t>6</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6DC2D2AD">
                  <w:pPr>
                    <w:pStyle w:val="4"/>
                    <w:spacing w:before="120" w:after="120"/>
                    <w:jc w:val="both"/>
                  </w:pPr>
                  <w:r>
                    <w:rPr>
                      <w:rFonts w:ascii="仿宋_GB2312" w:hAnsi="仿宋_GB2312" w:eastAsia="仿宋_GB2312" w:cs="仿宋_GB2312"/>
                      <w:sz w:val="24"/>
                    </w:rPr>
                    <w:t>按四川省考评标准，完成系统数据录入、整理、更新，确保各项量化考评指标达标，数据真实、准确、完整。</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54A661EB">
                  <w:pPr>
                    <w:pStyle w:val="4"/>
                    <w:spacing w:before="120" w:after="120"/>
                    <w:jc w:val="both"/>
                  </w:pPr>
                  <w:r>
                    <w:rPr>
                      <w:rFonts w:ascii="仿宋_GB2312" w:hAnsi="仿宋_GB2312" w:eastAsia="仿宋_GB2312" w:cs="仿宋_GB2312"/>
                      <w:sz w:val="24"/>
                    </w:rPr>
                    <w:t>1.系统数据录入滞后、更新不及时，每次扣2分；2.数据错误、缺失，导致考评指标不达标，每处扣3分；本项分值扣完为止。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7CBD936">
                  <w:pPr>
                    <w:pStyle w:val="4"/>
                    <w:spacing w:before="120" w:after="120"/>
                    <w:jc w:val="both"/>
                  </w:pPr>
                </w:p>
              </w:tc>
            </w:tr>
            <w:tr w14:paraId="7D243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1E5B22C9">
                  <w:pPr>
                    <w:pStyle w:val="4"/>
                    <w:jc w:val="both"/>
                  </w:pPr>
                  <w:r>
                    <w:rPr>
                      <w:rFonts w:ascii="仿宋_GB2312" w:hAnsi="仿宋_GB2312" w:eastAsia="仿宋_GB2312" w:cs="仿宋_GB2312"/>
                      <w:sz w:val="24"/>
                    </w:rPr>
                    <w:t>12</w:t>
                  </w:r>
                </w:p>
              </w:tc>
              <w:tc>
                <w:tcPr>
                  <w:tcW w:w="638"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B99820F">
                  <w:pPr>
                    <w:pStyle w:val="4"/>
                    <w:spacing w:before="120" w:after="120"/>
                    <w:jc w:val="both"/>
                  </w:pPr>
                  <w:r>
                    <w:rPr>
                      <w:rFonts w:ascii="仿宋_GB2312" w:hAnsi="仿宋_GB2312" w:eastAsia="仿宋_GB2312" w:cs="仿宋_GB2312"/>
                      <w:sz w:val="24"/>
                    </w:rPr>
                    <w:t>综合数据报送、档案整理及临时工作</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927524C">
                  <w:pPr>
                    <w:pStyle w:val="4"/>
                    <w:spacing w:before="120" w:after="120"/>
                    <w:jc w:val="both"/>
                  </w:pPr>
                  <w:r>
                    <w:rPr>
                      <w:rFonts w:ascii="仿宋_GB2312" w:hAnsi="仿宋_GB2312" w:eastAsia="仿宋_GB2312" w:cs="仿宋_GB2312"/>
                      <w:sz w:val="24"/>
                    </w:rPr>
                    <w:t>6</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38F2424A">
                  <w:pPr>
                    <w:pStyle w:val="4"/>
                    <w:spacing w:before="120" w:after="120"/>
                    <w:jc w:val="both"/>
                  </w:pPr>
                  <w:r>
                    <w:rPr>
                      <w:rFonts w:ascii="仿宋_GB2312" w:hAnsi="仿宋_GB2312" w:eastAsia="仿宋_GB2312" w:cs="仿宋_GB2312"/>
                      <w:sz w:val="24"/>
                    </w:rPr>
                    <w:t>按时完成执法信息收集、数据报送、档案规范化整理，高效完成采购人交办的各类安全生产临时性辅助工作。</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1904531">
                  <w:pPr>
                    <w:pStyle w:val="4"/>
                    <w:spacing w:before="120" w:after="120"/>
                    <w:jc w:val="both"/>
                  </w:pPr>
                  <w:r>
                    <w:rPr>
                      <w:rFonts w:ascii="仿宋_GB2312" w:hAnsi="仿宋_GB2312" w:eastAsia="仿宋_GB2312" w:cs="仿宋_GB2312"/>
                      <w:sz w:val="24"/>
                    </w:rPr>
                    <w:t>1.数据、信息报送延迟、错报漏报，每次扣2分；2.档案整理不规范，每次扣1分；3.拒不配合、拖延完成临时工作，每次扣3分；本项分值扣完为止。</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1C64DA2">
                  <w:pPr>
                    <w:pStyle w:val="4"/>
                    <w:spacing w:before="120" w:after="120"/>
                    <w:jc w:val="both"/>
                  </w:pPr>
                </w:p>
              </w:tc>
            </w:tr>
            <w:tr w14:paraId="48519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0" w:type="dxa"/>
                  <w:gridSpan w:val="2"/>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662E511">
                  <w:pPr>
                    <w:pStyle w:val="4"/>
                    <w:jc w:val="both"/>
                  </w:pPr>
                  <w:r>
                    <w:rPr>
                      <w:rFonts w:ascii="仿宋_GB2312" w:hAnsi="仿宋_GB2312" w:eastAsia="仿宋_GB2312" w:cs="仿宋_GB2312"/>
                      <w:sz w:val="24"/>
                    </w:rPr>
                    <w:t>合计总分</w:t>
                  </w:r>
                </w:p>
              </w:tc>
              <w:tc>
                <w:tcPr>
                  <w:tcW w:w="39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2295EB1A">
                  <w:pPr>
                    <w:pStyle w:val="4"/>
                    <w:spacing w:before="120" w:after="120"/>
                    <w:jc w:val="both"/>
                  </w:pPr>
                  <w:r>
                    <w:rPr>
                      <w:rFonts w:ascii="仿宋_GB2312" w:hAnsi="仿宋_GB2312" w:eastAsia="仿宋_GB2312" w:cs="仿宋_GB2312"/>
                      <w:sz w:val="24"/>
                    </w:rPr>
                    <w:t>100</w:t>
                  </w:r>
                </w:p>
              </w:tc>
              <w:tc>
                <w:tcPr>
                  <w:tcW w:w="1540"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07C50B17">
                  <w:pPr>
                    <w:pStyle w:val="4"/>
                    <w:spacing w:before="120" w:after="120"/>
                    <w:jc w:val="both"/>
                  </w:pPr>
                  <w:r>
                    <w:rPr>
                      <w:rFonts w:ascii="仿宋_GB2312" w:hAnsi="仿宋_GB2312" w:eastAsia="仿宋_GB2312" w:cs="仿宋_GB2312"/>
                      <w:sz w:val="24"/>
                    </w:rPr>
                    <w:t>——</w:t>
                  </w:r>
                </w:p>
              </w:tc>
              <w:tc>
                <w:tcPr>
                  <w:tcW w:w="2101"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4572504A">
                  <w:pPr>
                    <w:pStyle w:val="4"/>
                    <w:spacing w:before="120" w:after="120"/>
                    <w:jc w:val="both"/>
                  </w:pPr>
                  <w:r>
                    <w:rPr>
                      <w:rFonts w:ascii="仿宋_GB2312" w:hAnsi="仿宋_GB2312" w:eastAsia="仿宋_GB2312" w:cs="仿宋_GB2312"/>
                      <w:sz w:val="24"/>
                    </w:rPr>
                    <w:t>——</w:t>
                  </w:r>
                </w:p>
              </w:tc>
              <w:tc>
                <w:tcPr>
                  <w:tcW w:w="655" w:type="dxa"/>
                  <w:tcBorders>
                    <w:top w:val="nil"/>
                    <w:left w:val="single" w:color="000000" w:sz="4" w:space="0"/>
                    <w:bottom w:val="single" w:color="000000" w:sz="4" w:space="0"/>
                    <w:right w:val="single" w:color="000000" w:sz="4" w:space="0"/>
                  </w:tcBorders>
                  <w:tcMar>
                    <w:top w:w="60" w:type="dxa"/>
                    <w:left w:w="120" w:type="dxa"/>
                    <w:bottom w:w="30" w:type="dxa"/>
                    <w:right w:w="120" w:type="dxa"/>
                  </w:tcMar>
                  <w:vAlign w:val="top"/>
                </w:tcPr>
                <w:p w14:paraId="7899E275">
                  <w:pPr>
                    <w:pStyle w:val="4"/>
                    <w:spacing w:before="120" w:after="120"/>
                    <w:jc w:val="both"/>
                  </w:pPr>
                </w:p>
              </w:tc>
            </w:tr>
          </w:tbl>
          <w:p w14:paraId="2DCF7933"/>
        </w:tc>
      </w:tr>
    </w:tbl>
    <w:p w14:paraId="3D6E1442">
      <w:pPr>
        <w:pStyle w:val="4"/>
        <w:jc w:val="left"/>
        <w:outlineLvl w:val="2"/>
      </w:pPr>
      <w:r>
        <w:rPr>
          <w:rFonts w:ascii="仿宋_GB2312" w:hAnsi="仿宋_GB2312" w:eastAsia="仿宋_GB2312" w:cs="仿宋_GB2312"/>
          <w:b/>
          <w:sz w:val="28"/>
        </w:rPr>
        <w:t>3.3.服务要求</w:t>
      </w:r>
    </w:p>
    <w:p w14:paraId="08C12803">
      <w:pPr>
        <w:pStyle w:val="4"/>
        <w:jc w:val="left"/>
        <w:outlineLvl w:val="3"/>
      </w:pPr>
      <w:r>
        <w:rPr>
          <w:rFonts w:ascii="仿宋_GB2312" w:hAnsi="仿宋_GB2312" w:eastAsia="仿宋_GB2312" w:cs="仿宋_GB2312"/>
          <w:b/>
          <w:sz w:val="24"/>
        </w:rPr>
        <w:t>3.3.1服务内容要求</w:t>
      </w:r>
    </w:p>
    <w:p w14:paraId="7410DB4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D93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CCB2EC">
            <w:pPr>
              <w:pStyle w:val="4"/>
              <w:jc w:val="center"/>
            </w:pPr>
            <w:r>
              <w:rPr>
                <w:rFonts w:ascii="仿宋_GB2312" w:hAnsi="仿宋_GB2312" w:eastAsia="仿宋_GB2312" w:cs="仿宋_GB2312"/>
              </w:rPr>
              <w:t xml:space="preserve"> 序号</w:t>
            </w:r>
          </w:p>
        </w:tc>
        <w:tc>
          <w:tcPr>
            <w:tcW w:w="581" w:type="dxa"/>
          </w:tcPr>
          <w:p w14:paraId="62167449">
            <w:pPr>
              <w:pStyle w:val="4"/>
              <w:jc w:val="center"/>
            </w:pPr>
            <w:r>
              <w:rPr>
                <w:rFonts w:ascii="仿宋_GB2312" w:hAnsi="仿宋_GB2312" w:eastAsia="仿宋_GB2312" w:cs="仿宋_GB2312"/>
              </w:rPr>
              <w:t xml:space="preserve"> 符号标识</w:t>
            </w:r>
          </w:p>
        </w:tc>
        <w:tc>
          <w:tcPr>
            <w:tcW w:w="1495" w:type="dxa"/>
          </w:tcPr>
          <w:p w14:paraId="153009FD">
            <w:pPr>
              <w:pStyle w:val="4"/>
              <w:jc w:val="center"/>
            </w:pPr>
            <w:r>
              <w:rPr>
                <w:rFonts w:ascii="仿宋_GB2312" w:hAnsi="仿宋_GB2312" w:eastAsia="仿宋_GB2312" w:cs="仿宋_GB2312"/>
              </w:rPr>
              <w:t xml:space="preserve"> 服务要求名称</w:t>
            </w:r>
          </w:p>
        </w:tc>
        <w:tc>
          <w:tcPr>
            <w:tcW w:w="5814" w:type="dxa"/>
          </w:tcPr>
          <w:p w14:paraId="4EB9B9ED">
            <w:pPr>
              <w:pStyle w:val="4"/>
              <w:jc w:val="center"/>
            </w:pPr>
            <w:r>
              <w:rPr>
                <w:rFonts w:ascii="仿宋_GB2312" w:hAnsi="仿宋_GB2312" w:eastAsia="仿宋_GB2312" w:cs="仿宋_GB2312"/>
              </w:rPr>
              <w:t xml:space="preserve"> 服务要求内容</w:t>
            </w:r>
          </w:p>
        </w:tc>
      </w:tr>
      <w:tr w14:paraId="4E18D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651187">
            <w:pPr>
              <w:pStyle w:val="4"/>
              <w:jc w:val="center"/>
            </w:pPr>
            <w:r>
              <w:rPr>
                <w:rFonts w:ascii="仿宋_GB2312" w:hAnsi="仿宋_GB2312" w:eastAsia="仿宋_GB2312" w:cs="仿宋_GB2312"/>
              </w:rPr>
              <w:t>1</w:t>
            </w:r>
          </w:p>
        </w:tc>
        <w:tc>
          <w:tcPr>
            <w:tcW w:w="581" w:type="dxa"/>
          </w:tcPr>
          <w:p w14:paraId="7D04E6F8"/>
        </w:tc>
        <w:tc>
          <w:tcPr>
            <w:tcW w:w="1495" w:type="dxa"/>
          </w:tcPr>
          <w:p w14:paraId="540C1BE6">
            <w:pPr>
              <w:pStyle w:val="4"/>
              <w:jc w:val="left"/>
            </w:pPr>
            <w:r>
              <w:rPr>
                <w:rFonts w:ascii="仿宋_GB2312" w:hAnsi="仿宋_GB2312" w:eastAsia="仿宋_GB2312" w:cs="仿宋_GB2312"/>
              </w:rPr>
              <w:t>其他服务要求</w:t>
            </w:r>
          </w:p>
        </w:tc>
        <w:tc>
          <w:tcPr>
            <w:tcW w:w="5814" w:type="dxa"/>
          </w:tcPr>
          <w:p w14:paraId="6F47B8A5">
            <w:pPr>
              <w:pStyle w:val="4"/>
              <w:jc w:val="left"/>
            </w:pPr>
            <w:r>
              <w:rPr>
                <w:rFonts w:ascii="仿宋_GB2312" w:hAnsi="仿宋_GB2312" w:eastAsia="仿宋_GB2312" w:cs="仿宋_GB2312"/>
                <w:color w:val="000000"/>
                <w:sz w:val="19"/>
              </w:rPr>
              <w:t>1、供应商提供项目实施方案，⽅案包括：①项目总体概况与现状分析、②实施本项目的管理制度、③隐患排查整改方案、④计划安排及进度保障措施、⑤服务质量保障措施、⑥安全保障措施、⑦服务过程中的保密保障措施。2、供应商提供管理团队配置方案，⽅案包括：①人员结构、②职责分工、③管理协同、④支持服务。3、供应商为本项目配备相关人员、设施设备及具有相关业绩。4、若评审得分、最后报价、技术指标得分均相同的，成交候选供应商并列的情况下，优 先推荐成交供应商为少数⺠族地区的为第⼀成交候选供应商。5、在项⽬采购阶段或项⽬执⾏阶段，如有新的标准 、规范，按照最新的标准、规范执⾏。</w:t>
            </w:r>
          </w:p>
        </w:tc>
      </w:tr>
    </w:tbl>
    <w:p w14:paraId="1A3E52F6">
      <w:pPr>
        <w:pStyle w:val="4"/>
        <w:jc w:val="left"/>
        <w:outlineLvl w:val="3"/>
      </w:pPr>
      <w:r>
        <w:rPr>
          <w:rFonts w:ascii="仿宋_GB2312" w:hAnsi="仿宋_GB2312" w:eastAsia="仿宋_GB2312" w:cs="仿宋_GB2312"/>
          <w:b/>
          <w:sz w:val="24"/>
        </w:rPr>
        <w:t>3.3.2.商务要求</w:t>
      </w:r>
    </w:p>
    <w:p w14:paraId="1A997AE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164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C0A4E6">
            <w:pPr>
              <w:pStyle w:val="4"/>
              <w:jc w:val="center"/>
            </w:pPr>
            <w:r>
              <w:rPr>
                <w:rFonts w:ascii="仿宋_GB2312" w:hAnsi="仿宋_GB2312" w:eastAsia="仿宋_GB2312" w:cs="仿宋_GB2312"/>
              </w:rPr>
              <w:t>序号</w:t>
            </w:r>
          </w:p>
        </w:tc>
        <w:tc>
          <w:tcPr>
            <w:tcW w:w="581" w:type="dxa"/>
          </w:tcPr>
          <w:p w14:paraId="17F9A0CD">
            <w:pPr>
              <w:pStyle w:val="4"/>
              <w:jc w:val="center"/>
            </w:pPr>
            <w:r>
              <w:rPr>
                <w:rFonts w:ascii="仿宋_GB2312" w:hAnsi="仿宋_GB2312" w:eastAsia="仿宋_GB2312" w:cs="仿宋_GB2312"/>
              </w:rPr>
              <w:t>符号标识</w:t>
            </w:r>
          </w:p>
        </w:tc>
        <w:tc>
          <w:tcPr>
            <w:tcW w:w="1495" w:type="dxa"/>
          </w:tcPr>
          <w:p w14:paraId="5E1EFAC1">
            <w:pPr>
              <w:pStyle w:val="4"/>
              <w:jc w:val="center"/>
            </w:pPr>
            <w:r>
              <w:rPr>
                <w:rFonts w:ascii="仿宋_GB2312" w:hAnsi="仿宋_GB2312" w:eastAsia="仿宋_GB2312" w:cs="仿宋_GB2312"/>
              </w:rPr>
              <w:t>商务要求名称</w:t>
            </w:r>
          </w:p>
        </w:tc>
        <w:tc>
          <w:tcPr>
            <w:tcW w:w="5814" w:type="dxa"/>
          </w:tcPr>
          <w:p w14:paraId="62857B0A">
            <w:pPr>
              <w:pStyle w:val="4"/>
              <w:jc w:val="center"/>
            </w:pPr>
            <w:r>
              <w:rPr>
                <w:rFonts w:ascii="仿宋_GB2312" w:hAnsi="仿宋_GB2312" w:eastAsia="仿宋_GB2312" w:cs="仿宋_GB2312"/>
              </w:rPr>
              <w:t>商务要求内容</w:t>
            </w:r>
          </w:p>
        </w:tc>
      </w:tr>
      <w:tr w14:paraId="3F51B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BCDD0C">
            <w:pPr>
              <w:pStyle w:val="4"/>
              <w:jc w:val="center"/>
            </w:pPr>
            <w:r>
              <w:rPr>
                <w:rFonts w:ascii="仿宋_GB2312" w:hAnsi="仿宋_GB2312" w:eastAsia="仿宋_GB2312" w:cs="仿宋_GB2312"/>
              </w:rPr>
              <w:t>1</w:t>
            </w:r>
          </w:p>
        </w:tc>
        <w:tc>
          <w:tcPr>
            <w:tcW w:w="581" w:type="dxa"/>
          </w:tcPr>
          <w:p w14:paraId="3E497532">
            <w:pPr>
              <w:pStyle w:val="4"/>
              <w:jc w:val="center"/>
            </w:pPr>
            <w:r>
              <w:rPr>
                <w:rFonts w:ascii="仿宋_GB2312" w:hAnsi="仿宋_GB2312" w:eastAsia="仿宋_GB2312" w:cs="仿宋_GB2312"/>
              </w:rPr>
              <w:t>★</w:t>
            </w:r>
          </w:p>
        </w:tc>
        <w:tc>
          <w:tcPr>
            <w:tcW w:w="1495" w:type="dxa"/>
          </w:tcPr>
          <w:p w14:paraId="76450B6D">
            <w:pPr>
              <w:pStyle w:val="4"/>
              <w:jc w:val="left"/>
            </w:pPr>
            <w:r>
              <w:rPr>
                <w:rFonts w:ascii="仿宋_GB2312" w:hAnsi="仿宋_GB2312" w:eastAsia="仿宋_GB2312" w:cs="仿宋_GB2312"/>
              </w:rPr>
              <w:t>服务期限</w:t>
            </w:r>
          </w:p>
        </w:tc>
        <w:tc>
          <w:tcPr>
            <w:tcW w:w="5814" w:type="dxa"/>
          </w:tcPr>
          <w:p w14:paraId="50BA6482">
            <w:pPr>
              <w:pStyle w:val="4"/>
              <w:jc w:val="left"/>
            </w:pPr>
            <w:r>
              <w:rPr>
                <w:rFonts w:ascii="仿宋_GB2312" w:hAnsi="仿宋_GB2312" w:eastAsia="仿宋_GB2312" w:cs="仿宋_GB2312"/>
              </w:rPr>
              <w:t>合同签订之日365天</w:t>
            </w:r>
          </w:p>
        </w:tc>
      </w:tr>
      <w:tr w14:paraId="12379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5BB39F">
            <w:pPr>
              <w:pStyle w:val="4"/>
              <w:jc w:val="center"/>
            </w:pPr>
            <w:r>
              <w:rPr>
                <w:rFonts w:ascii="仿宋_GB2312" w:hAnsi="仿宋_GB2312" w:eastAsia="仿宋_GB2312" w:cs="仿宋_GB2312"/>
              </w:rPr>
              <w:t>2</w:t>
            </w:r>
          </w:p>
        </w:tc>
        <w:tc>
          <w:tcPr>
            <w:tcW w:w="581" w:type="dxa"/>
          </w:tcPr>
          <w:p w14:paraId="2154202A">
            <w:pPr>
              <w:pStyle w:val="4"/>
              <w:jc w:val="center"/>
            </w:pPr>
            <w:r>
              <w:rPr>
                <w:rFonts w:ascii="仿宋_GB2312" w:hAnsi="仿宋_GB2312" w:eastAsia="仿宋_GB2312" w:cs="仿宋_GB2312"/>
              </w:rPr>
              <w:t>★</w:t>
            </w:r>
          </w:p>
        </w:tc>
        <w:tc>
          <w:tcPr>
            <w:tcW w:w="1495" w:type="dxa"/>
          </w:tcPr>
          <w:p w14:paraId="3A745600">
            <w:pPr>
              <w:pStyle w:val="4"/>
              <w:jc w:val="left"/>
            </w:pPr>
            <w:r>
              <w:rPr>
                <w:rFonts w:ascii="仿宋_GB2312" w:hAnsi="仿宋_GB2312" w:eastAsia="仿宋_GB2312" w:cs="仿宋_GB2312"/>
              </w:rPr>
              <w:t>服务地点</w:t>
            </w:r>
          </w:p>
        </w:tc>
        <w:tc>
          <w:tcPr>
            <w:tcW w:w="5814" w:type="dxa"/>
          </w:tcPr>
          <w:p w14:paraId="3D63E40B">
            <w:pPr>
              <w:pStyle w:val="4"/>
              <w:jc w:val="left"/>
            </w:pPr>
            <w:r>
              <w:rPr>
                <w:rFonts w:ascii="仿宋_GB2312" w:hAnsi="仿宋_GB2312" w:eastAsia="仿宋_GB2312" w:cs="仿宋_GB2312"/>
              </w:rPr>
              <w:t>甘孜藏族自治州应急管理局，最终以采购人指定地点为准。</w:t>
            </w:r>
          </w:p>
        </w:tc>
      </w:tr>
      <w:tr w14:paraId="64688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3F1579">
            <w:pPr>
              <w:pStyle w:val="4"/>
              <w:jc w:val="center"/>
            </w:pPr>
            <w:r>
              <w:rPr>
                <w:rFonts w:ascii="仿宋_GB2312" w:hAnsi="仿宋_GB2312" w:eastAsia="仿宋_GB2312" w:cs="仿宋_GB2312"/>
              </w:rPr>
              <w:t>3</w:t>
            </w:r>
          </w:p>
        </w:tc>
        <w:tc>
          <w:tcPr>
            <w:tcW w:w="581" w:type="dxa"/>
          </w:tcPr>
          <w:p w14:paraId="2665A681">
            <w:pPr>
              <w:pStyle w:val="4"/>
              <w:jc w:val="center"/>
            </w:pPr>
            <w:r>
              <w:rPr>
                <w:rFonts w:ascii="仿宋_GB2312" w:hAnsi="仿宋_GB2312" w:eastAsia="仿宋_GB2312" w:cs="仿宋_GB2312"/>
              </w:rPr>
              <w:t>★</w:t>
            </w:r>
          </w:p>
        </w:tc>
        <w:tc>
          <w:tcPr>
            <w:tcW w:w="1495" w:type="dxa"/>
          </w:tcPr>
          <w:p w14:paraId="776B112B">
            <w:pPr>
              <w:pStyle w:val="4"/>
              <w:jc w:val="left"/>
            </w:pPr>
            <w:r>
              <w:rPr>
                <w:rFonts w:ascii="仿宋_GB2312" w:hAnsi="仿宋_GB2312" w:eastAsia="仿宋_GB2312" w:cs="仿宋_GB2312"/>
              </w:rPr>
              <w:t>验收、交付标准和方法</w:t>
            </w:r>
          </w:p>
        </w:tc>
        <w:tc>
          <w:tcPr>
            <w:tcW w:w="5814" w:type="dxa"/>
          </w:tcPr>
          <w:p w14:paraId="1E88454F">
            <w:pPr>
              <w:pStyle w:val="4"/>
              <w:jc w:val="left"/>
            </w:pPr>
            <w:r>
              <w:rPr>
                <w:rFonts w:ascii="仿宋_GB2312" w:hAnsi="仿宋_GB2312" w:eastAsia="仿宋_GB2312" w:cs="仿宋_GB2312"/>
              </w:rPr>
              <w:t>按照本项目磋商文件、供应商响应文件、政府采购相关法律法规以及《财政部关于进一步加强政府采购需求和履约验收管理的指导意见》(财库〔2016〕205号)的要求进行验收。若验收不合格，成交供应商须根据验收要求及时整改，由此造成的一切损失由成交供应商一方负责。</w:t>
            </w:r>
          </w:p>
        </w:tc>
      </w:tr>
      <w:tr w14:paraId="7FD9E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E2CB10">
            <w:pPr>
              <w:pStyle w:val="4"/>
              <w:jc w:val="center"/>
            </w:pPr>
            <w:r>
              <w:rPr>
                <w:rFonts w:ascii="仿宋_GB2312" w:hAnsi="仿宋_GB2312" w:eastAsia="仿宋_GB2312" w:cs="仿宋_GB2312"/>
              </w:rPr>
              <w:t>4</w:t>
            </w:r>
          </w:p>
        </w:tc>
        <w:tc>
          <w:tcPr>
            <w:tcW w:w="581" w:type="dxa"/>
          </w:tcPr>
          <w:p w14:paraId="782CFBA6">
            <w:pPr>
              <w:pStyle w:val="4"/>
              <w:jc w:val="center"/>
            </w:pPr>
            <w:r>
              <w:rPr>
                <w:rFonts w:ascii="仿宋_GB2312" w:hAnsi="仿宋_GB2312" w:eastAsia="仿宋_GB2312" w:cs="仿宋_GB2312"/>
              </w:rPr>
              <w:t>★</w:t>
            </w:r>
          </w:p>
        </w:tc>
        <w:tc>
          <w:tcPr>
            <w:tcW w:w="1495" w:type="dxa"/>
          </w:tcPr>
          <w:p w14:paraId="27FE9979">
            <w:pPr>
              <w:pStyle w:val="4"/>
              <w:jc w:val="left"/>
            </w:pPr>
            <w:r>
              <w:rPr>
                <w:rFonts w:ascii="仿宋_GB2312" w:hAnsi="仿宋_GB2312" w:eastAsia="仿宋_GB2312" w:cs="仿宋_GB2312"/>
              </w:rPr>
              <w:t>支付方式</w:t>
            </w:r>
          </w:p>
        </w:tc>
        <w:tc>
          <w:tcPr>
            <w:tcW w:w="5814" w:type="dxa"/>
          </w:tcPr>
          <w:p w14:paraId="4EE9C3BE">
            <w:pPr>
              <w:pStyle w:val="4"/>
              <w:jc w:val="left"/>
            </w:pPr>
            <w:r>
              <w:rPr>
                <w:rFonts w:ascii="仿宋_GB2312" w:hAnsi="仿宋_GB2312" w:eastAsia="仿宋_GB2312" w:cs="仿宋_GB2312"/>
              </w:rPr>
              <w:t>分期付款</w:t>
            </w:r>
          </w:p>
        </w:tc>
      </w:tr>
      <w:tr w14:paraId="6002B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1C8053">
            <w:pPr>
              <w:pStyle w:val="4"/>
              <w:jc w:val="center"/>
            </w:pPr>
            <w:r>
              <w:rPr>
                <w:rFonts w:ascii="仿宋_GB2312" w:hAnsi="仿宋_GB2312" w:eastAsia="仿宋_GB2312" w:cs="仿宋_GB2312"/>
              </w:rPr>
              <w:t>5</w:t>
            </w:r>
          </w:p>
        </w:tc>
        <w:tc>
          <w:tcPr>
            <w:tcW w:w="581" w:type="dxa"/>
          </w:tcPr>
          <w:p w14:paraId="398F887C">
            <w:pPr>
              <w:pStyle w:val="4"/>
              <w:jc w:val="center"/>
            </w:pPr>
            <w:r>
              <w:rPr>
                <w:rFonts w:ascii="仿宋_GB2312" w:hAnsi="仿宋_GB2312" w:eastAsia="仿宋_GB2312" w:cs="仿宋_GB2312"/>
              </w:rPr>
              <w:t>★</w:t>
            </w:r>
          </w:p>
        </w:tc>
        <w:tc>
          <w:tcPr>
            <w:tcW w:w="1495" w:type="dxa"/>
          </w:tcPr>
          <w:p w14:paraId="59D45304">
            <w:pPr>
              <w:pStyle w:val="4"/>
              <w:jc w:val="left"/>
            </w:pPr>
            <w:r>
              <w:rPr>
                <w:rFonts w:ascii="仿宋_GB2312" w:hAnsi="仿宋_GB2312" w:eastAsia="仿宋_GB2312" w:cs="仿宋_GB2312"/>
              </w:rPr>
              <w:t>付款进度安排</w:t>
            </w:r>
          </w:p>
        </w:tc>
        <w:tc>
          <w:tcPr>
            <w:tcW w:w="5814" w:type="dxa"/>
          </w:tcPr>
          <w:p w14:paraId="3A98B8E9">
            <w:pPr>
              <w:pStyle w:val="4"/>
              <w:jc w:val="left"/>
            </w:pPr>
            <w:r>
              <w:rPr>
                <w:rFonts w:ascii="仿宋_GB2312" w:hAnsi="仿宋_GB2312" w:eastAsia="仿宋_GB2312" w:cs="仿宋_GB2312"/>
              </w:rPr>
              <w:t>1、预付款，供应商向采购人提供真实合法有效完整的发票，达到付款条件起15日内，支付合同总金额的40.00%</w:t>
            </w:r>
          </w:p>
          <w:p w14:paraId="791E22CF">
            <w:pPr>
              <w:pStyle w:val="4"/>
              <w:jc w:val="left"/>
            </w:pPr>
            <w:r>
              <w:rPr>
                <w:rFonts w:ascii="仿宋_GB2312" w:hAnsi="仿宋_GB2312" w:eastAsia="仿宋_GB2312" w:cs="仿宋_GB2312"/>
              </w:rPr>
              <w:t>2、进度款，2026年12月15日前，供应商向采购人提供真实合法有效完整的发票，达到付款条件起15日内，支付合同总金额的40.00%</w:t>
            </w:r>
          </w:p>
          <w:p w14:paraId="2787C0F9">
            <w:pPr>
              <w:pStyle w:val="4"/>
              <w:jc w:val="left"/>
            </w:pPr>
            <w:r>
              <w:rPr>
                <w:rFonts w:ascii="仿宋_GB2312" w:hAnsi="仿宋_GB2312" w:eastAsia="仿宋_GB2312" w:cs="仿宋_GB2312"/>
              </w:rPr>
              <w:t>3、尾款，项目完成并验收合格，供应商向采购人提供真实合法有效完整的发票，达到付款条件起15日内，支付合同总金额的20.00%</w:t>
            </w:r>
          </w:p>
        </w:tc>
      </w:tr>
      <w:tr w14:paraId="4AA12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1ED2E5">
            <w:pPr>
              <w:pStyle w:val="4"/>
              <w:jc w:val="center"/>
            </w:pPr>
            <w:r>
              <w:rPr>
                <w:rFonts w:ascii="仿宋_GB2312" w:hAnsi="仿宋_GB2312" w:eastAsia="仿宋_GB2312" w:cs="仿宋_GB2312"/>
              </w:rPr>
              <w:t>6</w:t>
            </w:r>
          </w:p>
        </w:tc>
        <w:tc>
          <w:tcPr>
            <w:tcW w:w="581" w:type="dxa"/>
          </w:tcPr>
          <w:p w14:paraId="68FF6320">
            <w:pPr>
              <w:pStyle w:val="4"/>
              <w:jc w:val="center"/>
            </w:pPr>
            <w:r>
              <w:rPr>
                <w:rFonts w:ascii="仿宋_GB2312" w:hAnsi="仿宋_GB2312" w:eastAsia="仿宋_GB2312" w:cs="仿宋_GB2312"/>
              </w:rPr>
              <w:t>★</w:t>
            </w:r>
          </w:p>
        </w:tc>
        <w:tc>
          <w:tcPr>
            <w:tcW w:w="1495" w:type="dxa"/>
          </w:tcPr>
          <w:p w14:paraId="5204CA58">
            <w:pPr>
              <w:pStyle w:val="4"/>
              <w:jc w:val="left"/>
            </w:pPr>
            <w:r>
              <w:rPr>
                <w:rFonts w:ascii="仿宋_GB2312" w:hAnsi="仿宋_GB2312" w:eastAsia="仿宋_GB2312" w:cs="仿宋_GB2312"/>
              </w:rPr>
              <w:t>违约责任与解决争议的方法</w:t>
            </w:r>
          </w:p>
        </w:tc>
        <w:tc>
          <w:tcPr>
            <w:tcW w:w="5814" w:type="dxa"/>
          </w:tcPr>
          <w:p w14:paraId="22D29C2D">
            <w:pPr>
              <w:pStyle w:val="4"/>
              <w:jc w:val="left"/>
            </w:pPr>
            <w:r>
              <w:rPr>
                <w:rFonts w:ascii="仿宋_GB2312" w:hAnsi="仿宋_GB2312" w:eastAsia="仿宋_GB2312" w:cs="仿宋_GB2312"/>
              </w:rPr>
              <w:t>1、违约责任（此处的“甲方”“乙方”即指“采购人”“供应商”） （1）甲乙双方必须遵守本合同并执行合同中的各项规定，保证本合同的正常履行。 （2）如因乙方工作人员在履行职务过程中的疏忽、失职、过错等故意或者过失原因给甲方造成损失或侵害，包括但不限于甲方本身的财产损失、由此而导致的甲方对任何第三方的法律责任等，乙方对此均应承担全部的赔偿责任。 （3）除另有约定外，乙方提供的服务不符合本合同规定的，每出现一次违约，乙方须向甲方支付合同金额1%的违约金并且按甲方要求进行整改，出现违约3次及以上或未按甲方要求整改的，甲方有权无条件解除本合同并要求乙方根据合同履行情况退还已收取的相应款项及利息。 （4）甲方逾期无正当理由未按照合同约定付款的，则每日按应付而未付款金额的1‰向乙方偿付违约金，但累计支付的违约金不超过应付而未付款金额的1%。若因财政年终决算关账或财政资金未下达等客观原因导致甲方未按合同约定支付相应款项的，不视为甲方违约，甲方不承担任何违约责任。 （5）甲方除有权解除本合同并要求乙方赔偿合同总金额20%的违约金外，甲方可以根据合同履行情况要求乙方退还甲方已支付的相应款项及利息，违约金不足以弥补甲方损失的，乙方及涉事人员还需继续承担相关赔偿等法律责任。 （6）未经双方协商一致，乙方不得单方面变更、中止、解除或终止本合同，否则，乙方应承担合同金额20%的违约金，违约金不足以弥补甲方损失，乙方还应当继续承担给甲方造成的全部损失。 （7）乙方未经甲方书面同意，不得擅自分包、转包，否则甲方有权立即终止合同，并要求乙方停止分包、转包行为，同时有权要求乙方承担合同金额20%的违约金，违约金不足以弥补甲方损失，乙方还应当继续承担给甲方造成的全部损失。 （8）合同签订后，若发现乙方在本项目中存在以虚假材料谋取中标或成交等违反政府采购法律法规的行为，甲方有权无条件解除本合同并根据合同履行情况要求乙方退还已收取的费用及利息，并追究乙方虚假应标的全部法律责任。（9）乙方违反本合同约定的，应当按照本合同约定支付违约金，并赔偿由此给甲方造成的全部损失，包括且不限于甲方因诉讼产生的律师费、诉讼费用、保全保险费、鉴定费、差旅费等费用。 （10）以上所称“利息”按照中国人民银行授权全国银行间同业拆借中心公布的同期贷款市场报价利率（LPR）为标准，从甲方支付之日起计算。 2、争议解决办法： 在执行本合同的过程中发生的或与本合同有关的争端，双方应通过友好协商解决，经协商不能达成一致时，应选择向采购人所在地有管辖权的法院提起诉讼。 在法院审理期间，除有争议部分外，本合同其他部分可以履行的仍应按合同条款继续履行。</w:t>
            </w:r>
          </w:p>
        </w:tc>
      </w:tr>
    </w:tbl>
    <w:p w14:paraId="3485CF1D">
      <w:pPr>
        <w:pStyle w:val="4"/>
        <w:jc w:val="left"/>
        <w:outlineLvl w:val="2"/>
      </w:pPr>
      <w:r>
        <w:rPr>
          <w:rFonts w:ascii="仿宋_GB2312" w:hAnsi="仿宋_GB2312" w:eastAsia="仿宋_GB2312" w:cs="仿宋_GB2312"/>
          <w:b/>
          <w:sz w:val="28"/>
        </w:rPr>
        <w:t>3.4.其他要求</w:t>
      </w:r>
    </w:p>
    <w:p w14:paraId="7AF2CC32">
      <w:pPr>
        <w:pStyle w:val="4"/>
        <w:ind w:firstLine="480"/>
        <w:jc w:val="left"/>
      </w:pPr>
      <w:r>
        <w:rPr>
          <w:rFonts w:ascii="仿宋_GB2312" w:hAnsi="仿宋_GB2312" w:eastAsia="仿宋_GB2312" w:cs="仿宋_GB2312"/>
        </w:rPr>
        <w:t>采购包1：</w:t>
      </w:r>
    </w:p>
    <w:p w14:paraId="1C2BE451">
      <w:pPr>
        <w:pStyle w:val="4"/>
        <w:jc w:val="left"/>
      </w:pPr>
      <w:r>
        <w:rPr>
          <w:rFonts w:ascii="仿宋_GB2312" w:hAnsi="仿宋_GB2312" w:eastAsia="仿宋_GB2312" w:cs="仿宋_GB2312"/>
        </w:rPr>
        <w:t>无</w:t>
      </w:r>
    </w:p>
    <w:p w14:paraId="400D93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16816"/>
    <w:rsid w:val="1671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2026-05-27T05:03:00Z</dcterms:created>
  <dc:creator>J.  x</dc:creator>
  <cp:lastModifiedBy>J.  x</cp:lastModifiedBy>
  <dcterms:modified xsi:type="dcterms:W3CDTF">2026-05-27T05:03:32Z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5756F488A7DB4F8CA78313ED85E04DE4_11</vt:lpwstr>
  </property>
  <property fmtid="{D5CDD505-2E9C-101B-9397-08002B2CF9AE}" pid="4" name="KSOTemplateDocerSaveRecord">
    <vt:lpwstr>eyJoZGlkIjoiNDJjYTAwNjFlNTlhZDMyZWI4OTEwZWYyYjNjZWFlYWMiLCJ1c2VySWQiOiI1NzcxNDQzNjQifQ==</vt:lpwstr>
  </property>
</Properties>
</file>