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7631A">
      <w:pPr>
        <w:pStyle w:val="4"/>
        <w:jc w:val="center"/>
        <w:outlineLvl w:val="1"/>
      </w:pPr>
      <w:r>
        <w:rPr>
          <w:rFonts w:ascii="仿宋_GB2312" w:hAnsi="仿宋_GB2312" w:eastAsia="仿宋_GB2312" w:cs="仿宋_GB2312"/>
          <w:b/>
          <w:sz w:val="36"/>
        </w:rPr>
        <w:t>技术、服务及其他要求</w:t>
      </w:r>
    </w:p>
    <w:p w14:paraId="27FF2E4B">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3D9C57A4">
      <w:pPr>
        <w:pStyle w:val="4"/>
        <w:jc w:val="left"/>
        <w:outlineLvl w:val="2"/>
      </w:pPr>
      <w:r>
        <w:rPr>
          <w:rFonts w:ascii="仿宋_GB2312" w:hAnsi="仿宋_GB2312" w:eastAsia="仿宋_GB2312" w:cs="仿宋_GB2312"/>
          <w:b/>
          <w:sz w:val="28"/>
        </w:rPr>
        <w:t>3.1.采购内容</w:t>
      </w:r>
    </w:p>
    <w:p w14:paraId="260E074F">
      <w:pPr>
        <w:pStyle w:val="4"/>
        <w:jc w:val="left"/>
      </w:pPr>
      <w:r>
        <w:rPr>
          <w:rFonts w:ascii="仿宋_GB2312" w:hAnsi="仿宋_GB2312" w:eastAsia="仿宋_GB2312" w:cs="仿宋_GB2312"/>
        </w:rPr>
        <w:t>采购包1：</w:t>
      </w:r>
    </w:p>
    <w:p w14:paraId="3D8E855F">
      <w:pPr>
        <w:pStyle w:val="4"/>
        <w:jc w:val="left"/>
      </w:pPr>
      <w:r>
        <w:rPr>
          <w:rFonts w:ascii="仿宋_GB2312" w:hAnsi="仿宋_GB2312" w:eastAsia="仿宋_GB2312" w:cs="仿宋_GB2312"/>
        </w:rPr>
        <w:t>采购包预算金额（元）: 1,500,000.00</w:t>
      </w:r>
    </w:p>
    <w:p w14:paraId="2E887AF0">
      <w:pPr>
        <w:pStyle w:val="4"/>
        <w:jc w:val="left"/>
      </w:pPr>
      <w:r>
        <w:rPr>
          <w:rFonts w:ascii="仿宋_GB2312" w:hAnsi="仿宋_GB2312" w:eastAsia="仿宋_GB2312" w:cs="仿宋_GB2312"/>
        </w:rPr>
        <w:t>采购包最高限价（元）: 1,500,000.00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23"/>
        <w:gridCol w:w="1116"/>
        <w:gridCol w:w="1816"/>
        <w:gridCol w:w="817"/>
        <w:gridCol w:w="1416"/>
        <w:gridCol w:w="502"/>
        <w:gridCol w:w="502"/>
        <w:gridCol w:w="502"/>
        <w:gridCol w:w="502"/>
        <w:gridCol w:w="463"/>
        <w:gridCol w:w="463"/>
      </w:tblGrid>
      <w:tr w14:paraId="72E71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394195D">
            <w:pPr>
              <w:pStyle w:val="4"/>
              <w:jc w:val="center"/>
            </w:pPr>
            <w:r>
              <w:rPr>
                <w:rFonts w:ascii="仿宋_GB2312" w:hAnsi="仿宋_GB2312" w:eastAsia="仿宋_GB2312" w:cs="仿宋_GB2312"/>
              </w:rPr>
              <w:t>序号</w:t>
            </w:r>
          </w:p>
        </w:tc>
        <w:tc>
          <w:tcPr>
            <w:tcW w:w="821" w:type="dxa"/>
          </w:tcPr>
          <w:p w14:paraId="50F0A8D0">
            <w:pPr>
              <w:pStyle w:val="4"/>
              <w:jc w:val="center"/>
            </w:pPr>
            <w:r>
              <w:rPr>
                <w:rFonts w:ascii="仿宋_GB2312" w:hAnsi="仿宋_GB2312" w:eastAsia="仿宋_GB2312" w:cs="仿宋_GB2312"/>
              </w:rPr>
              <w:t>采购品目名称</w:t>
            </w:r>
          </w:p>
        </w:tc>
        <w:tc>
          <w:tcPr>
            <w:tcW w:w="821" w:type="dxa"/>
          </w:tcPr>
          <w:p w14:paraId="29FA501B">
            <w:pPr>
              <w:pStyle w:val="4"/>
              <w:jc w:val="center"/>
            </w:pPr>
            <w:r>
              <w:rPr>
                <w:rFonts w:ascii="仿宋_GB2312" w:hAnsi="仿宋_GB2312" w:eastAsia="仿宋_GB2312" w:cs="仿宋_GB2312"/>
              </w:rPr>
              <w:t>标的名称</w:t>
            </w:r>
          </w:p>
        </w:tc>
        <w:tc>
          <w:tcPr>
            <w:tcW w:w="821" w:type="dxa"/>
          </w:tcPr>
          <w:p w14:paraId="208561A1">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23A47A42">
            <w:pPr>
              <w:pStyle w:val="4"/>
              <w:jc w:val="center"/>
            </w:pPr>
            <w:r>
              <w:rPr>
                <w:rFonts w:ascii="仿宋_GB2312" w:hAnsi="仿宋_GB2312" w:eastAsia="仿宋_GB2312" w:cs="仿宋_GB2312"/>
              </w:rPr>
              <w:t>标的金额 （元）</w:t>
            </w:r>
          </w:p>
        </w:tc>
        <w:tc>
          <w:tcPr>
            <w:tcW w:w="821" w:type="dxa"/>
          </w:tcPr>
          <w:p w14:paraId="611DFF4F">
            <w:pPr>
              <w:pStyle w:val="4"/>
              <w:jc w:val="center"/>
            </w:pPr>
            <w:r>
              <w:rPr>
                <w:rFonts w:ascii="仿宋_GB2312" w:hAnsi="仿宋_GB2312" w:eastAsia="仿宋_GB2312" w:cs="仿宋_GB2312"/>
              </w:rPr>
              <w:t>所属行业</w:t>
            </w:r>
          </w:p>
        </w:tc>
        <w:tc>
          <w:tcPr>
            <w:tcW w:w="821" w:type="dxa"/>
          </w:tcPr>
          <w:p w14:paraId="6E27FC20">
            <w:pPr>
              <w:pStyle w:val="4"/>
              <w:jc w:val="center"/>
            </w:pPr>
            <w:r>
              <w:rPr>
                <w:rFonts w:ascii="仿宋_GB2312" w:hAnsi="仿宋_GB2312" w:eastAsia="仿宋_GB2312" w:cs="仿宋_GB2312"/>
              </w:rPr>
              <w:t>是否涉及核心产品</w:t>
            </w:r>
          </w:p>
        </w:tc>
        <w:tc>
          <w:tcPr>
            <w:tcW w:w="821" w:type="dxa"/>
          </w:tcPr>
          <w:p w14:paraId="6B532E11">
            <w:pPr>
              <w:pStyle w:val="4"/>
              <w:jc w:val="center"/>
            </w:pPr>
            <w:r>
              <w:rPr>
                <w:rFonts w:ascii="仿宋_GB2312" w:hAnsi="仿宋_GB2312" w:eastAsia="仿宋_GB2312" w:cs="仿宋_GB2312"/>
              </w:rPr>
              <w:t>是否涉及采购进口产品</w:t>
            </w:r>
          </w:p>
        </w:tc>
        <w:tc>
          <w:tcPr>
            <w:tcW w:w="821" w:type="dxa"/>
          </w:tcPr>
          <w:p w14:paraId="3C3CE81D">
            <w:pPr>
              <w:pStyle w:val="4"/>
              <w:jc w:val="center"/>
            </w:pPr>
            <w:r>
              <w:rPr>
                <w:rFonts w:ascii="仿宋_GB2312" w:hAnsi="仿宋_GB2312" w:eastAsia="仿宋_GB2312" w:cs="仿宋_GB2312"/>
              </w:rPr>
              <w:t>是否涉及强制采购节能产品</w:t>
            </w:r>
          </w:p>
        </w:tc>
        <w:tc>
          <w:tcPr>
            <w:tcW w:w="639" w:type="dxa"/>
          </w:tcPr>
          <w:p w14:paraId="34FE0DE0">
            <w:pPr>
              <w:pStyle w:val="4"/>
              <w:jc w:val="center"/>
            </w:pPr>
            <w:r>
              <w:rPr>
                <w:rFonts w:ascii="仿宋_GB2312" w:hAnsi="仿宋_GB2312" w:eastAsia="仿宋_GB2312" w:cs="仿宋_GB2312"/>
              </w:rPr>
              <w:t>是否涉及优先采购节能产品</w:t>
            </w:r>
          </w:p>
        </w:tc>
        <w:tc>
          <w:tcPr>
            <w:tcW w:w="639" w:type="dxa"/>
          </w:tcPr>
          <w:p w14:paraId="6A5F1D1B">
            <w:pPr>
              <w:pStyle w:val="4"/>
              <w:jc w:val="center"/>
            </w:pPr>
            <w:r>
              <w:rPr>
                <w:rFonts w:ascii="仿宋_GB2312" w:hAnsi="仿宋_GB2312" w:eastAsia="仿宋_GB2312" w:cs="仿宋_GB2312"/>
              </w:rPr>
              <w:t>是否涉及优先采购环境标志产品</w:t>
            </w:r>
          </w:p>
        </w:tc>
      </w:tr>
      <w:tr w14:paraId="1F5525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5509D14">
            <w:pPr>
              <w:pStyle w:val="4"/>
              <w:jc w:val="left"/>
            </w:pPr>
            <w:r>
              <w:rPr>
                <w:rFonts w:ascii="仿宋_GB2312" w:hAnsi="仿宋_GB2312" w:eastAsia="仿宋_GB2312" w:cs="仿宋_GB2312"/>
              </w:rPr>
              <w:t>1</w:t>
            </w:r>
          </w:p>
        </w:tc>
        <w:tc>
          <w:tcPr>
            <w:tcW w:w="821" w:type="dxa"/>
          </w:tcPr>
          <w:p w14:paraId="3D184355">
            <w:pPr>
              <w:pStyle w:val="4"/>
              <w:jc w:val="left"/>
            </w:pPr>
            <w:r>
              <w:rPr>
                <w:rFonts w:ascii="仿宋_GB2312" w:hAnsi="仿宋_GB2312" w:eastAsia="仿宋_GB2312" w:cs="仿宋_GB2312"/>
              </w:rPr>
              <w:t>C06039900 其他文化艺术服务</w:t>
            </w:r>
          </w:p>
        </w:tc>
        <w:tc>
          <w:tcPr>
            <w:tcW w:w="821" w:type="dxa"/>
          </w:tcPr>
          <w:p w14:paraId="530754E9">
            <w:pPr>
              <w:pStyle w:val="4"/>
              <w:jc w:val="left"/>
            </w:pPr>
            <w:r>
              <w:rPr>
                <w:rFonts w:ascii="仿宋_GB2312" w:hAnsi="仿宋_GB2312" w:eastAsia="仿宋_GB2312" w:cs="仿宋_GB2312"/>
              </w:rPr>
              <w:t>《成都市志·工业志（2006—2025）》编纂服务</w:t>
            </w:r>
          </w:p>
        </w:tc>
        <w:tc>
          <w:tcPr>
            <w:tcW w:w="821" w:type="dxa"/>
          </w:tcPr>
          <w:p w14:paraId="021AEA1F">
            <w:pPr>
              <w:pStyle w:val="4"/>
              <w:jc w:val="right"/>
            </w:pPr>
            <w:r>
              <w:rPr>
                <w:rFonts w:ascii="仿宋_GB2312" w:hAnsi="仿宋_GB2312" w:eastAsia="仿宋_GB2312" w:cs="仿宋_GB2312"/>
              </w:rPr>
              <w:t>1.00（项）</w:t>
            </w:r>
          </w:p>
        </w:tc>
        <w:tc>
          <w:tcPr>
            <w:tcW w:w="821" w:type="dxa"/>
          </w:tcPr>
          <w:p w14:paraId="21939771">
            <w:pPr>
              <w:pStyle w:val="4"/>
              <w:jc w:val="right"/>
            </w:pPr>
            <w:r>
              <w:rPr>
                <w:rFonts w:ascii="仿宋_GB2312" w:hAnsi="仿宋_GB2312" w:eastAsia="仿宋_GB2312" w:cs="仿宋_GB2312"/>
              </w:rPr>
              <w:t>1,500,000.00</w:t>
            </w:r>
          </w:p>
        </w:tc>
        <w:tc>
          <w:tcPr>
            <w:tcW w:w="821" w:type="dxa"/>
          </w:tcPr>
          <w:p w14:paraId="4815C407">
            <w:pPr>
              <w:pStyle w:val="4"/>
              <w:jc w:val="left"/>
            </w:pPr>
            <w:r>
              <w:rPr>
                <w:rFonts w:ascii="仿宋_GB2312" w:hAnsi="仿宋_GB2312" w:eastAsia="仿宋_GB2312" w:cs="仿宋_GB2312"/>
              </w:rPr>
              <w:t>其他未列明行业</w:t>
            </w:r>
          </w:p>
        </w:tc>
        <w:tc>
          <w:tcPr>
            <w:tcW w:w="821" w:type="dxa"/>
          </w:tcPr>
          <w:p w14:paraId="63267F2C">
            <w:pPr>
              <w:pStyle w:val="4"/>
              <w:jc w:val="left"/>
            </w:pPr>
            <w:r>
              <w:rPr>
                <w:rFonts w:ascii="仿宋_GB2312" w:hAnsi="仿宋_GB2312" w:eastAsia="仿宋_GB2312" w:cs="仿宋_GB2312"/>
              </w:rPr>
              <w:t>否</w:t>
            </w:r>
          </w:p>
        </w:tc>
        <w:tc>
          <w:tcPr>
            <w:tcW w:w="821" w:type="dxa"/>
          </w:tcPr>
          <w:p w14:paraId="33B19862">
            <w:pPr>
              <w:pStyle w:val="4"/>
              <w:jc w:val="left"/>
            </w:pPr>
            <w:r>
              <w:rPr>
                <w:rFonts w:ascii="仿宋_GB2312" w:hAnsi="仿宋_GB2312" w:eastAsia="仿宋_GB2312" w:cs="仿宋_GB2312"/>
              </w:rPr>
              <w:t>否</w:t>
            </w:r>
          </w:p>
        </w:tc>
        <w:tc>
          <w:tcPr>
            <w:tcW w:w="821" w:type="dxa"/>
          </w:tcPr>
          <w:p w14:paraId="4936C771">
            <w:pPr>
              <w:pStyle w:val="4"/>
              <w:jc w:val="left"/>
            </w:pPr>
            <w:r>
              <w:rPr>
                <w:rFonts w:ascii="仿宋_GB2312" w:hAnsi="仿宋_GB2312" w:eastAsia="仿宋_GB2312" w:cs="仿宋_GB2312"/>
              </w:rPr>
              <w:t>否</w:t>
            </w:r>
          </w:p>
        </w:tc>
        <w:tc>
          <w:tcPr>
            <w:tcW w:w="639" w:type="dxa"/>
          </w:tcPr>
          <w:p w14:paraId="3A45EB96">
            <w:pPr>
              <w:pStyle w:val="4"/>
              <w:jc w:val="left"/>
            </w:pPr>
            <w:r>
              <w:rPr>
                <w:rFonts w:ascii="仿宋_GB2312" w:hAnsi="仿宋_GB2312" w:eastAsia="仿宋_GB2312" w:cs="仿宋_GB2312"/>
              </w:rPr>
              <w:t>否</w:t>
            </w:r>
          </w:p>
        </w:tc>
        <w:tc>
          <w:tcPr>
            <w:tcW w:w="639" w:type="dxa"/>
          </w:tcPr>
          <w:p w14:paraId="5FA1FB06">
            <w:pPr>
              <w:pStyle w:val="4"/>
              <w:jc w:val="left"/>
            </w:pPr>
            <w:r>
              <w:rPr>
                <w:rFonts w:ascii="仿宋_GB2312" w:hAnsi="仿宋_GB2312" w:eastAsia="仿宋_GB2312" w:cs="仿宋_GB2312"/>
              </w:rPr>
              <w:t>否</w:t>
            </w:r>
          </w:p>
        </w:tc>
      </w:tr>
    </w:tbl>
    <w:p w14:paraId="319829A6">
      <w:pPr>
        <w:pStyle w:val="4"/>
        <w:jc w:val="left"/>
      </w:pPr>
      <w:r>
        <w:rPr>
          <w:rFonts w:ascii="仿宋_GB2312" w:hAnsi="仿宋_GB2312" w:eastAsia="仿宋_GB2312" w:cs="仿宋_GB2312"/>
        </w:rPr>
        <w:t xml:space="preserve"> 是否适用本国产品标准：</w:t>
      </w:r>
    </w:p>
    <w:p w14:paraId="0D5E6B9A">
      <w:pPr>
        <w:pStyle w:val="4"/>
        <w:jc w:val="left"/>
      </w:pPr>
      <w:r>
        <w:rPr>
          <w:rFonts w:ascii="仿宋_GB2312" w:hAnsi="仿宋_GB2312" w:eastAsia="仿宋_GB2312" w:cs="仿宋_GB2312"/>
        </w:rPr>
        <w:t>采购包1：否</w:t>
      </w:r>
    </w:p>
    <w:p w14:paraId="3CBA7558">
      <w:pPr>
        <w:pStyle w:val="4"/>
        <w:jc w:val="left"/>
        <w:outlineLvl w:val="3"/>
      </w:pPr>
      <w:r>
        <w:rPr>
          <w:rFonts w:ascii="仿宋_GB2312" w:hAnsi="仿宋_GB2312" w:eastAsia="仿宋_GB2312" w:cs="仿宋_GB2312"/>
          <w:b/>
          <w:sz w:val="24"/>
        </w:rPr>
        <w:t>报价要求</w:t>
      </w:r>
    </w:p>
    <w:p w14:paraId="40DA386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816"/>
        <w:gridCol w:w="1138"/>
        <w:gridCol w:w="1416"/>
        <w:gridCol w:w="1138"/>
        <w:gridCol w:w="1934"/>
      </w:tblGrid>
      <w:tr w14:paraId="3836DA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9BB0611">
            <w:pPr>
              <w:pStyle w:val="4"/>
              <w:jc w:val="center"/>
            </w:pPr>
            <w:r>
              <w:rPr>
                <w:rFonts w:ascii="仿宋_GB2312" w:hAnsi="仿宋_GB2312" w:eastAsia="仿宋_GB2312" w:cs="仿宋_GB2312"/>
              </w:rPr>
              <w:t>序号</w:t>
            </w:r>
          </w:p>
        </w:tc>
        <w:tc>
          <w:tcPr>
            <w:tcW w:w="1707" w:type="dxa"/>
          </w:tcPr>
          <w:p w14:paraId="180E207A">
            <w:pPr>
              <w:pStyle w:val="4"/>
              <w:jc w:val="center"/>
            </w:pPr>
            <w:r>
              <w:rPr>
                <w:rFonts w:ascii="仿宋_GB2312" w:hAnsi="仿宋_GB2312" w:eastAsia="仿宋_GB2312" w:cs="仿宋_GB2312"/>
              </w:rPr>
              <w:t>报价内容</w:t>
            </w:r>
          </w:p>
        </w:tc>
        <w:tc>
          <w:tcPr>
            <w:tcW w:w="1138" w:type="dxa"/>
          </w:tcPr>
          <w:p w14:paraId="36A047DB">
            <w:pPr>
              <w:pStyle w:val="4"/>
              <w:jc w:val="center"/>
            </w:pPr>
            <w:r>
              <w:rPr>
                <w:rFonts w:ascii="仿宋_GB2312" w:hAnsi="仿宋_GB2312" w:eastAsia="仿宋_GB2312" w:cs="仿宋_GB2312"/>
              </w:rPr>
              <w:t>数量（计量单位）</w:t>
            </w:r>
          </w:p>
        </w:tc>
        <w:tc>
          <w:tcPr>
            <w:tcW w:w="1365" w:type="dxa"/>
          </w:tcPr>
          <w:p w14:paraId="62F39A49">
            <w:pPr>
              <w:pStyle w:val="4"/>
              <w:jc w:val="center"/>
            </w:pPr>
            <w:r>
              <w:rPr>
                <w:rFonts w:ascii="仿宋_GB2312" w:hAnsi="仿宋_GB2312" w:eastAsia="仿宋_GB2312" w:cs="仿宋_GB2312"/>
              </w:rPr>
              <w:t>最高限价</w:t>
            </w:r>
          </w:p>
        </w:tc>
        <w:tc>
          <w:tcPr>
            <w:tcW w:w="1138" w:type="dxa"/>
          </w:tcPr>
          <w:p w14:paraId="177F65C6">
            <w:pPr>
              <w:pStyle w:val="4"/>
              <w:jc w:val="center"/>
            </w:pPr>
            <w:r>
              <w:rPr>
                <w:rFonts w:ascii="仿宋_GB2312" w:hAnsi="仿宋_GB2312" w:eastAsia="仿宋_GB2312" w:cs="仿宋_GB2312"/>
              </w:rPr>
              <w:t>价款形式</w:t>
            </w:r>
          </w:p>
        </w:tc>
        <w:tc>
          <w:tcPr>
            <w:tcW w:w="1934" w:type="dxa"/>
          </w:tcPr>
          <w:p w14:paraId="2CE6949C">
            <w:pPr>
              <w:pStyle w:val="4"/>
              <w:jc w:val="center"/>
            </w:pPr>
            <w:r>
              <w:rPr>
                <w:rFonts w:ascii="仿宋_GB2312" w:hAnsi="仿宋_GB2312" w:eastAsia="仿宋_GB2312" w:cs="仿宋_GB2312"/>
              </w:rPr>
              <w:t>报价说明</w:t>
            </w:r>
          </w:p>
        </w:tc>
      </w:tr>
      <w:tr w14:paraId="17ACA8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F9D561C">
            <w:pPr>
              <w:pStyle w:val="4"/>
              <w:jc w:val="center"/>
            </w:pPr>
            <w:r>
              <w:rPr>
                <w:rFonts w:ascii="仿宋_GB2312" w:hAnsi="仿宋_GB2312" w:eastAsia="仿宋_GB2312" w:cs="仿宋_GB2312"/>
              </w:rPr>
              <w:t>1</w:t>
            </w:r>
          </w:p>
        </w:tc>
        <w:tc>
          <w:tcPr>
            <w:tcW w:w="1707" w:type="dxa"/>
          </w:tcPr>
          <w:p w14:paraId="7AFA5B4D">
            <w:pPr>
              <w:pStyle w:val="4"/>
              <w:jc w:val="center"/>
            </w:pPr>
            <w:r>
              <w:rPr>
                <w:rFonts w:ascii="仿宋_GB2312" w:hAnsi="仿宋_GB2312" w:eastAsia="仿宋_GB2312" w:cs="仿宋_GB2312"/>
              </w:rPr>
              <w:t>《成都市志·工业志（2006—2025）》编纂服务</w:t>
            </w:r>
          </w:p>
        </w:tc>
        <w:tc>
          <w:tcPr>
            <w:tcW w:w="1138" w:type="dxa"/>
          </w:tcPr>
          <w:p w14:paraId="10A76CF1">
            <w:pPr>
              <w:pStyle w:val="4"/>
              <w:jc w:val="center"/>
            </w:pPr>
            <w:r>
              <w:rPr>
                <w:rFonts w:ascii="仿宋_GB2312" w:hAnsi="仿宋_GB2312" w:eastAsia="仿宋_GB2312" w:cs="仿宋_GB2312"/>
              </w:rPr>
              <w:t>1.00（项）</w:t>
            </w:r>
          </w:p>
        </w:tc>
        <w:tc>
          <w:tcPr>
            <w:tcW w:w="1365" w:type="dxa"/>
          </w:tcPr>
          <w:p w14:paraId="31F4DC8C">
            <w:pPr>
              <w:pStyle w:val="4"/>
              <w:jc w:val="center"/>
            </w:pPr>
            <w:r>
              <w:rPr>
                <w:rFonts w:ascii="仿宋_GB2312" w:hAnsi="仿宋_GB2312" w:eastAsia="仿宋_GB2312" w:cs="仿宋_GB2312"/>
              </w:rPr>
              <w:t>1,500,000.00</w:t>
            </w:r>
          </w:p>
        </w:tc>
        <w:tc>
          <w:tcPr>
            <w:tcW w:w="1138" w:type="dxa"/>
          </w:tcPr>
          <w:p w14:paraId="6AC5DC8F">
            <w:pPr>
              <w:pStyle w:val="4"/>
              <w:jc w:val="center"/>
            </w:pPr>
            <w:r>
              <w:rPr>
                <w:rFonts w:ascii="仿宋_GB2312" w:hAnsi="仿宋_GB2312" w:eastAsia="仿宋_GB2312" w:cs="仿宋_GB2312"/>
              </w:rPr>
              <w:t>总价</w:t>
            </w:r>
          </w:p>
        </w:tc>
        <w:tc>
          <w:tcPr>
            <w:tcW w:w="1934" w:type="dxa"/>
          </w:tcPr>
          <w:p w14:paraId="08ACDEE9">
            <w:pPr>
              <w:pStyle w:val="4"/>
              <w:jc w:val="left"/>
            </w:pPr>
            <w:r>
              <w:rPr>
                <w:rFonts w:ascii="仿宋_GB2312" w:hAnsi="仿宋_GB2312" w:eastAsia="仿宋_GB2312" w:cs="仿宋_GB2312"/>
              </w:rPr>
              <w:t>无</w:t>
            </w:r>
          </w:p>
        </w:tc>
      </w:tr>
    </w:tbl>
    <w:p w14:paraId="5C30EAA3">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1C22F0F4">
      <w:pPr>
        <w:pStyle w:val="4"/>
        <w:jc w:val="left"/>
        <w:outlineLvl w:val="3"/>
      </w:pPr>
      <w:r>
        <w:rPr>
          <w:rFonts w:ascii="仿宋_GB2312" w:hAnsi="仿宋_GB2312" w:eastAsia="仿宋_GB2312" w:cs="仿宋_GB2312"/>
          <w:b/>
          <w:sz w:val="24"/>
        </w:rPr>
        <w:t>本项目涉及核心产品：</w:t>
      </w:r>
    </w:p>
    <w:p w14:paraId="67D6A08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4676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8E2B8D0">
            <w:pPr>
              <w:pStyle w:val="4"/>
              <w:jc w:val="center"/>
            </w:pPr>
            <w:r>
              <w:rPr>
                <w:rFonts w:ascii="仿宋_GB2312" w:hAnsi="仿宋_GB2312" w:eastAsia="仿宋_GB2312" w:cs="仿宋_GB2312"/>
              </w:rPr>
              <w:t>序号</w:t>
            </w:r>
          </w:p>
        </w:tc>
        <w:tc>
          <w:tcPr>
            <w:tcW w:w="2492" w:type="dxa"/>
          </w:tcPr>
          <w:p w14:paraId="107CABB7">
            <w:pPr>
              <w:pStyle w:val="4"/>
              <w:jc w:val="center"/>
            </w:pPr>
            <w:r>
              <w:rPr>
                <w:rFonts w:ascii="仿宋_GB2312" w:hAnsi="仿宋_GB2312" w:eastAsia="仿宋_GB2312" w:cs="仿宋_GB2312"/>
              </w:rPr>
              <w:t>采购品目名称</w:t>
            </w:r>
          </w:p>
        </w:tc>
        <w:tc>
          <w:tcPr>
            <w:tcW w:w="2492" w:type="dxa"/>
          </w:tcPr>
          <w:p w14:paraId="082A1F64">
            <w:pPr>
              <w:pStyle w:val="4"/>
              <w:jc w:val="center"/>
            </w:pPr>
            <w:r>
              <w:rPr>
                <w:rFonts w:ascii="仿宋_GB2312" w:hAnsi="仿宋_GB2312" w:eastAsia="仿宋_GB2312" w:cs="仿宋_GB2312"/>
              </w:rPr>
              <w:t>标的名称</w:t>
            </w:r>
          </w:p>
        </w:tc>
        <w:tc>
          <w:tcPr>
            <w:tcW w:w="2492" w:type="dxa"/>
          </w:tcPr>
          <w:p w14:paraId="39849C52">
            <w:pPr>
              <w:pStyle w:val="4"/>
              <w:jc w:val="center"/>
            </w:pPr>
            <w:r>
              <w:rPr>
                <w:rFonts w:ascii="仿宋_GB2312" w:hAnsi="仿宋_GB2312" w:eastAsia="仿宋_GB2312" w:cs="仿宋_GB2312"/>
              </w:rPr>
              <w:t>产品名称</w:t>
            </w:r>
          </w:p>
        </w:tc>
      </w:tr>
      <w:tr w14:paraId="250501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625C31F">
            <w:pPr>
              <w:pStyle w:val="4"/>
              <w:jc w:val="center"/>
            </w:pPr>
            <w:r>
              <w:rPr>
                <w:rFonts w:ascii="仿宋_GB2312" w:hAnsi="仿宋_GB2312" w:eastAsia="仿宋_GB2312" w:cs="仿宋_GB2312"/>
              </w:rPr>
              <w:t>不涉及</w:t>
            </w:r>
          </w:p>
        </w:tc>
      </w:tr>
    </w:tbl>
    <w:p w14:paraId="7BE81C9E">
      <w:pPr>
        <w:pStyle w:val="4"/>
        <w:ind w:firstLine="480"/>
        <w:jc w:val="left"/>
      </w:pPr>
      <w:r>
        <w:rPr>
          <w:rFonts w:ascii="仿宋_GB2312" w:hAnsi="仿宋_GB2312" w:eastAsia="仿宋_GB2312" w:cs="仿宋_GB2312"/>
        </w:rPr>
        <w:t>注：涉及核心产品的，具体评审规定见第五章。</w:t>
      </w:r>
    </w:p>
    <w:p w14:paraId="7C96D9BC">
      <w:pPr>
        <w:pStyle w:val="4"/>
        <w:jc w:val="left"/>
        <w:outlineLvl w:val="3"/>
      </w:pPr>
      <w:r>
        <w:rPr>
          <w:rFonts w:ascii="仿宋_GB2312" w:hAnsi="仿宋_GB2312" w:eastAsia="仿宋_GB2312" w:cs="仿宋_GB2312"/>
          <w:b/>
          <w:sz w:val="24"/>
        </w:rPr>
        <w:t>本项目涉及采购进口产品：</w:t>
      </w:r>
    </w:p>
    <w:p w14:paraId="1168C0A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97B90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DAF6F0B">
            <w:pPr>
              <w:pStyle w:val="4"/>
              <w:jc w:val="center"/>
            </w:pPr>
            <w:r>
              <w:rPr>
                <w:rFonts w:ascii="仿宋_GB2312" w:hAnsi="仿宋_GB2312" w:eastAsia="仿宋_GB2312" w:cs="仿宋_GB2312"/>
              </w:rPr>
              <w:t>序号</w:t>
            </w:r>
          </w:p>
        </w:tc>
        <w:tc>
          <w:tcPr>
            <w:tcW w:w="2492" w:type="dxa"/>
          </w:tcPr>
          <w:p w14:paraId="5173F2B6">
            <w:pPr>
              <w:pStyle w:val="4"/>
              <w:jc w:val="center"/>
            </w:pPr>
            <w:r>
              <w:rPr>
                <w:rFonts w:ascii="仿宋_GB2312" w:hAnsi="仿宋_GB2312" w:eastAsia="仿宋_GB2312" w:cs="仿宋_GB2312"/>
              </w:rPr>
              <w:t>采购品目名称</w:t>
            </w:r>
          </w:p>
        </w:tc>
        <w:tc>
          <w:tcPr>
            <w:tcW w:w="2492" w:type="dxa"/>
          </w:tcPr>
          <w:p w14:paraId="7BE17750">
            <w:pPr>
              <w:pStyle w:val="4"/>
              <w:jc w:val="center"/>
            </w:pPr>
            <w:r>
              <w:rPr>
                <w:rFonts w:ascii="仿宋_GB2312" w:hAnsi="仿宋_GB2312" w:eastAsia="仿宋_GB2312" w:cs="仿宋_GB2312"/>
              </w:rPr>
              <w:t>标的名称</w:t>
            </w:r>
          </w:p>
        </w:tc>
        <w:tc>
          <w:tcPr>
            <w:tcW w:w="2492" w:type="dxa"/>
          </w:tcPr>
          <w:p w14:paraId="7B62BC5F">
            <w:pPr>
              <w:pStyle w:val="4"/>
              <w:jc w:val="center"/>
            </w:pPr>
            <w:r>
              <w:rPr>
                <w:rFonts w:ascii="仿宋_GB2312" w:hAnsi="仿宋_GB2312" w:eastAsia="仿宋_GB2312" w:cs="仿宋_GB2312"/>
              </w:rPr>
              <w:t>产品名称</w:t>
            </w:r>
          </w:p>
        </w:tc>
      </w:tr>
      <w:tr w14:paraId="02BA23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FE012DD">
            <w:pPr>
              <w:pStyle w:val="4"/>
              <w:jc w:val="center"/>
            </w:pPr>
            <w:r>
              <w:rPr>
                <w:rFonts w:ascii="仿宋_GB2312" w:hAnsi="仿宋_GB2312" w:eastAsia="仿宋_GB2312" w:cs="仿宋_GB2312"/>
              </w:rPr>
              <w:t>不涉及</w:t>
            </w:r>
          </w:p>
        </w:tc>
      </w:tr>
    </w:tbl>
    <w:p w14:paraId="0A8451A8">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4641A683">
      <w:pPr>
        <w:pStyle w:val="4"/>
        <w:jc w:val="left"/>
        <w:outlineLvl w:val="3"/>
      </w:pPr>
      <w:r>
        <w:rPr>
          <w:rFonts w:ascii="仿宋_GB2312" w:hAnsi="仿宋_GB2312" w:eastAsia="仿宋_GB2312" w:cs="仿宋_GB2312"/>
          <w:b/>
          <w:sz w:val="24"/>
        </w:rPr>
        <w:t>本项目涉及强制采购节能产品：</w:t>
      </w:r>
    </w:p>
    <w:p w14:paraId="38BF96D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8995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406A7C7">
            <w:pPr>
              <w:pStyle w:val="4"/>
              <w:jc w:val="center"/>
            </w:pPr>
            <w:r>
              <w:rPr>
                <w:rFonts w:ascii="仿宋_GB2312" w:hAnsi="仿宋_GB2312" w:eastAsia="仿宋_GB2312" w:cs="仿宋_GB2312"/>
              </w:rPr>
              <w:t>序号</w:t>
            </w:r>
          </w:p>
        </w:tc>
        <w:tc>
          <w:tcPr>
            <w:tcW w:w="2492" w:type="dxa"/>
          </w:tcPr>
          <w:p w14:paraId="6A12B74C">
            <w:pPr>
              <w:pStyle w:val="4"/>
              <w:jc w:val="center"/>
            </w:pPr>
            <w:r>
              <w:rPr>
                <w:rFonts w:ascii="仿宋_GB2312" w:hAnsi="仿宋_GB2312" w:eastAsia="仿宋_GB2312" w:cs="仿宋_GB2312"/>
              </w:rPr>
              <w:t>采购品目名称</w:t>
            </w:r>
          </w:p>
        </w:tc>
        <w:tc>
          <w:tcPr>
            <w:tcW w:w="2492" w:type="dxa"/>
          </w:tcPr>
          <w:p w14:paraId="5B071C9D">
            <w:pPr>
              <w:pStyle w:val="4"/>
              <w:jc w:val="center"/>
            </w:pPr>
            <w:r>
              <w:rPr>
                <w:rFonts w:ascii="仿宋_GB2312" w:hAnsi="仿宋_GB2312" w:eastAsia="仿宋_GB2312" w:cs="仿宋_GB2312"/>
              </w:rPr>
              <w:t>标的名称</w:t>
            </w:r>
          </w:p>
        </w:tc>
        <w:tc>
          <w:tcPr>
            <w:tcW w:w="2492" w:type="dxa"/>
          </w:tcPr>
          <w:p w14:paraId="74DAFFE6">
            <w:pPr>
              <w:pStyle w:val="4"/>
              <w:jc w:val="center"/>
            </w:pPr>
            <w:r>
              <w:rPr>
                <w:rFonts w:ascii="仿宋_GB2312" w:hAnsi="仿宋_GB2312" w:eastAsia="仿宋_GB2312" w:cs="仿宋_GB2312"/>
              </w:rPr>
              <w:t>产品名称</w:t>
            </w:r>
          </w:p>
        </w:tc>
      </w:tr>
      <w:tr w14:paraId="6BD10F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1BA4C02">
            <w:pPr>
              <w:pStyle w:val="4"/>
              <w:jc w:val="center"/>
            </w:pPr>
            <w:r>
              <w:rPr>
                <w:rFonts w:ascii="仿宋_GB2312" w:hAnsi="仿宋_GB2312" w:eastAsia="仿宋_GB2312" w:cs="仿宋_GB2312"/>
              </w:rPr>
              <w:t>不涉及</w:t>
            </w:r>
          </w:p>
        </w:tc>
      </w:tr>
    </w:tbl>
    <w:p w14:paraId="0D2CAC06">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3131729E">
      <w:pPr>
        <w:pStyle w:val="4"/>
        <w:jc w:val="left"/>
      </w:pPr>
      <w:r>
        <w:rPr>
          <w:rFonts w:ascii="仿宋_GB2312" w:hAnsi="仿宋_GB2312" w:eastAsia="仿宋_GB2312" w:cs="仿宋_GB2312"/>
          <w:b/>
        </w:rPr>
        <w:t>本项目涉及优先采购节能产品：</w:t>
      </w:r>
    </w:p>
    <w:p w14:paraId="05EC637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6CA65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E787986">
            <w:pPr>
              <w:pStyle w:val="4"/>
              <w:jc w:val="center"/>
            </w:pPr>
            <w:r>
              <w:rPr>
                <w:rFonts w:ascii="仿宋_GB2312" w:hAnsi="仿宋_GB2312" w:eastAsia="仿宋_GB2312" w:cs="仿宋_GB2312"/>
              </w:rPr>
              <w:t>序号</w:t>
            </w:r>
          </w:p>
        </w:tc>
        <w:tc>
          <w:tcPr>
            <w:tcW w:w="2492" w:type="dxa"/>
          </w:tcPr>
          <w:p w14:paraId="18EDAFFE">
            <w:pPr>
              <w:pStyle w:val="4"/>
              <w:jc w:val="center"/>
            </w:pPr>
            <w:r>
              <w:rPr>
                <w:rFonts w:ascii="仿宋_GB2312" w:hAnsi="仿宋_GB2312" w:eastAsia="仿宋_GB2312" w:cs="仿宋_GB2312"/>
              </w:rPr>
              <w:t>采购品目名称</w:t>
            </w:r>
          </w:p>
        </w:tc>
        <w:tc>
          <w:tcPr>
            <w:tcW w:w="2492" w:type="dxa"/>
          </w:tcPr>
          <w:p w14:paraId="3E5A182F">
            <w:pPr>
              <w:pStyle w:val="4"/>
              <w:jc w:val="center"/>
            </w:pPr>
            <w:r>
              <w:rPr>
                <w:rFonts w:ascii="仿宋_GB2312" w:hAnsi="仿宋_GB2312" w:eastAsia="仿宋_GB2312" w:cs="仿宋_GB2312"/>
              </w:rPr>
              <w:t>标的名称</w:t>
            </w:r>
          </w:p>
        </w:tc>
        <w:tc>
          <w:tcPr>
            <w:tcW w:w="2492" w:type="dxa"/>
          </w:tcPr>
          <w:p w14:paraId="4CCB0EEA">
            <w:pPr>
              <w:pStyle w:val="4"/>
              <w:jc w:val="center"/>
            </w:pPr>
            <w:r>
              <w:rPr>
                <w:rFonts w:ascii="仿宋_GB2312" w:hAnsi="仿宋_GB2312" w:eastAsia="仿宋_GB2312" w:cs="仿宋_GB2312"/>
              </w:rPr>
              <w:t>产品名称</w:t>
            </w:r>
          </w:p>
        </w:tc>
      </w:tr>
      <w:tr w14:paraId="00E91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4030440">
            <w:pPr>
              <w:pStyle w:val="4"/>
              <w:jc w:val="center"/>
            </w:pPr>
            <w:r>
              <w:rPr>
                <w:rFonts w:ascii="仿宋_GB2312" w:hAnsi="仿宋_GB2312" w:eastAsia="仿宋_GB2312" w:cs="仿宋_GB2312"/>
              </w:rPr>
              <w:t>不涉及</w:t>
            </w:r>
          </w:p>
        </w:tc>
      </w:tr>
    </w:tbl>
    <w:p w14:paraId="1F97F3A5">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568ECA3D">
      <w:pPr>
        <w:pStyle w:val="4"/>
        <w:jc w:val="left"/>
        <w:outlineLvl w:val="3"/>
      </w:pPr>
      <w:r>
        <w:rPr>
          <w:rFonts w:ascii="仿宋_GB2312" w:hAnsi="仿宋_GB2312" w:eastAsia="仿宋_GB2312" w:cs="仿宋_GB2312"/>
          <w:b/>
          <w:sz w:val="24"/>
        </w:rPr>
        <w:t>本项目涉及优先采购环境标志产品：</w:t>
      </w:r>
    </w:p>
    <w:p w14:paraId="0F27265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60403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8233708">
            <w:pPr>
              <w:pStyle w:val="4"/>
              <w:jc w:val="center"/>
            </w:pPr>
            <w:r>
              <w:rPr>
                <w:rFonts w:ascii="仿宋_GB2312" w:hAnsi="仿宋_GB2312" w:eastAsia="仿宋_GB2312" w:cs="仿宋_GB2312"/>
              </w:rPr>
              <w:t>序号</w:t>
            </w:r>
          </w:p>
        </w:tc>
        <w:tc>
          <w:tcPr>
            <w:tcW w:w="2492" w:type="dxa"/>
          </w:tcPr>
          <w:p w14:paraId="09EBF98A">
            <w:pPr>
              <w:pStyle w:val="4"/>
              <w:jc w:val="center"/>
            </w:pPr>
            <w:r>
              <w:rPr>
                <w:rFonts w:ascii="仿宋_GB2312" w:hAnsi="仿宋_GB2312" w:eastAsia="仿宋_GB2312" w:cs="仿宋_GB2312"/>
              </w:rPr>
              <w:t>采购品目名称</w:t>
            </w:r>
          </w:p>
        </w:tc>
        <w:tc>
          <w:tcPr>
            <w:tcW w:w="2492" w:type="dxa"/>
          </w:tcPr>
          <w:p w14:paraId="3E383F37">
            <w:pPr>
              <w:pStyle w:val="4"/>
              <w:jc w:val="center"/>
            </w:pPr>
            <w:r>
              <w:rPr>
                <w:rFonts w:ascii="仿宋_GB2312" w:hAnsi="仿宋_GB2312" w:eastAsia="仿宋_GB2312" w:cs="仿宋_GB2312"/>
              </w:rPr>
              <w:t>标的名称</w:t>
            </w:r>
          </w:p>
        </w:tc>
        <w:tc>
          <w:tcPr>
            <w:tcW w:w="2492" w:type="dxa"/>
          </w:tcPr>
          <w:p w14:paraId="765C1D8D">
            <w:pPr>
              <w:pStyle w:val="4"/>
              <w:jc w:val="center"/>
            </w:pPr>
            <w:r>
              <w:rPr>
                <w:rFonts w:ascii="仿宋_GB2312" w:hAnsi="仿宋_GB2312" w:eastAsia="仿宋_GB2312" w:cs="仿宋_GB2312"/>
              </w:rPr>
              <w:t>产品名称</w:t>
            </w:r>
          </w:p>
        </w:tc>
      </w:tr>
      <w:tr w14:paraId="0B8A9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F05A701">
            <w:pPr>
              <w:pStyle w:val="4"/>
              <w:jc w:val="center"/>
            </w:pPr>
            <w:r>
              <w:rPr>
                <w:rFonts w:ascii="仿宋_GB2312" w:hAnsi="仿宋_GB2312" w:eastAsia="仿宋_GB2312" w:cs="仿宋_GB2312"/>
              </w:rPr>
              <w:t>不涉及</w:t>
            </w:r>
          </w:p>
        </w:tc>
      </w:tr>
    </w:tbl>
    <w:p w14:paraId="69436C27">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4F1E3523">
      <w:pPr>
        <w:pStyle w:val="4"/>
        <w:jc w:val="left"/>
        <w:outlineLvl w:val="2"/>
      </w:pPr>
      <w:r>
        <w:rPr>
          <w:rFonts w:ascii="仿宋_GB2312" w:hAnsi="仿宋_GB2312" w:eastAsia="仿宋_GB2312" w:cs="仿宋_GB2312"/>
          <w:b/>
          <w:sz w:val="28"/>
        </w:rPr>
        <w:t>3.2.技术要求</w:t>
      </w:r>
    </w:p>
    <w:p w14:paraId="17EFFC08">
      <w:pPr>
        <w:pStyle w:val="4"/>
        <w:jc w:val="left"/>
      </w:pPr>
      <w:r>
        <w:rPr>
          <w:rFonts w:ascii="仿宋_GB2312" w:hAnsi="仿宋_GB2312" w:eastAsia="仿宋_GB2312" w:cs="仿宋_GB2312"/>
        </w:rPr>
        <w:t>采购包1：</w:t>
      </w:r>
    </w:p>
    <w:p w14:paraId="3E62290F">
      <w:pPr>
        <w:pStyle w:val="4"/>
        <w:jc w:val="left"/>
      </w:pPr>
      <w:r>
        <w:rPr>
          <w:rFonts w:ascii="仿宋_GB2312" w:hAnsi="仿宋_GB2312" w:eastAsia="仿宋_GB2312" w:cs="仿宋_GB2312"/>
        </w:rPr>
        <w:t>标的名称：《成都市志·工业志（2006—2025）》编纂服务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E76A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C9997CB">
            <w:pPr>
              <w:pStyle w:val="4"/>
              <w:jc w:val="center"/>
            </w:pPr>
            <w:r>
              <w:rPr>
                <w:rFonts w:ascii="仿宋_GB2312" w:hAnsi="仿宋_GB2312" w:eastAsia="仿宋_GB2312" w:cs="仿宋_GB2312"/>
              </w:rPr>
              <w:t>序号</w:t>
            </w:r>
          </w:p>
        </w:tc>
        <w:tc>
          <w:tcPr>
            <w:tcW w:w="581" w:type="dxa"/>
          </w:tcPr>
          <w:p w14:paraId="6EA5A54F">
            <w:pPr>
              <w:pStyle w:val="4"/>
              <w:jc w:val="center"/>
            </w:pPr>
            <w:r>
              <w:rPr>
                <w:rFonts w:ascii="仿宋_GB2312" w:hAnsi="仿宋_GB2312" w:eastAsia="仿宋_GB2312" w:cs="仿宋_GB2312"/>
              </w:rPr>
              <w:t>符号标识</w:t>
            </w:r>
          </w:p>
        </w:tc>
        <w:tc>
          <w:tcPr>
            <w:tcW w:w="1495" w:type="dxa"/>
          </w:tcPr>
          <w:p w14:paraId="71A704E9">
            <w:pPr>
              <w:pStyle w:val="4"/>
              <w:jc w:val="center"/>
            </w:pPr>
            <w:r>
              <w:rPr>
                <w:rFonts w:ascii="仿宋_GB2312" w:hAnsi="仿宋_GB2312" w:eastAsia="仿宋_GB2312" w:cs="仿宋_GB2312"/>
              </w:rPr>
              <w:t>技术要求名称</w:t>
            </w:r>
          </w:p>
        </w:tc>
        <w:tc>
          <w:tcPr>
            <w:tcW w:w="5814" w:type="dxa"/>
          </w:tcPr>
          <w:p w14:paraId="0CC73C9F">
            <w:pPr>
              <w:pStyle w:val="4"/>
              <w:jc w:val="center"/>
            </w:pPr>
            <w:r>
              <w:rPr>
                <w:rFonts w:ascii="仿宋_GB2312" w:hAnsi="仿宋_GB2312" w:eastAsia="仿宋_GB2312" w:cs="仿宋_GB2312"/>
              </w:rPr>
              <w:t>技术参数与性能指标</w:t>
            </w:r>
          </w:p>
        </w:tc>
      </w:tr>
      <w:tr w14:paraId="37BC4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EE78FE">
            <w:pPr>
              <w:pStyle w:val="4"/>
              <w:jc w:val="center"/>
            </w:pPr>
            <w:r>
              <w:rPr>
                <w:rFonts w:ascii="仿宋_GB2312" w:hAnsi="仿宋_GB2312" w:eastAsia="仿宋_GB2312" w:cs="仿宋_GB2312"/>
              </w:rPr>
              <w:t>1</w:t>
            </w:r>
          </w:p>
        </w:tc>
        <w:tc>
          <w:tcPr>
            <w:tcW w:w="581" w:type="dxa"/>
          </w:tcPr>
          <w:p w14:paraId="4B8A0115"/>
        </w:tc>
        <w:tc>
          <w:tcPr>
            <w:tcW w:w="1495" w:type="dxa"/>
          </w:tcPr>
          <w:p w14:paraId="727CD406">
            <w:pPr>
              <w:pStyle w:val="4"/>
              <w:jc w:val="left"/>
            </w:pPr>
            <w:r>
              <w:rPr>
                <w:rFonts w:ascii="仿宋_GB2312" w:hAnsi="仿宋_GB2312" w:eastAsia="仿宋_GB2312" w:cs="仿宋_GB2312"/>
              </w:rPr>
              <w:t>项目意义</w:t>
            </w:r>
          </w:p>
        </w:tc>
        <w:tc>
          <w:tcPr>
            <w:tcW w:w="5814" w:type="dxa"/>
          </w:tcPr>
          <w:p w14:paraId="78437047">
            <w:pPr>
              <w:pStyle w:val="4"/>
              <w:ind w:firstLine="560"/>
              <w:jc w:val="left"/>
            </w:pPr>
            <w:r>
              <w:rPr>
                <w:rFonts w:ascii="仿宋_GB2312" w:hAnsi="仿宋_GB2312" w:eastAsia="仿宋_GB2312" w:cs="仿宋_GB2312"/>
                <w:color w:val="000000"/>
                <w:sz w:val="21"/>
              </w:rPr>
              <w:t>过去的20年，成都工业取得了巨大成就，探索了一条内陆型超大城市的新型工业化道路，市委相继作出产业倍增、工业一业定乾坤、产业生态圈培育和产业功能区建设、产业建圈强链、制造强市等重大战略部署，成都积极承接国际国内产业转移和企业布局，现代化工业体系基本成型。</w:t>
            </w:r>
          </w:p>
          <w:p w14:paraId="11C988AB">
            <w:pPr>
              <w:pStyle w:val="4"/>
              <w:ind w:firstLine="560"/>
              <w:jc w:val="left"/>
            </w:pPr>
            <w:r>
              <w:rPr>
                <w:rFonts w:ascii="仿宋_GB2312" w:hAnsi="仿宋_GB2312" w:eastAsia="仿宋_GB2312" w:cs="仿宋_GB2312"/>
                <w:color w:val="000000"/>
                <w:sz w:val="21"/>
              </w:rPr>
              <w:t>站在建设全国先进制造业基地的新起点上，成都亟需系统回顾、总结工业发展历史，梳理成都工业发展产业迭代、政策适配、布局优化等情况，守正创新、求实存真，为今后工业发展壮大、产业转型升级等提供历史借鉴。</w:t>
            </w:r>
          </w:p>
          <w:p w14:paraId="424E3B56">
            <w:pPr>
              <w:pStyle w:val="4"/>
              <w:jc w:val="left"/>
            </w:pPr>
            <w:r>
              <w:rPr>
                <w:rFonts w:ascii="仿宋_GB2312" w:hAnsi="仿宋_GB2312" w:eastAsia="仿宋_GB2312" w:cs="仿宋_GB2312"/>
              </w:rPr>
              <w:t xml:space="preserve"> </w:t>
            </w:r>
          </w:p>
        </w:tc>
      </w:tr>
      <w:tr w14:paraId="27846D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50DF6A">
            <w:pPr>
              <w:pStyle w:val="4"/>
              <w:jc w:val="center"/>
            </w:pPr>
            <w:r>
              <w:rPr>
                <w:rFonts w:ascii="仿宋_GB2312" w:hAnsi="仿宋_GB2312" w:eastAsia="仿宋_GB2312" w:cs="仿宋_GB2312"/>
              </w:rPr>
              <w:t>2</w:t>
            </w:r>
          </w:p>
        </w:tc>
        <w:tc>
          <w:tcPr>
            <w:tcW w:w="581" w:type="dxa"/>
          </w:tcPr>
          <w:p w14:paraId="1943A649">
            <w:pPr>
              <w:pStyle w:val="4"/>
              <w:jc w:val="center"/>
            </w:pPr>
            <w:r>
              <w:rPr>
                <w:rFonts w:ascii="仿宋_GB2312" w:hAnsi="仿宋_GB2312" w:eastAsia="仿宋_GB2312" w:cs="仿宋_GB2312"/>
              </w:rPr>
              <w:t>★</w:t>
            </w:r>
          </w:p>
        </w:tc>
        <w:tc>
          <w:tcPr>
            <w:tcW w:w="1495" w:type="dxa"/>
          </w:tcPr>
          <w:p w14:paraId="39F555FC">
            <w:pPr>
              <w:pStyle w:val="4"/>
              <w:jc w:val="left"/>
            </w:pPr>
            <w:r>
              <w:rPr>
                <w:rFonts w:ascii="仿宋_GB2312" w:hAnsi="仿宋_GB2312" w:eastAsia="仿宋_GB2312" w:cs="仿宋_GB2312"/>
              </w:rPr>
              <w:t>技术服务内容及要求</w:t>
            </w:r>
          </w:p>
        </w:tc>
        <w:tc>
          <w:tcPr>
            <w:tcW w:w="5814" w:type="dxa"/>
          </w:tcPr>
          <w:p w14:paraId="72C033F1">
            <w:pPr>
              <w:pStyle w:val="4"/>
              <w:ind w:firstLine="562"/>
              <w:jc w:val="left"/>
            </w:pPr>
            <w:r>
              <w:rPr>
                <w:rFonts w:ascii="仿宋_GB2312" w:hAnsi="仿宋_GB2312" w:eastAsia="仿宋_GB2312" w:cs="仿宋_GB2312"/>
                <w:b/>
                <w:color w:val="000000"/>
                <w:sz w:val="21"/>
              </w:rPr>
              <w:t>（一）编制内容</w:t>
            </w:r>
          </w:p>
          <w:p w14:paraId="6EA60FE7">
            <w:pPr>
              <w:pStyle w:val="4"/>
              <w:ind w:firstLine="560"/>
              <w:jc w:val="left"/>
            </w:pPr>
            <w:r>
              <w:rPr>
                <w:rFonts w:ascii="仿宋_GB2312" w:hAnsi="仿宋_GB2312" w:eastAsia="仿宋_GB2312" w:cs="仿宋_GB2312"/>
                <w:color w:val="000000"/>
                <w:sz w:val="21"/>
              </w:rPr>
              <w:t>完成对成都工业2006—2025年共20年间发展的记述。</w:t>
            </w:r>
          </w:p>
          <w:p w14:paraId="6D872392">
            <w:pPr>
              <w:pStyle w:val="4"/>
              <w:ind w:firstLine="560"/>
              <w:jc w:val="left"/>
            </w:pPr>
            <w:r>
              <w:rPr>
                <w:rFonts w:ascii="仿宋_GB2312" w:hAnsi="仿宋_GB2312" w:eastAsia="仿宋_GB2312" w:cs="仿宋_GB2312"/>
                <w:color w:val="000000"/>
                <w:sz w:val="21"/>
              </w:rPr>
              <w:t>1.概述：系统梳理2006—2025年20年间成都工业发展历程，包括工业规模情况、工业增长情况、工业经济效益等。</w:t>
            </w:r>
          </w:p>
          <w:p w14:paraId="29F51940">
            <w:pPr>
              <w:pStyle w:val="4"/>
              <w:ind w:firstLine="560"/>
              <w:jc w:val="left"/>
            </w:pPr>
            <w:r>
              <w:rPr>
                <w:rFonts w:ascii="仿宋_GB2312" w:hAnsi="仿宋_GB2312" w:eastAsia="仿宋_GB2312" w:cs="仿宋_GB2312"/>
                <w:color w:val="000000"/>
                <w:sz w:val="21"/>
              </w:rPr>
              <w:t>2.产业体系：梳理成都工业产业体系演进情况，包括产业结构、产业集群等情况。</w:t>
            </w:r>
          </w:p>
          <w:p w14:paraId="40E2E306">
            <w:pPr>
              <w:pStyle w:val="4"/>
              <w:ind w:firstLine="560"/>
              <w:jc w:val="left"/>
            </w:pPr>
            <w:r>
              <w:rPr>
                <w:rFonts w:ascii="仿宋_GB2312" w:hAnsi="仿宋_GB2312" w:eastAsia="仿宋_GB2312" w:cs="仿宋_GB2312"/>
                <w:color w:val="000000"/>
                <w:sz w:val="21"/>
              </w:rPr>
              <w:t>3.工业布局：梳理工业布局规划与实施、各区域重点发展的主导产业等。</w:t>
            </w:r>
          </w:p>
          <w:p w14:paraId="33019993">
            <w:pPr>
              <w:pStyle w:val="4"/>
              <w:ind w:firstLine="560"/>
              <w:jc w:val="left"/>
            </w:pPr>
            <w:r>
              <w:rPr>
                <w:rFonts w:ascii="仿宋_GB2312" w:hAnsi="仿宋_GB2312" w:eastAsia="仿宋_GB2312" w:cs="仿宋_GB2312"/>
                <w:color w:val="000000"/>
                <w:sz w:val="21"/>
              </w:rPr>
              <w:t>4.工业园区：梳理成都工业园区总体发展情况，逐一梳理市域内工业园区发展情况，包括各个园区工业发展、重点产业发展等。</w:t>
            </w:r>
          </w:p>
          <w:p w14:paraId="5AB8BEAB">
            <w:pPr>
              <w:pStyle w:val="4"/>
              <w:ind w:firstLine="560"/>
              <w:jc w:val="left"/>
            </w:pPr>
            <w:r>
              <w:rPr>
                <w:rFonts w:ascii="仿宋_GB2312" w:hAnsi="仿宋_GB2312" w:eastAsia="仿宋_GB2312" w:cs="仿宋_GB2312"/>
                <w:color w:val="000000"/>
                <w:sz w:val="21"/>
              </w:rPr>
              <w:t>5.工业企业：梳理成都工业企业总体发展情况，包括规上工业企业、大企业大集团等情况。</w:t>
            </w:r>
          </w:p>
          <w:p w14:paraId="43CDBEB9">
            <w:pPr>
              <w:pStyle w:val="4"/>
              <w:ind w:firstLine="560"/>
              <w:jc w:val="left"/>
            </w:pPr>
            <w:r>
              <w:rPr>
                <w:rFonts w:ascii="仿宋_GB2312" w:hAnsi="仿宋_GB2312" w:eastAsia="仿宋_GB2312" w:cs="仿宋_GB2312"/>
                <w:color w:val="000000"/>
                <w:sz w:val="21"/>
              </w:rPr>
              <w:t>6.工业创新：梳理成都工业技术改造情况，以及成都工业创新发展情况等。</w:t>
            </w:r>
          </w:p>
          <w:p w14:paraId="3ED07CBC">
            <w:pPr>
              <w:pStyle w:val="4"/>
              <w:ind w:firstLine="560"/>
              <w:jc w:val="left"/>
            </w:pPr>
            <w:r>
              <w:rPr>
                <w:rFonts w:ascii="仿宋_GB2312" w:hAnsi="仿宋_GB2312" w:eastAsia="仿宋_GB2312" w:cs="仿宋_GB2312"/>
                <w:color w:val="000000"/>
                <w:sz w:val="21"/>
              </w:rPr>
              <w:t>7.工业政策：梳理成都出台的工业相关政策，政策出台背景，主要内容，简述政策实施后的效果等。</w:t>
            </w:r>
          </w:p>
          <w:p w14:paraId="443059A5">
            <w:pPr>
              <w:pStyle w:val="4"/>
              <w:ind w:firstLine="560"/>
              <w:jc w:val="left"/>
            </w:pPr>
            <w:r>
              <w:rPr>
                <w:rFonts w:ascii="仿宋_GB2312" w:hAnsi="仿宋_GB2312" w:eastAsia="仿宋_GB2312" w:cs="仿宋_GB2312"/>
                <w:color w:val="000000"/>
                <w:sz w:val="21"/>
              </w:rPr>
              <w:t>8.工业文化：提炼成都工业发展中形成的工匠精神、创新文化等，介绍工业遗产保护与利用情况等。</w:t>
            </w:r>
          </w:p>
          <w:p w14:paraId="0700E95C">
            <w:pPr>
              <w:pStyle w:val="4"/>
              <w:ind w:firstLine="560"/>
              <w:jc w:val="left"/>
            </w:pPr>
            <w:r>
              <w:rPr>
                <w:rFonts w:ascii="仿宋_GB2312" w:hAnsi="仿宋_GB2312" w:eastAsia="仿宋_GB2312" w:cs="仿宋_GB2312"/>
                <w:color w:val="000000"/>
                <w:sz w:val="21"/>
              </w:rPr>
              <w:t>9.电子信息产业：梳理产业总体发展情况，包括发展历程，产业规模、产业效益等内容。包括细分行业发展历程、规模效益等。</w:t>
            </w:r>
          </w:p>
          <w:p w14:paraId="35BCE9F8">
            <w:pPr>
              <w:pStyle w:val="4"/>
              <w:ind w:firstLine="560"/>
              <w:jc w:val="left"/>
            </w:pPr>
            <w:r>
              <w:rPr>
                <w:rFonts w:ascii="仿宋_GB2312" w:hAnsi="仿宋_GB2312" w:eastAsia="仿宋_GB2312" w:cs="仿宋_GB2312"/>
                <w:color w:val="000000"/>
                <w:sz w:val="21"/>
              </w:rPr>
              <w:t>10．装备制造产业：梳理产业总体发展情况，包括发展历程，产业规模、产业效益等内容。包括细分行业发展历程、规模效益等。</w:t>
            </w:r>
          </w:p>
          <w:p w14:paraId="2145F7B5">
            <w:pPr>
              <w:pStyle w:val="4"/>
              <w:ind w:firstLine="560"/>
              <w:jc w:val="left"/>
            </w:pPr>
            <w:r>
              <w:rPr>
                <w:rFonts w:ascii="仿宋_GB2312" w:hAnsi="仿宋_GB2312" w:eastAsia="仿宋_GB2312" w:cs="仿宋_GB2312"/>
                <w:color w:val="000000"/>
                <w:sz w:val="21"/>
              </w:rPr>
              <w:t>11.生物医药产业：梳理产业总体发展情况，包括发展历程，产业规模、产业效益等内容。包括细分行业发展历程、规模效益等。</w:t>
            </w:r>
          </w:p>
          <w:p w14:paraId="4765A098">
            <w:pPr>
              <w:pStyle w:val="4"/>
              <w:ind w:firstLine="560"/>
              <w:jc w:val="left"/>
            </w:pPr>
            <w:r>
              <w:rPr>
                <w:rFonts w:ascii="仿宋_GB2312" w:hAnsi="仿宋_GB2312" w:eastAsia="仿宋_GB2312" w:cs="仿宋_GB2312"/>
                <w:color w:val="000000"/>
                <w:sz w:val="21"/>
              </w:rPr>
              <w:t>12.新型材料产业：梳理产业总体发展情况，包括发展历程，产业规模、产业效益等内容。包括细分行业发展历程、规模效益等。</w:t>
            </w:r>
          </w:p>
          <w:p w14:paraId="54956C33">
            <w:pPr>
              <w:pStyle w:val="4"/>
              <w:ind w:firstLine="560"/>
              <w:jc w:val="left"/>
            </w:pPr>
            <w:r>
              <w:rPr>
                <w:rFonts w:ascii="仿宋_GB2312" w:hAnsi="仿宋_GB2312" w:eastAsia="仿宋_GB2312" w:cs="仿宋_GB2312"/>
                <w:color w:val="000000"/>
                <w:sz w:val="21"/>
              </w:rPr>
              <w:t>13.绿色食品产业：梳理产业总体发展情况，包括发展历程，产业规模、产业效益等内容。包括细分行业发展历程、规模效益等。</w:t>
            </w:r>
          </w:p>
          <w:p w14:paraId="4007D558">
            <w:pPr>
              <w:pStyle w:val="4"/>
              <w:ind w:firstLine="560"/>
              <w:jc w:val="left"/>
            </w:pPr>
            <w:r>
              <w:rPr>
                <w:rFonts w:ascii="仿宋_GB2312" w:hAnsi="仿宋_GB2312" w:eastAsia="仿宋_GB2312" w:cs="仿宋_GB2312"/>
                <w:color w:val="000000"/>
                <w:sz w:val="21"/>
              </w:rPr>
              <w:t>14.先进能源产业：梳理产业总体发展情况，包括发展历程，产业规模、产业效益等内容。包括细分行业发展历程、规模效益等。</w:t>
            </w:r>
          </w:p>
          <w:p w14:paraId="60DC2CEF">
            <w:pPr>
              <w:pStyle w:val="4"/>
              <w:ind w:firstLine="560"/>
              <w:jc w:val="left"/>
            </w:pPr>
            <w:r>
              <w:rPr>
                <w:rFonts w:ascii="仿宋_GB2312" w:hAnsi="仿宋_GB2312" w:eastAsia="仿宋_GB2312" w:cs="仿宋_GB2312"/>
                <w:color w:val="000000"/>
                <w:sz w:val="21"/>
              </w:rPr>
              <w:t>15.轻工：家具、纺织服装等产业发展历程，营收、产值、出口等规模数据、代表性企业、品牌建设情况等。</w:t>
            </w:r>
          </w:p>
          <w:p w14:paraId="2A43052E">
            <w:pPr>
              <w:pStyle w:val="4"/>
              <w:ind w:firstLine="560"/>
              <w:jc w:val="left"/>
            </w:pPr>
            <w:r>
              <w:rPr>
                <w:rFonts w:ascii="仿宋_GB2312" w:hAnsi="仿宋_GB2312" w:eastAsia="仿宋_GB2312" w:cs="仿宋_GB2312"/>
                <w:color w:val="000000"/>
                <w:sz w:val="21"/>
              </w:rPr>
              <w:t>16.电力、燃气、成品油生产和供应：介绍电力、燃气、成品油生产设施的布局与规模，供应量、电网建设、管网建设情况等。</w:t>
            </w:r>
          </w:p>
          <w:p w14:paraId="21081C62">
            <w:pPr>
              <w:pStyle w:val="4"/>
              <w:ind w:firstLine="562"/>
              <w:jc w:val="left"/>
            </w:pPr>
            <w:r>
              <w:rPr>
                <w:rFonts w:ascii="仿宋_GB2312" w:hAnsi="仿宋_GB2312" w:eastAsia="仿宋_GB2312" w:cs="仿宋_GB2312"/>
                <w:b/>
                <w:color w:val="000000"/>
                <w:sz w:val="21"/>
              </w:rPr>
              <w:t>（二）编撰要求</w:t>
            </w:r>
          </w:p>
          <w:p w14:paraId="5AA07765">
            <w:pPr>
              <w:pStyle w:val="4"/>
              <w:ind w:firstLine="560"/>
              <w:jc w:val="left"/>
            </w:pPr>
            <w:r>
              <w:rPr>
                <w:rFonts w:ascii="仿宋_GB2312" w:hAnsi="仿宋_GB2312" w:eastAsia="仿宋_GB2312" w:cs="仿宋_GB2312"/>
                <w:color w:val="000000"/>
                <w:sz w:val="21"/>
              </w:rPr>
              <w:t>1.工作开展过程中，全面收集资料，编撰形成资料长编。资料收集的文字量一般不少于志书定稿文字量的5倍。资料长编文字量一般不少于志书定稿文字量的3倍。</w:t>
            </w:r>
          </w:p>
          <w:p w14:paraId="56A2BF61">
            <w:pPr>
              <w:pStyle w:val="4"/>
              <w:ind w:firstLine="560"/>
              <w:jc w:val="left"/>
            </w:pPr>
            <w:r>
              <w:rPr>
                <w:rFonts w:ascii="仿宋_GB2312" w:hAnsi="仿宋_GB2312" w:eastAsia="仿宋_GB2312" w:cs="仿宋_GB2312"/>
                <w:color w:val="000000"/>
                <w:sz w:val="21"/>
              </w:rPr>
              <w:t>2.在市地志办指导下，按照相关质量规范，完成志稿纂写，形成初稿。</w:t>
            </w:r>
          </w:p>
          <w:p w14:paraId="43DD2F5A">
            <w:pPr>
              <w:pStyle w:val="4"/>
              <w:ind w:firstLine="560"/>
              <w:jc w:val="left"/>
            </w:pPr>
            <w:r>
              <w:rPr>
                <w:rFonts w:ascii="仿宋_GB2312" w:hAnsi="仿宋_GB2312" w:eastAsia="仿宋_GB2312" w:cs="仿宋_GB2312"/>
                <w:color w:val="000000"/>
                <w:sz w:val="21"/>
              </w:rPr>
              <w:t>3.志稿审查以及根据审查意见进行修改。志稿采取三审制度，其中初审由供应商组织完成并形成正式书面意见；初审、复审和终审后３个月内，按照审查意见进行修改，并形成修改报告。</w:t>
            </w:r>
          </w:p>
          <w:p w14:paraId="521DC8E1">
            <w:pPr>
              <w:pStyle w:val="4"/>
              <w:ind w:firstLine="560"/>
              <w:jc w:val="left"/>
            </w:pPr>
            <w:r>
              <w:rPr>
                <w:rFonts w:ascii="仿宋_GB2312" w:hAnsi="仿宋_GB2312" w:eastAsia="仿宋_GB2312" w:cs="仿宋_GB2312"/>
                <w:color w:val="000000"/>
                <w:sz w:val="21"/>
              </w:rPr>
              <w:t>4.成稿版面字数控制在60万~80万字，最多不超过100万字。</w:t>
            </w:r>
          </w:p>
          <w:p w14:paraId="1AC2B670">
            <w:pPr>
              <w:pStyle w:val="4"/>
              <w:ind w:firstLine="560"/>
              <w:jc w:val="left"/>
            </w:pPr>
            <w:r>
              <w:rPr>
                <w:rFonts w:ascii="仿宋_GB2312" w:hAnsi="仿宋_GB2312" w:eastAsia="仿宋_GB2312" w:cs="仿宋_GB2312"/>
                <w:color w:val="000000"/>
                <w:sz w:val="21"/>
              </w:rPr>
              <w:t>5.志书统一采用章节体，原则上按篇、章、节、目分级。目下可根据需要设置子目。述、记、志、传、图、表、录等体裁运用得当，以志为主。</w:t>
            </w:r>
          </w:p>
          <w:p w14:paraId="30510CFF">
            <w:pPr>
              <w:pStyle w:val="4"/>
              <w:ind w:firstLine="560"/>
              <w:jc w:val="left"/>
            </w:pPr>
            <w:r>
              <w:rPr>
                <w:rFonts w:ascii="仿宋_GB2312" w:hAnsi="仿宋_GB2312" w:eastAsia="仿宋_GB2312" w:cs="仿宋_GB2312"/>
                <w:color w:val="000000"/>
                <w:sz w:val="21"/>
              </w:rPr>
              <w:t>6.观点正确，体例严谨，内容全面，特色鲜明，记述准确，资料翔实，表达通顺，文风端正，印制规范。采用现代规范语体文，表述准确、朴实、简洁、流畅。</w:t>
            </w:r>
          </w:p>
          <w:p w14:paraId="6384189F">
            <w:pPr>
              <w:pStyle w:val="4"/>
              <w:ind w:firstLine="562"/>
              <w:jc w:val="left"/>
            </w:pPr>
            <w:r>
              <w:rPr>
                <w:rFonts w:ascii="仿宋_GB2312" w:hAnsi="仿宋_GB2312" w:eastAsia="仿宋_GB2312" w:cs="仿宋_GB2312"/>
                <w:b/>
                <w:color w:val="000000"/>
                <w:sz w:val="21"/>
              </w:rPr>
              <w:t>（三）设计制作要求</w:t>
            </w:r>
          </w:p>
          <w:p w14:paraId="1C2D2914">
            <w:pPr>
              <w:pStyle w:val="4"/>
              <w:ind w:firstLine="560"/>
              <w:jc w:val="left"/>
            </w:pPr>
            <w:r>
              <w:rPr>
                <w:rFonts w:ascii="仿宋_GB2312" w:hAnsi="仿宋_GB2312" w:eastAsia="仿宋_GB2312" w:cs="仿宋_GB2312"/>
                <w:color w:val="000000"/>
                <w:sz w:val="21"/>
              </w:rPr>
              <w:t>志书需出版印刷，志书公开出版后，根据采购人实际需求印刷交付2500—3000套。</w:t>
            </w:r>
          </w:p>
          <w:p w14:paraId="3008F500">
            <w:pPr>
              <w:pStyle w:val="4"/>
              <w:ind w:firstLine="560"/>
              <w:jc w:val="left"/>
            </w:pPr>
            <w:r>
              <w:rPr>
                <w:rFonts w:ascii="仿宋_GB2312" w:hAnsi="仿宋_GB2312" w:eastAsia="仿宋_GB2312" w:cs="仿宋_GB2312"/>
                <w:color w:val="000000"/>
                <w:sz w:val="21"/>
              </w:rPr>
              <w:t>1.内容形式：图文并茂，详略得当，内容准确；</w:t>
            </w:r>
          </w:p>
          <w:p w14:paraId="7F9427B6">
            <w:pPr>
              <w:pStyle w:val="4"/>
              <w:ind w:firstLine="560"/>
              <w:jc w:val="left"/>
            </w:pPr>
            <w:r>
              <w:rPr>
                <w:rFonts w:ascii="仿宋_GB2312" w:hAnsi="仿宋_GB2312" w:eastAsia="仿宋_GB2312" w:cs="仿宋_GB2312"/>
                <w:color w:val="000000"/>
                <w:sz w:val="21"/>
              </w:rPr>
              <w:t>2.制作要求：审查通过、经相关程序批准后，提交出版社公开出版。出版印刷版式为：</w:t>
            </w:r>
          </w:p>
          <w:p w14:paraId="23E9E5D4">
            <w:pPr>
              <w:pStyle w:val="4"/>
              <w:ind w:firstLine="560"/>
              <w:jc w:val="left"/>
            </w:pPr>
            <w:r>
              <w:rPr>
                <w:rFonts w:ascii="仿宋_GB2312" w:hAnsi="仿宋_GB2312" w:eastAsia="仿宋_GB2312" w:cs="仿宋_GB2312"/>
                <w:color w:val="000000"/>
                <w:sz w:val="21"/>
              </w:rPr>
              <w:t>封面：特种纸，封面使用烫金等工艺，硬壳精装。</w:t>
            </w:r>
          </w:p>
          <w:p w14:paraId="7E74526C">
            <w:pPr>
              <w:pStyle w:val="4"/>
              <w:ind w:firstLine="560"/>
              <w:jc w:val="left"/>
            </w:pPr>
            <w:r>
              <w:rPr>
                <w:rFonts w:ascii="仿宋_GB2312" w:hAnsi="仿宋_GB2312" w:eastAsia="仿宋_GB2312" w:cs="仿宋_GB2312"/>
                <w:color w:val="000000"/>
                <w:sz w:val="21"/>
              </w:rPr>
              <w:t>内页：80g双胶纸。</w:t>
            </w:r>
          </w:p>
          <w:p w14:paraId="229B2B96">
            <w:pPr>
              <w:pStyle w:val="4"/>
              <w:ind w:firstLine="560"/>
              <w:jc w:val="left"/>
            </w:pPr>
            <w:r>
              <w:rPr>
                <w:rFonts w:ascii="仿宋_GB2312" w:hAnsi="仿宋_GB2312" w:eastAsia="仿宋_GB2312" w:cs="仿宋_GB2312"/>
                <w:color w:val="000000"/>
                <w:sz w:val="21"/>
              </w:rPr>
              <w:t>印刷：四色印刷。</w:t>
            </w:r>
          </w:p>
          <w:p w14:paraId="61C8382F">
            <w:pPr>
              <w:pStyle w:val="4"/>
              <w:ind w:firstLine="560"/>
              <w:jc w:val="left"/>
            </w:pPr>
            <w:r>
              <w:rPr>
                <w:rFonts w:ascii="仿宋_GB2312" w:hAnsi="仿宋_GB2312" w:eastAsia="仿宋_GB2312" w:cs="仿宋_GB2312"/>
                <w:color w:val="000000"/>
                <w:sz w:val="21"/>
              </w:rPr>
              <w:t>装订：锁线装订。</w:t>
            </w:r>
          </w:p>
          <w:p w14:paraId="44878C9A">
            <w:pPr>
              <w:pStyle w:val="4"/>
              <w:ind w:firstLine="560"/>
              <w:jc w:val="left"/>
            </w:pPr>
            <w:r>
              <w:rPr>
                <w:rFonts w:ascii="仿宋_GB2312" w:hAnsi="仿宋_GB2312" w:eastAsia="仿宋_GB2312" w:cs="仿宋_GB2312"/>
                <w:color w:val="000000"/>
                <w:sz w:val="21"/>
              </w:rPr>
              <w:t>开本：16开。</w:t>
            </w:r>
          </w:p>
          <w:p w14:paraId="7F1A4770">
            <w:pPr>
              <w:pStyle w:val="4"/>
              <w:ind w:firstLine="560"/>
              <w:jc w:val="left"/>
            </w:pPr>
            <w:r>
              <w:rPr>
                <w:rFonts w:ascii="仿宋_GB2312" w:hAnsi="仿宋_GB2312" w:eastAsia="仿宋_GB2312" w:cs="仿宋_GB2312"/>
                <w:color w:val="000000"/>
                <w:sz w:val="21"/>
              </w:rPr>
              <w:t>注：以市地志办统一规定为准。</w:t>
            </w:r>
          </w:p>
          <w:p w14:paraId="74F8F98F">
            <w:pPr>
              <w:pStyle w:val="4"/>
              <w:ind w:firstLine="562"/>
              <w:jc w:val="left"/>
            </w:pPr>
            <w:r>
              <w:rPr>
                <w:rFonts w:ascii="仿宋_GB2312" w:hAnsi="仿宋_GB2312" w:eastAsia="仿宋_GB2312" w:cs="仿宋_GB2312"/>
                <w:b/>
                <w:color w:val="000000"/>
                <w:sz w:val="21"/>
              </w:rPr>
              <w:t>（四）服务要求</w:t>
            </w:r>
          </w:p>
          <w:p w14:paraId="6F166F3E">
            <w:pPr>
              <w:pStyle w:val="4"/>
              <w:ind w:firstLine="560"/>
              <w:jc w:val="left"/>
            </w:pPr>
            <w:r>
              <w:rPr>
                <w:rFonts w:ascii="仿宋_GB2312" w:hAnsi="仿宋_GB2312" w:eastAsia="仿宋_GB2312" w:cs="仿宋_GB2312"/>
                <w:color w:val="000000"/>
                <w:sz w:val="21"/>
              </w:rPr>
              <w:t>1.供应商为本项目组建不少于10人的服务团队，其中总编纂1人，其他9人。</w:t>
            </w:r>
          </w:p>
          <w:p w14:paraId="3DD532DD">
            <w:pPr>
              <w:pStyle w:val="4"/>
              <w:ind w:firstLine="560"/>
              <w:jc w:val="left"/>
            </w:pPr>
            <w:r>
              <w:rPr>
                <w:rFonts w:ascii="仿宋_GB2312" w:hAnsi="仿宋_GB2312" w:eastAsia="仿宋_GB2312" w:cs="仿宋_GB2312"/>
                <w:color w:val="000000"/>
                <w:sz w:val="21"/>
              </w:rPr>
              <w:t>2.本项目实施过程中所产生的全部知识成果及知识产权均归采购人所有。</w:t>
            </w:r>
          </w:p>
          <w:p w14:paraId="6985F09D">
            <w:pPr>
              <w:pStyle w:val="4"/>
              <w:ind w:firstLine="560"/>
              <w:jc w:val="left"/>
            </w:pPr>
            <w:r>
              <w:rPr>
                <w:rFonts w:ascii="仿宋_GB2312" w:hAnsi="仿宋_GB2312" w:eastAsia="仿宋_GB2312" w:cs="仿宋_GB2312"/>
                <w:color w:val="000000"/>
                <w:sz w:val="21"/>
              </w:rPr>
              <w:t>3.本项目文字差错率不超过万分之一。</w:t>
            </w:r>
          </w:p>
          <w:p w14:paraId="6FEBF275">
            <w:pPr>
              <w:pStyle w:val="4"/>
              <w:ind w:firstLine="560"/>
              <w:jc w:val="left"/>
            </w:pPr>
            <w:r>
              <w:rPr>
                <w:rFonts w:ascii="仿宋_GB2312" w:hAnsi="仿宋_GB2312" w:eastAsia="仿宋_GB2312" w:cs="仿宋_GB2312"/>
                <w:color w:val="000000"/>
                <w:sz w:val="21"/>
              </w:rPr>
              <w:t>4.本项目所涉及的调研、志稿审查费、出版费、印刷费等均包含在服务费用内。</w:t>
            </w:r>
          </w:p>
          <w:p w14:paraId="6F265413">
            <w:pPr>
              <w:pStyle w:val="4"/>
              <w:ind w:firstLine="560"/>
              <w:jc w:val="left"/>
            </w:pPr>
            <w:r>
              <w:rPr>
                <w:rFonts w:ascii="仿宋_GB2312" w:hAnsi="仿宋_GB2312" w:eastAsia="仿宋_GB2312" w:cs="仿宋_GB2312"/>
                <w:color w:val="000000"/>
                <w:sz w:val="21"/>
              </w:rPr>
              <w:t>5.供应商及本项目参与人员严格落实保密等相关工作要求。</w:t>
            </w:r>
          </w:p>
          <w:p w14:paraId="4873B6D6">
            <w:pPr>
              <w:pStyle w:val="4"/>
              <w:jc w:val="left"/>
            </w:pPr>
            <w:r>
              <w:rPr>
                <w:rFonts w:ascii="仿宋_GB2312" w:hAnsi="仿宋_GB2312" w:eastAsia="仿宋_GB2312" w:cs="仿宋_GB2312"/>
              </w:rPr>
              <w:t xml:space="preserve"> </w:t>
            </w:r>
          </w:p>
        </w:tc>
      </w:tr>
      <w:tr w14:paraId="6DF0F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0B13A0">
            <w:pPr>
              <w:pStyle w:val="4"/>
              <w:jc w:val="center"/>
            </w:pPr>
            <w:r>
              <w:rPr>
                <w:rFonts w:ascii="仿宋_GB2312" w:hAnsi="仿宋_GB2312" w:eastAsia="仿宋_GB2312" w:cs="仿宋_GB2312"/>
              </w:rPr>
              <w:t>3</w:t>
            </w:r>
          </w:p>
        </w:tc>
        <w:tc>
          <w:tcPr>
            <w:tcW w:w="581" w:type="dxa"/>
          </w:tcPr>
          <w:p w14:paraId="0DB959E0"/>
        </w:tc>
        <w:tc>
          <w:tcPr>
            <w:tcW w:w="1495" w:type="dxa"/>
          </w:tcPr>
          <w:p w14:paraId="0CD39BFF">
            <w:pPr>
              <w:pStyle w:val="4"/>
              <w:jc w:val="left"/>
            </w:pPr>
            <w:r>
              <w:rPr>
                <w:rFonts w:ascii="仿宋_GB2312" w:hAnsi="仿宋_GB2312" w:eastAsia="仿宋_GB2312" w:cs="仿宋_GB2312"/>
              </w:rPr>
              <w:t>进度计划</w:t>
            </w:r>
          </w:p>
        </w:tc>
        <w:tc>
          <w:tcPr>
            <w:tcW w:w="5814" w:type="dxa"/>
          </w:tcPr>
          <w:p w14:paraId="2AFC9C6B">
            <w:pPr>
              <w:pStyle w:val="4"/>
              <w:ind w:firstLine="560"/>
              <w:jc w:val="left"/>
            </w:pPr>
            <w:r>
              <w:rPr>
                <w:rFonts w:ascii="仿宋_GB2312" w:hAnsi="仿宋_GB2312" w:eastAsia="仿宋_GB2312" w:cs="仿宋_GB2312"/>
                <w:color w:val="000000"/>
                <w:sz w:val="21"/>
              </w:rPr>
              <w:t>（一）项目立项（计划2026年6月前）。完成项目立项准备工作；组建研究队伍，组织修志人员参加培训；制定编纂方案，确定主要研究方向和成果呈现形式。</w:t>
            </w:r>
          </w:p>
          <w:p w14:paraId="4704F7CE">
            <w:pPr>
              <w:pStyle w:val="4"/>
              <w:ind w:firstLine="560"/>
              <w:jc w:val="left"/>
            </w:pPr>
            <w:r>
              <w:rPr>
                <w:rFonts w:ascii="仿宋_GB2312" w:hAnsi="仿宋_GB2312" w:eastAsia="仿宋_GB2312" w:cs="仿宋_GB2312"/>
                <w:color w:val="000000"/>
                <w:sz w:val="21"/>
              </w:rPr>
              <w:t>（二）拟订篇目（计划2026年6月前）。根据相关规范要求,结合部门（单位）、行业特色，拟订篇目大纲，报市地志办审定。</w:t>
            </w:r>
          </w:p>
          <w:p w14:paraId="67AF4BD6">
            <w:pPr>
              <w:pStyle w:val="4"/>
              <w:ind w:firstLine="560"/>
              <w:jc w:val="left"/>
            </w:pPr>
            <w:r>
              <w:rPr>
                <w:rFonts w:ascii="仿宋_GB2312" w:hAnsi="仿宋_GB2312" w:eastAsia="仿宋_GB2312" w:cs="仿宋_GB2312"/>
                <w:color w:val="000000"/>
                <w:sz w:val="21"/>
              </w:rPr>
              <w:t>（三）资料收集、整理（计划2026年12月前）。根据篇目大纲，组织资料收集、考证和整理，编纂资料长编。</w:t>
            </w:r>
          </w:p>
          <w:p w14:paraId="349B1E9E">
            <w:pPr>
              <w:pStyle w:val="4"/>
              <w:ind w:firstLine="560"/>
              <w:jc w:val="left"/>
            </w:pPr>
            <w:r>
              <w:rPr>
                <w:rFonts w:ascii="仿宋_GB2312" w:hAnsi="仿宋_GB2312" w:eastAsia="仿宋_GB2312" w:cs="仿宋_GB2312"/>
                <w:color w:val="000000"/>
                <w:sz w:val="21"/>
              </w:rPr>
              <w:t>（四）志稿撰写（计划2028年6月前）。在市地志办指导下，按照相关质量规范，完成志稿初纂和总纂。</w:t>
            </w:r>
          </w:p>
          <w:p w14:paraId="79BAE7D8">
            <w:pPr>
              <w:pStyle w:val="4"/>
              <w:ind w:firstLine="560"/>
              <w:jc w:val="left"/>
            </w:pPr>
            <w:r>
              <w:rPr>
                <w:rFonts w:ascii="仿宋_GB2312" w:hAnsi="仿宋_GB2312" w:eastAsia="仿宋_GB2312" w:cs="仿宋_GB2312"/>
                <w:color w:val="000000"/>
                <w:sz w:val="21"/>
              </w:rPr>
              <w:t>（五）志稿审查和修改（计划2029年）。对志稿进行三审并按照审查意见进行修改。初审由本次项目供应商负责，复审和组织终审由市地志办负责。每次审查后3个月内，需按照审查意见进行修改。</w:t>
            </w:r>
          </w:p>
          <w:p w14:paraId="2FD6587A">
            <w:pPr>
              <w:pStyle w:val="4"/>
              <w:ind w:firstLine="560"/>
              <w:jc w:val="left"/>
            </w:pPr>
            <w:r>
              <w:rPr>
                <w:rFonts w:ascii="仿宋_GB2312" w:hAnsi="仿宋_GB2312" w:eastAsia="仿宋_GB2312" w:cs="仿宋_GB2312"/>
                <w:color w:val="000000"/>
                <w:sz w:val="21"/>
              </w:rPr>
              <w:t>（六）志书出版（计划2029年）。通过三审的志稿，经相关程序批准后，提交出版社公开出版。出版印刷版式由市地志办统一规定。</w:t>
            </w:r>
          </w:p>
          <w:p w14:paraId="25EB1459">
            <w:pPr>
              <w:pStyle w:val="4"/>
              <w:jc w:val="left"/>
            </w:pPr>
            <w:r>
              <w:rPr>
                <w:rFonts w:ascii="仿宋_GB2312" w:hAnsi="仿宋_GB2312" w:eastAsia="仿宋_GB2312" w:cs="仿宋_GB2312"/>
              </w:rPr>
              <w:t xml:space="preserve"> </w:t>
            </w:r>
          </w:p>
        </w:tc>
      </w:tr>
      <w:tr w14:paraId="6373ED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5013453">
            <w:pPr>
              <w:pStyle w:val="4"/>
              <w:jc w:val="center"/>
            </w:pPr>
            <w:r>
              <w:rPr>
                <w:rFonts w:ascii="仿宋_GB2312" w:hAnsi="仿宋_GB2312" w:eastAsia="仿宋_GB2312" w:cs="仿宋_GB2312"/>
              </w:rPr>
              <w:t>4</w:t>
            </w:r>
          </w:p>
        </w:tc>
        <w:tc>
          <w:tcPr>
            <w:tcW w:w="581" w:type="dxa"/>
          </w:tcPr>
          <w:p w14:paraId="569DBA86"/>
        </w:tc>
        <w:tc>
          <w:tcPr>
            <w:tcW w:w="1495" w:type="dxa"/>
          </w:tcPr>
          <w:p w14:paraId="0FA43811">
            <w:pPr>
              <w:pStyle w:val="4"/>
              <w:jc w:val="left"/>
            </w:pPr>
            <w:r>
              <w:rPr>
                <w:rFonts w:ascii="仿宋_GB2312" w:hAnsi="仿宋_GB2312" w:eastAsia="仿宋_GB2312" w:cs="仿宋_GB2312"/>
              </w:rPr>
              <w:t>履约要求（作为评分因素，供应商未完全满足，仅按要求进行扣分，不影响其响应文件有效性）</w:t>
            </w:r>
          </w:p>
        </w:tc>
        <w:tc>
          <w:tcPr>
            <w:tcW w:w="5814" w:type="dxa"/>
          </w:tcPr>
          <w:p w14:paraId="04E22461">
            <w:pPr>
              <w:pStyle w:val="4"/>
              <w:ind w:firstLine="560"/>
              <w:jc w:val="both"/>
            </w:pPr>
            <w:r>
              <w:rPr>
                <w:rFonts w:ascii="仿宋_GB2312" w:hAnsi="仿宋_GB2312" w:eastAsia="仿宋_GB2312" w:cs="仿宋_GB2312"/>
                <w:color w:val="000000"/>
                <w:sz w:val="21"/>
              </w:rPr>
              <w:t>（一）人员配置要求</w:t>
            </w:r>
          </w:p>
          <w:p w14:paraId="750A368A">
            <w:pPr>
              <w:pStyle w:val="4"/>
              <w:ind w:firstLine="560"/>
              <w:jc w:val="both"/>
            </w:pPr>
            <w:r>
              <w:rPr>
                <w:rFonts w:ascii="仿宋_GB2312" w:hAnsi="仿宋_GB2312" w:eastAsia="仿宋_GB2312" w:cs="仿宋_GB2312"/>
                <w:color w:val="000000"/>
                <w:sz w:val="21"/>
              </w:rPr>
              <w:t>供应商为本项目配备具有经济类、出版类等相关专业技术职称的专业技术人员。</w:t>
            </w:r>
          </w:p>
          <w:p w14:paraId="22562ACE">
            <w:pPr>
              <w:pStyle w:val="4"/>
              <w:ind w:firstLine="560"/>
              <w:jc w:val="both"/>
            </w:pPr>
            <w:r>
              <w:rPr>
                <w:rFonts w:ascii="仿宋_GB2312" w:hAnsi="仿宋_GB2312" w:eastAsia="仿宋_GB2312" w:cs="仿宋_GB2312"/>
                <w:color w:val="000000"/>
                <w:sz w:val="21"/>
              </w:rPr>
              <w:t>注：除因重大疾病、人员伤亡等类似不可抗力因素外（若发生时应当提供证明材料），供应商签订合同的相关人员应当与其响应文件中拟投入的人员一致（特别是根据评审因素中获得得分的相关人员），否则采购人有权拒绝签订政府采购合同，并就可能存在的虚假响应情形报监督管理部门调查处理。</w:t>
            </w:r>
            <w:r>
              <w:br w:type="textWrapping"/>
            </w:r>
            <w:r>
              <w:rPr>
                <w:rFonts w:ascii="仿宋_GB2312" w:hAnsi="仿宋_GB2312" w:eastAsia="仿宋_GB2312" w:cs="仿宋_GB2312"/>
                <w:color w:val="000000"/>
                <w:sz w:val="21"/>
              </w:rPr>
              <w:t xml:space="preserve">     (二)履约经验</w:t>
            </w:r>
            <w:r>
              <w:br w:type="textWrapping"/>
            </w:r>
            <w:r>
              <w:rPr>
                <w:rFonts w:ascii="仿宋_GB2312" w:hAnsi="仿宋_GB2312" w:eastAsia="仿宋_GB2312" w:cs="仿宋_GB2312"/>
                <w:color w:val="000000"/>
                <w:sz w:val="21"/>
              </w:rPr>
              <w:t xml:space="preserve">    供应商具有项目类似领域的研究项目履约经验和综合实力。</w:t>
            </w:r>
            <w:r>
              <w:br w:type="textWrapping"/>
            </w:r>
            <w:r>
              <w:rPr>
                <w:rFonts w:ascii="仿宋_GB2312" w:hAnsi="仿宋_GB2312" w:eastAsia="仿宋_GB2312" w:cs="仿宋_GB2312"/>
                <w:color w:val="000000"/>
                <w:sz w:val="21"/>
              </w:rPr>
              <w:t xml:space="preserve">     (三)项目服务方案</w:t>
            </w:r>
            <w:r>
              <w:br w:type="textWrapping"/>
            </w:r>
            <w:r>
              <w:rPr>
                <w:rFonts w:ascii="仿宋_GB2312" w:hAnsi="仿宋_GB2312" w:eastAsia="仿宋_GB2312" w:cs="仿宋_GB2312"/>
                <w:color w:val="000000"/>
                <w:sz w:val="21"/>
              </w:rPr>
              <w:t xml:space="preserve">    1.项目背景及需求分析</w:t>
            </w:r>
            <w:r>
              <w:br w:type="textWrapping"/>
            </w:r>
            <w:r>
              <w:rPr>
                <w:rFonts w:ascii="仿宋_GB2312" w:hAnsi="仿宋_GB2312" w:eastAsia="仿宋_GB2312" w:cs="仿宋_GB2312"/>
                <w:color w:val="000000"/>
                <w:sz w:val="21"/>
              </w:rPr>
              <w:t xml:space="preserve">    内容包括：①项目背景分析；②项目执行过程中的关键点分析。</w:t>
            </w:r>
            <w:r>
              <w:br w:type="textWrapping"/>
            </w:r>
            <w:r>
              <w:rPr>
                <w:rFonts w:ascii="仿宋_GB2312" w:hAnsi="仿宋_GB2312" w:eastAsia="仿宋_GB2312" w:cs="仿宋_GB2312"/>
                <w:color w:val="000000"/>
                <w:sz w:val="21"/>
              </w:rPr>
              <w:t xml:space="preserve">    2.服务措施</w:t>
            </w:r>
            <w:r>
              <w:br w:type="textWrapping"/>
            </w:r>
            <w:r>
              <w:rPr>
                <w:rFonts w:ascii="仿宋_GB2312" w:hAnsi="仿宋_GB2312" w:eastAsia="仿宋_GB2312" w:cs="仿宋_GB2312"/>
                <w:color w:val="000000"/>
                <w:sz w:val="21"/>
              </w:rPr>
              <w:t xml:space="preserve">    内容包括：①项目实施思路；②重难点分析及解决方案；③人员分工安排；④项目实施计划与流程。</w:t>
            </w:r>
            <w:r>
              <w:br w:type="textWrapping"/>
            </w:r>
            <w:r>
              <w:rPr>
                <w:rFonts w:ascii="仿宋_GB2312" w:hAnsi="仿宋_GB2312" w:eastAsia="仿宋_GB2312" w:cs="仿宋_GB2312"/>
                <w:color w:val="000000"/>
                <w:sz w:val="21"/>
              </w:rPr>
              <w:t xml:space="preserve">    3.编撰技术方案</w:t>
            </w:r>
            <w:r>
              <w:br w:type="textWrapping"/>
            </w:r>
            <w:r>
              <w:rPr>
                <w:rFonts w:ascii="仿宋_GB2312" w:hAnsi="仿宋_GB2312" w:eastAsia="仿宋_GB2312" w:cs="仿宋_GB2312"/>
                <w:color w:val="000000"/>
                <w:sz w:val="21"/>
              </w:rPr>
              <w:t xml:space="preserve">    内容包括：①编创大纲、②创新亮点。</w:t>
            </w:r>
          </w:p>
          <w:p w14:paraId="57084824">
            <w:pPr>
              <w:pStyle w:val="4"/>
              <w:ind w:firstLine="560"/>
              <w:jc w:val="both"/>
            </w:pPr>
            <w:r>
              <w:rPr>
                <w:rFonts w:ascii="仿宋_GB2312" w:hAnsi="仿宋_GB2312" w:eastAsia="仿宋_GB2312" w:cs="仿宋_GB2312"/>
                <w:color w:val="000000"/>
                <w:sz w:val="21"/>
              </w:rPr>
              <w:t>（四）项目保障方案</w:t>
            </w:r>
          </w:p>
          <w:p w14:paraId="3297B6A8">
            <w:pPr>
              <w:pStyle w:val="4"/>
              <w:ind w:firstLine="560"/>
              <w:jc w:val="both"/>
            </w:pPr>
            <w:r>
              <w:rPr>
                <w:rFonts w:ascii="仿宋_GB2312" w:hAnsi="仿宋_GB2312" w:eastAsia="仿宋_GB2312" w:cs="仿宋_GB2312"/>
                <w:color w:val="000000"/>
                <w:sz w:val="21"/>
              </w:rPr>
              <w:t>内容包括：①质量保障措施；②应急解决方案；③后续服务保障措施；④保密和安全保障措施。</w:t>
            </w:r>
          </w:p>
          <w:p w14:paraId="3DA36FB5">
            <w:pPr>
              <w:pStyle w:val="4"/>
              <w:jc w:val="left"/>
            </w:pPr>
            <w:r>
              <w:rPr>
                <w:rFonts w:ascii="仿宋_GB2312" w:hAnsi="仿宋_GB2312" w:eastAsia="仿宋_GB2312" w:cs="仿宋_GB2312"/>
              </w:rPr>
              <w:t xml:space="preserve"> </w:t>
            </w:r>
          </w:p>
        </w:tc>
      </w:tr>
      <w:tr w14:paraId="5534B8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91F6EB">
            <w:pPr>
              <w:pStyle w:val="4"/>
              <w:jc w:val="center"/>
            </w:pPr>
            <w:r>
              <w:rPr>
                <w:rFonts w:ascii="仿宋_GB2312" w:hAnsi="仿宋_GB2312" w:eastAsia="仿宋_GB2312" w:cs="仿宋_GB2312"/>
              </w:rPr>
              <w:t>5</w:t>
            </w:r>
          </w:p>
        </w:tc>
        <w:tc>
          <w:tcPr>
            <w:tcW w:w="581" w:type="dxa"/>
          </w:tcPr>
          <w:p w14:paraId="46539F83">
            <w:pPr>
              <w:pStyle w:val="4"/>
              <w:jc w:val="center"/>
            </w:pPr>
            <w:r>
              <w:rPr>
                <w:rFonts w:ascii="仿宋_GB2312" w:hAnsi="仿宋_GB2312" w:eastAsia="仿宋_GB2312" w:cs="仿宋_GB2312"/>
              </w:rPr>
              <w:t>★</w:t>
            </w:r>
          </w:p>
        </w:tc>
        <w:tc>
          <w:tcPr>
            <w:tcW w:w="1495" w:type="dxa"/>
          </w:tcPr>
          <w:p w14:paraId="2882F3D5">
            <w:pPr>
              <w:pStyle w:val="4"/>
              <w:jc w:val="left"/>
            </w:pPr>
            <w:r>
              <w:rPr>
                <w:rFonts w:ascii="仿宋_GB2312" w:hAnsi="仿宋_GB2312" w:eastAsia="仿宋_GB2312" w:cs="仿宋_GB2312"/>
              </w:rPr>
              <w:t>商务要求（因系统格式固化，本项目商务要求以此为准）</w:t>
            </w:r>
          </w:p>
        </w:tc>
        <w:tc>
          <w:tcPr>
            <w:tcW w:w="5814" w:type="dxa"/>
          </w:tcPr>
          <w:p w14:paraId="7F3BF844">
            <w:pPr>
              <w:pStyle w:val="4"/>
              <w:ind w:firstLine="638"/>
              <w:jc w:val="both"/>
            </w:pPr>
            <w:r>
              <w:rPr>
                <w:rFonts w:ascii="仿宋_GB2312" w:hAnsi="仿宋_GB2312" w:eastAsia="仿宋_GB2312" w:cs="仿宋_GB2312"/>
                <w:color w:val="000000"/>
                <w:sz w:val="21"/>
              </w:rPr>
              <w:t>（一）履约时间：合同签订之日起至2029年12月31日（计划时间）。如约定服务内容超前完成，则服务期限提前结束。如服务期限到期，约定服务内容未执行完毕，可据情况协商后延长服务期限。</w:t>
            </w:r>
          </w:p>
          <w:p w14:paraId="09F12563">
            <w:pPr>
              <w:pStyle w:val="4"/>
              <w:ind w:firstLine="638"/>
              <w:jc w:val="both"/>
            </w:pPr>
            <w:r>
              <w:rPr>
                <w:rFonts w:ascii="仿宋_GB2312" w:hAnsi="仿宋_GB2312" w:eastAsia="仿宋_GB2312" w:cs="仿宋_GB2312"/>
                <w:color w:val="000000"/>
                <w:sz w:val="21"/>
              </w:rPr>
              <w:t>（二）履约地点：成都市，具体地点由采购人指定。</w:t>
            </w:r>
          </w:p>
          <w:p w14:paraId="046AB0E3">
            <w:pPr>
              <w:pStyle w:val="4"/>
              <w:ind w:firstLine="638"/>
              <w:jc w:val="both"/>
            </w:pPr>
            <w:r>
              <w:rPr>
                <w:rFonts w:ascii="仿宋_GB2312" w:hAnsi="仿宋_GB2312" w:eastAsia="仿宋_GB2312" w:cs="仿宋_GB2312"/>
                <w:color w:val="000000"/>
                <w:sz w:val="21"/>
              </w:rPr>
              <w:t>（三）付款方式：</w:t>
            </w:r>
          </w:p>
          <w:p w14:paraId="3F0B2D1F">
            <w:pPr>
              <w:pStyle w:val="4"/>
              <w:ind w:firstLine="638"/>
              <w:jc w:val="both"/>
            </w:pPr>
            <w:r>
              <w:rPr>
                <w:rFonts w:ascii="仿宋_GB2312" w:hAnsi="仿宋_GB2312" w:eastAsia="仿宋_GB2312" w:cs="仿宋_GB2312"/>
                <w:color w:val="000000"/>
                <w:sz w:val="21"/>
              </w:rPr>
              <w:t>1.（1）合同签订生效后，且收到供应商发票后12日内，支付合同总金额的20%。</w:t>
            </w:r>
          </w:p>
          <w:p w14:paraId="467646D3">
            <w:pPr>
              <w:pStyle w:val="4"/>
              <w:ind w:firstLine="638"/>
              <w:jc w:val="both"/>
            </w:pPr>
            <w:r>
              <w:rPr>
                <w:rFonts w:ascii="仿宋_GB2312" w:hAnsi="仿宋_GB2312" w:eastAsia="仿宋_GB2312" w:cs="仿宋_GB2312"/>
                <w:color w:val="000000"/>
                <w:sz w:val="21"/>
              </w:rPr>
              <w:t>（2）形成篇目大纲后，且收到供应商发票后12日内，支付合同总金额的10%。</w:t>
            </w:r>
          </w:p>
          <w:p w14:paraId="3DCC161F">
            <w:pPr>
              <w:pStyle w:val="4"/>
              <w:ind w:firstLine="638"/>
              <w:jc w:val="both"/>
            </w:pPr>
            <w:r>
              <w:rPr>
                <w:rFonts w:ascii="仿宋_GB2312" w:hAnsi="仿宋_GB2312" w:eastAsia="仿宋_GB2312" w:cs="仿宋_GB2312"/>
                <w:color w:val="000000"/>
                <w:sz w:val="21"/>
              </w:rPr>
              <w:t>（3）形成资料长编后，且收到供应商发票后12日内，支付合同总金额的15%。</w:t>
            </w:r>
          </w:p>
          <w:p w14:paraId="0F8F3DC7">
            <w:pPr>
              <w:pStyle w:val="4"/>
              <w:ind w:firstLine="638"/>
              <w:jc w:val="both"/>
            </w:pPr>
            <w:r>
              <w:rPr>
                <w:rFonts w:ascii="仿宋_GB2312" w:hAnsi="仿宋_GB2312" w:eastAsia="仿宋_GB2312" w:cs="仿宋_GB2312"/>
                <w:color w:val="000000"/>
                <w:sz w:val="21"/>
              </w:rPr>
              <w:t>（4）形成志稿初纂和总纂，且收到供应商发票后12日内，支付合同总金额的15%。</w:t>
            </w:r>
          </w:p>
          <w:p w14:paraId="32D2B0CE">
            <w:pPr>
              <w:pStyle w:val="4"/>
              <w:ind w:firstLine="638"/>
              <w:jc w:val="both"/>
            </w:pPr>
            <w:r>
              <w:rPr>
                <w:rFonts w:ascii="仿宋_GB2312" w:hAnsi="仿宋_GB2312" w:eastAsia="仿宋_GB2312" w:cs="仿宋_GB2312"/>
                <w:color w:val="000000"/>
                <w:sz w:val="21"/>
              </w:rPr>
              <w:t>（5）志稿经初审后，且收到供应商发票后12日内，支付合同总金额的10%。</w:t>
            </w:r>
          </w:p>
          <w:p w14:paraId="2CDF78DE">
            <w:pPr>
              <w:pStyle w:val="4"/>
              <w:ind w:firstLine="638"/>
              <w:jc w:val="both"/>
            </w:pPr>
            <w:r>
              <w:rPr>
                <w:rFonts w:ascii="仿宋_GB2312" w:hAnsi="仿宋_GB2312" w:eastAsia="仿宋_GB2312" w:cs="仿宋_GB2312"/>
                <w:color w:val="000000"/>
                <w:sz w:val="21"/>
              </w:rPr>
              <w:t>（6）志稿经市地志办复审、终审后，且收到供应商发票后12日内，支付合同总金额的10%。</w:t>
            </w:r>
          </w:p>
          <w:p w14:paraId="008E4F7A">
            <w:pPr>
              <w:pStyle w:val="4"/>
              <w:ind w:firstLine="638"/>
              <w:jc w:val="both"/>
            </w:pPr>
            <w:r>
              <w:rPr>
                <w:rFonts w:ascii="仿宋_GB2312" w:hAnsi="仿宋_GB2312" w:eastAsia="仿宋_GB2312" w:cs="仿宋_GB2312"/>
                <w:color w:val="000000"/>
                <w:sz w:val="21"/>
              </w:rPr>
              <w:t>（7）志稿出版后，项目履约验收通过，且收到供应商发票后12日内，支付合同总金额的20%。</w:t>
            </w:r>
          </w:p>
          <w:p w14:paraId="1DBCC8F7">
            <w:pPr>
              <w:pStyle w:val="4"/>
              <w:ind w:firstLine="638"/>
              <w:jc w:val="both"/>
            </w:pPr>
            <w:r>
              <w:rPr>
                <w:rFonts w:ascii="仿宋_GB2312" w:hAnsi="仿宋_GB2312" w:eastAsia="仿宋_GB2312" w:cs="仿宋_GB2312"/>
                <w:color w:val="000000"/>
                <w:sz w:val="21"/>
              </w:rPr>
              <w:t>2.乙方应在甲方每次付款前向甲方出具同等金额的普通发票，若乙方未及时出具发票的，甲方有权迟延付款且不承担违约责任。乙方开户银行、账户名称、账号等收款信息应与合同保持一致。因收款信息变更产生的收款延误和其他风险及法律责任由乙方承担。甲乙双方确认，如甲方因财政拨款、资金调度等原因不能按时付款的，付款期限顺延，不视为甲方违约。</w:t>
            </w:r>
          </w:p>
          <w:p w14:paraId="5A74714F">
            <w:pPr>
              <w:pStyle w:val="4"/>
              <w:ind w:firstLine="638"/>
              <w:jc w:val="both"/>
            </w:pPr>
            <w:r>
              <w:rPr>
                <w:rFonts w:ascii="仿宋_GB2312" w:hAnsi="仿宋_GB2312" w:eastAsia="仿宋_GB2312" w:cs="仿宋_GB2312"/>
                <w:color w:val="000000"/>
                <w:sz w:val="21"/>
              </w:rPr>
              <w:t>（四）验收标准及验收方法：</w:t>
            </w:r>
          </w:p>
          <w:p w14:paraId="1FA9A007">
            <w:pPr>
              <w:pStyle w:val="4"/>
              <w:ind w:firstLine="638"/>
              <w:jc w:val="both"/>
            </w:pPr>
            <w:r>
              <w:rPr>
                <w:rFonts w:ascii="仿宋_GB2312" w:hAnsi="仿宋_GB2312" w:eastAsia="仿宋_GB2312" w:cs="仿宋_GB2312"/>
                <w:color w:val="000000"/>
                <w:sz w:val="21"/>
              </w:rPr>
              <w:t>1.验收方式：由采购人组织履约验收小组，开展项目验收工作，达到国家相关标准、行业标准、地方标准或者其他标准、规范要求为标准，按照《竞争性磋商文件》《响应文件》和双方签订的《采购合同》，审查项目资料完备性、规范性情况，审查项目履行合同、《竞争性磋商文件》和《响应文件》情况，审查所有服务质量、执行标准规范性、项目成果准确性以及各项技术指标完成情况，对供应商履约情况进行验收，出具《验收报告》。</w:t>
            </w:r>
          </w:p>
          <w:p w14:paraId="0B184226">
            <w:pPr>
              <w:pStyle w:val="4"/>
              <w:ind w:firstLine="638"/>
              <w:jc w:val="both"/>
            </w:pPr>
            <w:r>
              <w:rPr>
                <w:rFonts w:ascii="仿宋_GB2312" w:hAnsi="仿宋_GB2312" w:eastAsia="仿宋_GB2312" w:cs="仿宋_GB2312"/>
                <w:color w:val="000000"/>
                <w:sz w:val="21"/>
              </w:rPr>
              <w:t>2.验收时间：合同履行完毕，乙方向甲方提出书面验收申请后的10个工作日内组织总体验收工作。</w:t>
            </w:r>
          </w:p>
          <w:p w14:paraId="3CFB8BA3">
            <w:pPr>
              <w:pStyle w:val="4"/>
              <w:ind w:firstLine="638"/>
              <w:jc w:val="both"/>
            </w:pPr>
            <w:r>
              <w:rPr>
                <w:rFonts w:ascii="仿宋_GB2312" w:hAnsi="仿宋_GB2312" w:eastAsia="仿宋_GB2312" w:cs="仿宋_GB2312"/>
                <w:color w:val="000000"/>
                <w:sz w:val="21"/>
              </w:rPr>
              <w:t>3.验收标准：严格按照《财政部关于进一步加强政府采购需求和履约验收管理的指导意见》(财库〔2016〕205号)、《政府采购需求管理办法》(财库〔2021〕22 号)的规定，国家相关标准、行业标准、地方标准或者其他标准、规范以及采购人要求进行验收。</w:t>
            </w:r>
          </w:p>
          <w:p w14:paraId="7622F1FC">
            <w:pPr>
              <w:pStyle w:val="4"/>
              <w:ind w:firstLine="638"/>
              <w:jc w:val="both"/>
            </w:pPr>
            <w:r>
              <w:rPr>
                <w:rFonts w:ascii="仿宋_GB2312" w:hAnsi="仿宋_GB2312" w:eastAsia="仿宋_GB2312" w:cs="仿宋_GB2312"/>
                <w:color w:val="000000"/>
                <w:sz w:val="21"/>
              </w:rPr>
              <w:t>4.其他关于履约验收未尽事项采购人与成交供应商严格按照《财政部关于进一步加强政府采购需求和履约验收管理的指导意见》（财库〔2016〕205 号）要求执行。</w:t>
            </w:r>
          </w:p>
          <w:p w14:paraId="065EF7E6">
            <w:pPr>
              <w:pStyle w:val="4"/>
              <w:ind w:firstLine="638"/>
              <w:jc w:val="both"/>
            </w:pPr>
            <w:r>
              <w:rPr>
                <w:rFonts w:ascii="仿宋_GB2312" w:hAnsi="仿宋_GB2312" w:eastAsia="仿宋_GB2312" w:cs="仿宋_GB2312"/>
                <w:color w:val="000000"/>
                <w:sz w:val="21"/>
              </w:rPr>
              <w:t>（五）其他要求</w:t>
            </w:r>
          </w:p>
          <w:p w14:paraId="70292618">
            <w:pPr>
              <w:pStyle w:val="4"/>
              <w:ind w:firstLine="638"/>
              <w:jc w:val="both"/>
            </w:pPr>
            <w:r>
              <w:rPr>
                <w:rFonts w:ascii="仿宋_GB2312" w:hAnsi="仿宋_GB2312" w:eastAsia="仿宋_GB2312" w:cs="仿宋_GB2312"/>
                <w:color w:val="000000"/>
                <w:sz w:val="21"/>
              </w:rPr>
              <w:t>1、政府采购合同签订时间：供应商成交后，自成交通知书发出之日起，须按采购相关法律法规要求，在30日内与采购单位签订采购合同。</w:t>
            </w:r>
          </w:p>
          <w:p w14:paraId="74F5AF1B">
            <w:pPr>
              <w:pStyle w:val="4"/>
              <w:ind w:firstLine="638"/>
              <w:jc w:val="both"/>
            </w:pPr>
            <w:r>
              <w:rPr>
                <w:rFonts w:ascii="仿宋_GB2312" w:hAnsi="仿宋_GB2312" w:eastAsia="仿宋_GB2312" w:cs="仿宋_GB2312"/>
                <w:color w:val="000000"/>
                <w:sz w:val="21"/>
              </w:rPr>
              <w:t>2.供应商服务人员在服务期间发生人身、财产伤亡事故，或在服务过程中造成第三人伤亡的，责任由供应商承担。</w:t>
            </w:r>
          </w:p>
          <w:p w14:paraId="40DB4B94">
            <w:pPr>
              <w:pStyle w:val="4"/>
              <w:ind w:firstLine="638"/>
              <w:jc w:val="both"/>
            </w:pPr>
            <w:r>
              <w:rPr>
                <w:rFonts w:ascii="仿宋_GB2312" w:hAnsi="仿宋_GB2312" w:eastAsia="仿宋_GB2312" w:cs="仿宋_GB2312"/>
                <w:color w:val="000000"/>
                <w:sz w:val="21"/>
              </w:rPr>
              <w:t>3.合同执行期间采购人有权不定期核对供应商提供服务所配备的人员数量及相关信息，对于未按照采购文件及响应文件执行或存在不合理的部分有权下达整改通知书，并要求供应商限期整改。</w:t>
            </w:r>
          </w:p>
          <w:p w14:paraId="6FE3C134">
            <w:pPr>
              <w:pStyle w:val="4"/>
              <w:ind w:firstLine="638"/>
              <w:jc w:val="both"/>
            </w:pPr>
            <w:r>
              <w:rPr>
                <w:rFonts w:ascii="仿宋_GB2312" w:hAnsi="仿宋_GB2312" w:eastAsia="仿宋_GB2312" w:cs="仿宋_GB2312"/>
                <w:color w:val="000000"/>
                <w:sz w:val="21"/>
              </w:rPr>
              <w:t>4.保险</w:t>
            </w:r>
          </w:p>
          <w:p w14:paraId="270569CA">
            <w:pPr>
              <w:pStyle w:val="4"/>
              <w:ind w:firstLine="638"/>
              <w:jc w:val="both"/>
            </w:pPr>
            <w:r>
              <w:rPr>
                <w:rFonts w:ascii="仿宋_GB2312" w:hAnsi="仿宋_GB2312" w:eastAsia="仿宋_GB2312" w:cs="仿宋_GB2312"/>
                <w:color w:val="000000"/>
                <w:sz w:val="21"/>
              </w:rPr>
              <w:t>(1)供应商应当遵守国家有关消防、安全、生产操作、劳动保护等方面的规定，并根据自身实际情况和项目履约实际情况，购买涉及上述履约风险的对应保险，保险金额以抵消可能发生的事故因其发生所造成的财产、人身损失承担赔偿保险金责任，维护保险标的的安全。</w:t>
            </w:r>
          </w:p>
          <w:p w14:paraId="3EC10603">
            <w:pPr>
              <w:pStyle w:val="4"/>
              <w:ind w:firstLine="638"/>
              <w:jc w:val="both"/>
            </w:pPr>
            <w:r>
              <w:rPr>
                <w:rFonts w:ascii="仿宋_GB2312" w:hAnsi="仿宋_GB2312" w:eastAsia="仿宋_GB2312" w:cs="仿宋_GB2312"/>
                <w:color w:val="000000"/>
                <w:sz w:val="21"/>
              </w:rPr>
              <w:t>(2)供应商应为本项目提供履约的所有人员按照国家规定购买相关保险。</w:t>
            </w:r>
          </w:p>
          <w:p w14:paraId="1E8AEAA8">
            <w:pPr>
              <w:pStyle w:val="4"/>
              <w:ind w:firstLine="638"/>
              <w:jc w:val="both"/>
            </w:pPr>
            <w:r>
              <w:rPr>
                <w:rFonts w:ascii="仿宋_GB2312" w:hAnsi="仿宋_GB2312" w:eastAsia="仿宋_GB2312" w:cs="仿宋_GB2312"/>
                <w:color w:val="000000"/>
                <w:sz w:val="21"/>
              </w:rPr>
              <w:t>5.供应商应当定期及时向采购人通告本项目服务范围内有关服务的重大事项及其进度。</w:t>
            </w:r>
          </w:p>
          <w:p w14:paraId="560C0CA3">
            <w:pPr>
              <w:pStyle w:val="4"/>
              <w:ind w:firstLine="638"/>
              <w:jc w:val="both"/>
            </w:pPr>
            <w:r>
              <w:rPr>
                <w:rFonts w:ascii="仿宋_GB2312" w:hAnsi="仿宋_GB2312" w:eastAsia="仿宋_GB2312" w:cs="仿宋_GB2312"/>
                <w:color w:val="000000"/>
                <w:sz w:val="21"/>
              </w:rPr>
              <w:t>6.供应商应当接受项目行业管理部门及政府有关部门的指导，接受采购人的监督。</w:t>
            </w:r>
          </w:p>
          <w:p w14:paraId="0750A557">
            <w:pPr>
              <w:pStyle w:val="4"/>
              <w:ind w:firstLine="638"/>
              <w:jc w:val="both"/>
            </w:pPr>
            <w:r>
              <w:rPr>
                <w:rFonts w:ascii="仿宋_GB2312" w:hAnsi="仿宋_GB2312" w:eastAsia="仿宋_GB2312" w:cs="仿宋_GB2312"/>
                <w:color w:val="000000"/>
                <w:sz w:val="21"/>
              </w:rPr>
              <w:t>7.在采购合同履约过程中发生的或与本合同有关的争端，供应商与采购人应通过友好协商解决，协商或调解不成的，任何一方均可向甲方所在地人民法院起诉。</w:t>
            </w:r>
          </w:p>
          <w:p w14:paraId="64EFE491">
            <w:pPr>
              <w:pStyle w:val="4"/>
              <w:jc w:val="left"/>
            </w:pPr>
            <w:r>
              <w:rPr>
                <w:rFonts w:ascii="仿宋_GB2312" w:hAnsi="仿宋_GB2312" w:eastAsia="仿宋_GB2312" w:cs="仿宋_GB2312"/>
                <w:color w:val="000000"/>
                <w:sz w:val="21"/>
              </w:rPr>
              <w:t>8.其他未尽事宜按照采购合同规定执行。</w:t>
            </w:r>
          </w:p>
          <w:p w14:paraId="19992293">
            <w:pPr>
              <w:pStyle w:val="4"/>
              <w:jc w:val="left"/>
            </w:pPr>
            <w:r>
              <w:rPr>
                <w:rFonts w:ascii="仿宋_GB2312" w:hAnsi="仿宋_GB2312" w:eastAsia="仿宋_GB2312" w:cs="仿宋_GB2312"/>
              </w:rPr>
              <w:t xml:space="preserve"> </w:t>
            </w:r>
          </w:p>
        </w:tc>
      </w:tr>
    </w:tbl>
    <w:p w14:paraId="45E6858F">
      <w:pPr>
        <w:pStyle w:val="4"/>
        <w:jc w:val="left"/>
        <w:outlineLvl w:val="2"/>
      </w:pPr>
      <w:r>
        <w:rPr>
          <w:rFonts w:ascii="仿宋_GB2312" w:hAnsi="仿宋_GB2312" w:eastAsia="仿宋_GB2312" w:cs="仿宋_GB2312"/>
          <w:b/>
          <w:sz w:val="28"/>
        </w:rPr>
        <w:t>3.3.服务要求</w:t>
      </w:r>
    </w:p>
    <w:p w14:paraId="172168E9">
      <w:pPr>
        <w:pStyle w:val="4"/>
        <w:jc w:val="left"/>
        <w:outlineLvl w:val="3"/>
      </w:pPr>
      <w:r>
        <w:rPr>
          <w:rFonts w:ascii="仿宋_GB2312" w:hAnsi="仿宋_GB2312" w:eastAsia="仿宋_GB2312" w:cs="仿宋_GB2312"/>
          <w:b/>
          <w:sz w:val="24"/>
        </w:rPr>
        <w:t>3.3.1服务内容要求</w:t>
      </w:r>
    </w:p>
    <w:p w14:paraId="6B85AE5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2A65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6AF606">
            <w:pPr>
              <w:pStyle w:val="4"/>
              <w:jc w:val="center"/>
            </w:pPr>
            <w:r>
              <w:rPr>
                <w:rFonts w:ascii="仿宋_GB2312" w:hAnsi="仿宋_GB2312" w:eastAsia="仿宋_GB2312" w:cs="仿宋_GB2312"/>
              </w:rPr>
              <w:t xml:space="preserve"> 序号</w:t>
            </w:r>
          </w:p>
        </w:tc>
        <w:tc>
          <w:tcPr>
            <w:tcW w:w="581" w:type="dxa"/>
          </w:tcPr>
          <w:p w14:paraId="63973223">
            <w:pPr>
              <w:pStyle w:val="4"/>
              <w:jc w:val="center"/>
            </w:pPr>
            <w:r>
              <w:rPr>
                <w:rFonts w:ascii="仿宋_GB2312" w:hAnsi="仿宋_GB2312" w:eastAsia="仿宋_GB2312" w:cs="仿宋_GB2312"/>
              </w:rPr>
              <w:t xml:space="preserve"> 符号标识</w:t>
            </w:r>
          </w:p>
        </w:tc>
        <w:tc>
          <w:tcPr>
            <w:tcW w:w="1495" w:type="dxa"/>
          </w:tcPr>
          <w:p w14:paraId="30A84C63">
            <w:pPr>
              <w:pStyle w:val="4"/>
              <w:jc w:val="center"/>
            </w:pPr>
            <w:r>
              <w:rPr>
                <w:rFonts w:ascii="仿宋_GB2312" w:hAnsi="仿宋_GB2312" w:eastAsia="仿宋_GB2312" w:cs="仿宋_GB2312"/>
              </w:rPr>
              <w:t xml:space="preserve"> 服务要求名称</w:t>
            </w:r>
          </w:p>
        </w:tc>
        <w:tc>
          <w:tcPr>
            <w:tcW w:w="5814" w:type="dxa"/>
          </w:tcPr>
          <w:p w14:paraId="08ED4CD5">
            <w:pPr>
              <w:pStyle w:val="4"/>
              <w:jc w:val="center"/>
            </w:pPr>
            <w:r>
              <w:rPr>
                <w:rFonts w:ascii="仿宋_GB2312" w:hAnsi="仿宋_GB2312" w:eastAsia="仿宋_GB2312" w:cs="仿宋_GB2312"/>
              </w:rPr>
              <w:t xml:space="preserve"> 服务要求内容</w:t>
            </w:r>
          </w:p>
        </w:tc>
      </w:tr>
      <w:tr w14:paraId="15A082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40D05B08">
            <w:pPr>
              <w:pStyle w:val="4"/>
              <w:jc w:val="center"/>
            </w:pPr>
            <w:r>
              <w:rPr>
                <w:rFonts w:ascii="仿宋_GB2312" w:hAnsi="仿宋_GB2312" w:eastAsia="仿宋_GB2312" w:cs="仿宋_GB2312"/>
              </w:rPr>
              <w:t>无</w:t>
            </w:r>
          </w:p>
        </w:tc>
      </w:tr>
    </w:tbl>
    <w:p w14:paraId="567930E7">
      <w:pPr>
        <w:pStyle w:val="4"/>
        <w:jc w:val="left"/>
        <w:outlineLvl w:val="3"/>
      </w:pPr>
      <w:r>
        <w:rPr>
          <w:rFonts w:ascii="仿宋_GB2312" w:hAnsi="仿宋_GB2312" w:eastAsia="仿宋_GB2312" w:cs="仿宋_GB2312"/>
          <w:b/>
          <w:sz w:val="24"/>
        </w:rPr>
        <w:t>3.3.2.商务要求</w:t>
      </w:r>
    </w:p>
    <w:p w14:paraId="147C67C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02C76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4475B9">
            <w:pPr>
              <w:pStyle w:val="4"/>
              <w:jc w:val="center"/>
            </w:pPr>
            <w:r>
              <w:rPr>
                <w:rFonts w:ascii="仿宋_GB2312" w:hAnsi="仿宋_GB2312" w:eastAsia="仿宋_GB2312" w:cs="仿宋_GB2312"/>
              </w:rPr>
              <w:t>序号</w:t>
            </w:r>
          </w:p>
        </w:tc>
        <w:tc>
          <w:tcPr>
            <w:tcW w:w="581" w:type="dxa"/>
          </w:tcPr>
          <w:p w14:paraId="4F88D613">
            <w:pPr>
              <w:pStyle w:val="4"/>
              <w:jc w:val="center"/>
            </w:pPr>
            <w:r>
              <w:rPr>
                <w:rFonts w:ascii="仿宋_GB2312" w:hAnsi="仿宋_GB2312" w:eastAsia="仿宋_GB2312" w:cs="仿宋_GB2312"/>
              </w:rPr>
              <w:t>符号标识</w:t>
            </w:r>
          </w:p>
        </w:tc>
        <w:tc>
          <w:tcPr>
            <w:tcW w:w="1495" w:type="dxa"/>
          </w:tcPr>
          <w:p w14:paraId="0C187AB5">
            <w:pPr>
              <w:pStyle w:val="4"/>
              <w:jc w:val="center"/>
            </w:pPr>
            <w:r>
              <w:rPr>
                <w:rFonts w:ascii="仿宋_GB2312" w:hAnsi="仿宋_GB2312" w:eastAsia="仿宋_GB2312" w:cs="仿宋_GB2312"/>
              </w:rPr>
              <w:t>商务要求名称</w:t>
            </w:r>
          </w:p>
        </w:tc>
        <w:tc>
          <w:tcPr>
            <w:tcW w:w="5814" w:type="dxa"/>
          </w:tcPr>
          <w:p w14:paraId="4611D972">
            <w:pPr>
              <w:pStyle w:val="4"/>
              <w:jc w:val="center"/>
            </w:pPr>
            <w:r>
              <w:rPr>
                <w:rFonts w:ascii="仿宋_GB2312" w:hAnsi="仿宋_GB2312" w:eastAsia="仿宋_GB2312" w:cs="仿宋_GB2312"/>
              </w:rPr>
              <w:t>商务要求内容</w:t>
            </w:r>
          </w:p>
        </w:tc>
      </w:tr>
      <w:tr w14:paraId="6ECBA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FF6F78">
            <w:pPr>
              <w:pStyle w:val="4"/>
              <w:jc w:val="center"/>
            </w:pPr>
            <w:r>
              <w:rPr>
                <w:rFonts w:ascii="仿宋_GB2312" w:hAnsi="仿宋_GB2312" w:eastAsia="仿宋_GB2312" w:cs="仿宋_GB2312"/>
              </w:rPr>
              <w:t>1</w:t>
            </w:r>
          </w:p>
        </w:tc>
        <w:tc>
          <w:tcPr>
            <w:tcW w:w="581" w:type="dxa"/>
          </w:tcPr>
          <w:p w14:paraId="7AA61483">
            <w:pPr>
              <w:pStyle w:val="4"/>
              <w:jc w:val="center"/>
            </w:pPr>
            <w:r>
              <w:rPr>
                <w:rFonts w:ascii="仿宋_GB2312" w:hAnsi="仿宋_GB2312" w:eastAsia="仿宋_GB2312" w:cs="仿宋_GB2312"/>
              </w:rPr>
              <w:t>★</w:t>
            </w:r>
          </w:p>
        </w:tc>
        <w:tc>
          <w:tcPr>
            <w:tcW w:w="1495" w:type="dxa"/>
          </w:tcPr>
          <w:p w14:paraId="587AD489">
            <w:pPr>
              <w:pStyle w:val="4"/>
              <w:jc w:val="left"/>
            </w:pPr>
            <w:r>
              <w:rPr>
                <w:rFonts w:ascii="仿宋_GB2312" w:hAnsi="仿宋_GB2312" w:eastAsia="仿宋_GB2312" w:cs="仿宋_GB2312"/>
              </w:rPr>
              <w:t>服务期限</w:t>
            </w:r>
          </w:p>
        </w:tc>
        <w:tc>
          <w:tcPr>
            <w:tcW w:w="5814" w:type="dxa"/>
          </w:tcPr>
          <w:p w14:paraId="29625784">
            <w:pPr>
              <w:pStyle w:val="4"/>
              <w:jc w:val="left"/>
            </w:pPr>
            <w:r>
              <w:rPr>
                <w:rFonts w:ascii="仿宋_GB2312" w:hAnsi="仿宋_GB2312" w:eastAsia="仿宋_GB2312" w:cs="仿宋_GB2312"/>
              </w:rPr>
              <w:t>合同签订之日起至2029年12月31日（计划时间）。如约定服务内容超前完成，则服务期限提前结束。如服务期限到期，约定服务内容未执行完毕，可据情况协商后延长服务期限。</w:t>
            </w:r>
          </w:p>
        </w:tc>
      </w:tr>
      <w:tr w14:paraId="22E613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25C48D3">
            <w:pPr>
              <w:pStyle w:val="4"/>
              <w:jc w:val="center"/>
            </w:pPr>
            <w:r>
              <w:rPr>
                <w:rFonts w:ascii="仿宋_GB2312" w:hAnsi="仿宋_GB2312" w:eastAsia="仿宋_GB2312" w:cs="仿宋_GB2312"/>
              </w:rPr>
              <w:t>2</w:t>
            </w:r>
          </w:p>
        </w:tc>
        <w:tc>
          <w:tcPr>
            <w:tcW w:w="581" w:type="dxa"/>
          </w:tcPr>
          <w:p w14:paraId="1385A065">
            <w:pPr>
              <w:pStyle w:val="4"/>
              <w:jc w:val="center"/>
            </w:pPr>
            <w:r>
              <w:rPr>
                <w:rFonts w:ascii="仿宋_GB2312" w:hAnsi="仿宋_GB2312" w:eastAsia="仿宋_GB2312" w:cs="仿宋_GB2312"/>
              </w:rPr>
              <w:t>★</w:t>
            </w:r>
          </w:p>
        </w:tc>
        <w:tc>
          <w:tcPr>
            <w:tcW w:w="1495" w:type="dxa"/>
          </w:tcPr>
          <w:p w14:paraId="0F30CA1C">
            <w:pPr>
              <w:pStyle w:val="4"/>
              <w:jc w:val="left"/>
            </w:pPr>
            <w:r>
              <w:rPr>
                <w:rFonts w:ascii="仿宋_GB2312" w:hAnsi="仿宋_GB2312" w:eastAsia="仿宋_GB2312" w:cs="仿宋_GB2312"/>
              </w:rPr>
              <w:t>服务地点</w:t>
            </w:r>
          </w:p>
        </w:tc>
        <w:tc>
          <w:tcPr>
            <w:tcW w:w="5814" w:type="dxa"/>
          </w:tcPr>
          <w:p w14:paraId="22B2ECCC">
            <w:pPr>
              <w:pStyle w:val="4"/>
              <w:jc w:val="left"/>
            </w:pPr>
            <w:r>
              <w:rPr>
                <w:rFonts w:ascii="仿宋_GB2312" w:hAnsi="仿宋_GB2312" w:eastAsia="仿宋_GB2312" w:cs="仿宋_GB2312"/>
              </w:rPr>
              <w:t>成都市，具体地点由采购人指定。</w:t>
            </w:r>
          </w:p>
        </w:tc>
      </w:tr>
      <w:tr w14:paraId="666F7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362E0D7">
            <w:pPr>
              <w:pStyle w:val="4"/>
              <w:jc w:val="center"/>
            </w:pPr>
            <w:r>
              <w:rPr>
                <w:rFonts w:ascii="仿宋_GB2312" w:hAnsi="仿宋_GB2312" w:eastAsia="仿宋_GB2312" w:cs="仿宋_GB2312"/>
              </w:rPr>
              <w:t>3</w:t>
            </w:r>
          </w:p>
        </w:tc>
        <w:tc>
          <w:tcPr>
            <w:tcW w:w="581" w:type="dxa"/>
          </w:tcPr>
          <w:p w14:paraId="6E59B2A6">
            <w:pPr>
              <w:pStyle w:val="4"/>
              <w:jc w:val="center"/>
            </w:pPr>
            <w:r>
              <w:rPr>
                <w:rFonts w:ascii="仿宋_GB2312" w:hAnsi="仿宋_GB2312" w:eastAsia="仿宋_GB2312" w:cs="仿宋_GB2312"/>
              </w:rPr>
              <w:t>★</w:t>
            </w:r>
          </w:p>
        </w:tc>
        <w:tc>
          <w:tcPr>
            <w:tcW w:w="1495" w:type="dxa"/>
          </w:tcPr>
          <w:p w14:paraId="6B9EB4B1">
            <w:pPr>
              <w:pStyle w:val="4"/>
              <w:jc w:val="left"/>
            </w:pPr>
            <w:r>
              <w:rPr>
                <w:rFonts w:ascii="仿宋_GB2312" w:hAnsi="仿宋_GB2312" w:eastAsia="仿宋_GB2312" w:cs="仿宋_GB2312"/>
              </w:rPr>
              <w:t>验收、交付标准和方法</w:t>
            </w:r>
          </w:p>
        </w:tc>
        <w:tc>
          <w:tcPr>
            <w:tcW w:w="5814" w:type="dxa"/>
          </w:tcPr>
          <w:p w14:paraId="719032D7">
            <w:pPr>
              <w:pStyle w:val="4"/>
              <w:jc w:val="left"/>
            </w:pPr>
            <w:r>
              <w:rPr>
                <w:rFonts w:ascii="仿宋_GB2312" w:hAnsi="仿宋_GB2312" w:eastAsia="仿宋_GB2312" w:cs="仿宋_GB2312"/>
              </w:rPr>
              <w:t>由采购人组织履约验收小组，开展项目验收工作，达到国家相关标准、行业标准、地方标准或者其他标准、规范要求为标准，按照《竞争性磋商文件》《响应文件》和双方签订的《采购合同》，审查项目资料完备性、规范性情况，审查项目履行合同、《竞争性磋商文件》和《响应文件》情况，审查所有服务质量、执行标准规范性、项目成果准确性以及各项技术指标完成情况，对供应商履约情况进行验收，出具《验收报告》。</w:t>
            </w:r>
          </w:p>
        </w:tc>
      </w:tr>
      <w:tr w14:paraId="279EFE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E45737F">
            <w:pPr>
              <w:pStyle w:val="4"/>
              <w:jc w:val="center"/>
            </w:pPr>
            <w:r>
              <w:rPr>
                <w:rFonts w:ascii="仿宋_GB2312" w:hAnsi="仿宋_GB2312" w:eastAsia="仿宋_GB2312" w:cs="仿宋_GB2312"/>
              </w:rPr>
              <w:t>4</w:t>
            </w:r>
          </w:p>
        </w:tc>
        <w:tc>
          <w:tcPr>
            <w:tcW w:w="581" w:type="dxa"/>
          </w:tcPr>
          <w:p w14:paraId="12E335B5">
            <w:pPr>
              <w:pStyle w:val="4"/>
              <w:jc w:val="center"/>
            </w:pPr>
            <w:r>
              <w:rPr>
                <w:rFonts w:ascii="仿宋_GB2312" w:hAnsi="仿宋_GB2312" w:eastAsia="仿宋_GB2312" w:cs="仿宋_GB2312"/>
              </w:rPr>
              <w:t>★</w:t>
            </w:r>
          </w:p>
        </w:tc>
        <w:tc>
          <w:tcPr>
            <w:tcW w:w="1495" w:type="dxa"/>
          </w:tcPr>
          <w:p w14:paraId="36A0C7D6">
            <w:pPr>
              <w:pStyle w:val="4"/>
              <w:jc w:val="left"/>
            </w:pPr>
            <w:r>
              <w:rPr>
                <w:rFonts w:ascii="仿宋_GB2312" w:hAnsi="仿宋_GB2312" w:eastAsia="仿宋_GB2312" w:cs="仿宋_GB2312"/>
              </w:rPr>
              <w:t>支付方式</w:t>
            </w:r>
          </w:p>
        </w:tc>
        <w:tc>
          <w:tcPr>
            <w:tcW w:w="5814" w:type="dxa"/>
          </w:tcPr>
          <w:p w14:paraId="755A6D56">
            <w:pPr>
              <w:pStyle w:val="4"/>
              <w:jc w:val="left"/>
            </w:pPr>
            <w:r>
              <w:rPr>
                <w:rFonts w:ascii="仿宋_GB2312" w:hAnsi="仿宋_GB2312" w:eastAsia="仿宋_GB2312" w:cs="仿宋_GB2312"/>
              </w:rPr>
              <w:t>分期付款</w:t>
            </w:r>
          </w:p>
        </w:tc>
      </w:tr>
      <w:tr w14:paraId="6059C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0265FF5">
            <w:pPr>
              <w:pStyle w:val="4"/>
              <w:jc w:val="center"/>
            </w:pPr>
            <w:r>
              <w:rPr>
                <w:rFonts w:ascii="仿宋_GB2312" w:hAnsi="仿宋_GB2312" w:eastAsia="仿宋_GB2312" w:cs="仿宋_GB2312"/>
              </w:rPr>
              <w:t>5</w:t>
            </w:r>
          </w:p>
        </w:tc>
        <w:tc>
          <w:tcPr>
            <w:tcW w:w="581" w:type="dxa"/>
          </w:tcPr>
          <w:p w14:paraId="01FA98F9">
            <w:pPr>
              <w:pStyle w:val="4"/>
              <w:jc w:val="center"/>
            </w:pPr>
            <w:r>
              <w:rPr>
                <w:rFonts w:ascii="仿宋_GB2312" w:hAnsi="仿宋_GB2312" w:eastAsia="仿宋_GB2312" w:cs="仿宋_GB2312"/>
              </w:rPr>
              <w:t>★</w:t>
            </w:r>
          </w:p>
        </w:tc>
        <w:tc>
          <w:tcPr>
            <w:tcW w:w="1495" w:type="dxa"/>
          </w:tcPr>
          <w:p w14:paraId="1CC29798">
            <w:pPr>
              <w:pStyle w:val="4"/>
              <w:jc w:val="left"/>
            </w:pPr>
            <w:r>
              <w:rPr>
                <w:rFonts w:ascii="仿宋_GB2312" w:hAnsi="仿宋_GB2312" w:eastAsia="仿宋_GB2312" w:cs="仿宋_GB2312"/>
              </w:rPr>
              <w:t>付款进度安排</w:t>
            </w:r>
          </w:p>
        </w:tc>
        <w:tc>
          <w:tcPr>
            <w:tcW w:w="5814" w:type="dxa"/>
          </w:tcPr>
          <w:p w14:paraId="118F7A20">
            <w:pPr>
              <w:pStyle w:val="4"/>
              <w:jc w:val="left"/>
            </w:pPr>
            <w:r>
              <w:rPr>
                <w:rFonts w:ascii="仿宋_GB2312" w:hAnsi="仿宋_GB2312" w:eastAsia="仿宋_GB2312" w:cs="仿宋_GB2312"/>
              </w:rPr>
              <w:t>1、合同签订生效后，且收到供应商发票后，达到付款条件起12日内，支付合同总金额的20.00%</w:t>
            </w:r>
          </w:p>
          <w:p w14:paraId="36006452">
            <w:pPr>
              <w:pStyle w:val="4"/>
              <w:jc w:val="left"/>
            </w:pPr>
            <w:r>
              <w:rPr>
                <w:rFonts w:ascii="仿宋_GB2312" w:hAnsi="仿宋_GB2312" w:eastAsia="仿宋_GB2312" w:cs="仿宋_GB2312"/>
              </w:rPr>
              <w:t>2、形成篇目大纲后，且收到供应商发票后，达到付款条件起12日内，支付合同总金额的10.00%</w:t>
            </w:r>
          </w:p>
          <w:p w14:paraId="3AABE1B9">
            <w:pPr>
              <w:pStyle w:val="4"/>
              <w:jc w:val="left"/>
            </w:pPr>
            <w:r>
              <w:rPr>
                <w:rFonts w:ascii="仿宋_GB2312" w:hAnsi="仿宋_GB2312" w:eastAsia="仿宋_GB2312" w:cs="仿宋_GB2312"/>
              </w:rPr>
              <w:t>3、形成资料长编后，且收到供应商发票后，达到付款条件起12日内，支付合同总金额的15.00%</w:t>
            </w:r>
          </w:p>
          <w:p w14:paraId="0EF002EF">
            <w:pPr>
              <w:pStyle w:val="4"/>
              <w:jc w:val="left"/>
            </w:pPr>
            <w:r>
              <w:rPr>
                <w:rFonts w:ascii="仿宋_GB2312" w:hAnsi="仿宋_GB2312" w:eastAsia="仿宋_GB2312" w:cs="仿宋_GB2312"/>
              </w:rPr>
              <w:t>4、形成志稿初纂和总纂，且收到供应商发票后，达到付款条件起12日内，支付合同总金额的15.00%</w:t>
            </w:r>
          </w:p>
          <w:p w14:paraId="23304455">
            <w:pPr>
              <w:pStyle w:val="4"/>
              <w:jc w:val="left"/>
            </w:pPr>
            <w:r>
              <w:rPr>
                <w:rFonts w:ascii="仿宋_GB2312" w:hAnsi="仿宋_GB2312" w:eastAsia="仿宋_GB2312" w:cs="仿宋_GB2312"/>
              </w:rPr>
              <w:t>5、志稿经初审后，且收到供应商发票后，达到付款条件起12日内，支付合同总金额的10.00%</w:t>
            </w:r>
          </w:p>
          <w:p w14:paraId="655D334D">
            <w:pPr>
              <w:pStyle w:val="4"/>
              <w:jc w:val="left"/>
            </w:pPr>
            <w:r>
              <w:rPr>
                <w:rFonts w:ascii="仿宋_GB2312" w:hAnsi="仿宋_GB2312" w:eastAsia="仿宋_GB2312" w:cs="仿宋_GB2312"/>
              </w:rPr>
              <w:t>6、志稿经市地志办复审、终审后，且收到供应商发票后，达到付款条件起12日内，支付合同总金额的10.00%</w:t>
            </w:r>
          </w:p>
          <w:p w14:paraId="1C02B75F">
            <w:pPr>
              <w:pStyle w:val="4"/>
              <w:jc w:val="left"/>
            </w:pPr>
            <w:r>
              <w:rPr>
                <w:rFonts w:ascii="仿宋_GB2312" w:hAnsi="仿宋_GB2312" w:eastAsia="仿宋_GB2312" w:cs="仿宋_GB2312"/>
              </w:rPr>
              <w:t>7、志稿出版后，项目履约验收通过，且收到供应商发票后，达到付款条件起12日内，支付合同总金额的20.00%</w:t>
            </w:r>
          </w:p>
        </w:tc>
      </w:tr>
      <w:tr w14:paraId="677CF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388FD79">
            <w:pPr>
              <w:pStyle w:val="4"/>
              <w:jc w:val="center"/>
            </w:pPr>
            <w:r>
              <w:rPr>
                <w:rFonts w:ascii="仿宋_GB2312" w:hAnsi="仿宋_GB2312" w:eastAsia="仿宋_GB2312" w:cs="仿宋_GB2312"/>
              </w:rPr>
              <w:t>6</w:t>
            </w:r>
          </w:p>
        </w:tc>
        <w:tc>
          <w:tcPr>
            <w:tcW w:w="581" w:type="dxa"/>
          </w:tcPr>
          <w:p w14:paraId="50C39A9D">
            <w:pPr>
              <w:pStyle w:val="4"/>
              <w:jc w:val="center"/>
            </w:pPr>
            <w:r>
              <w:rPr>
                <w:rFonts w:ascii="仿宋_GB2312" w:hAnsi="仿宋_GB2312" w:eastAsia="仿宋_GB2312" w:cs="仿宋_GB2312"/>
              </w:rPr>
              <w:t>★</w:t>
            </w:r>
          </w:p>
        </w:tc>
        <w:tc>
          <w:tcPr>
            <w:tcW w:w="1495" w:type="dxa"/>
          </w:tcPr>
          <w:p w14:paraId="4C53579C">
            <w:pPr>
              <w:pStyle w:val="4"/>
              <w:jc w:val="left"/>
            </w:pPr>
            <w:r>
              <w:rPr>
                <w:rFonts w:ascii="仿宋_GB2312" w:hAnsi="仿宋_GB2312" w:eastAsia="仿宋_GB2312" w:cs="仿宋_GB2312"/>
              </w:rPr>
              <w:t>违约责任与解决争议的方法</w:t>
            </w:r>
          </w:p>
        </w:tc>
        <w:tc>
          <w:tcPr>
            <w:tcW w:w="5814" w:type="dxa"/>
          </w:tcPr>
          <w:p w14:paraId="75CED520">
            <w:pPr>
              <w:pStyle w:val="4"/>
              <w:jc w:val="left"/>
            </w:pPr>
            <w:r>
              <w:rPr>
                <w:rFonts w:ascii="仿宋_GB2312" w:hAnsi="仿宋_GB2312" w:eastAsia="仿宋_GB2312" w:cs="仿宋_GB2312"/>
              </w:rPr>
              <w:t>1.甲乙双方必须遵守本合同并执行合同中的各项规定，保证本合同的正常履行。 2.因国家政策调整、公共利益需要导致甲方无法履行合同义务的，甲方可书面通知乙方解除或变更合同，双方协商解决后续事宜。 3.如因乙方工作人员在履行职务过程中的疏忽、失职、过错等故意或者过失原因给甲方造成损失或侵害，但不限于甲方本身的财产损失、由此而导致的甲方对任何第三方的法律责任等，乙方对此均应承担全部的赔偿责任。4.解决争议的方法：（1）在执行本合同中发生的或与本合同有关的争端，双方应通过友好协商解决，经协商不能达成协议时，可依法向甲方所在地的人民法院提起诉讼。 （2）在诉讼期间，除正在进行诉讼部分外，合同其他部分继续执行。</w:t>
            </w:r>
          </w:p>
        </w:tc>
      </w:tr>
    </w:tbl>
    <w:p w14:paraId="44F3267E">
      <w:pPr>
        <w:pStyle w:val="4"/>
        <w:jc w:val="left"/>
        <w:outlineLvl w:val="2"/>
      </w:pPr>
      <w:r>
        <w:rPr>
          <w:rFonts w:ascii="仿宋_GB2312" w:hAnsi="仿宋_GB2312" w:eastAsia="仿宋_GB2312" w:cs="仿宋_GB2312"/>
          <w:b/>
          <w:sz w:val="28"/>
        </w:rPr>
        <w:t>3.4.其他要求</w:t>
      </w:r>
    </w:p>
    <w:p w14:paraId="003CFE61">
      <w:pPr>
        <w:pStyle w:val="4"/>
        <w:ind w:firstLine="480"/>
        <w:jc w:val="left"/>
      </w:pPr>
      <w:r>
        <w:rPr>
          <w:rFonts w:ascii="仿宋_GB2312" w:hAnsi="仿宋_GB2312" w:eastAsia="仿宋_GB2312" w:cs="仿宋_GB2312"/>
        </w:rPr>
        <w:t>采购包1：</w:t>
      </w:r>
    </w:p>
    <w:p w14:paraId="6F18A661">
      <w:pPr>
        <w:pStyle w:val="4"/>
        <w:jc w:val="left"/>
      </w:pPr>
      <w:r>
        <w:rPr>
          <w:rFonts w:ascii="仿宋_GB2312" w:hAnsi="仿宋_GB2312" w:eastAsia="仿宋_GB2312" w:cs="仿宋_GB2312"/>
        </w:rPr>
        <w:t>无</w:t>
      </w:r>
    </w:p>
    <w:p w14:paraId="71BDDCC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6E3C01"/>
    <w:rsid w:val="736E3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2026-05-27T07:51:00Z</dcterms:created>
  <dc:creator>申沁园</dc:creator>
  <cp:lastModifiedBy>申沁园</cp:lastModifiedBy>
  <dcterms:modified xsi:type="dcterms:W3CDTF">2026-05-27T07:51:59Z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1F0B8B859AEA4D0A82423B62C5027466_11</vt:lpwstr>
  </property>
  <property fmtid="{D5CDD505-2E9C-101B-9397-08002B2CF9AE}" pid="4" name="KSOTemplateDocerSaveRecord">
    <vt:lpwstr>eyJoZGlkIjoiZDc4NWFmOWUxZDRmYWVjZDg3ZDdiNTk4Y2FiN2Y0OWMiLCJ1c2VySWQiOiIxNDU0NzAwOTE3In0=</vt:lpwstr>
  </property>
</Properties>
</file>