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692FF">
      <w:pPr>
        <w:pStyle w:val="8"/>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rPr>
          <w:rFonts w:hint="eastAsia" w:ascii="仿宋" w:hAnsi="仿宋" w:eastAsia="仿宋" w:cs="仿宋"/>
          <w:highlight w:val="none"/>
        </w:rPr>
      </w:pPr>
      <w:r>
        <w:rPr>
          <w:rFonts w:hint="eastAsia" w:ascii="仿宋" w:hAnsi="仿宋" w:eastAsia="仿宋" w:cs="仿宋"/>
          <w:spacing w:val="9"/>
          <w:sz w:val="44"/>
          <w:szCs w:val="44"/>
          <w:highlight w:val="none"/>
          <w:lang w:val="en-US" w:eastAsia="zh-CN"/>
          <w14:textOutline w14:w="8717" w14:cap="sq" w14:cmpd="sng">
            <w14:solidFill>
              <w14:srgbClr w14:val="000000"/>
            </w14:solidFill>
            <w14:prstDash w14:val="solid"/>
            <w14:bevel/>
          </w14:textOutline>
        </w:rPr>
        <w:t>阿克苏市生活垃圾压缩转运站设备更新改造项目</w:t>
      </w:r>
    </w:p>
    <w:p w14:paraId="13577E14">
      <w:pPr>
        <w:pStyle w:val="8"/>
        <w:keepNext w:val="0"/>
        <w:keepLines w:val="0"/>
        <w:pageBreakBefore w:val="0"/>
        <w:widowControl/>
        <w:kinsoku w:val="0"/>
        <w:wordWrap/>
        <w:overflowPunct/>
        <w:topLinePunct w:val="0"/>
        <w:autoSpaceDE w:val="0"/>
        <w:autoSpaceDN w:val="0"/>
        <w:bidi w:val="0"/>
        <w:adjustRightInd w:val="0"/>
        <w:snapToGrid w:val="0"/>
        <w:spacing w:line="251" w:lineRule="auto"/>
        <w:jc w:val="center"/>
        <w:textAlignment w:val="baseline"/>
        <w:outlineLvl w:val="9"/>
        <w:rPr>
          <w:rFonts w:hint="eastAsia" w:ascii="仿宋" w:hAnsi="仿宋" w:eastAsia="仿宋" w:cs="仿宋"/>
          <w:highlight w:val="none"/>
        </w:rPr>
      </w:pPr>
    </w:p>
    <w:p w14:paraId="4C875274">
      <w:pPr>
        <w:pStyle w:val="8"/>
        <w:keepNext w:val="0"/>
        <w:keepLines w:val="0"/>
        <w:pageBreakBefore w:val="0"/>
        <w:widowControl/>
        <w:kinsoku w:val="0"/>
        <w:wordWrap/>
        <w:overflowPunct/>
        <w:topLinePunct w:val="0"/>
        <w:autoSpaceDE w:val="0"/>
        <w:autoSpaceDN w:val="0"/>
        <w:bidi w:val="0"/>
        <w:adjustRightInd w:val="0"/>
        <w:snapToGrid w:val="0"/>
        <w:spacing w:line="255" w:lineRule="auto"/>
        <w:jc w:val="center"/>
        <w:textAlignment w:val="baseline"/>
        <w:outlineLvl w:val="9"/>
        <w:rPr>
          <w:rFonts w:hint="eastAsia" w:ascii="仿宋" w:hAnsi="仿宋" w:eastAsia="仿宋" w:cs="仿宋"/>
          <w:highlight w:val="none"/>
        </w:rPr>
      </w:pPr>
      <w:r>
        <w:rPr>
          <w:rFonts w:hint="eastAsia" w:ascii="仿宋" w:hAnsi="仿宋" w:eastAsia="仿宋" w:cs="仿宋"/>
          <w:spacing w:val="9"/>
          <w:sz w:val="44"/>
          <w:szCs w:val="44"/>
          <w:highlight w:val="none"/>
          <w:lang w:val="en-US" w:eastAsia="zh-CN"/>
          <w14:textOutline w14:w="8717" w14:cap="sq" w14:cmpd="sng">
            <w14:solidFill>
              <w14:srgbClr w14:val="000000"/>
            </w14:solidFill>
            <w14:prstDash w14:val="solid"/>
            <w14:bevel/>
          </w14:textOutline>
        </w:rPr>
        <w:t>(生活垃圾转运站设备)</w:t>
      </w:r>
    </w:p>
    <w:p w14:paraId="6F4EB250">
      <w:pPr>
        <w:pStyle w:val="8"/>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仿宋" w:hAnsi="仿宋" w:eastAsia="仿宋" w:cs="仿宋"/>
        </w:rPr>
      </w:pPr>
    </w:p>
    <w:p w14:paraId="71123645">
      <w:pPr>
        <w:pStyle w:val="8"/>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仿宋" w:hAnsi="仿宋" w:eastAsia="仿宋" w:cs="仿宋"/>
        </w:rPr>
      </w:pPr>
    </w:p>
    <w:p w14:paraId="799DCFCB">
      <w:pPr>
        <w:pStyle w:val="8"/>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仿宋" w:hAnsi="仿宋" w:eastAsia="仿宋" w:cs="仿宋"/>
        </w:rPr>
      </w:pPr>
    </w:p>
    <w:p w14:paraId="401547D1">
      <w:pPr>
        <w:pStyle w:val="8"/>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仿宋" w:hAnsi="仿宋" w:eastAsia="仿宋" w:cs="仿宋"/>
        </w:rPr>
      </w:pPr>
    </w:p>
    <w:p w14:paraId="7A2FCBB3">
      <w:pPr>
        <w:pStyle w:val="8"/>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仿宋" w:hAnsi="仿宋" w:eastAsia="仿宋" w:cs="仿宋"/>
        </w:rPr>
      </w:pPr>
    </w:p>
    <w:p w14:paraId="7AB0BB8B">
      <w:pPr>
        <w:pStyle w:val="8"/>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仿宋" w:hAnsi="仿宋" w:eastAsia="仿宋" w:cs="仿宋"/>
        </w:rPr>
      </w:pPr>
    </w:p>
    <w:p w14:paraId="0C50AB5B">
      <w:pPr>
        <w:pStyle w:val="8"/>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hint="eastAsia" w:ascii="仿宋" w:hAnsi="仿宋" w:eastAsia="仿宋" w:cs="仿宋"/>
        </w:rPr>
      </w:pPr>
    </w:p>
    <w:p w14:paraId="13D61990">
      <w:pPr>
        <w:pStyle w:val="8"/>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hint="eastAsia" w:ascii="仿宋" w:hAnsi="仿宋" w:eastAsia="仿宋" w:cs="仿宋"/>
        </w:rPr>
      </w:pPr>
    </w:p>
    <w:p w14:paraId="161C8A37">
      <w:pPr>
        <w:pStyle w:val="8"/>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hint="eastAsia" w:ascii="仿宋" w:hAnsi="仿宋" w:eastAsia="仿宋" w:cs="仿宋"/>
        </w:rPr>
      </w:pPr>
    </w:p>
    <w:p w14:paraId="63219E04">
      <w:pPr>
        <w:pStyle w:val="8"/>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hint="eastAsia" w:ascii="仿宋" w:hAnsi="仿宋" w:eastAsia="仿宋" w:cs="仿宋"/>
        </w:rPr>
      </w:pPr>
    </w:p>
    <w:p w14:paraId="5031661B">
      <w:pPr>
        <w:keepNext w:val="0"/>
        <w:keepLines w:val="0"/>
        <w:pageBreakBefore w:val="0"/>
        <w:widowControl/>
        <w:kinsoku w:val="0"/>
        <w:wordWrap/>
        <w:overflowPunct/>
        <w:topLinePunct w:val="0"/>
        <w:autoSpaceDE w:val="0"/>
        <w:autoSpaceDN w:val="0"/>
        <w:bidi w:val="0"/>
        <w:adjustRightInd w:val="0"/>
        <w:snapToGrid w:val="0"/>
        <w:spacing w:before="192" w:line="222" w:lineRule="auto"/>
        <w:ind w:left="0" w:leftChars="0" w:right="0" w:rightChars="0" w:firstLine="0" w:firstLineChars="0"/>
        <w:jc w:val="center"/>
        <w:textAlignment w:val="baseline"/>
        <w:outlineLvl w:val="9"/>
        <w:rPr>
          <w:rFonts w:hint="eastAsia" w:ascii="仿宋" w:hAnsi="仿宋" w:eastAsia="仿宋" w:cs="仿宋"/>
          <w:spacing w:val="7"/>
          <w:sz w:val="59"/>
          <w:szCs w:val="59"/>
          <w14:textOutline w14:w="10896" w14:cap="sq" w14:cmpd="sng">
            <w14:solidFill>
              <w14:srgbClr w14:val="000000"/>
            </w14:solidFill>
            <w14:prstDash w14:val="solid"/>
            <w14:bevel/>
          </w14:textOutline>
        </w:rPr>
      </w:pPr>
      <w:r>
        <w:rPr>
          <w:rFonts w:hint="eastAsia" w:ascii="仿宋" w:hAnsi="仿宋" w:eastAsia="仿宋" w:cs="仿宋"/>
          <w:spacing w:val="7"/>
          <w:sz w:val="59"/>
          <w:szCs w:val="59"/>
          <w:lang w:val="en-US" w:eastAsia="zh-CN"/>
          <w14:textOutline w14:w="10896" w14:cap="sq" w14:cmpd="sng">
            <w14:solidFill>
              <w14:srgbClr w14:val="000000"/>
            </w14:solidFill>
            <w14:prstDash w14:val="solid"/>
            <w14:bevel/>
          </w14:textOutline>
        </w:rPr>
        <w:t>公开招标</w:t>
      </w:r>
      <w:r>
        <w:rPr>
          <w:rFonts w:hint="eastAsia" w:ascii="仿宋" w:hAnsi="仿宋" w:eastAsia="仿宋" w:cs="仿宋"/>
          <w:spacing w:val="7"/>
          <w:sz w:val="59"/>
          <w:szCs w:val="59"/>
          <w14:textOutline w14:w="10896" w14:cap="sq" w14:cmpd="sng">
            <w14:solidFill>
              <w14:srgbClr w14:val="000000"/>
            </w14:solidFill>
            <w14:prstDash w14:val="solid"/>
            <w14:bevel/>
          </w14:textOutline>
        </w:rPr>
        <w:t>文件</w:t>
      </w:r>
    </w:p>
    <w:p w14:paraId="4A6CD460">
      <w:pPr>
        <w:pStyle w:val="2"/>
        <w:rPr>
          <w:rFonts w:hint="eastAsia" w:eastAsia="仿宋"/>
          <w:b w:val="0"/>
          <w:bCs w:val="0"/>
          <w:sz w:val="11"/>
          <w:szCs w:val="15"/>
          <w:lang w:eastAsia="zh-CN"/>
        </w:rPr>
      </w:pPr>
      <w:r>
        <w:rPr>
          <w:rFonts w:hint="eastAsia" w:ascii="仿宋" w:hAnsi="仿宋" w:eastAsia="仿宋" w:cs="仿宋"/>
          <w:b w:val="0"/>
          <w:bCs w:val="0"/>
          <w:spacing w:val="7"/>
          <w:sz w:val="28"/>
          <w:szCs w:val="28"/>
          <w:lang w:eastAsia="zh-CN"/>
          <w14:textOutline w14:w="10896" w14:cap="sq" w14:cmpd="sng">
            <w14:solidFill>
              <w14:srgbClr w14:val="000000"/>
            </w14:solidFill>
            <w14:prstDash w14:val="solid"/>
            <w14:bevel/>
          </w14:textOutline>
        </w:rPr>
        <w:t>（</w:t>
      </w:r>
      <w:r>
        <w:rPr>
          <w:rFonts w:hint="eastAsia" w:ascii="仿宋" w:hAnsi="仿宋" w:eastAsia="仿宋" w:cs="仿宋"/>
          <w:b w:val="0"/>
          <w:bCs w:val="0"/>
          <w:spacing w:val="7"/>
          <w:sz w:val="28"/>
          <w:szCs w:val="28"/>
          <w:lang w:val="en-US" w:eastAsia="zh-CN"/>
          <w14:textOutline w14:w="10896" w14:cap="sq" w14:cmpd="sng">
            <w14:solidFill>
              <w14:srgbClr w14:val="000000"/>
            </w14:solidFill>
            <w14:prstDash w14:val="solid"/>
            <w14:bevel/>
          </w14:textOutline>
        </w:rPr>
        <w:t>更正</w:t>
      </w:r>
      <w:r>
        <w:rPr>
          <w:rFonts w:hint="eastAsia" w:ascii="仿宋" w:hAnsi="仿宋" w:eastAsia="仿宋" w:cs="仿宋"/>
          <w:b w:val="0"/>
          <w:bCs w:val="0"/>
          <w:spacing w:val="7"/>
          <w:sz w:val="28"/>
          <w:szCs w:val="28"/>
          <w14:textOutline w14:w="10896" w14:cap="sq" w14:cmpd="sng">
            <w14:solidFill>
              <w14:srgbClr w14:val="000000"/>
            </w14:solidFill>
            <w14:prstDash w14:val="solid"/>
            <w14:bevel/>
          </w14:textOutline>
        </w:rPr>
        <w:t>文件</w:t>
      </w:r>
      <w:r>
        <w:rPr>
          <w:rFonts w:hint="eastAsia" w:ascii="仿宋" w:hAnsi="仿宋" w:eastAsia="仿宋" w:cs="仿宋"/>
          <w:b w:val="0"/>
          <w:bCs w:val="0"/>
          <w:spacing w:val="7"/>
          <w:sz w:val="28"/>
          <w:szCs w:val="28"/>
          <w:lang w:eastAsia="zh-CN"/>
          <w14:textOutline w14:w="10896" w14:cap="sq" w14:cmpd="sng">
            <w14:solidFill>
              <w14:srgbClr w14:val="000000"/>
            </w14:solidFill>
            <w14:prstDash w14:val="solid"/>
            <w14:bevel/>
          </w14:textOutline>
        </w:rPr>
        <w:t>）</w:t>
      </w:r>
    </w:p>
    <w:p w14:paraId="614DF077">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5DDE9E3D">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20A17BCA">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4AC0898C">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5A51E2A6">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78B92ECF">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5F9DF50E">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60302C58">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2307A2B6">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15115C81">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36A3C2E2">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381CF655">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3D9BE468">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0DCB4B2B">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511DEDFB">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6AEABBDF">
      <w:pPr>
        <w:pStyle w:val="8"/>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仿宋" w:hAnsi="仿宋" w:eastAsia="仿宋" w:cs="仿宋"/>
        </w:rPr>
      </w:pPr>
    </w:p>
    <w:p w14:paraId="69BF09DF">
      <w:pPr>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right="0" w:rightChars="0" w:firstLine="0" w:firstLineChars="0"/>
        <w:jc w:val="left"/>
        <w:textAlignment w:val="baseline"/>
        <w:outlineLvl w:val="9"/>
        <w:rPr>
          <w:rFonts w:hint="eastAsia" w:ascii="仿宋" w:hAnsi="仿宋" w:eastAsia="仿宋" w:cs="仿宋"/>
          <w:spacing w:val="10"/>
          <w:sz w:val="31"/>
          <w:szCs w:val="31"/>
          <w:highlight w:val="yellow"/>
          <w14:textOutline w14:w="5793" w14:cap="sq" w14:cmpd="sng">
            <w14:solidFill>
              <w14:srgbClr w14:val="000000"/>
            </w14:solidFill>
            <w14:prstDash w14:val="solid"/>
            <w14:bevel/>
          </w14:textOutline>
        </w:rPr>
      </w:pPr>
      <w:r>
        <w:rPr>
          <w:rFonts w:hint="eastAsia" w:ascii="仿宋" w:hAnsi="仿宋" w:eastAsia="仿宋" w:cs="仿宋"/>
          <w:spacing w:val="10"/>
          <w:sz w:val="31"/>
          <w:szCs w:val="31"/>
          <w14:textOutline w14:w="5793" w14:cap="sq" w14:cmpd="sng">
            <w14:solidFill>
              <w14:srgbClr w14:val="000000"/>
            </w14:solidFill>
            <w14:prstDash w14:val="solid"/>
            <w14:bevel/>
          </w14:textOutline>
        </w:rPr>
        <w:t>项目编号：</w:t>
      </w:r>
      <w:r>
        <w:rPr>
          <w:rFonts w:hint="eastAsia" w:ascii="仿宋" w:hAnsi="仿宋" w:eastAsia="仿宋" w:cs="仿宋"/>
          <w:spacing w:val="10"/>
          <w:sz w:val="31"/>
          <w:szCs w:val="31"/>
          <w:lang w:val="en-US" w:eastAsia="zh-CN"/>
          <w14:textOutline w14:w="5793" w14:cap="sq" w14:cmpd="sng">
            <w14:solidFill>
              <w14:srgbClr w14:val="000000"/>
            </w14:solidFill>
            <w14:prstDash w14:val="solid"/>
            <w14:bevel/>
          </w14:textOutline>
        </w:rPr>
        <w:t>2026-A-12</w:t>
      </w:r>
    </w:p>
    <w:p w14:paraId="0C6FE521">
      <w:pPr>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right="0" w:rightChars="0" w:firstLine="0" w:firstLineChars="0"/>
        <w:jc w:val="left"/>
        <w:textAlignment w:val="baseline"/>
        <w:outlineLvl w:val="9"/>
        <w:rPr>
          <w:rFonts w:hint="eastAsia" w:ascii="仿宋" w:hAnsi="仿宋" w:eastAsia="仿宋" w:cs="仿宋"/>
          <w:spacing w:val="10"/>
          <w:sz w:val="31"/>
          <w:szCs w:val="31"/>
          <w14:textOutline w14:w="5793" w14:cap="sq" w14:cmpd="sng">
            <w14:solidFill>
              <w14:srgbClr w14:val="000000"/>
            </w14:solidFill>
            <w14:prstDash w14:val="solid"/>
            <w14:bevel/>
          </w14:textOutline>
        </w:rPr>
      </w:pPr>
      <w:r>
        <w:rPr>
          <w:rFonts w:hint="eastAsia" w:ascii="仿宋" w:hAnsi="仿宋" w:eastAsia="仿宋" w:cs="仿宋"/>
          <w:spacing w:val="10"/>
          <w:sz w:val="31"/>
          <w:szCs w:val="31"/>
          <w14:textOutline w14:w="5793" w14:cap="sq" w14:cmpd="sng">
            <w14:solidFill>
              <w14:srgbClr w14:val="000000"/>
            </w14:solidFill>
            <w14:prstDash w14:val="solid"/>
            <w14:bevel/>
          </w14:textOutline>
        </w:rPr>
        <w:t>招标人：</w:t>
      </w:r>
      <w:r>
        <w:rPr>
          <w:rFonts w:hint="eastAsia" w:ascii="仿宋" w:hAnsi="仿宋" w:eastAsia="仿宋" w:cs="仿宋"/>
          <w:spacing w:val="10"/>
          <w:sz w:val="31"/>
          <w:szCs w:val="31"/>
          <w:lang w:val="en-US" w:eastAsia="zh-CN"/>
          <w14:textOutline w14:w="5793" w14:cap="sq" w14:cmpd="sng">
            <w14:solidFill>
              <w14:srgbClr w14:val="000000"/>
            </w14:solidFill>
            <w14:prstDash w14:val="solid"/>
            <w14:bevel/>
          </w14:textOutline>
        </w:rPr>
        <w:t xml:space="preserve"> 阿克苏市住房和城乡建设局   </w:t>
      </w:r>
    </w:p>
    <w:p w14:paraId="358D284F">
      <w:pPr>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right="0" w:rightChars="0" w:firstLine="0" w:firstLineChars="0"/>
        <w:jc w:val="left"/>
        <w:textAlignment w:val="baseline"/>
        <w:outlineLvl w:val="9"/>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0"/>
          <w:sz w:val="31"/>
          <w:szCs w:val="31"/>
          <w14:textOutline w14:w="5793" w14:cap="sq" w14:cmpd="sng">
            <w14:solidFill>
              <w14:srgbClr w14:val="000000"/>
            </w14:solidFill>
            <w14:prstDash w14:val="solid"/>
            <w14:bevel/>
          </w14:textOutline>
        </w:rPr>
        <w:t>招标代理机构：</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新疆国信天翌工程项目管理有限公司</w:t>
      </w:r>
    </w:p>
    <w:p w14:paraId="776C3E9B">
      <w:pPr>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right="0" w:rightChars="0" w:firstLine="0" w:firstLineChars="0"/>
        <w:jc w:val="left"/>
        <w:textAlignment w:val="baseline"/>
        <w:outlineLvl w:val="9"/>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pPr>
    </w:p>
    <w:p w14:paraId="46380677">
      <w:pPr>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right="0" w:rightChars="0" w:firstLine="0" w:firstLineChars="0"/>
        <w:jc w:val="left"/>
        <w:textAlignment w:val="baseline"/>
        <w:outlineLvl w:val="9"/>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pPr>
    </w:p>
    <w:p w14:paraId="6E5BFCD0">
      <w:pPr>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right="0" w:rightChars="0" w:firstLine="0" w:firstLineChars="0"/>
        <w:jc w:val="center"/>
        <w:textAlignment w:val="baseline"/>
        <w:outlineLvl w:val="9"/>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二O二</w:t>
      </w:r>
      <w:r>
        <w:rPr>
          <w:rFonts w:hint="eastAsia" w:ascii="仿宋" w:hAnsi="仿宋" w:eastAsia="仿宋" w:cs="仿宋"/>
          <w:spacing w:val="10"/>
          <w:sz w:val="31"/>
          <w:szCs w:val="31"/>
          <w:lang w:val="en-US" w:eastAsia="zh-CN"/>
          <w14:textOutline w14:w="5793" w14:cap="sq" w14:cmpd="sng">
            <w14:solidFill>
              <w14:srgbClr w14:val="000000"/>
            </w14:solidFill>
            <w14:prstDash w14:val="solid"/>
            <w14:bevel/>
          </w14:textOutline>
        </w:rPr>
        <w:t>六</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年</w:t>
      </w:r>
      <w:r>
        <w:rPr>
          <w:rFonts w:hint="eastAsia" w:ascii="仿宋" w:hAnsi="仿宋" w:eastAsia="仿宋" w:cs="仿宋"/>
          <w:spacing w:val="10"/>
          <w:sz w:val="31"/>
          <w:szCs w:val="31"/>
          <w:lang w:val="en-US" w:eastAsia="zh-CN"/>
          <w14:textOutline w14:w="5793" w14:cap="sq" w14:cmpd="sng">
            <w14:solidFill>
              <w14:srgbClr w14:val="000000"/>
            </w14:solidFill>
            <w14:prstDash w14:val="solid"/>
            <w14:bevel/>
          </w14:textOutline>
        </w:rPr>
        <w:t>五</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月</w:t>
      </w:r>
    </w:p>
    <w:p w14:paraId="147A63EE">
      <w:pPr>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right="0" w:rightChars="0" w:firstLine="0" w:firstLineChars="0"/>
        <w:jc w:val="left"/>
        <w:textAlignment w:val="baseline"/>
        <w:outlineLvl w:val="9"/>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sectPr>
          <w:headerReference r:id="rId5" w:type="default"/>
          <w:pgSz w:w="11907" w:h="16840"/>
          <w:pgMar w:top="1440" w:right="1080" w:bottom="1440" w:left="1080" w:header="1020" w:footer="1020" w:gutter="0"/>
          <w:pgBorders>
            <w:top w:val="none" w:sz="0" w:space="0"/>
            <w:left w:val="none" w:sz="0" w:space="0"/>
            <w:bottom w:val="none" w:sz="0" w:space="0"/>
            <w:right w:val="none" w:sz="0" w:space="0"/>
          </w:pgBorders>
          <w:cols w:space="720" w:num="1"/>
        </w:sectPr>
      </w:pPr>
    </w:p>
    <w:sdt>
      <w:sdtPr>
        <w:rPr>
          <w:rFonts w:ascii="宋体" w:hAnsi="宋体" w:eastAsia="宋体" w:cs="Arial"/>
          <w:snapToGrid w:val="0"/>
          <w:color w:val="000000"/>
          <w:kern w:val="0"/>
          <w:sz w:val="21"/>
          <w:szCs w:val="21"/>
          <w:lang w:val="en-US" w:eastAsia="en-US" w:bidi="ar-SA"/>
        </w:rPr>
        <w:id w:val="147474789"/>
        <w15:color w:val="DBDBDB"/>
        <w:docPartObj>
          <w:docPartGallery w:val="Table of Contents"/>
          <w:docPartUnique/>
        </w:docPartObj>
      </w:sdtPr>
      <w:sdtEndPr>
        <w:rPr>
          <w:rFonts w:hint="eastAsia" w:ascii="仿宋" w:hAnsi="仿宋" w:eastAsia="仿宋" w:cs="仿宋"/>
          <w:snapToGrid w:val="0"/>
          <w:color w:val="000000"/>
          <w:spacing w:val="-2"/>
          <w:kern w:val="0"/>
          <w:sz w:val="21"/>
          <w:szCs w:val="28"/>
          <w:lang w:val="en-US" w:eastAsia="en-US" w:bidi="ar-SA"/>
        </w:rPr>
      </w:sdtEndPr>
      <w:sdtContent>
        <w:p w14:paraId="216D132D">
          <w:pPr>
            <w:spacing w:before="0" w:beforeLines="0" w:after="0" w:afterLines="0" w:line="240" w:lineRule="auto"/>
            <w:ind w:left="0" w:leftChars="0" w:right="0" w:rightChars="0" w:firstLine="0" w:firstLineChars="0"/>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目录</w:t>
          </w:r>
        </w:p>
        <w:p w14:paraId="67E920BE">
          <w:pPr>
            <w:pStyle w:val="13"/>
            <w:tabs>
              <w:tab w:val="right" w:leader="dot" w:pos="9746"/>
            </w:tabs>
            <w:rPr>
              <w:rFonts w:hint="eastAsia" w:ascii="宋体" w:hAnsi="宋体" w:eastAsia="宋体" w:cs="宋体"/>
              <w:b w:val="0"/>
              <w:bCs w:val="0"/>
              <w:sz w:val="32"/>
              <w:szCs w:val="32"/>
            </w:rPr>
          </w:pPr>
          <w:r>
            <w:rPr>
              <w:rFonts w:hint="eastAsia" w:ascii="宋体" w:hAnsi="宋体" w:eastAsia="宋体" w:cs="宋体"/>
              <w:b w:val="0"/>
              <w:bCs w:val="0"/>
              <w:spacing w:val="-2"/>
              <w:sz w:val="32"/>
              <w:szCs w:val="32"/>
            </w:rPr>
            <w:fldChar w:fldCharType="begin"/>
          </w:r>
          <w:r>
            <w:rPr>
              <w:rFonts w:hint="eastAsia" w:ascii="宋体" w:hAnsi="宋体" w:eastAsia="宋体" w:cs="宋体"/>
              <w:b w:val="0"/>
              <w:bCs w:val="0"/>
              <w:spacing w:val="-2"/>
              <w:sz w:val="32"/>
              <w:szCs w:val="32"/>
            </w:rPr>
            <w:instrText xml:space="preserve">TOC \o "1-1" \h \u </w:instrText>
          </w:r>
          <w:r>
            <w:rPr>
              <w:rFonts w:hint="eastAsia" w:ascii="宋体" w:hAnsi="宋体" w:eastAsia="宋体" w:cs="宋体"/>
              <w:b w:val="0"/>
              <w:bCs w:val="0"/>
              <w:spacing w:val="-2"/>
              <w:sz w:val="32"/>
              <w:szCs w:val="32"/>
            </w:rPr>
            <w:fldChar w:fldCharType="separate"/>
          </w:r>
          <w:r>
            <w:rPr>
              <w:rFonts w:hint="eastAsia" w:ascii="宋体" w:hAnsi="宋体" w:eastAsia="宋体" w:cs="宋体"/>
              <w:b w:val="0"/>
              <w:bCs w:val="0"/>
              <w:spacing w:val="-2"/>
              <w:sz w:val="32"/>
              <w:szCs w:val="32"/>
            </w:rPr>
            <w:fldChar w:fldCharType="begin"/>
          </w:r>
          <w:r>
            <w:rPr>
              <w:rFonts w:hint="eastAsia" w:ascii="宋体" w:hAnsi="宋体" w:eastAsia="宋体" w:cs="宋体"/>
              <w:b w:val="0"/>
              <w:bCs w:val="0"/>
              <w:spacing w:val="-2"/>
              <w:sz w:val="32"/>
              <w:szCs w:val="32"/>
            </w:rPr>
            <w:instrText xml:space="preserve"> HYPERLINK \l _Toc18173 </w:instrText>
          </w:r>
          <w:r>
            <w:rPr>
              <w:rFonts w:hint="eastAsia" w:ascii="宋体" w:hAnsi="宋体" w:eastAsia="宋体" w:cs="宋体"/>
              <w:b w:val="0"/>
              <w:bCs w:val="0"/>
              <w:spacing w:val="-2"/>
              <w:sz w:val="32"/>
              <w:szCs w:val="32"/>
            </w:rPr>
            <w:fldChar w:fldCharType="separate"/>
          </w:r>
          <w:r>
            <w:rPr>
              <w:rFonts w:hint="eastAsia" w:ascii="宋体" w:hAnsi="宋体" w:eastAsia="宋体" w:cs="宋体"/>
              <w:b w:val="0"/>
              <w:bCs w:val="0"/>
              <w:spacing w:val="6"/>
              <w:sz w:val="32"/>
              <w:szCs w:val="32"/>
              <w:lang w:val="en-US" w:eastAsia="zh-CN"/>
              <w14:textOutline w14:w="5793" w14:cap="sq" w14:cmpd="sng">
                <w14:solidFill>
                  <w14:srgbClr w14:val="000000"/>
                </w14:solidFill>
                <w14:prstDash w14:val="solid"/>
                <w14:bevel/>
              </w14:textOutline>
            </w:rPr>
            <w:t>第一章  招标公告</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_Toc18173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spacing w:val="-2"/>
              <w:sz w:val="32"/>
              <w:szCs w:val="32"/>
            </w:rPr>
            <w:fldChar w:fldCharType="end"/>
          </w:r>
        </w:p>
        <w:p w14:paraId="64C79D09">
          <w:pPr>
            <w:pStyle w:val="13"/>
            <w:tabs>
              <w:tab w:val="right" w:leader="dot" w:pos="9746"/>
            </w:tabs>
            <w:rPr>
              <w:rFonts w:hint="eastAsia" w:ascii="宋体" w:hAnsi="宋体" w:eastAsia="宋体" w:cs="宋体"/>
              <w:b w:val="0"/>
              <w:bCs w:val="0"/>
              <w:sz w:val="32"/>
              <w:szCs w:val="32"/>
            </w:rPr>
          </w:pPr>
          <w:r>
            <w:rPr>
              <w:rFonts w:hint="eastAsia" w:ascii="宋体" w:hAnsi="宋体" w:eastAsia="宋体" w:cs="宋体"/>
              <w:b w:val="0"/>
              <w:bCs w:val="0"/>
              <w:spacing w:val="-2"/>
              <w:sz w:val="32"/>
              <w:szCs w:val="32"/>
            </w:rPr>
            <w:fldChar w:fldCharType="begin"/>
          </w:r>
          <w:r>
            <w:rPr>
              <w:rFonts w:hint="eastAsia" w:ascii="宋体" w:hAnsi="宋体" w:eastAsia="宋体" w:cs="宋体"/>
              <w:b w:val="0"/>
              <w:bCs w:val="0"/>
              <w:spacing w:val="-2"/>
              <w:sz w:val="32"/>
              <w:szCs w:val="32"/>
            </w:rPr>
            <w:instrText xml:space="preserve"> HYPERLINK \l _Toc28394 </w:instrText>
          </w:r>
          <w:r>
            <w:rPr>
              <w:rFonts w:hint="eastAsia" w:ascii="宋体" w:hAnsi="宋体" w:eastAsia="宋体" w:cs="宋体"/>
              <w:b w:val="0"/>
              <w:bCs w:val="0"/>
              <w:spacing w:val="-2"/>
              <w:sz w:val="32"/>
              <w:szCs w:val="32"/>
            </w:rPr>
            <w:fldChar w:fldCharType="separate"/>
          </w:r>
          <w:r>
            <w:rPr>
              <w:rFonts w:hint="eastAsia" w:ascii="宋体" w:hAnsi="宋体" w:eastAsia="宋体" w:cs="宋体"/>
              <w:b w:val="0"/>
              <w:bCs w:val="0"/>
              <w:spacing w:val="6"/>
              <w:sz w:val="32"/>
              <w:szCs w:val="32"/>
              <w:lang w:val="en-US" w:eastAsia="zh-CN"/>
              <w14:textOutline w14:w="5793" w14:cap="sq" w14:cmpd="sng">
                <w14:solidFill>
                  <w14:srgbClr w14:val="000000"/>
                </w14:solidFill>
                <w14:prstDash w14:val="solid"/>
                <w14:bevel/>
              </w14:textOutline>
            </w:rPr>
            <w:t>第二章  供应商须知</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_Toc28394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8</w:t>
          </w:r>
          <w:r>
            <w:rPr>
              <w:rFonts w:hint="eastAsia" w:ascii="宋体" w:hAnsi="宋体" w:eastAsia="宋体" w:cs="宋体"/>
              <w:b w:val="0"/>
              <w:bCs w:val="0"/>
              <w:sz w:val="32"/>
              <w:szCs w:val="32"/>
            </w:rPr>
            <w:fldChar w:fldCharType="end"/>
          </w:r>
          <w:r>
            <w:rPr>
              <w:rFonts w:hint="eastAsia" w:ascii="宋体" w:hAnsi="宋体" w:eastAsia="宋体" w:cs="宋体"/>
              <w:b w:val="0"/>
              <w:bCs w:val="0"/>
              <w:spacing w:val="-2"/>
              <w:sz w:val="32"/>
              <w:szCs w:val="32"/>
            </w:rPr>
            <w:fldChar w:fldCharType="end"/>
          </w:r>
        </w:p>
        <w:p w14:paraId="5A4F58B0">
          <w:pPr>
            <w:pStyle w:val="13"/>
            <w:tabs>
              <w:tab w:val="right" w:leader="dot" w:pos="9746"/>
            </w:tabs>
            <w:rPr>
              <w:rFonts w:hint="eastAsia" w:ascii="宋体" w:hAnsi="宋体" w:eastAsia="宋体" w:cs="宋体"/>
              <w:b w:val="0"/>
              <w:bCs w:val="0"/>
              <w:sz w:val="32"/>
              <w:szCs w:val="32"/>
            </w:rPr>
          </w:pPr>
          <w:r>
            <w:rPr>
              <w:rFonts w:hint="eastAsia" w:ascii="宋体" w:hAnsi="宋体" w:eastAsia="宋体" w:cs="宋体"/>
              <w:b w:val="0"/>
              <w:bCs w:val="0"/>
              <w:spacing w:val="-2"/>
              <w:sz w:val="32"/>
              <w:szCs w:val="32"/>
            </w:rPr>
            <w:fldChar w:fldCharType="begin"/>
          </w:r>
          <w:r>
            <w:rPr>
              <w:rFonts w:hint="eastAsia" w:ascii="宋体" w:hAnsi="宋体" w:eastAsia="宋体" w:cs="宋体"/>
              <w:b w:val="0"/>
              <w:bCs w:val="0"/>
              <w:spacing w:val="-2"/>
              <w:sz w:val="32"/>
              <w:szCs w:val="32"/>
            </w:rPr>
            <w:instrText xml:space="preserve"> HYPERLINK \l _Toc7613 </w:instrText>
          </w:r>
          <w:r>
            <w:rPr>
              <w:rFonts w:hint="eastAsia" w:ascii="宋体" w:hAnsi="宋体" w:eastAsia="宋体" w:cs="宋体"/>
              <w:b w:val="0"/>
              <w:bCs w:val="0"/>
              <w:spacing w:val="-2"/>
              <w:sz w:val="32"/>
              <w:szCs w:val="32"/>
            </w:rPr>
            <w:fldChar w:fldCharType="separate"/>
          </w:r>
          <w:r>
            <w:rPr>
              <w:rFonts w:hint="eastAsia" w:ascii="宋体" w:hAnsi="宋体" w:eastAsia="宋体" w:cs="宋体"/>
              <w:b w:val="0"/>
              <w:bCs w:val="0"/>
              <w:spacing w:val="6"/>
              <w:sz w:val="32"/>
              <w:szCs w:val="32"/>
              <w:lang w:val="en-US" w:eastAsia="zh-CN"/>
              <w14:textOutline w14:w="5793" w14:cap="sq" w14:cmpd="sng">
                <w14:solidFill>
                  <w14:srgbClr w14:val="000000"/>
                </w14:solidFill>
                <w14:prstDash w14:val="solid"/>
                <w14:bevel/>
              </w14:textOutline>
            </w:rPr>
            <w:t>第三章  采购需求</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_Toc7613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49</w:t>
          </w:r>
          <w:r>
            <w:rPr>
              <w:rFonts w:hint="eastAsia" w:ascii="宋体" w:hAnsi="宋体" w:eastAsia="宋体" w:cs="宋体"/>
              <w:b w:val="0"/>
              <w:bCs w:val="0"/>
              <w:sz w:val="32"/>
              <w:szCs w:val="32"/>
            </w:rPr>
            <w:fldChar w:fldCharType="end"/>
          </w:r>
          <w:r>
            <w:rPr>
              <w:rFonts w:hint="eastAsia" w:ascii="宋体" w:hAnsi="宋体" w:eastAsia="宋体" w:cs="宋体"/>
              <w:b w:val="0"/>
              <w:bCs w:val="0"/>
              <w:spacing w:val="-2"/>
              <w:sz w:val="32"/>
              <w:szCs w:val="32"/>
            </w:rPr>
            <w:fldChar w:fldCharType="end"/>
          </w:r>
        </w:p>
        <w:p w14:paraId="2184820A">
          <w:pPr>
            <w:pStyle w:val="13"/>
            <w:tabs>
              <w:tab w:val="right" w:leader="dot" w:pos="9746"/>
            </w:tabs>
            <w:rPr>
              <w:rFonts w:hint="eastAsia" w:ascii="宋体" w:hAnsi="宋体" w:eastAsia="宋体" w:cs="宋体"/>
              <w:b w:val="0"/>
              <w:bCs w:val="0"/>
              <w:sz w:val="32"/>
              <w:szCs w:val="32"/>
            </w:rPr>
          </w:pPr>
          <w:r>
            <w:rPr>
              <w:rFonts w:hint="eastAsia" w:ascii="宋体" w:hAnsi="宋体" w:eastAsia="宋体" w:cs="宋体"/>
              <w:b w:val="0"/>
              <w:bCs w:val="0"/>
              <w:spacing w:val="-2"/>
              <w:sz w:val="32"/>
              <w:szCs w:val="32"/>
            </w:rPr>
            <w:fldChar w:fldCharType="begin"/>
          </w:r>
          <w:r>
            <w:rPr>
              <w:rFonts w:hint="eastAsia" w:ascii="宋体" w:hAnsi="宋体" w:eastAsia="宋体" w:cs="宋体"/>
              <w:b w:val="0"/>
              <w:bCs w:val="0"/>
              <w:spacing w:val="-2"/>
              <w:sz w:val="32"/>
              <w:szCs w:val="32"/>
            </w:rPr>
            <w:instrText xml:space="preserve"> HYPERLINK \l _Toc27490 </w:instrText>
          </w:r>
          <w:r>
            <w:rPr>
              <w:rFonts w:hint="eastAsia" w:ascii="宋体" w:hAnsi="宋体" w:eastAsia="宋体" w:cs="宋体"/>
              <w:b w:val="0"/>
              <w:bCs w:val="0"/>
              <w:spacing w:val="-2"/>
              <w:sz w:val="32"/>
              <w:szCs w:val="32"/>
            </w:rPr>
            <w:fldChar w:fldCharType="separate"/>
          </w:r>
          <w:r>
            <w:rPr>
              <w:rFonts w:hint="eastAsia" w:ascii="宋体" w:hAnsi="宋体" w:eastAsia="宋体" w:cs="宋体"/>
              <w:b w:val="0"/>
              <w:bCs w:val="0"/>
              <w:spacing w:val="6"/>
              <w:sz w:val="32"/>
              <w:szCs w:val="32"/>
              <w:lang w:val="en-US" w:eastAsia="zh-CN"/>
              <w14:textOutline w14:w="5793" w14:cap="sq" w14:cmpd="sng">
                <w14:solidFill>
                  <w14:srgbClr w14:val="000000"/>
                </w14:solidFill>
                <w14:prstDash w14:val="solid"/>
                <w14:bevel/>
              </w14:textOutline>
            </w:rPr>
            <w:t>第四章  评标办法</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_Toc27490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49</w:t>
          </w:r>
          <w:r>
            <w:rPr>
              <w:rFonts w:hint="eastAsia" w:ascii="宋体" w:hAnsi="宋体" w:eastAsia="宋体" w:cs="宋体"/>
              <w:b w:val="0"/>
              <w:bCs w:val="0"/>
              <w:sz w:val="32"/>
              <w:szCs w:val="32"/>
            </w:rPr>
            <w:fldChar w:fldCharType="end"/>
          </w:r>
          <w:r>
            <w:rPr>
              <w:rFonts w:hint="eastAsia" w:ascii="宋体" w:hAnsi="宋体" w:eastAsia="宋体" w:cs="宋体"/>
              <w:b w:val="0"/>
              <w:bCs w:val="0"/>
              <w:spacing w:val="-2"/>
              <w:sz w:val="32"/>
              <w:szCs w:val="32"/>
            </w:rPr>
            <w:fldChar w:fldCharType="end"/>
          </w:r>
        </w:p>
        <w:p w14:paraId="2BDAD1AD">
          <w:pPr>
            <w:pStyle w:val="13"/>
            <w:tabs>
              <w:tab w:val="right" w:leader="dot" w:pos="9746"/>
            </w:tabs>
            <w:rPr>
              <w:rFonts w:hint="eastAsia" w:ascii="宋体" w:hAnsi="宋体" w:eastAsia="宋体" w:cs="宋体"/>
              <w:b w:val="0"/>
              <w:bCs w:val="0"/>
              <w:sz w:val="32"/>
              <w:szCs w:val="32"/>
            </w:rPr>
          </w:pPr>
          <w:r>
            <w:rPr>
              <w:rFonts w:hint="eastAsia" w:ascii="宋体" w:hAnsi="宋体" w:eastAsia="宋体" w:cs="宋体"/>
              <w:b w:val="0"/>
              <w:bCs w:val="0"/>
              <w:spacing w:val="-2"/>
              <w:sz w:val="32"/>
              <w:szCs w:val="32"/>
            </w:rPr>
            <w:fldChar w:fldCharType="begin"/>
          </w:r>
          <w:r>
            <w:rPr>
              <w:rFonts w:hint="eastAsia" w:ascii="宋体" w:hAnsi="宋体" w:eastAsia="宋体" w:cs="宋体"/>
              <w:b w:val="0"/>
              <w:bCs w:val="0"/>
              <w:spacing w:val="-2"/>
              <w:sz w:val="32"/>
              <w:szCs w:val="32"/>
            </w:rPr>
            <w:instrText xml:space="preserve"> HYPERLINK \l _Toc19011 </w:instrText>
          </w:r>
          <w:r>
            <w:rPr>
              <w:rFonts w:hint="eastAsia" w:ascii="宋体" w:hAnsi="宋体" w:eastAsia="宋体" w:cs="宋体"/>
              <w:b w:val="0"/>
              <w:bCs w:val="0"/>
              <w:spacing w:val="-2"/>
              <w:sz w:val="32"/>
              <w:szCs w:val="32"/>
            </w:rPr>
            <w:fldChar w:fldCharType="separate"/>
          </w:r>
          <w:r>
            <w:rPr>
              <w:rFonts w:hint="eastAsia" w:ascii="宋体" w:hAnsi="宋体" w:eastAsia="宋体" w:cs="宋体"/>
              <w:b w:val="0"/>
              <w:bCs w:val="0"/>
              <w:spacing w:val="6"/>
              <w:sz w:val="32"/>
              <w:szCs w:val="32"/>
              <w:lang w:val="en-US" w:eastAsia="zh-CN"/>
              <w14:textOutline w14:w="5793" w14:cap="sq" w14:cmpd="sng">
                <w14:solidFill>
                  <w14:srgbClr w14:val="000000"/>
                </w14:solidFill>
                <w14:prstDash w14:val="solid"/>
                <w14:bevel/>
              </w14:textOutline>
            </w:rPr>
            <w:t>第五章  签订合同、合同主要条款</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_Toc19011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83</w:t>
          </w:r>
          <w:r>
            <w:rPr>
              <w:rFonts w:hint="eastAsia" w:ascii="宋体" w:hAnsi="宋体" w:eastAsia="宋体" w:cs="宋体"/>
              <w:b w:val="0"/>
              <w:bCs w:val="0"/>
              <w:sz w:val="32"/>
              <w:szCs w:val="32"/>
            </w:rPr>
            <w:fldChar w:fldCharType="end"/>
          </w:r>
          <w:r>
            <w:rPr>
              <w:rFonts w:hint="eastAsia" w:ascii="宋体" w:hAnsi="宋体" w:eastAsia="宋体" w:cs="宋体"/>
              <w:b w:val="0"/>
              <w:bCs w:val="0"/>
              <w:spacing w:val="-2"/>
              <w:sz w:val="32"/>
              <w:szCs w:val="32"/>
            </w:rPr>
            <w:fldChar w:fldCharType="end"/>
          </w:r>
        </w:p>
        <w:p w14:paraId="57E46FE9">
          <w:pPr>
            <w:pStyle w:val="13"/>
            <w:tabs>
              <w:tab w:val="right" w:leader="dot" w:pos="9746"/>
            </w:tabs>
            <w:rPr>
              <w:rFonts w:hint="eastAsia" w:ascii="宋体" w:hAnsi="宋体" w:eastAsia="宋体" w:cs="宋体"/>
              <w:b w:val="0"/>
              <w:bCs w:val="0"/>
              <w:sz w:val="32"/>
              <w:szCs w:val="32"/>
            </w:rPr>
          </w:pPr>
          <w:r>
            <w:rPr>
              <w:rFonts w:hint="eastAsia" w:ascii="宋体" w:hAnsi="宋体" w:eastAsia="宋体" w:cs="宋体"/>
              <w:b w:val="0"/>
              <w:bCs w:val="0"/>
              <w:spacing w:val="-2"/>
              <w:sz w:val="32"/>
              <w:szCs w:val="32"/>
            </w:rPr>
            <w:fldChar w:fldCharType="begin"/>
          </w:r>
          <w:r>
            <w:rPr>
              <w:rFonts w:hint="eastAsia" w:ascii="宋体" w:hAnsi="宋体" w:eastAsia="宋体" w:cs="宋体"/>
              <w:b w:val="0"/>
              <w:bCs w:val="0"/>
              <w:spacing w:val="-2"/>
              <w:sz w:val="32"/>
              <w:szCs w:val="32"/>
            </w:rPr>
            <w:instrText xml:space="preserve"> HYPERLINK \l _Toc5022 </w:instrText>
          </w:r>
          <w:r>
            <w:rPr>
              <w:rFonts w:hint="eastAsia" w:ascii="宋体" w:hAnsi="宋体" w:eastAsia="宋体" w:cs="宋体"/>
              <w:b w:val="0"/>
              <w:bCs w:val="0"/>
              <w:spacing w:val="-2"/>
              <w:sz w:val="32"/>
              <w:szCs w:val="32"/>
            </w:rPr>
            <w:fldChar w:fldCharType="separate"/>
          </w:r>
          <w:r>
            <w:rPr>
              <w:rFonts w:hint="eastAsia" w:ascii="宋体" w:hAnsi="宋体" w:eastAsia="宋体" w:cs="宋体"/>
              <w:b w:val="0"/>
              <w:bCs w:val="0"/>
              <w:spacing w:val="6"/>
              <w:sz w:val="32"/>
              <w:szCs w:val="32"/>
              <w:lang w:val="en-US" w:eastAsia="zh-CN"/>
              <w14:textOutline w14:w="5793" w14:cap="sq" w14:cmpd="sng">
                <w14:solidFill>
                  <w14:srgbClr w14:val="000000"/>
                </w14:solidFill>
                <w14:prstDash w14:val="solid"/>
                <w14:bevel/>
              </w14:textOutline>
            </w:rPr>
            <w:t>第六章  投标文件格式</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_Toc5022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90</w:t>
          </w:r>
          <w:r>
            <w:rPr>
              <w:rFonts w:hint="eastAsia" w:ascii="宋体" w:hAnsi="宋体" w:eastAsia="宋体" w:cs="宋体"/>
              <w:b w:val="0"/>
              <w:bCs w:val="0"/>
              <w:sz w:val="32"/>
              <w:szCs w:val="32"/>
            </w:rPr>
            <w:fldChar w:fldCharType="end"/>
          </w:r>
          <w:r>
            <w:rPr>
              <w:rFonts w:hint="eastAsia" w:ascii="宋体" w:hAnsi="宋体" w:eastAsia="宋体" w:cs="宋体"/>
              <w:b w:val="0"/>
              <w:bCs w:val="0"/>
              <w:spacing w:val="-2"/>
              <w:sz w:val="32"/>
              <w:szCs w:val="32"/>
            </w:rPr>
            <w:fldChar w:fldCharType="end"/>
          </w:r>
        </w:p>
        <w:p w14:paraId="51424896">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napToGrid w:val="0"/>
              <w:color w:val="000000"/>
              <w:spacing w:val="-2"/>
              <w:kern w:val="0"/>
              <w:sz w:val="21"/>
              <w:szCs w:val="28"/>
              <w:lang w:val="en-US" w:eastAsia="en-US" w:bidi="ar-SA"/>
            </w:rPr>
          </w:pPr>
          <w:r>
            <w:rPr>
              <w:rFonts w:hint="eastAsia" w:ascii="宋体" w:hAnsi="宋体" w:eastAsia="宋体" w:cs="宋体"/>
              <w:b w:val="0"/>
              <w:bCs w:val="0"/>
              <w:spacing w:val="-2"/>
              <w:sz w:val="32"/>
              <w:szCs w:val="32"/>
            </w:rPr>
            <w:fldChar w:fldCharType="end"/>
          </w:r>
        </w:p>
      </w:sdtContent>
    </w:sdt>
    <w:p w14:paraId="146E1876">
      <w:pPr>
        <w:pStyle w:val="6"/>
        <w:rPr>
          <w:rFonts w:hint="eastAsia"/>
        </w:rPr>
      </w:pPr>
    </w:p>
    <w:p w14:paraId="4304AE4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561B487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4261F5F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1282456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5F83E57D">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6F6A6A7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4A6941B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5909224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0919A84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6E00576B">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456A9811">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center"/>
        <w:textAlignment w:val="auto"/>
        <w:outlineLvl w:val="9"/>
        <w:rPr>
          <w:rFonts w:hint="eastAsia" w:ascii="仿宋" w:hAnsi="仿宋" w:eastAsia="仿宋" w:cs="仿宋"/>
          <w:spacing w:val="-2"/>
          <w:sz w:val="28"/>
          <w:szCs w:val="28"/>
        </w:rPr>
      </w:pPr>
    </w:p>
    <w:p w14:paraId="276E74C1">
      <w:pP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br w:type="page"/>
      </w:r>
    </w:p>
    <w:p w14:paraId="06825B2A">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货物采购招标文件</w:t>
      </w:r>
    </w:p>
    <w:p w14:paraId="4F09E6D3">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eastAsia" w:ascii="仿宋" w:hAnsi="仿宋" w:eastAsia="仿宋" w:cs="仿宋"/>
          <w:color w:val="auto"/>
          <w:sz w:val="28"/>
          <w:szCs w:val="28"/>
          <w:highlight w:val="none"/>
          <w:lang w:eastAsia="zh-CN"/>
        </w:rPr>
      </w:pPr>
    </w:p>
    <w:p w14:paraId="5B700F6C">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阿克苏市生活垃圾压缩转运站设备更新改造项目(生活垃圾转运站设备)</w:t>
      </w:r>
    </w:p>
    <w:p w14:paraId="7CAC445D">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人（公章）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阿克苏市住房和城乡建设局   </w:t>
      </w:r>
    </w:p>
    <w:p w14:paraId="54C6F971">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或授权委托人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签字或盖章</w:t>
      </w:r>
      <w:r>
        <w:rPr>
          <w:rFonts w:hint="eastAsia" w:ascii="仿宋" w:hAnsi="仿宋" w:eastAsia="仿宋" w:cs="仿宋"/>
          <w:color w:val="auto"/>
          <w:sz w:val="28"/>
          <w:szCs w:val="28"/>
          <w:highlight w:val="none"/>
        </w:rPr>
        <w:t xml:space="preserve">）：   </w:t>
      </w:r>
    </w:p>
    <w:p w14:paraId="638A3FF0">
      <w:pPr>
        <w:keepNext w:val="0"/>
        <w:keepLines w:val="0"/>
        <w:widowControl/>
        <w:suppressLineNumbers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 系 人：勾通江</w:t>
      </w:r>
      <w:r>
        <w:rPr>
          <w:rFonts w:ascii="浠垮畫" w:hAnsi="浠垮畫" w:eastAsia="浠垮畫" w:cs="浠垮畫"/>
          <w:snapToGrid w:val="0"/>
          <w:color w:val="000000"/>
          <w:kern w:val="0"/>
          <w:sz w:val="28"/>
          <w:szCs w:val="28"/>
          <w:lang w:val="en-US" w:eastAsia="zh-CN" w:bidi="ar"/>
        </w:rPr>
        <w:t xml:space="preserve"> </w:t>
      </w:r>
      <w:r>
        <w:rPr>
          <w:rFonts w:hint="eastAsia" w:ascii="仿宋" w:hAnsi="仿宋" w:eastAsia="仿宋" w:cs="仿宋"/>
          <w:color w:val="auto"/>
          <w:sz w:val="28"/>
          <w:szCs w:val="28"/>
          <w:highlight w:val="none"/>
          <w:lang w:val="en-US" w:eastAsia="zh-CN"/>
        </w:rPr>
        <w:t xml:space="preserve">    </w:t>
      </w:r>
    </w:p>
    <w:p w14:paraId="64DFFBE0">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联系电话：19316801950  </w:t>
      </w:r>
    </w:p>
    <w:p w14:paraId="3A8DC239">
      <w:pPr>
        <w:keepNext w:val="0"/>
        <w:keepLines w:val="0"/>
        <w:pageBreakBefore w:val="0"/>
        <w:widowControl w:val="0"/>
        <w:kinsoku/>
        <w:wordWrap/>
        <w:overflowPunct/>
        <w:topLinePunct w:val="0"/>
        <w:autoSpaceDE/>
        <w:autoSpaceDN/>
        <w:bidi w:val="0"/>
        <w:adjustRightInd w:val="0"/>
        <w:snapToGrid/>
        <w:spacing w:line="700" w:lineRule="exact"/>
        <w:jc w:val="both"/>
        <w:textAlignment w:val="auto"/>
        <w:outlineLvl w:val="9"/>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                           </w:t>
      </w:r>
    </w:p>
    <w:p w14:paraId="25393B0C">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eastAsia" w:ascii="仿宋" w:hAnsi="仿宋" w:eastAsia="仿宋" w:cs="仿宋"/>
          <w:color w:val="auto"/>
          <w:sz w:val="28"/>
          <w:szCs w:val="28"/>
          <w:highlight w:val="none"/>
        </w:rPr>
      </w:pPr>
    </w:p>
    <w:p w14:paraId="555D7DE3">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p>
    <w:p w14:paraId="64264C2A">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eastAsia" w:ascii="仿宋" w:hAnsi="仿宋" w:eastAsia="仿宋" w:cs="仿宋"/>
          <w:color w:val="auto"/>
          <w:sz w:val="28"/>
          <w:szCs w:val="28"/>
          <w:highlight w:val="none"/>
        </w:rPr>
      </w:pPr>
    </w:p>
    <w:p w14:paraId="5DB2DABD">
      <w:pPr>
        <w:keepNext w:val="0"/>
        <w:keepLines w:val="0"/>
        <w:pageBreakBefore w:val="0"/>
        <w:widowControl w:val="0"/>
        <w:kinsoku/>
        <w:wordWrap/>
        <w:overflowPunct/>
        <w:topLinePunct w:val="0"/>
        <w:autoSpaceDE/>
        <w:autoSpaceDN/>
        <w:bidi w:val="0"/>
        <w:adjustRightInd w:val="0"/>
        <w:snapToGrid/>
        <w:spacing w:line="700" w:lineRule="exact"/>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代理机构（公章）：</w:t>
      </w:r>
      <w:r>
        <w:rPr>
          <w:rFonts w:hint="eastAsia" w:ascii="仿宋" w:hAnsi="仿宋" w:eastAsia="仿宋" w:cs="仿宋"/>
          <w:color w:val="auto"/>
          <w:sz w:val="28"/>
          <w:szCs w:val="28"/>
          <w:highlight w:val="none"/>
          <w:lang w:val="en-US" w:eastAsia="zh-CN"/>
        </w:rPr>
        <w:t>新疆国信天翌工程项目管理有限公司</w:t>
      </w:r>
    </w:p>
    <w:p w14:paraId="02E83BA8">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签字或盖章</w:t>
      </w:r>
      <w:r>
        <w:rPr>
          <w:rFonts w:hint="eastAsia" w:ascii="仿宋" w:hAnsi="仿宋" w:eastAsia="仿宋" w:cs="仿宋"/>
          <w:color w:val="auto"/>
          <w:sz w:val="28"/>
          <w:szCs w:val="28"/>
          <w:highlight w:val="none"/>
        </w:rPr>
        <w:t>）：</w:t>
      </w:r>
    </w:p>
    <w:p w14:paraId="734205F4">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 系 人：潘晶晶、肖瑶      </w:t>
      </w:r>
    </w:p>
    <w:p w14:paraId="0EF403F1">
      <w:pPr>
        <w:keepNext w:val="0"/>
        <w:keepLines w:val="0"/>
        <w:pageBreakBefore w:val="0"/>
        <w:widowControl w:val="0"/>
        <w:kinsoku/>
        <w:wordWrap/>
        <w:overflowPunct/>
        <w:topLinePunct w:val="0"/>
        <w:autoSpaceDE/>
        <w:autoSpaceDN/>
        <w:bidi w:val="0"/>
        <w:adjustRightInd w:val="0"/>
        <w:snapToGrid/>
        <w:spacing w:line="700" w:lineRule="exact"/>
        <w:ind w:right="0" w:rightChars="0"/>
        <w:jc w:val="both"/>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联系电话：16699006615、18997878000</w:t>
      </w:r>
    </w:p>
    <w:p w14:paraId="7292C9F8">
      <w:pPr>
        <w:keepNext w:val="0"/>
        <w:keepLines w:val="0"/>
        <w:pageBreakBefore w:val="0"/>
        <w:widowControl w:val="0"/>
        <w:kinsoku/>
        <w:wordWrap/>
        <w:overflowPunct/>
        <w:topLinePunct w:val="0"/>
        <w:autoSpaceDE/>
        <w:autoSpaceDN/>
        <w:bidi w:val="0"/>
        <w:adjustRightInd w:val="0"/>
        <w:snapToGrid/>
        <w:spacing w:line="700" w:lineRule="exact"/>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联系地址：阿克苏解放南路辅路阿克苏投资建设集团有限公司3楼</w:t>
      </w:r>
    </w:p>
    <w:p w14:paraId="6FD94BA9">
      <w:pPr>
        <w:keepNext w:val="0"/>
        <w:keepLines w:val="0"/>
        <w:pageBreakBefore w:val="0"/>
        <w:widowControl w:val="0"/>
        <w:kinsoku/>
        <w:wordWrap/>
        <w:overflowPunct/>
        <w:topLinePunct w:val="0"/>
        <w:autoSpaceDE/>
        <w:autoSpaceDN/>
        <w:bidi w:val="0"/>
        <w:adjustRightInd w:val="0"/>
        <w:snapToGrid/>
        <w:spacing w:line="700" w:lineRule="exact"/>
        <w:jc w:val="both"/>
        <w:textAlignment w:val="auto"/>
        <w:outlineLvl w:val="9"/>
        <w:rPr>
          <w:rFonts w:hint="eastAsia" w:ascii="仿宋" w:hAnsi="仿宋" w:eastAsia="仿宋" w:cs="仿宋"/>
          <w:color w:val="auto"/>
          <w:sz w:val="28"/>
          <w:szCs w:val="28"/>
          <w:highlight w:val="none"/>
          <w:lang w:val="en-US" w:eastAsia="zh-CN"/>
        </w:rPr>
      </w:pPr>
    </w:p>
    <w:p w14:paraId="34FA1AC5">
      <w:pPr>
        <w:keepNext w:val="0"/>
        <w:keepLines w:val="0"/>
        <w:pageBreakBefore w:val="0"/>
        <w:widowControl w:val="0"/>
        <w:kinsoku/>
        <w:wordWrap/>
        <w:overflowPunct/>
        <w:topLinePunct w:val="0"/>
        <w:autoSpaceDE/>
        <w:autoSpaceDN/>
        <w:bidi w:val="0"/>
        <w:adjustRightInd w:val="0"/>
        <w:snapToGrid/>
        <w:spacing w:line="700" w:lineRule="exact"/>
        <w:jc w:val="both"/>
        <w:textAlignment w:val="auto"/>
        <w:outlineLvl w:val="9"/>
        <w:rPr>
          <w:rFonts w:hint="eastAsia" w:ascii="仿宋" w:hAnsi="仿宋" w:eastAsia="仿宋" w:cs="仿宋"/>
          <w:color w:val="auto"/>
          <w:sz w:val="28"/>
          <w:szCs w:val="28"/>
          <w:highlight w:val="none"/>
          <w:lang w:val="en-US" w:eastAsia="zh-CN"/>
        </w:rPr>
      </w:pPr>
    </w:p>
    <w:p w14:paraId="1C40F752">
      <w:pPr>
        <w:pStyle w:val="6"/>
        <w:rPr>
          <w:rFonts w:hint="eastAsia" w:ascii="仿宋" w:hAnsi="仿宋" w:eastAsia="仿宋" w:cs="仿宋"/>
          <w:color w:val="auto"/>
          <w:sz w:val="28"/>
          <w:szCs w:val="28"/>
          <w:highlight w:val="none"/>
          <w:lang w:val="en-US" w:eastAsia="zh-CN"/>
        </w:rPr>
      </w:pPr>
    </w:p>
    <w:p w14:paraId="0C28E61E">
      <w:pPr>
        <w:rPr>
          <w:rFonts w:hint="eastAsia"/>
          <w:lang w:val="en-US" w:eastAsia="zh-CN"/>
        </w:rPr>
      </w:pPr>
    </w:p>
    <w:p w14:paraId="09F5454A">
      <w:pPr>
        <w:pStyle w:val="6"/>
        <w:rPr>
          <w:rFonts w:hint="eastAsia" w:ascii="仿宋" w:hAnsi="仿宋" w:eastAsia="仿宋" w:cs="仿宋"/>
          <w:spacing w:val="2"/>
          <w:sz w:val="28"/>
          <w:szCs w:val="28"/>
          <w:lang w:val="en-US" w:eastAsia="zh-CN"/>
        </w:rPr>
      </w:pPr>
    </w:p>
    <w:p w14:paraId="214F43E9">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0"/>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pPr>
      <w:bookmarkStart w:id="0" w:name="_Toc18173"/>
      <w: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t>第一章  招标公告</w:t>
      </w:r>
      <w:bookmarkEnd w:id="0"/>
    </w:p>
    <w:p w14:paraId="501630DD">
      <w:pPr>
        <w:keepNext w:val="0"/>
        <w:keepLines w:val="0"/>
        <w:pageBreakBefore w:val="0"/>
        <w:overflowPunct/>
        <w:topLinePunct w:val="0"/>
        <w:bidi w:val="0"/>
        <w:adjustRightInd w:val="0"/>
        <w:spacing w:before="100" w:line="234" w:lineRule="auto"/>
        <w:ind w:right="201"/>
        <w:jc w:val="center"/>
        <w:outlineLvl w:val="9"/>
        <w:rPr>
          <w:rFonts w:hint="eastAsia" w:ascii="仿宋" w:hAnsi="仿宋" w:eastAsia="仿宋" w:cs="仿宋"/>
          <w:sz w:val="31"/>
          <w:szCs w:val="31"/>
          <w:highlight w:val="none"/>
        </w:rPr>
      </w:pPr>
      <w:r>
        <w:rPr>
          <w:rFonts w:hint="eastAsia" w:ascii="仿宋" w:hAnsi="仿宋" w:eastAsia="仿宋" w:cs="仿宋"/>
          <w:spacing w:val="10"/>
          <w:sz w:val="31"/>
          <w:szCs w:val="31"/>
          <w:highlight w:val="none"/>
          <w:lang w:eastAsia="zh-CN"/>
          <w14:textOutline w14:w="5793" w14:cap="sq" w14:cmpd="sng">
            <w14:solidFill>
              <w14:srgbClr w14:val="000000"/>
            </w14:solidFill>
            <w14:prstDash w14:val="solid"/>
            <w14:bevel/>
          </w14:textOutline>
        </w:rPr>
        <w:t>阿克苏市生活垃圾压缩转运站设备更新改造项目(生活垃圾转运站设备)</w:t>
      </w:r>
      <w:r>
        <w:rPr>
          <w:rFonts w:hint="eastAsia" w:ascii="仿宋" w:hAnsi="仿宋" w:eastAsia="仿宋" w:cs="仿宋"/>
          <w:spacing w:val="9"/>
          <w:sz w:val="31"/>
          <w:szCs w:val="31"/>
          <w:highlight w:val="none"/>
          <w:lang w:val="en-US" w:eastAsia="zh-CN"/>
          <w14:textOutline w14:w="5793" w14:cap="sq" w14:cmpd="sng">
            <w14:solidFill>
              <w14:srgbClr w14:val="000000"/>
            </w14:solidFill>
            <w14:prstDash w14:val="solid"/>
            <w14:bevel/>
          </w14:textOutline>
        </w:rPr>
        <w:t>公开招标</w:t>
      </w:r>
      <w:r>
        <w:rPr>
          <w:rFonts w:hint="eastAsia" w:ascii="仿宋" w:hAnsi="仿宋" w:eastAsia="仿宋" w:cs="仿宋"/>
          <w:spacing w:val="9"/>
          <w:sz w:val="31"/>
          <w:szCs w:val="31"/>
          <w:highlight w:val="none"/>
          <w14:textOutline w14:w="5793" w14:cap="sq" w14:cmpd="sng">
            <w14:solidFill>
              <w14:srgbClr w14:val="000000"/>
            </w14:solidFill>
            <w14:prstDash w14:val="solid"/>
            <w14:bevel/>
          </w14:textOutline>
        </w:rPr>
        <w:t>公</w:t>
      </w:r>
      <w:r>
        <w:rPr>
          <w:rFonts w:hint="eastAsia" w:ascii="仿宋" w:hAnsi="仿宋" w:eastAsia="仿宋" w:cs="仿宋"/>
          <w:sz w:val="31"/>
          <w:szCs w:val="31"/>
          <w:highlight w:val="none"/>
          <w14:textOutline w14:w="5793" w14:cap="sq" w14:cmpd="sng">
            <w14:solidFill>
              <w14:srgbClr w14:val="000000"/>
            </w14:solidFill>
            <w14:prstDash w14:val="solid"/>
            <w14:bevel/>
          </w14:textOutline>
        </w:rPr>
        <w:t>告</w:t>
      </w:r>
    </w:p>
    <w:p w14:paraId="05D0CCB9">
      <w:pPr>
        <w:keepNext w:val="0"/>
        <w:keepLines w:val="0"/>
        <w:pageBreakBefore w:val="0"/>
        <w:overflowPunct/>
        <w:topLinePunct w:val="0"/>
        <w:bidi w:val="0"/>
        <w:adjustRightInd w:val="0"/>
        <w:spacing w:before="87"/>
        <w:outlineLvl w:val="9"/>
        <w:rPr>
          <w:rFonts w:hint="eastAsia" w:ascii="仿宋" w:hAnsi="仿宋" w:eastAsia="仿宋" w:cs="仿宋"/>
        </w:rPr>
      </w:pPr>
    </w:p>
    <w:tbl>
      <w:tblPr>
        <w:tblStyle w:val="23"/>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406"/>
      </w:tblGrid>
      <w:tr w14:paraId="7935CD0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89" w:hRule="atLeast"/>
        </w:trPr>
        <w:tc>
          <w:tcPr>
            <w:tcW w:w="5000" w:type="pct"/>
            <w:vAlign w:val="top"/>
          </w:tcPr>
          <w:p w14:paraId="63FE2A57">
            <w:pPr>
              <w:keepNext w:val="0"/>
              <w:keepLines w:val="0"/>
              <w:pageBreakBefore w:val="0"/>
              <w:overflowPunct/>
              <w:topLinePunct w:val="0"/>
              <w:bidi w:val="0"/>
              <w:adjustRightInd w:val="0"/>
              <w:spacing w:before="73" w:line="223" w:lineRule="auto"/>
              <w:ind w:left="104"/>
              <w:outlineLvl w:val="9"/>
              <w:rPr>
                <w:rFonts w:hint="eastAsia" w:ascii="仿宋" w:hAnsi="仿宋" w:eastAsia="仿宋" w:cs="仿宋"/>
                <w:sz w:val="28"/>
                <w:szCs w:val="28"/>
              </w:rPr>
            </w:pPr>
            <w:r>
              <w:rPr>
                <w:rFonts w:hint="eastAsia" w:ascii="仿宋" w:hAnsi="仿宋" w:eastAsia="仿宋" w:cs="仿宋"/>
                <w:spacing w:val="-5"/>
                <w:sz w:val="28"/>
                <w:szCs w:val="28"/>
              </w:rPr>
              <w:t>项目概况</w:t>
            </w:r>
          </w:p>
          <w:p w14:paraId="39D3756A">
            <w:pPr>
              <w:keepNext w:val="0"/>
              <w:keepLines w:val="0"/>
              <w:pageBreakBefore w:val="0"/>
              <w:overflowPunct/>
              <w:topLinePunct w:val="0"/>
              <w:bidi w:val="0"/>
              <w:adjustRightInd w:val="0"/>
              <w:spacing w:before="21" w:line="230" w:lineRule="auto"/>
              <w:ind w:left="104" w:firstLine="566"/>
              <w:jc w:val="both"/>
              <w:outlineLvl w:val="9"/>
              <w:rPr>
                <w:rFonts w:hint="eastAsia" w:ascii="仿宋" w:hAnsi="仿宋" w:eastAsia="仿宋" w:cs="仿宋"/>
                <w:sz w:val="28"/>
                <w:szCs w:val="28"/>
              </w:rPr>
            </w:pPr>
            <w:r>
              <w:rPr>
                <w:rFonts w:hint="eastAsia" w:ascii="仿宋" w:hAnsi="仿宋" w:eastAsia="仿宋" w:cs="仿宋"/>
                <w:spacing w:val="7"/>
                <w:sz w:val="28"/>
                <w:szCs w:val="28"/>
                <w:u w:val="none" w:color="auto"/>
                <w:lang w:eastAsia="zh-CN"/>
              </w:rPr>
              <w:t>阿克苏市生活垃圾压缩转运站设备更新改造项目(生活垃圾转运站设备)的</w:t>
            </w:r>
            <w:r>
              <w:rPr>
                <w:rFonts w:hint="eastAsia" w:ascii="仿宋" w:hAnsi="仿宋" w:eastAsia="仿宋" w:cs="仿宋"/>
                <w:spacing w:val="7"/>
                <w:sz w:val="28"/>
                <w:szCs w:val="28"/>
              </w:rPr>
              <w:t>潜在投标人应在政采云平台线上获取</w:t>
            </w:r>
            <w:r>
              <w:rPr>
                <w:rFonts w:hint="eastAsia" w:ascii="仿宋" w:hAnsi="仿宋" w:eastAsia="仿宋" w:cs="仿宋"/>
                <w:spacing w:val="7"/>
                <w:sz w:val="28"/>
                <w:szCs w:val="28"/>
                <w:lang w:val="en-US" w:eastAsia="zh-CN"/>
              </w:rPr>
              <w:t>采购</w:t>
            </w:r>
            <w:r>
              <w:rPr>
                <w:rFonts w:hint="eastAsia" w:ascii="仿宋" w:hAnsi="仿宋" w:eastAsia="仿宋" w:cs="仿宋"/>
                <w:spacing w:val="7"/>
                <w:sz w:val="28"/>
                <w:szCs w:val="28"/>
              </w:rPr>
              <w:t>文件，并于</w:t>
            </w:r>
            <w:r>
              <w:rPr>
                <w:rFonts w:hint="eastAsia" w:ascii="仿宋" w:hAnsi="仿宋" w:eastAsia="仿宋" w:cs="仿宋"/>
                <w:spacing w:val="-6"/>
                <w:sz w:val="28"/>
                <w:szCs w:val="28"/>
                <w:highlight w:val="none"/>
                <w:u w:val="none" w:color="auto"/>
                <w:lang w:eastAsia="zh-CN"/>
              </w:rPr>
              <w:t>2026年05月25 日 上午10：30（北京时间）</w:t>
            </w:r>
            <w:r>
              <w:rPr>
                <w:rFonts w:hint="eastAsia" w:ascii="仿宋" w:hAnsi="仿宋" w:eastAsia="仿宋" w:cs="仿宋"/>
                <w:spacing w:val="7"/>
                <w:sz w:val="28"/>
                <w:szCs w:val="28"/>
              </w:rPr>
              <w:t>前递交投标文件</w:t>
            </w:r>
            <w:r>
              <w:rPr>
                <w:rFonts w:hint="eastAsia" w:ascii="仿宋" w:hAnsi="仿宋" w:eastAsia="仿宋" w:cs="仿宋"/>
                <w:spacing w:val="-3"/>
                <w:sz w:val="28"/>
                <w:szCs w:val="28"/>
              </w:rPr>
              <w:t>。</w:t>
            </w:r>
          </w:p>
        </w:tc>
      </w:tr>
    </w:tbl>
    <w:p w14:paraId="561B712F">
      <w:pPr>
        <w:pStyle w:val="8"/>
        <w:keepNext w:val="0"/>
        <w:keepLines w:val="0"/>
        <w:pageBreakBefore w:val="0"/>
        <w:overflowPunct/>
        <w:topLinePunct w:val="0"/>
        <w:bidi w:val="0"/>
        <w:adjustRightInd w:val="0"/>
        <w:spacing w:line="314" w:lineRule="auto"/>
        <w:outlineLvl w:val="9"/>
        <w:rPr>
          <w:rFonts w:hint="eastAsia" w:ascii="仿宋" w:hAnsi="仿宋" w:eastAsia="仿宋" w:cs="仿宋"/>
        </w:rPr>
      </w:pPr>
    </w:p>
    <w:p w14:paraId="464F723B">
      <w:pPr>
        <w:keepNext w:val="0"/>
        <w:keepLines w:val="0"/>
        <w:pageBreakBefore w:val="0"/>
        <w:widowControl w:val="0"/>
        <w:kinsoku/>
        <w:wordWrap w:val="0"/>
        <w:overflowPunct/>
        <w:topLinePunct w:val="0"/>
        <w:autoSpaceDE/>
        <w:autoSpaceDN/>
        <w:bidi w:val="0"/>
        <w:adjustRightInd w:val="0"/>
        <w:snapToGrid w:val="0"/>
        <w:spacing w:line="520" w:lineRule="exact"/>
        <w:ind w:right="0"/>
        <w:jc w:val="both"/>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一、项目基本情况</w:t>
      </w:r>
    </w:p>
    <w:p w14:paraId="0236DC4C">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48" w:firstLineChars="200"/>
        <w:jc w:val="both"/>
        <w:textAlignment w:val="auto"/>
        <w:outlineLvl w:val="9"/>
        <w:rPr>
          <w:rFonts w:hint="default" w:ascii="仿宋" w:hAnsi="仿宋" w:eastAsia="仿宋" w:cs="仿宋"/>
          <w:sz w:val="26"/>
          <w:szCs w:val="26"/>
          <w:highlight w:val="none"/>
          <w:lang w:val="en-US" w:eastAsia="zh-CN"/>
        </w:rPr>
      </w:pPr>
      <w:r>
        <w:rPr>
          <w:rFonts w:hint="eastAsia" w:ascii="仿宋" w:hAnsi="仿宋" w:eastAsia="仿宋" w:cs="仿宋"/>
          <w:spacing w:val="7"/>
          <w:sz w:val="26"/>
          <w:szCs w:val="26"/>
          <w:highlight w:val="none"/>
        </w:rPr>
        <w:t>项目编号：</w:t>
      </w:r>
      <w:r>
        <w:rPr>
          <w:rFonts w:hint="eastAsia" w:ascii="仿宋" w:hAnsi="仿宋" w:eastAsia="仿宋" w:cs="仿宋"/>
          <w:spacing w:val="7"/>
          <w:sz w:val="26"/>
          <w:szCs w:val="26"/>
          <w:highlight w:val="none"/>
          <w:lang w:val="en-US" w:eastAsia="zh-CN"/>
        </w:rPr>
        <w:t>2026-A-12</w:t>
      </w:r>
    </w:p>
    <w:p w14:paraId="25D8973F">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pacing w:val="9"/>
          <w:sz w:val="26"/>
          <w:szCs w:val="26"/>
          <w:lang w:eastAsia="zh-CN"/>
        </w:rPr>
      </w:pPr>
      <w:r>
        <w:rPr>
          <w:rFonts w:hint="eastAsia" w:ascii="仿宋" w:hAnsi="仿宋" w:eastAsia="仿宋" w:cs="仿宋"/>
          <w:spacing w:val="9"/>
          <w:sz w:val="26"/>
          <w:szCs w:val="26"/>
        </w:rPr>
        <w:t>项目名称：</w:t>
      </w:r>
      <w:r>
        <w:rPr>
          <w:rFonts w:hint="eastAsia" w:ascii="仿宋" w:hAnsi="仿宋" w:eastAsia="仿宋" w:cs="仿宋"/>
          <w:spacing w:val="9"/>
          <w:sz w:val="26"/>
          <w:szCs w:val="26"/>
          <w:lang w:eastAsia="zh-CN"/>
        </w:rPr>
        <w:t>阿克苏市生活垃圾压缩转运站设备更新改造项目(生活垃圾转运站设备)</w:t>
      </w:r>
    </w:p>
    <w:p w14:paraId="0A42D3A1">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2"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pacing w:val="-2"/>
          <w:sz w:val="28"/>
          <w:szCs w:val="28"/>
        </w:rPr>
        <w:t>采购方式：</w:t>
      </w:r>
      <w:r>
        <w:rPr>
          <w:rFonts w:hint="eastAsia" w:ascii="仿宋" w:hAnsi="仿宋" w:eastAsia="仿宋" w:cs="仿宋"/>
          <w:spacing w:val="-2"/>
          <w:sz w:val="28"/>
          <w:szCs w:val="28"/>
          <w:lang w:val="en-US" w:eastAsia="zh-CN"/>
        </w:rPr>
        <w:t>公开招标</w:t>
      </w:r>
    </w:p>
    <w:p w14:paraId="645AB083">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2" w:firstLineChars="200"/>
        <w:jc w:val="both"/>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pacing w:val="-2"/>
          <w:sz w:val="28"/>
          <w:szCs w:val="28"/>
          <w:highlight w:val="none"/>
        </w:rPr>
        <w:t>预算金额（元</w:t>
      </w:r>
      <w:r>
        <w:rPr>
          <w:rFonts w:hint="eastAsia" w:ascii="仿宋" w:hAnsi="仿宋" w:eastAsia="仿宋" w:cs="仿宋"/>
          <w:spacing w:val="6"/>
          <w:sz w:val="28"/>
          <w:szCs w:val="28"/>
          <w:highlight w:val="none"/>
        </w:rPr>
        <w:t>）：255073</w:t>
      </w:r>
      <w:r>
        <w:rPr>
          <w:rFonts w:hint="eastAsia" w:ascii="仿宋" w:hAnsi="仿宋" w:eastAsia="仿宋" w:cs="仿宋"/>
          <w:spacing w:val="6"/>
          <w:sz w:val="28"/>
          <w:szCs w:val="28"/>
          <w:highlight w:val="none"/>
          <w:lang w:val="en-US" w:eastAsia="zh-CN"/>
        </w:rPr>
        <w:t>00.00</w:t>
      </w:r>
    </w:p>
    <w:p w14:paraId="5267BFCB">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48" w:firstLineChars="200"/>
        <w:jc w:val="both"/>
        <w:textAlignment w:val="auto"/>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最高限价（元</w:t>
      </w:r>
      <w:r>
        <w:rPr>
          <w:rFonts w:hint="eastAsia" w:ascii="仿宋" w:hAnsi="仿宋" w:eastAsia="仿宋" w:cs="仿宋"/>
          <w:spacing w:val="10"/>
          <w:sz w:val="28"/>
          <w:szCs w:val="28"/>
          <w:highlight w:val="none"/>
        </w:rPr>
        <w:t>）：</w:t>
      </w:r>
      <w:r>
        <w:rPr>
          <w:rFonts w:hint="eastAsia" w:ascii="仿宋" w:hAnsi="仿宋" w:eastAsia="仿宋" w:cs="仿宋"/>
          <w:spacing w:val="6"/>
          <w:sz w:val="28"/>
          <w:szCs w:val="28"/>
          <w:highlight w:val="none"/>
        </w:rPr>
        <w:t>255073</w:t>
      </w:r>
      <w:r>
        <w:rPr>
          <w:rFonts w:hint="eastAsia" w:ascii="仿宋" w:hAnsi="仿宋" w:eastAsia="仿宋" w:cs="仿宋"/>
          <w:spacing w:val="6"/>
          <w:sz w:val="28"/>
          <w:szCs w:val="28"/>
          <w:highlight w:val="none"/>
          <w:lang w:val="en-US" w:eastAsia="zh-CN"/>
        </w:rPr>
        <w:t>00.00</w:t>
      </w:r>
    </w:p>
    <w:p w14:paraId="08967550">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44" w:firstLineChars="200"/>
        <w:jc w:val="both"/>
        <w:textAlignment w:val="auto"/>
        <w:outlineLvl w:val="9"/>
        <w:rPr>
          <w:rFonts w:hint="eastAsia" w:ascii="仿宋" w:hAnsi="仿宋" w:eastAsia="仿宋" w:cs="仿宋"/>
          <w:spacing w:val="-4"/>
          <w:sz w:val="28"/>
          <w:szCs w:val="28"/>
        </w:rPr>
      </w:pPr>
      <w:r>
        <w:rPr>
          <w:rFonts w:hint="eastAsia" w:ascii="仿宋" w:hAnsi="仿宋" w:eastAsia="仿宋" w:cs="仿宋"/>
          <w:spacing w:val="-4"/>
          <w:sz w:val="28"/>
          <w:szCs w:val="28"/>
        </w:rPr>
        <w:t>采购需求：</w:t>
      </w:r>
    </w:p>
    <w:p w14:paraId="653D019F">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84" w:firstLineChars="200"/>
        <w:jc w:val="both"/>
        <w:textAlignment w:val="auto"/>
        <w:outlineLvl w:val="9"/>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数量:1</w:t>
      </w:r>
    </w:p>
    <w:p w14:paraId="0579057E">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84" w:firstLineChars="200"/>
        <w:jc w:val="both"/>
        <w:textAlignment w:val="auto"/>
        <w:outlineLvl w:val="9"/>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单位：批 </w:t>
      </w:r>
    </w:p>
    <w:p w14:paraId="7B1A6411">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84" w:firstLineChars="200"/>
        <w:jc w:val="both"/>
        <w:textAlignment w:val="auto"/>
        <w:outlineLvl w:val="9"/>
        <w:rPr>
          <w:rFonts w:hint="eastAsia" w:ascii="仿宋" w:hAnsi="仿宋" w:eastAsia="仿宋" w:cs="仿宋"/>
          <w:spacing w:val="-4"/>
          <w:sz w:val="28"/>
          <w:szCs w:val="28"/>
          <w:lang w:val="en-US" w:eastAsia="zh-CN"/>
        </w:rPr>
      </w:pPr>
      <w:r>
        <w:rPr>
          <w:rFonts w:hint="eastAsia" w:ascii="仿宋" w:hAnsi="仿宋" w:eastAsia="仿宋" w:cs="仿宋"/>
          <w:color w:val="auto"/>
          <w:spacing w:val="6"/>
          <w:sz w:val="28"/>
          <w:szCs w:val="28"/>
          <w:lang w:val="en-US" w:eastAsia="zh-CN"/>
        </w:rPr>
        <w:t>简要规格描述或项目基本概况介绍、用途：</w:t>
      </w:r>
      <w:r>
        <w:rPr>
          <w:rFonts w:hint="eastAsia" w:ascii="仿宋" w:hAnsi="仿宋" w:eastAsia="仿宋" w:cs="仿宋"/>
          <w:spacing w:val="-4"/>
          <w:sz w:val="28"/>
          <w:szCs w:val="28"/>
        </w:rPr>
        <w:t>采购</w:t>
      </w:r>
      <w:r>
        <w:rPr>
          <w:rFonts w:hint="eastAsia" w:ascii="仿宋" w:hAnsi="仿宋" w:eastAsia="仿宋" w:cs="仿宋"/>
          <w:spacing w:val="7"/>
          <w:sz w:val="28"/>
          <w:szCs w:val="28"/>
          <w:u w:val="none" w:color="auto"/>
          <w:lang w:eastAsia="zh-CN"/>
        </w:rPr>
        <w:t>阿克苏市生活垃圾压缩转运站设备</w:t>
      </w:r>
      <w:r>
        <w:rPr>
          <w:rFonts w:hint="eastAsia" w:ascii="仿宋" w:hAnsi="仿宋" w:eastAsia="仿宋" w:cs="仿宋"/>
          <w:spacing w:val="-4"/>
          <w:sz w:val="28"/>
          <w:szCs w:val="28"/>
          <w:lang w:val="en-US" w:eastAsia="zh-CN"/>
        </w:rPr>
        <w:t>（详见招标文件及采购需求）</w:t>
      </w:r>
    </w:p>
    <w:p w14:paraId="77B67BB7">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44" w:firstLineChars="200"/>
        <w:jc w:val="both"/>
        <w:textAlignment w:val="auto"/>
        <w:outlineLvl w:val="9"/>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合同履行期限：合同签订后90个日历日内完成安装并调试完毕。</w:t>
      </w:r>
    </w:p>
    <w:p w14:paraId="44F76A7D">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2" w:firstLineChars="200"/>
        <w:jc w:val="both"/>
        <w:textAlignment w:val="auto"/>
        <w:outlineLvl w:val="9"/>
        <w:rPr>
          <w:rFonts w:hint="eastAsia" w:ascii="仿宋" w:hAnsi="仿宋" w:eastAsia="仿宋" w:cs="仿宋"/>
        </w:rPr>
      </w:pPr>
      <w:r>
        <w:rPr>
          <w:rFonts w:hint="eastAsia" w:ascii="仿宋" w:hAnsi="仿宋" w:eastAsia="仿宋" w:cs="仿宋"/>
          <w:spacing w:val="-2"/>
          <w:sz w:val="28"/>
          <w:szCs w:val="28"/>
        </w:rPr>
        <w:t>本项目（否）接受联合体。</w:t>
      </w:r>
    </w:p>
    <w:p w14:paraId="668E4DDF">
      <w:pPr>
        <w:keepNext w:val="0"/>
        <w:keepLines w:val="0"/>
        <w:pageBreakBefore w:val="0"/>
        <w:widowControl w:val="0"/>
        <w:kinsoku/>
        <w:wordWrap w:val="0"/>
        <w:overflowPunct/>
        <w:topLinePunct w:val="0"/>
        <w:autoSpaceDE/>
        <w:autoSpaceDN/>
        <w:bidi w:val="0"/>
        <w:adjustRightInd w:val="0"/>
        <w:snapToGrid w:val="0"/>
        <w:spacing w:line="520" w:lineRule="exact"/>
        <w:ind w:right="0"/>
        <w:jc w:val="both"/>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二、申请人的资格要求：</w:t>
      </w:r>
    </w:p>
    <w:p w14:paraId="1E4E6266">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z w:val="28"/>
          <w:szCs w:val="28"/>
        </w:rPr>
      </w:pPr>
      <w:r>
        <w:rPr>
          <w:rFonts w:hint="eastAsia" w:ascii="仿宋" w:hAnsi="仿宋" w:eastAsia="仿宋" w:cs="仿宋"/>
          <w:spacing w:val="-1"/>
          <w:sz w:val="28"/>
          <w:szCs w:val="28"/>
        </w:rPr>
        <w:t>1.满足《中华人民共和国政府采购法》第二十二</w:t>
      </w:r>
      <w:r>
        <w:rPr>
          <w:rFonts w:hint="eastAsia" w:ascii="仿宋" w:hAnsi="仿宋" w:eastAsia="仿宋" w:cs="仿宋"/>
          <w:spacing w:val="-2"/>
          <w:sz w:val="28"/>
          <w:szCs w:val="28"/>
        </w:rPr>
        <w:t>条规定；</w:t>
      </w:r>
    </w:p>
    <w:p w14:paraId="04A84878">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2.落实政府采购政策需满足的资格要求：本项目非专门面向中小企业</w:t>
      </w:r>
    </w:p>
    <w:p w14:paraId="25075D51">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1）财政部、国家发展改革委、生态环境部、市场监管总局《关于调整优化节能产品、环境标志产品政府采购执行机制的通知》（财库[2019]9号文）；</w:t>
      </w:r>
    </w:p>
    <w:p w14:paraId="0ABBF32D">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2）财政部、生态环境部《关于印发环境标志产品政府采购品目清单的通知》（财库[2019]18 号文）；</w:t>
      </w:r>
    </w:p>
    <w:p w14:paraId="3D43AD0F">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3）财政部、发展改革委《关于印发节能产品政府采购品目清单的通知》（财库[2019]19 号文）；</w:t>
      </w:r>
    </w:p>
    <w:p w14:paraId="26E29428">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4）市场监管总局《市场监管总局关于发布参与实施政府采购节能产品、环境标志产品认证机构名录的公告》（2019 年第 16号）；</w:t>
      </w:r>
    </w:p>
    <w:p w14:paraId="652E9CE3">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5）财政部、工业和信息化部《关于印发《政府采购促进中小企业发展管理办法》的通知》（财库[2020]46 号文）；</w:t>
      </w:r>
    </w:p>
    <w:p w14:paraId="2D35CA75">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6）财政部、民政部、中国残疾人联合会《关于促进残疾人就业政府采购政策的通知》（财库[2017]141 号）；</w:t>
      </w:r>
    </w:p>
    <w:p w14:paraId="33379A9A">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lang w:val="en-US" w:eastAsia="zh-CN"/>
        </w:rPr>
        <w:t>7）国务院办公厅</w:t>
      </w:r>
      <w:r>
        <w:rPr>
          <w:rFonts w:hint="eastAsia" w:ascii="仿宋" w:hAnsi="仿宋" w:eastAsia="仿宋" w:cs="仿宋"/>
          <w:color w:val="auto"/>
          <w:spacing w:val="3"/>
          <w:sz w:val="28"/>
          <w:szCs w:val="28"/>
          <w:lang w:val="zh-CN" w:eastAsia="zh-CN"/>
        </w:rPr>
        <w:t>《</w:t>
      </w:r>
      <w:r>
        <w:rPr>
          <w:rFonts w:hint="eastAsia" w:ascii="仿宋" w:hAnsi="仿宋" w:eastAsia="仿宋" w:cs="仿宋"/>
          <w:color w:val="auto"/>
          <w:spacing w:val="3"/>
          <w:sz w:val="28"/>
          <w:szCs w:val="28"/>
          <w:lang w:val="en-US" w:eastAsia="zh-CN"/>
        </w:rPr>
        <w:t>关于在政府采购中实施本国产品标准及相关政策的通知</w:t>
      </w:r>
      <w:r>
        <w:rPr>
          <w:rFonts w:hint="eastAsia" w:ascii="仿宋" w:hAnsi="仿宋" w:eastAsia="仿宋" w:cs="仿宋"/>
          <w:color w:val="auto"/>
          <w:spacing w:val="3"/>
          <w:sz w:val="28"/>
          <w:szCs w:val="28"/>
          <w:lang w:val="zh-CN" w:eastAsia="zh-CN"/>
        </w:rPr>
        <w:t>》（</w:t>
      </w:r>
      <w:r>
        <w:rPr>
          <w:rFonts w:hint="eastAsia" w:ascii="仿宋" w:hAnsi="仿宋" w:eastAsia="仿宋" w:cs="仿宋"/>
          <w:color w:val="auto"/>
          <w:spacing w:val="3"/>
          <w:sz w:val="28"/>
          <w:szCs w:val="28"/>
          <w:lang w:val="en-US" w:eastAsia="zh-CN"/>
        </w:rPr>
        <w:t>国办发〔2025〕34号</w:t>
      </w:r>
      <w:r>
        <w:rPr>
          <w:rFonts w:hint="eastAsia" w:ascii="仿宋" w:hAnsi="仿宋" w:eastAsia="仿宋" w:cs="仿宋"/>
          <w:color w:val="auto"/>
          <w:spacing w:val="3"/>
          <w:sz w:val="28"/>
          <w:szCs w:val="28"/>
          <w:lang w:val="zh-CN" w:eastAsia="zh-CN"/>
        </w:rPr>
        <w:t>）；</w:t>
      </w:r>
    </w:p>
    <w:p w14:paraId="658BA541">
      <w:pPr>
        <w:pStyle w:val="6"/>
        <w:rPr>
          <w:rFonts w:hint="eastAsia"/>
        </w:rPr>
      </w:pPr>
    </w:p>
    <w:p w14:paraId="3332D64A">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highlight w:val="none"/>
        </w:rPr>
      </w:pPr>
      <w:r>
        <w:rPr>
          <w:rFonts w:hint="eastAsia" w:ascii="仿宋" w:hAnsi="仿宋" w:eastAsia="仿宋" w:cs="仿宋"/>
          <w:spacing w:val="3"/>
          <w:sz w:val="28"/>
          <w:szCs w:val="28"/>
          <w:highlight w:val="none"/>
        </w:rPr>
        <w:t>3.本项目的特定资格要求：</w:t>
      </w:r>
      <w:r>
        <w:rPr>
          <w:rFonts w:hint="eastAsia" w:ascii="仿宋" w:hAnsi="仿宋" w:eastAsia="仿宋" w:cs="仿宋"/>
          <w:color w:val="auto"/>
          <w:spacing w:val="3"/>
          <w:sz w:val="28"/>
          <w:szCs w:val="28"/>
          <w:highlight w:val="none"/>
          <w:lang w:val="en-US" w:eastAsia="zh-CN"/>
        </w:rPr>
        <w:t>/</w:t>
      </w:r>
    </w:p>
    <w:p w14:paraId="64DE8B61">
      <w:pPr>
        <w:keepNext w:val="0"/>
        <w:keepLines w:val="0"/>
        <w:pageBreakBefore w:val="0"/>
        <w:widowControl w:val="0"/>
        <w:kinsoku/>
        <w:wordWrap w:val="0"/>
        <w:overflowPunct/>
        <w:topLinePunct w:val="0"/>
        <w:autoSpaceDE/>
        <w:autoSpaceDN/>
        <w:bidi w:val="0"/>
        <w:adjustRightInd w:val="0"/>
        <w:snapToGrid w:val="0"/>
        <w:spacing w:line="520" w:lineRule="exact"/>
        <w:ind w:right="0"/>
        <w:jc w:val="both"/>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三、获取采购文件</w:t>
      </w:r>
    </w:p>
    <w:p w14:paraId="3D164D28">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时间：</w:t>
      </w:r>
      <w:r>
        <w:rPr>
          <w:rFonts w:hint="eastAsia" w:ascii="仿宋" w:hAnsi="仿宋" w:eastAsia="仿宋" w:cs="仿宋"/>
          <w:spacing w:val="3"/>
          <w:sz w:val="28"/>
          <w:szCs w:val="28"/>
          <w:lang w:eastAsia="zh-CN"/>
        </w:rPr>
        <w:t>202</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lang w:eastAsia="zh-CN"/>
        </w:rPr>
        <w:t>年</w:t>
      </w: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lang w:eastAsia="zh-CN"/>
        </w:rPr>
        <w:t>月</w:t>
      </w:r>
      <w:r>
        <w:rPr>
          <w:rFonts w:hint="eastAsia" w:ascii="仿宋" w:hAnsi="仿宋" w:eastAsia="仿宋" w:cs="仿宋"/>
          <w:spacing w:val="3"/>
          <w:sz w:val="28"/>
          <w:szCs w:val="28"/>
          <w:lang w:val="en-US" w:eastAsia="zh-CN"/>
        </w:rPr>
        <w:t>10</w:t>
      </w:r>
      <w:r>
        <w:rPr>
          <w:rFonts w:hint="eastAsia" w:ascii="仿宋" w:hAnsi="仿宋" w:eastAsia="仿宋" w:cs="仿宋"/>
          <w:spacing w:val="3"/>
          <w:sz w:val="28"/>
          <w:szCs w:val="28"/>
          <w:lang w:eastAsia="zh-CN"/>
        </w:rPr>
        <w:t>日至202</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lang w:eastAsia="zh-CN"/>
        </w:rPr>
        <w:t>年</w:t>
      </w: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lang w:eastAsia="zh-CN"/>
        </w:rPr>
        <w:t>月</w:t>
      </w:r>
      <w:r>
        <w:rPr>
          <w:rFonts w:hint="eastAsia" w:ascii="仿宋" w:hAnsi="仿宋" w:eastAsia="仿宋" w:cs="仿宋"/>
          <w:spacing w:val="3"/>
          <w:sz w:val="28"/>
          <w:szCs w:val="28"/>
          <w:lang w:val="en-US" w:eastAsia="zh-CN"/>
        </w:rPr>
        <w:t>17</w:t>
      </w:r>
      <w:r>
        <w:rPr>
          <w:rFonts w:hint="eastAsia" w:ascii="仿宋" w:hAnsi="仿宋" w:eastAsia="仿宋" w:cs="仿宋"/>
          <w:spacing w:val="3"/>
          <w:sz w:val="28"/>
          <w:szCs w:val="28"/>
          <w:lang w:eastAsia="zh-CN"/>
        </w:rPr>
        <w:t>日</w:t>
      </w:r>
      <w:r>
        <w:rPr>
          <w:rFonts w:hint="eastAsia" w:ascii="仿宋" w:hAnsi="仿宋" w:eastAsia="仿宋" w:cs="仿宋"/>
          <w:spacing w:val="3"/>
          <w:sz w:val="28"/>
          <w:szCs w:val="28"/>
        </w:rPr>
        <w:t>，每天上午00:00至14:00，下午14:00至23:59（北京时间，法定节假日除外）</w:t>
      </w:r>
    </w:p>
    <w:p w14:paraId="14A69182">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地点：政采云平台线上</w:t>
      </w:r>
    </w:p>
    <w:p w14:paraId="6ED19C59">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spacing w:val="3"/>
          <w:sz w:val="28"/>
          <w:szCs w:val="28"/>
        </w:rPr>
      </w:pPr>
      <w:r>
        <w:rPr>
          <w:rFonts w:hint="eastAsia" w:ascii="仿宋" w:hAnsi="仿宋" w:eastAsia="仿宋" w:cs="仿宋"/>
          <w:spacing w:val="3"/>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仿宋" w:hAnsi="仿宋" w:eastAsia="仿宋" w:cs="仿宋"/>
          <w:spacing w:val="3"/>
          <w:sz w:val="28"/>
          <w:szCs w:val="28"/>
          <w:lang w:eastAsia="zh-CN"/>
        </w:rPr>
        <w:t>登录</w:t>
      </w:r>
      <w:r>
        <w:rPr>
          <w:rFonts w:hint="eastAsia" w:ascii="仿宋" w:hAnsi="仿宋" w:eastAsia="仿宋" w:cs="仿宋"/>
          <w:spacing w:val="3"/>
          <w:sz w:val="28"/>
          <w:szCs w:val="28"/>
        </w:rPr>
        <w:t>，直接获取采购文件。</w:t>
      </w:r>
    </w:p>
    <w:p w14:paraId="52D04443">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32" w:firstLineChars="200"/>
        <w:jc w:val="both"/>
        <w:textAlignment w:val="auto"/>
        <w:outlineLvl w:val="9"/>
        <w:rPr>
          <w:rFonts w:hint="eastAsia" w:ascii="仿宋" w:hAnsi="仿宋" w:eastAsia="仿宋" w:cs="仿宋"/>
        </w:rPr>
      </w:pPr>
      <w:r>
        <w:rPr>
          <w:rFonts w:hint="eastAsia" w:ascii="仿宋" w:hAnsi="仿宋" w:eastAsia="仿宋" w:cs="仿宋"/>
          <w:spacing w:val="-7"/>
          <w:sz w:val="28"/>
          <w:szCs w:val="28"/>
        </w:rPr>
        <w:t>售价：0</w:t>
      </w:r>
      <w:r>
        <w:rPr>
          <w:rFonts w:hint="eastAsia" w:ascii="仿宋" w:hAnsi="仿宋" w:eastAsia="仿宋" w:cs="仿宋"/>
          <w:spacing w:val="-46"/>
          <w:sz w:val="28"/>
          <w:szCs w:val="28"/>
        </w:rPr>
        <w:t xml:space="preserve"> </w:t>
      </w:r>
      <w:r>
        <w:rPr>
          <w:rFonts w:hint="eastAsia" w:ascii="仿宋" w:hAnsi="仿宋" w:eastAsia="仿宋" w:cs="仿宋"/>
          <w:spacing w:val="-7"/>
          <w:sz w:val="28"/>
          <w:szCs w:val="28"/>
        </w:rPr>
        <w:t>元</w:t>
      </w:r>
    </w:p>
    <w:p w14:paraId="14A82506">
      <w:pPr>
        <w:keepNext w:val="0"/>
        <w:keepLines w:val="0"/>
        <w:pageBreakBefore w:val="0"/>
        <w:widowControl w:val="0"/>
        <w:kinsoku/>
        <w:wordWrap w:val="0"/>
        <w:overflowPunct/>
        <w:topLinePunct w:val="0"/>
        <w:autoSpaceDE/>
        <w:autoSpaceDN/>
        <w:bidi w:val="0"/>
        <w:adjustRightInd w:val="0"/>
        <w:snapToGrid w:val="0"/>
        <w:spacing w:line="520" w:lineRule="exact"/>
        <w:ind w:right="0"/>
        <w:jc w:val="both"/>
        <w:textAlignment w:val="auto"/>
        <w:outlineLvl w:val="9"/>
        <w:rPr>
          <w:rFonts w:hint="eastAsia" w:ascii="仿宋" w:hAnsi="仿宋" w:eastAsia="仿宋" w:cs="仿宋"/>
          <w:sz w:val="28"/>
          <w:szCs w:val="28"/>
        </w:rPr>
      </w:pPr>
      <w:r>
        <w:rPr>
          <w:rFonts w:hint="eastAsia" w:ascii="仿宋" w:hAnsi="仿宋" w:eastAsia="仿宋" w:cs="仿宋"/>
          <w:spacing w:val="-4"/>
          <w:sz w:val="28"/>
          <w:szCs w:val="28"/>
        </w:rPr>
        <w:t>四、响应文件提交</w:t>
      </w:r>
    </w:p>
    <w:p w14:paraId="2D174892">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36" w:firstLineChars="200"/>
        <w:jc w:val="both"/>
        <w:textAlignment w:val="auto"/>
        <w:outlineLvl w:val="9"/>
        <w:rPr>
          <w:rFonts w:hint="eastAsia" w:ascii="仿宋" w:hAnsi="仿宋" w:eastAsia="仿宋" w:cs="仿宋"/>
          <w:sz w:val="28"/>
          <w:szCs w:val="28"/>
        </w:rPr>
      </w:pPr>
      <w:r>
        <w:rPr>
          <w:rFonts w:hint="eastAsia" w:ascii="仿宋" w:hAnsi="仿宋" w:eastAsia="仿宋" w:cs="仿宋"/>
          <w:spacing w:val="-6"/>
          <w:sz w:val="28"/>
          <w:szCs w:val="28"/>
        </w:rPr>
        <w:t>截止时间：</w:t>
      </w:r>
      <w:r>
        <w:rPr>
          <w:rFonts w:hint="eastAsia" w:ascii="仿宋" w:hAnsi="仿宋" w:eastAsia="仿宋" w:cs="仿宋"/>
          <w:spacing w:val="-6"/>
          <w:sz w:val="28"/>
          <w:szCs w:val="28"/>
          <w:highlight w:val="none"/>
          <w:u w:val="none" w:color="auto"/>
          <w:lang w:eastAsia="zh-CN"/>
        </w:rPr>
        <w:t>2026年05月25 日 上午10：30（北京时间）</w:t>
      </w:r>
    </w:p>
    <w:p w14:paraId="3D782489">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lang w:eastAsia="zh-CN"/>
        </w:rPr>
      </w:pPr>
      <w:r>
        <w:rPr>
          <w:rFonts w:hint="eastAsia" w:ascii="仿宋" w:hAnsi="仿宋" w:eastAsia="仿宋" w:cs="仿宋"/>
          <w:spacing w:val="-1"/>
          <w:sz w:val="28"/>
          <w:szCs w:val="28"/>
        </w:rPr>
        <w:t>地点：请登录政采云投标客户端投标</w:t>
      </w:r>
      <w:r>
        <w:rPr>
          <w:rFonts w:hint="eastAsia" w:ascii="仿宋" w:hAnsi="仿宋" w:eastAsia="仿宋" w:cs="仿宋"/>
          <w:spacing w:val="-1"/>
          <w:sz w:val="28"/>
          <w:szCs w:val="28"/>
          <w:lang w:eastAsia="zh-CN"/>
        </w:rPr>
        <w:t>。</w:t>
      </w:r>
    </w:p>
    <w:p w14:paraId="0D83512E">
      <w:pPr>
        <w:keepNext w:val="0"/>
        <w:keepLines w:val="0"/>
        <w:pageBreakBefore w:val="0"/>
        <w:widowControl w:val="0"/>
        <w:kinsoku/>
        <w:wordWrap w:val="0"/>
        <w:overflowPunct/>
        <w:topLinePunct w:val="0"/>
        <w:autoSpaceDE/>
        <w:autoSpaceDN/>
        <w:bidi w:val="0"/>
        <w:adjustRightInd w:val="0"/>
        <w:snapToGrid w:val="0"/>
        <w:spacing w:line="520" w:lineRule="exact"/>
        <w:ind w:right="0"/>
        <w:jc w:val="both"/>
        <w:textAlignment w:val="auto"/>
        <w:outlineLvl w:val="9"/>
        <w:rPr>
          <w:rFonts w:hint="eastAsia" w:ascii="仿宋" w:hAnsi="仿宋" w:eastAsia="仿宋" w:cs="仿宋"/>
          <w:sz w:val="28"/>
          <w:szCs w:val="28"/>
        </w:rPr>
      </w:pPr>
      <w:r>
        <w:rPr>
          <w:rFonts w:hint="eastAsia" w:ascii="仿宋" w:hAnsi="仿宋" w:eastAsia="仿宋" w:cs="仿宋"/>
          <w:spacing w:val="-5"/>
          <w:sz w:val="28"/>
          <w:szCs w:val="28"/>
        </w:rPr>
        <w:t>五、开启</w:t>
      </w:r>
    </w:p>
    <w:p w14:paraId="2F79F9BE">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28" w:firstLineChars="200"/>
        <w:jc w:val="both"/>
        <w:textAlignment w:val="auto"/>
        <w:outlineLvl w:val="9"/>
        <w:rPr>
          <w:rFonts w:hint="default" w:ascii="仿宋" w:hAnsi="仿宋" w:eastAsia="仿宋" w:cs="仿宋"/>
          <w:sz w:val="28"/>
          <w:szCs w:val="28"/>
          <w:lang w:val="en-US" w:eastAsia="zh-CN"/>
        </w:rPr>
      </w:pPr>
      <w:r>
        <w:rPr>
          <w:rFonts w:hint="eastAsia" w:ascii="仿宋" w:hAnsi="仿宋" w:eastAsia="仿宋" w:cs="仿宋"/>
          <w:spacing w:val="-8"/>
          <w:sz w:val="28"/>
          <w:szCs w:val="28"/>
        </w:rPr>
        <w:t>时间：</w:t>
      </w:r>
      <w:r>
        <w:rPr>
          <w:rFonts w:hint="eastAsia" w:ascii="仿宋" w:hAnsi="仿宋" w:eastAsia="仿宋" w:cs="仿宋"/>
          <w:spacing w:val="-6"/>
          <w:sz w:val="28"/>
          <w:szCs w:val="28"/>
          <w:highlight w:val="none"/>
          <w:u w:val="none" w:color="auto"/>
          <w:lang w:eastAsia="zh-CN"/>
        </w:rPr>
        <w:t>2026年05月25 日 上午10：30（北京时间）</w:t>
      </w:r>
    </w:p>
    <w:p w14:paraId="014057B8">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2" w:firstLineChars="200"/>
        <w:jc w:val="both"/>
        <w:textAlignment w:val="auto"/>
        <w:outlineLvl w:val="9"/>
        <w:rPr>
          <w:rFonts w:hint="eastAsia" w:ascii="仿宋" w:hAnsi="仿宋" w:eastAsia="仿宋" w:cs="仿宋"/>
        </w:rPr>
      </w:pPr>
      <w:r>
        <w:rPr>
          <w:rFonts w:hint="eastAsia" w:ascii="仿宋" w:hAnsi="仿宋" w:eastAsia="仿宋" w:cs="仿宋"/>
          <w:spacing w:val="-2"/>
          <w:sz w:val="28"/>
          <w:szCs w:val="28"/>
        </w:rPr>
        <w:t>地点：投标人登录政采云平台https://www.zcygov.cn/，进入“项目采购-开标评标-右边选择对应项目点击“进入项目”进入开标大厅。</w:t>
      </w:r>
    </w:p>
    <w:p w14:paraId="3B7EE0BA">
      <w:pPr>
        <w:keepNext w:val="0"/>
        <w:keepLines w:val="0"/>
        <w:pageBreakBefore w:val="0"/>
        <w:widowControl w:val="0"/>
        <w:kinsoku/>
        <w:wordWrap w:val="0"/>
        <w:overflowPunct/>
        <w:topLinePunct w:val="0"/>
        <w:autoSpaceDE/>
        <w:autoSpaceDN/>
        <w:bidi w:val="0"/>
        <w:adjustRightInd w:val="0"/>
        <w:snapToGrid w:val="0"/>
        <w:spacing w:line="520" w:lineRule="exact"/>
        <w:ind w:right="0"/>
        <w:jc w:val="both"/>
        <w:textAlignment w:val="auto"/>
        <w:outlineLvl w:val="9"/>
        <w:rPr>
          <w:rFonts w:hint="eastAsia" w:ascii="仿宋" w:hAnsi="仿宋" w:eastAsia="仿宋" w:cs="仿宋"/>
          <w:sz w:val="28"/>
          <w:szCs w:val="28"/>
        </w:rPr>
      </w:pPr>
      <w:r>
        <w:rPr>
          <w:rFonts w:hint="eastAsia" w:ascii="仿宋" w:hAnsi="仿宋" w:eastAsia="仿宋" w:cs="仿宋"/>
          <w:spacing w:val="-3"/>
          <w:sz w:val="28"/>
          <w:szCs w:val="28"/>
        </w:rPr>
        <w:t>六、公告期限</w:t>
      </w:r>
    </w:p>
    <w:p w14:paraId="1C92850E">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32" w:firstLineChars="200"/>
        <w:jc w:val="both"/>
        <w:textAlignment w:val="auto"/>
        <w:outlineLvl w:val="9"/>
        <w:rPr>
          <w:rFonts w:hint="eastAsia" w:ascii="仿宋" w:hAnsi="仿宋" w:eastAsia="仿宋" w:cs="仿宋"/>
        </w:rPr>
      </w:pPr>
      <w:r>
        <w:rPr>
          <w:rFonts w:hint="eastAsia" w:ascii="仿宋" w:hAnsi="仿宋" w:eastAsia="仿宋" w:cs="仿宋"/>
          <w:spacing w:val="-7"/>
          <w:sz w:val="28"/>
          <w:szCs w:val="28"/>
        </w:rPr>
        <w:t>自本公告发布之日起</w:t>
      </w:r>
      <w:r>
        <w:rPr>
          <w:rFonts w:hint="eastAsia" w:ascii="仿宋" w:hAnsi="仿宋" w:eastAsia="仿宋" w:cs="仿宋"/>
          <w:spacing w:val="-53"/>
          <w:sz w:val="28"/>
          <w:szCs w:val="28"/>
          <w:lang w:val="en-US" w:eastAsia="zh-CN"/>
        </w:rPr>
        <w:t>5</w:t>
      </w:r>
      <w:r>
        <w:rPr>
          <w:rFonts w:hint="eastAsia" w:ascii="仿宋" w:hAnsi="仿宋" w:eastAsia="仿宋" w:cs="仿宋"/>
          <w:spacing w:val="-7"/>
          <w:sz w:val="28"/>
          <w:szCs w:val="28"/>
        </w:rPr>
        <w:t>个工作日。</w:t>
      </w:r>
    </w:p>
    <w:p w14:paraId="6248AF04">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0" w:rightChars="0"/>
        <w:jc w:val="both"/>
        <w:textAlignment w:val="auto"/>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七、</w:t>
      </w:r>
      <w:r>
        <w:rPr>
          <w:rFonts w:hint="eastAsia" w:ascii="仿宋" w:hAnsi="仿宋" w:eastAsia="仿宋" w:cs="仿宋"/>
          <w:spacing w:val="-2"/>
          <w:sz w:val="28"/>
          <w:szCs w:val="28"/>
        </w:rPr>
        <w:t>其他补充事宜</w:t>
      </w:r>
    </w:p>
    <w:p w14:paraId="567DE411">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1、本公告在新疆政府采购网发布。</w:t>
      </w:r>
    </w:p>
    <w:p w14:paraId="2690B98B">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2、请投标单位随时关注本项目的澄清、答疑、变更事项。</w:t>
      </w:r>
    </w:p>
    <w:p w14:paraId="56289AC6">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3、本项目实行电子招投标，供应商须登录政采云平台申请获取采购文件，并通过政采云电子投标客户端制作响应文件， 同时自行承担与投标有关的一切费用。</w:t>
      </w:r>
    </w:p>
    <w:p w14:paraId="323DEFEA">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4、各供应商应在开标前确保成为新疆维吾尔自治区政府采购网正式注册入库供应商，并完成CA 数字证书申领。因未注册入库、未办理 CA 数字证书等原因造成无法投标或投标失败等后果由供应商自行承担。</w:t>
      </w:r>
    </w:p>
    <w:p w14:paraId="164930E1">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5、供应商可前往新疆政府采购网（</w:t>
      </w:r>
      <w:r>
        <w:rPr>
          <w:rFonts w:hint="eastAsia" w:ascii="仿宋" w:hAnsi="仿宋" w:eastAsia="仿宋" w:cs="仿宋"/>
          <w:color w:val="auto"/>
          <w:spacing w:val="3"/>
          <w:sz w:val="28"/>
          <w:szCs w:val="28"/>
          <w:lang w:val="en-US" w:eastAsia="zh-CN"/>
        </w:rPr>
        <w:fldChar w:fldCharType="begin"/>
      </w:r>
      <w:r>
        <w:rPr>
          <w:rFonts w:hint="eastAsia" w:ascii="仿宋" w:hAnsi="仿宋" w:eastAsia="仿宋" w:cs="仿宋"/>
          <w:color w:val="auto"/>
          <w:spacing w:val="3"/>
          <w:sz w:val="28"/>
          <w:szCs w:val="28"/>
          <w:lang w:val="en-US" w:eastAsia="zh-CN"/>
        </w:rPr>
        <w:instrText xml:space="preserve"> HYPERLINK "http://www.ccgp-xinjiang.gov.cn/" </w:instrText>
      </w:r>
      <w:r>
        <w:rPr>
          <w:rFonts w:hint="eastAsia" w:ascii="仿宋" w:hAnsi="仿宋" w:eastAsia="仿宋" w:cs="仿宋"/>
          <w:color w:val="auto"/>
          <w:spacing w:val="3"/>
          <w:sz w:val="28"/>
          <w:szCs w:val="28"/>
          <w:lang w:val="en-US" w:eastAsia="zh-CN"/>
        </w:rPr>
        <w:fldChar w:fldCharType="separate"/>
      </w:r>
      <w:r>
        <w:rPr>
          <w:rFonts w:hint="eastAsia" w:ascii="仿宋" w:hAnsi="仿宋" w:eastAsia="仿宋" w:cs="仿宋"/>
          <w:color w:val="auto"/>
          <w:spacing w:val="3"/>
          <w:sz w:val="28"/>
          <w:szCs w:val="28"/>
          <w:lang w:val="en-US" w:eastAsia="zh-CN"/>
        </w:rPr>
        <w:t>http://www.ccgp-xinjiang.gov.cn/</w:t>
      </w:r>
      <w:r>
        <w:rPr>
          <w:rFonts w:hint="eastAsia" w:ascii="仿宋" w:hAnsi="仿宋" w:eastAsia="仿宋" w:cs="仿宋"/>
          <w:color w:val="auto"/>
          <w:spacing w:val="3"/>
          <w:sz w:val="28"/>
          <w:szCs w:val="28"/>
          <w:lang w:val="en-US" w:eastAsia="zh-CN"/>
        </w:rPr>
        <w:fldChar w:fldCharType="end"/>
      </w:r>
      <w:r>
        <w:rPr>
          <w:rFonts w:hint="eastAsia" w:ascii="仿宋" w:hAnsi="仿宋" w:eastAsia="仿宋" w:cs="仿宋"/>
          <w:color w:val="auto"/>
          <w:spacing w:val="3"/>
          <w:sz w:val="28"/>
          <w:szCs w:val="28"/>
          <w:lang w:val="en-US" w:eastAsia="zh-CN"/>
        </w:rPr>
        <w:t>）下载专区，下载政采云电子投标客户端，安装完成后，可通过账号密码或 CA 登录客户端进行响应文件制作。在使用政采云电子投标客户端时，建议使用WIN7及以上操作系统。如有问题可拨打政采云客户服务热线95763 进行咨询。</w:t>
      </w:r>
    </w:p>
    <w:p w14:paraId="4C355219">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color w:val="auto"/>
          <w:spacing w:val="3"/>
          <w:sz w:val="28"/>
          <w:szCs w:val="28"/>
          <w:lang w:val="en-US" w:eastAsia="zh-CN"/>
        </w:rPr>
      </w:pPr>
      <w:bookmarkStart w:id="1" w:name="bookmark83"/>
      <w:bookmarkEnd w:id="1"/>
      <w:r>
        <w:rPr>
          <w:rFonts w:hint="eastAsia" w:ascii="仿宋" w:hAnsi="仿宋" w:eastAsia="仿宋" w:cs="仿宋"/>
          <w:color w:val="auto"/>
          <w:spacing w:val="3"/>
          <w:sz w:val="28"/>
          <w:szCs w:val="28"/>
          <w:lang w:val="en-US" w:eastAsia="zh-CN"/>
        </w:rPr>
        <w:t xml:space="preserve">6、本项目采用不见面开标，供应商须在投标截止时间前通过 CA 在政采云平台上传加密的电子响应文件。备注：供应商对不见面开评标系统的技术操作咨询，可通过 </w:t>
      </w:r>
      <w:r>
        <w:rPr>
          <w:rFonts w:hint="eastAsia" w:ascii="仿宋" w:hAnsi="仿宋" w:eastAsia="仿宋" w:cs="仿宋"/>
          <w:color w:val="auto"/>
          <w:spacing w:val="3"/>
          <w:sz w:val="28"/>
          <w:szCs w:val="28"/>
          <w:lang w:val="en-US" w:eastAsia="zh-CN"/>
        </w:rPr>
        <w:fldChar w:fldCharType="begin"/>
      </w:r>
      <w:r>
        <w:rPr>
          <w:rFonts w:hint="eastAsia" w:ascii="仿宋" w:hAnsi="仿宋" w:eastAsia="仿宋" w:cs="仿宋"/>
          <w:color w:val="auto"/>
          <w:spacing w:val="3"/>
          <w:sz w:val="28"/>
          <w:szCs w:val="28"/>
          <w:lang w:val="en-US" w:eastAsia="zh-CN"/>
        </w:rPr>
        <w:instrText xml:space="preserve"> HYPERLINK "https://edu.zcygov.cn/luban/xinjiang-e-biding" </w:instrText>
      </w:r>
      <w:r>
        <w:rPr>
          <w:rFonts w:hint="eastAsia" w:ascii="仿宋" w:hAnsi="仿宋" w:eastAsia="仿宋" w:cs="仿宋"/>
          <w:color w:val="auto"/>
          <w:spacing w:val="3"/>
          <w:sz w:val="28"/>
          <w:szCs w:val="28"/>
          <w:lang w:val="en-US" w:eastAsia="zh-CN"/>
        </w:rPr>
        <w:fldChar w:fldCharType="separate"/>
      </w:r>
      <w:r>
        <w:rPr>
          <w:rFonts w:hint="eastAsia" w:ascii="仿宋" w:hAnsi="仿宋" w:eastAsia="仿宋" w:cs="仿宋"/>
          <w:color w:val="auto"/>
          <w:spacing w:val="3"/>
          <w:sz w:val="28"/>
          <w:szCs w:val="28"/>
          <w:lang w:val="en-US" w:eastAsia="zh-CN"/>
        </w:rPr>
        <w:t>https://edu.zcygov.cn/luban/xinjiang-e-biding</w:t>
      </w:r>
      <w:r>
        <w:rPr>
          <w:rFonts w:hint="eastAsia" w:ascii="仿宋" w:hAnsi="仿宋" w:eastAsia="仿宋" w:cs="仿宋"/>
          <w:color w:val="auto"/>
          <w:spacing w:val="3"/>
          <w:sz w:val="28"/>
          <w:szCs w:val="28"/>
          <w:lang w:val="en-US" w:eastAsia="zh-CN"/>
        </w:rPr>
        <w:fldChar w:fldCharType="end"/>
      </w:r>
      <w:r>
        <w:rPr>
          <w:rFonts w:hint="eastAsia" w:ascii="仿宋" w:hAnsi="仿宋" w:eastAsia="仿宋" w:cs="仿宋"/>
          <w:color w:val="auto"/>
          <w:spacing w:val="3"/>
          <w:sz w:val="28"/>
          <w:szCs w:val="28"/>
          <w:lang w:val="en-US" w:eastAsia="zh-CN"/>
        </w:rPr>
        <w:t xml:space="preserve"> 自助查询，也可在政采云帮助中心常见问题解答和操作流程讲解视频中自助查询， 网址为：</w:t>
      </w:r>
      <w:r>
        <w:rPr>
          <w:rFonts w:hint="eastAsia" w:ascii="仿宋" w:hAnsi="仿宋" w:eastAsia="仿宋" w:cs="仿宋"/>
          <w:color w:val="auto"/>
          <w:spacing w:val="3"/>
          <w:sz w:val="28"/>
          <w:szCs w:val="28"/>
          <w:lang w:val="en-US" w:eastAsia="zh-CN"/>
        </w:rPr>
        <w:fldChar w:fldCharType="begin"/>
      </w:r>
      <w:r>
        <w:rPr>
          <w:rFonts w:hint="eastAsia" w:ascii="仿宋" w:hAnsi="仿宋" w:eastAsia="仿宋" w:cs="仿宋"/>
          <w:color w:val="auto"/>
          <w:spacing w:val="3"/>
          <w:sz w:val="28"/>
          <w:szCs w:val="28"/>
          <w:lang w:val="en-US" w:eastAsia="zh-CN"/>
        </w:rPr>
        <w:instrText xml:space="preserve"> HYPERLINK "https://service.zcygov.cn/#/help" </w:instrText>
      </w:r>
      <w:r>
        <w:rPr>
          <w:rFonts w:hint="eastAsia" w:ascii="仿宋" w:hAnsi="仿宋" w:eastAsia="仿宋" w:cs="仿宋"/>
          <w:color w:val="auto"/>
          <w:spacing w:val="3"/>
          <w:sz w:val="28"/>
          <w:szCs w:val="28"/>
          <w:lang w:val="en-US" w:eastAsia="zh-CN"/>
        </w:rPr>
        <w:fldChar w:fldCharType="separate"/>
      </w:r>
      <w:r>
        <w:rPr>
          <w:rFonts w:hint="eastAsia" w:ascii="仿宋" w:hAnsi="仿宋" w:eastAsia="仿宋" w:cs="仿宋"/>
          <w:color w:val="auto"/>
          <w:spacing w:val="3"/>
          <w:sz w:val="28"/>
          <w:szCs w:val="28"/>
          <w:lang w:val="en-US" w:eastAsia="zh-CN"/>
        </w:rPr>
        <w:t>https://service.zcygov.cn/#/help</w:t>
      </w:r>
      <w:r>
        <w:rPr>
          <w:rFonts w:hint="eastAsia" w:ascii="仿宋" w:hAnsi="仿宋" w:eastAsia="仿宋" w:cs="仿宋"/>
          <w:color w:val="auto"/>
          <w:spacing w:val="3"/>
          <w:sz w:val="28"/>
          <w:szCs w:val="28"/>
          <w:lang w:val="en-US" w:eastAsia="zh-CN"/>
        </w:rPr>
        <w:fldChar w:fldCharType="end"/>
      </w:r>
      <w:r>
        <w:rPr>
          <w:rFonts w:hint="eastAsia" w:ascii="仿宋" w:hAnsi="仿宋" w:eastAsia="仿宋" w:cs="仿宋"/>
          <w:color w:val="auto"/>
          <w:spacing w:val="3"/>
          <w:sz w:val="28"/>
          <w:szCs w:val="28"/>
          <w:lang w:val="en-US" w:eastAsia="zh-CN"/>
        </w:rPr>
        <w:t>，“项目采购”—“操作流程-电子招投标 ”—“政府采购项目电子交易管理操作指南-供应商 ”版面获取操作指南， 同时对自助查询无法解决的问题可通过钉钉群及政采云在线客服获取服务支持。</w:t>
      </w:r>
    </w:p>
    <w:p w14:paraId="78F3F1BA">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72" w:firstLineChars="200"/>
        <w:jc w:val="both"/>
        <w:textAlignment w:val="auto"/>
        <w:outlineLvl w:val="9"/>
        <w:rPr>
          <w:rFonts w:hint="eastAsia"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val="en-US" w:eastAsia="zh-CN"/>
        </w:rPr>
        <w:t>7、供应商在开标前须提前配置好电脑浏览器（建议使用 360 浏览器或谷歌浏览器），开标时请使用制作加密电子响应文件的CA 锁进行解密及报价确认。本项目响应文件解密时间定为30 分钟，如因自身原因导致无法正常解密，后果由供应商自行承担。</w:t>
      </w:r>
    </w:p>
    <w:p w14:paraId="60241C8D">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92" w:firstLineChars="200"/>
        <w:jc w:val="both"/>
        <w:textAlignment w:val="auto"/>
        <w:outlineLvl w:val="9"/>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特别提示：</w:t>
      </w:r>
    </w:p>
    <w:p w14:paraId="6F623D06">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92" w:firstLineChars="200"/>
        <w:jc w:val="both"/>
        <w:textAlignment w:val="auto"/>
        <w:outlineLvl w:val="9"/>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1、采购限额标准以上，200万元以下的货物和服务采购项目、400万元以下的工程采购项目，适宜由中小企业提供的，采购人应当专门面向中小企业采购。</w:t>
      </w:r>
    </w:p>
    <w:p w14:paraId="50ECD683">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92" w:firstLineChars="200"/>
        <w:jc w:val="both"/>
        <w:textAlignment w:val="auto"/>
        <w:outlineLvl w:val="9"/>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2、超过200万元的货物和服务采购项目，预留该部分采购项目预算总额的30%以上专门面向中小企业采购，其中预留给小微企业的比例不低于60%。</w:t>
      </w:r>
    </w:p>
    <w:p w14:paraId="0FCCB9E2">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92" w:firstLineChars="200"/>
        <w:jc w:val="both"/>
        <w:textAlignment w:val="auto"/>
        <w:outlineLvl w:val="9"/>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3、超过400万元的工程采购项目中适宜由中小企业提供的，预留该部分采购项目预算总额的40%以上专门面向中小企业采购，其中预留给小微企业的比例不低于60%。</w:t>
      </w:r>
    </w:p>
    <w:p w14:paraId="69864903">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92" w:firstLineChars="200"/>
        <w:jc w:val="both"/>
        <w:textAlignment w:val="auto"/>
        <w:outlineLvl w:val="9"/>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采购响应法的政府采购工程建设项目，采用综合评估法但未采用低价优先法计算价格分的，评审时应当在采用原报价进行评分的基础上增加其价格得分的3%~5%作为其价格分。</w:t>
      </w:r>
    </w:p>
    <w:p w14:paraId="595119C5">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92" w:firstLineChars="200"/>
        <w:jc w:val="both"/>
        <w:textAlignment w:val="auto"/>
        <w:outlineLvl w:val="9"/>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采购响应法的政府采购工程建设项目，采用综合评估法但未采用低价优先法计算价格分的，评审时应当在采用原报价进行评分的基础上增加其价格得分的1%~2%作为其价格分。</w:t>
      </w:r>
    </w:p>
    <w:p w14:paraId="47E5ADCF">
      <w:pPr>
        <w:keepNext w:val="0"/>
        <w:keepLines w:val="0"/>
        <w:pageBreakBefore w:val="0"/>
        <w:widowControl w:val="0"/>
        <w:kinsoku/>
        <w:wordWrap w:val="0"/>
        <w:overflowPunct/>
        <w:topLinePunct w:val="0"/>
        <w:autoSpaceDE/>
        <w:autoSpaceDN/>
        <w:bidi w:val="0"/>
        <w:adjustRightInd w:val="0"/>
        <w:snapToGrid w:val="0"/>
        <w:spacing w:line="520" w:lineRule="exact"/>
        <w:ind w:right="0"/>
        <w:jc w:val="both"/>
        <w:textAlignment w:val="auto"/>
        <w:outlineLvl w:val="9"/>
        <w:rPr>
          <w:rFonts w:hint="eastAsia" w:ascii="仿宋" w:hAnsi="仿宋" w:eastAsia="仿宋" w:cs="仿宋"/>
          <w:sz w:val="28"/>
          <w:szCs w:val="28"/>
        </w:rPr>
      </w:pPr>
      <w:r>
        <w:rPr>
          <w:rFonts w:hint="eastAsia" w:ascii="仿宋" w:hAnsi="仿宋" w:eastAsia="仿宋" w:cs="仿宋"/>
          <w:spacing w:val="-1"/>
          <w:sz w:val="28"/>
          <w:szCs w:val="28"/>
        </w:rPr>
        <w:t>八、凡对本次采购提出询问，请按以下方式联系。</w:t>
      </w:r>
    </w:p>
    <w:p w14:paraId="0EC47FB6">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40" w:firstLineChars="200"/>
        <w:jc w:val="both"/>
        <w:textAlignment w:val="auto"/>
        <w:outlineLvl w:val="9"/>
        <w:rPr>
          <w:rFonts w:hint="eastAsia" w:ascii="仿宋" w:hAnsi="仿宋" w:eastAsia="仿宋" w:cs="仿宋"/>
          <w:spacing w:val="-5"/>
          <w:sz w:val="28"/>
          <w:szCs w:val="28"/>
        </w:rPr>
      </w:pPr>
      <w:r>
        <w:rPr>
          <w:rFonts w:hint="eastAsia" w:ascii="仿宋" w:hAnsi="仿宋" w:eastAsia="仿宋" w:cs="仿宋"/>
          <w:spacing w:val="-5"/>
          <w:sz w:val="28"/>
          <w:szCs w:val="28"/>
        </w:rPr>
        <w:t>1.采购人信息</w:t>
      </w:r>
    </w:p>
    <w:p w14:paraId="40CDE555">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2" w:firstLineChars="200"/>
        <w:jc w:val="both"/>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名    称：</w:t>
      </w:r>
      <w:r>
        <w:rPr>
          <w:rFonts w:hint="eastAsia" w:ascii="仿宋" w:hAnsi="仿宋" w:eastAsia="仿宋" w:cs="仿宋"/>
          <w:spacing w:val="-2"/>
          <w:sz w:val="28"/>
          <w:szCs w:val="28"/>
          <w:lang w:eastAsia="zh-CN"/>
        </w:rPr>
        <w:t xml:space="preserve"> 阿克苏市住房和城乡建设局   </w:t>
      </w:r>
    </w:p>
    <w:p w14:paraId="38E99060">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2"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地    址：</w:t>
      </w:r>
      <w:r>
        <w:rPr>
          <w:rFonts w:hint="eastAsia" w:ascii="仿宋" w:hAnsi="仿宋" w:eastAsia="仿宋" w:cs="仿宋"/>
          <w:spacing w:val="-2"/>
          <w:sz w:val="28"/>
          <w:szCs w:val="28"/>
          <w:lang w:eastAsia="zh-CN"/>
        </w:rPr>
        <w:t>阿克苏市市委市政府综合办公区1号楼3楼</w:t>
      </w:r>
    </w:p>
    <w:p w14:paraId="23D45DCE">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联系方式：</w:t>
      </w:r>
      <w:r>
        <w:rPr>
          <w:rFonts w:hint="eastAsia" w:ascii="仿宋" w:hAnsi="仿宋" w:eastAsia="仿宋" w:cs="仿宋"/>
          <w:spacing w:val="-1"/>
          <w:sz w:val="28"/>
          <w:szCs w:val="28"/>
          <w:lang w:eastAsia="zh-CN"/>
        </w:rPr>
        <w:t xml:space="preserve">19316801950 </w:t>
      </w:r>
    </w:p>
    <w:p w14:paraId="5E5A773B">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2" w:firstLineChars="200"/>
        <w:jc w:val="both"/>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2.采购代理机构信息</w:t>
      </w:r>
    </w:p>
    <w:p w14:paraId="0E333133">
      <w:pPr>
        <w:pStyle w:val="8"/>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名    称：新疆国信天翌工程项目管理有限公司</w:t>
      </w:r>
    </w:p>
    <w:p w14:paraId="25F66A63">
      <w:pPr>
        <w:pStyle w:val="8"/>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地    址：阿克苏解放南路辅路阿克苏投资建设集团有限公司3楼</w:t>
      </w:r>
    </w:p>
    <w:p w14:paraId="769396F3">
      <w:pPr>
        <w:pStyle w:val="8"/>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联系方式：</w:t>
      </w:r>
      <w:r>
        <w:rPr>
          <w:rFonts w:hint="eastAsia" w:ascii="仿宋" w:hAnsi="仿宋" w:eastAsia="仿宋" w:cs="仿宋"/>
          <w:spacing w:val="-1"/>
          <w:sz w:val="28"/>
          <w:szCs w:val="28"/>
          <w:lang w:val="en-US" w:eastAsia="zh-CN"/>
        </w:rPr>
        <w:t>16699006615、18997878000</w:t>
      </w:r>
    </w:p>
    <w:p w14:paraId="5C43DE1F">
      <w:pPr>
        <w:pStyle w:val="8"/>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3.项目联系方式</w:t>
      </w:r>
    </w:p>
    <w:p w14:paraId="76C019D1">
      <w:pPr>
        <w:pStyle w:val="8"/>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项目联系人：</w:t>
      </w:r>
      <w:r>
        <w:rPr>
          <w:rFonts w:hint="eastAsia" w:ascii="仿宋" w:hAnsi="仿宋" w:eastAsia="仿宋" w:cs="仿宋"/>
          <w:spacing w:val="-1"/>
          <w:sz w:val="28"/>
          <w:szCs w:val="28"/>
          <w:lang w:val="en-US" w:eastAsia="zh-CN"/>
        </w:rPr>
        <w:t xml:space="preserve">潘晶晶、肖瑶 </w:t>
      </w:r>
    </w:p>
    <w:p w14:paraId="00E8A5ED">
      <w:pPr>
        <w:pStyle w:val="8"/>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firstLine="556" w:firstLineChars="200"/>
        <w:jc w:val="both"/>
        <w:textAlignment w:val="auto"/>
        <w:outlineLvl w:val="9"/>
        <w:rPr>
          <w:rFonts w:hint="eastAsia" w:ascii="仿宋" w:hAnsi="仿宋" w:eastAsia="仿宋" w:cs="仿宋"/>
          <w:spacing w:val="-2"/>
          <w:sz w:val="28"/>
          <w:szCs w:val="28"/>
          <w:lang w:val="en-US"/>
        </w:rPr>
      </w:pPr>
      <w:r>
        <w:rPr>
          <w:rFonts w:hint="eastAsia" w:ascii="仿宋" w:hAnsi="仿宋" w:eastAsia="仿宋" w:cs="仿宋"/>
          <w:spacing w:val="-1"/>
          <w:sz w:val="28"/>
          <w:szCs w:val="28"/>
          <w:lang w:eastAsia="zh-CN"/>
        </w:rPr>
        <w:t>电    话：</w:t>
      </w:r>
      <w:r>
        <w:rPr>
          <w:rFonts w:hint="eastAsia" w:ascii="仿宋" w:hAnsi="仿宋" w:eastAsia="仿宋" w:cs="仿宋"/>
          <w:spacing w:val="-1"/>
          <w:sz w:val="28"/>
          <w:szCs w:val="28"/>
          <w:lang w:val="en-US" w:eastAsia="zh-CN"/>
        </w:rPr>
        <w:t>16699006615、18997878000</w:t>
      </w:r>
    </w:p>
    <w:p w14:paraId="6A4480E2">
      <w:pPr>
        <w:pStyle w:val="8"/>
        <w:spacing w:line="246" w:lineRule="auto"/>
        <w:rPr>
          <w:rFonts w:hint="eastAsia" w:ascii="仿宋" w:hAnsi="仿宋" w:eastAsia="仿宋" w:cs="仿宋"/>
          <w:spacing w:val="-2"/>
          <w:sz w:val="28"/>
          <w:szCs w:val="28"/>
        </w:rPr>
      </w:pPr>
    </w:p>
    <w:p w14:paraId="69BE8D66">
      <w:pPr>
        <w:pStyle w:val="8"/>
        <w:spacing w:line="246" w:lineRule="auto"/>
        <w:rPr>
          <w:rFonts w:hint="eastAsia" w:ascii="仿宋" w:hAnsi="仿宋" w:eastAsia="仿宋" w:cs="仿宋"/>
          <w:spacing w:val="-2"/>
          <w:sz w:val="28"/>
          <w:szCs w:val="28"/>
        </w:rPr>
      </w:pPr>
    </w:p>
    <w:p w14:paraId="20D76FE0">
      <w:pPr>
        <w:pStyle w:val="8"/>
        <w:spacing w:line="246" w:lineRule="auto"/>
        <w:rPr>
          <w:rFonts w:hint="eastAsia" w:ascii="仿宋" w:hAnsi="仿宋" w:eastAsia="仿宋" w:cs="仿宋"/>
          <w:spacing w:val="-2"/>
          <w:sz w:val="28"/>
          <w:szCs w:val="28"/>
        </w:rPr>
      </w:pPr>
    </w:p>
    <w:p w14:paraId="73E775A2">
      <w:pPr>
        <w:pStyle w:val="8"/>
        <w:spacing w:line="246" w:lineRule="auto"/>
        <w:rPr>
          <w:rFonts w:hint="eastAsia" w:ascii="仿宋" w:hAnsi="仿宋" w:eastAsia="仿宋" w:cs="仿宋"/>
          <w:spacing w:val="-2"/>
          <w:sz w:val="28"/>
          <w:szCs w:val="28"/>
        </w:rPr>
      </w:pPr>
    </w:p>
    <w:p w14:paraId="1AC3F1C8">
      <w:pPr>
        <w:pStyle w:val="8"/>
        <w:spacing w:line="246" w:lineRule="auto"/>
        <w:rPr>
          <w:rFonts w:hint="eastAsia" w:ascii="仿宋" w:hAnsi="仿宋" w:eastAsia="仿宋" w:cs="仿宋"/>
          <w:spacing w:val="-2"/>
          <w:sz w:val="28"/>
          <w:szCs w:val="28"/>
        </w:rPr>
      </w:pPr>
    </w:p>
    <w:p w14:paraId="1D55D39D">
      <w:pPr>
        <w:pStyle w:val="8"/>
        <w:spacing w:line="246" w:lineRule="auto"/>
        <w:rPr>
          <w:rFonts w:hint="eastAsia" w:ascii="仿宋" w:hAnsi="仿宋" w:eastAsia="仿宋" w:cs="仿宋"/>
          <w:spacing w:val="-2"/>
          <w:sz w:val="28"/>
          <w:szCs w:val="28"/>
        </w:rPr>
      </w:pPr>
    </w:p>
    <w:p w14:paraId="59A27CC1">
      <w:pPr>
        <w:pStyle w:val="8"/>
        <w:spacing w:line="246" w:lineRule="auto"/>
        <w:rPr>
          <w:rFonts w:hint="eastAsia" w:ascii="仿宋" w:hAnsi="仿宋" w:eastAsia="仿宋" w:cs="仿宋"/>
          <w:spacing w:val="-2"/>
          <w:sz w:val="28"/>
          <w:szCs w:val="28"/>
        </w:rPr>
      </w:pPr>
    </w:p>
    <w:p w14:paraId="15B3BAED">
      <w:pPr>
        <w:pStyle w:val="8"/>
        <w:spacing w:line="246" w:lineRule="auto"/>
        <w:rPr>
          <w:rFonts w:hint="eastAsia" w:ascii="仿宋" w:hAnsi="仿宋" w:eastAsia="仿宋" w:cs="仿宋"/>
          <w:spacing w:val="-2"/>
          <w:sz w:val="28"/>
          <w:szCs w:val="28"/>
        </w:rPr>
      </w:pPr>
    </w:p>
    <w:p w14:paraId="5F60A474">
      <w:pPr>
        <w:pStyle w:val="8"/>
        <w:spacing w:line="246" w:lineRule="auto"/>
        <w:rPr>
          <w:rFonts w:hint="eastAsia" w:ascii="仿宋" w:hAnsi="仿宋" w:eastAsia="仿宋" w:cs="仿宋"/>
          <w:spacing w:val="-2"/>
          <w:sz w:val="28"/>
          <w:szCs w:val="28"/>
        </w:rPr>
      </w:pPr>
    </w:p>
    <w:p w14:paraId="5F1CC657">
      <w:pPr>
        <w:pStyle w:val="8"/>
        <w:spacing w:line="246" w:lineRule="auto"/>
        <w:rPr>
          <w:rFonts w:hint="eastAsia" w:ascii="仿宋" w:hAnsi="仿宋" w:eastAsia="仿宋" w:cs="仿宋"/>
          <w:spacing w:val="-2"/>
          <w:sz w:val="28"/>
          <w:szCs w:val="28"/>
        </w:rPr>
      </w:pPr>
    </w:p>
    <w:p w14:paraId="0545938B">
      <w:pPr>
        <w:pStyle w:val="8"/>
        <w:spacing w:line="246" w:lineRule="auto"/>
        <w:rPr>
          <w:rFonts w:hint="eastAsia" w:ascii="仿宋" w:hAnsi="仿宋" w:eastAsia="仿宋" w:cs="仿宋"/>
          <w:spacing w:val="-2"/>
          <w:sz w:val="28"/>
          <w:szCs w:val="28"/>
        </w:rPr>
      </w:pPr>
    </w:p>
    <w:p w14:paraId="09043615">
      <w:pPr>
        <w:pStyle w:val="8"/>
        <w:spacing w:line="246" w:lineRule="auto"/>
        <w:rPr>
          <w:rFonts w:hint="eastAsia" w:ascii="仿宋" w:hAnsi="仿宋" w:eastAsia="仿宋" w:cs="仿宋"/>
          <w:spacing w:val="-2"/>
          <w:sz w:val="28"/>
          <w:szCs w:val="28"/>
        </w:rPr>
      </w:pPr>
    </w:p>
    <w:p w14:paraId="39043938">
      <w:pPr>
        <w:pStyle w:val="8"/>
        <w:spacing w:line="246" w:lineRule="auto"/>
        <w:rPr>
          <w:rFonts w:hint="eastAsia" w:ascii="仿宋" w:hAnsi="仿宋" w:eastAsia="仿宋" w:cs="仿宋"/>
          <w:spacing w:val="-2"/>
          <w:sz w:val="28"/>
          <w:szCs w:val="28"/>
        </w:rPr>
      </w:pPr>
    </w:p>
    <w:p w14:paraId="12B09D27">
      <w:pPr>
        <w:pStyle w:val="8"/>
        <w:spacing w:line="246" w:lineRule="auto"/>
        <w:rPr>
          <w:rFonts w:hint="eastAsia" w:ascii="仿宋" w:hAnsi="仿宋" w:eastAsia="仿宋" w:cs="仿宋"/>
          <w:spacing w:val="-2"/>
          <w:sz w:val="28"/>
          <w:szCs w:val="28"/>
        </w:rPr>
      </w:pPr>
    </w:p>
    <w:p w14:paraId="7E757E7D">
      <w:pPr>
        <w:pStyle w:val="8"/>
        <w:spacing w:line="246" w:lineRule="auto"/>
        <w:rPr>
          <w:rFonts w:hint="eastAsia" w:ascii="仿宋" w:hAnsi="仿宋" w:eastAsia="仿宋" w:cs="仿宋"/>
          <w:spacing w:val="-2"/>
          <w:sz w:val="28"/>
          <w:szCs w:val="28"/>
        </w:rPr>
      </w:pPr>
    </w:p>
    <w:p w14:paraId="3331A6FE">
      <w:pP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pPr>
      <w:bookmarkStart w:id="2" w:name="_Toc28394"/>
      <w: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br w:type="page"/>
      </w:r>
    </w:p>
    <w:p w14:paraId="6388763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0"/>
        <w:rPr>
          <w:rFonts w:hint="eastAsia" w:ascii="仿宋" w:hAnsi="仿宋" w:eastAsia="仿宋" w:cs="仿宋"/>
          <w:spacing w:val="6"/>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t>第二章  供应商须知</w:t>
      </w:r>
      <w:bookmarkEnd w:id="2"/>
    </w:p>
    <w:p w14:paraId="639D805D">
      <w:pPr>
        <w:keepNext w:val="0"/>
        <w:keepLines w:val="0"/>
        <w:pageBreakBefore w:val="0"/>
        <w:widowControl w:val="0"/>
        <w:kinsoku w:val="0"/>
        <w:wordWrap w:val="0"/>
        <w:overflowPunct/>
        <w:topLinePunct w:val="0"/>
        <w:autoSpaceDE/>
        <w:autoSpaceDN/>
        <w:bidi w:val="0"/>
        <w:adjustRightInd w:val="0"/>
        <w:snapToGrid w:val="0"/>
        <w:spacing w:line="560" w:lineRule="exact"/>
        <w:ind w:left="0" w:leftChars="0" w:right="0" w:rightChars="0" w:firstLine="0" w:firstLineChars="0"/>
        <w:jc w:val="center"/>
        <w:textAlignment w:val="baseline"/>
        <w:outlineLvl w:val="1"/>
        <w:rPr>
          <w:rFonts w:hint="eastAsia" w:ascii="仿宋" w:hAnsi="仿宋" w:eastAsia="仿宋" w:cs="仿宋"/>
        </w:rPr>
      </w:pPr>
      <w:r>
        <w:rPr>
          <w:rFonts w:hint="eastAsia" w:ascii="仿宋" w:hAnsi="仿宋" w:eastAsia="仿宋" w:cs="仿宋"/>
          <w:spacing w:val="9"/>
          <w:sz w:val="31"/>
          <w:szCs w:val="31"/>
          <w14:textOutline w14:w="5793" w14:cap="sq" w14:cmpd="sng">
            <w14:solidFill>
              <w14:srgbClr w14:val="000000"/>
            </w14:solidFill>
            <w14:prstDash w14:val="solid"/>
            <w14:bevel/>
          </w14:textOutline>
        </w:rPr>
        <w:t>投标人须知前附表</w:t>
      </w:r>
    </w:p>
    <w:tbl>
      <w:tblPr>
        <w:tblStyle w:val="19"/>
        <w:tblW w:w="5084" w:type="pct"/>
        <w:tblInd w:w="-178" w:type="dxa"/>
        <w:tblLayout w:type="autofit"/>
        <w:tblCellMar>
          <w:top w:w="0" w:type="dxa"/>
          <w:left w:w="108" w:type="dxa"/>
          <w:bottom w:w="0" w:type="dxa"/>
          <w:right w:w="108" w:type="dxa"/>
        </w:tblCellMar>
      </w:tblPr>
      <w:tblGrid>
        <w:gridCol w:w="639"/>
        <w:gridCol w:w="1774"/>
        <w:gridCol w:w="7365"/>
      </w:tblGrid>
      <w:tr w14:paraId="071F3C38">
        <w:tblPrEx>
          <w:tblCellMar>
            <w:top w:w="0" w:type="dxa"/>
            <w:left w:w="108" w:type="dxa"/>
            <w:bottom w:w="0" w:type="dxa"/>
            <w:right w:w="108" w:type="dxa"/>
          </w:tblCellMar>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458DBB9F">
            <w:pPr>
              <w:keepNext w:val="0"/>
              <w:keepLines w:val="0"/>
              <w:pageBreakBefore w:val="0"/>
              <w:widowControl w:val="0"/>
              <w:tabs>
                <w:tab w:val="left" w:pos="7665"/>
              </w:tabs>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序号</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7498C9DE">
            <w:pPr>
              <w:keepNext w:val="0"/>
              <w:keepLines w:val="0"/>
              <w:pageBreakBefore w:val="0"/>
              <w:widowControl w:val="0"/>
              <w:tabs>
                <w:tab w:val="left" w:pos="7665"/>
              </w:tabs>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条款名称</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014B6778">
            <w:pPr>
              <w:keepNext w:val="0"/>
              <w:keepLines w:val="0"/>
              <w:pageBreakBefore w:val="0"/>
              <w:widowControl w:val="0"/>
              <w:tabs>
                <w:tab w:val="left" w:pos="7665"/>
              </w:tabs>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编列内容</w:t>
            </w:r>
          </w:p>
        </w:tc>
      </w:tr>
      <w:tr w14:paraId="10C3C3A2">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02F63E66">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240CEF6">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采购人</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587101F4">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名    称： 阿克苏市住房和城乡建设局   </w:t>
            </w:r>
          </w:p>
          <w:p w14:paraId="0C2A8837">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地    址：阿克苏市市委市政府综合办公区1号楼3楼          联系人：勾通江       </w:t>
            </w:r>
          </w:p>
          <w:p w14:paraId="43768C0F">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联系方式：19316801950  </w:t>
            </w:r>
          </w:p>
        </w:tc>
      </w:tr>
      <w:tr w14:paraId="5CE6A29F">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109B9D89">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5D66D1E">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09D52A9A">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称：新疆国信天翌工程项目管理有限公司</w:t>
            </w:r>
          </w:p>
          <w:p w14:paraId="778EA6FB">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址：阿克苏解放南路辅路阿克苏投资建设集团有限公司3楼</w:t>
            </w:r>
          </w:p>
          <w:p w14:paraId="468AF396">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 系 人：潘晶晶、肖瑶 </w:t>
            </w:r>
          </w:p>
          <w:p w14:paraId="51ECED65">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话：16699006615、18997878000</w:t>
            </w:r>
          </w:p>
        </w:tc>
      </w:tr>
      <w:tr w14:paraId="5801C055">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486E5E45">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785B6E0A">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监管部门</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5D1ED873">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名  称：</w:t>
            </w:r>
            <w:r>
              <w:rPr>
                <w:rFonts w:hint="eastAsia" w:ascii="仿宋" w:hAnsi="仿宋" w:eastAsia="仿宋" w:cs="仿宋"/>
                <w:color w:val="auto"/>
                <w:sz w:val="24"/>
                <w:szCs w:val="24"/>
                <w:lang w:val="en-US" w:eastAsia="zh-CN"/>
              </w:rPr>
              <w:t>阿克苏市</w:t>
            </w:r>
            <w:r>
              <w:rPr>
                <w:rFonts w:hint="eastAsia" w:ascii="仿宋" w:hAnsi="仿宋" w:eastAsia="仿宋" w:cs="仿宋"/>
                <w:color w:val="auto"/>
                <w:sz w:val="24"/>
                <w:szCs w:val="24"/>
                <w:lang w:val="zh-CN" w:eastAsia="zh-CN"/>
              </w:rPr>
              <w:t>财政局采购办</w:t>
            </w:r>
          </w:p>
          <w:p w14:paraId="2A845F57">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xml:space="preserve">地  址：阿克苏市综合办公区1号楼1楼 </w:t>
            </w:r>
          </w:p>
          <w:p w14:paraId="460EA717">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 系 人：贾健 </w:t>
            </w:r>
          </w:p>
          <w:p w14:paraId="43F4D405">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联系方式：0997-2653610</w:t>
            </w:r>
          </w:p>
        </w:tc>
      </w:tr>
      <w:tr w14:paraId="01F83FF8">
        <w:tblPrEx>
          <w:tblCellMar>
            <w:top w:w="0" w:type="dxa"/>
            <w:left w:w="108" w:type="dxa"/>
            <w:bottom w:w="0" w:type="dxa"/>
            <w:right w:w="108" w:type="dxa"/>
          </w:tblCellMar>
        </w:tblPrEx>
        <w:trPr>
          <w:trHeight w:val="51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3F4E618">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73D03F7E">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4B1CC3D4">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阿克苏市生活垃圾压缩转运站设备更新改造项目(生活垃圾转运站设备)</w:t>
            </w:r>
          </w:p>
        </w:tc>
      </w:tr>
      <w:tr w14:paraId="569B09CC">
        <w:tblPrEx>
          <w:tblCellMar>
            <w:top w:w="0" w:type="dxa"/>
            <w:left w:w="108" w:type="dxa"/>
            <w:bottom w:w="0" w:type="dxa"/>
            <w:right w:w="108" w:type="dxa"/>
          </w:tblCellMar>
        </w:tblPrEx>
        <w:trPr>
          <w:trHeight w:val="51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F8696F6">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4EC9CB2">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highlight w:val="none"/>
                <w:lang w:val="zh-CN" w:eastAsia="zh-CN"/>
              </w:rPr>
              <w:t>项目编号</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14AA3366">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2026-A-12</w:t>
            </w:r>
          </w:p>
        </w:tc>
      </w:tr>
      <w:tr w14:paraId="2071DAE8">
        <w:tblPrEx>
          <w:tblCellMar>
            <w:top w:w="0" w:type="dxa"/>
            <w:left w:w="108" w:type="dxa"/>
            <w:bottom w:w="0" w:type="dxa"/>
            <w:right w:w="108" w:type="dxa"/>
          </w:tblCellMar>
        </w:tblPrEx>
        <w:trPr>
          <w:trHeight w:val="51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0332EA49">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0D29A6D7">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资金来源</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7388B70E">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专项债券资金和本级财政资金。</w:t>
            </w:r>
          </w:p>
        </w:tc>
      </w:tr>
      <w:tr w14:paraId="75924A98">
        <w:tblPrEx>
          <w:tblCellMar>
            <w:top w:w="0" w:type="dxa"/>
            <w:left w:w="108" w:type="dxa"/>
            <w:bottom w:w="0" w:type="dxa"/>
            <w:right w:w="108" w:type="dxa"/>
          </w:tblCellMar>
        </w:tblPrEx>
        <w:trPr>
          <w:trHeight w:val="51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5A891E0">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6A60BA7">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采购内容</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15EF9225">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1.核心产品为：①水平直压式压缩机（含料斗、移箱平台、）②垃圾箱</w:t>
            </w:r>
          </w:p>
          <w:p w14:paraId="0D4D9678">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2.采购需求：采购阿克苏市生活垃圾压缩转运站设备（详见招标文件及采购需求）</w:t>
            </w:r>
          </w:p>
        </w:tc>
      </w:tr>
      <w:tr w14:paraId="5CB701FE">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6D5B333">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779FA2E">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4DBDEA0E">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小</w:t>
            </w:r>
            <w:r>
              <w:rPr>
                <w:rFonts w:hint="eastAsia" w:ascii="仿宋" w:hAnsi="仿宋" w:eastAsia="仿宋" w:cs="仿宋"/>
                <w:color w:val="auto"/>
                <w:sz w:val="24"/>
                <w:szCs w:val="24"/>
                <w:lang w:val="en-US" w:eastAsia="zh-CN"/>
              </w:rPr>
              <w:t>写：25507300.00元</w:t>
            </w:r>
          </w:p>
          <w:p w14:paraId="191A2428">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大写：贰仟伍佰伍拾万零柒仟叁佰元整</w:t>
            </w:r>
            <w:r>
              <w:rPr>
                <w:rFonts w:hint="eastAsia" w:ascii="仿宋" w:hAnsi="仿宋" w:eastAsia="仿宋" w:cs="仿宋"/>
                <w:color w:val="auto"/>
                <w:sz w:val="24"/>
                <w:szCs w:val="24"/>
                <w:lang w:val="en-US" w:eastAsia="zh-CN"/>
              </w:rPr>
              <w:br w:type="textWrapping"/>
            </w:r>
            <w:r>
              <w:rPr>
                <w:rFonts w:hint="eastAsia" w:ascii="仿宋" w:hAnsi="仿宋" w:eastAsia="仿宋" w:cs="仿宋"/>
                <w:b/>
                <w:bCs/>
                <w:color w:val="auto"/>
                <w:sz w:val="24"/>
                <w:szCs w:val="24"/>
                <w:highlight w:val="none"/>
                <w:lang w:val="en-US" w:eastAsia="zh-CN"/>
              </w:rPr>
              <w:t>等于最高限价（预算金额）</w:t>
            </w:r>
            <w:r>
              <w:rPr>
                <w:rFonts w:hint="eastAsia" w:ascii="仿宋" w:hAnsi="仿宋" w:eastAsia="仿宋" w:cs="仿宋"/>
                <w:b/>
                <w:bCs/>
                <w:color w:val="auto"/>
                <w:sz w:val="24"/>
                <w:szCs w:val="24"/>
                <w:lang w:val="en-US" w:eastAsia="zh-CN"/>
              </w:rPr>
              <w:t>及超出最高限价（预算金额）的报价为无效报价。</w:t>
            </w:r>
          </w:p>
        </w:tc>
      </w:tr>
      <w:tr w14:paraId="78607DBB">
        <w:tblPrEx>
          <w:tblCellMar>
            <w:top w:w="0" w:type="dxa"/>
            <w:left w:w="108" w:type="dxa"/>
            <w:bottom w:w="0" w:type="dxa"/>
            <w:right w:w="108" w:type="dxa"/>
          </w:tblCellMar>
        </w:tblPrEx>
        <w:trPr>
          <w:trHeight w:val="51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2A650A6B">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7C7F891D">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服务目标</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1EA32905">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合格，并满足招标人的要求和服务需求。</w:t>
            </w:r>
          </w:p>
        </w:tc>
      </w:tr>
      <w:tr w14:paraId="23002E11">
        <w:tblPrEx>
          <w:tblCellMar>
            <w:top w:w="0" w:type="dxa"/>
            <w:left w:w="108" w:type="dxa"/>
            <w:bottom w:w="0" w:type="dxa"/>
            <w:right w:w="108" w:type="dxa"/>
          </w:tblCellMar>
        </w:tblPrEx>
        <w:trPr>
          <w:trHeight w:val="51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A161FE9">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428699B">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交货期</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48B1D3F0">
            <w:pPr>
              <w:keepNext w:val="0"/>
              <w:keepLines w:val="0"/>
              <w:widowControl/>
              <w:suppressLineNumbers w:val="0"/>
              <w:jc w:val="lef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合同签订后90个日历日内完成安装并调试完毕。</w:t>
            </w:r>
          </w:p>
        </w:tc>
      </w:tr>
      <w:tr w14:paraId="531F29B0">
        <w:tblPrEx>
          <w:tblCellMar>
            <w:top w:w="0" w:type="dxa"/>
            <w:left w:w="108" w:type="dxa"/>
            <w:bottom w:w="0" w:type="dxa"/>
            <w:right w:w="108" w:type="dxa"/>
          </w:tblCellMar>
        </w:tblPrEx>
        <w:trPr>
          <w:trHeight w:val="51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65FBEBB8">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498E538B">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59834B27">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3年</w:t>
            </w:r>
          </w:p>
        </w:tc>
      </w:tr>
      <w:tr w14:paraId="43054B4B">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A9A2159">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4A0310DB">
            <w:pPr>
              <w:keepNext w:val="0"/>
              <w:keepLines w:val="0"/>
              <w:pageBreakBefore w:val="0"/>
              <w:widowControl w:val="0"/>
              <w:kinsoku/>
              <w:wordWrap w:val="0"/>
              <w:overflowPunct/>
              <w:topLinePunct w:val="0"/>
              <w:autoSpaceDE/>
              <w:autoSpaceDN/>
              <w:bidi w:val="0"/>
              <w:spacing w:line="360" w:lineRule="exact"/>
              <w:ind w:lef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实质性要求和条件是否允许偏离</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57763087">
            <w:pPr>
              <w:keepNext w:val="0"/>
              <w:keepLines w:val="0"/>
              <w:pageBreakBefore w:val="0"/>
              <w:widowControl w:val="0"/>
              <w:kinsoku/>
              <w:wordWrap w:val="0"/>
              <w:overflowPunct/>
              <w:topLinePunct w:val="0"/>
              <w:autoSpaceDE/>
              <w:autoSpaceDN/>
              <w:bidi w:val="0"/>
              <w:spacing w:line="360" w:lineRule="exact"/>
              <w:ind w:lef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☑允许，偏差范围：</w:t>
            </w:r>
            <w:r>
              <w:rPr>
                <w:rFonts w:hint="eastAsia" w:ascii="仿宋" w:hAnsi="仿宋" w:eastAsia="仿宋" w:cs="仿宋"/>
                <w:color w:val="auto"/>
                <w:sz w:val="24"/>
                <w:szCs w:val="24"/>
                <w:highlight w:val="none"/>
                <w:lang w:val="en-US" w:eastAsia="zh-CN"/>
              </w:rPr>
              <w:t>非实质性参数为一般参数允许负偏离，偏离范围根据采购清单就评分办法内技术标各项评分方案为标准进行评审。实质性参数（即带“★”）不允许负偏离即不满足符合性要求，具体偏离内容详见采购清单。</w:t>
            </w:r>
          </w:p>
          <w:p w14:paraId="0C02F27A">
            <w:pPr>
              <w:keepNext w:val="0"/>
              <w:keepLines w:val="0"/>
              <w:pageBreakBefore w:val="0"/>
              <w:widowControl w:val="0"/>
              <w:kinsoku/>
              <w:wordWrap w:val="0"/>
              <w:overflowPunct/>
              <w:topLinePunct w:val="0"/>
              <w:autoSpaceDE/>
              <w:autoSpaceDN/>
              <w:bidi w:val="0"/>
              <w:spacing w:line="360" w:lineRule="exact"/>
              <w:ind w:left="0"/>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□不允许</w:t>
            </w:r>
          </w:p>
          <w:p w14:paraId="4F9C7460">
            <w:pPr>
              <w:keepNext w:val="0"/>
              <w:keepLines w:val="0"/>
              <w:pageBreakBefore w:val="0"/>
              <w:widowControl w:val="0"/>
              <w:kinsoku/>
              <w:wordWrap w:val="0"/>
              <w:overflowPunct/>
              <w:topLinePunct w:val="0"/>
              <w:autoSpaceDE/>
              <w:autoSpaceDN/>
              <w:bidi w:val="0"/>
              <w:spacing w:line="360" w:lineRule="exact"/>
              <w:ind w:left="0"/>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偏离是指投标文件不满足或者不响应招标文件的要求。偏离分为偏离招标文件的实质性要求和条件及偏离招标文件的非实质性要求和条件。本项目不允许偏离招标文件的实质性要求和条件。</w:t>
            </w:r>
          </w:p>
        </w:tc>
      </w:tr>
      <w:tr w14:paraId="1A9F8354">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21C512BE">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z w:val="24"/>
                <w:szCs w:val="24"/>
                <w:lang w:val="en-US" w:eastAsia="zh-CN"/>
              </w:rPr>
              <w:t>13</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B8CB079">
            <w:pPr>
              <w:keepNext w:val="0"/>
              <w:keepLines w:val="0"/>
              <w:pageBreakBefore w:val="0"/>
              <w:widowControl w:val="0"/>
              <w:kinsoku/>
              <w:wordWrap w:val="0"/>
              <w:overflowPunct/>
              <w:topLinePunct w:val="0"/>
              <w:autoSpaceDE/>
              <w:autoSpaceDN/>
              <w:bidi w:val="0"/>
              <w:spacing w:line="360" w:lineRule="exact"/>
              <w:ind w:lef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是否专门面向中小企业</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0BC86B1A">
            <w:pPr>
              <w:keepNext w:val="0"/>
              <w:keepLines w:val="0"/>
              <w:pageBreakBefore w:val="0"/>
              <w:widowControl w:val="0"/>
              <w:kinsoku/>
              <w:wordWrap w:val="0"/>
              <w:overflowPunct/>
              <w:topLinePunct w:val="0"/>
              <w:autoSpaceDE/>
              <w:autoSpaceDN/>
              <w:bidi w:val="0"/>
              <w:spacing w:line="360" w:lineRule="exact"/>
              <w:ind w:left="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是</w:t>
            </w:r>
          </w:p>
          <w:p w14:paraId="742C6718">
            <w:pPr>
              <w:keepNext w:val="0"/>
              <w:keepLines w:val="0"/>
              <w:widowControl/>
              <w:suppressLineNumbers w:val="0"/>
              <w:jc w:val="left"/>
              <w:rPr>
                <w:rFonts w:hint="eastAsia" w:ascii="仿宋" w:hAnsi="仿宋" w:eastAsia="仿宋" w:cs="仿宋"/>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p w14:paraId="00E6A486">
            <w:pPr>
              <w:keepNext w:val="0"/>
              <w:keepLines w:val="0"/>
              <w:pageBreakBefore w:val="0"/>
              <w:widowControl w:val="0"/>
              <w:kinsoku/>
              <w:wordWrap w:val="0"/>
              <w:overflowPunct/>
              <w:topLinePunct w:val="0"/>
              <w:autoSpaceDE/>
              <w:autoSpaceDN/>
              <w:bidi w:val="0"/>
              <w:spacing w:line="360" w:lineRule="exact"/>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对符合中小企业政策的小微供应商进行10%价格扣除作为评审价。</w:t>
            </w:r>
          </w:p>
        </w:tc>
      </w:tr>
      <w:tr w14:paraId="78B6F949">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2C92FD76">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z w:val="24"/>
                <w:szCs w:val="24"/>
                <w:lang w:val="en-US" w:eastAsia="zh-CN"/>
              </w:rPr>
              <w:t>14</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7769F98">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是否允许投报进口产品</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178A0E2F">
            <w:pPr>
              <w:keepNext w:val="0"/>
              <w:keepLines w:val="0"/>
              <w:pageBreakBefore w:val="0"/>
              <w:widowControl w:val="0"/>
              <w:kinsoku/>
              <w:wordWrap w:val="0"/>
              <w:overflowPunct/>
              <w:topLinePunct w:val="0"/>
              <w:autoSpaceDE/>
              <w:autoSpaceDN/>
              <w:bidi w:val="0"/>
              <w:spacing w:line="360" w:lineRule="exact"/>
              <w:ind w:left="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是</w:t>
            </w:r>
          </w:p>
          <w:p w14:paraId="40E2428B">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tc>
      </w:tr>
      <w:tr w14:paraId="22917408">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1EE25C9F">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9F33BBA">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是否接受联合体报价</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02492B8">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不接受</w:t>
            </w:r>
          </w:p>
          <w:p w14:paraId="464A6BA8">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接受，应满足下列要求：</w:t>
            </w:r>
            <w:r>
              <w:rPr>
                <w:rFonts w:hint="eastAsia" w:ascii="仿宋" w:hAnsi="仿宋" w:eastAsia="仿宋" w:cs="仿宋"/>
                <w:color w:val="auto"/>
                <w:sz w:val="24"/>
                <w:szCs w:val="24"/>
                <w:u w:val="single"/>
              </w:rPr>
              <w:t xml:space="preserve">           </w:t>
            </w:r>
          </w:p>
        </w:tc>
      </w:tr>
      <w:tr w14:paraId="55CE6555">
        <w:tblPrEx>
          <w:tblCellMar>
            <w:top w:w="0" w:type="dxa"/>
            <w:left w:w="108" w:type="dxa"/>
            <w:bottom w:w="0" w:type="dxa"/>
            <w:right w:w="108" w:type="dxa"/>
          </w:tblCellMar>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7F3DC7C">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5CDA059">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报价有效期</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0224CD3D">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自报价截止之日起</w:t>
            </w:r>
            <w:r>
              <w:rPr>
                <w:rFonts w:hint="eastAsia" w:ascii="仿宋" w:hAnsi="仿宋" w:eastAsia="仿宋" w:cs="仿宋"/>
                <w:color w:val="auto"/>
                <w:sz w:val="24"/>
                <w:szCs w:val="24"/>
                <w:u w:val="single"/>
                <w:lang w:val="en-US" w:eastAsia="zh-CN"/>
              </w:rPr>
              <w:t xml:space="preserve"> 60 </w:t>
            </w:r>
            <w:r>
              <w:rPr>
                <w:rFonts w:hint="eastAsia" w:ascii="仿宋" w:hAnsi="仿宋" w:eastAsia="仿宋" w:cs="仿宋"/>
                <w:color w:val="auto"/>
                <w:sz w:val="24"/>
                <w:szCs w:val="24"/>
              </w:rPr>
              <w:t>日历天。</w:t>
            </w:r>
          </w:p>
        </w:tc>
      </w:tr>
      <w:tr w14:paraId="27FDE538">
        <w:tblPrEx>
          <w:tblCellMar>
            <w:top w:w="0" w:type="dxa"/>
            <w:left w:w="108" w:type="dxa"/>
            <w:bottom w:w="0" w:type="dxa"/>
            <w:right w:w="108" w:type="dxa"/>
          </w:tblCellMar>
        </w:tblPrEx>
        <w:trPr>
          <w:trHeight w:val="69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2C52DC03">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F7E80FF">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highlight w:val="yellow"/>
                <w:lang w:val="zh-CN"/>
              </w:rPr>
            </w:pPr>
            <w:r>
              <w:rPr>
                <w:rFonts w:hint="eastAsia" w:ascii="仿宋" w:hAnsi="仿宋" w:eastAsia="仿宋" w:cs="仿宋"/>
                <w:color w:val="auto"/>
                <w:sz w:val="24"/>
                <w:szCs w:val="24"/>
                <w:highlight w:val="none"/>
                <w:lang w:val="zh-CN"/>
              </w:rPr>
              <w:t>踏勘现场</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38FEA03">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不组织，自行踏勘</w:t>
            </w:r>
          </w:p>
          <w:p w14:paraId="4F6B89FE">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 xml:space="preserve">☑ </w:t>
            </w:r>
            <w:r>
              <w:rPr>
                <w:rFonts w:hint="eastAsia" w:eastAsia="宋体"/>
                <w:highlight w:val="none"/>
                <w:lang w:val="en-US" w:eastAsia="zh-CN"/>
              </w:rPr>
              <w:t>统一</w:t>
            </w:r>
            <w:r>
              <w:rPr>
                <w:rFonts w:hint="eastAsia" w:ascii="仿宋" w:hAnsi="仿宋" w:eastAsia="仿宋" w:cs="仿宋"/>
                <w:color w:val="auto"/>
                <w:sz w:val="24"/>
                <w:szCs w:val="24"/>
                <w:highlight w:val="none"/>
                <w:lang w:val="zh-CN"/>
              </w:rPr>
              <w:t>组织踏勘，踏勘时间：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20</w:t>
            </w:r>
            <w:bookmarkStart w:id="141" w:name="_GoBack"/>
            <w:bookmarkEnd w:id="141"/>
            <w:r>
              <w:rPr>
                <w:rFonts w:hint="eastAsia" w:ascii="仿宋" w:hAnsi="仿宋" w:eastAsia="仿宋" w:cs="仿宋"/>
                <w:color w:val="auto"/>
                <w:sz w:val="24"/>
                <w:szCs w:val="24"/>
                <w:highlight w:val="none"/>
                <w:u w:val="single"/>
                <w:lang w:val="en-US" w:eastAsia="zh-CN"/>
              </w:rPr>
              <w:t>26年4月18日上午11:00</w:t>
            </w:r>
          </w:p>
          <w:p w14:paraId="2CFD71EC">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yellow"/>
                <w:lang w:val="zh-CN"/>
              </w:rPr>
            </w:pPr>
            <w:r>
              <w:rPr>
                <w:rFonts w:hint="eastAsia" w:ascii="仿宋" w:hAnsi="仿宋" w:eastAsia="仿宋" w:cs="仿宋"/>
                <w:color w:val="auto"/>
                <w:sz w:val="24"/>
                <w:szCs w:val="24"/>
                <w:highlight w:val="none"/>
                <w:lang w:val="zh-CN"/>
              </w:rPr>
              <w:t>踏勘地点：</w:t>
            </w:r>
            <w:r>
              <w:rPr>
                <w:rFonts w:hint="eastAsia" w:ascii="仿宋" w:hAnsi="仿宋" w:eastAsia="仿宋" w:cs="仿宋"/>
                <w:color w:val="auto"/>
                <w:sz w:val="24"/>
                <w:szCs w:val="24"/>
                <w:highlight w:val="none"/>
                <w:u w:val="single"/>
                <w:lang w:val="en-US" w:eastAsia="zh-CN"/>
              </w:rPr>
              <w:t>招标人指定地点。</w:t>
            </w:r>
            <w:r>
              <w:rPr>
                <w:rFonts w:hint="eastAsia" w:ascii="仿宋" w:hAnsi="仿宋" w:eastAsia="仿宋" w:cs="仿宋"/>
                <w:color w:val="auto"/>
                <w:sz w:val="24"/>
                <w:szCs w:val="24"/>
                <w:highlight w:val="none"/>
                <w:u w:val="single"/>
                <w:lang w:val="zh-CN"/>
              </w:rPr>
              <w:t xml:space="preserve">   </w:t>
            </w:r>
          </w:p>
        </w:tc>
      </w:tr>
      <w:tr w14:paraId="7242C95D">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9FAE50E">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1466A40">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601CE55F">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不需要</w:t>
            </w:r>
          </w:p>
          <w:p w14:paraId="604D3F62">
            <w:pPr>
              <w:numPr>
                <w:ilvl w:val="0"/>
                <w:numId w:val="0"/>
              </w:numPr>
              <w:shd w:val="clear" w:color="auto" w:fill="auto"/>
              <w:spacing w:line="400" w:lineRule="exact"/>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需要，履约保证金的金额：成交合同金额的</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%（履约保证金须以支票、汇票、本票或者金融机构、担保机构出具的保函等非现金形式提交）</w:t>
            </w:r>
          </w:p>
          <w:p w14:paraId="520F8473">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投标人未按招标文件规定缴纳履约保证金的，视为自动放弃本次中标项目。</w:t>
            </w:r>
          </w:p>
        </w:tc>
      </w:tr>
      <w:tr w14:paraId="6D3D75EA">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AFC9638">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E0A6656">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采购代理服务费支付</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430A4BEC">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由采购人支付</w:t>
            </w:r>
          </w:p>
          <w:p w14:paraId="55317974">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由成交供应商支付</w:t>
            </w:r>
          </w:p>
        </w:tc>
      </w:tr>
      <w:tr w14:paraId="4E504A62">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533088A">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7C7990D">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构成采购文件的其他材料</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C161961">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招标文件的澄清、修改书及有关补充通知为招标文件的有效组成部分。</w:t>
            </w:r>
          </w:p>
        </w:tc>
      </w:tr>
      <w:tr w14:paraId="1FE313C2">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right w:val="single" w:color="auto" w:sz="4" w:space="0"/>
            </w:tcBorders>
            <w:noWrap w:val="0"/>
            <w:vAlign w:val="center"/>
          </w:tcPr>
          <w:p w14:paraId="5BCDC670">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03ED4D14">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投标人提出问题的截止时间</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5C34B9E1">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投标截止时间前10天</w:t>
            </w:r>
          </w:p>
        </w:tc>
      </w:tr>
      <w:tr w14:paraId="746A7402">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right w:val="single" w:color="auto" w:sz="4" w:space="0"/>
            </w:tcBorders>
            <w:noWrap w:val="0"/>
            <w:vAlign w:val="center"/>
          </w:tcPr>
          <w:p w14:paraId="7447F356">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0B414D77">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招标人书面澄清的时间</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601A7D40">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投标截止时间前15天</w:t>
            </w:r>
          </w:p>
        </w:tc>
      </w:tr>
      <w:tr w14:paraId="265D7E30">
        <w:tblPrEx>
          <w:tblCellMar>
            <w:top w:w="0" w:type="dxa"/>
            <w:left w:w="108" w:type="dxa"/>
            <w:bottom w:w="0" w:type="dxa"/>
            <w:right w:w="108" w:type="dxa"/>
          </w:tblCellMar>
        </w:tblPrEx>
        <w:trPr>
          <w:trHeight w:val="1226"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40C4FA1F">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971C058">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投标人对招标文件提出质疑的时间 </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084F54DE">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潜在投标人已依法获取其可质疑的招标文件的，可以对该文件提出质疑。对招标文件提出质疑的，应当在获取招标文件或者招标文件公告期限届满之日起7个工作日内提出。 </w:t>
            </w:r>
          </w:p>
        </w:tc>
      </w:tr>
      <w:tr w14:paraId="3649FA63">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ECB694D">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8F90173">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确认收到采购文件澄清或修改的时间</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6FE709F2">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确认收到采购文件澄清或修改的时间</w:t>
            </w:r>
          </w:p>
        </w:tc>
      </w:tr>
      <w:tr w14:paraId="61A52F46">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589398">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z w:val="24"/>
                <w:szCs w:val="24"/>
                <w:lang w:val="en-US" w:eastAsia="zh-CN"/>
              </w:rPr>
              <w:t>25</w:t>
            </w:r>
          </w:p>
        </w:tc>
        <w:tc>
          <w:tcPr>
            <w:tcW w:w="9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0798D2">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报价的范围</w:t>
            </w:r>
          </w:p>
        </w:tc>
        <w:tc>
          <w:tcPr>
            <w:tcW w:w="37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906751">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报价的范围</w:t>
            </w:r>
            <w:r>
              <w:rPr>
                <w:rFonts w:hint="eastAsia" w:ascii="仿宋" w:hAnsi="仿宋" w:eastAsia="仿宋" w:cs="仿宋"/>
                <w:color w:val="auto"/>
                <w:sz w:val="24"/>
                <w:szCs w:val="24"/>
                <w:highlight w:val="none"/>
                <w:lang w:val="en-US" w:eastAsia="zh-CN"/>
              </w:rPr>
              <w:t>包含</w:t>
            </w:r>
            <w:r>
              <w:rPr>
                <w:rFonts w:hint="eastAsia" w:ascii="仿宋" w:hAnsi="仿宋" w:eastAsia="仿宋" w:cs="仿宋"/>
                <w:color w:val="000000" w:themeColor="text1"/>
                <w:sz w:val="24"/>
                <w:szCs w:val="24"/>
                <w:highlight w:val="none"/>
                <w:lang w:val="en-US" w:eastAsia="zh-CN"/>
                <w14:textFill>
                  <w14:solidFill>
                    <w14:schemeClr w14:val="tx1"/>
                  </w14:solidFill>
                </w14:textFill>
              </w:rPr>
              <w:t>新增及</w:t>
            </w:r>
            <w:r>
              <w:rPr>
                <w:rFonts w:hint="eastAsia" w:ascii="仿宋" w:hAnsi="仿宋" w:eastAsia="仿宋" w:cs="仿宋"/>
                <w:color w:val="auto"/>
                <w:sz w:val="24"/>
                <w:szCs w:val="24"/>
                <w:highlight w:val="none"/>
                <w:lang w:val="zh-CN" w:eastAsia="zh-CN"/>
              </w:rPr>
              <w:t>原有设备的更新更换改造等内容。（含税全包价，包括产品的设计、制作、包装、保险、运输、装卸、安装、调试、培训、验收、保修等一切费用。）</w:t>
            </w:r>
          </w:p>
        </w:tc>
      </w:tr>
      <w:tr w14:paraId="53C4DF5D">
        <w:tblPrEx>
          <w:tblCellMar>
            <w:top w:w="0" w:type="dxa"/>
            <w:left w:w="108" w:type="dxa"/>
            <w:bottom w:w="0" w:type="dxa"/>
            <w:right w:w="108" w:type="dxa"/>
          </w:tblCellMar>
        </w:tblPrEx>
        <w:trPr>
          <w:trHeight w:val="6205"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4A6A46CD">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53BACEC">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供应商资格条件</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567D4B3B">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1.满足《中华人民共和国政府采购法》第二十二条规定；</w:t>
            </w:r>
          </w:p>
          <w:p w14:paraId="692D05A0">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lang w:val="zh-CN" w:eastAsia="zh-CN"/>
              </w:rPr>
              <w:t>.落实政府采购政策需满足的资格要求：本项目非专门面向中小企业</w:t>
            </w:r>
          </w:p>
          <w:p w14:paraId="6994EB09">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1）财政部、国家发展改革委、生态环境部、市场监管总局《关于调整优化节能产品、环境标志产品政府采购执行机制的通知》（财库[2019]9号文）；</w:t>
            </w:r>
          </w:p>
          <w:p w14:paraId="21F05EE8">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2）财政部、生态环境部《关于印发环境标志产品政府采购品目清单的通知》（财库[2019]18 号文）；</w:t>
            </w:r>
          </w:p>
          <w:p w14:paraId="2748D1AE">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3）财政部、发展改革委《关于印发节能产品政府采购品目清单的通知》（财库[2019]19 号文）；</w:t>
            </w:r>
          </w:p>
          <w:p w14:paraId="6B76C4A2">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4）市场监管总局《市场监管总局关于发布参与实施政府采购节能产品、环境标志产品认证机构名录的公告》（2019 年第 16号）；</w:t>
            </w:r>
          </w:p>
          <w:p w14:paraId="37FE7EB6">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5）财政部、工业和信息化部《关于印发《政府采购促进中小企业发展管理办法》的通知》（财库[2020]46 号文）；</w:t>
            </w:r>
          </w:p>
          <w:p w14:paraId="3CA7A67B">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6）财政部、民政部、中国残疾人联合会《关于促进残疾人就业政府采购政策的通知》（财库[2017]141 号）；</w:t>
            </w:r>
          </w:p>
          <w:p w14:paraId="0FA82190">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7）国务院办公厅</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关于在政府采购中实施本国产品标准及相关政策的通知</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国办发〔2025〕34号</w:t>
            </w:r>
            <w:r>
              <w:rPr>
                <w:rFonts w:hint="eastAsia" w:ascii="仿宋" w:hAnsi="仿宋" w:eastAsia="仿宋" w:cs="仿宋"/>
                <w:color w:val="auto"/>
                <w:sz w:val="24"/>
                <w:szCs w:val="24"/>
                <w:lang w:val="zh-CN" w:eastAsia="zh-CN"/>
              </w:rPr>
              <w:t>）；</w:t>
            </w:r>
          </w:p>
          <w:p w14:paraId="25E1A4D4">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3.本项目的特定资格要求：</w:t>
            </w:r>
            <w:r>
              <w:rPr>
                <w:rFonts w:hint="eastAsia" w:ascii="仿宋" w:hAnsi="仿宋" w:eastAsia="仿宋" w:cs="仿宋"/>
                <w:color w:val="auto"/>
                <w:sz w:val="24"/>
                <w:szCs w:val="24"/>
                <w:lang w:val="zh-CN" w:eastAsia="zh-CN"/>
              </w:rPr>
              <w:t>（以下资料需</w:t>
            </w:r>
            <w:r>
              <w:rPr>
                <w:rFonts w:hint="eastAsia" w:ascii="仿宋" w:hAnsi="仿宋" w:eastAsia="仿宋" w:cs="仿宋"/>
                <w:color w:val="auto"/>
                <w:sz w:val="24"/>
                <w:szCs w:val="24"/>
                <w:lang w:val="en-US" w:eastAsia="zh-CN"/>
              </w:rPr>
              <w:t>体</w:t>
            </w:r>
            <w:r>
              <w:rPr>
                <w:rFonts w:hint="eastAsia" w:ascii="仿宋" w:hAnsi="仿宋" w:eastAsia="仿宋" w:cs="仿宋"/>
                <w:color w:val="auto"/>
                <w:sz w:val="24"/>
                <w:szCs w:val="24"/>
                <w:lang w:val="zh-CN" w:eastAsia="zh-CN"/>
              </w:rPr>
              <w:t>现在响应文件中）</w:t>
            </w:r>
          </w:p>
          <w:p w14:paraId="17AE3F7F">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）有效经年检的营业执照；（</w:t>
            </w:r>
            <w:r>
              <w:rPr>
                <w:rFonts w:hint="eastAsia" w:ascii="仿宋" w:hAnsi="仿宋" w:eastAsia="仿宋" w:cs="仿宋"/>
                <w:color w:val="auto"/>
                <w:sz w:val="24"/>
                <w:szCs w:val="24"/>
                <w:lang w:val="en-US" w:eastAsia="zh-CN"/>
              </w:rPr>
              <w:t>加盖公章</w:t>
            </w:r>
            <w:r>
              <w:rPr>
                <w:rFonts w:hint="eastAsia" w:ascii="仿宋" w:hAnsi="仿宋" w:eastAsia="仿宋" w:cs="仿宋"/>
                <w:color w:val="auto"/>
                <w:sz w:val="24"/>
                <w:szCs w:val="24"/>
                <w:lang w:val="zh-CN" w:eastAsia="zh-CN"/>
              </w:rPr>
              <w:t>）</w:t>
            </w:r>
          </w:p>
          <w:p w14:paraId="4113CB5F">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）法人代表或其委托代理人应提供本人身份证，委托代理人还应提供《法人代表授权委托书》；（加盖公章）</w:t>
            </w:r>
          </w:p>
          <w:p w14:paraId="7D6A6616">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）提供</w:t>
            </w:r>
            <w:r>
              <w:rPr>
                <w:rFonts w:hint="eastAsia" w:ascii="仿宋" w:hAnsi="仿宋" w:eastAsia="仿宋" w:cs="仿宋"/>
                <w:color w:val="auto"/>
                <w:sz w:val="24"/>
                <w:szCs w:val="24"/>
                <w:lang w:val="en-US" w:eastAsia="zh-CN"/>
              </w:rPr>
              <w:t>近三个月内任意一个月</w:t>
            </w:r>
            <w:r>
              <w:rPr>
                <w:rFonts w:hint="eastAsia" w:ascii="仿宋" w:hAnsi="仿宋" w:eastAsia="仿宋" w:cs="仿宋"/>
                <w:color w:val="auto"/>
                <w:sz w:val="24"/>
                <w:szCs w:val="24"/>
                <w:lang w:val="zh-CN" w:eastAsia="zh-CN"/>
              </w:rPr>
              <w:t>授权委托人及相关人员社保缴纳明细需盖有社保部门印章（退休人员提供退休证）；</w:t>
            </w:r>
          </w:p>
          <w:p w14:paraId="58D9C32D">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）提供所在企业</w:t>
            </w:r>
            <w:r>
              <w:rPr>
                <w:rFonts w:hint="eastAsia" w:ascii="仿宋" w:hAnsi="仿宋" w:eastAsia="仿宋" w:cs="仿宋"/>
                <w:color w:val="auto"/>
                <w:sz w:val="24"/>
                <w:szCs w:val="24"/>
                <w:lang w:val="en-US" w:eastAsia="zh-CN"/>
              </w:rPr>
              <w:t>近三个月内任意一个月</w:t>
            </w:r>
            <w:r>
              <w:rPr>
                <w:rFonts w:hint="eastAsia" w:ascii="仿宋" w:hAnsi="仿宋" w:eastAsia="仿宋" w:cs="仿宋"/>
                <w:color w:val="auto"/>
                <w:sz w:val="24"/>
                <w:szCs w:val="24"/>
                <w:lang w:val="zh-CN" w:eastAsia="zh-CN"/>
              </w:rPr>
              <w:t>税务部门出具的完税证明或税务部门出具的其他证明，非社会保险类；（若投标人某月税收为零申报，须提供当月加盖税务局公章的无欠税证明（依法免税的供应商应提供相应证明文件证明其依法免税。）；（加盖公章）（</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eastAsia="zh-CN"/>
              </w:rPr>
              <w:t>）具有良好的商业信誉和健全的财务会计制度（提供</w:t>
            </w:r>
            <w:r>
              <w:rPr>
                <w:rFonts w:hint="eastAsia" w:ascii="仿宋" w:hAnsi="仿宋" w:eastAsia="仿宋" w:cs="仿宋"/>
                <w:color w:val="auto"/>
                <w:sz w:val="24"/>
                <w:szCs w:val="24"/>
                <w:lang w:val="en-US" w:eastAsia="zh-CN"/>
              </w:rPr>
              <w:t>2024</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或2025年）财务报表或第三方出具的财务审计报告;</w:t>
            </w:r>
            <w:r>
              <w:rPr>
                <w:rFonts w:hint="eastAsia" w:ascii="仿宋" w:hAnsi="仿宋" w:eastAsia="仿宋" w:cs="仿宋"/>
                <w:color w:val="auto"/>
                <w:sz w:val="24"/>
                <w:szCs w:val="24"/>
                <w:lang w:val="zh-CN" w:eastAsia="zh-CN"/>
              </w:rPr>
              <w:t>（成立不足一年的新办企业提供银行资信证明</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lang w:val="zh-CN" w:eastAsia="zh-CN"/>
              </w:rPr>
              <w:t>提供成立至今的财务报表、包含资产负债表、现金流量表、利润表））（</w:t>
            </w:r>
            <w:r>
              <w:rPr>
                <w:rFonts w:hint="eastAsia" w:ascii="仿宋" w:hAnsi="仿宋" w:eastAsia="仿宋" w:cs="仿宋"/>
                <w:color w:val="auto"/>
                <w:sz w:val="24"/>
                <w:szCs w:val="24"/>
                <w:lang w:val="en-US" w:eastAsia="zh-CN"/>
              </w:rPr>
              <w:t>加盖公章</w:t>
            </w:r>
            <w:r>
              <w:rPr>
                <w:rFonts w:hint="eastAsia" w:ascii="仿宋" w:hAnsi="仿宋" w:eastAsia="仿宋" w:cs="仿宋"/>
                <w:color w:val="auto"/>
                <w:sz w:val="24"/>
                <w:szCs w:val="24"/>
                <w:lang w:val="zh-CN" w:eastAsia="zh-CN"/>
              </w:rPr>
              <w:t>）</w:t>
            </w:r>
          </w:p>
          <w:p w14:paraId="6976FF32">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left="0" w:right="0" w:firstLine="0"/>
              <w:jc w:val="both"/>
              <w:textAlignment w:val="auto"/>
              <w:rPr>
                <w:rFonts w:hint="eastAsia" w:ascii="仿宋" w:hAnsi="仿宋" w:eastAsia="仿宋" w:cs="仿宋"/>
                <w:snapToGrid w:val="0"/>
                <w:color w:val="auto"/>
                <w:kern w:val="0"/>
                <w:sz w:val="24"/>
                <w:szCs w:val="24"/>
                <w:lang w:val="zh-CN" w:eastAsia="zh-CN" w:bidi="ar-SA"/>
              </w:rPr>
            </w:pPr>
            <w:r>
              <w:rPr>
                <w:rFonts w:hint="eastAsia" w:ascii="仿宋" w:hAnsi="仿宋" w:eastAsia="仿宋" w:cs="仿宋"/>
                <w:snapToGrid w:val="0"/>
                <w:color w:val="auto"/>
                <w:kern w:val="0"/>
                <w:sz w:val="24"/>
                <w:szCs w:val="24"/>
                <w:lang w:val="zh-CN" w:eastAsia="zh-CN" w:bidi="ar-SA"/>
              </w:rPr>
              <w:t>（</w:t>
            </w:r>
            <w:r>
              <w:rPr>
                <w:rFonts w:hint="eastAsia" w:ascii="仿宋" w:hAnsi="仿宋" w:eastAsia="仿宋" w:cs="仿宋"/>
                <w:snapToGrid w:val="0"/>
                <w:color w:val="auto"/>
                <w:kern w:val="0"/>
                <w:sz w:val="24"/>
                <w:szCs w:val="24"/>
                <w:lang w:val="en-US" w:eastAsia="zh-CN" w:bidi="ar-SA"/>
              </w:rPr>
              <w:t>6）</w:t>
            </w:r>
            <w:r>
              <w:rPr>
                <w:rFonts w:hint="eastAsia" w:ascii="仿宋" w:hAnsi="仿宋" w:eastAsia="仿宋" w:cs="仿宋"/>
                <w:snapToGrid w:val="0"/>
                <w:color w:val="auto"/>
                <w:kern w:val="0"/>
                <w:sz w:val="24"/>
                <w:szCs w:val="24"/>
                <w:lang w:val="zh-CN" w:eastAsia="zh-CN" w:bidi="ar-SA"/>
              </w:rPr>
              <w:t>“信用中国”网站查询截图和信用信息报告，中国政府采购网被列入严重违法失信行为记录名单的（尚在处罚期内的）；（</w:t>
            </w:r>
            <w:r>
              <w:rPr>
                <w:rFonts w:hint="eastAsia" w:ascii="仿宋" w:hAnsi="仿宋" w:eastAsia="仿宋" w:cs="仿宋"/>
                <w:snapToGrid w:val="0"/>
                <w:color w:val="auto"/>
                <w:kern w:val="0"/>
                <w:sz w:val="24"/>
                <w:szCs w:val="24"/>
                <w:lang w:val="en-US" w:eastAsia="zh-CN" w:bidi="ar-SA"/>
              </w:rPr>
              <w:t>投标人</w:t>
            </w:r>
            <w:r>
              <w:rPr>
                <w:rFonts w:hint="eastAsia" w:ascii="仿宋" w:hAnsi="仿宋" w:eastAsia="仿宋" w:cs="仿宋"/>
                <w:snapToGrid w:val="0"/>
                <w:color w:val="auto"/>
                <w:kern w:val="0"/>
                <w:sz w:val="24"/>
                <w:szCs w:val="24"/>
                <w:lang w:val="zh-CN" w:eastAsia="zh-CN" w:bidi="ar-SA"/>
              </w:rPr>
              <w:t>打印时间须在获取</w:t>
            </w:r>
            <w:r>
              <w:rPr>
                <w:rFonts w:hint="eastAsia" w:ascii="仿宋" w:hAnsi="仿宋" w:eastAsia="仿宋" w:cs="仿宋"/>
                <w:snapToGrid w:val="0"/>
                <w:color w:val="auto"/>
                <w:kern w:val="0"/>
                <w:sz w:val="24"/>
                <w:szCs w:val="24"/>
                <w:lang w:val="en-US" w:eastAsia="zh-CN" w:bidi="ar-SA"/>
              </w:rPr>
              <w:t>采购</w:t>
            </w:r>
            <w:r>
              <w:rPr>
                <w:rFonts w:hint="eastAsia" w:ascii="仿宋" w:hAnsi="仿宋" w:eastAsia="仿宋" w:cs="仿宋"/>
                <w:snapToGrid w:val="0"/>
                <w:color w:val="auto"/>
                <w:kern w:val="0"/>
                <w:sz w:val="24"/>
                <w:szCs w:val="24"/>
                <w:lang w:val="zh-CN" w:eastAsia="zh-CN" w:bidi="ar-SA"/>
              </w:rPr>
              <w:t>文件之日起至投标截止时间之日内）。﹙</w:t>
            </w:r>
            <w:r>
              <w:rPr>
                <w:rFonts w:hint="eastAsia" w:ascii="仿宋" w:hAnsi="仿宋" w:eastAsia="仿宋" w:cs="仿宋"/>
                <w:snapToGrid w:val="0"/>
                <w:color w:val="auto"/>
                <w:kern w:val="0"/>
                <w:sz w:val="24"/>
                <w:szCs w:val="24"/>
                <w:lang w:val="en-US" w:eastAsia="zh-CN" w:bidi="ar-SA"/>
              </w:rPr>
              <w:t>若投标人未提供则自投标文件提交截止时至评审结束（评标委员会在评审报告上签字完成）期间，由采购人或采购代理机构以评标现场查询结果为准。）；</w:t>
            </w:r>
          </w:p>
          <w:p w14:paraId="0C3073FB">
            <w:pPr>
              <w:keepNext w:val="0"/>
              <w:keepLines w:val="0"/>
              <w:pageBreakBefore w:val="0"/>
              <w:widowControl w:val="0"/>
              <w:kinsoku/>
              <w:wordWrap w:val="0"/>
              <w:overflowPunct/>
              <w:topLinePunct w:val="0"/>
              <w:autoSpaceDE/>
              <w:autoSpaceDN/>
              <w:bidi w:val="0"/>
              <w:adjustRightInd w:val="0"/>
              <w:snapToGrid w:val="0"/>
              <w:spacing w:line="360" w:lineRule="exact"/>
              <w:ind w:left="0" w:leftChars="0" w:firstLine="0" w:firstLineChars="0"/>
              <w:jc w:val="both"/>
              <w:textAlignment w:val="baseline"/>
              <w:rPr>
                <w:rFonts w:hint="eastAsia" w:ascii="仿宋" w:hAnsi="仿宋" w:eastAsia="仿宋" w:cs="仿宋"/>
                <w:snapToGrid w:val="0"/>
                <w:color w:val="auto"/>
                <w:spacing w:val="12"/>
                <w:kern w:val="2"/>
                <w:sz w:val="24"/>
                <w:szCs w:val="24"/>
                <w:lang w:val="en-US" w:eastAsia="zh-CN" w:bidi="ar-SA"/>
              </w:rPr>
            </w:pPr>
            <w:r>
              <w:rPr>
                <w:rFonts w:hint="eastAsia" w:ascii="仿宋" w:hAnsi="仿宋" w:eastAsia="仿宋" w:cs="仿宋"/>
                <w:snapToGrid w:val="0"/>
                <w:color w:val="auto"/>
                <w:spacing w:val="12"/>
                <w:kern w:val="2"/>
                <w:sz w:val="24"/>
                <w:szCs w:val="24"/>
                <w:lang w:val="en-US" w:eastAsia="zh-CN" w:bidi="ar-SA"/>
              </w:rPr>
              <w:t>（7）投标人应遵守国家有关的法律、法规和政策；投标人参加政府采购活动前三年内，在经营活动中没有重大违法记录；</w:t>
            </w:r>
          </w:p>
          <w:p w14:paraId="23534A55">
            <w:pPr>
              <w:keepNext w:val="0"/>
              <w:keepLines w:val="0"/>
              <w:pageBreakBefore w:val="0"/>
              <w:widowControl w:val="0"/>
              <w:kinsoku/>
              <w:wordWrap w:val="0"/>
              <w:overflowPunct/>
              <w:topLinePunct w:val="0"/>
              <w:autoSpaceDE/>
              <w:autoSpaceDN/>
              <w:bidi w:val="0"/>
              <w:adjustRightInd w:val="0"/>
              <w:snapToGrid w:val="0"/>
              <w:spacing w:line="360" w:lineRule="exact"/>
              <w:ind w:left="0" w:leftChars="0" w:firstLine="0" w:firstLineChars="0"/>
              <w:jc w:val="both"/>
              <w:textAlignment w:val="baseline"/>
              <w:rPr>
                <w:rFonts w:hint="eastAsia" w:ascii="仿宋" w:hAnsi="仿宋" w:eastAsia="仿宋" w:cs="仿宋"/>
                <w:snapToGrid w:val="0"/>
                <w:color w:val="auto"/>
                <w:spacing w:val="12"/>
                <w:kern w:val="2"/>
                <w:sz w:val="24"/>
                <w:szCs w:val="24"/>
                <w:lang w:val="zh-CN" w:eastAsia="zh-CN" w:bidi="ar-SA"/>
              </w:rPr>
            </w:pPr>
            <w:r>
              <w:rPr>
                <w:rFonts w:hint="eastAsia" w:ascii="仿宋" w:hAnsi="仿宋" w:eastAsia="仿宋" w:cs="仿宋"/>
                <w:snapToGrid w:val="0"/>
                <w:color w:val="auto"/>
                <w:spacing w:val="12"/>
                <w:kern w:val="2"/>
                <w:sz w:val="24"/>
                <w:szCs w:val="24"/>
                <w:lang w:val="en-US" w:eastAsia="zh-CN" w:bidi="ar-SA"/>
              </w:rPr>
              <w:t>（8）</w:t>
            </w:r>
            <w:r>
              <w:rPr>
                <w:rFonts w:hint="eastAsia" w:ascii="仿宋" w:hAnsi="仿宋" w:eastAsia="仿宋" w:cs="仿宋"/>
                <w:snapToGrid w:val="0"/>
                <w:color w:val="auto"/>
                <w:spacing w:val="12"/>
                <w:kern w:val="2"/>
                <w:sz w:val="24"/>
                <w:szCs w:val="24"/>
                <w:lang w:val="zh-CN" w:eastAsia="zh-CN" w:bidi="ar-SA"/>
              </w:rPr>
              <w:t>投标人未被列入失信被执行人、重大税收违法案件当事人名单、政府采购严重违法失信行为记录名单；</w:t>
            </w:r>
          </w:p>
          <w:p w14:paraId="3A41B6AD">
            <w:pPr>
              <w:keepNext w:val="0"/>
              <w:keepLines w:val="0"/>
              <w:pageBreakBefore w:val="0"/>
              <w:widowControl w:val="0"/>
              <w:kinsoku/>
              <w:wordWrap w:val="0"/>
              <w:overflowPunct/>
              <w:topLinePunct w:val="0"/>
              <w:autoSpaceDE/>
              <w:autoSpaceDN/>
              <w:bidi w:val="0"/>
              <w:adjustRightInd w:val="0"/>
              <w:snapToGrid w:val="0"/>
              <w:spacing w:line="360" w:lineRule="exact"/>
              <w:ind w:left="0" w:leftChars="0" w:firstLine="0" w:firstLineChars="0"/>
              <w:jc w:val="both"/>
              <w:textAlignment w:val="baseline"/>
              <w:rPr>
                <w:rFonts w:hint="eastAsia" w:ascii="仿宋" w:hAnsi="仿宋" w:eastAsia="仿宋" w:cs="仿宋"/>
                <w:snapToGrid w:val="0"/>
                <w:color w:val="auto"/>
                <w:spacing w:val="12"/>
                <w:kern w:val="2"/>
                <w:sz w:val="24"/>
                <w:szCs w:val="24"/>
                <w:lang w:val="en-US" w:eastAsia="zh-CN" w:bidi="ar-SA"/>
              </w:rPr>
            </w:pPr>
            <w:r>
              <w:rPr>
                <w:rFonts w:hint="eastAsia" w:ascii="仿宋" w:hAnsi="仿宋" w:eastAsia="仿宋" w:cs="仿宋"/>
                <w:snapToGrid w:val="0"/>
                <w:color w:val="auto"/>
                <w:spacing w:val="12"/>
                <w:kern w:val="2"/>
                <w:sz w:val="24"/>
                <w:szCs w:val="24"/>
                <w:lang w:val="en-US" w:eastAsia="zh-CN" w:bidi="ar-SA"/>
              </w:rPr>
              <w:t>（9）具备履行合同所必需的设备和专业技术能力的书面声明文件；</w:t>
            </w:r>
          </w:p>
          <w:p w14:paraId="7E19D608">
            <w:pPr>
              <w:keepNext w:val="0"/>
              <w:keepLines w:val="0"/>
              <w:pageBreakBefore w:val="0"/>
              <w:widowControl w:val="0"/>
              <w:kinsoku/>
              <w:wordWrap w:val="0"/>
              <w:overflowPunct/>
              <w:topLinePunct w:val="0"/>
              <w:autoSpaceDE/>
              <w:autoSpaceDN/>
              <w:bidi w:val="0"/>
              <w:adjustRightInd w:val="0"/>
              <w:snapToGrid w:val="0"/>
              <w:spacing w:line="360" w:lineRule="exact"/>
              <w:ind w:left="0" w:leftChars="0" w:firstLine="264" w:firstLineChars="100"/>
              <w:jc w:val="both"/>
              <w:textAlignment w:val="baseline"/>
              <w:rPr>
                <w:rFonts w:hint="eastAsia" w:ascii="仿宋" w:hAnsi="仿宋" w:eastAsia="仿宋" w:cs="仿宋"/>
                <w:snapToGrid w:val="0"/>
                <w:color w:val="auto"/>
                <w:spacing w:val="12"/>
                <w:kern w:val="2"/>
                <w:sz w:val="24"/>
                <w:szCs w:val="24"/>
                <w:lang w:val="en-US" w:eastAsia="zh-CN" w:bidi="ar-SA"/>
              </w:rPr>
            </w:pPr>
            <w:r>
              <w:rPr>
                <w:rFonts w:hint="eastAsia" w:ascii="仿宋" w:hAnsi="仿宋" w:eastAsia="仿宋" w:cs="仿宋"/>
                <w:snapToGrid w:val="0"/>
                <w:color w:val="auto"/>
                <w:spacing w:val="12"/>
                <w:kern w:val="2"/>
                <w:sz w:val="24"/>
                <w:szCs w:val="24"/>
                <w:lang w:val="en-US" w:eastAsia="zh-CN" w:bidi="ar-SA"/>
              </w:rPr>
              <w:t>（10）提供单位负责人为同一人或者存在直接控股、管理关系的不同投标人，不得参加同一合同项下的政府采购活动的书面声明（格式自拟）；</w:t>
            </w:r>
          </w:p>
          <w:p w14:paraId="5FE3F343">
            <w:pPr>
              <w:keepNext w:val="0"/>
              <w:keepLines w:val="0"/>
              <w:pageBreakBefore w:val="0"/>
              <w:widowControl w:val="0"/>
              <w:kinsoku/>
              <w:wordWrap w:val="0"/>
              <w:overflowPunct/>
              <w:topLinePunct w:val="0"/>
              <w:autoSpaceDE/>
              <w:autoSpaceDN/>
              <w:bidi w:val="0"/>
              <w:adjustRightInd w:val="0"/>
              <w:snapToGrid w:val="0"/>
              <w:spacing w:line="360" w:lineRule="exact"/>
              <w:ind w:left="0" w:leftChars="0" w:firstLine="0" w:firstLineChars="0"/>
              <w:jc w:val="both"/>
              <w:textAlignment w:val="baseline"/>
              <w:rPr>
                <w:rFonts w:hint="eastAsia" w:ascii="仿宋" w:hAnsi="仿宋" w:eastAsia="仿宋" w:cs="仿宋"/>
                <w:snapToGrid w:val="0"/>
                <w:color w:val="auto"/>
                <w:spacing w:val="12"/>
                <w:kern w:val="2"/>
                <w:sz w:val="24"/>
                <w:szCs w:val="24"/>
                <w:lang w:val="en-US" w:eastAsia="zh-CN" w:bidi="ar-SA"/>
              </w:rPr>
            </w:pPr>
            <w:r>
              <w:rPr>
                <w:rFonts w:hint="eastAsia" w:ascii="仿宋" w:hAnsi="仿宋" w:eastAsia="仿宋" w:cs="仿宋"/>
                <w:snapToGrid w:val="0"/>
                <w:color w:val="auto"/>
                <w:spacing w:val="12"/>
                <w:kern w:val="2"/>
                <w:sz w:val="24"/>
                <w:szCs w:val="24"/>
                <w:lang w:val="en-US" w:eastAsia="zh-CN" w:bidi="ar-SA"/>
              </w:rPr>
              <w:t>（11）供应商作为中小企业参加政府采购活动，应当出具《政府采购促进中小企业发展管理办法》规定的《中小企业声明函》；</w:t>
            </w:r>
          </w:p>
          <w:p w14:paraId="3C20C40A">
            <w:pPr>
              <w:keepNext w:val="0"/>
              <w:keepLines w:val="0"/>
              <w:pageBreakBefore w:val="0"/>
              <w:widowControl w:val="0"/>
              <w:kinsoku/>
              <w:wordWrap w:val="0"/>
              <w:overflowPunct/>
              <w:topLinePunct w:val="0"/>
              <w:autoSpaceDE/>
              <w:autoSpaceDN/>
              <w:bidi w:val="0"/>
              <w:adjustRightInd w:val="0"/>
              <w:snapToGrid w:val="0"/>
              <w:spacing w:line="360" w:lineRule="exact"/>
              <w:ind w:left="0" w:leftChars="0" w:firstLine="0" w:firstLineChars="0"/>
              <w:jc w:val="both"/>
              <w:textAlignment w:val="baseline"/>
              <w:rPr>
                <w:rFonts w:hint="eastAsia" w:ascii="仿宋" w:hAnsi="仿宋" w:eastAsia="仿宋" w:cs="仿宋"/>
                <w:snapToGrid w:val="0"/>
                <w:color w:val="auto"/>
                <w:spacing w:val="12"/>
                <w:kern w:val="2"/>
                <w:sz w:val="24"/>
                <w:szCs w:val="24"/>
                <w:lang w:val="en-US" w:eastAsia="zh-CN" w:bidi="ar-SA"/>
              </w:rPr>
            </w:pPr>
            <w:r>
              <w:rPr>
                <w:rFonts w:hint="eastAsia" w:ascii="仿宋" w:hAnsi="仿宋" w:eastAsia="仿宋" w:cs="仿宋"/>
                <w:snapToGrid w:val="0"/>
                <w:color w:val="auto"/>
                <w:spacing w:val="12"/>
                <w:kern w:val="2"/>
                <w:sz w:val="24"/>
                <w:szCs w:val="24"/>
                <w:lang w:val="en-US" w:eastAsia="zh-CN" w:bidi="ar-SA"/>
              </w:rPr>
              <w:t>（12）投标单位(供应商)《反商业贿赂承诺书》加盖公章</w:t>
            </w:r>
          </w:p>
          <w:p w14:paraId="291283CF">
            <w:pPr>
              <w:keepNext w:val="0"/>
              <w:keepLines w:val="0"/>
              <w:pageBreakBefore w:val="0"/>
              <w:widowControl w:val="0"/>
              <w:kinsoku/>
              <w:wordWrap w:val="0"/>
              <w:overflowPunct/>
              <w:topLinePunct w:val="0"/>
              <w:autoSpaceDE/>
              <w:autoSpaceDN/>
              <w:bidi w:val="0"/>
              <w:adjustRightInd w:val="0"/>
              <w:snapToGrid w:val="0"/>
              <w:spacing w:line="360" w:lineRule="exact"/>
              <w:ind w:left="0" w:leftChars="0" w:firstLine="0" w:firstLineChars="0"/>
              <w:jc w:val="both"/>
              <w:textAlignment w:val="baseline"/>
              <w:rPr>
                <w:rFonts w:hint="eastAsia" w:ascii="仿宋" w:hAnsi="仿宋" w:eastAsia="仿宋" w:cs="仿宋"/>
                <w:b/>
                <w:bCs/>
                <w:snapToGrid w:val="0"/>
                <w:color w:val="auto"/>
                <w:spacing w:val="12"/>
                <w:kern w:val="2"/>
                <w:sz w:val="24"/>
                <w:szCs w:val="24"/>
                <w:lang w:val="en-US" w:eastAsia="zh-CN" w:bidi="ar-SA"/>
              </w:rPr>
            </w:pPr>
            <w:r>
              <w:rPr>
                <w:rFonts w:hint="eastAsia" w:ascii="仿宋" w:hAnsi="仿宋" w:eastAsia="仿宋" w:cs="仿宋"/>
                <w:b/>
                <w:bCs/>
                <w:snapToGrid w:val="0"/>
                <w:color w:val="auto"/>
                <w:spacing w:val="12"/>
                <w:kern w:val="2"/>
                <w:sz w:val="24"/>
                <w:szCs w:val="24"/>
                <w:lang w:val="en-US" w:eastAsia="zh-CN" w:bidi="ar-SA"/>
              </w:rPr>
              <w:t>（13）投标人须书面承诺保证其投标产品不侵犯任何第三方的知识产权（包括但不限于专利权、商标权、著作权等）。如因投标产品侵犯第三方知识产权导致任何纠纷或索赔，投标人应承担全部法律责任，并赔偿采购人因此遭受的全部损失。采购人有权要求投标人提供其拥有或合法使用相关知识产权的证明材料，投标人未能提供或提供的材料不实的，其投标将被视为无效，且采购人有权取消其中标资格、并保留进一步追究其法律责任的权利。（提供书面承诺）</w:t>
            </w:r>
          </w:p>
          <w:p w14:paraId="669B0165">
            <w:pPr>
              <w:pStyle w:val="18"/>
              <w:keepNext w:val="0"/>
              <w:keepLines w:val="0"/>
              <w:pageBreakBefore w:val="0"/>
              <w:widowControl w:val="0"/>
              <w:kinsoku/>
              <w:wordWrap w:val="0"/>
              <w:overflowPunct/>
              <w:topLinePunct w:val="0"/>
              <w:autoSpaceDE/>
              <w:autoSpaceDN/>
              <w:bidi w:val="0"/>
              <w:spacing w:line="360" w:lineRule="exact"/>
              <w:ind w:left="0" w:leftChars="0" w:firstLine="0" w:firstLineChars="0"/>
              <w:jc w:val="both"/>
              <w:rPr>
                <w:rFonts w:hint="eastAsia" w:ascii="仿宋" w:hAnsi="仿宋" w:eastAsia="仿宋" w:cs="仿宋"/>
                <w:color w:val="auto"/>
                <w:sz w:val="24"/>
                <w:szCs w:val="24"/>
                <w:lang w:val="zh-CN"/>
              </w:rPr>
            </w:pPr>
            <w:r>
              <w:rPr>
                <w:rFonts w:hint="eastAsia" w:ascii="仿宋" w:hAnsi="仿宋" w:eastAsia="仿宋" w:cs="仿宋"/>
                <w:b/>
                <w:bCs/>
                <w:snapToGrid w:val="0"/>
                <w:color w:val="auto"/>
                <w:spacing w:val="12"/>
                <w:kern w:val="2"/>
                <w:sz w:val="24"/>
                <w:szCs w:val="24"/>
                <w:lang w:val="zh-CN" w:eastAsia="zh-CN" w:bidi="ar-SA"/>
              </w:rPr>
              <w:t>供应商通过账号密码或CA登录客户端进行响应文件制作，</w:t>
            </w:r>
            <w:r>
              <w:rPr>
                <w:rFonts w:hint="eastAsia" w:ascii="仿宋" w:hAnsi="仿宋" w:eastAsia="仿宋" w:cs="仿宋"/>
                <w:b/>
                <w:bCs/>
                <w:snapToGrid w:val="0"/>
                <w:color w:val="auto"/>
                <w:spacing w:val="12"/>
                <w:kern w:val="2"/>
                <w:sz w:val="24"/>
                <w:szCs w:val="24"/>
                <w:lang w:val="en-US" w:eastAsia="zh-CN" w:bidi="ar-SA"/>
              </w:rPr>
              <w:t>将以上资格审查资料按要求上传至电子响应文件中。</w:t>
            </w:r>
          </w:p>
        </w:tc>
      </w:tr>
      <w:tr w14:paraId="7848B123">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DC4788A">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EEE1527">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是否允许递交备选报价方案</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4D8D1332">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不允许</w:t>
            </w:r>
          </w:p>
          <w:p w14:paraId="4E43E432">
            <w:pPr>
              <w:keepNext w:val="0"/>
              <w:keepLines w:val="0"/>
              <w:pageBreakBefore w:val="0"/>
              <w:widowControl w:val="0"/>
              <w:kinsoku/>
              <w:wordWrap w:val="0"/>
              <w:overflowPunct/>
              <w:topLinePunct w:val="0"/>
              <w:autoSpaceDE/>
              <w:autoSpaceDN/>
              <w:bidi w:val="0"/>
              <w:snapToGrid/>
              <w:spacing w:line="360" w:lineRule="exact"/>
              <w:ind w:left="0" w:hanging="360" w:hangingChars="150"/>
              <w:jc w:val="both"/>
              <w:textAlignment w:val="auto"/>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 允许。要求：只有成交供应商所递交的备选报价方案方可予以考虑。磋商小组认为成交供应商的备选报价方案优于其按照采购文件要求的报价方案，采购人可以接受该备选报价方案。</w:t>
            </w:r>
          </w:p>
        </w:tc>
      </w:tr>
      <w:tr w14:paraId="19CFD942">
        <w:tblPrEx>
          <w:tblCellMar>
            <w:top w:w="0" w:type="dxa"/>
            <w:left w:w="108" w:type="dxa"/>
            <w:bottom w:w="0" w:type="dxa"/>
            <w:right w:w="108" w:type="dxa"/>
          </w:tblCellMar>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DCCA46A">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D86E034">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投标报价的次数</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3FF04EE2">
            <w:pPr>
              <w:keepNext w:val="0"/>
              <w:keepLines w:val="0"/>
              <w:pageBreakBefore w:val="0"/>
              <w:widowControl w:val="0"/>
              <w:kinsoku/>
              <w:wordWrap w:val="0"/>
              <w:overflowPunct/>
              <w:topLinePunct w:val="0"/>
              <w:autoSpaceDE/>
              <w:autoSpaceDN/>
              <w:bidi w:val="0"/>
              <w:adjustRightInd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zh-CN"/>
              </w:rPr>
              <w:t>本次投标报价为一次，不得更改报价，投标人只有一次报价的机会。投标报价（即开标报价）不得有选择性报价和附有条件的报价，且不得高于预算金额（备注：设定最高限价的，本项内容改为最高限价）。</w:t>
            </w:r>
          </w:p>
        </w:tc>
      </w:tr>
      <w:tr w14:paraId="2D710636">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7667246">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E7C7F6E">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lang w:val="zh-CN"/>
              </w:rPr>
              <w:t>文件编制装订</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1EAB4402">
            <w:pPr>
              <w:keepNext w:val="0"/>
              <w:keepLines w:val="0"/>
              <w:pageBreakBefore w:val="0"/>
              <w:widowControl w:val="0"/>
              <w:kinsoku/>
              <w:wordWrap w:val="0"/>
              <w:overflowPunct/>
              <w:topLinePunct w:val="0"/>
              <w:autoSpaceDE/>
              <w:autoSpaceDN/>
              <w:bidi w:val="0"/>
              <w:adjustRightInd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1.本项目采用电子交易方式，供应商可前往新疆政府采购网（http://www.ccgp-xinjiang.gov.cn/）下载专区，下载政采云电子投标客户端，安装完成后，可通过账号密码或 CA 登录客户端进行响应文件制作。在使用政采云电子投标客户端时，建议使用 WIN7 及以上操作系统。如有问题可拨打政采云客户服务热线 95763 进行咨询。</w:t>
            </w:r>
          </w:p>
          <w:p w14:paraId="3296A34A">
            <w:pPr>
              <w:keepNext w:val="0"/>
              <w:keepLines w:val="0"/>
              <w:pageBreakBefore w:val="0"/>
              <w:widowControl w:val="0"/>
              <w:kinsoku/>
              <w:wordWrap w:val="0"/>
              <w:overflowPunct/>
              <w:topLinePunct w:val="0"/>
              <w:autoSpaceDE/>
              <w:autoSpaceDN/>
              <w:bidi w:val="0"/>
              <w:adjustRightInd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2.投标文件分技术文件、商务文件。</w:t>
            </w:r>
          </w:p>
          <w:p w14:paraId="7D00F301">
            <w:pPr>
              <w:keepNext w:val="0"/>
              <w:keepLines w:val="0"/>
              <w:pageBreakBefore w:val="0"/>
              <w:widowControl w:val="0"/>
              <w:kinsoku/>
              <w:wordWrap w:val="0"/>
              <w:overflowPunct/>
              <w:topLinePunct w:val="0"/>
              <w:autoSpaceDE/>
              <w:autoSpaceDN/>
              <w:bidi w:val="0"/>
              <w:adjustRightInd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3.投标文件内容。投标人应按照招标文件的要求编写投标文件；对招标文件要求填写的表格或者资料不得缺少或者留空，投标文件不得加行。</w:t>
            </w:r>
          </w:p>
          <w:p w14:paraId="23ED3DC5">
            <w:pPr>
              <w:keepNext w:val="0"/>
              <w:keepLines w:val="0"/>
              <w:pageBreakBefore w:val="0"/>
              <w:widowControl w:val="0"/>
              <w:kinsoku/>
              <w:wordWrap w:val="0"/>
              <w:overflowPunct/>
              <w:topLinePunct w:val="0"/>
              <w:autoSpaceDE/>
              <w:autoSpaceDN/>
              <w:bidi w:val="0"/>
              <w:adjustRightInd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4.投标文件应编制目录，目录、内容标注连续页码，页码从目录编起，标注于页面底部居中位置。</w:t>
            </w:r>
          </w:p>
        </w:tc>
      </w:tr>
      <w:tr w14:paraId="382EFF84">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right w:val="single" w:color="auto" w:sz="4" w:space="0"/>
            </w:tcBorders>
            <w:noWrap w:val="0"/>
            <w:vAlign w:val="center"/>
          </w:tcPr>
          <w:p w14:paraId="53AF0FF3">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A0A34B4">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lang w:val="zh-CN"/>
              </w:rPr>
              <w:t>文件签署和盖章</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5E8752B9">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1.招标文件要求投标人法定代表人或者被授权代表签字处，均须加盖其个人电子印章，并逐页加盖单位公章的电子印章。</w:t>
            </w:r>
          </w:p>
          <w:p w14:paraId="0267CB16">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2.被授权代表人签章的，投标文件应附法人授权委托书。</w:t>
            </w:r>
          </w:p>
          <w:p w14:paraId="31D6336C">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3.投标人在投标文件以及相关书面文件中的单位盖章（包括印章、公章等）均指与投标人名称全称相一致的标准公章，不得使用其他形式（如带有“专用章”、“合同章”、“财务章”、“业务章”等）的印章。</w:t>
            </w:r>
          </w:p>
        </w:tc>
      </w:tr>
      <w:tr w14:paraId="6D6566B4">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6529BBFC">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7D3360E">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投标文件加密、上传</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39E33E62">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b/>
                <w:color w:val="auto"/>
                <w:sz w:val="24"/>
                <w:szCs w:val="24"/>
                <w:lang w:val="zh-CN"/>
              </w:rPr>
            </w:pPr>
            <w:r>
              <w:rPr>
                <w:rFonts w:hint="eastAsia" w:ascii="仿宋" w:hAnsi="仿宋" w:eastAsia="仿宋" w:cs="仿宋"/>
                <w:b w:val="0"/>
                <w:bCs/>
                <w:color w:val="auto"/>
                <w:sz w:val="24"/>
                <w:szCs w:val="24"/>
                <w:lang w:val="zh-CN"/>
              </w:rPr>
              <w:t>本项目采用不见面开标，供应商须在投标截止时间前，将生成的“电子加密投标文件”上传递交至“政府采购云平台”，投标截止时间以后上传递交的投标文件将被“政府采购云平台”拒收。备注：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003F241F">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4B99D74F">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3F45C8C">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投标人签到及电子投标文件解密</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72775803">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投标人登录政采云平台，在投标截止时间前必须完成签到，本项目解密时长为30分钟，签名时长为10分钟）开标时间后30分钟内（用“项目采购- 开标评标”功能进行解密投标文件。若投标人在规定时间内未按时签到或解密的，视为无效投标。解密与加密投标文件须为同一个CA。</w:t>
            </w:r>
          </w:p>
        </w:tc>
      </w:tr>
      <w:tr w14:paraId="100D7AA1">
        <w:tblPrEx>
          <w:tblCellMar>
            <w:top w:w="0" w:type="dxa"/>
            <w:left w:w="108" w:type="dxa"/>
            <w:bottom w:w="0" w:type="dxa"/>
            <w:right w:w="108" w:type="dxa"/>
          </w:tblCellMar>
        </w:tblPrEx>
        <w:trPr>
          <w:trHeight w:val="1532"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2FD1235C">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48E753A">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递交投标文件截止时间</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754666A2">
            <w:pPr>
              <w:spacing w:line="400" w:lineRule="exact"/>
              <w:ind w:left="360" w:hanging="360"/>
              <w:rPr>
                <w:rFonts w:hint="eastAsia" w:ascii="仿宋" w:hAnsi="仿宋" w:eastAsia="仿宋" w:cs="仿宋"/>
                <w:b w:val="0"/>
                <w:bCs/>
                <w:color w:val="auto"/>
                <w:sz w:val="24"/>
                <w:highlight w:val="none"/>
                <w:u w:val="none"/>
                <w:lang w:val="zh-CN"/>
              </w:rPr>
            </w:pPr>
            <w:r>
              <w:rPr>
                <w:rFonts w:hint="eastAsia" w:ascii="仿宋" w:hAnsi="仿宋" w:eastAsia="仿宋" w:cs="仿宋"/>
                <w:b w:val="0"/>
                <w:bCs/>
                <w:color w:val="auto"/>
                <w:sz w:val="24"/>
                <w:highlight w:val="none"/>
                <w:u w:val="none"/>
                <w:lang w:val="zh-CN" w:eastAsia="zh-CN"/>
              </w:rPr>
              <w:t>时间：2026年05月25日 上午10：30（北京时间）</w:t>
            </w:r>
          </w:p>
          <w:p w14:paraId="3B8572F6">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b w:val="0"/>
                <w:bCs/>
                <w:color w:val="auto"/>
                <w:sz w:val="24"/>
                <w:highlight w:val="none"/>
                <w:lang w:val="zh-CN"/>
              </w:rPr>
              <w:t>地点：投标人登录政采云平台https://www.zcygov.cn/，进入“项目采购-开标评标-右边选择对应项目点击“进入项目”进入开标大厅。</w:t>
            </w:r>
          </w:p>
        </w:tc>
      </w:tr>
      <w:tr w14:paraId="5320F46B">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B04B8EC">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95FE93B">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开标时间及</w:t>
            </w:r>
          </w:p>
          <w:p w14:paraId="55B52C9C">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地点</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426CFE3">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开启时间：</w:t>
            </w:r>
            <w:r>
              <w:rPr>
                <w:rFonts w:hint="eastAsia" w:ascii="仿宋" w:hAnsi="仿宋" w:eastAsia="仿宋" w:cs="仿宋"/>
                <w:b w:val="0"/>
                <w:bCs/>
                <w:color w:val="auto"/>
                <w:sz w:val="24"/>
                <w:highlight w:val="none"/>
                <w:u w:val="none"/>
                <w:lang w:val="zh-CN" w:eastAsia="zh-CN"/>
              </w:rPr>
              <w:t>2026年05月25日 上午10：30（北京时间）</w:t>
            </w:r>
          </w:p>
          <w:p w14:paraId="1F812E64">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地点：阿克苏市市民服务中心一号楼4楼（公共资源交易中心）</w:t>
            </w:r>
          </w:p>
        </w:tc>
      </w:tr>
      <w:tr w14:paraId="28505510">
        <w:tblPrEx>
          <w:tblCellMar>
            <w:top w:w="0" w:type="dxa"/>
            <w:left w:w="108" w:type="dxa"/>
            <w:bottom w:w="0" w:type="dxa"/>
            <w:right w:w="108" w:type="dxa"/>
          </w:tblCellMar>
        </w:tblPrEx>
        <w:trPr>
          <w:trHeight w:val="74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2CC3B76">
            <w:pPr>
              <w:keepNext w:val="0"/>
              <w:keepLines w:val="0"/>
              <w:pageBreakBefore w:val="0"/>
              <w:widowControl w:val="0"/>
              <w:kinsoku/>
              <w:wordWrap w:val="0"/>
              <w:overflowPunct/>
              <w:topLinePunct w:val="0"/>
              <w:autoSpaceDE/>
              <w:autoSpaceDN/>
              <w:bidi w:val="0"/>
              <w:snapToGrid/>
              <w:spacing w:line="360" w:lineRule="exact"/>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021CDC38">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专家小组的组建及评审专家的确定方式</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6295B94B">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rPr>
              <w:t>人，其中：</w:t>
            </w:r>
          </w:p>
          <w:p w14:paraId="355D92E2">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招标人代表 </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 xml:space="preserve">人，评审专家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rPr>
              <w:t xml:space="preserve"> 人。</w:t>
            </w:r>
          </w:p>
          <w:p w14:paraId="45051ACB">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zh-CN"/>
              </w:rPr>
              <w:t>评标专家确定方式：从政府采购评审专家库中随机抽取。</w:t>
            </w:r>
          </w:p>
        </w:tc>
      </w:tr>
      <w:tr w14:paraId="07257262">
        <w:tblPrEx>
          <w:tblCellMar>
            <w:top w:w="0" w:type="dxa"/>
            <w:left w:w="108" w:type="dxa"/>
            <w:bottom w:w="0" w:type="dxa"/>
            <w:right w:w="108" w:type="dxa"/>
          </w:tblCellMar>
        </w:tblPrEx>
        <w:trPr>
          <w:trHeight w:val="62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45D33ED">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ABC1E99">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评审办法</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30F9418">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最低评标价法</w:t>
            </w:r>
          </w:p>
          <w:p w14:paraId="799EE35D">
            <w:pPr>
              <w:spacing w:line="38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综合评分法</w:t>
            </w:r>
          </w:p>
          <w:p w14:paraId="425F66C5">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1"/>
                <w:sz w:val="24"/>
                <w:szCs w:val="24"/>
                <w:lang w:val="zh-CN" w:eastAsia="zh-CN"/>
              </w:rPr>
              <w:t>综合评分法，即指响应文件满足招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w:t>
            </w:r>
            <w:r>
              <w:rPr>
                <w:rFonts w:hint="eastAsia" w:ascii="仿宋" w:hAnsi="仿宋" w:eastAsia="仿宋" w:cs="仿宋"/>
                <w:color w:val="auto"/>
                <w:kern w:val="1"/>
                <w:sz w:val="24"/>
                <w:szCs w:val="24"/>
                <w:lang w:val="en-US" w:eastAsia="zh-CN"/>
              </w:rPr>
              <w:t>人。</w:t>
            </w:r>
          </w:p>
        </w:tc>
      </w:tr>
      <w:tr w14:paraId="64DE95DF">
        <w:tblPrEx>
          <w:tblCellMar>
            <w:top w:w="0" w:type="dxa"/>
            <w:left w:w="108" w:type="dxa"/>
            <w:bottom w:w="0" w:type="dxa"/>
            <w:right w:w="108"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968D653">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6D2B750">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是否授权评标委员会确定中标人</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7A923554">
            <w:pPr>
              <w:keepNext w:val="0"/>
              <w:keepLines w:val="0"/>
              <w:pageBreakBefore w:val="0"/>
              <w:widowControl w:val="0"/>
              <w:kinsoku/>
              <w:wordWrap w:val="0"/>
              <w:overflowPunct/>
              <w:topLinePunct w:val="0"/>
              <w:autoSpaceDE/>
              <w:autoSpaceDN/>
              <w:bidi w:val="0"/>
              <w:snapToGrid/>
              <w:spacing w:line="360" w:lineRule="exact"/>
              <w:ind w:left="0" w:hanging="360" w:hangingChars="1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是，</w:t>
            </w:r>
            <w:r>
              <w:rPr>
                <w:rFonts w:hint="eastAsia" w:ascii="仿宋" w:hAnsi="仿宋" w:eastAsia="仿宋" w:cs="仿宋"/>
                <w:color w:val="auto"/>
                <w:sz w:val="24"/>
                <w:szCs w:val="24"/>
                <w:lang w:val="zh-CN"/>
              </w:rPr>
              <w:t>每包确定一个成交供应商，成交结果在相关媒介发布，公告期限为1个工作日。</w:t>
            </w:r>
          </w:p>
          <w:p w14:paraId="50234ED0">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否，推荐的成交候选人数：3人</w:t>
            </w:r>
          </w:p>
        </w:tc>
      </w:tr>
      <w:tr w14:paraId="3346A298">
        <w:tblPrEx>
          <w:tblCellMar>
            <w:top w:w="0" w:type="dxa"/>
            <w:left w:w="108" w:type="dxa"/>
            <w:bottom w:w="0" w:type="dxa"/>
            <w:right w:w="108"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4EBBC1E9">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B9A1779">
            <w:pPr>
              <w:keepNext w:val="0"/>
              <w:keepLines w:val="0"/>
              <w:pageBreakBefore w:val="0"/>
              <w:widowControl w:val="0"/>
              <w:kinsoku/>
              <w:overflowPunct/>
              <w:topLinePunct w:val="0"/>
              <w:bidi w:val="0"/>
              <w:snapToGrid/>
              <w:spacing w:before="63" w:beforeLines="20" w:line="288" w:lineRule="auto"/>
              <w:ind w:left="0" w:leftChars="0" w:right="0" w:rightChars="0" w:firstLine="0" w:firstLineChars="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是否退还</w:t>
            </w:r>
            <w:r>
              <w:rPr>
                <w:rFonts w:hint="eastAsia" w:ascii="仿宋" w:hAnsi="仿宋" w:eastAsia="仿宋" w:cs="仿宋"/>
                <w:color w:val="auto"/>
                <w:sz w:val="24"/>
                <w:szCs w:val="24"/>
                <w:lang w:val="zh-CN" w:eastAsia="zh-CN"/>
              </w:rPr>
              <w:t>投标文件</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64B58C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需收回的资格、资信等证明文件中的证明材料原件（如营业执照、合同、相关资质证书等）外，其他文件概不退还。</w:t>
            </w:r>
          </w:p>
        </w:tc>
      </w:tr>
      <w:tr w14:paraId="24D6F19C">
        <w:tblPrEx>
          <w:tblCellMar>
            <w:top w:w="0" w:type="dxa"/>
            <w:left w:w="108" w:type="dxa"/>
            <w:bottom w:w="0" w:type="dxa"/>
            <w:right w:w="108"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0FB512F1">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AA9723B">
            <w:pPr>
              <w:keepNext w:val="0"/>
              <w:keepLines w:val="0"/>
              <w:pageBreakBefore w:val="0"/>
              <w:widowControl w:val="0"/>
              <w:kinsoku/>
              <w:overflowPunct/>
              <w:topLinePunct w:val="0"/>
              <w:bidi w:val="0"/>
              <w:snapToGrid/>
              <w:spacing w:before="63" w:beforeLines="20" w:line="288" w:lineRule="auto"/>
              <w:ind w:left="0" w:leftChars="0" w:right="0" w:rightChars="0" w:firstLine="0" w:firstLineChars="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sz w:val="24"/>
                <w:szCs w:val="24"/>
                <w:highlight w:val="none"/>
                <w:lang w:val="zh-CN"/>
              </w:rPr>
              <w:t>样品</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5B4EA73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不需要</w:t>
            </w:r>
          </w:p>
          <w:p w14:paraId="1312738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需要，样品要求如下：</w:t>
            </w:r>
          </w:p>
          <w:p w14:paraId="1F0BF99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1.样品：招标文件中带“※”标注的货物为投标人开标时应提供的样品。</w:t>
            </w:r>
          </w:p>
          <w:p w14:paraId="59AF769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2.样品的生产、安装、运输费、保全费等一切费用由投标人自理。</w:t>
            </w:r>
          </w:p>
          <w:p w14:paraId="28FF324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3.送样截止时间：20   年  月  日  时  分，</w:t>
            </w:r>
          </w:p>
          <w:p w14:paraId="775541E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4.送样送达地点：    。逾期送达或未送达到指定地点的拒绝接收。</w:t>
            </w:r>
          </w:p>
          <w:p w14:paraId="080FE75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5.投标人应按照采购代理机构的要求摆放样品并做好展示，样品不能有投标人的标识及品牌，样品将进行统一编号。</w:t>
            </w:r>
          </w:p>
          <w:p w14:paraId="160BF2D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6.若需要现场演示的，投标人应提前做好演示准备（包括电源线等一切辅助设备），届时因投标人自身原因未能演示的，后果自负。</w:t>
            </w:r>
          </w:p>
          <w:p w14:paraId="27FFAF2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宣布评标结果前，投标人不得将样品整理、装箱或者撤离展示区；遇到特殊情况需要对样品进行整理、装箱或者移动样品的，投标人必须书面提出申请，采购代理机构同意后方可移动样品。评标委员会已经确定投标人投标无效或者废标的，投标人签字确认后可以进行样品整理、装箱或者撤离展示区，但不得影响或者损害其他投标人的样品，否则将承担相应的法律责任。</w:t>
            </w:r>
          </w:p>
          <w:p w14:paraId="7C15661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宣布评标结果后，对于未中标人提供的样品，应当及时退还或者经未中标人同意后自行处理；对于中标人提供的样品，中标人与招标人、采购代理机构共同清点、检查和密封样品，由中标人送至招标人指定地点进行保管、封存，并作为履约验收的参考。</w:t>
            </w:r>
          </w:p>
          <w:p w14:paraId="3D88BA6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说明：投标人不按上述要求提交样品、不服从现场工作管理的，样品评分项将被扣分或按“0”分处理。</w:t>
            </w:r>
          </w:p>
        </w:tc>
      </w:tr>
      <w:tr w14:paraId="6CF3E7D6">
        <w:tblPrEx>
          <w:tblCellMar>
            <w:top w:w="0" w:type="dxa"/>
            <w:left w:w="108" w:type="dxa"/>
            <w:bottom w:w="0" w:type="dxa"/>
            <w:right w:w="108"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6EDAA2AA">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4BB623C1">
            <w:pPr>
              <w:keepNext w:val="0"/>
              <w:keepLines w:val="0"/>
              <w:pageBreakBefore w:val="0"/>
              <w:widowControl w:val="0"/>
              <w:kinsoku/>
              <w:overflowPunct/>
              <w:topLinePunct w:val="0"/>
              <w:bidi w:val="0"/>
              <w:snapToGrid/>
              <w:spacing w:before="63" w:beforeLines="20" w:line="288" w:lineRule="auto"/>
              <w:ind w:left="0" w:leftChars="0" w:right="0" w:rightChars="0" w:firstLine="0" w:firstLineChars="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中标成交结果</w:t>
            </w:r>
          </w:p>
          <w:p w14:paraId="150211D5">
            <w:pPr>
              <w:keepNext w:val="0"/>
              <w:keepLines w:val="0"/>
              <w:pageBreakBefore w:val="0"/>
              <w:widowControl w:val="0"/>
              <w:kinsoku/>
              <w:overflowPunct/>
              <w:topLinePunct w:val="0"/>
              <w:bidi w:val="0"/>
              <w:snapToGrid/>
              <w:spacing w:before="63" w:beforeLines="20" w:line="288" w:lineRule="auto"/>
              <w:ind w:left="0" w:leftChars="0" w:right="0" w:rightChars="0" w:firstLine="0" w:firstLineChars="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公告</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B31E445">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新疆政府采购网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阿克苏地区行政公署网</w:t>
            </w:r>
          </w:p>
        </w:tc>
      </w:tr>
      <w:tr w14:paraId="7A5955F7">
        <w:tblPrEx>
          <w:tblCellMar>
            <w:top w:w="0" w:type="dxa"/>
            <w:left w:w="108" w:type="dxa"/>
            <w:bottom w:w="0" w:type="dxa"/>
            <w:right w:w="108"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8DA497D">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tc>
        <w:tc>
          <w:tcPr>
            <w:tcW w:w="4672" w:type="pct"/>
            <w:gridSpan w:val="2"/>
            <w:tcBorders>
              <w:top w:val="single" w:color="auto" w:sz="4" w:space="0"/>
              <w:left w:val="single" w:color="auto" w:sz="4" w:space="0"/>
              <w:bottom w:val="single" w:color="auto" w:sz="4" w:space="0"/>
              <w:right w:val="single" w:color="auto" w:sz="4" w:space="0"/>
            </w:tcBorders>
            <w:noWrap w:val="0"/>
            <w:vAlign w:val="center"/>
          </w:tcPr>
          <w:p w14:paraId="2A99C4C9">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其他需补充的内容</w:t>
            </w:r>
          </w:p>
        </w:tc>
      </w:tr>
      <w:tr w14:paraId="40FFCAE9">
        <w:tblPrEx>
          <w:tblCellMar>
            <w:top w:w="0" w:type="dxa"/>
            <w:left w:w="108" w:type="dxa"/>
            <w:bottom w:w="0" w:type="dxa"/>
            <w:right w:w="108" w:type="dxa"/>
          </w:tblCellMar>
        </w:tblPrEx>
        <w:trPr>
          <w:trHeight w:val="104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1974B1DE">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871A92D">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vertAlign w:val="baseline"/>
                <w:lang w:val="zh-CN"/>
              </w:rPr>
              <w:t>供应商需提交的资料</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EE805DF">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w:t>
            </w:r>
            <w:r>
              <w:rPr>
                <w:rFonts w:hint="eastAsia" w:ascii="仿宋" w:hAnsi="仿宋" w:eastAsia="仿宋" w:cs="仿宋"/>
                <w:color w:val="auto"/>
                <w:kern w:val="1"/>
                <w:sz w:val="24"/>
                <w:szCs w:val="24"/>
                <w:lang w:val="zh-CN" w:eastAsia="zh-CN"/>
              </w:rPr>
              <w:t>项目实行电子招投标，投标单位不用现场投标，按规定时间上传电子投标书即可。招标结束后，如需提供纸质版投标文件，所有供应商按采购人要求提供纸质版响应文件。</w:t>
            </w:r>
          </w:p>
        </w:tc>
      </w:tr>
      <w:tr w14:paraId="48552809">
        <w:tblPrEx>
          <w:tblCellMar>
            <w:top w:w="0" w:type="dxa"/>
            <w:left w:w="108" w:type="dxa"/>
            <w:bottom w:w="0" w:type="dxa"/>
            <w:right w:w="108" w:type="dxa"/>
          </w:tblCellMar>
        </w:tblPrEx>
        <w:trPr>
          <w:trHeight w:val="104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A25DC39">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0541641C">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vertAlign w:val="baseline"/>
                <w:lang w:val="zh-CN"/>
              </w:rPr>
            </w:pPr>
            <w:r>
              <w:rPr>
                <w:rFonts w:hint="eastAsia" w:ascii="仿宋" w:hAnsi="仿宋" w:eastAsia="仿宋" w:cs="仿宋"/>
                <w:color w:val="auto"/>
                <w:sz w:val="24"/>
                <w:szCs w:val="24"/>
                <w:vertAlign w:val="baseline"/>
                <w:lang w:val="zh-CN"/>
              </w:rPr>
              <w:t>投标人电子不见面开标注意事项</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78DDED57">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本次采购活动不要求供应商到场递交响应文件，仅需在政采云平台递交已加密的电子响应文件，并注意以下事项：</w:t>
            </w:r>
          </w:p>
          <w:p w14:paraId="38A2ACBE">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本项目为电子招投标项目，投标人</w:t>
            </w:r>
            <w:r>
              <w:rPr>
                <w:rFonts w:hint="eastAsia" w:ascii="仿宋" w:hAnsi="仿宋" w:eastAsia="仿宋" w:cs="仿宋"/>
                <w:color w:val="auto"/>
                <w:sz w:val="24"/>
                <w:szCs w:val="24"/>
                <w:lang w:val="en-US" w:eastAsia="zh-CN"/>
              </w:rPr>
              <w:t>需</w:t>
            </w:r>
            <w:r>
              <w:rPr>
                <w:rFonts w:hint="eastAsia" w:ascii="仿宋" w:hAnsi="仿宋" w:eastAsia="仿宋" w:cs="仿宋"/>
                <w:color w:val="auto"/>
                <w:sz w:val="24"/>
                <w:szCs w:val="24"/>
                <w:lang w:val="zh-CN"/>
              </w:rPr>
              <w:t>使用CA加密设备，凡参加本项目投标人可通过新疆数字证书认证中心官网（https://www.xjca.com.cn/）或下载“新疆政务通”APP自行进行线上申领，如有操作性问题可与政采云在线客服进行咨询，咨询电话：9576</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w:t>
            </w:r>
          </w:p>
          <w:p w14:paraId="2D0E1ECA">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2.投标人应在开标前应确保成为新疆政府采购网正式注册入库供应商，并完成CA数字证书申领。因未注册入库、未办理CA数字证书等原因造成无法投标或投标失败等后果由投标人自行承担。</w:t>
            </w:r>
          </w:p>
          <w:p w14:paraId="225CFB25">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3.使用政采云投标客户端时，建议使用谷歌浏览器，电脑配置满足win7+64位以上操作系统（不能用mac或者linux系统）。客户端请至新疆政府采购网（www.ccgp-xinjiang.gov.cn）下载专区查看，如有问题可拨打政采云客户服务热线95763进行咨询。</w:t>
            </w:r>
          </w:p>
        </w:tc>
      </w:tr>
      <w:tr w14:paraId="1313C0A1">
        <w:tblPrEx>
          <w:tblCellMar>
            <w:top w:w="0" w:type="dxa"/>
            <w:left w:w="108" w:type="dxa"/>
            <w:bottom w:w="0" w:type="dxa"/>
            <w:right w:w="108" w:type="dxa"/>
          </w:tblCellMar>
        </w:tblPrEx>
        <w:trPr>
          <w:trHeight w:val="567" w:hRule="atLeast"/>
        </w:trPr>
        <w:tc>
          <w:tcPr>
            <w:tcW w:w="327" w:type="pct"/>
            <w:vMerge w:val="restart"/>
            <w:tcBorders>
              <w:top w:val="single" w:color="auto" w:sz="4" w:space="0"/>
              <w:left w:val="single" w:color="auto" w:sz="4" w:space="0"/>
              <w:bottom w:val="single" w:color="auto" w:sz="4" w:space="0"/>
              <w:right w:val="single" w:color="auto" w:sz="4" w:space="0"/>
            </w:tcBorders>
            <w:noWrap w:val="0"/>
            <w:vAlign w:val="center"/>
          </w:tcPr>
          <w:p w14:paraId="017A2B28">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p>
        </w:tc>
        <w:tc>
          <w:tcPr>
            <w:tcW w:w="907" w:type="pct"/>
            <w:vMerge w:val="restart"/>
            <w:tcBorders>
              <w:top w:val="single" w:color="auto" w:sz="4" w:space="0"/>
              <w:left w:val="single" w:color="auto" w:sz="4" w:space="0"/>
              <w:bottom w:val="single" w:color="auto" w:sz="4" w:space="0"/>
              <w:right w:val="single" w:color="auto" w:sz="4" w:space="0"/>
            </w:tcBorders>
            <w:noWrap w:val="0"/>
            <w:vAlign w:val="center"/>
          </w:tcPr>
          <w:p w14:paraId="12076D92">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定义</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39FB020D">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原件：</w:t>
            </w:r>
            <w:r>
              <w:rPr>
                <w:rFonts w:hint="eastAsia" w:ascii="仿宋" w:hAnsi="仿宋" w:eastAsia="仿宋" w:cs="仿宋"/>
                <w:color w:val="auto"/>
                <w:sz w:val="24"/>
                <w:szCs w:val="24"/>
              </w:rPr>
              <w:t>最初产生的区别于复制件的原始文件或文件的原本或公证处出具的文件复制件公证书。</w:t>
            </w:r>
          </w:p>
        </w:tc>
      </w:tr>
      <w:tr w14:paraId="2F04D09E">
        <w:tblPrEx>
          <w:tblCellMar>
            <w:top w:w="0" w:type="dxa"/>
            <w:left w:w="108" w:type="dxa"/>
            <w:bottom w:w="0" w:type="dxa"/>
            <w:right w:w="108" w:type="dxa"/>
          </w:tblCellMar>
        </w:tblPrEx>
        <w:trPr>
          <w:trHeight w:val="965" w:hRule="atLeast"/>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14:paraId="07E3A2C4">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p>
        </w:tc>
        <w:tc>
          <w:tcPr>
            <w:tcW w:w="907" w:type="pct"/>
            <w:vMerge w:val="continue"/>
            <w:tcBorders>
              <w:top w:val="single" w:color="auto" w:sz="4" w:space="0"/>
              <w:left w:val="single" w:color="auto" w:sz="4" w:space="0"/>
              <w:bottom w:val="single" w:color="auto" w:sz="4" w:space="0"/>
              <w:right w:val="single" w:color="auto" w:sz="4" w:space="0"/>
            </w:tcBorders>
            <w:noWrap w:val="0"/>
            <w:vAlign w:val="center"/>
          </w:tcPr>
          <w:p w14:paraId="1F685E5A">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p>
        </w:tc>
        <w:tc>
          <w:tcPr>
            <w:tcW w:w="3765" w:type="pct"/>
            <w:tcBorders>
              <w:top w:val="single" w:color="auto" w:sz="4" w:space="0"/>
              <w:left w:val="single" w:color="auto" w:sz="4" w:space="0"/>
              <w:bottom w:val="single" w:color="auto" w:sz="4" w:space="0"/>
              <w:right w:val="single" w:color="auto" w:sz="4" w:space="0"/>
            </w:tcBorders>
            <w:noWrap w:val="0"/>
            <w:vAlign w:val="center"/>
          </w:tcPr>
          <w:p w14:paraId="44055F47">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书面形式：包括文字的打印或复印件、传真、信函、电传、电报、</w:t>
            </w:r>
            <w:r>
              <w:rPr>
                <w:rFonts w:hint="eastAsia" w:ascii="仿宋" w:hAnsi="仿宋" w:eastAsia="仿宋" w:cs="仿宋"/>
                <w:color w:val="auto"/>
                <w:sz w:val="24"/>
                <w:szCs w:val="24"/>
                <w:shd w:val="clear" w:color="auto" w:fill="FFFFFF"/>
              </w:rPr>
              <w:t>电子邮件、</w:t>
            </w:r>
            <w:r>
              <w:rPr>
                <w:rFonts w:hint="eastAsia" w:ascii="仿宋" w:hAnsi="仿宋" w:eastAsia="仿宋" w:cs="仿宋"/>
                <w:color w:val="auto"/>
                <w:sz w:val="24"/>
                <w:szCs w:val="24"/>
                <w:shd w:val="clear" w:color="auto" w:fill="FFFFFF"/>
                <w:lang w:eastAsia="zh-CN"/>
              </w:rPr>
              <w:t>相关网站</w:t>
            </w:r>
            <w:r>
              <w:rPr>
                <w:rFonts w:hint="eastAsia" w:ascii="仿宋" w:hAnsi="仿宋" w:eastAsia="仿宋" w:cs="仿宋"/>
                <w:color w:val="auto"/>
                <w:sz w:val="24"/>
                <w:szCs w:val="24"/>
              </w:rPr>
              <w:t>发布的公告</w:t>
            </w:r>
            <w:r>
              <w:rPr>
                <w:rFonts w:hint="eastAsia" w:ascii="仿宋" w:hAnsi="仿宋" w:eastAsia="仿宋" w:cs="仿宋"/>
                <w:color w:val="auto"/>
                <w:sz w:val="24"/>
                <w:szCs w:val="24"/>
                <w:shd w:val="clear" w:color="auto" w:fill="FFFFFF"/>
              </w:rPr>
              <w:t>等可以有形地表现所载内容的形式。</w:t>
            </w:r>
          </w:p>
        </w:tc>
      </w:tr>
      <w:tr w14:paraId="490014E2">
        <w:tblPrEx>
          <w:tblCellMar>
            <w:top w:w="0" w:type="dxa"/>
            <w:left w:w="108" w:type="dxa"/>
            <w:bottom w:w="0" w:type="dxa"/>
            <w:right w:w="108" w:type="dxa"/>
          </w:tblCellMar>
        </w:tblPrEx>
        <w:trPr>
          <w:trHeight w:val="1375"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2FB567C6">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F594D6D">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分包和非主体、非关键性工作</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4E5ECD60">
            <w:pPr>
              <w:keepNext w:val="0"/>
              <w:keepLines w:val="0"/>
              <w:pageBreakBefore w:val="0"/>
              <w:widowControl w:val="0"/>
              <w:kinsoku/>
              <w:wordWrap w:val="0"/>
              <w:overflowPunct/>
              <w:topLinePunct w:val="0"/>
              <w:autoSpaceDE/>
              <w:autoSpaceDN/>
              <w:bidi w:val="0"/>
              <w:snapToGrid/>
              <w:spacing w:line="360" w:lineRule="exact"/>
              <w:ind w:left="0" w:hanging="360" w:hangingChars="1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不允许</w:t>
            </w:r>
          </w:p>
          <w:p w14:paraId="0BE0DEDB">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允许，</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根据采购文件载明的标的采购项目实际情况，拟在成交后将成交项目的非主体、非关键性工作交由他人完成的，应当在响应文件中载明。</w:t>
            </w:r>
          </w:p>
        </w:tc>
      </w:tr>
      <w:tr w14:paraId="6E2F942B">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04F22DC9">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93FD976">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重大违法记录</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2A38D58B">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供应商因违法经营受到刑事处罚或者责令停产停业、吊销许可证或者执照、较大数额罚款等行政处罚</w:t>
            </w:r>
          </w:p>
        </w:tc>
      </w:tr>
      <w:tr w14:paraId="28CF31C5">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78449B6">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BCA604C">
            <w:pPr>
              <w:keepNext w:val="0"/>
              <w:keepLines w:val="0"/>
              <w:pageBreakBefore w:val="0"/>
              <w:widowControl w:val="0"/>
              <w:kinsoku/>
              <w:wordWrap w:val="0"/>
              <w:overflowPunct/>
              <w:topLinePunct w:val="0"/>
              <w:autoSpaceDE/>
              <w:autoSpaceDN/>
              <w:bidi w:val="0"/>
              <w:snapToGrid/>
              <w:spacing w:line="360" w:lineRule="exact"/>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监督</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0B3780CE">
            <w:pPr>
              <w:keepNext w:val="0"/>
              <w:keepLines w:val="0"/>
              <w:pageBreakBefore w:val="0"/>
              <w:widowControl w:val="0"/>
              <w:kinsoku/>
              <w:wordWrap w:val="0"/>
              <w:overflowPunct/>
              <w:topLinePunct w:val="0"/>
              <w:autoSpaceDE/>
              <w:autoSpaceDN/>
              <w:bidi w:val="0"/>
              <w:snapToGrid/>
              <w:spacing w:line="360" w:lineRule="exact"/>
              <w:ind w:left="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本次采购活动以及相关当事人应当接受</w:t>
            </w:r>
            <w:r>
              <w:rPr>
                <w:rFonts w:hint="eastAsia" w:ascii="仿宋" w:hAnsi="仿宋" w:eastAsia="仿宋" w:cs="仿宋"/>
                <w:color w:val="auto"/>
                <w:sz w:val="24"/>
                <w:szCs w:val="24"/>
                <w:lang w:val="en-US" w:eastAsia="zh-CN"/>
              </w:rPr>
              <w:t>当地</w:t>
            </w:r>
            <w:r>
              <w:rPr>
                <w:rFonts w:hint="eastAsia" w:ascii="仿宋" w:hAnsi="仿宋" w:eastAsia="仿宋" w:cs="仿宋"/>
                <w:bCs/>
                <w:color w:val="auto"/>
                <w:sz w:val="24"/>
                <w:szCs w:val="24"/>
                <w:lang w:val="zh-CN"/>
              </w:rPr>
              <w:t>监督管理部门</w:t>
            </w:r>
            <w:r>
              <w:rPr>
                <w:rFonts w:hint="eastAsia" w:ascii="仿宋" w:hAnsi="仿宋" w:eastAsia="仿宋" w:cs="仿宋"/>
                <w:color w:val="auto"/>
                <w:sz w:val="24"/>
                <w:szCs w:val="24"/>
                <w:lang w:val="zh-CN"/>
              </w:rPr>
              <w:t>依法实施的监督。</w:t>
            </w:r>
          </w:p>
        </w:tc>
      </w:tr>
      <w:tr w14:paraId="5CBF1DC7">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63A0CC6">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E74D082">
            <w:pPr>
              <w:keepNext w:val="0"/>
              <w:keepLines w:val="0"/>
              <w:pageBreakBefore w:val="0"/>
              <w:widowControl w:val="0"/>
              <w:kinsoku/>
              <w:wordWrap w:val="0"/>
              <w:overflowPunct/>
              <w:topLinePunct w:val="0"/>
              <w:autoSpaceDE/>
              <w:autoSpaceDN/>
              <w:bidi w:val="0"/>
              <w:adjustRightInd/>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场地费</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6440503D">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r>
      <w:tr w14:paraId="51262DD3">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1628C863">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8748C54">
            <w:pPr>
              <w:keepNext w:val="0"/>
              <w:keepLines w:val="0"/>
              <w:pageBreakBefore w:val="0"/>
              <w:widowControl w:val="0"/>
              <w:kinsoku/>
              <w:wordWrap w:val="0"/>
              <w:overflowPunct/>
              <w:topLinePunct w:val="0"/>
              <w:autoSpaceDE/>
              <w:autoSpaceDN/>
              <w:bidi w:val="0"/>
              <w:adjustRightInd/>
              <w:snapToGrid/>
              <w:spacing w:line="360" w:lineRule="exact"/>
              <w:ind w:left="0"/>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中小企业扶持政策</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74373153">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根据中华人民共和国财政部、中华人民共和国工业和信息化部《政府采购促进中小企业发展管理办法》(财库〔2020〕46 号)文件的规定，属于中小企业评审优惠内容及幅度如下：在政府采购活动中，供应商提供的货物、工程或者服务符合下列情形的，享受本办法规定的中小企业扶持政策：</w:t>
            </w:r>
          </w:p>
          <w:p w14:paraId="6123F6E6">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（一）在货物采购项目中，货物由中小企业制造，即货物由中小企业生产且使用该中小企业商号或者注册商标；</w:t>
            </w:r>
          </w:p>
          <w:p w14:paraId="1CD9B88E">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（二）在工程采购项目中，工程由中小企业承建，即工程施工单位为中小企业；</w:t>
            </w:r>
          </w:p>
          <w:p w14:paraId="1FA208AA">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（三）在服务采购项目中，服务由中小企业承接，即提供服务的人员为中小企业依照《中华人民共和国劳动合同法》订立劳动合同的从业人员。</w:t>
            </w:r>
          </w:p>
          <w:p w14:paraId="00D3AF64">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在货物采购项目中，供应商提供的货物既有中小企业制造货物，也有大型企业制造货物的，不享受本办法规定的中小企业扶持政策。</w:t>
            </w:r>
          </w:p>
          <w:p w14:paraId="10FA2352">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以联合体形式参加政府采购活动，联合体各方均为中小企业的，联合体视同中小企业。其中，联合体各方均为小微企业的，联合体视同小微企业。</w:t>
            </w:r>
          </w:p>
          <w:p w14:paraId="0209234C">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本项目不专门面向中小企业。</w:t>
            </w:r>
          </w:p>
          <w:p w14:paraId="5552FA27">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所属行业：工业</w:t>
            </w:r>
          </w:p>
        </w:tc>
      </w:tr>
      <w:tr w14:paraId="5DDDCFAC">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B9A302B">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FC3D4D0">
            <w:pPr>
              <w:keepNext w:val="0"/>
              <w:keepLines w:val="0"/>
              <w:pageBreakBefore w:val="0"/>
              <w:widowControl w:val="0"/>
              <w:kinsoku/>
              <w:wordWrap w:val="0"/>
              <w:overflowPunct/>
              <w:topLinePunct w:val="0"/>
              <w:autoSpaceDE/>
              <w:autoSpaceDN/>
              <w:bidi w:val="0"/>
              <w:adjustRightInd/>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低价不正当竞争预防措施</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3D4A2C20">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根据“关于推动解决政府采购异常低价问题的通知财库〔2026〕2号</w:t>
            </w:r>
            <w:r>
              <w:rPr>
                <w:rFonts w:hint="eastAsia" w:ascii="仿宋" w:hAnsi="仿宋" w:eastAsia="仿宋" w:cs="仿宋"/>
                <w:snapToGrid w:val="0"/>
                <w:color w:val="auto"/>
                <w:spacing w:val="-85"/>
                <w:kern w:val="0"/>
                <w:sz w:val="24"/>
                <w:szCs w:val="24"/>
                <w:lang w:val="en-US" w:eastAsia="en-US" w:bidi="ar-SA"/>
              </w:rPr>
              <w:t xml:space="preserve"> </w:t>
            </w:r>
            <w:r>
              <w:rPr>
                <w:rFonts w:hint="eastAsia" w:ascii="仿宋" w:hAnsi="仿宋" w:eastAsia="仿宋" w:cs="仿宋"/>
                <w:snapToGrid w:val="0"/>
                <w:color w:val="auto"/>
                <w:spacing w:val="-3"/>
                <w:kern w:val="0"/>
                <w:sz w:val="24"/>
                <w:szCs w:val="24"/>
                <w:lang w:val="en-US" w:eastAsia="en-US" w:bidi="ar-SA"/>
              </w:rPr>
              <w:t>”强化政府采购异常低价审查规定：</w:t>
            </w:r>
          </w:p>
          <w:p w14:paraId="44C2BC49">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（一）政府采购评审中出现下列情形之一的，评审委员会应当启动异常低价投标（响应）审查程序：</w:t>
            </w:r>
          </w:p>
          <w:p w14:paraId="49E4062C">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1.投标（响应）报价低于全部通过符合性审查供应商投标（响应）报价平均值50%的，即投标（响应）报价&lt;全部通过符合性审查供应商投标（响应）报价平均值×50%；</w:t>
            </w:r>
          </w:p>
          <w:p w14:paraId="61BC8395">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2.投标（响应）报价低于通过符合性审查的次低报价供应商投标（响应）报价50%的，即投标（响应）报价&lt;通过符合性审查的次低报价供应商投标（响应）报价×50%；</w:t>
            </w:r>
          </w:p>
          <w:p w14:paraId="4EE6C262">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3.投标（响应）报价低于采购项目最高限价45%的，即投标（响应）报价&lt;采购项目最高限价×45%；</w:t>
            </w:r>
          </w:p>
          <w:p w14:paraId="49BEE45D">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4.评审委员会基于专业判断，认为供应商报价过低，有可能影响产品质量或者不能诚信履约的其他情形。</w:t>
            </w:r>
          </w:p>
          <w:p w14:paraId="26C767BA">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采购人可以结合具体项目实际情况，提高上述第1项至第3项中启动异常低价投标（响应）审查的数值标准，但是最高不得超过65%。</w:t>
            </w:r>
          </w:p>
          <w:p w14:paraId="7F2509CF">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A931B1A">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3C3F75">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F8DF32C">
            <w:pPr>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39B74CDC">
            <w:pPr>
              <w:keepNext w:val="0"/>
              <w:keepLines w:val="0"/>
              <w:pageBreakBefore w:val="0"/>
              <w:widowControl w:val="0"/>
              <w:kinsoku/>
              <w:wordWrap w:val="0"/>
              <w:overflowPunct/>
              <w:topLinePunct w:val="0"/>
              <w:autoSpaceDE/>
              <w:autoSpaceDN/>
              <w:bidi w:val="0"/>
              <w:adjustRightInd/>
              <w:snapToGrid/>
              <w:spacing w:line="360" w:lineRule="exact"/>
              <w:ind w:left="0" w:firstLine="47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bCs/>
                <w:snapToGrid w:val="0"/>
                <w:color w:val="auto"/>
                <w:spacing w:val="-3"/>
                <w:kern w:val="0"/>
                <w:sz w:val="24"/>
                <w:szCs w:val="24"/>
                <w:lang w:val="en-US" w:eastAsia="en-US" w:bidi="ar-SA"/>
              </w:rPr>
              <w:t>本通知自2026年2月1日起施行。</w:t>
            </w:r>
          </w:p>
        </w:tc>
      </w:tr>
      <w:tr w14:paraId="60161C33">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13CEF6DC">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7FE5C3EB">
            <w:pPr>
              <w:keepNext w:val="0"/>
              <w:keepLines w:val="0"/>
              <w:pageBreakBefore w:val="0"/>
              <w:widowControl w:val="0"/>
              <w:kinsoku/>
              <w:wordWrap w:val="0"/>
              <w:overflowPunct/>
              <w:topLinePunct w:val="0"/>
              <w:autoSpaceDE/>
              <w:autoSpaceDN/>
              <w:bidi w:val="0"/>
              <w:adjustRightInd/>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投标人不得存在下列情形之一</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79EBF827">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（1）与招标人存在利害关系且可能影响招标公正性； </w:t>
            </w:r>
          </w:p>
          <w:p w14:paraId="53983D0B">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（2）与本招标项目的其他投标人为同一个单位负责人； </w:t>
            </w:r>
          </w:p>
          <w:p w14:paraId="15FFD8E7">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（3）与本招标项目的其他投标人存在控股、管理关系； </w:t>
            </w:r>
          </w:p>
          <w:p w14:paraId="78BE1C5D">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（4）被依法暂停或者取消投标资格； </w:t>
            </w:r>
          </w:p>
          <w:p w14:paraId="57C676E6">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（5）被责令停产停业、暂扣或者吊销许可证、暂扣或者吊销执照；</w:t>
            </w:r>
          </w:p>
          <w:p w14:paraId="44AC7960">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（6）进入清算程序，或被宣告破产，或其他丧失履约能力的情形；</w:t>
            </w:r>
          </w:p>
          <w:p w14:paraId="2A641453">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（7）被工商行政管理机关在全国企业信用信息公示系统中列入严重 违法失信企业名单； </w:t>
            </w:r>
          </w:p>
          <w:p w14:paraId="1848E637">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（8）被最高人民法院在“信用中国”网站（www.creditchina.gov.cn）或各级信用信息共享平台中列入失信被执行人名单； </w:t>
            </w:r>
          </w:p>
          <w:p w14:paraId="3BBCBA24">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（9）在近三年内投标人或其法定代表人、拟委任的项目负责人有行贿犯罪行为的； </w:t>
            </w:r>
          </w:p>
          <w:p w14:paraId="4EC918BC">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（10）法律法规或投标人须知前附表规定的其他情形。</w:t>
            </w:r>
          </w:p>
        </w:tc>
      </w:tr>
      <w:tr w14:paraId="0EDB5ED2">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EC37D23">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975480C">
            <w:pPr>
              <w:keepNext w:val="0"/>
              <w:keepLines w:val="0"/>
              <w:pageBreakBefore w:val="0"/>
              <w:widowControl w:val="0"/>
              <w:kinsoku/>
              <w:wordWrap w:val="0"/>
              <w:overflowPunct/>
              <w:topLinePunct w:val="0"/>
              <w:autoSpaceDE/>
              <w:autoSpaceDN/>
              <w:bidi w:val="0"/>
              <w:adjustRightInd/>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其他要求</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055D764A">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1.为保证本项目质量，良好的售后服务，最低报价不作为中标的唯一依据。</w:t>
            </w:r>
          </w:p>
          <w:p w14:paraId="5B3E35A1">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2.各投标人的投标期间所产生的费用自理。无论结果如何，投标人均应自行担投标所需一切费用。</w:t>
            </w:r>
          </w:p>
          <w:p w14:paraId="082BAA0A">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3.采购人若发现中标候选人在投标过程中提供虚假证明文件，故意隐瞒不良信誉和财务状况，以及存在可能对合同正常履行造成风险的其他因素等，则按规定取消其中标资格。</w:t>
            </w:r>
          </w:p>
        </w:tc>
      </w:tr>
      <w:tr w14:paraId="416998E2">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7736CB8">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40A76F4">
            <w:pPr>
              <w:keepNext w:val="0"/>
              <w:keepLines w:val="0"/>
              <w:pageBreakBefore w:val="0"/>
              <w:widowControl w:val="0"/>
              <w:kinsoku/>
              <w:wordWrap w:val="0"/>
              <w:overflowPunct/>
              <w:topLinePunct w:val="0"/>
              <w:autoSpaceDE/>
              <w:autoSpaceDN/>
              <w:bidi w:val="0"/>
              <w:adjustRightInd/>
              <w:snapToGrid/>
              <w:spacing w:line="3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招标文件的澄清和质疑</w:t>
            </w:r>
          </w:p>
        </w:tc>
        <w:tc>
          <w:tcPr>
            <w:tcW w:w="3765" w:type="pct"/>
            <w:tcBorders>
              <w:top w:val="single" w:color="auto" w:sz="4" w:space="0"/>
              <w:left w:val="single" w:color="auto" w:sz="4" w:space="0"/>
              <w:bottom w:val="single" w:color="auto" w:sz="4" w:space="0"/>
              <w:right w:val="single" w:color="auto" w:sz="4" w:space="0"/>
            </w:tcBorders>
            <w:noWrap w:val="0"/>
            <w:vAlign w:val="center"/>
          </w:tcPr>
          <w:p w14:paraId="3525CA02">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1、综合说明</w:t>
            </w:r>
          </w:p>
          <w:p w14:paraId="7B8E6E58">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投标人对政府采购活动事项有疑问的，可以向被质疑人提出询 问，被质疑人应当及时予以答复，但答复的内容不得涉及商业秘密。</w:t>
            </w:r>
          </w:p>
          <w:p w14:paraId="61EA1786">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 括下列主要内容：被质疑人的名称、地址、电话；采购项目名称、项目编号；具体事项、请求和主张；提起质疑的投标人名称、地址及联系方式；质疑日期。质疑书的递交应当采取当面递交的形式。</w:t>
            </w:r>
          </w:p>
          <w:p w14:paraId="630E639E">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2、对招标文件的澄清和质疑</w:t>
            </w:r>
          </w:p>
          <w:p w14:paraId="32E1F1A7">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《中华人民共和国财政部令第94号--政府采购质疑和投诉办法》投标人应尽早领取招标文件，若对招标文件有疑问需要澄 清或质疑，须在供应商认为采购文件、采购过程、中标或者成交结果使自己的权益受到损害的，可以在知道或者应知其权益受到损害之日起 7个工作日内，以书面形式向采购人、采购代理机构提出质疑。</w:t>
            </w:r>
          </w:p>
          <w:p w14:paraId="030AD43F">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供应商提出质疑应当提交质疑函和必要的证明材料。质疑函应当包括下列内容：</w:t>
            </w:r>
          </w:p>
          <w:p w14:paraId="481972F4">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（一）供应商的姓名或者名称、地址、邮编、联系人及联系电话；</w:t>
            </w:r>
          </w:p>
          <w:p w14:paraId="1D64B98D">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（二）质疑项目的名称、编号；</w:t>
            </w:r>
          </w:p>
          <w:p w14:paraId="100F4728">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（三）具体、明确的质疑事项和与质疑事项相关的请求；</w:t>
            </w:r>
          </w:p>
          <w:p w14:paraId="3676A8FD">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（四）事实依据；</w:t>
            </w:r>
          </w:p>
          <w:p w14:paraId="5D97FF61">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（五）必要的法律依据；</w:t>
            </w:r>
          </w:p>
          <w:p w14:paraId="081F9F47">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（六）提出质疑的日期。</w:t>
            </w:r>
          </w:p>
          <w:p w14:paraId="7A605793">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供应商为自然人的，应当由本人签字；供应商为法人或者其他组织的，应当由法定代表人、主要负责人，或者其授权代表签字或者盖章，并加盖公章。</w:t>
            </w:r>
          </w:p>
          <w:p w14:paraId="526AE2A6">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采购文件可以要求供应商在法定质疑期内一次性提出针对同一采购程序环节的质疑。</w:t>
            </w:r>
          </w:p>
          <w:p w14:paraId="1E72BFCC">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提出质疑的供应商（以下简称质疑供应商）应当是参与所质疑项目采购活动的供应商。</w:t>
            </w:r>
          </w:p>
          <w:p w14:paraId="5CDE4E11">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潜在供应商已依法获取其可质疑的采购文件的，可以对该文件提 出质疑。对采购文件提出质疑的，应当在获取采购文件或者采购文件公告期限届满之日起 7个工作日内提出。</w:t>
            </w:r>
          </w:p>
          <w:p w14:paraId="17052C6C">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采购人、采购代理机构不得拒收质疑供应商在法定质疑期内发出的质疑函，应当在收到质疑函后 7个工作日内作出答复，并以书面形式通知质疑供应商和其他有关供应商。</w:t>
            </w:r>
          </w:p>
          <w:p w14:paraId="00507D28">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投标人应尽早领取招标文件，若对招标文件有疑问需要澄清或质疑，须在供应商认为采购文件、采购过程、中标或者成 交结果使自己的权益受到损害的，可以在知道或者应知其权益受到损害之日起 7个工作日内，以书面形式向采购人、采购代理机构提出质疑。</w:t>
            </w:r>
          </w:p>
          <w:p w14:paraId="63201CD0">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供应商提出质疑应当提交质疑函和必要的证明材料。质疑函应当包括下列内容：</w:t>
            </w:r>
          </w:p>
          <w:p w14:paraId="49054810">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澄清或质疑方的法定代表人或授权投标人（必须为法定代表人授权进行该项目投标的被授权人）以书面形式或纸质版加盖公章PDF版文件发送邮箱：1552665908@qq.com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5FA0A43D">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人在收到质疑函后7个工作日内根据澄清或质疑函的具体内容相应作出答复或不予答复，答复内容不得涉及商业秘密。作出答复的将以书面形式或纸质版加盖公章PDF版文件发送至提出澄清或质疑的投标人和其他有关投标人邮箱中，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14:paraId="45686FF8">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3、对招标过程和拟中标结果的质疑供应商对评审过程、中标或者成交结果提出质疑的，采购人、采 购代理机构可以组织原评标委员会、竞争性谈判小组、询价小组或者竞争性磋商小组协助答复质疑。 质疑答复应当包括下列内容：</w:t>
            </w:r>
          </w:p>
          <w:p w14:paraId="2B962EC8">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（一）质疑供应商的姓名或者名称；</w:t>
            </w:r>
          </w:p>
          <w:p w14:paraId="59DDBB6D">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（二）收到质疑函的日期、质疑项目名称及编号；</w:t>
            </w:r>
          </w:p>
          <w:p w14:paraId="420FE892">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（三）质疑事项、质疑答复的具体内容、事实依据和法律依据；</w:t>
            </w:r>
          </w:p>
          <w:p w14:paraId="7FC99C2F">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（四）告知质疑供应商依法投诉的权利；</w:t>
            </w:r>
          </w:p>
          <w:p w14:paraId="50FA6676">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（五）质疑答复人名称；</w:t>
            </w:r>
          </w:p>
          <w:p w14:paraId="725BB787">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（六）答复质疑的日期。</w:t>
            </w:r>
          </w:p>
          <w:p w14:paraId="03217086">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质疑答复的内容不得涉及商业秘密。</w:t>
            </w:r>
          </w:p>
          <w:p w14:paraId="1C24AF0A">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采购人、采购代理机构认为供应商质疑不成立，或者成立但未对 中标、成交结果构成影响的，继续开展采购活动；</w:t>
            </w:r>
          </w:p>
          <w:p w14:paraId="02172001">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认为供应商质疑成立且影响或者可能影响中标、成交结果的，按照下列情况处理：</w:t>
            </w:r>
          </w:p>
          <w:p w14:paraId="08DF1BF7">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对采购文件提出的质疑，依法通过澄清或者修改可以继续开展采购活动的，澄清或者修改采购文件后继续开展采购活动；否则应当修改采购文件后重新开展采购活动。</w:t>
            </w:r>
          </w:p>
          <w:p w14:paraId="718CA674">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18DA6310">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质疑答复导致中标、成交结果改变的，采购人或者采购代理机构应当将有关情况书面报告本级财政部门。</w:t>
            </w:r>
          </w:p>
          <w:p w14:paraId="54DF4C72">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投标人认为招标过程和拟中标结果使自己的权益受到损害的，可以在投标人于新疆政府采购网发布拟中标结果之日起 7个工作日内，由质疑方的法定代表人或授权投标人以书面形式或纸质版加盖公章 PDF 版文件发送邮箱：1552665908@qq.com向投标人递交质疑函（原件），并登记备案。质疑函须有法定代表人亲笔签字，除应说明需要质疑的内容外，还应提供能够证明质疑内容的相关书面证据。质疑函应内容真实，证据充分，不得进行恶意质疑。由法定代表人递交质疑函时， 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5A18B5BD">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人应在受理投标人的书面质疑后，根据质疑函的具体内容及时向递交质疑函的投标人作出答复或不予答复，答复内容不得涉及商业秘密。作出答复的以书面形式或纸质版加盖公章PDF版文件发送至提出澄清或质疑的投标人和其他有关投标人邮箱中。递交质疑的投标人和其他有关投标人在被告知、收到上述公告、通知或答疑书后，应立即向招标人回函确认。未确认情况应当视为对质疑答复的知晓，也将视为对质疑答复内容接受的默认。</w:t>
            </w:r>
          </w:p>
          <w:p w14:paraId="59783B13">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中华人民共和国政府采购法》、财政部《政府采购质疑和投诉办法》（财政部令第94号）文件以及相关的法律、法规及规定，质疑人对招标人、采购代理机构的答复不满意或者招标人、采购代理机构未在规定的时间内做出答复的，可以在答复期满后15个工作日内向同级监管部门投诉。</w:t>
            </w:r>
          </w:p>
          <w:p w14:paraId="58A418A4">
            <w:pPr>
              <w:widowControl w:val="0"/>
              <w:kinsoku/>
              <w:autoSpaceDE/>
              <w:autoSpaceDN/>
              <w:adjustRightInd/>
              <w:snapToGrid/>
              <w:spacing w:line="240" w:lineRule="auto"/>
              <w:jc w:val="both"/>
              <w:textAlignment w:val="auto"/>
              <w:rPr>
                <w:rFonts w:hint="eastAsia" w:ascii="仿宋" w:hAnsi="仿宋" w:eastAsia="仿宋" w:cs="仿宋"/>
                <w:b w:val="0"/>
                <w:bCs w:val="0"/>
                <w:snapToGrid/>
                <w:kern w:val="2"/>
                <w:sz w:val="24"/>
                <w:szCs w:val="24"/>
                <w:lang w:val="en-US" w:eastAsia="zh-CN" w:bidi="ar-SA"/>
              </w:rPr>
            </w:pPr>
            <w:r>
              <w:rPr>
                <w:rFonts w:hint="eastAsia" w:ascii="仿宋" w:hAnsi="仿宋" w:eastAsia="仿宋" w:cs="仿宋"/>
                <w:b/>
                <w:bCs/>
                <w:snapToGrid/>
                <w:kern w:val="2"/>
                <w:sz w:val="24"/>
                <w:szCs w:val="24"/>
                <w:lang w:val="en-US" w:eastAsia="zh-CN" w:bidi="ar-SA"/>
              </w:rPr>
              <w:t>3.关于恶意投诉的相关法规及处理提示：</w:t>
            </w:r>
            <w:r>
              <w:rPr>
                <w:rFonts w:hint="eastAsia" w:ascii="仿宋" w:hAnsi="仿宋" w:eastAsia="仿宋" w:cs="仿宋"/>
                <w:b w:val="0"/>
                <w:bCs w:val="0"/>
                <w:snapToGrid/>
                <w:kern w:val="2"/>
                <w:sz w:val="24"/>
                <w:szCs w:val="24"/>
                <w:lang w:val="en-US" w:eastAsia="zh-CN" w:bidi="ar-SA"/>
              </w:rPr>
              <w:t>为规范政府采购活动秩序，防范恶意投诉行为，保障采购活动合法有序推进，结合政府采购相关法律法规及政策要求，就恶意投诉的界定、相关法规依据及处理方式明确如下，供贵公司知悉：</w:t>
            </w:r>
          </w:p>
          <w:p w14:paraId="63A592AA">
            <w:pPr>
              <w:widowControl w:val="0"/>
              <w:kinsoku/>
              <w:autoSpaceDE/>
              <w:autoSpaceDN/>
              <w:adjustRightInd/>
              <w:snapToGrid/>
              <w:spacing w:line="240" w:lineRule="auto"/>
              <w:ind w:firstLine="480" w:firstLineChars="200"/>
              <w:jc w:val="both"/>
              <w:textAlignment w:val="auto"/>
              <w:rPr>
                <w:rFonts w:hint="eastAsia" w:ascii="仿宋" w:hAnsi="仿宋" w:eastAsia="仿宋" w:cs="仿宋"/>
                <w:b w:val="0"/>
                <w:bCs w:val="0"/>
                <w:snapToGrid/>
                <w:kern w:val="2"/>
                <w:sz w:val="24"/>
                <w:szCs w:val="24"/>
                <w:lang w:val="en-US" w:eastAsia="zh-CN" w:bidi="ar-SA"/>
              </w:rPr>
            </w:pPr>
            <w:r>
              <w:rPr>
                <w:rFonts w:hint="eastAsia" w:ascii="仿宋" w:hAnsi="仿宋" w:eastAsia="仿宋" w:cs="仿宋"/>
                <w:b w:val="0"/>
                <w:bCs w:val="0"/>
                <w:snapToGrid/>
                <w:kern w:val="2"/>
                <w:sz w:val="24"/>
                <w:szCs w:val="24"/>
                <w:lang w:val="en-US" w:eastAsia="zh-CN" w:bidi="ar-SA"/>
              </w:rPr>
              <w:t>（一）恶意投诉的界定，恶意投诉是供应商出于不正当目的，利用政府采购质疑、投诉制度，故意捏造事实、歪曲真相、提供虚假材料，或滥用投诉权利，意图损害其他供应商合法权益、干扰政府采购市场活动、拖延采购进程的行为，本质是诉权的滥用。其核心特征包括：主观上具有恶意（以阻碍采购、诋毁对手、谋取不正当利益为目的）；客观上存在虚构事实、提供虚假材料、反复投诉等违法行为；造成采购周期延长、财政资金损失或供应商商誉受损等损害后果。常见表现形式包括虚构事实投诉、滥用程序反复投诉、以投诉相威胁勒索、委托陪标人投诉等。（二）核心法规依据1. 《政府采购质疑和投诉办法》（财政部令第94号）第三十七条第二款明确规定：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p>
          <w:p w14:paraId="00D2605E">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b w:val="0"/>
                <w:bCs w:val="0"/>
                <w:snapToGrid/>
                <w:kern w:val="2"/>
                <w:sz w:val="24"/>
                <w:szCs w:val="24"/>
                <w:lang w:val="en-US" w:eastAsia="zh-CN" w:bidi="ar-SA"/>
              </w:rPr>
            </w:pPr>
            <w:r>
              <w:rPr>
                <w:rFonts w:hint="eastAsia" w:ascii="仿宋" w:hAnsi="仿宋" w:eastAsia="仿宋" w:cs="仿宋"/>
                <w:b w:val="0"/>
                <w:bCs w:val="0"/>
                <w:snapToGrid/>
                <w:kern w:val="2"/>
                <w:sz w:val="24"/>
                <w:szCs w:val="24"/>
                <w:lang w:val="en-US" w:eastAsia="zh-CN" w:bidi="ar-SA"/>
              </w:rPr>
              <w:t>2. 《中华人民共和国政府采购法实施条例》第七十三条规定，供应商捏造事实、提供虚假材料或者以非法手段取得证明材料进行投诉的，由财政部门列入不良行为记录名单，在1至3年内禁止其参加政府采购活动。</w:t>
            </w:r>
          </w:p>
          <w:p w14:paraId="6CC0E504">
            <w:pPr>
              <w:keepNext w:val="0"/>
              <w:keepLines w:val="0"/>
              <w:widowControl/>
              <w:suppressLineNumbers w:val="0"/>
              <w:kinsoku/>
              <w:autoSpaceDE/>
              <w:autoSpaceDN/>
              <w:adjustRightInd/>
              <w:snapToGrid/>
              <w:spacing w:line="240" w:lineRule="auto"/>
              <w:jc w:val="left"/>
              <w:textAlignment w:val="auto"/>
              <w:rPr>
                <w:rFonts w:hint="eastAsia"/>
                <w:lang w:val="en-US" w:eastAsia="zh-CN"/>
              </w:rPr>
            </w:pPr>
            <w:r>
              <w:rPr>
                <w:rFonts w:hint="eastAsia" w:ascii="仿宋" w:hAnsi="仿宋" w:eastAsia="仿宋" w:cs="仿宋"/>
                <w:b w:val="0"/>
                <w:bCs w:val="0"/>
                <w:snapToGrid/>
                <w:kern w:val="2"/>
                <w:sz w:val="24"/>
                <w:szCs w:val="24"/>
                <w:lang w:val="en-US" w:eastAsia="zh-CN" w:bidi="ar-SA"/>
              </w:rPr>
              <w:t>3. 其他相关政策：《深化政府采购制度改革方案》《政府采购领域“整顿市场秩序、建设法规体系、促进产业发展”三年行动方案（2024—2026年）》明确要求健全恶意投诉治理机制，打击恶意投诉行为，规范政府采购市场秩序。</w:t>
            </w:r>
          </w:p>
          <w:p w14:paraId="39C367B6">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4、其他</w:t>
            </w:r>
          </w:p>
          <w:p w14:paraId="1B7507EE">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澄清或质疑函递交地点：阿克苏解放南路辅路阿克苏投资建设集团有限公司3楼</w:t>
            </w:r>
          </w:p>
          <w:p w14:paraId="41E25704">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 系 人：潘晶晶、肖瑶 </w:t>
            </w:r>
          </w:p>
          <w:p w14:paraId="5D416328">
            <w:pPr>
              <w:keepNext w:val="0"/>
              <w:keepLines w:val="0"/>
              <w:pageBreakBefore w:val="0"/>
              <w:widowControl w:val="0"/>
              <w:kinsoku/>
              <w:wordWrap w:val="0"/>
              <w:overflowPunct/>
              <w:topLinePunct w:val="0"/>
              <w:autoSpaceDE/>
              <w:autoSpaceDN/>
              <w:bidi w:val="0"/>
              <w:adjustRightInd/>
              <w:snapToGrid/>
              <w:spacing w:line="360" w:lineRule="exact"/>
              <w:ind w:lef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话：16699006615、18997878000</w:t>
            </w:r>
          </w:p>
        </w:tc>
      </w:tr>
      <w:tr w14:paraId="5A01CC59">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2F1ED278">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0F81741">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6"/>
                <w:sz w:val="24"/>
                <w:szCs w:val="24"/>
              </w:rPr>
              <w:t>合同履约</w:t>
            </w:r>
          </w:p>
        </w:tc>
        <w:tc>
          <w:tcPr>
            <w:tcW w:w="3765" w:type="pct"/>
            <w:tcBorders>
              <w:top w:val="single" w:color="auto" w:sz="4" w:space="0"/>
              <w:left w:val="single" w:color="auto" w:sz="4" w:space="0"/>
              <w:bottom w:val="single" w:color="auto" w:sz="4" w:space="0"/>
              <w:right w:val="single" w:color="auto" w:sz="4" w:space="0"/>
            </w:tcBorders>
            <w:noWrap w:val="0"/>
            <w:vAlign w:val="top"/>
          </w:tcPr>
          <w:p w14:paraId="2B5A3EC6">
            <w:pPr>
              <w:pStyle w:val="24"/>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1．采购人与中标、成交供应商应当在中标、成交通知</w:t>
            </w:r>
            <w:r>
              <w:rPr>
                <w:rFonts w:hint="eastAsia" w:ascii="仿宋" w:hAnsi="仿宋" w:eastAsia="仿宋" w:cs="仿宋"/>
                <w:color w:val="auto"/>
                <w:sz w:val="24"/>
                <w:szCs w:val="24"/>
              </w:rPr>
              <w:t>书发出之日起三十日内，按照采购文件确定的事项签</w:t>
            </w:r>
            <w:r>
              <w:rPr>
                <w:rFonts w:hint="eastAsia" w:ascii="仿宋" w:hAnsi="仿宋" w:eastAsia="仿宋" w:cs="仿宋"/>
                <w:color w:val="auto"/>
                <w:spacing w:val="-7"/>
                <w:sz w:val="24"/>
                <w:szCs w:val="24"/>
              </w:rPr>
              <w:t>订政府采购合同。中标、成交通知书对采购人和中标、</w:t>
            </w:r>
            <w:r>
              <w:rPr>
                <w:rFonts w:hint="eastAsia" w:ascii="仿宋" w:hAnsi="仿宋" w:eastAsia="仿宋" w:cs="仿宋"/>
                <w:color w:val="auto"/>
                <w:sz w:val="24"/>
                <w:szCs w:val="24"/>
              </w:rPr>
              <w:t>成交供应商均具有法律效力。中标、成交通知书发出后，采购人改变中标、成交结果的，或者中标、成交供应商放弃中标、成交项目的，应当依法承担法律责</w:t>
            </w:r>
            <w:r>
              <w:rPr>
                <w:rFonts w:hint="eastAsia" w:ascii="仿宋" w:hAnsi="仿宋" w:eastAsia="仿宋" w:cs="仿宋"/>
                <w:color w:val="auto"/>
                <w:spacing w:val="-8"/>
                <w:sz w:val="24"/>
                <w:szCs w:val="24"/>
              </w:rPr>
              <w:t>任。</w:t>
            </w:r>
          </w:p>
          <w:p w14:paraId="7DC3CB2D">
            <w:pPr>
              <w:pStyle w:val="24"/>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rPr>
              <w:t>法律依据：《政府采购法》第46条，如不按时签订</w:t>
            </w:r>
            <w:r>
              <w:rPr>
                <w:rFonts w:hint="eastAsia" w:ascii="仿宋" w:hAnsi="仿宋" w:eastAsia="仿宋" w:cs="仿宋"/>
                <w:b/>
                <w:bCs/>
                <w:color w:val="auto"/>
                <w:spacing w:val="-3"/>
                <w:sz w:val="24"/>
                <w:szCs w:val="24"/>
              </w:rPr>
              <w:t>视为拒绝和采购人签订合同，如属于无正当理由的，按《中华人民共和国政府采购法》相关条款进行行政处罚，给采购人造成损失的，将依法追究其责任。</w:t>
            </w:r>
          </w:p>
          <w:p w14:paraId="7FCA7BA8">
            <w:pPr>
              <w:pStyle w:val="24"/>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2．中标或者成交供应商拒绝与采购人签订合同的，采</w:t>
            </w:r>
            <w:r>
              <w:rPr>
                <w:rFonts w:hint="eastAsia" w:ascii="仿宋" w:hAnsi="仿宋" w:eastAsia="仿宋" w:cs="仿宋"/>
                <w:color w:val="auto"/>
                <w:sz w:val="24"/>
                <w:szCs w:val="24"/>
              </w:rPr>
              <w:t>购人可以按照评审报告推荐的中标或者成交候选人名</w:t>
            </w:r>
            <w:r>
              <w:rPr>
                <w:rFonts w:hint="eastAsia" w:ascii="仿宋" w:hAnsi="仿宋" w:eastAsia="仿宋" w:cs="仿宋"/>
                <w:color w:val="auto"/>
                <w:spacing w:val="-2"/>
                <w:sz w:val="24"/>
                <w:szCs w:val="24"/>
              </w:rPr>
              <w:t>单排序，</w:t>
            </w:r>
            <w:r>
              <w:rPr>
                <w:rFonts w:hint="eastAsia" w:ascii="仿宋" w:hAnsi="仿宋" w:eastAsia="仿宋" w:cs="仿宋"/>
                <w:b/>
                <w:bCs/>
                <w:color w:val="auto"/>
                <w:spacing w:val="-2"/>
                <w:sz w:val="24"/>
                <w:szCs w:val="24"/>
              </w:rPr>
              <w:t>确定下一候选人为中标或者成交供应商</w:t>
            </w:r>
            <w:r>
              <w:rPr>
                <w:rFonts w:hint="eastAsia" w:ascii="仿宋" w:hAnsi="仿宋" w:eastAsia="仿宋" w:cs="仿宋"/>
                <w:color w:val="auto"/>
                <w:spacing w:val="-2"/>
                <w:sz w:val="24"/>
                <w:szCs w:val="24"/>
              </w:rPr>
              <w:t>，也可以重新开展政府采购活动。</w:t>
            </w:r>
          </w:p>
          <w:p w14:paraId="52DC48E9">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pacing w:val="-4"/>
                <w:sz w:val="24"/>
                <w:szCs w:val="24"/>
              </w:rPr>
              <w:t>法律依据：《政府采购法实施条例》第</w:t>
            </w:r>
            <w:r>
              <w:rPr>
                <w:rFonts w:hint="eastAsia" w:ascii="仿宋" w:hAnsi="仿宋" w:eastAsia="仿宋" w:cs="仿宋"/>
                <w:color w:val="auto"/>
                <w:spacing w:val="-39"/>
                <w:sz w:val="24"/>
                <w:szCs w:val="24"/>
              </w:rPr>
              <w:t xml:space="preserve"> </w:t>
            </w:r>
            <w:r>
              <w:rPr>
                <w:rFonts w:hint="eastAsia" w:ascii="仿宋" w:hAnsi="仿宋" w:eastAsia="仿宋" w:cs="仿宋"/>
                <w:b/>
                <w:bCs/>
                <w:color w:val="auto"/>
                <w:spacing w:val="-4"/>
                <w:sz w:val="24"/>
                <w:szCs w:val="24"/>
              </w:rPr>
              <w:t>49</w:t>
            </w:r>
            <w:r>
              <w:rPr>
                <w:rFonts w:hint="eastAsia" w:ascii="仿宋" w:hAnsi="仿宋" w:eastAsia="仿宋" w:cs="仿宋"/>
                <w:color w:val="auto"/>
                <w:spacing w:val="-41"/>
                <w:sz w:val="24"/>
                <w:szCs w:val="24"/>
              </w:rPr>
              <w:t xml:space="preserve"> </w:t>
            </w:r>
            <w:r>
              <w:rPr>
                <w:rFonts w:hint="eastAsia" w:ascii="仿宋" w:hAnsi="仿宋" w:eastAsia="仿宋" w:cs="仿宋"/>
                <w:b/>
                <w:bCs/>
                <w:color w:val="auto"/>
                <w:spacing w:val="-4"/>
                <w:sz w:val="24"/>
                <w:szCs w:val="24"/>
              </w:rPr>
              <w:t>条</w:t>
            </w:r>
          </w:p>
        </w:tc>
      </w:tr>
      <w:tr w14:paraId="07759DB6">
        <w:tblPrEx>
          <w:tblCellMar>
            <w:top w:w="0" w:type="dxa"/>
            <w:left w:w="108" w:type="dxa"/>
            <w:bottom w:w="0" w:type="dxa"/>
            <w:right w:w="108" w:type="dxa"/>
          </w:tblCellMar>
        </w:tblPrEx>
        <w:trPr>
          <w:trHeight w:val="0"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6DE32C2">
            <w:pPr>
              <w:keepNext w:val="0"/>
              <w:keepLines w:val="0"/>
              <w:pageBreakBefore w:val="0"/>
              <w:widowControl w:val="0"/>
              <w:numPr>
                <w:ilvl w:val="0"/>
                <w:numId w:val="0"/>
              </w:numPr>
              <w:kinsoku/>
              <w:wordWrap w:val="0"/>
              <w:overflowPunct/>
              <w:topLinePunct w:val="0"/>
              <w:autoSpaceDE/>
              <w:autoSpaceDN/>
              <w:bidi w:val="0"/>
              <w:spacing w:line="360" w:lineRule="exact"/>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39998ED">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节能、环保政府采购政策</w:t>
            </w:r>
          </w:p>
        </w:tc>
        <w:tc>
          <w:tcPr>
            <w:tcW w:w="3765" w:type="pct"/>
            <w:tcBorders>
              <w:top w:val="single" w:color="auto" w:sz="4" w:space="0"/>
              <w:left w:val="single" w:color="auto" w:sz="4" w:space="0"/>
              <w:bottom w:val="single" w:color="auto" w:sz="4" w:space="0"/>
              <w:right w:val="single" w:color="auto" w:sz="4" w:space="0"/>
            </w:tcBorders>
            <w:noWrap w:val="0"/>
            <w:vAlign w:val="top"/>
          </w:tcPr>
          <w:p w14:paraId="344D9EB7">
            <w:pPr>
              <w:pStyle w:val="24"/>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严格执行《财政部发展改革委生态环境部市场</w:t>
            </w:r>
            <w:r>
              <w:rPr>
                <w:rFonts w:hint="eastAsia" w:ascii="仿宋" w:hAnsi="仿宋" w:eastAsia="仿宋" w:cs="仿宋"/>
                <w:color w:val="auto"/>
                <w:spacing w:val="-1"/>
                <w:sz w:val="24"/>
                <w:szCs w:val="24"/>
              </w:rPr>
              <w:t>监管总</w:t>
            </w:r>
            <w:r>
              <w:rPr>
                <w:rFonts w:hint="eastAsia" w:ascii="仿宋" w:hAnsi="仿宋" w:eastAsia="仿宋" w:cs="仿宋"/>
                <w:color w:val="auto"/>
                <w:sz w:val="24"/>
                <w:szCs w:val="24"/>
              </w:rPr>
              <w:t>局关于调整优化节能产品、环境标志产品政府采购执</w:t>
            </w:r>
            <w:r>
              <w:rPr>
                <w:rFonts w:hint="eastAsia" w:ascii="仿宋" w:hAnsi="仿宋" w:eastAsia="仿宋" w:cs="仿宋"/>
                <w:color w:val="auto"/>
                <w:spacing w:val="-1"/>
                <w:sz w:val="24"/>
                <w:szCs w:val="24"/>
              </w:rPr>
              <w:t>行机制的通知》</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1"/>
                <w:sz w:val="24"/>
                <w:szCs w:val="24"/>
              </w:rPr>
              <w:t>(财库〔2019〕9</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1"/>
                <w:sz w:val="24"/>
                <w:szCs w:val="24"/>
              </w:rPr>
              <w:t>号)、关于印发节能</w:t>
            </w:r>
            <w:r>
              <w:rPr>
                <w:rFonts w:hint="eastAsia" w:ascii="仿宋" w:hAnsi="仿宋" w:eastAsia="仿宋" w:cs="仿宋"/>
                <w:color w:val="auto"/>
                <w:spacing w:val="-3"/>
                <w:sz w:val="24"/>
                <w:szCs w:val="24"/>
              </w:rPr>
              <w:t>产品政府采购品目清单的通知(财库〔2019〕19</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3"/>
                <w:sz w:val="24"/>
                <w:szCs w:val="24"/>
              </w:rPr>
              <w:t>号)、</w:t>
            </w:r>
            <w:r>
              <w:rPr>
                <w:rFonts w:hint="eastAsia" w:ascii="仿宋" w:hAnsi="仿宋" w:eastAsia="仿宋" w:cs="仿宋"/>
                <w:color w:val="auto"/>
                <w:spacing w:val="5"/>
                <w:sz w:val="24"/>
                <w:szCs w:val="24"/>
              </w:rPr>
              <w:t>关于印发环境标志产品政府采购品目清单的通知(财</w:t>
            </w:r>
            <w:r>
              <w:rPr>
                <w:rFonts w:hint="eastAsia" w:ascii="仿宋" w:hAnsi="仿宋" w:eastAsia="仿宋" w:cs="仿宋"/>
                <w:color w:val="auto"/>
                <w:spacing w:val="1"/>
                <w:sz w:val="24"/>
                <w:szCs w:val="24"/>
              </w:rPr>
              <w:t>库〔2019〕18</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1"/>
                <w:sz w:val="24"/>
                <w:szCs w:val="24"/>
              </w:rPr>
              <w:t>号)、市场监管总局关于发布参与实施</w:t>
            </w:r>
            <w:r>
              <w:rPr>
                <w:rFonts w:hint="eastAsia" w:ascii="仿宋" w:hAnsi="仿宋" w:eastAsia="仿宋" w:cs="仿宋"/>
                <w:color w:val="auto"/>
                <w:sz w:val="24"/>
                <w:szCs w:val="24"/>
              </w:rPr>
              <w:t>政府采购节能产品、环境标志产品认证机构名录的公</w:t>
            </w:r>
            <w:r>
              <w:rPr>
                <w:rFonts w:hint="eastAsia" w:ascii="仿宋" w:hAnsi="仿宋" w:eastAsia="仿宋" w:cs="仿宋"/>
                <w:color w:val="auto"/>
                <w:spacing w:val="-2"/>
                <w:sz w:val="24"/>
                <w:szCs w:val="24"/>
              </w:rPr>
              <w:t>告(2019</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年第16</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2"/>
                <w:sz w:val="24"/>
                <w:szCs w:val="24"/>
              </w:rPr>
              <w:t>号),</w:t>
            </w:r>
            <w:r>
              <w:rPr>
                <w:rFonts w:hint="eastAsia" w:ascii="仿宋" w:hAnsi="仿宋" w:eastAsia="仿宋" w:cs="仿宋"/>
                <w:b/>
                <w:bCs/>
                <w:color w:val="auto"/>
                <w:spacing w:val="-2"/>
                <w:sz w:val="24"/>
                <w:szCs w:val="24"/>
              </w:rPr>
              <w:t>本次采购产品类别属于政府强制</w:t>
            </w:r>
            <w:r>
              <w:rPr>
                <w:rFonts w:hint="eastAsia" w:ascii="仿宋" w:hAnsi="仿宋" w:eastAsia="仿宋" w:cs="仿宋"/>
                <w:b/>
                <w:bCs/>
                <w:color w:val="auto"/>
                <w:spacing w:val="-3"/>
                <w:sz w:val="24"/>
                <w:szCs w:val="24"/>
              </w:rPr>
              <w:t>采购产品类别的，应当按照要求提供依据国家确定的认证机构出具的、处于有效期之内的节能产品或环境</w:t>
            </w:r>
            <w:r>
              <w:rPr>
                <w:rFonts w:hint="eastAsia" w:ascii="仿宋" w:hAnsi="仿宋" w:eastAsia="仿宋" w:cs="仿宋"/>
                <w:b/>
                <w:bCs/>
                <w:color w:val="auto"/>
                <w:spacing w:val="-2"/>
                <w:sz w:val="24"/>
                <w:szCs w:val="24"/>
              </w:rPr>
              <w:t>标志产品认证证书，否则响应文件无效</w:t>
            </w:r>
            <w:r>
              <w:rPr>
                <w:rFonts w:hint="eastAsia" w:ascii="仿宋" w:hAnsi="仿宋" w:eastAsia="仿宋" w:cs="仿宋"/>
                <w:color w:val="auto"/>
                <w:spacing w:val="-2"/>
                <w:sz w:val="24"/>
                <w:szCs w:val="24"/>
              </w:rPr>
              <w:t>；属于政府优</w:t>
            </w:r>
            <w:r>
              <w:rPr>
                <w:rFonts w:hint="eastAsia" w:ascii="仿宋" w:hAnsi="仿宋" w:eastAsia="仿宋" w:cs="仿宋"/>
                <w:color w:val="auto"/>
                <w:sz w:val="24"/>
                <w:szCs w:val="24"/>
              </w:rPr>
              <w:t>先采购产品类别的，应当按照要求提供依据国家确定的认证机构出具的、处于有效期之内的节能产品或环</w:t>
            </w:r>
            <w:r>
              <w:rPr>
                <w:rFonts w:hint="eastAsia" w:ascii="仿宋" w:hAnsi="仿宋" w:eastAsia="仿宋" w:cs="仿宋"/>
                <w:color w:val="auto"/>
                <w:spacing w:val="-1"/>
                <w:sz w:val="24"/>
                <w:szCs w:val="24"/>
              </w:rPr>
              <w:t>境标志产品认证证书，否则不予认定。</w:t>
            </w:r>
          </w:p>
          <w:p w14:paraId="4C414871">
            <w:pPr>
              <w:pStyle w:val="24"/>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政府采购政策支持</w:t>
            </w:r>
          </w:p>
          <w:p w14:paraId="2596015B">
            <w:pPr>
              <w:pStyle w:val="24"/>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6"/>
                <w:sz w:val="24"/>
                <w:szCs w:val="24"/>
              </w:rPr>
              <w:t>产品符合政府采购强制采购政策的，实行强制采</w:t>
            </w:r>
            <w:r>
              <w:rPr>
                <w:rFonts w:hint="eastAsia" w:ascii="仿宋" w:hAnsi="仿宋" w:eastAsia="仿宋" w:cs="仿宋"/>
                <w:color w:val="auto"/>
                <w:spacing w:val="-7"/>
                <w:sz w:val="24"/>
                <w:szCs w:val="24"/>
              </w:rPr>
              <w:t>购；</w:t>
            </w:r>
            <w:r>
              <w:rPr>
                <w:rFonts w:hint="eastAsia" w:ascii="仿宋" w:hAnsi="仿宋" w:eastAsia="仿宋" w:cs="仿宋"/>
                <w:color w:val="auto"/>
                <w:spacing w:val="1"/>
                <w:sz w:val="24"/>
                <w:szCs w:val="24"/>
              </w:rPr>
              <w:t>符合政府采购优先采购政策的，产品享受节能产品、</w:t>
            </w:r>
            <w:r>
              <w:rPr>
                <w:rFonts w:hint="eastAsia" w:ascii="仿宋" w:hAnsi="仿宋" w:eastAsia="仿宋" w:cs="仿宋"/>
                <w:color w:val="auto"/>
                <w:spacing w:val="-1"/>
                <w:sz w:val="24"/>
                <w:szCs w:val="24"/>
              </w:rPr>
              <w:t>环境标志产品优惠(由供应商在报价文件中选择并填报，评审时进行价格优惠);供应商享受支持中小企业发展政策优惠的，可以与同时享受节能产品、环境标志产品产品优惠累加优惠。财政部门关于政府采购强</w:t>
            </w:r>
            <w:r>
              <w:rPr>
                <w:rFonts w:hint="eastAsia" w:ascii="仿宋" w:hAnsi="仿宋" w:eastAsia="仿宋" w:cs="仿宋"/>
                <w:color w:val="auto"/>
                <w:spacing w:val="11"/>
                <w:sz w:val="24"/>
                <w:szCs w:val="24"/>
              </w:rPr>
              <w:t>制采购、优先采购的政策规定可在中国政府</w:t>
            </w:r>
            <w:r>
              <w:rPr>
                <w:rFonts w:hint="eastAsia" w:ascii="仿宋" w:hAnsi="仿宋" w:eastAsia="仿宋" w:cs="仿宋"/>
                <w:color w:val="auto"/>
                <w:spacing w:val="10"/>
                <w:sz w:val="24"/>
                <w:szCs w:val="24"/>
              </w:rPr>
              <w:t>采购网</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"https://www.ccgp.gov.cn"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pacing w:val="-4"/>
                <w:sz w:val="24"/>
                <w:szCs w:val="24"/>
              </w:rPr>
              <w:t>www.ccgp.gov.cn</w:t>
            </w:r>
            <w:r>
              <w:rPr>
                <w:rFonts w:hint="eastAsia" w:ascii="仿宋" w:hAnsi="仿宋" w:eastAsia="仿宋" w:cs="仿宋"/>
                <w:color w:val="auto"/>
                <w:spacing w:val="-4"/>
                <w:sz w:val="24"/>
                <w:szCs w:val="24"/>
              </w:rPr>
              <w:fldChar w:fldCharType="end"/>
            </w:r>
            <w:r>
              <w:rPr>
                <w:rFonts w:hint="eastAsia" w:ascii="仿宋" w:hAnsi="仿宋" w:eastAsia="仿宋" w:cs="仿宋"/>
                <w:color w:val="auto"/>
                <w:spacing w:val="-4"/>
                <w:sz w:val="24"/>
                <w:szCs w:val="24"/>
              </w:rPr>
              <w:t>)查询。本项目价格扣除比例见投标</w:t>
            </w:r>
            <w:r>
              <w:rPr>
                <w:rFonts w:hint="eastAsia" w:ascii="仿宋" w:hAnsi="仿宋" w:eastAsia="仿宋" w:cs="仿宋"/>
                <w:color w:val="auto"/>
                <w:spacing w:val="-3"/>
                <w:sz w:val="24"/>
                <w:szCs w:val="24"/>
              </w:rPr>
              <w:t>人须知前附表。</w:t>
            </w:r>
          </w:p>
          <w:p w14:paraId="519E3B7B">
            <w:pPr>
              <w:pStyle w:val="24"/>
              <w:keepNext w:val="0"/>
              <w:keepLines w:val="0"/>
              <w:pageBreakBefore w:val="0"/>
              <w:widowControl w:val="0"/>
              <w:kinsoku/>
              <w:wordWrap/>
              <w:overflowPunct/>
              <w:topLinePunct w:val="0"/>
              <w:autoSpaceDE/>
              <w:autoSpaceDN/>
              <w:bidi w:val="0"/>
              <w:adjustRightInd w:val="0"/>
              <w:snapToGrid w:val="0"/>
              <w:spacing w:line="32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 同一项目中部分产品属于优先采购政策的，评审时</w:t>
            </w:r>
            <w:r>
              <w:rPr>
                <w:rFonts w:hint="eastAsia" w:ascii="仿宋" w:hAnsi="仿宋" w:eastAsia="仿宋" w:cs="仿宋"/>
                <w:color w:val="auto"/>
                <w:spacing w:val="-2"/>
                <w:sz w:val="24"/>
                <w:szCs w:val="24"/>
              </w:rPr>
              <w:t>只对该部分产品的报价实行价格优惠。</w:t>
            </w:r>
          </w:p>
          <w:p w14:paraId="50527C68">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3</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1"/>
                <w:sz w:val="24"/>
                <w:szCs w:val="24"/>
              </w:rPr>
              <w:t>为推进政府采购诚信体系建设，供应商在签署相关</w:t>
            </w:r>
            <w:r>
              <w:rPr>
                <w:rFonts w:hint="eastAsia" w:ascii="仿宋" w:hAnsi="仿宋" w:eastAsia="仿宋" w:cs="仿宋"/>
                <w:color w:val="auto"/>
                <w:sz w:val="24"/>
                <w:szCs w:val="24"/>
              </w:rPr>
              <w:t>承诺，提供相关信息前，应认真阅读财政部门相关政</w:t>
            </w:r>
            <w:r>
              <w:rPr>
                <w:rFonts w:hint="eastAsia" w:ascii="仿宋" w:hAnsi="仿宋" w:eastAsia="仿宋" w:cs="仿宋"/>
                <w:color w:val="auto"/>
                <w:spacing w:val="-4"/>
                <w:sz w:val="24"/>
                <w:szCs w:val="24"/>
              </w:rPr>
              <w:t>策规定</w:t>
            </w:r>
            <w:r>
              <w:rPr>
                <w:rFonts w:hint="eastAsia" w:cs="仿宋"/>
                <w:color w:val="auto"/>
                <w:spacing w:val="-4"/>
                <w:sz w:val="24"/>
                <w:szCs w:val="24"/>
                <w:lang w:eastAsia="zh-CN"/>
              </w:rPr>
              <w:t>。</w:t>
            </w:r>
          </w:p>
        </w:tc>
      </w:tr>
      <w:tr w14:paraId="6E304745">
        <w:tblPrEx>
          <w:tblCellMar>
            <w:top w:w="0" w:type="dxa"/>
            <w:left w:w="108" w:type="dxa"/>
            <w:bottom w:w="0" w:type="dxa"/>
            <w:right w:w="108" w:type="dxa"/>
          </w:tblCellMar>
        </w:tblPrEx>
        <w:trPr>
          <w:trHeight w:val="0"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D512EF8">
            <w:pPr>
              <w:keepNext w:val="0"/>
              <w:keepLines w:val="0"/>
              <w:pageBreakBefore w:val="0"/>
              <w:widowControl w:val="0"/>
              <w:kinsoku/>
              <w:wordWrap w:val="0"/>
              <w:overflowPunct/>
              <w:topLinePunct w:val="0"/>
              <w:autoSpaceDE/>
              <w:autoSpaceDN/>
              <w:bidi w:val="0"/>
              <w:adjustRightInd/>
              <w:snapToGrid/>
              <w:spacing w:line="360" w:lineRule="exact"/>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注意事项：</w:t>
            </w:r>
          </w:p>
          <w:p w14:paraId="378952B3">
            <w:pPr>
              <w:keepNext w:val="0"/>
              <w:keepLines w:val="0"/>
              <w:pageBreakBefore w:val="0"/>
              <w:widowControl w:val="0"/>
              <w:kinsoku/>
              <w:wordWrap w:val="0"/>
              <w:overflowPunct/>
              <w:topLinePunct w:val="0"/>
              <w:autoSpaceDE/>
              <w:autoSpaceDN/>
              <w:bidi w:val="0"/>
              <w:adjustRightInd/>
              <w:snapToGrid/>
              <w:spacing w:line="360" w:lineRule="exact"/>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1、请务必确保投标文件制作客户端为最新版本，旧版本可能导致投标文件解密失败。</w:t>
            </w:r>
          </w:p>
          <w:p w14:paraId="423808C1">
            <w:pPr>
              <w:keepNext w:val="0"/>
              <w:keepLines w:val="0"/>
              <w:pageBreakBefore w:val="0"/>
              <w:widowControl w:val="0"/>
              <w:kinsoku/>
              <w:wordWrap w:val="0"/>
              <w:overflowPunct/>
              <w:topLinePunct w:val="0"/>
              <w:autoSpaceDE/>
              <w:autoSpaceDN/>
              <w:bidi w:val="0"/>
              <w:adjustRightInd/>
              <w:snapToGrid/>
              <w:spacing w:line="360" w:lineRule="exact"/>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2、请务必确保投标文件制作时所用的CA锁与投标文件解密时的CA锁为同一把，否则可能导致投标文件解密失败。</w:t>
            </w:r>
          </w:p>
          <w:p w14:paraId="2BB60EA7">
            <w:pPr>
              <w:keepNext w:val="0"/>
              <w:keepLines w:val="0"/>
              <w:pageBreakBefore w:val="0"/>
              <w:widowControl w:val="0"/>
              <w:kinsoku/>
              <w:wordWrap w:val="0"/>
              <w:overflowPunct/>
              <w:topLinePunct w:val="0"/>
              <w:autoSpaceDE/>
              <w:autoSpaceDN/>
              <w:bidi w:val="0"/>
              <w:adjustRightInd/>
              <w:snapToGrid/>
              <w:spacing w:line="360" w:lineRule="exact"/>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须知前附表”用于进一步明确“投标须知”中未尽事宜，如“投标须知前附表”中的内容存在与“投标须知”中内容相抵触的，“投标须知”未阐述清楚或完全明确的事宜，一律以“投标须知前附表”中的内容为准。</w:t>
            </w:r>
          </w:p>
        </w:tc>
      </w:tr>
    </w:tbl>
    <w:p w14:paraId="7558695C">
      <w:pPr>
        <w:pStyle w:val="8"/>
        <w:spacing w:line="253" w:lineRule="auto"/>
        <w:rPr>
          <w:rFonts w:hint="eastAsia" w:ascii="仿宋" w:hAnsi="仿宋" w:eastAsia="仿宋" w:cs="仿宋"/>
        </w:rPr>
      </w:pPr>
    </w:p>
    <w:p w14:paraId="4D52086D">
      <w:pPr>
        <w:pStyle w:val="8"/>
        <w:spacing w:line="253" w:lineRule="auto"/>
        <w:rPr>
          <w:rFonts w:hint="eastAsia" w:ascii="仿宋" w:hAnsi="仿宋" w:eastAsia="仿宋" w:cs="仿宋"/>
        </w:rPr>
      </w:pPr>
    </w:p>
    <w:p w14:paraId="697B22A4">
      <w:pPr>
        <w:pStyle w:val="8"/>
        <w:spacing w:line="253" w:lineRule="auto"/>
        <w:rPr>
          <w:rFonts w:hint="eastAsia" w:ascii="仿宋" w:hAnsi="仿宋" w:eastAsia="仿宋" w:cs="仿宋"/>
        </w:rPr>
      </w:pPr>
    </w:p>
    <w:p w14:paraId="0BE18AE7">
      <w:pPr>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743A5E5D">
      <w:pPr>
        <w:pStyle w:val="6"/>
        <w:rPr>
          <w:rFonts w:hint="eastAsia"/>
        </w:rPr>
      </w:pPr>
    </w:p>
    <w:p w14:paraId="5B1A7BD3">
      <w:pPr>
        <w:rPr>
          <w:rFonts w:hint="eastAsia" w:ascii="仿宋" w:hAnsi="仿宋" w:eastAsia="仿宋" w:cs="仿宋"/>
          <w:spacing w:val="9"/>
          <w:sz w:val="31"/>
          <w:szCs w:val="31"/>
          <w14:textOutline w14:w="5793" w14:cap="sq" w14:cmpd="sng">
            <w14:solidFill>
              <w14:srgbClr w14:val="000000"/>
            </w14:solidFill>
            <w14:prstDash w14:val="solid"/>
            <w14:bevel/>
          </w14:textOutline>
        </w:rPr>
      </w:pPr>
      <w:r>
        <w:rPr>
          <w:rFonts w:hint="eastAsia" w:ascii="仿宋" w:hAnsi="仿宋" w:eastAsia="仿宋" w:cs="仿宋"/>
          <w:spacing w:val="9"/>
          <w:sz w:val="31"/>
          <w:szCs w:val="31"/>
          <w14:textOutline w14:w="5793" w14:cap="sq" w14:cmpd="sng">
            <w14:solidFill>
              <w14:srgbClr w14:val="000000"/>
            </w14:solidFill>
            <w14:prstDash w14:val="solid"/>
            <w14:bevel/>
          </w14:textOutline>
        </w:rPr>
        <w:br w:type="page"/>
      </w:r>
    </w:p>
    <w:p w14:paraId="53435B66">
      <w:pPr>
        <w:keepNext w:val="0"/>
        <w:keepLines w:val="0"/>
        <w:pageBreakBefore w:val="0"/>
        <w:widowControl w:val="0"/>
        <w:kinsoku w:val="0"/>
        <w:wordWrap w:val="0"/>
        <w:overflowPunct/>
        <w:topLinePunct w:val="0"/>
        <w:autoSpaceDE/>
        <w:autoSpaceDN/>
        <w:bidi w:val="0"/>
        <w:adjustRightInd w:val="0"/>
        <w:snapToGrid w:val="0"/>
        <w:spacing w:line="560" w:lineRule="exact"/>
        <w:ind w:left="0" w:leftChars="0" w:right="0" w:rightChars="0" w:firstLine="0" w:firstLineChars="0"/>
        <w:jc w:val="center"/>
        <w:textAlignment w:val="baseline"/>
        <w:outlineLvl w:val="1"/>
        <w:rPr>
          <w:rFonts w:hint="eastAsia" w:ascii="仿宋" w:hAnsi="仿宋" w:eastAsia="仿宋" w:cs="仿宋"/>
          <w:spacing w:val="9"/>
          <w:sz w:val="31"/>
          <w:szCs w:val="31"/>
          <w14:textOutline w14:w="5793" w14:cap="sq" w14:cmpd="sng">
            <w14:solidFill>
              <w14:srgbClr w14:val="000000"/>
            </w14:solidFill>
            <w14:prstDash w14:val="solid"/>
            <w14:bevel/>
          </w14:textOutline>
        </w:rPr>
      </w:pPr>
      <w:r>
        <w:rPr>
          <w:rFonts w:hint="eastAsia" w:ascii="仿宋" w:hAnsi="仿宋" w:eastAsia="仿宋" w:cs="仿宋"/>
          <w:spacing w:val="9"/>
          <w:sz w:val="31"/>
          <w:szCs w:val="31"/>
          <w14:textOutline w14:w="5793" w14:cap="sq" w14:cmpd="sng">
            <w14:solidFill>
              <w14:srgbClr w14:val="000000"/>
            </w14:solidFill>
            <w14:prstDash w14:val="solid"/>
            <w14:bevel/>
          </w14:textOutline>
        </w:rPr>
        <w:t>投标人须知正文部分</w:t>
      </w:r>
    </w:p>
    <w:p w14:paraId="1FE397C2">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3" w:name="_Toc494455650"/>
      <w:bookmarkStart w:id="4" w:name="_Toc31140"/>
      <w:bookmarkStart w:id="5" w:name="_Toc13659"/>
      <w:r>
        <w:rPr>
          <w:rFonts w:hint="eastAsia" w:ascii="仿宋" w:hAnsi="仿宋" w:eastAsia="仿宋" w:cs="仿宋"/>
          <w:b/>
          <w:bCs/>
          <w:color w:val="auto"/>
          <w:sz w:val="28"/>
          <w:szCs w:val="28"/>
        </w:rPr>
        <w:t>1.招标依据以及原则</w:t>
      </w:r>
      <w:bookmarkEnd w:id="3"/>
      <w:bookmarkEnd w:id="4"/>
      <w:bookmarkEnd w:id="5"/>
    </w:p>
    <w:p w14:paraId="22B711B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1.1《中华人民共和国政府采购法》；</w:t>
      </w:r>
    </w:p>
    <w:p w14:paraId="001A24E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w:t>
      </w:r>
    </w:p>
    <w:p w14:paraId="1537994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1.3《中华人民共和国政府采购法实施条例》；</w:t>
      </w:r>
    </w:p>
    <w:p w14:paraId="2DC5F68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1.4《政府采购货物和服务招标投标管理办法》；</w:t>
      </w:r>
    </w:p>
    <w:p w14:paraId="5D25534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1.5其他有关法律、行政法规以及省市规范性文件规定。</w:t>
      </w:r>
    </w:p>
    <w:p w14:paraId="2EF2836B">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lang w:eastAsia="zh-CN"/>
        </w:rPr>
      </w:pPr>
      <w:bookmarkStart w:id="6" w:name="_Toc494455651"/>
      <w:bookmarkStart w:id="7" w:name="_Toc25275"/>
      <w:bookmarkStart w:id="8" w:name="_Toc29982"/>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合格的投标人</w:t>
      </w:r>
      <w:bookmarkEnd w:id="6"/>
      <w:bookmarkEnd w:id="7"/>
      <w:r>
        <w:rPr>
          <w:rFonts w:hint="eastAsia" w:ascii="仿宋" w:hAnsi="仿宋" w:eastAsia="仿宋" w:cs="仿宋"/>
          <w:b/>
          <w:bCs/>
          <w:color w:val="auto"/>
          <w:sz w:val="28"/>
          <w:szCs w:val="28"/>
          <w:lang w:eastAsia="zh-CN"/>
        </w:rPr>
        <w:t>（实质性要求）</w:t>
      </w:r>
      <w:bookmarkEnd w:id="8"/>
    </w:p>
    <w:p w14:paraId="2D16DDC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9" w:name="_Toc1586"/>
      <w:r>
        <w:rPr>
          <w:rFonts w:hint="eastAsia" w:ascii="仿宋" w:hAnsi="仿宋" w:eastAsia="仿宋" w:cs="仿宋"/>
          <w:sz w:val="28"/>
          <w:szCs w:val="28"/>
          <w:highlight w:val="none"/>
        </w:rPr>
        <w:t>2.1符合《中华人民共和国政府采购法》第二十二条规定的条件；</w:t>
      </w:r>
      <w:bookmarkEnd w:id="9"/>
    </w:p>
    <w:p w14:paraId="6BC0705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2.2符合本招标文件规定的资格要求，且按照要求提供相关证明材料；</w:t>
      </w:r>
    </w:p>
    <w:p w14:paraId="1A5E9F5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2.3单位负责人为同一个人的两个以及两个以上法人，母公司、全资子公司以及其控股公司或者存在管理关系的不同单位，都不得在同一包或者未划分包的同一招标项目同时投标；</w:t>
      </w:r>
    </w:p>
    <w:p w14:paraId="02BB416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2.4投标人须知前附表规定接受联合体投标的，应符合以下规定：</w:t>
      </w:r>
    </w:p>
    <w:p w14:paraId="110142D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2.4.1联合体各方应按照招标文件提供的格式签订联合体协议书，明确联合体牵头人和各方权利义务；</w:t>
      </w:r>
    </w:p>
    <w:p w14:paraId="65E3785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2.4.2联合体各方均应当符合《政府采购法》第二十二条第一款规定的条件；</w:t>
      </w:r>
    </w:p>
    <w:p w14:paraId="1F383A3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2.4.3联合体中有同类资质的投标人按照联合体分工承担相同工作的，应当按照资质等级较低的投标人确定资质等级。</w:t>
      </w:r>
    </w:p>
    <w:p w14:paraId="1775666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2.4.4以联合体形式参加政府采购活动的，联合体各方不得再单独参加或者与其他投标人另外组成联合体参加同一合同项下的政府采购活动。</w:t>
      </w:r>
    </w:p>
    <w:p w14:paraId="6FE5074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2.4.5联合体各方应当共同与</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签订采购合同，就合同约定的事项对</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承担连带责任；</w:t>
      </w:r>
    </w:p>
    <w:p w14:paraId="6BC4EE7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2.4.6鼓励大中型企业和其他自然人、法人或者其他组织与小型、微型企业组成联合体投标，但联合体各方均应符合上述规定。</w:t>
      </w:r>
    </w:p>
    <w:p w14:paraId="16BE7D8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2.5除</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拟采购进口产品通过财政部门审核外，投标人不得提供直接进口或者委托进口产品（包括已进入中国境内的进口产品）。</w:t>
      </w:r>
    </w:p>
    <w:p w14:paraId="3385148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2.6为本项目提供整体设计、规范编制或者项目管理、监理、检测等服务的投标人，不得再参加本项目的招标活动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需提供书面声明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格式自拟）</w:t>
      </w:r>
      <w:r>
        <w:rPr>
          <w:rFonts w:hint="eastAsia" w:ascii="仿宋" w:hAnsi="仿宋" w:eastAsia="仿宋" w:cs="仿宋"/>
          <w:sz w:val="28"/>
          <w:szCs w:val="28"/>
          <w:highlight w:val="none"/>
        </w:rPr>
        <w:t>。</w:t>
      </w:r>
    </w:p>
    <w:p w14:paraId="4940D05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2.7采购代理机构及其分支机构不得在所代理的采购项目中投标或者代理投标，不得为所代理的采购项目的投标人参加本项目提供投标咨询。</w:t>
      </w:r>
    </w:p>
    <w:p w14:paraId="1252E89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投标人参加政府采购活动近三年内无违法违规记录和法律诉讼纠纷，需提供书面声明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格式自拟）</w:t>
      </w:r>
      <w:r>
        <w:rPr>
          <w:rFonts w:hint="eastAsia" w:ascii="仿宋" w:hAnsi="仿宋" w:eastAsia="仿宋" w:cs="仿宋"/>
          <w:sz w:val="28"/>
          <w:szCs w:val="28"/>
          <w:highlight w:val="none"/>
        </w:rPr>
        <w:t>。</w:t>
      </w:r>
    </w:p>
    <w:p w14:paraId="4C372F9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为保证政府采购活动公平、公正、诚实信用，投标人提供的材料及技术参数应真实有效，响应文件内提供书面诚信投标承诺书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格式自拟）</w:t>
      </w:r>
      <w:r>
        <w:rPr>
          <w:rFonts w:hint="eastAsia" w:ascii="仿宋" w:hAnsi="仿宋" w:eastAsia="仿宋" w:cs="仿宋"/>
          <w:sz w:val="28"/>
          <w:szCs w:val="28"/>
          <w:highlight w:val="none"/>
        </w:rPr>
        <w:t>。</w:t>
      </w:r>
    </w:p>
    <w:p w14:paraId="57C2B3C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2.10</w:t>
      </w:r>
      <w:r>
        <w:rPr>
          <w:rFonts w:hint="eastAsia" w:ascii="仿宋" w:hAnsi="仿宋" w:eastAsia="仿宋" w:cs="仿宋"/>
          <w:sz w:val="28"/>
          <w:szCs w:val="28"/>
          <w:highlight w:val="none"/>
        </w:rPr>
        <w:t>为保证本次招标活动公平竞争，杜绝任何形式的商业贿赂行为，</w:t>
      </w:r>
      <w:r>
        <w:rPr>
          <w:rFonts w:hint="eastAsia" w:ascii="仿宋" w:hAnsi="仿宋" w:eastAsia="仿宋" w:cs="仿宋"/>
          <w:sz w:val="28"/>
          <w:szCs w:val="28"/>
          <w:highlight w:val="none"/>
          <w:lang w:eastAsia="zh-CN"/>
        </w:rPr>
        <w:t>竞标文件</w:t>
      </w:r>
      <w:r>
        <w:rPr>
          <w:rFonts w:hint="eastAsia" w:ascii="仿宋" w:hAnsi="仿宋" w:eastAsia="仿宋" w:cs="仿宋"/>
          <w:sz w:val="28"/>
          <w:szCs w:val="28"/>
          <w:highlight w:val="none"/>
        </w:rPr>
        <w:t>内必须提供反商业贿赂承诺书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格式自拟）</w:t>
      </w:r>
      <w:r>
        <w:rPr>
          <w:rFonts w:hint="eastAsia" w:ascii="仿宋" w:hAnsi="仿宋" w:eastAsia="仿宋" w:cs="仿宋"/>
          <w:sz w:val="28"/>
          <w:szCs w:val="28"/>
          <w:highlight w:val="none"/>
          <w:lang w:eastAsia="zh-CN"/>
        </w:rPr>
        <w:t>。</w:t>
      </w:r>
    </w:p>
    <w:p w14:paraId="5A12F9F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投标人提供的证明材料内容必须真实可靠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符合上述条件的投标人即为合格投标人，具有参与公开招标的资格。</w:t>
      </w:r>
    </w:p>
    <w:p w14:paraId="19D985F5">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10" w:name="_Toc2751"/>
      <w:bookmarkStart w:id="11" w:name="_Toc29650"/>
      <w:bookmarkStart w:id="12" w:name="_Toc494455652"/>
      <w:r>
        <w:rPr>
          <w:rFonts w:hint="eastAsia" w:ascii="仿宋" w:hAnsi="仿宋" w:eastAsia="仿宋" w:cs="仿宋"/>
          <w:b/>
          <w:bCs/>
          <w:color w:val="auto"/>
          <w:sz w:val="28"/>
          <w:szCs w:val="28"/>
        </w:rPr>
        <w:t>3.保密</w:t>
      </w:r>
      <w:bookmarkEnd w:id="10"/>
      <w:bookmarkEnd w:id="11"/>
      <w:bookmarkEnd w:id="12"/>
    </w:p>
    <w:p w14:paraId="3F5B658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参与招标投标活动的当事人应对招标文件和投标文件中的商业和技术等秘密保密，违者应对由此造成的后果承担法律责任。</w:t>
      </w:r>
    </w:p>
    <w:p w14:paraId="1BB4EE9C">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13" w:name="_Toc21130"/>
      <w:bookmarkStart w:id="14" w:name="_Toc494455653"/>
      <w:bookmarkStart w:id="15" w:name="_Toc18314"/>
      <w:r>
        <w:rPr>
          <w:rFonts w:hint="eastAsia" w:ascii="仿宋" w:hAnsi="仿宋" w:eastAsia="仿宋" w:cs="仿宋"/>
          <w:b/>
          <w:bCs/>
          <w:color w:val="auto"/>
          <w:sz w:val="28"/>
          <w:szCs w:val="28"/>
        </w:rPr>
        <w:t>4.语言文字、计量单位、时间单位、投标有效期以及投标费用</w:t>
      </w:r>
      <w:bookmarkEnd w:id="13"/>
      <w:bookmarkEnd w:id="14"/>
      <w:bookmarkEnd w:id="15"/>
    </w:p>
    <w:p w14:paraId="765CA65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4.1语言文字</w:t>
      </w:r>
    </w:p>
    <w:p w14:paraId="3C05B3A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14:paraId="74EB1B8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4.2计量单位</w:t>
      </w:r>
    </w:p>
    <w:p w14:paraId="0903102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除招标文件另有规定外，计量均应采用中华人民共和国法定计量单位；所有报价一律使用人民币，货币单位为“元”。</w:t>
      </w:r>
    </w:p>
    <w:p w14:paraId="30DA316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4.3时间单位</w:t>
      </w:r>
    </w:p>
    <w:p w14:paraId="727CACB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除招标文件中另有规定外，招标文件所使用的时间单位“天”、“日”均指日历天，时、分均为北京时间。</w:t>
      </w:r>
    </w:p>
    <w:p w14:paraId="4DDAFB3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4.4投标有效期</w:t>
      </w:r>
    </w:p>
    <w:p w14:paraId="7455A78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4.4.1在投标人须知前附表规定的投标有效期内，投标文件以及其补充、承诺等部分均保持有效。</w:t>
      </w:r>
    </w:p>
    <w:p w14:paraId="6DDF49D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4.4.2在招标文件规定的投标文件有效期满之前，如果出现特殊情况，</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14:paraId="2CB7DB2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4.4.3投标有效期内投标人撤销投标文件的，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或者采购代理机构可以不退还投标保证金。</w:t>
      </w:r>
    </w:p>
    <w:p w14:paraId="0118659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4.5投标费用</w:t>
      </w:r>
    </w:p>
    <w:p w14:paraId="481C385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投标人应自行承担其准备和参加投标活动发生的所有费用。</w:t>
      </w:r>
    </w:p>
    <w:p w14:paraId="3ECBCA9D">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16" w:name="_Toc494455654"/>
      <w:bookmarkStart w:id="17" w:name="_Toc24837"/>
      <w:bookmarkStart w:id="18" w:name="_Toc5777"/>
      <w:r>
        <w:rPr>
          <w:rFonts w:hint="eastAsia" w:ascii="仿宋" w:hAnsi="仿宋" w:eastAsia="仿宋" w:cs="仿宋"/>
          <w:b/>
          <w:bCs/>
          <w:color w:val="auto"/>
          <w:sz w:val="28"/>
          <w:szCs w:val="28"/>
        </w:rPr>
        <w:t>5.踏勘现场</w:t>
      </w:r>
      <w:bookmarkEnd w:id="16"/>
      <w:bookmarkEnd w:id="17"/>
      <w:bookmarkEnd w:id="18"/>
    </w:p>
    <w:p w14:paraId="1A3AF70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5.1投标人须知前附表规定组织踏勘现场的，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必须按照规定时间、地点组织投标人踏勘项目现场，以便投标人获取有关编制投标文件和签署合同所涉及现场的资料。投标人承担踏勘现场所发生的自身费用。</w:t>
      </w:r>
    </w:p>
    <w:p w14:paraId="030E12F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5.2</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向投标人提供的有关现场的资料和数据，是</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现有的能使投标人利用的资料，</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对投标人由此而做出的推论、理解和结论不负责任。</w:t>
      </w:r>
    </w:p>
    <w:p w14:paraId="22DDAB0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5.3投标人经过</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允许，可以进入项目现场踏勘，但不得因此使</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承担有关责任和蒙受损失。除</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原因外，投标人应对踏勘现场而造成的死亡、人身伤害、财产损失、损害以及其它任何损失、损害和引起的费用和开支承担责任。</w:t>
      </w:r>
    </w:p>
    <w:p w14:paraId="7FB0E08A">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19" w:name="_Toc4443"/>
      <w:bookmarkStart w:id="20" w:name="_Toc494455655"/>
      <w:bookmarkStart w:id="21" w:name="_Toc28022"/>
      <w:r>
        <w:rPr>
          <w:rFonts w:hint="eastAsia" w:ascii="仿宋" w:hAnsi="仿宋" w:eastAsia="仿宋" w:cs="仿宋"/>
          <w:b/>
          <w:bCs/>
          <w:color w:val="auto"/>
          <w:sz w:val="28"/>
          <w:szCs w:val="28"/>
        </w:rPr>
        <w:t>6.询问</w:t>
      </w:r>
      <w:bookmarkEnd w:id="19"/>
      <w:bookmarkEnd w:id="20"/>
      <w:bookmarkEnd w:id="21"/>
    </w:p>
    <w:p w14:paraId="275E50D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6.1投标人对招标投标活动事项有疑问的，可以向采购代理机构提出询问；采购代理机构应当及时作出答复，但答复的内容不得涉及商业秘密。</w:t>
      </w:r>
    </w:p>
    <w:p w14:paraId="3037A66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6.2询问及答复既可以采取书面形式，也可以采取电话、面谈等口头方式。</w:t>
      </w:r>
    </w:p>
    <w:p w14:paraId="09BE2A04">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22" w:name="_Toc24649"/>
      <w:bookmarkStart w:id="23" w:name="_Toc494455656"/>
      <w:bookmarkStart w:id="24" w:name="_Toc6646"/>
      <w:r>
        <w:rPr>
          <w:rFonts w:hint="eastAsia" w:ascii="仿宋" w:hAnsi="仿宋" w:eastAsia="仿宋" w:cs="仿宋"/>
          <w:b/>
          <w:bCs/>
          <w:color w:val="auto"/>
          <w:sz w:val="28"/>
          <w:szCs w:val="28"/>
        </w:rPr>
        <w:t>7.偏离</w:t>
      </w:r>
      <w:bookmarkEnd w:id="22"/>
      <w:bookmarkEnd w:id="23"/>
      <w:bookmarkEnd w:id="24"/>
    </w:p>
    <w:p w14:paraId="04250E2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允许投标文件偏离招标文件某些非实质性要求的，偏离应当符合招标文件规定的偏离范围和幅度。</w:t>
      </w:r>
    </w:p>
    <w:p w14:paraId="4FC35813">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25" w:name="_Toc494455657"/>
      <w:bookmarkStart w:id="26" w:name="_Toc27775"/>
      <w:bookmarkStart w:id="27" w:name="_Toc5882"/>
      <w:r>
        <w:rPr>
          <w:rFonts w:hint="eastAsia" w:ascii="仿宋" w:hAnsi="仿宋" w:eastAsia="仿宋" w:cs="仿宋"/>
          <w:b/>
          <w:bCs/>
          <w:color w:val="auto"/>
          <w:sz w:val="28"/>
          <w:szCs w:val="28"/>
        </w:rPr>
        <w:t>8.履约担保</w:t>
      </w:r>
      <w:bookmarkEnd w:id="25"/>
      <w:bookmarkEnd w:id="26"/>
      <w:bookmarkEnd w:id="27"/>
    </w:p>
    <w:p w14:paraId="5D14392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8.1在签订合同前，中标人应按照有关规定或者事先经过</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书面认可的履约担保要求向</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提交履约担保。除另有规定外，履约担保金额不超过中标合同金额的10%。</w:t>
      </w:r>
    </w:p>
    <w:p w14:paraId="0F0E494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8.2中标人未按照要求提交履约担保的，视为放弃中标，其投标保证金不予退还，给</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造成的损失超过投标保证金的，中标人应当对超过部分予以赔偿。</w:t>
      </w:r>
    </w:p>
    <w:p w14:paraId="0C1233C7">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28" w:name="_Toc494455658"/>
      <w:bookmarkStart w:id="29" w:name="_Toc9303"/>
      <w:bookmarkStart w:id="30" w:name="_Toc17478"/>
      <w:r>
        <w:rPr>
          <w:rFonts w:hint="eastAsia" w:ascii="仿宋" w:hAnsi="仿宋" w:eastAsia="仿宋" w:cs="仿宋"/>
          <w:b/>
          <w:bCs/>
          <w:color w:val="auto"/>
          <w:sz w:val="28"/>
          <w:szCs w:val="28"/>
        </w:rPr>
        <w:t>9.采购代理服务费</w:t>
      </w:r>
      <w:bookmarkEnd w:id="28"/>
      <w:bookmarkEnd w:id="29"/>
      <w:bookmarkEnd w:id="30"/>
    </w:p>
    <w:p w14:paraId="6489682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31" w:name="_Toc2850"/>
      <w:bookmarkStart w:id="32" w:name="_Toc494455659"/>
      <w:r>
        <w:rPr>
          <w:rFonts w:hint="eastAsia" w:ascii="仿宋" w:hAnsi="仿宋" w:eastAsia="仿宋" w:cs="仿宋"/>
          <w:sz w:val="28"/>
          <w:szCs w:val="28"/>
          <w:highlight w:val="none"/>
          <w:lang w:val="en-US" w:eastAsia="zh-CN"/>
        </w:rPr>
        <w:t>9.1</w:t>
      </w:r>
      <w:r>
        <w:rPr>
          <w:rFonts w:hint="eastAsia" w:ascii="仿宋" w:hAnsi="仿宋" w:eastAsia="仿宋" w:cs="仿宋"/>
          <w:sz w:val="28"/>
          <w:szCs w:val="28"/>
          <w:highlight w:val="none"/>
        </w:rPr>
        <w:t>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中标金额在5亿元以上的代理服务费实行收费上限，货物类代理服务费上限为350万元。</w:t>
      </w:r>
    </w:p>
    <w:p w14:paraId="78D6C6B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9.2采购代理服务费在审批的项目预算中已经列支的，由采购人支付，并按照财政部门规定列支；在审批的项目预算中未列支的，采购代理服务费用由成交供应商支付，见供应商须知前附表。</w:t>
      </w:r>
    </w:p>
    <w:p w14:paraId="7C0BAD8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9.3采购代理服务费采用差额定率累进计费方式。标准如下：</w:t>
      </w:r>
    </w:p>
    <w:p w14:paraId="6C241F3E">
      <w:pPr>
        <w:pStyle w:val="6"/>
        <w:rPr>
          <w:rFonts w:hint="eastAsia" w:ascii="仿宋" w:hAnsi="仿宋" w:eastAsia="仿宋" w:cs="仿宋"/>
        </w:rPr>
      </w:pP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5"/>
        <w:gridCol w:w="4741"/>
      </w:tblGrid>
      <w:tr w14:paraId="5AB2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32" w:type="pct"/>
            <w:noWrap w:val="0"/>
            <w:tcMar>
              <w:top w:w="100" w:type="dxa"/>
              <w:right w:w="100" w:type="dxa"/>
            </w:tcMar>
            <w:vAlign w:val="center"/>
          </w:tcPr>
          <w:p w14:paraId="2374A433">
            <w:pPr>
              <w:widowControl/>
              <w:autoSpaceDE w:val="0"/>
              <w:autoSpaceDN w:val="0"/>
              <w:adjustRightInd w:val="0"/>
              <w:spacing w:line="360" w:lineRule="auto"/>
              <w:ind w:right="-89"/>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-60960</wp:posOffset>
                      </wp:positionV>
                      <wp:extent cx="2966720" cy="962025"/>
                      <wp:effectExtent l="1270" t="4445" r="3810" b="8890"/>
                      <wp:wrapNone/>
                      <wp:docPr id="2" name="直接连接符 9"/>
                      <wp:cNvGraphicFramePr/>
                      <a:graphic xmlns:a="http://schemas.openxmlformats.org/drawingml/2006/main">
                        <a:graphicData uri="http://schemas.microsoft.com/office/word/2010/wordprocessingShape">
                          <wps:wsp>
                            <wps:cNvCnPr/>
                            <wps:spPr>
                              <a:xfrm>
                                <a:off x="0" y="0"/>
                                <a:ext cx="2966720" cy="96202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4.05pt;margin-top:-4.8pt;height:75.75pt;width:233.6pt;z-index:251661312;mso-width-relative:page;mso-height-relative:page;" filled="f" stroked="t" coordsize="21600,21600" o:gfxdata="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c67hNoAAAAJAQAADwAAAAAAAAABACAAAAAiAAAAZHJzL2Rvd25yZXYu&#10;eG1sUEsBAhQAFAAAAAgAh07iQAMRnvT5AQAA6QMAAA4AAAAAAAAAAQAgAAAAKQEAAGRycy9lMm9E&#10;b2MueG1sUEsFBgAAAAAGAAYAWQEAAJQFAAAAAA==&#10;">
                      <v:fill on="f" focussize="0,0"/>
                      <v:stroke weight="0.25pt" color="#000000" joinstyle="round"/>
                      <v:imagedata o:title=""/>
                      <o:lock v:ext="edit" aspectratio="f"/>
                    </v:line>
                  </w:pict>
                </mc:Fallback>
              </mc:AlternateContent>
            </w:r>
            <w:r>
              <w:rPr>
                <w:rFonts w:hint="eastAsia" w:ascii="仿宋" w:hAnsi="仿宋" w:eastAsia="仿宋" w:cs="仿宋"/>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-62230</wp:posOffset>
                      </wp:positionV>
                      <wp:extent cx="2968625" cy="389255"/>
                      <wp:effectExtent l="635" t="4445" r="2540" b="17780"/>
                      <wp:wrapNone/>
                      <wp:docPr id="4" name="直接连接符 10"/>
                      <wp:cNvGraphicFramePr/>
                      <a:graphic xmlns:a="http://schemas.openxmlformats.org/drawingml/2006/main">
                        <a:graphicData uri="http://schemas.microsoft.com/office/word/2010/wordprocessingShape">
                          <wps:wsp>
                            <wps:cNvCnPr/>
                            <wps:spPr>
                              <a:xfrm>
                                <a:off x="0" y="0"/>
                                <a:ext cx="2968625" cy="38925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0" o:spid="_x0000_s1026" o:spt="20" style="position:absolute;left:0pt;margin-left:-5.65pt;margin-top:-4.9pt;height:30.65pt;width:233.75pt;z-index:251660288;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4HazZAAAACQEAAA8AAAAAAAAAAQAgAAAAIgAAAGRycy9kb3ducmV2Lnht&#10;bFBLAQIUABQAAAAIAIdO4kBhynVf+AEAAOoDAAAOAAAAAAAAAAEAIAAAACgBAABkcnMvZTJvRG9j&#10;LnhtbFBLBQYAAAAABgAGAFkBAACSBQAAAAA=&#10;">
                      <v:fill on="f" focussize="0,0"/>
                      <v:stroke weight="0.25pt" color="#000000" joinstyle="round"/>
                      <v:imagedata o:title=""/>
                      <o:lock v:ext="edit" aspectratio="f"/>
                    </v:line>
                  </w:pict>
                </mc:Fallback>
              </mc:AlternateContent>
            </w:r>
            <w:r>
              <w:rPr>
                <w:rFonts w:hint="eastAsia" w:ascii="仿宋" w:hAnsi="仿宋" w:eastAsia="仿宋" w:cs="仿宋"/>
                <w:color w:val="auto"/>
                <w:kern w:val="0"/>
                <w:sz w:val="24"/>
                <w:szCs w:val="24"/>
              </w:rPr>
              <w:t>服务类型</w:t>
            </w:r>
          </w:p>
          <w:p w14:paraId="2DF74878">
            <w:pPr>
              <w:widowControl/>
              <w:autoSpaceDE w:val="0"/>
              <w:autoSpaceDN w:val="0"/>
              <w:adjustRightInd w:val="0"/>
              <w:spacing w:line="360" w:lineRule="auto"/>
              <w:ind w:right="-48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费率</w:t>
            </w:r>
          </w:p>
          <w:p w14:paraId="4A2C2BED">
            <w:pPr>
              <w:widowControl/>
              <w:autoSpaceDE w:val="0"/>
              <w:autoSpaceDN w:val="0"/>
              <w:adjustRightInd w:val="0"/>
              <w:spacing w:line="360" w:lineRule="auto"/>
              <w:ind w:right="-481"/>
              <w:rPr>
                <w:rFonts w:hint="eastAsia" w:ascii="仿宋" w:hAnsi="仿宋" w:eastAsia="仿宋" w:cs="仿宋"/>
                <w:color w:val="auto"/>
                <w:kern w:val="1"/>
                <w:sz w:val="24"/>
                <w:szCs w:val="24"/>
              </w:rPr>
            </w:pPr>
            <w:r>
              <w:rPr>
                <w:rFonts w:hint="eastAsia" w:ascii="仿宋" w:hAnsi="仿宋" w:eastAsia="仿宋" w:cs="仿宋"/>
                <w:color w:val="auto"/>
                <w:kern w:val="0"/>
                <w:sz w:val="24"/>
                <w:szCs w:val="24"/>
              </w:rPr>
              <w:t>中标金额（万元）</w:t>
            </w:r>
          </w:p>
        </w:tc>
        <w:tc>
          <w:tcPr>
            <w:tcW w:w="2467" w:type="pct"/>
            <w:noWrap w:val="0"/>
            <w:tcMar>
              <w:top w:w="100" w:type="dxa"/>
              <w:right w:w="100" w:type="dxa"/>
            </w:tcMar>
            <w:vAlign w:val="center"/>
          </w:tcPr>
          <w:p w14:paraId="4229585E">
            <w:pPr>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0"/>
                <w:sz w:val="24"/>
                <w:szCs w:val="24"/>
              </w:rPr>
              <w:t>货物</w:t>
            </w:r>
          </w:p>
        </w:tc>
      </w:tr>
      <w:tr w14:paraId="14F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32" w:type="pct"/>
            <w:noWrap w:val="0"/>
            <w:tcMar>
              <w:top w:w="100" w:type="dxa"/>
              <w:right w:w="100" w:type="dxa"/>
            </w:tcMar>
            <w:vAlign w:val="center"/>
          </w:tcPr>
          <w:p w14:paraId="42162476">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100以下</w:t>
            </w:r>
          </w:p>
        </w:tc>
        <w:tc>
          <w:tcPr>
            <w:tcW w:w="2467" w:type="pct"/>
            <w:noWrap w:val="0"/>
            <w:tcMar>
              <w:top w:w="100" w:type="dxa"/>
              <w:right w:w="100" w:type="dxa"/>
            </w:tcMar>
            <w:vAlign w:val="center"/>
          </w:tcPr>
          <w:p w14:paraId="0F5B8343">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w:t>
            </w:r>
          </w:p>
        </w:tc>
      </w:tr>
      <w:tr w14:paraId="104A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32" w:type="pct"/>
            <w:noWrap w:val="0"/>
            <w:tcMar>
              <w:top w:w="100" w:type="dxa"/>
              <w:right w:w="100" w:type="dxa"/>
            </w:tcMar>
            <w:vAlign w:val="center"/>
          </w:tcPr>
          <w:p w14:paraId="50CE8886">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100-500</w:t>
            </w:r>
          </w:p>
        </w:tc>
        <w:tc>
          <w:tcPr>
            <w:tcW w:w="2467" w:type="pct"/>
            <w:noWrap w:val="0"/>
            <w:tcMar>
              <w:top w:w="100" w:type="dxa"/>
              <w:right w:w="100" w:type="dxa"/>
            </w:tcMar>
            <w:vAlign w:val="center"/>
          </w:tcPr>
          <w:p w14:paraId="70A18856">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w:t>
            </w:r>
          </w:p>
        </w:tc>
      </w:tr>
      <w:tr w14:paraId="235B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32" w:type="pct"/>
            <w:noWrap w:val="0"/>
            <w:tcMar>
              <w:top w:w="100" w:type="dxa"/>
              <w:right w:w="100" w:type="dxa"/>
            </w:tcMar>
            <w:vAlign w:val="center"/>
          </w:tcPr>
          <w:p w14:paraId="1644EB32">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500-1000</w:t>
            </w:r>
          </w:p>
        </w:tc>
        <w:tc>
          <w:tcPr>
            <w:tcW w:w="2467" w:type="pct"/>
            <w:noWrap w:val="0"/>
            <w:tcMar>
              <w:top w:w="100" w:type="dxa"/>
              <w:right w:w="100" w:type="dxa"/>
            </w:tcMar>
            <w:vAlign w:val="center"/>
          </w:tcPr>
          <w:p w14:paraId="55F1DA58">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0.8%</w:t>
            </w:r>
          </w:p>
        </w:tc>
      </w:tr>
      <w:tr w14:paraId="7192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32" w:type="pct"/>
            <w:noWrap w:val="0"/>
            <w:tcMar>
              <w:top w:w="100" w:type="dxa"/>
              <w:right w:w="100" w:type="dxa"/>
            </w:tcMar>
            <w:vAlign w:val="center"/>
          </w:tcPr>
          <w:p w14:paraId="30B668DA">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1000-5000</w:t>
            </w:r>
          </w:p>
        </w:tc>
        <w:tc>
          <w:tcPr>
            <w:tcW w:w="2467" w:type="pct"/>
            <w:noWrap w:val="0"/>
            <w:tcMar>
              <w:top w:w="100" w:type="dxa"/>
              <w:right w:w="100" w:type="dxa"/>
            </w:tcMar>
            <w:vAlign w:val="center"/>
          </w:tcPr>
          <w:p w14:paraId="5B62374F">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0.5%</w:t>
            </w:r>
          </w:p>
        </w:tc>
      </w:tr>
      <w:tr w14:paraId="58F4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32" w:type="pct"/>
            <w:noWrap w:val="0"/>
            <w:tcMar>
              <w:top w:w="100" w:type="dxa"/>
              <w:right w:w="100" w:type="dxa"/>
            </w:tcMar>
            <w:vAlign w:val="center"/>
          </w:tcPr>
          <w:p w14:paraId="3F8E0017">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5000-10000</w:t>
            </w:r>
          </w:p>
        </w:tc>
        <w:tc>
          <w:tcPr>
            <w:tcW w:w="2467" w:type="pct"/>
            <w:noWrap w:val="0"/>
            <w:tcMar>
              <w:top w:w="100" w:type="dxa"/>
              <w:right w:w="100" w:type="dxa"/>
            </w:tcMar>
            <w:vAlign w:val="center"/>
          </w:tcPr>
          <w:p w14:paraId="1DF94253">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0.25%</w:t>
            </w:r>
          </w:p>
        </w:tc>
      </w:tr>
      <w:tr w14:paraId="64FF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32" w:type="pct"/>
            <w:noWrap w:val="0"/>
            <w:tcMar>
              <w:top w:w="100" w:type="dxa"/>
              <w:right w:w="100" w:type="dxa"/>
            </w:tcMar>
            <w:vAlign w:val="center"/>
          </w:tcPr>
          <w:p w14:paraId="6307E630">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10000-100000</w:t>
            </w:r>
          </w:p>
        </w:tc>
        <w:tc>
          <w:tcPr>
            <w:tcW w:w="2467" w:type="pct"/>
            <w:noWrap w:val="0"/>
            <w:tcMar>
              <w:top w:w="100" w:type="dxa"/>
              <w:right w:w="100" w:type="dxa"/>
            </w:tcMar>
            <w:vAlign w:val="center"/>
          </w:tcPr>
          <w:p w14:paraId="76AD5341">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0.05%</w:t>
            </w:r>
          </w:p>
        </w:tc>
      </w:tr>
      <w:tr w14:paraId="30E2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532" w:type="pct"/>
            <w:noWrap w:val="0"/>
            <w:tcMar>
              <w:top w:w="100" w:type="dxa"/>
              <w:right w:w="100" w:type="dxa"/>
            </w:tcMar>
            <w:vAlign w:val="center"/>
          </w:tcPr>
          <w:p w14:paraId="66E6BB86">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1000000以上</w:t>
            </w:r>
          </w:p>
        </w:tc>
        <w:tc>
          <w:tcPr>
            <w:tcW w:w="2467" w:type="pct"/>
            <w:noWrap w:val="0"/>
            <w:tcMar>
              <w:top w:w="100" w:type="dxa"/>
              <w:right w:w="100" w:type="dxa"/>
            </w:tcMar>
            <w:vAlign w:val="center"/>
          </w:tcPr>
          <w:p w14:paraId="5AA67A50">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0.01%</w:t>
            </w:r>
          </w:p>
        </w:tc>
      </w:tr>
    </w:tbl>
    <w:p w14:paraId="2EC046A2">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33" w:name="_Toc20862"/>
      <w:r>
        <w:rPr>
          <w:rFonts w:hint="eastAsia" w:ascii="仿宋" w:hAnsi="仿宋" w:eastAsia="仿宋" w:cs="仿宋"/>
          <w:b/>
          <w:bCs/>
          <w:color w:val="auto"/>
          <w:sz w:val="28"/>
          <w:szCs w:val="28"/>
        </w:rPr>
        <w:t>10.招标文件</w:t>
      </w:r>
      <w:bookmarkEnd w:id="31"/>
      <w:bookmarkEnd w:id="32"/>
      <w:bookmarkEnd w:id="33"/>
    </w:p>
    <w:p w14:paraId="1BB21CF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10.1招标文件的组成</w:t>
      </w:r>
    </w:p>
    <w:p w14:paraId="3C7C99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10.1.1招标文件是用以阐明所需货物以及服务、招标程序和合同格式的规范性文件。招标文件主要由以下部分组成：</w:t>
      </w:r>
    </w:p>
    <w:p w14:paraId="579A76D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第一章  招标公告；</w:t>
      </w:r>
    </w:p>
    <w:p w14:paraId="6C4FE58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第二章  投标人须知前附表；</w:t>
      </w:r>
    </w:p>
    <w:p w14:paraId="6DC0BDA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第三章  采购需求；</w:t>
      </w:r>
    </w:p>
    <w:p w14:paraId="05E6E60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第四章  评标办法；</w:t>
      </w:r>
    </w:p>
    <w:p w14:paraId="782B589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第五章  签订合同、合同主要条款；</w:t>
      </w:r>
    </w:p>
    <w:p w14:paraId="0223AC0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第六章  投标文件格式；</w:t>
      </w:r>
    </w:p>
    <w:p w14:paraId="772F31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10.1.2根据本章第10.2款对采购文件所作的澄清和修改，构成采购文件的组成部分。</w:t>
      </w:r>
    </w:p>
    <w:p w14:paraId="10F8D40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10.1.3除非有特殊要求，招标文件不单独提供项目所在地的自然环境、气候条件、公用设施等情况，投标人被视为熟悉上述与履行合同有关的一切情况。</w:t>
      </w:r>
    </w:p>
    <w:p w14:paraId="16D8474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10.2招标文件的澄清和修改</w:t>
      </w:r>
    </w:p>
    <w:p w14:paraId="58FDF31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10.2.1</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对已发出的招标文件进行必要澄清或者修改的，应当在规定的投标截止时间15日前，向各投标人发出补充文件，以书面形式通知所有招标文件收受人，但不指明澄清问题的来源。如果澄清或者修改招标文件的时间距投标截止时间不足15日，</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应延长投标截止时间，具体时间将在补充文件中予以明确。</w:t>
      </w:r>
    </w:p>
    <w:p w14:paraId="7EBE3DF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误、逻辑的错误）或者前后矛盾的，应在规定提交答疑的时间内提交给</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或采购代理机构，否则，投标人应无条件接受招标文件所有条款。</w:t>
      </w:r>
    </w:p>
    <w:p w14:paraId="21E37E7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10.2.3招标文件的澄清或者修改文件，应作为招标文件组成部分并具有法律效力，任何口头答复、通知无效。招标文件的澄清或者修改在同一内容的表述上不一致时，以最后发出的公告为准。</w:t>
      </w:r>
    </w:p>
    <w:p w14:paraId="236BB13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10.2.4投标人认为招标文件存在歧视性条款或者不合理要求等需要澄清的，应在规定时间内一次性全部提出。在规定时间未一次性提出或者对已澄清的条款再提异议者，即视为同意和接受相关条款。</w:t>
      </w:r>
    </w:p>
    <w:p w14:paraId="2BED949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10.2.5从补充文件发出时间开始，投标人应在投标人须知前附表规定的时间内回复确认函，加盖投标人单位公章以及确认日期，采用信函、传真或者直接送达的形式通知采购代理机构。否则，即视为同意和接受该公告内容。</w:t>
      </w:r>
    </w:p>
    <w:p w14:paraId="3546D5D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10.3延长投标截止时间和开标时间</w:t>
      </w:r>
    </w:p>
    <w:p w14:paraId="03A7370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可以视采购具体情况，延长投标截止时间和开标时间，但至少应当在招标文件要求提交投标文件的截止时间3日前，以书面形式通知所有招标文件收受人。</w:t>
      </w:r>
    </w:p>
    <w:p w14:paraId="1BA7CB52">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34" w:name="_Toc494455660"/>
      <w:bookmarkStart w:id="35" w:name="_Toc136"/>
      <w:bookmarkStart w:id="36" w:name="_Toc9245"/>
      <w:r>
        <w:rPr>
          <w:rFonts w:hint="eastAsia" w:ascii="仿宋" w:hAnsi="仿宋" w:eastAsia="仿宋" w:cs="仿宋"/>
          <w:b/>
          <w:bCs/>
          <w:color w:val="auto"/>
          <w:sz w:val="28"/>
          <w:szCs w:val="28"/>
        </w:rPr>
        <w:t>11.投标文件的组成</w:t>
      </w:r>
      <w:bookmarkEnd w:id="34"/>
      <w:bookmarkEnd w:id="35"/>
      <w:bookmarkEnd w:id="36"/>
    </w:p>
    <w:p w14:paraId="5F2BA5A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11.1投标人应按照招标文件的要求以及格式编制投标文件，并保证其真实性、准确性以及完整性，并按照招标文件要求提交全部资料并做出实质性响应。</w:t>
      </w:r>
    </w:p>
    <w:p w14:paraId="4FC3E0C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11.2投标文件由商务文件、技术文件以及电子版投标文件组成：</w:t>
      </w:r>
    </w:p>
    <w:p w14:paraId="5364A27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11.3商务文件：详见“第六章 投标文件格式 商务文件”</w:t>
      </w:r>
    </w:p>
    <w:p w14:paraId="40FCF31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11.4技术文件：详见“第六章 投标文件格式 技术文件”</w:t>
      </w:r>
    </w:p>
    <w:p w14:paraId="1B84FA4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11.5电子版投标文件内容为技术文件、商务文件要求的内容。</w:t>
      </w:r>
    </w:p>
    <w:p w14:paraId="138A994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11.6电子版投标文件作为投标文件的一部分，均不退回。</w:t>
      </w:r>
    </w:p>
    <w:p w14:paraId="0A58D87C">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37" w:name="_Toc21912"/>
      <w:bookmarkStart w:id="38" w:name="_Toc494455661"/>
      <w:bookmarkStart w:id="39" w:name="_Toc24496"/>
      <w:r>
        <w:rPr>
          <w:rFonts w:hint="eastAsia" w:ascii="仿宋" w:hAnsi="仿宋" w:eastAsia="仿宋" w:cs="仿宋"/>
          <w:b/>
          <w:bCs/>
          <w:color w:val="auto"/>
          <w:sz w:val="28"/>
          <w:szCs w:val="28"/>
        </w:rPr>
        <w:t>12.投标报价</w:t>
      </w:r>
      <w:bookmarkEnd w:id="37"/>
      <w:bookmarkEnd w:id="38"/>
      <w:bookmarkEnd w:id="39"/>
    </w:p>
    <w:p w14:paraId="7612AEA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12.1投标报价的范围：见投标人须知前附表。</w:t>
      </w:r>
    </w:p>
    <w:p w14:paraId="3C05D8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12.2投标人应对所投包中的货物进行报价，对每一包货物的报价必须全部报齐。</w:t>
      </w:r>
    </w:p>
    <w:p w14:paraId="4611BDF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12.3投标报价的次数：见投标人须知前附表。</w:t>
      </w:r>
    </w:p>
    <w:p w14:paraId="6142118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12.4投标人不得以任何方式或者方法提供投标以外的任何附赠条款。</w:t>
      </w:r>
    </w:p>
    <w:p w14:paraId="427E188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12.5投标人应按照招标文件中要求的内容填写报价，并由法定代表人或者被授权代表签署。</w:t>
      </w:r>
    </w:p>
    <w:p w14:paraId="3F224D3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12.6投标人须按照附件格式表中的各单项明细逐项填写，以方便评标委员会对各投标文件进行比较。</w:t>
      </w:r>
    </w:p>
    <w:p w14:paraId="03DA172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12.7投标文件报价出现前后不一致的，除招标文件另有规定外，按照下列规定修正：</w:t>
      </w:r>
    </w:p>
    <w:p w14:paraId="5B2223D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（一）投标文件中开标一览表（报价表）内容与投标文件中相应内容不一致的，以开标一览表（报价表）为准；</w:t>
      </w:r>
    </w:p>
    <w:p w14:paraId="1CA6A1C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14:paraId="1502AF0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（三）单价金额小数点或者百分比有明显错位的，以开标一览表的总价为准，并修改单价；</w:t>
      </w:r>
    </w:p>
    <w:p w14:paraId="1DA6B7F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14:paraId="5B93877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同时出现两种以上不一致的，按照前款规定的顺序修正。修正后的报价经投标人确认后产生约束力，投标人不确认的，其投标无效。</w:t>
      </w:r>
    </w:p>
    <w:p w14:paraId="5FA4917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12.8唱标时，采购代理机构只对按照招标文件要求编制的投标报价进行唱标。</w:t>
      </w:r>
    </w:p>
    <w:p w14:paraId="46634F9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12.9投标人的中标价格在合同执行中是固定不变的，不得以任何理由予以变更，不得出现任何包含价格调整的要求。</w:t>
      </w:r>
    </w:p>
    <w:p w14:paraId="1AA0F2C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12.10</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不接受未经中国海关报验放进入中国境内且产自关境外的货物报价。</w:t>
      </w:r>
    </w:p>
    <w:p w14:paraId="1C284EA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12.11</w:t>
      </w:r>
      <w:r>
        <w:rPr>
          <w:rFonts w:hint="eastAsia" w:ascii="仿宋" w:hAnsi="仿宋" w:eastAsia="仿宋" w:cs="仿宋"/>
          <w:sz w:val="28"/>
          <w:szCs w:val="28"/>
          <w:highlight w:val="none"/>
          <w:lang w:val="en-GB"/>
        </w:rPr>
        <w:t>投标人须知前附表未规定可以采购进口产品的，不允许进口产品参加投标。</w:t>
      </w:r>
    </w:p>
    <w:p w14:paraId="705AF708">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40" w:name="_Toc15507"/>
      <w:bookmarkStart w:id="41" w:name="_Toc3613"/>
      <w:bookmarkStart w:id="42" w:name="_Toc494455662"/>
      <w:r>
        <w:rPr>
          <w:rFonts w:hint="eastAsia" w:ascii="仿宋" w:hAnsi="仿宋" w:eastAsia="仿宋" w:cs="仿宋"/>
          <w:b/>
          <w:bCs/>
          <w:color w:val="auto"/>
          <w:sz w:val="28"/>
          <w:szCs w:val="28"/>
        </w:rPr>
        <w:t>13.投标文件格式以及编制要求</w:t>
      </w:r>
      <w:bookmarkEnd w:id="40"/>
      <w:bookmarkEnd w:id="41"/>
      <w:bookmarkEnd w:id="42"/>
    </w:p>
    <w:p w14:paraId="65E898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13.1投标文件应按所投包分别进行编制。</w:t>
      </w:r>
    </w:p>
    <w:p w14:paraId="029E690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13.2投标文件编制装订：见投标人须知前附表。</w:t>
      </w:r>
    </w:p>
    <w:p w14:paraId="529B64D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13.3投标文件签署和盖章：见投标人须知前附表。</w:t>
      </w:r>
    </w:p>
    <w:p w14:paraId="614FF78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13.4投标人可对供货现场以及其范围环境进行考察，以获取有关编制投标文件和签署实施合同所需的各项资料，投标人应承担现场考察的费用、责任和风险。</w:t>
      </w:r>
    </w:p>
    <w:p w14:paraId="0258018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13.5投标人编制投标文件时，应当如实在技术响应表和资信以及商务响应表中填写响应情况。</w:t>
      </w:r>
    </w:p>
    <w:p w14:paraId="15D51BC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13.6投标文件份数及要求：见投标人须知前附表。</w:t>
      </w:r>
    </w:p>
    <w:p w14:paraId="68632225">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43" w:name="_Toc16732"/>
      <w:bookmarkStart w:id="44" w:name="_Toc28434"/>
      <w:bookmarkStart w:id="45" w:name="_Toc494455663"/>
      <w:r>
        <w:rPr>
          <w:rFonts w:hint="eastAsia" w:ascii="仿宋" w:hAnsi="仿宋" w:eastAsia="仿宋" w:cs="仿宋"/>
          <w:b/>
          <w:bCs/>
          <w:color w:val="auto"/>
          <w:sz w:val="28"/>
          <w:szCs w:val="28"/>
        </w:rPr>
        <w:t>14.投标文件的密封和标记</w:t>
      </w:r>
      <w:bookmarkEnd w:id="43"/>
      <w:bookmarkEnd w:id="44"/>
      <w:bookmarkEnd w:id="45"/>
    </w:p>
    <w:p w14:paraId="61F0094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见投标人须知前附表。</w:t>
      </w:r>
    </w:p>
    <w:p w14:paraId="31FA8BD6">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46" w:name="_Toc494455664"/>
      <w:bookmarkStart w:id="47" w:name="_Toc21555"/>
      <w:bookmarkStart w:id="48" w:name="_Toc17783"/>
      <w:r>
        <w:rPr>
          <w:rFonts w:hint="eastAsia" w:ascii="仿宋" w:hAnsi="仿宋" w:eastAsia="仿宋" w:cs="仿宋"/>
          <w:b/>
          <w:bCs/>
          <w:color w:val="auto"/>
          <w:sz w:val="28"/>
          <w:szCs w:val="28"/>
        </w:rPr>
        <w:t>15.投标文件的递交</w:t>
      </w:r>
      <w:bookmarkEnd w:id="46"/>
      <w:bookmarkEnd w:id="47"/>
      <w:bookmarkEnd w:id="48"/>
    </w:p>
    <w:p w14:paraId="1A8272D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15.1投标人应在投标截止时间前递交投标文件。</w:t>
      </w:r>
    </w:p>
    <w:p w14:paraId="4C1B4CC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15.2投标人递交投标文件的时间、地点和要求：见投标人须知前附表。</w:t>
      </w:r>
    </w:p>
    <w:p w14:paraId="6D3FFBD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15.3投标人有下列情况之一，</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或者采购代理机构应当拒绝接收投标人的投标文件：</w:t>
      </w:r>
    </w:p>
    <w:p w14:paraId="76B7470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15.3.1逾期送达的或者未送达指定地点的；</w:t>
      </w:r>
    </w:p>
    <w:p w14:paraId="6EAC193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15.3.2投标文件未按招标文件要求密封的。</w:t>
      </w:r>
    </w:p>
    <w:p w14:paraId="38EEE4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15.4除投标人须知前附表另有规定外，不论招标过程和结果如何，投标人的投标文件均不退还。</w:t>
      </w:r>
    </w:p>
    <w:p w14:paraId="7E478590">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49" w:name="_Toc494455665"/>
      <w:bookmarkStart w:id="50" w:name="_Toc22048"/>
      <w:bookmarkStart w:id="51" w:name="_Toc4939"/>
      <w:r>
        <w:rPr>
          <w:rFonts w:hint="eastAsia" w:ascii="仿宋" w:hAnsi="仿宋" w:eastAsia="仿宋" w:cs="仿宋"/>
          <w:b/>
          <w:bCs/>
          <w:color w:val="auto"/>
          <w:sz w:val="28"/>
          <w:szCs w:val="28"/>
        </w:rPr>
        <w:t>16.投标文件的修改与撤回</w:t>
      </w:r>
      <w:bookmarkEnd w:id="49"/>
      <w:bookmarkEnd w:id="50"/>
      <w:bookmarkEnd w:id="51"/>
    </w:p>
    <w:p w14:paraId="1047176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16.1投标人在招标文件要求提交投标文件截止时间前，可以补充、修改或者撤回已提交的投标文件，并书面形式通知</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或者采购代理机构。补充、修改的内容为投标文件的组成部分。</w:t>
      </w:r>
    </w:p>
    <w:p w14:paraId="6B93D0B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16.2投标人对投标文件的补充、修改，应按照本招标文件有关规定进行编制、密封、标记、盖章和递交，并在投标文件密封袋上，清楚标明“修改投标文件”或者“撤回投标”字样。</w:t>
      </w:r>
    </w:p>
    <w:p w14:paraId="3759DD6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16.3在提交投标文件截止时间后到招标文件规定的投标有效期终止之前，投标人不得补充、修改或者撤回其投标文件。投标人撤回全部或者部分投标文件的，其投标保证金将被没收。</w:t>
      </w:r>
    </w:p>
    <w:p w14:paraId="3686E128">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52" w:name="_Toc16466"/>
      <w:bookmarkStart w:id="53" w:name="_Toc1754"/>
      <w:bookmarkStart w:id="54" w:name="_Toc494455666"/>
      <w:r>
        <w:rPr>
          <w:rFonts w:hint="eastAsia" w:ascii="仿宋" w:hAnsi="仿宋" w:eastAsia="仿宋" w:cs="仿宋"/>
          <w:b/>
          <w:bCs/>
          <w:color w:val="auto"/>
          <w:sz w:val="28"/>
          <w:szCs w:val="28"/>
        </w:rPr>
        <w:t>17.投标保证金</w:t>
      </w:r>
      <w:bookmarkEnd w:id="52"/>
      <w:bookmarkEnd w:id="53"/>
      <w:bookmarkEnd w:id="54"/>
    </w:p>
    <w:p w14:paraId="0B7BCD0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17.1投标保证金的交纳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本项目不做要求</w:t>
      </w:r>
      <w:r>
        <w:rPr>
          <w:rFonts w:hint="eastAsia" w:ascii="仿宋" w:hAnsi="仿宋" w:eastAsia="仿宋" w:cs="仿宋"/>
          <w:sz w:val="28"/>
          <w:szCs w:val="28"/>
          <w:highlight w:val="none"/>
          <w:lang w:eastAsia="zh-CN"/>
        </w:rPr>
        <w:t>）</w:t>
      </w:r>
    </w:p>
    <w:p w14:paraId="7E0E731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17.1.1投标保证金的交纳金额和形式：见投标人须知前附表。</w:t>
      </w:r>
    </w:p>
    <w:p w14:paraId="65D5067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17.1.2投标保证金以到账时间为准。</w:t>
      </w:r>
    </w:p>
    <w:p w14:paraId="4991F5C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17.1.3投标人为联合体的，联合体牵头人交纳的保证金对联合体各方均具有约束力。</w:t>
      </w:r>
    </w:p>
    <w:p w14:paraId="1961122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17.2投标保证金的退还</w:t>
      </w:r>
    </w:p>
    <w:p w14:paraId="13DB115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17.2.1投标人在招标文件要求提交投标文件截止时间前撤回已提交的投标文件的，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或者采购代理机构自收到投标人书面撤回通知之日起5个工作日内，退还已收取的投标保证金，但因投标人自身原因导致无法及时退还的除外。</w:t>
      </w:r>
    </w:p>
    <w:p w14:paraId="6A3282C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17.2.2采购代理机构应当自中标通知书发出之日起2个工作日内退还未中标人的投标保证金，自采购合同签订之日起5个工作日内退还中标人的投标保证金或者转为中标人的履约保证金。</w:t>
      </w:r>
    </w:p>
    <w:p w14:paraId="02B569C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17.3投标保证金的不予退还</w:t>
      </w:r>
    </w:p>
    <w:p w14:paraId="4DFD94D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17.3.1投标人有下列情形之一的，投标保证金将不予退还：</w:t>
      </w:r>
    </w:p>
    <w:p w14:paraId="361104E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（1）提供的有关资料不真实或者提供虚假材料的；</w:t>
      </w:r>
    </w:p>
    <w:p w14:paraId="60B333C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（2）投标有效期内投标人撤销投标文件的；</w:t>
      </w:r>
    </w:p>
    <w:p w14:paraId="36DFBB8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（3）损害</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或者采购代理机构合法权益的；</w:t>
      </w:r>
    </w:p>
    <w:p w14:paraId="2AA863E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（4）投标人向采购代理机构、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、专家提供不正当利益的；</w:t>
      </w:r>
    </w:p>
    <w:p w14:paraId="736646F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（5）经评标委员会认定有故意哄抬报价、串标或者其它违法行为的;</w:t>
      </w:r>
    </w:p>
    <w:p w14:paraId="50817C5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（6）中标人未按照招标文件规定签订合同或者未按照招标文件规定提供履约保证金的；</w:t>
      </w:r>
    </w:p>
    <w:p w14:paraId="26951A6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（7）法律、行政法规以及有关规定的其它情形。</w:t>
      </w:r>
    </w:p>
    <w:p w14:paraId="2935D4E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17.3.2不予退还的投标保证金应在规定时间内上缴国库。</w:t>
      </w:r>
    </w:p>
    <w:p w14:paraId="5B65BED0">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55" w:name="_Toc494455670"/>
      <w:bookmarkStart w:id="56" w:name="_Toc5946"/>
      <w:bookmarkStart w:id="57" w:name="_Toc18149"/>
      <w:bookmarkStart w:id="58" w:name="_Toc494455667"/>
      <w:r>
        <w:rPr>
          <w:rFonts w:hint="eastAsia" w:ascii="仿宋" w:hAnsi="仿宋" w:eastAsia="仿宋" w:cs="仿宋"/>
          <w:b/>
          <w:bCs/>
          <w:color w:val="auto"/>
          <w:sz w:val="28"/>
          <w:szCs w:val="28"/>
        </w:rPr>
        <w:t>18.开标、评标、定标</w:t>
      </w:r>
      <w:bookmarkEnd w:id="55"/>
      <w:bookmarkEnd w:id="56"/>
      <w:bookmarkEnd w:id="57"/>
    </w:p>
    <w:p w14:paraId="5637207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59" w:name="_Toc494455671"/>
      <w:r>
        <w:rPr>
          <w:rFonts w:hint="eastAsia" w:ascii="仿宋" w:hAnsi="仿宋" w:eastAsia="仿宋" w:cs="仿宋"/>
          <w:sz w:val="28"/>
          <w:szCs w:val="28"/>
          <w:highlight w:val="none"/>
        </w:rPr>
        <w:t>18.1开标程序</w:t>
      </w:r>
      <w:bookmarkEnd w:id="59"/>
    </w:p>
    <w:p w14:paraId="7FA1B72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18.1.1宣布开标纪律；</w:t>
      </w:r>
    </w:p>
    <w:p w14:paraId="278DCF0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18.1.2宣布主持人、唱标人、记录人等有关人员姓名；</w:t>
      </w:r>
    </w:p>
    <w:p w14:paraId="752439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18.1.3公布在投标截止时间前递交投标文件的投标人名称及签到顺序；</w:t>
      </w:r>
    </w:p>
    <w:p w14:paraId="11FF19A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18.1.4投标人相互检查投标文件密封情况，并签字确认；</w:t>
      </w:r>
    </w:p>
    <w:p w14:paraId="73D6D6E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18.1.5由公证人员、</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及监督对各投标单位验资，各投标人在验资表上签字确认；</w:t>
      </w:r>
    </w:p>
    <w:p w14:paraId="40C15FE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18.1.6开启投标文件，按照签到顺序公布投标人名称、投标报价等内容，并记录在案；</w:t>
      </w:r>
    </w:p>
    <w:p w14:paraId="45E46A5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18.1.7投标人法定代表人（或者被授权代表）、</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代表、记录人等有关人员在开标记录上签字确认；</w:t>
      </w:r>
    </w:p>
    <w:p w14:paraId="1027643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18.1.8开标结束。</w:t>
      </w:r>
    </w:p>
    <w:p w14:paraId="250381A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0" w:name="_Toc494455672"/>
      <w:r>
        <w:rPr>
          <w:rFonts w:hint="eastAsia" w:ascii="仿宋" w:hAnsi="仿宋" w:eastAsia="仿宋" w:cs="仿宋"/>
          <w:sz w:val="28"/>
          <w:szCs w:val="28"/>
          <w:highlight w:val="none"/>
        </w:rPr>
        <w:t>18.2开标</w:t>
      </w:r>
      <w:bookmarkEnd w:id="60"/>
    </w:p>
    <w:p w14:paraId="40818AB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18.2.1开标应当在招标文件确定的提交投标文件截止时间的同一时间公开进行。开标地点应当为招标文件中预先确定的地点。</w:t>
      </w:r>
    </w:p>
    <w:p w14:paraId="5EABCBC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18.2.2</w:t>
      </w:r>
      <w:r>
        <w:rPr>
          <w:rFonts w:hint="eastAsia" w:ascii="仿宋" w:hAnsi="仿宋" w:eastAsia="仿宋" w:cs="仿宋"/>
          <w:sz w:val="28"/>
          <w:szCs w:val="28"/>
          <w:highlight w:val="none"/>
          <w:lang w:val="en-US" w:eastAsia="zh-CN"/>
        </w:rPr>
        <w:t>供应商应在供应商须知规定的时间内完成解密</w:t>
      </w:r>
      <w:r>
        <w:rPr>
          <w:rFonts w:hint="eastAsia" w:ascii="仿宋" w:hAnsi="仿宋" w:eastAsia="仿宋" w:cs="仿宋"/>
          <w:sz w:val="28"/>
          <w:szCs w:val="28"/>
          <w:highlight w:val="none"/>
        </w:rPr>
        <w:t>。</w:t>
      </w:r>
    </w:p>
    <w:p w14:paraId="0474776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18.2.3由采购代理机构工作人员唱标。</w:t>
      </w:r>
    </w:p>
    <w:p w14:paraId="5321334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14:paraId="5D3F225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18.2.4开标和唱标由采购代理机构指定专人负责，开标记录由投标人法定代表人或者被授权代表、</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代表、记录人等有关人员签字确认，采购代理机构负责存档备查。</w:t>
      </w:r>
    </w:p>
    <w:p w14:paraId="25AD505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18.2.5投标人代表对开标过程和开标记录有疑义，以及认为</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、采购代理机构相关工作人员有需要回避的情形的，应当场提出询问或者回避申请。</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、采购代理机构对投标人代表提出的询问或者回避申请应当及时处理。投标人未参加开标的，视同认可开标结果。</w:t>
      </w:r>
    </w:p>
    <w:p w14:paraId="51CCC69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18.2.6投标人不足3家的，不得开标。</w:t>
      </w:r>
    </w:p>
    <w:p w14:paraId="27D9EF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1" w:name="_Toc494455673"/>
      <w:r>
        <w:rPr>
          <w:rFonts w:hint="eastAsia" w:ascii="仿宋" w:hAnsi="仿宋" w:eastAsia="仿宋" w:cs="仿宋"/>
          <w:sz w:val="28"/>
          <w:szCs w:val="28"/>
          <w:highlight w:val="none"/>
        </w:rPr>
        <w:t>18.3评标委员会</w:t>
      </w:r>
      <w:bookmarkEnd w:id="61"/>
    </w:p>
    <w:p w14:paraId="3F85687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18.3.1评标委员会的组成</w:t>
      </w:r>
    </w:p>
    <w:p w14:paraId="7F108B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按照《中华人民共和国政府采购法》以及有关规定组建评标委员会。评标由依法组建的评标委员会负责。评标委员会由</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代表和评标专家组成，成员人数为</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人以上单数，技术、经济等方面的评审专家不得少于成员总数的三分之二。评审专家对本单位的采购项目只能作为</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代表参与评标，</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可以自行选定相应专业领域评审专家的规定情形除外。采购代理机构工作人员不得参加由本机构代理的政府采购项目的评标。</w:t>
      </w:r>
    </w:p>
    <w:p w14:paraId="1547A9F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18.3.2评审专家的抽取</w:t>
      </w:r>
    </w:p>
    <w:p w14:paraId="51791CC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18.3.2.1采用随机抽取方式从地区以上财政部门设立的政府采购评审专家库中抽取评审专家。任何单位和个人都不得指定评审专家或干预评审专家的抽取工作。</w:t>
      </w:r>
    </w:p>
    <w:p w14:paraId="1C0DD14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18.3.2.2参加评审专家抽取的有关人员对被抽取的专家的姓名、单位和联系方式等内容负有保密的义务。评标委员会成员的名单在中标结果确定前必须严格保密。</w:t>
      </w:r>
    </w:p>
    <w:p w14:paraId="050514E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18.3.3评标委员会成员不得参加与自己有利害关系的评审活动，与自己有利害关系的应当回避，已经进入的必须更换。</w:t>
      </w:r>
    </w:p>
    <w:p w14:paraId="5E27AB6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18.3.4评标委员会负责对各投标文件进行评审、比较、评定，并按本招标文件的规定确定中标候选人名单，以及根据</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委托直接确定中标人。</w:t>
      </w:r>
    </w:p>
    <w:p w14:paraId="306DB07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14:paraId="3577975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18.3.6评标委员会的职责：</w:t>
      </w:r>
    </w:p>
    <w:p w14:paraId="0FEEF2B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18.3.6.1审查、评价投标文件是否符合招标文件的商务、技术等实质性要求；</w:t>
      </w:r>
    </w:p>
    <w:p w14:paraId="3F8396D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18.3.6.2要求投标人对投标文件有关事项作出澄清或者说明；</w:t>
      </w:r>
    </w:p>
    <w:p w14:paraId="7FFD2FA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18.3.6.3对投标文件进行比较和评价；</w:t>
      </w:r>
    </w:p>
    <w:p w14:paraId="17D177B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18.3.6.4确定中标候选人名单，以及根据</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委托直接确定中标人；</w:t>
      </w:r>
    </w:p>
    <w:p w14:paraId="0690BB4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18.3.6.5向</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、采购代理机构或者有关部门报告评标中发现的违法行为。</w:t>
      </w:r>
    </w:p>
    <w:p w14:paraId="370F1B0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18.3.7评标委员会的义务：</w:t>
      </w:r>
    </w:p>
    <w:p w14:paraId="1D039F0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18.3.7.1遵纪守法，客观、公正、廉洁地履行职责；</w:t>
      </w:r>
    </w:p>
    <w:p w14:paraId="1B09E08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18.3.7.2提出真实、可靠的评审意见；</w:t>
      </w:r>
    </w:p>
    <w:p w14:paraId="33C2555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18.3.7.3严格遵守评标纪律，不得向外界泄露评标情况；</w:t>
      </w:r>
    </w:p>
    <w:p w14:paraId="6A03726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18.3.7.4发现投标人在招投标活动中有不正当竞争或者恶意串通等违规行为，应及时向监督部门报告并加以制止；</w:t>
      </w:r>
    </w:p>
    <w:p w14:paraId="63E2A37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18.3.7.5按照招标文件规定的评标方法和评标标准进行评标，对评标意见承担个人责任；</w:t>
      </w:r>
    </w:p>
    <w:p w14:paraId="6BC2596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18.3.7.6编写评标报告；</w:t>
      </w:r>
    </w:p>
    <w:p w14:paraId="6BBA6B1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18.3.7.7配合</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或者采购代理机构答复投标人提出的质疑；</w:t>
      </w:r>
    </w:p>
    <w:p w14:paraId="25712FB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18.3.7.8对评标过程和结果，以及</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、投标人的商业秘密保密；</w:t>
      </w:r>
    </w:p>
    <w:p w14:paraId="250AE41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18.3.7.9配合监管部门处理投诉；</w:t>
      </w:r>
    </w:p>
    <w:p w14:paraId="7A2729A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18.3.8评标委员会成员有下列情形之一的，应当回避：</w:t>
      </w:r>
    </w:p>
    <w:p w14:paraId="79E573A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18.3.8.1投标人或者投标人主要负责人的近亲属；</w:t>
      </w:r>
    </w:p>
    <w:p w14:paraId="4DFB35B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18.3.8.2项目主管部门或者行政监督部门的人员；</w:t>
      </w:r>
    </w:p>
    <w:p w14:paraId="4151408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18.3.8.3与投标人有经济利益关系；</w:t>
      </w:r>
    </w:p>
    <w:p w14:paraId="1EEA34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18.3.8.4曾因在招标、评标以及其他与招标投标有关系活动中从事违法行为而受到行政处罚或者刑事处罚的；</w:t>
      </w:r>
    </w:p>
    <w:p w14:paraId="1EAF716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18.3.8.5与投标人有其他利害关系。</w:t>
      </w:r>
    </w:p>
    <w:p w14:paraId="4CDB149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18.3.9评标中因评标委员会成员缺席、回避或者健康等特殊原因导致评标委员会组成不符合本办法规定的，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或者采购代理机构应当依法补足后继续评标。被更换的评标委员会成员所作出的评标意见无效。</w:t>
      </w:r>
    </w:p>
    <w:p w14:paraId="2C51EC0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无法及时补足评标委员会成员的，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或者采购代理机构应当停止评标活动，封存所有投标文件和开标、评标资料，依法重新组建评标委员会进行评标。原评标委员会所作出的评标意见无效。</w:t>
      </w:r>
    </w:p>
    <w:p w14:paraId="5F9F7C6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或者采购代理机构应当将变更、重新组建评标委员会的情况予以记录，并随采购文件一并存档。</w:t>
      </w:r>
    </w:p>
    <w:p w14:paraId="1CB3459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2" w:name="_Toc494455674"/>
      <w:r>
        <w:rPr>
          <w:rFonts w:hint="eastAsia" w:ascii="仿宋" w:hAnsi="仿宋" w:eastAsia="仿宋" w:cs="仿宋"/>
          <w:sz w:val="28"/>
          <w:szCs w:val="28"/>
          <w:highlight w:val="none"/>
        </w:rPr>
        <w:t>18.4评标程序</w:t>
      </w:r>
      <w:bookmarkEnd w:id="62"/>
    </w:p>
    <w:p w14:paraId="213DAE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18.4.1宣布评标纪律以及回避提示；</w:t>
      </w:r>
    </w:p>
    <w:p w14:paraId="7F98F8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18.4.2组织推荐评标委员会组长；</w:t>
      </w:r>
    </w:p>
    <w:p w14:paraId="28C6F84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18.4.3资格性审查；</w:t>
      </w:r>
    </w:p>
    <w:p w14:paraId="73F2945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18.4.4符合性审查；</w:t>
      </w:r>
    </w:p>
    <w:p w14:paraId="731A7E3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18.4.5技术和商务评审；</w:t>
      </w:r>
    </w:p>
    <w:p w14:paraId="11176CB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18.4.6澄清有关问题；</w:t>
      </w:r>
    </w:p>
    <w:p w14:paraId="5CD3CC6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18.4.7比较与评价；</w:t>
      </w:r>
    </w:p>
    <w:p w14:paraId="545F398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18.4.8确定中标人或者推荐中标候选人名单；</w:t>
      </w:r>
    </w:p>
    <w:p w14:paraId="34E92E5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18.4.9编写评标报告；</w:t>
      </w:r>
    </w:p>
    <w:p w14:paraId="78DB26B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18.4.10宣布评标结果。</w:t>
      </w:r>
    </w:p>
    <w:p w14:paraId="76B0AC3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3" w:name="_Toc494455675"/>
      <w:r>
        <w:rPr>
          <w:rFonts w:hint="eastAsia" w:ascii="仿宋" w:hAnsi="仿宋" w:eastAsia="仿宋" w:cs="仿宋"/>
          <w:sz w:val="28"/>
          <w:szCs w:val="28"/>
          <w:highlight w:val="none"/>
        </w:rPr>
        <w:t>18.5评标</w:t>
      </w:r>
      <w:bookmarkEnd w:id="63"/>
    </w:p>
    <w:p w14:paraId="42BCCFE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或者采购代理机构负责组织评标工作，并履行下列职责：</w:t>
      </w:r>
    </w:p>
    <w:p w14:paraId="72DA26E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18.5.1.1核对评审专家身份和</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代表授权函，对评审专家在政府采购活动中的职责履行情况予以记录，并及时将有关违法违规行为向财政部门报告；</w:t>
      </w:r>
    </w:p>
    <w:p w14:paraId="176D63E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18.5.1.2宣布评标纪律；</w:t>
      </w:r>
    </w:p>
    <w:p w14:paraId="5AB28CE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18.5.1.3公布投标人名单，告知评审专家应当回避的情形；</w:t>
      </w:r>
    </w:p>
    <w:p w14:paraId="651922A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18.5.1.4组织评标委员会推选评标组长，</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代表不得担任组长；</w:t>
      </w:r>
    </w:p>
    <w:p w14:paraId="32D54AC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18.5.1.5在评标期间采取必要的通讯管理措施，保证评标活动不受外界干扰；</w:t>
      </w:r>
    </w:p>
    <w:p w14:paraId="18F1546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18.5.1.6根据评标委员会的要求介绍政府采购相关政策法规、招标文件；</w:t>
      </w:r>
    </w:p>
    <w:p w14:paraId="5151810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18.5.1.7维护评标秩序，监督评标委员会依照招标文件规定的评标程序、方法和标准进行独立评审，及时制止和纠正</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代表、评审专家的倾向性言论或者违法违规行为；</w:t>
      </w:r>
    </w:p>
    <w:p w14:paraId="28AF8AC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18.5.1.8核对评标结果，有以下情形的，要求评标委员会复核或者书面说明理由，评标委员会拒绝的，应予记录并向本级财政部门报告；</w:t>
      </w:r>
    </w:p>
    <w:p w14:paraId="4B096B0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18.5.1.8.1分值汇总计算错误的；</w:t>
      </w:r>
    </w:p>
    <w:p w14:paraId="4FE2406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18.5.1.8.2分项评分超出评分标准范围的；</w:t>
      </w:r>
    </w:p>
    <w:p w14:paraId="0B8524C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18.5.1.8.3评标委员会成员对客观评审因素评分不一致的；</w:t>
      </w:r>
    </w:p>
    <w:p w14:paraId="10836A7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18.5.1.8.4经评标委员会认定评分畸高、畸低的。</w:t>
      </w:r>
    </w:p>
    <w:p w14:paraId="77F2935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18.5.1.9评审工作完成后，按照规定向评审专家支付劳务报酬和异地评审差旅费，不得向评审专家以外的其他人员支付评审劳务报酬；</w:t>
      </w:r>
    </w:p>
    <w:p w14:paraId="4A7BB78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18.5.1.10处理与评标有关的其他事项。</w:t>
      </w:r>
    </w:p>
    <w:p w14:paraId="1A4A575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可以在评标前说明项目背景和采购需求，说明内容不得含有歧视性、倾向性意见，不得超出招标文件所述范围。说明应当提交书面材料，并随采购文件一并存档。</w:t>
      </w:r>
    </w:p>
    <w:p w14:paraId="711DFCF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18.5.2资格性审查</w:t>
      </w:r>
    </w:p>
    <w:p w14:paraId="5E36954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18.5.2.1评标委员会依据法律法规和招标文件的规定，对投标文件中的资格证明、投标保证金等进行审查，以确定投标人是否具备投标资格。</w:t>
      </w:r>
    </w:p>
    <w:p w14:paraId="577E6E0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18.5.2.2</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14:paraId="684B0C3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18.5.3符合性审查</w:t>
      </w:r>
    </w:p>
    <w:p w14:paraId="63AF4A2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评标委员会依据招标文件的规定，从投标文件的有效性、完整性和对招标文件的响应程度进行审查，以确定是否对招标文件的实质性要求作出响应。</w:t>
      </w:r>
    </w:p>
    <w:p w14:paraId="274343E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18.5.4技术和商务评审</w:t>
      </w:r>
    </w:p>
    <w:p w14:paraId="41CE4A4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18.5.4.1按照招标文件要求，评标委员会审查投标人所投货物和服务的规格、质量、数量以及服务等技术要求和参数，进行技术部分的评审，并记录实质性响应、技术偏离等事项。</w:t>
      </w:r>
    </w:p>
    <w:p w14:paraId="42CF047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18.5.4.2按照招标文件要求，评标委员会审查投标人业绩、政策性加分、价格扣除等事项，进行商务部分评审，并记录相关事项。</w:t>
      </w:r>
    </w:p>
    <w:p w14:paraId="414D4A2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14:paraId="06669E2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18.5.4.4采用综合评分法的，商务部分由评标委员会审核认定评分结果，交各投标人签字确认。</w:t>
      </w:r>
    </w:p>
    <w:p w14:paraId="5081E2E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18.5.4.5采用最低评标价法的采购项目，提供相同品牌产品（非单一产品采购项目，系指</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确定的核心产品）的不同投标人参加同一合同项下投标的，以其中通过资格审查、符合性审查且报价最低的参加评标；报价相同的，由</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委托评标委员会采取随机抽取的方式确定一个参加评标的投标人，其他投标无效。</w:t>
      </w:r>
    </w:p>
    <w:p w14:paraId="5AA6EB3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18.5.4.6使用综合评分法的采购项目，提供相同品牌产品（非单一产品采购项目，系指</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确定的核心产品）且通过资格审查、符合性审查的不同投标人参加同一合同项下投标的，按一家投标人计算，评审后得分最高的同品牌投标人获得中标人推荐资格；评审得分相同的，由</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委托评标委员会采取随机抽取的方式确定一个投标人获得中标人推荐资格，其他同品牌投标人不作为中标候选人。</w:t>
      </w:r>
    </w:p>
    <w:p w14:paraId="120A09A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18.5.4.7评标委员会发现招标文件存在歧义、重大缺陷导致评标工作无法进行，或者招标文件内容违反国家有关强制性规定的，应当停止评标工作，与</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或者采购代理机构沟通并作书面记录。</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或者采购代理机构确认后，应当修改招标文件，重新组织采购活动。</w:t>
      </w:r>
    </w:p>
    <w:p w14:paraId="376CEF7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4" w:name="_Toc494455676"/>
      <w:r>
        <w:rPr>
          <w:rFonts w:hint="eastAsia" w:ascii="仿宋" w:hAnsi="仿宋" w:eastAsia="仿宋" w:cs="仿宋"/>
          <w:sz w:val="28"/>
          <w:szCs w:val="28"/>
          <w:highlight w:val="none"/>
        </w:rPr>
        <w:t>18.6澄清有关问题</w:t>
      </w:r>
      <w:bookmarkEnd w:id="64"/>
    </w:p>
    <w:p w14:paraId="6875211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14:paraId="11F5DA1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18.6.2评标委员会判断投标文件的响应性仅基于投标文件本身而不靠外部因素。未响应实质性条款的，评标委员会有权确定其投标无效，投标人不能通过修正、撤销或者澄清不符之处而使其投标成为实质性响应的投标。</w:t>
      </w:r>
    </w:p>
    <w:p w14:paraId="4C59F44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678AD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5" w:name="_Toc494455677"/>
      <w:r>
        <w:rPr>
          <w:rFonts w:hint="eastAsia" w:ascii="仿宋" w:hAnsi="仿宋" w:eastAsia="仿宋" w:cs="仿宋"/>
          <w:sz w:val="28"/>
          <w:szCs w:val="28"/>
          <w:highlight w:val="none"/>
        </w:rPr>
        <w:t>18.7定标</w:t>
      </w:r>
      <w:bookmarkEnd w:id="65"/>
    </w:p>
    <w:p w14:paraId="60D5173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18.7.1评标委员会根据投标人须知前附表的规定确定中标候选人或直接确定中标人。</w:t>
      </w:r>
    </w:p>
    <w:p w14:paraId="445C08B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评标委员会确定中标候选人的，中标候选人数见投标人须知前附表。</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应当自收到评标报告之日起５个工作日内，在评标报告确定的中标候选人名单中按顺序确定中标人。中标候选人并列的，由</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委托评标委员会按照招标文件规定的方式确定中标人；招标文件未规定的，采取随机抽取的方式确定。</w:t>
      </w:r>
    </w:p>
    <w:p w14:paraId="1D7BDF1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18.7.2本次招标评标办法：见投标人须知前附表。</w:t>
      </w:r>
    </w:p>
    <w:p w14:paraId="201E61A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8CE2E0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18.7.4采用最低评标价法的，评标结果按投标报价由低到高顺序排列，投标报价相同的并列。投标文件满足招标文件全部实质性要求且投标报价最低的投标人为排名第一的中标候选人。</w:t>
      </w:r>
    </w:p>
    <w:p w14:paraId="726C21B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14:paraId="71C09B9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根据前项规定，导致各包参与综合得分排名的投标人不足3家时，评委会认为不足以构成竞争的有权对该包予以废标。</w:t>
      </w:r>
    </w:p>
    <w:p w14:paraId="15B7420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18.7.6按照有关规定中标人因不可抗力或者自身原因不能履行政府采购合同的，报经同级财政部门同意后，可顺延排序第二的投标人中标；或者报同级财政部门同意后，做废标处理，由</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依法重新组织招标。</w:t>
      </w:r>
    </w:p>
    <w:p w14:paraId="453A939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18.7.7以入围方式确定多个中标人的，入围中标人数量应当根据招标需要并在招标活动开始前确定，由评标委员会按照招标文件规定的评标办法确定各投标人排列顺序，依照顺序确定入围中标人。</w:t>
      </w:r>
    </w:p>
    <w:p w14:paraId="28B570F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18.7.8评标委员会成员对需要共同认定的事项存在争议的，应当按照少数服从多数的原则作出结论。持不同意见的评标委员会成员应当在评标报告上签署不同意见及理由，否则视为同意评标报告。</w:t>
      </w:r>
    </w:p>
    <w:p w14:paraId="190B111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18.7.9评标结果汇总完成后，除下列情形外，任何人不得修改评标结果：</w:t>
      </w:r>
    </w:p>
    <w:p w14:paraId="4E3E5AB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（一）分值汇总计算错误的；</w:t>
      </w:r>
    </w:p>
    <w:p w14:paraId="3D14E75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（二）分项评分超出评分标准范围的；</w:t>
      </w:r>
    </w:p>
    <w:p w14:paraId="69ADC63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（三）评标委员会成员对客观评审因素评分不一致的；</w:t>
      </w:r>
    </w:p>
    <w:p w14:paraId="5313317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（四）经评标委员会认定评分畸高、畸低的。</w:t>
      </w:r>
    </w:p>
    <w:p w14:paraId="10C66EF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评标报告签署前，经复核发现存在以上情形之一的，评标委员会应当当场修改评标结果，并在评标报告中记载；评标报告签署后，</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或者采购代理机构发现存在以上情形之一的，应当组织原评标委员会进行重新评审，重新评审改变评标结果的，书面报告本级财政部门。</w:t>
      </w:r>
    </w:p>
    <w:p w14:paraId="1D5406C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6" w:name="_Toc494455678"/>
      <w:r>
        <w:rPr>
          <w:rFonts w:hint="eastAsia" w:ascii="仿宋" w:hAnsi="仿宋" w:eastAsia="仿宋" w:cs="仿宋"/>
          <w:sz w:val="28"/>
          <w:szCs w:val="28"/>
          <w:highlight w:val="none"/>
        </w:rPr>
        <w:t>18.7.10评标委员会根据全体评标成员签字的原始评标记录和评标结果编写评标报告。</w:t>
      </w:r>
      <w:bookmarkEnd w:id="66"/>
    </w:p>
    <w:p w14:paraId="51E88B0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7" w:name="_Toc494455679"/>
      <w:r>
        <w:rPr>
          <w:rFonts w:hint="eastAsia" w:ascii="仿宋" w:hAnsi="仿宋" w:eastAsia="仿宋" w:cs="仿宋"/>
          <w:sz w:val="28"/>
          <w:szCs w:val="28"/>
          <w:highlight w:val="none"/>
        </w:rPr>
        <w:t>18.8中标公告以及中标通知书</w:t>
      </w:r>
      <w:bookmarkEnd w:id="67"/>
    </w:p>
    <w:p w14:paraId="1CD2E87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18.8.1</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应当自中标人确定之日起2个工作日内，发出中标通知书，并在相关媒介公告中标结果（公告期限为1个工作日），招标文件随中标结果同时公告；采用综合评分法评审的，还应当告知未中标人本人的评审得分与排序。</w:t>
      </w:r>
    </w:p>
    <w:p w14:paraId="51F6F90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18.8.2</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或采购代理机构不按照规定发布中标公告或者发布中标公告后不签发中标通知书的，应当承担法律责任，给中标人造成经济损失的应承担赔偿责任。</w:t>
      </w:r>
    </w:p>
    <w:p w14:paraId="1D810D3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18.8.3中标通知书对</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和中标人都具有法律效力。中标通知书发出后，</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改变中标结果的，或者中标人放弃中标，应当依法承担法律责任。</w:t>
      </w:r>
    </w:p>
    <w:p w14:paraId="735AD2E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8" w:name="_Toc494455680"/>
      <w:r>
        <w:rPr>
          <w:rFonts w:hint="eastAsia" w:ascii="仿宋" w:hAnsi="仿宋" w:eastAsia="仿宋" w:cs="仿宋"/>
          <w:sz w:val="28"/>
          <w:szCs w:val="28"/>
          <w:highlight w:val="none"/>
        </w:rPr>
        <w:t>18.9投标无效</w:t>
      </w:r>
      <w:bookmarkEnd w:id="68"/>
    </w:p>
    <w:p w14:paraId="7E336E2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出现下列情形之一的，投标无效：</w:t>
      </w:r>
    </w:p>
    <w:p w14:paraId="217996B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18.9.1报价超过招标文件中规定的预算金额或者最高限价的；</w:t>
      </w:r>
    </w:p>
    <w:p w14:paraId="32ED309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18.9.2对招标文件要求的不可更改的参数未做出实质性响应或者发生负偏离的；</w:t>
      </w:r>
    </w:p>
    <w:p w14:paraId="10E6EC4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18.9.3应提供而未提供标注的政府强制采购节能、环保产品的；</w:t>
      </w:r>
    </w:p>
    <w:p w14:paraId="3114D01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18.9.4对于不允许偏离的实质性要求和条件发生偏离的；</w:t>
      </w:r>
    </w:p>
    <w:p w14:paraId="597E38A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18.9.5不按照招标文件规定报价、没有分项报价、拒绝报价、有多个报价（招标文件另有规定的除外）、有选择性报价、附有条件的报价或者拒绝修正报价的；</w:t>
      </w:r>
    </w:p>
    <w:p w14:paraId="795D18D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18.9.</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未按照招标文件的规定提交投标保证金的；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本项不做要求</w:t>
      </w:r>
      <w:r>
        <w:rPr>
          <w:rFonts w:hint="eastAsia" w:ascii="仿宋" w:hAnsi="仿宋" w:eastAsia="仿宋" w:cs="仿宋"/>
          <w:sz w:val="28"/>
          <w:szCs w:val="28"/>
          <w:highlight w:val="none"/>
          <w:lang w:eastAsia="zh-CN"/>
        </w:rPr>
        <w:t>）</w:t>
      </w:r>
    </w:p>
    <w:p w14:paraId="6E9DBFB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投标有效期不满足招标文件要求的；</w:t>
      </w:r>
    </w:p>
    <w:p w14:paraId="23C3BD3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评标委员会2/3及以上成员认定投标方案技术含量低、不符合招标文件要求的；</w:t>
      </w:r>
    </w:p>
    <w:p w14:paraId="156FA2E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评标委员会判定投标人涂改证明材料或者提供虚假材料和承诺的；</w:t>
      </w:r>
    </w:p>
    <w:p w14:paraId="4194BC0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投标文件未按招标文件要求编制、签署、盖章的；</w:t>
      </w:r>
    </w:p>
    <w:p w14:paraId="3AB8768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资格、资信等证明文件可以为复印件的，复印件未加盖单位公章的；</w:t>
      </w:r>
    </w:p>
    <w:p w14:paraId="1CDF208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投标文件含有</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不能接受的附加条件的；</w:t>
      </w:r>
    </w:p>
    <w:p w14:paraId="1EEAB96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18.9.</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法律、法规和招标文件规定的其他无效情形。</w:t>
      </w:r>
    </w:p>
    <w:p w14:paraId="07D405C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69" w:name="_Toc494455681"/>
      <w:r>
        <w:rPr>
          <w:rFonts w:hint="eastAsia" w:ascii="仿宋" w:hAnsi="仿宋" w:eastAsia="仿宋" w:cs="仿宋"/>
          <w:sz w:val="28"/>
          <w:szCs w:val="28"/>
          <w:highlight w:val="none"/>
        </w:rPr>
        <w:t>18.10废标</w:t>
      </w:r>
      <w:bookmarkEnd w:id="69"/>
    </w:p>
    <w:p w14:paraId="5B212A3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18.10.1出现下列情形之一的，应予废标：</w:t>
      </w:r>
    </w:p>
    <w:p w14:paraId="58C2A9C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18.10.1.1在投标截止时间后参加投标的投标人不足3家或者通过资格审查或符合性审查的投标人不足3家的；</w:t>
      </w:r>
    </w:p>
    <w:p w14:paraId="5EA85AF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18.10.1.2出现影响采购公正的违法违规行为的；</w:t>
      </w:r>
    </w:p>
    <w:p w14:paraId="5E3CC6C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18.10.1.3投标人的报价均超过预算金额或者最高限价的；</w:t>
      </w:r>
    </w:p>
    <w:p w14:paraId="00AFB5D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18.10.1.4因重大变故，采购任务取消的；</w:t>
      </w:r>
    </w:p>
    <w:p w14:paraId="6BC1C6F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18.10.1.5法律、法规以及招标文件规定的其他废标情形。</w:t>
      </w:r>
    </w:p>
    <w:p w14:paraId="502D430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18.10.2废标后，</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或者采购代理机构应当将废标理由通知所有投标人。</w:t>
      </w:r>
    </w:p>
    <w:p w14:paraId="5DF2B67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70" w:name="_Toc494455682"/>
      <w:r>
        <w:rPr>
          <w:rFonts w:hint="eastAsia" w:ascii="仿宋" w:hAnsi="仿宋" w:eastAsia="仿宋" w:cs="仿宋"/>
          <w:sz w:val="28"/>
          <w:szCs w:val="28"/>
          <w:highlight w:val="none"/>
        </w:rPr>
        <w:t>18.11特殊情况处置程序</w:t>
      </w:r>
      <w:bookmarkEnd w:id="70"/>
    </w:p>
    <w:p w14:paraId="41A398D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18.11.1评标委员会成员的更换</w:t>
      </w:r>
    </w:p>
    <w:p w14:paraId="2AB2828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18.11.1.1评标委员会应当执行连续评标的原则，按照招标文件规定的程序、内容、方法、标准完成全部评标工作。出现评审专家临时缺席、回避等情形导致评审现场专家数量不符合法定标准的，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或者采购代理机构要按照有关程序及时补抽专家，继续组织评审。如无法及时补齐专家，则要立即停止评审工作，封存招标文件和所有投标文件，择期重新组建评标委员会进行评审。</w:t>
      </w:r>
    </w:p>
    <w:p w14:paraId="58136E8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18.11.1.2退出评标委员会的成员，其已完成的评审行为无效。由</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向监督人员提出更换评标委员会成员意见并获准后，根据本招标文件规定的评标委员会成员产生方式另行确定替代者进行评标。</w:t>
      </w:r>
    </w:p>
    <w:p w14:paraId="5826BC1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18.11.2记名投票</w:t>
      </w:r>
    </w:p>
    <w:p w14:paraId="48A93AD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在评标过程中，评标委员会发生分歧或者评审结论有异议需表决的，按照少数服从多数的原则，由评标委员会全体成员以记名投票方式表决。</w:t>
      </w:r>
    </w:p>
    <w:p w14:paraId="206DF6C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18.11.3延期开标</w:t>
      </w:r>
    </w:p>
    <w:p w14:paraId="3AF76A0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因特殊情况需要推迟开标时间的，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或者采购代理机构必须提前报监督部门审批，经批准后按规定提前告知所有参加投标的投标人，否则必须按时开标。</w:t>
      </w:r>
    </w:p>
    <w:p w14:paraId="4880806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71" w:name="_Toc494455683"/>
      <w:r>
        <w:rPr>
          <w:rFonts w:hint="eastAsia" w:ascii="仿宋" w:hAnsi="仿宋" w:eastAsia="仿宋" w:cs="仿宋"/>
          <w:sz w:val="28"/>
          <w:szCs w:val="28"/>
          <w:highlight w:val="none"/>
        </w:rPr>
        <w:t>18.12违法违规情形</w:t>
      </w:r>
      <w:bookmarkEnd w:id="71"/>
    </w:p>
    <w:p w14:paraId="66BCF16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18.12.1有下列情形之一的，属于投标人相互串通投标：</w:t>
      </w:r>
    </w:p>
    <w:p w14:paraId="3D9AC2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18.12.1.1投标人之间协商投标报价等投标文件的实质性内容；</w:t>
      </w:r>
    </w:p>
    <w:p w14:paraId="40929AB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18.12.1.2投标人之间约定中标人；</w:t>
      </w:r>
    </w:p>
    <w:p w14:paraId="22A0D27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18.12.1.3投标人之间约定部分投标人放弃投标或者中标；</w:t>
      </w:r>
    </w:p>
    <w:p w14:paraId="427E5F9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18.12.1.4属于同一集团、协会、商会等组织成员的投标人按照该组织要求协同投标；</w:t>
      </w:r>
    </w:p>
    <w:p w14:paraId="3ADC0E6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18.12.1.5投标人之间为谋取中标或者排斥特定投标人而采取的其他联合行动。</w:t>
      </w:r>
    </w:p>
    <w:p w14:paraId="3CF4A1C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18.12.2有下列情形之一的，视为投标人相互串通投标，评标委员会应当出具违法违规认定意见并作投标无效处理：</w:t>
      </w:r>
    </w:p>
    <w:p w14:paraId="405D7F2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18.12.2.1不同投标人的投标文件由同一单位或者个人编制；</w:t>
      </w:r>
    </w:p>
    <w:p w14:paraId="77C58EB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18.12.2.2不同投标人委托同一单位或者个人办理投标事宜；</w:t>
      </w:r>
    </w:p>
    <w:p w14:paraId="7336126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18.12.2.3不同投标人的投标文件载明的项目管理成员或者联系人员为同一人；</w:t>
      </w:r>
    </w:p>
    <w:p w14:paraId="27EDEFB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18.12.2.4不同投标人的投标文件异常一致或者投标报价呈规律性差异；</w:t>
      </w:r>
    </w:p>
    <w:p w14:paraId="78AD60E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18.12.2.5不同投标人的投标文件相互混装；</w:t>
      </w:r>
    </w:p>
    <w:p w14:paraId="722AE6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18.12.2.6不同投标人的投标保证金从同一单位或者个人的账户转出。</w:t>
      </w:r>
    </w:p>
    <w:p w14:paraId="4552DEA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18.12.3有下列情形之一的，属于</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与投标人串通投标：</w:t>
      </w:r>
    </w:p>
    <w:p w14:paraId="6506E26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18.12.3.1</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在开标前开启投标文件并将有关信息泄露给其他投标人；</w:t>
      </w:r>
    </w:p>
    <w:p w14:paraId="739E6CE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18.12.3.2</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直接或者间接向投标人泄露标底、评标委员会成员等信息；</w:t>
      </w:r>
    </w:p>
    <w:p w14:paraId="672440E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18.12.3.3</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明示或者暗示投标人压低或者抬高投标报价；</w:t>
      </w:r>
    </w:p>
    <w:p w14:paraId="0D079D9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18.12.3.4</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授意投标人撤换、修改投标文件；</w:t>
      </w:r>
    </w:p>
    <w:p w14:paraId="6E514F7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18.12.3.5</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明示或者暗示投标人为特定投标人中标提供方便；</w:t>
      </w:r>
    </w:p>
    <w:p w14:paraId="1861473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18.12.3.6</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与投标人为谋求特定投标人中标而采取的其他串通行为。</w:t>
      </w:r>
    </w:p>
    <w:p w14:paraId="7643E46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在评标过程中发现投标人有上述情形的，评标委员会应当认定其投标无效，并书面报告本级财政部门。</w:t>
      </w:r>
    </w:p>
    <w:p w14:paraId="5F27984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72" w:name="_Toc494455684"/>
      <w:r>
        <w:rPr>
          <w:rFonts w:hint="eastAsia" w:ascii="仿宋" w:hAnsi="仿宋" w:eastAsia="仿宋" w:cs="仿宋"/>
          <w:sz w:val="28"/>
          <w:szCs w:val="28"/>
          <w:highlight w:val="none"/>
        </w:rPr>
        <w:t>18.13违规处理</w:t>
      </w:r>
      <w:bookmarkEnd w:id="72"/>
    </w:p>
    <w:p w14:paraId="1994939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投标人有下列情形之一的，列入不良行为记录名单，在一至三年内禁止参加政府采购活动：</w:t>
      </w:r>
    </w:p>
    <w:p w14:paraId="64DBDCC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18.13.1提供虚假投标材料谋取中标、成交的；</w:t>
      </w:r>
    </w:p>
    <w:p w14:paraId="06D51DA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18.13.2采取不正当手段诋毁、排挤其他投标人的；</w:t>
      </w:r>
    </w:p>
    <w:p w14:paraId="758CBA7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18.13.3与</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、其他投标人或者采购代理机构恶意串通的；</w:t>
      </w:r>
    </w:p>
    <w:p w14:paraId="772A384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18.13.4向</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、采购代理机构行贿或者提供其他不正当利益的；</w:t>
      </w:r>
    </w:p>
    <w:p w14:paraId="31CA931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18.13.5在招标采购过程中与</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进行协商谈判的；</w:t>
      </w:r>
    </w:p>
    <w:p w14:paraId="78F1E61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18.13.6拒绝有关部门监督检查或者提供虚假情况的；</w:t>
      </w:r>
    </w:p>
    <w:p w14:paraId="2C902B7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18.13.7一年内累计三次以上投诉均查无实据，并带有明显故意行为的；</w:t>
      </w:r>
    </w:p>
    <w:p w14:paraId="4537B40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18.13.8捏造事实或者提供虚假投诉材料的；</w:t>
      </w:r>
    </w:p>
    <w:p w14:paraId="2DED462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18.13.9不按照规定程序以及正常途径质疑、投诉，采用匿名信、匿名电话、发短信息等手段，威胁、恫吓、辱骂、恶意中伤其他相关当事人的；</w:t>
      </w:r>
    </w:p>
    <w:p w14:paraId="4F9B8C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18.13.10法律、法规和招标文件中规定的其他情形。</w:t>
      </w:r>
    </w:p>
    <w:p w14:paraId="6333A26E">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73" w:name="_Toc6691"/>
      <w:bookmarkStart w:id="74" w:name="_Toc22180"/>
      <w:r>
        <w:rPr>
          <w:rFonts w:hint="eastAsia" w:ascii="仿宋" w:hAnsi="仿宋" w:eastAsia="仿宋" w:cs="仿宋"/>
          <w:b/>
          <w:bCs/>
          <w:color w:val="auto"/>
          <w:sz w:val="28"/>
          <w:szCs w:val="28"/>
        </w:rPr>
        <w:t>19.纪律要求</w:t>
      </w:r>
      <w:bookmarkEnd w:id="73"/>
      <w:bookmarkEnd w:id="74"/>
    </w:p>
    <w:p w14:paraId="600716E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75" w:name="_Toc494455686"/>
      <w:r>
        <w:rPr>
          <w:rFonts w:hint="eastAsia" w:ascii="仿宋" w:hAnsi="仿宋" w:eastAsia="仿宋" w:cs="仿宋"/>
          <w:sz w:val="28"/>
          <w:szCs w:val="28"/>
          <w:highlight w:val="none"/>
        </w:rPr>
        <w:t>19.1对</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的纪律要求</w:t>
      </w:r>
      <w:bookmarkEnd w:id="75"/>
    </w:p>
    <w:p w14:paraId="48FD8F2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239FED1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不得向供应商索要或者接受其给予的赠品、回扣或者与采购无关的其他商品、服务。</w:t>
      </w:r>
    </w:p>
    <w:p w14:paraId="67C9069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76" w:name="_Toc494455687"/>
      <w:r>
        <w:rPr>
          <w:rFonts w:hint="eastAsia" w:ascii="仿宋" w:hAnsi="仿宋" w:eastAsia="仿宋" w:cs="仿宋"/>
          <w:sz w:val="28"/>
          <w:szCs w:val="28"/>
          <w:highlight w:val="none"/>
        </w:rPr>
        <w:t>19.2对投标人的纪律要求</w:t>
      </w:r>
      <w:bookmarkEnd w:id="76"/>
    </w:p>
    <w:p w14:paraId="573F90E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投标人应当遵循公平竞争的原则，不得恶意串通，不得妨碍其他投标人的竞争行为，不得损害</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或者其他投标人的合法权益。</w:t>
      </w:r>
    </w:p>
    <w:p w14:paraId="0CA4DA4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77" w:name="_Toc494455688"/>
      <w:r>
        <w:rPr>
          <w:rFonts w:hint="eastAsia" w:ascii="仿宋" w:hAnsi="仿宋" w:eastAsia="仿宋" w:cs="仿宋"/>
          <w:sz w:val="28"/>
          <w:szCs w:val="28"/>
          <w:highlight w:val="none"/>
        </w:rPr>
        <w:t>19.3对评标委员会成员的纪律要求</w:t>
      </w:r>
      <w:bookmarkEnd w:id="77"/>
    </w:p>
    <w:p w14:paraId="0609FCA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评标委员会及其成员不得有下列行为：</w:t>
      </w:r>
    </w:p>
    <w:p w14:paraId="43ADE23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（一）确定参与评标至评标结束前私自接触投标人；</w:t>
      </w:r>
    </w:p>
    <w:p w14:paraId="0F0B82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（二）接受投标人提出的与投标文件不一致的澄清或者说明，法律规定允许澄清或说明的情形除外；</w:t>
      </w:r>
    </w:p>
    <w:p w14:paraId="0C082F3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（三）违反评标纪律发表倾向性意见或者征询</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的倾向性意见；</w:t>
      </w:r>
    </w:p>
    <w:p w14:paraId="2AC909D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（四）对需要专业判断的主观评审因素协商评分；</w:t>
      </w:r>
    </w:p>
    <w:p w14:paraId="2FD1685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（五）在评标过程中擅离职守，影响评标程序正常进行的；</w:t>
      </w:r>
    </w:p>
    <w:p w14:paraId="0855C67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（六）记录、复制或者带走任何评标资料；</w:t>
      </w:r>
    </w:p>
    <w:p w14:paraId="2E87846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（七）其他不遵守评标纪律的行为。</w:t>
      </w:r>
    </w:p>
    <w:p w14:paraId="2BEA381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评标委员会成员有前款第一至五项行为之一的，其评审意见无效，并不得获取评审劳务报酬和报销异地评审差旅费。</w:t>
      </w:r>
    </w:p>
    <w:p w14:paraId="2A1E1C1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bookmarkStart w:id="78" w:name="_Toc494455689"/>
      <w:r>
        <w:rPr>
          <w:rFonts w:hint="eastAsia" w:ascii="仿宋" w:hAnsi="仿宋" w:eastAsia="仿宋" w:cs="仿宋"/>
          <w:sz w:val="28"/>
          <w:szCs w:val="28"/>
          <w:highlight w:val="none"/>
        </w:rPr>
        <w:t>19.4对与评标活动有关的工作人员的纪律要求</w:t>
      </w:r>
      <w:bookmarkEnd w:id="78"/>
    </w:p>
    <w:p w14:paraId="13664ED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58"/>
    <w:p w14:paraId="5D326395">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79" w:name="_Toc6067"/>
      <w:bookmarkStart w:id="80" w:name="_Toc1481"/>
      <w:r>
        <w:rPr>
          <w:rFonts w:hint="eastAsia" w:ascii="仿宋" w:hAnsi="仿宋" w:eastAsia="仿宋" w:cs="仿宋"/>
          <w:b/>
          <w:bCs/>
          <w:color w:val="auto"/>
          <w:sz w:val="28"/>
          <w:szCs w:val="28"/>
        </w:rPr>
        <w:t>20.质疑</w:t>
      </w:r>
      <w:bookmarkEnd w:id="79"/>
      <w:bookmarkEnd w:id="80"/>
    </w:p>
    <w:p w14:paraId="019C2B0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20.1参加本次政府采购活动的投标人认为招标文件、招标过程和中标结果使自己的权益受到损害的，可以在知道或者应知道其权益受到损害之日起7个工作日内，以书面形式向</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或者采购代理机构提出质疑。</w:t>
      </w:r>
    </w:p>
    <w:p w14:paraId="79ED5B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20.2质疑书内容应包括以下主要内容：</w:t>
      </w:r>
    </w:p>
    <w:p w14:paraId="084DD7D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20.2.1质疑人的名称、地址、电话等；</w:t>
      </w:r>
    </w:p>
    <w:p w14:paraId="6802574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20.2.2具体的质疑事项、证据以及法律、法规依据；</w:t>
      </w:r>
    </w:p>
    <w:p w14:paraId="707BF06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20.2.3提出质疑的日期。</w:t>
      </w:r>
    </w:p>
    <w:p w14:paraId="4AB2253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20.3质疑书应当署名，一式叁份。由法定代表人或者主要负责人签字并加盖公章后生效。代理人办理质疑事务时，还应当提交授权委托书，授权委托书应当载明代理的具体权限和事项。否则</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或者采购代理机构不予受理。</w:t>
      </w:r>
    </w:p>
    <w:p w14:paraId="56BBAB7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20.4除书面形式外，其他任何方式的质疑，</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或者采购代理机构均不予接受和回复。</w:t>
      </w:r>
    </w:p>
    <w:p w14:paraId="54F111D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20.5</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或者采购代理机构在收到质疑书后7个工作日内做出书面答复，并以书面形式通知质疑人和其他有关投标人，但答复不得涉及商业秘密。</w:t>
      </w:r>
    </w:p>
    <w:p w14:paraId="37A2930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20.6质疑人对</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、采购代理机构的答复不满意或者</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、采购代理机构未在规定的时间内做出答复的，可以在答复期满后15个工作日内向同级监管部门投诉。</w:t>
      </w:r>
    </w:p>
    <w:p w14:paraId="6D9A1F56">
      <w:pPr>
        <w:rPr>
          <w:rFonts w:hint="eastAsia" w:ascii="仿宋" w:hAnsi="仿宋" w:eastAsia="仿宋" w:cs="仿宋"/>
          <w:b/>
          <w:bCs/>
          <w:sz w:val="28"/>
          <w:szCs w:val="28"/>
        </w:rPr>
      </w:pPr>
    </w:p>
    <w:p w14:paraId="0B08238C">
      <w:pPr>
        <w:rPr>
          <w:rFonts w:hint="eastAsia" w:ascii="仿宋" w:hAnsi="仿宋" w:eastAsia="仿宋" w:cs="仿宋"/>
          <w:b/>
          <w:bCs/>
          <w:sz w:val="28"/>
          <w:szCs w:val="28"/>
        </w:rPr>
      </w:pPr>
      <w:r>
        <w:rPr>
          <w:rFonts w:hint="eastAsia" w:ascii="仿宋" w:hAnsi="仿宋" w:eastAsia="仿宋" w:cs="仿宋"/>
          <w:b/>
          <w:bCs/>
          <w:sz w:val="28"/>
          <w:szCs w:val="28"/>
        </w:rPr>
        <w:br w:type="page"/>
      </w:r>
    </w:p>
    <w:p w14:paraId="606C2229">
      <w:pPr>
        <w:jc w:val="center"/>
        <w:rPr>
          <w:rFonts w:hint="eastAsia" w:ascii="仿宋" w:hAnsi="仿宋" w:eastAsia="仿宋" w:cs="仿宋"/>
          <w:b/>
          <w:bCs/>
          <w:sz w:val="28"/>
          <w:szCs w:val="28"/>
        </w:rPr>
      </w:pPr>
      <w:r>
        <w:rPr>
          <w:rFonts w:hint="eastAsia" w:ascii="仿宋" w:hAnsi="仿宋" w:eastAsia="仿宋" w:cs="仿宋"/>
          <w:b/>
          <w:bCs/>
          <w:sz w:val="28"/>
          <w:szCs w:val="28"/>
        </w:rPr>
        <w:t>质疑函范本</w:t>
      </w:r>
    </w:p>
    <w:p w14:paraId="7D83D3A0">
      <w:pPr>
        <w:adjustRightInd w:val="0"/>
        <w:snapToGrid w:val="0"/>
        <w:spacing w:beforeLines="100" w:line="360" w:lineRule="auto"/>
        <w:rPr>
          <w:rFonts w:hint="eastAsia" w:ascii="仿宋" w:hAnsi="仿宋" w:eastAsia="仿宋" w:cs="仿宋"/>
          <w:bCs/>
          <w:sz w:val="28"/>
          <w:szCs w:val="28"/>
        </w:rPr>
      </w:pPr>
      <w:r>
        <w:rPr>
          <w:rFonts w:hint="eastAsia" w:ascii="仿宋" w:hAnsi="仿宋" w:eastAsia="仿宋" w:cs="仿宋"/>
          <w:bCs/>
          <w:sz w:val="28"/>
          <w:szCs w:val="28"/>
        </w:rPr>
        <w:t>一、质疑供应商基本信息</w:t>
      </w:r>
    </w:p>
    <w:p w14:paraId="07C86C78">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rPr>
        <w:t>质疑供应商：</w:t>
      </w:r>
      <w:r>
        <w:rPr>
          <w:rFonts w:hint="eastAsia" w:ascii="仿宋" w:hAnsi="仿宋" w:eastAsia="仿宋" w:cs="仿宋"/>
          <w:sz w:val="28"/>
          <w:szCs w:val="28"/>
          <w:u w:val="dotted"/>
        </w:rPr>
        <w:t xml:space="preserve">                                        </w:t>
      </w:r>
    </w:p>
    <w:p w14:paraId="73A2F0E8">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14:paraId="5F48E3D8">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14:paraId="7DCB60BB">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p>
    <w:p w14:paraId="62153F68">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14:paraId="205B5394">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地址： </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14:paraId="69632523">
      <w:pPr>
        <w:adjustRightInd w:val="0"/>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二、质疑项目基本情况</w:t>
      </w:r>
    </w:p>
    <w:p w14:paraId="0F0B1F2C">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质疑项目的名称：</w:t>
      </w:r>
      <w:r>
        <w:rPr>
          <w:rFonts w:hint="eastAsia" w:ascii="仿宋" w:hAnsi="仿宋" w:eastAsia="仿宋" w:cs="仿宋"/>
          <w:sz w:val="28"/>
          <w:szCs w:val="28"/>
          <w:u w:val="dotted"/>
        </w:rPr>
        <w:t xml:space="preserve">                                      </w:t>
      </w:r>
    </w:p>
    <w:p w14:paraId="60CC3297">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质疑项目的编号：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14:paraId="38AC3201">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p>
    <w:p w14:paraId="5A6E15A9">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采购文件获取日期：</w:t>
      </w:r>
      <w:r>
        <w:rPr>
          <w:rFonts w:hint="eastAsia" w:ascii="仿宋" w:hAnsi="仿宋" w:eastAsia="仿宋" w:cs="仿宋"/>
          <w:sz w:val="28"/>
          <w:szCs w:val="28"/>
          <w:u w:val="dotted"/>
        </w:rPr>
        <w:t xml:space="preserve">                                           </w:t>
      </w:r>
    </w:p>
    <w:p w14:paraId="1F9E63E3">
      <w:pPr>
        <w:adjustRightInd w:val="0"/>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三、质疑事项具体内容</w:t>
      </w:r>
    </w:p>
    <w:p w14:paraId="5676F322">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rPr>
        <w:t>质疑事项1：</w:t>
      </w:r>
      <w:r>
        <w:rPr>
          <w:rFonts w:hint="eastAsia" w:ascii="仿宋" w:hAnsi="仿宋" w:eastAsia="仿宋" w:cs="仿宋"/>
          <w:sz w:val="28"/>
          <w:szCs w:val="28"/>
          <w:u w:val="dotted"/>
        </w:rPr>
        <w:t xml:space="preserve">                                         </w:t>
      </w:r>
    </w:p>
    <w:p w14:paraId="4BED2E78">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14:paraId="74BCD8D5">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u w:val="dotted"/>
        </w:rPr>
        <w:t xml:space="preserve">                                                       </w:t>
      </w:r>
    </w:p>
    <w:p w14:paraId="586BB150">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14:paraId="26AFF875">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u w:val="dotted"/>
        </w:rPr>
        <w:t xml:space="preserve">                                                     </w:t>
      </w:r>
    </w:p>
    <w:p w14:paraId="38E421CC">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rPr>
        <w:t>质疑事项2</w:t>
      </w:r>
    </w:p>
    <w:p w14:paraId="4E811694">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w:t>
      </w:r>
    </w:p>
    <w:p w14:paraId="22EB9B94">
      <w:pPr>
        <w:adjustRightInd w:val="0"/>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四、与质疑事项相关的质疑请求</w:t>
      </w:r>
    </w:p>
    <w:p w14:paraId="47B5FB43">
      <w:pPr>
        <w:adjustRightInd w:val="0"/>
        <w:snapToGrid w:val="0"/>
        <w:spacing w:line="360" w:lineRule="auto"/>
        <w:rPr>
          <w:rFonts w:hint="eastAsia" w:ascii="仿宋" w:hAnsi="仿宋" w:eastAsia="仿宋" w:cs="仿宋"/>
          <w:sz w:val="28"/>
          <w:szCs w:val="28"/>
          <w:u w:val="dotted"/>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p>
    <w:p w14:paraId="795A4EDA">
      <w:pPr>
        <w:rPr>
          <w:rFonts w:hint="eastAsia" w:ascii="仿宋" w:hAnsi="仿宋" w:eastAsia="仿宋" w:cs="仿宋"/>
          <w:sz w:val="28"/>
          <w:szCs w:val="28"/>
        </w:rPr>
      </w:pPr>
      <w:r>
        <w:rPr>
          <w:rFonts w:hint="eastAsia" w:ascii="仿宋" w:hAnsi="仿宋" w:eastAsia="仿宋" w:cs="仿宋"/>
          <w:sz w:val="28"/>
          <w:szCs w:val="28"/>
        </w:rPr>
        <w:t xml:space="preserve">签字(签章)：                   公章：                      </w:t>
      </w:r>
    </w:p>
    <w:p w14:paraId="7138D143">
      <w:pPr>
        <w:rPr>
          <w:rFonts w:hint="eastAsia" w:ascii="仿宋" w:hAnsi="仿宋" w:eastAsia="仿宋" w:cs="仿宋"/>
          <w:sz w:val="28"/>
          <w:szCs w:val="28"/>
          <w:highlight w:val="none"/>
        </w:rPr>
      </w:pPr>
      <w:r>
        <w:rPr>
          <w:rFonts w:hint="eastAsia" w:ascii="仿宋" w:hAnsi="仿宋" w:eastAsia="仿宋" w:cs="仿宋"/>
          <w:sz w:val="28"/>
          <w:szCs w:val="28"/>
        </w:rPr>
        <w:t xml:space="preserve">日期：    </w:t>
      </w:r>
    </w:p>
    <w:p w14:paraId="1F15685A">
      <w:pPr>
        <w:rPr>
          <w:rFonts w:hint="eastAsia" w:ascii="仿宋" w:hAnsi="仿宋" w:eastAsia="仿宋" w:cs="仿宋"/>
          <w:b/>
          <w:bCs/>
          <w:color w:val="auto"/>
          <w:sz w:val="28"/>
          <w:szCs w:val="28"/>
        </w:rPr>
      </w:pPr>
      <w:bookmarkStart w:id="81" w:name="_Toc13204"/>
      <w:bookmarkStart w:id="82" w:name="_Toc32097"/>
      <w:bookmarkStart w:id="83" w:name="_Toc494455668"/>
      <w:r>
        <w:rPr>
          <w:rFonts w:hint="eastAsia" w:ascii="仿宋" w:hAnsi="仿宋" w:eastAsia="仿宋" w:cs="仿宋"/>
          <w:b/>
          <w:bCs/>
          <w:color w:val="auto"/>
          <w:sz w:val="28"/>
          <w:szCs w:val="28"/>
        </w:rPr>
        <w:br w:type="page"/>
      </w:r>
    </w:p>
    <w:p w14:paraId="534EE240">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r>
        <w:rPr>
          <w:rFonts w:hint="eastAsia" w:ascii="仿宋" w:hAnsi="仿宋" w:eastAsia="仿宋" w:cs="仿宋"/>
          <w:b/>
          <w:bCs/>
          <w:color w:val="auto"/>
          <w:sz w:val="28"/>
          <w:szCs w:val="28"/>
        </w:rPr>
        <w:t>21.投诉</w:t>
      </w:r>
      <w:bookmarkEnd w:id="81"/>
      <w:bookmarkEnd w:id="82"/>
      <w:bookmarkEnd w:id="83"/>
    </w:p>
    <w:p w14:paraId="44C98D7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21.1按照《中华人民共和国政府采购法》、财政部</w:t>
      </w:r>
      <w:r>
        <w:rPr>
          <w:rFonts w:hint="eastAsia" w:ascii="仿宋" w:hAnsi="仿宋" w:eastAsia="仿宋" w:cs="仿宋"/>
          <w:sz w:val="28"/>
          <w:szCs w:val="28"/>
          <w:highlight w:val="none"/>
          <w:lang w:eastAsia="zh-CN"/>
        </w:rPr>
        <w:t>《政府采购质疑和投诉办法》（财政部令第94号）</w:t>
      </w:r>
      <w:r>
        <w:rPr>
          <w:rFonts w:hint="eastAsia" w:ascii="仿宋" w:hAnsi="仿宋" w:eastAsia="仿宋" w:cs="仿宋"/>
          <w:sz w:val="28"/>
          <w:szCs w:val="28"/>
          <w:highlight w:val="none"/>
        </w:rPr>
        <w:t>文件以及相关的法律、法规及规定，质疑人对</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、采购代理机构的答复不满意或者</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、采购代理机构未在规定的时间内做出答复的，可以在答复期满后15个工作日内向同级监管部门投诉。</w:t>
      </w:r>
    </w:p>
    <w:p w14:paraId="4812CAF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21.2投诉人提起投诉应符合下列条件：</w:t>
      </w:r>
    </w:p>
    <w:p w14:paraId="027646D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21.2.1投诉人是参与所投诉政府采购活动的投标人；</w:t>
      </w:r>
    </w:p>
    <w:p w14:paraId="0F9405D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21.2.2提起投诉前已依法进行质疑；</w:t>
      </w:r>
    </w:p>
    <w:p w14:paraId="3A5C273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21.2.3投诉书内容符合财政部</w:t>
      </w:r>
      <w:r>
        <w:rPr>
          <w:rFonts w:hint="eastAsia" w:ascii="仿宋" w:hAnsi="仿宋" w:eastAsia="仿宋" w:cs="仿宋"/>
          <w:sz w:val="28"/>
          <w:szCs w:val="28"/>
          <w:highlight w:val="none"/>
          <w:lang w:eastAsia="zh-CN"/>
        </w:rPr>
        <w:t>《政府采购质疑和投诉办法》（财政部令第94号）</w:t>
      </w:r>
      <w:r>
        <w:rPr>
          <w:rFonts w:hint="eastAsia" w:ascii="仿宋" w:hAnsi="仿宋" w:eastAsia="仿宋" w:cs="仿宋"/>
          <w:sz w:val="28"/>
          <w:szCs w:val="28"/>
          <w:highlight w:val="none"/>
        </w:rPr>
        <w:t>规定；</w:t>
      </w:r>
    </w:p>
    <w:p w14:paraId="0B8F178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21.2.4在投诉有效期限内提起投诉；</w:t>
      </w:r>
    </w:p>
    <w:p w14:paraId="0D0F5D8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21.2.5属于本财政部门管辖；</w:t>
      </w:r>
    </w:p>
    <w:p w14:paraId="195146D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21.2.6同一投诉事项未经财政部门投诉处理；</w:t>
      </w:r>
    </w:p>
    <w:p w14:paraId="3FD4AE3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21.2.7法律法规规定的其他条件。</w:t>
      </w:r>
    </w:p>
    <w:p w14:paraId="1A84818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21.3投诉人投诉时，应当提交投诉书，并按照被投诉</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、采购代理机构和与投诉事项有关的投标人数量提供投诉书的副本。</w:t>
      </w:r>
    </w:p>
    <w:p w14:paraId="2E7119C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21.4投诉书应当包括以下主要内容：</w:t>
      </w:r>
    </w:p>
    <w:p w14:paraId="13C6C6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21.4.1投诉人和被投诉人的名称、地址、电话等；</w:t>
      </w:r>
    </w:p>
    <w:p w14:paraId="6340D12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21.4.2具体的投诉事宜以及事实依据；</w:t>
      </w:r>
    </w:p>
    <w:p w14:paraId="3615A1B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21.4.3质疑书和质疑答复情况以及相关证明材料；</w:t>
      </w:r>
    </w:p>
    <w:p w14:paraId="6102778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21.4.4提起投诉的日期。</w:t>
      </w:r>
    </w:p>
    <w:p w14:paraId="3193E4F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21.5投诉书应当署名。投诉人为自然人的，应当由本人签字；投诉人为法人或者其他组织的，应当由法定代表人或者主要负责人签字盖章并加盖公章。</w:t>
      </w:r>
    </w:p>
    <w:p w14:paraId="4B77E24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21.6投诉人可以委托代理人办理投诉事务。代理人办理投诉事务时，除提交投诉书外，还应当向同级监管部门提交投诉人的授权委托书，授权委托书应当载明委托代理的具体权限和事项。</w:t>
      </w:r>
    </w:p>
    <w:p w14:paraId="1D9718F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21.7投诉人不符合上述规定提起的投诉，监管部门不予受理。</w:t>
      </w:r>
    </w:p>
    <w:p w14:paraId="398ED3DF">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84" w:name="_Toc29429"/>
      <w:bookmarkStart w:id="85" w:name="_Toc494455669"/>
      <w:bookmarkStart w:id="86" w:name="_Toc24556"/>
      <w:r>
        <w:rPr>
          <w:rFonts w:hint="eastAsia" w:ascii="仿宋" w:hAnsi="仿宋" w:eastAsia="仿宋" w:cs="仿宋"/>
          <w:b/>
          <w:bCs/>
          <w:color w:val="auto"/>
          <w:sz w:val="28"/>
          <w:szCs w:val="28"/>
        </w:rPr>
        <w:t>22.其他需补充的内容</w:t>
      </w:r>
      <w:bookmarkEnd w:id="84"/>
      <w:bookmarkEnd w:id="85"/>
      <w:bookmarkEnd w:id="86"/>
    </w:p>
    <w:p w14:paraId="33D5F8B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其他需补充的内容：见投标人须知前附表。</w:t>
      </w:r>
    </w:p>
    <w:p w14:paraId="6D0719C5">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23A76F1">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0"/>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pPr>
      <w:bookmarkStart w:id="87" w:name="_Toc7613"/>
      <w:bookmarkStart w:id="88" w:name="_Toc12673"/>
      <w:bookmarkStart w:id="89" w:name="_Toc11059"/>
      <w:bookmarkStart w:id="90" w:name="_Toc494455912"/>
      <w: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t>第三章  采购需求</w:t>
      </w:r>
      <w:bookmarkEnd w:id="87"/>
      <w:bookmarkEnd w:id="88"/>
      <w:bookmarkEnd w:id="89"/>
      <w:bookmarkEnd w:id="90"/>
    </w:p>
    <w:p w14:paraId="533CFEDD">
      <w:pPr>
        <w:widowControl/>
        <w:kinsoku/>
        <w:autoSpaceDE/>
        <w:autoSpaceDN/>
        <w:adjustRightInd/>
        <w:snapToGrid/>
        <w:spacing w:line="360" w:lineRule="auto"/>
        <w:jc w:val="left"/>
        <w:textAlignment w:val="auto"/>
        <w:rPr>
          <w:rFonts w:hint="default" w:ascii="宋体" w:hAnsi="宋体" w:eastAsia="宋体" w:cs="宋体"/>
          <w:b/>
          <w:bCs w:val="0"/>
          <w:snapToGrid/>
          <w:kern w:val="2"/>
          <w:sz w:val="32"/>
          <w:szCs w:val="32"/>
          <w:lang w:val="en-US" w:eastAsia="zh-CN"/>
        </w:rPr>
      </w:pPr>
      <w:bookmarkStart w:id="91" w:name="_Toc27941"/>
      <w:bookmarkStart w:id="92" w:name="_Toc27490"/>
      <w:bookmarkStart w:id="93" w:name="_Toc5236"/>
      <w:bookmarkStart w:id="94" w:name="_Toc494455916"/>
      <w:r>
        <w:rPr>
          <w:rFonts w:hint="eastAsia" w:ascii="宋体" w:hAnsi="宋体" w:eastAsia="宋体" w:cs="宋体"/>
          <w:b/>
          <w:bCs w:val="0"/>
          <w:snapToGrid/>
          <w:kern w:val="2"/>
          <w:sz w:val="32"/>
          <w:szCs w:val="32"/>
          <w:lang w:eastAsia="zh-CN"/>
        </w:rPr>
        <w:t>一、4座转运站设备升级改造</w:t>
      </w:r>
      <w:r>
        <w:rPr>
          <w:rFonts w:hint="eastAsia" w:ascii="宋体" w:hAnsi="宋体" w:eastAsia="宋体" w:cs="宋体"/>
          <w:b/>
          <w:bCs w:val="0"/>
          <w:snapToGrid/>
          <w:kern w:val="2"/>
          <w:sz w:val="32"/>
          <w:szCs w:val="32"/>
          <w:lang w:val="en-US" w:eastAsia="zh-CN"/>
        </w:rPr>
        <w:t>汇总表</w:t>
      </w:r>
    </w:p>
    <w:tbl>
      <w:tblPr>
        <w:tblStyle w:val="19"/>
        <w:tblW w:w="3757" w:type="pct"/>
        <w:jc w:val="center"/>
        <w:tblLayout w:type="autofit"/>
        <w:tblCellMar>
          <w:top w:w="0" w:type="dxa"/>
          <w:left w:w="108" w:type="dxa"/>
          <w:bottom w:w="0" w:type="dxa"/>
          <w:right w:w="108" w:type="dxa"/>
        </w:tblCellMar>
      </w:tblPr>
      <w:tblGrid>
        <w:gridCol w:w="1567"/>
        <w:gridCol w:w="2696"/>
        <w:gridCol w:w="2962"/>
      </w:tblGrid>
      <w:tr w14:paraId="632E3990">
        <w:tblPrEx>
          <w:tblCellMar>
            <w:top w:w="0" w:type="dxa"/>
            <w:left w:w="108" w:type="dxa"/>
            <w:bottom w:w="0" w:type="dxa"/>
            <w:right w:w="108" w:type="dxa"/>
          </w:tblCellMar>
        </w:tblPrEx>
        <w:trPr>
          <w:trHeight w:val="471" w:hRule="atLeast"/>
          <w:jc w:val="center"/>
        </w:trPr>
        <w:tc>
          <w:tcPr>
            <w:tcW w:w="1084" w:type="pct"/>
            <w:tcBorders>
              <w:top w:val="single" w:color="auto" w:sz="4" w:space="0"/>
              <w:left w:val="single" w:color="auto" w:sz="4" w:space="0"/>
              <w:bottom w:val="single" w:color="auto" w:sz="4" w:space="0"/>
              <w:right w:val="single" w:color="auto" w:sz="4" w:space="0"/>
            </w:tcBorders>
            <w:shd w:val="clear" w:color="000000" w:fill="F2F2F2"/>
            <w:vAlign w:val="center"/>
          </w:tcPr>
          <w:p w14:paraId="72111C1C">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序号</w:t>
            </w:r>
          </w:p>
        </w:tc>
        <w:tc>
          <w:tcPr>
            <w:tcW w:w="1865" w:type="pct"/>
            <w:tcBorders>
              <w:top w:val="single" w:color="auto" w:sz="4" w:space="0"/>
              <w:left w:val="nil"/>
              <w:bottom w:val="single" w:color="auto" w:sz="4" w:space="0"/>
              <w:right w:val="single" w:color="auto" w:sz="4" w:space="0"/>
            </w:tcBorders>
            <w:shd w:val="clear" w:color="000000" w:fill="F2F2F2"/>
            <w:vAlign w:val="center"/>
          </w:tcPr>
          <w:p w14:paraId="086CADDD">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名称</w:t>
            </w:r>
          </w:p>
        </w:tc>
        <w:tc>
          <w:tcPr>
            <w:tcW w:w="2049" w:type="pct"/>
            <w:tcBorders>
              <w:top w:val="single" w:color="auto" w:sz="4" w:space="0"/>
              <w:left w:val="nil"/>
              <w:bottom w:val="single" w:color="auto" w:sz="4" w:space="0"/>
              <w:right w:val="single" w:color="auto" w:sz="4" w:space="0"/>
            </w:tcBorders>
            <w:shd w:val="clear" w:color="000000" w:fill="F2F2F2"/>
            <w:vAlign w:val="center"/>
          </w:tcPr>
          <w:p w14:paraId="73CB3A23">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数量</w:t>
            </w:r>
          </w:p>
        </w:tc>
      </w:tr>
      <w:tr w14:paraId="7F26B888">
        <w:tblPrEx>
          <w:tblCellMar>
            <w:top w:w="0" w:type="dxa"/>
            <w:left w:w="108" w:type="dxa"/>
            <w:bottom w:w="0" w:type="dxa"/>
            <w:right w:w="108" w:type="dxa"/>
          </w:tblCellMar>
        </w:tblPrEx>
        <w:trPr>
          <w:trHeight w:val="471" w:hRule="atLeast"/>
          <w:jc w:val="center"/>
        </w:trPr>
        <w:tc>
          <w:tcPr>
            <w:tcW w:w="1084" w:type="pct"/>
            <w:tcBorders>
              <w:top w:val="nil"/>
              <w:left w:val="single" w:color="auto" w:sz="4" w:space="0"/>
              <w:bottom w:val="single" w:color="auto" w:sz="4" w:space="0"/>
              <w:right w:val="single" w:color="auto" w:sz="4" w:space="0"/>
            </w:tcBorders>
            <w:shd w:val="clear" w:color="auto" w:fill="auto"/>
            <w:vAlign w:val="center"/>
          </w:tcPr>
          <w:p w14:paraId="6B2F0231">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1</w:t>
            </w:r>
          </w:p>
        </w:tc>
        <w:tc>
          <w:tcPr>
            <w:tcW w:w="1865" w:type="pct"/>
            <w:tcBorders>
              <w:top w:val="nil"/>
              <w:left w:val="nil"/>
              <w:bottom w:val="single" w:color="auto" w:sz="4" w:space="0"/>
              <w:right w:val="single" w:color="auto" w:sz="4" w:space="0"/>
            </w:tcBorders>
            <w:shd w:val="clear" w:color="auto" w:fill="auto"/>
            <w:vAlign w:val="center"/>
          </w:tcPr>
          <w:p w14:paraId="1793A118">
            <w:pPr>
              <w:widowControl/>
              <w:kinsoku/>
              <w:autoSpaceDE/>
              <w:autoSpaceDN/>
              <w:adjustRightInd/>
              <w:snapToGrid/>
              <w:spacing w:line="276" w:lineRule="auto"/>
              <w:jc w:val="left"/>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水平直压式压缩机</w:t>
            </w:r>
          </w:p>
        </w:tc>
        <w:tc>
          <w:tcPr>
            <w:tcW w:w="2049" w:type="pct"/>
            <w:tcBorders>
              <w:top w:val="nil"/>
              <w:left w:val="nil"/>
              <w:bottom w:val="single" w:color="auto" w:sz="4" w:space="0"/>
              <w:right w:val="single" w:color="auto" w:sz="4" w:space="0"/>
            </w:tcBorders>
            <w:shd w:val="clear" w:color="auto" w:fill="auto"/>
            <w:vAlign w:val="center"/>
          </w:tcPr>
          <w:p w14:paraId="2544989F">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r>
      <w:tr w14:paraId="22A024DA">
        <w:tblPrEx>
          <w:tblCellMar>
            <w:top w:w="0" w:type="dxa"/>
            <w:left w:w="108" w:type="dxa"/>
            <w:bottom w:w="0" w:type="dxa"/>
            <w:right w:w="108" w:type="dxa"/>
          </w:tblCellMar>
        </w:tblPrEx>
        <w:trPr>
          <w:trHeight w:val="471" w:hRule="atLeast"/>
          <w:jc w:val="center"/>
        </w:trPr>
        <w:tc>
          <w:tcPr>
            <w:tcW w:w="1084" w:type="pct"/>
            <w:tcBorders>
              <w:top w:val="nil"/>
              <w:left w:val="single" w:color="auto" w:sz="4" w:space="0"/>
              <w:bottom w:val="single" w:color="auto" w:sz="4" w:space="0"/>
              <w:right w:val="single" w:color="auto" w:sz="4" w:space="0"/>
            </w:tcBorders>
            <w:shd w:val="clear" w:color="auto" w:fill="auto"/>
            <w:vAlign w:val="center"/>
          </w:tcPr>
          <w:p w14:paraId="60FBCABB">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2</w:t>
            </w:r>
          </w:p>
        </w:tc>
        <w:tc>
          <w:tcPr>
            <w:tcW w:w="1865" w:type="pct"/>
            <w:tcBorders>
              <w:top w:val="nil"/>
              <w:left w:val="nil"/>
              <w:bottom w:val="single" w:color="auto" w:sz="4" w:space="0"/>
              <w:right w:val="single" w:color="auto" w:sz="4" w:space="0"/>
            </w:tcBorders>
            <w:shd w:val="clear" w:color="auto" w:fill="auto"/>
            <w:vAlign w:val="center"/>
          </w:tcPr>
          <w:p w14:paraId="5E626604">
            <w:pPr>
              <w:widowControl/>
              <w:kinsoku/>
              <w:autoSpaceDE/>
              <w:autoSpaceDN/>
              <w:adjustRightInd/>
              <w:snapToGrid/>
              <w:spacing w:line="276" w:lineRule="auto"/>
              <w:jc w:val="left"/>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料斗</w:t>
            </w:r>
          </w:p>
        </w:tc>
        <w:tc>
          <w:tcPr>
            <w:tcW w:w="2049" w:type="pct"/>
            <w:tcBorders>
              <w:top w:val="nil"/>
              <w:left w:val="nil"/>
              <w:bottom w:val="single" w:color="auto" w:sz="4" w:space="0"/>
              <w:right w:val="single" w:color="auto" w:sz="4" w:space="0"/>
            </w:tcBorders>
            <w:shd w:val="clear" w:color="auto" w:fill="auto"/>
            <w:vAlign w:val="center"/>
          </w:tcPr>
          <w:p w14:paraId="29CA1144">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r>
      <w:tr w14:paraId="0E6D12A8">
        <w:tblPrEx>
          <w:tblCellMar>
            <w:top w:w="0" w:type="dxa"/>
            <w:left w:w="108" w:type="dxa"/>
            <w:bottom w:w="0" w:type="dxa"/>
            <w:right w:w="108" w:type="dxa"/>
          </w:tblCellMar>
        </w:tblPrEx>
        <w:trPr>
          <w:trHeight w:val="471" w:hRule="atLeast"/>
          <w:jc w:val="center"/>
        </w:trPr>
        <w:tc>
          <w:tcPr>
            <w:tcW w:w="1084" w:type="pct"/>
            <w:tcBorders>
              <w:top w:val="nil"/>
              <w:left w:val="single" w:color="auto" w:sz="4" w:space="0"/>
              <w:bottom w:val="single" w:color="auto" w:sz="4" w:space="0"/>
              <w:right w:val="single" w:color="auto" w:sz="4" w:space="0"/>
            </w:tcBorders>
            <w:shd w:val="clear" w:color="auto" w:fill="auto"/>
            <w:vAlign w:val="center"/>
          </w:tcPr>
          <w:p w14:paraId="327AE3E5">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3</w:t>
            </w:r>
          </w:p>
        </w:tc>
        <w:tc>
          <w:tcPr>
            <w:tcW w:w="1865" w:type="pct"/>
            <w:tcBorders>
              <w:top w:val="nil"/>
              <w:left w:val="nil"/>
              <w:bottom w:val="single" w:color="auto" w:sz="4" w:space="0"/>
              <w:right w:val="single" w:color="auto" w:sz="4" w:space="0"/>
            </w:tcBorders>
            <w:shd w:val="clear" w:color="auto" w:fill="auto"/>
            <w:vAlign w:val="center"/>
          </w:tcPr>
          <w:p w14:paraId="262C2B9C">
            <w:pPr>
              <w:widowControl/>
              <w:kinsoku/>
              <w:autoSpaceDE/>
              <w:autoSpaceDN/>
              <w:adjustRightInd/>
              <w:snapToGrid/>
              <w:spacing w:line="276" w:lineRule="auto"/>
              <w:jc w:val="left"/>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移箱平台</w:t>
            </w:r>
          </w:p>
        </w:tc>
        <w:tc>
          <w:tcPr>
            <w:tcW w:w="2049" w:type="pct"/>
            <w:tcBorders>
              <w:top w:val="nil"/>
              <w:left w:val="nil"/>
              <w:bottom w:val="single" w:color="auto" w:sz="4" w:space="0"/>
              <w:right w:val="single" w:color="auto" w:sz="4" w:space="0"/>
            </w:tcBorders>
            <w:shd w:val="clear" w:color="auto" w:fill="auto"/>
            <w:vAlign w:val="center"/>
          </w:tcPr>
          <w:p w14:paraId="2AE6A15B">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r>
      <w:tr w14:paraId="0ECA7CAE">
        <w:tblPrEx>
          <w:tblCellMar>
            <w:top w:w="0" w:type="dxa"/>
            <w:left w:w="108" w:type="dxa"/>
            <w:bottom w:w="0" w:type="dxa"/>
            <w:right w:w="108" w:type="dxa"/>
          </w:tblCellMar>
        </w:tblPrEx>
        <w:trPr>
          <w:trHeight w:val="471" w:hRule="atLeast"/>
          <w:jc w:val="center"/>
        </w:trPr>
        <w:tc>
          <w:tcPr>
            <w:tcW w:w="1084" w:type="pct"/>
            <w:tcBorders>
              <w:top w:val="nil"/>
              <w:left w:val="single" w:color="auto" w:sz="4" w:space="0"/>
              <w:bottom w:val="single" w:color="auto" w:sz="4" w:space="0"/>
              <w:right w:val="single" w:color="auto" w:sz="4" w:space="0"/>
            </w:tcBorders>
            <w:shd w:val="clear" w:color="auto" w:fill="auto"/>
            <w:vAlign w:val="center"/>
          </w:tcPr>
          <w:p w14:paraId="1730C708">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4</w:t>
            </w:r>
          </w:p>
        </w:tc>
        <w:tc>
          <w:tcPr>
            <w:tcW w:w="1865" w:type="pct"/>
            <w:tcBorders>
              <w:top w:val="nil"/>
              <w:left w:val="nil"/>
              <w:bottom w:val="single" w:color="auto" w:sz="4" w:space="0"/>
              <w:right w:val="single" w:color="auto" w:sz="4" w:space="0"/>
            </w:tcBorders>
            <w:shd w:val="clear" w:color="auto" w:fill="auto"/>
            <w:vAlign w:val="center"/>
          </w:tcPr>
          <w:p w14:paraId="526FAF36">
            <w:pPr>
              <w:widowControl/>
              <w:kinsoku/>
              <w:autoSpaceDE/>
              <w:autoSpaceDN/>
              <w:adjustRightInd/>
              <w:snapToGrid/>
              <w:spacing w:line="276" w:lineRule="auto"/>
              <w:jc w:val="left"/>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控制设备</w:t>
            </w:r>
          </w:p>
        </w:tc>
        <w:tc>
          <w:tcPr>
            <w:tcW w:w="2049" w:type="pct"/>
            <w:tcBorders>
              <w:top w:val="nil"/>
              <w:left w:val="nil"/>
              <w:bottom w:val="single" w:color="auto" w:sz="4" w:space="0"/>
              <w:right w:val="single" w:color="auto" w:sz="4" w:space="0"/>
            </w:tcBorders>
            <w:shd w:val="clear" w:color="auto" w:fill="auto"/>
            <w:vAlign w:val="center"/>
          </w:tcPr>
          <w:p w14:paraId="4F5DA490">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r>
      <w:tr w14:paraId="0FF2262E">
        <w:tblPrEx>
          <w:tblCellMar>
            <w:top w:w="0" w:type="dxa"/>
            <w:left w:w="108" w:type="dxa"/>
            <w:bottom w:w="0" w:type="dxa"/>
            <w:right w:w="108" w:type="dxa"/>
          </w:tblCellMar>
        </w:tblPrEx>
        <w:trPr>
          <w:trHeight w:val="491" w:hRule="atLeast"/>
          <w:jc w:val="center"/>
        </w:trPr>
        <w:tc>
          <w:tcPr>
            <w:tcW w:w="1084" w:type="pct"/>
            <w:tcBorders>
              <w:top w:val="nil"/>
              <w:left w:val="single" w:color="auto" w:sz="4" w:space="0"/>
              <w:bottom w:val="single" w:color="auto" w:sz="4" w:space="0"/>
              <w:right w:val="single" w:color="auto" w:sz="4" w:space="0"/>
            </w:tcBorders>
            <w:shd w:val="clear" w:color="auto" w:fill="auto"/>
            <w:vAlign w:val="center"/>
          </w:tcPr>
          <w:p w14:paraId="1EAD9B1A">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val="en-US" w:eastAsia="zh-CN"/>
              </w:rPr>
              <w:t>5</w:t>
            </w:r>
          </w:p>
        </w:tc>
        <w:tc>
          <w:tcPr>
            <w:tcW w:w="1865" w:type="pct"/>
            <w:tcBorders>
              <w:top w:val="nil"/>
              <w:left w:val="nil"/>
              <w:bottom w:val="single" w:color="auto" w:sz="4" w:space="0"/>
              <w:right w:val="single" w:color="auto" w:sz="4" w:space="0"/>
            </w:tcBorders>
            <w:shd w:val="clear" w:color="auto" w:fill="auto"/>
            <w:vAlign w:val="center"/>
          </w:tcPr>
          <w:p w14:paraId="088892A9">
            <w:pPr>
              <w:widowControl/>
              <w:kinsoku/>
              <w:autoSpaceDE/>
              <w:autoSpaceDN/>
              <w:adjustRightInd/>
              <w:snapToGrid/>
              <w:spacing w:line="276" w:lineRule="auto"/>
              <w:jc w:val="left"/>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负压抽风除臭设备</w:t>
            </w:r>
          </w:p>
        </w:tc>
        <w:tc>
          <w:tcPr>
            <w:tcW w:w="2049" w:type="pct"/>
            <w:tcBorders>
              <w:top w:val="nil"/>
              <w:left w:val="nil"/>
              <w:bottom w:val="single" w:color="auto" w:sz="4" w:space="0"/>
              <w:right w:val="single" w:color="auto" w:sz="4" w:space="0"/>
            </w:tcBorders>
            <w:shd w:val="clear" w:color="auto" w:fill="auto"/>
            <w:vAlign w:val="center"/>
          </w:tcPr>
          <w:p w14:paraId="4DB28E39">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r>
    </w:tbl>
    <w:p w14:paraId="7AA816DC">
      <w:pPr>
        <w:widowControl/>
        <w:kinsoku/>
        <w:autoSpaceDE/>
        <w:autoSpaceDN/>
        <w:adjustRightInd/>
        <w:snapToGrid/>
        <w:spacing w:line="240" w:lineRule="auto"/>
        <w:jc w:val="left"/>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val="en-US" w:eastAsia="zh-CN"/>
        </w:rPr>
        <w:t>备注：1.</w:t>
      </w:r>
      <w:r>
        <w:rPr>
          <w:rFonts w:hint="eastAsia" w:ascii="宋体" w:hAnsi="宋体" w:eastAsia="宋体" w:cs="宋体"/>
          <w:b w:val="0"/>
          <w:bCs/>
          <w:snapToGrid/>
          <w:kern w:val="2"/>
          <w:sz w:val="28"/>
          <w:szCs w:val="28"/>
          <w:lang w:eastAsia="zh-CN"/>
        </w:rPr>
        <w:t>若部分参数因现场条件暂无法确定，以供应商现场踏勘核实的实际工况为准，所有设备配置、安装尺寸、接口形式及运行性能均须完全满足本项目现场生产、运行及管理要求，采购人不另行告知及补充。</w:t>
      </w:r>
    </w:p>
    <w:p w14:paraId="3D65BDB1">
      <w:pPr>
        <w:pStyle w:val="2"/>
        <w:jc w:val="both"/>
        <w:rPr>
          <w:rFonts w:hint="eastAsia" w:ascii="宋体" w:hAnsi="宋体" w:eastAsia="宋体" w:cs="宋体"/>
          <w:b w:val="0"/>
          <w:bCs/>
          <w:snapToGrid/>
          <w:color w:val="000000"/>
          <w:kern w:val="2"/>
          <w:sz w:val="28"/>
          <w:szCs w:val="28"/>
          <w:highlight w:val="none"/>
          <w:lang w:val="en-US" w:eastAsia="zh-CN" w:bidi="ar-SA"/>
        </w:rPr>
      </w:pPr>
      <w:r>
        <w:rPr>
          <w:rFonts w:hint="eastAsia" w:ascii="宋体" w:hAnsi="宋体" w:eastAsia="宋体" w:cs="宋体"/>
          <w:b w:val="0"/>
          <w:bCs/>
          <w:snapToGrid/>
          <w:color w:val="000000"/>
          <w:kern w:val="2"/>
          <w:sz w:val="28"/>
          <w:szCs w:val="28"/>
          <w:highlight w:val="none"/>
          <w:lang w:val="en-US" w:eastAsia="zh-CN" w:bidi="ar-SA"/>
        </w:rPr>
        <w:t>2.签订合同后中标单位需拟派1名技术人员驻场，期限不低于6个月，确保本次项目更新改造设备的稳定运行（人员食宿，工资等费用包含在投标价内）</w:t>
      </w:r>
    </w:p>
    <w:p w14:paraId="26AC3DD4">
      <w:pPr>
        <w:rPr>
          <w:rFonts w:hint="eastAsia" w:ascii="宋体" w:hAnsi="宋体" w:eastAsia="宋体" w:cs="宋体"/>
          <w:b w:val="0"/>
          <w:bCs/>
          <w:snapToGrid/>
          <w:color w:val="000000"/>
          <w:kern w:val="2"/>
          <w:sz w:val="28"/>
          <w:szCs w:val="28"/>
          <w:lang w:val="en-US" w:eastAsia="zh-CN" w:bidi="ar-SA"/>
        </w:rPr>
      </w:pPr>
      <w:r>
        <w:rPr>
          <w:rFonts w:hint="eastAsia" w:ascii="宋体" w:hAnsi="宋体" w:eastAsia="宋体" w:cs="宋体"/>
          <w:b w:val="0"/>
          <w:bCs/>
          <w:snapToGrid/>
          <w:color w:val="000000"/>
          <w:kern w:val="2"/>
          <w:sz w:val="28"/>
          <w:szCs w:val="28"/>
          <w:highlight w:val="none"/>
          <w:lang w:val="en-US" w:eastAsia="zh-CN" w:bidi="ar-SA"/>
        </w:rPr>
        <w:t>3.核心产品为：①水平直压式压缩机（含料斗、移箱平台、）②垃圾箱</w:t>
      </w:r>
      <w:r>
        <w:rPr>
          <w:rFonts w:hint="eastAsia" w:ascii="宋体" w:hAnsi="宋体" w:eastAsia="宋体" w:cs="宋体"/>
          <w:b w:val="0"/>
          <w:bCs/>
          <w:snapToGrid/>
          <w:color w:val="000000"/>
          <w:kern w:val="2"/>
          <w:sz w:val="28"/>
          <w:szCs w:val="28"/>
          <w:lang w:val="en-US" w:eastAsia="zh-CN" w:bidi="ar-SA"/>
        </w:rPr>
        <w:br w:type="page"/>
      </w:r>
    </w:p>
    <w:p w14:paraId="735DCD10">
      <w:pPr>
        <w:widowControl/>
        <w:kinsoku/>
        <w:autoSpaceDE/>
        <w:autoSpaceDN/>
        <w:adjustRightInd/>
        <w:snapToGrid/>
        <w:spacing w:line="360" w:lineRule="auto"/>
        <w:jc w:val="left"/>
        <w:textAlignment w:val="auto"/>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t>二、设备升级改造技术要求</w:t>
      </w:r>
    </w:p>
    <w:p w14:paraId="4F17FFE4">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28"/>
          <w:szCs w:val="28"/>
          <w:lang w:eastAsia="zh-CN"/>
        </w:rPr>
      </w:pPr>
      <w:r>
        <w:rPr>
          <w:rFonts w:hint="eastAsia" w:ascii="宋体" w:hAnsi="宋体" w:eastAsia="宋体" w:cs="宋体"/>
          <w:b/>
          <w:bCs w:val="0"/>
          <w:snapToGrid/>
          <w:kern w:val="2"/>
          <w:sz w:val="28"/>
          <w:szCs w:val="28"/>
          <w:lang w:eastAsia="zh-CN"/>
        </w:rPr>
        <w:t>（一）水平直压式压缩机</w:t>
      </w:r>
    </w:p>
    <w:p w14:paraId="1683F459">
      <w:pPr>
        <w:widowControl/>
        <w:kinsoku/>
        <w:autoSpaceDE/>
        <w:autoSpaceDN/>
        <w:adjustRightInd/>
        <w:snapToGrid/>
        <w:spacing w:line="360" w:lineRule="auto"/>
        <w:jc w:val="left"/>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1、改造要求</w:t>
      </w:r>
    </w:p>
    <w:p w14:paraId="6C9528DC">
      <w:pPr>
        <w:widowControl/>
        <w:kinsoku/>
        <w:autoSpaceDE/>
        <w:autoSpaceDN/>
        <w:adjustRightInd/>
        <w:snapToGrid/>
        <w:spacing w:line="360" w:lineRule="auto"/>
        <w:ind w:firstLine="560" w:firstLineChars="200"/>
        <w:jc w:val="left"/>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对现有压缩机的机体总成、推头总成、推拉箱装置总成、锁紧装置总成、提门装置总成、排污装置总成、液压及电气设备总成进行</w:t>
      </w:r>
      <w:r>
        <w:rPr>
          <w:rFonts w:hint="eastAsia" w:ascii="宋体" w:hAnsi="宋体" w:eastAsia="宋体" w:cs="宋体"/>
          <w:b w:val="0"/>
          <w:bCs/>
          <w:snapToGrid/>
          <w:color w:val="auto"/>
          <w:kern w:val="2"/>
          <w:sz w:val="28"/>
          <w:szCs w:val="28"/>
          <w:lang w:eastAsia="zh-CN"/>
        </w:rPr>
        <w:t>改造或更换。</w:t>
      </w:r>
    </w:p>
    <w:p w14:paraId="3202A97C">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2、参数要求</w:t>
      </w:r>
    </w:p>
    <w:tbl>
      <w:tblPr>
        <w:tblStyle w:val="19"/>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4754"/>
        <w:gridCol w:w="4093"/>
      </w:tblGrid>
      <w:tr w14:paraId="3243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blHeader/>
          <w:jc w:val="center"/>
        </w:trPr>
        <w:tc>
          <w:tcPr>
            <w:tcW w:w="530" w:type="pct"/>
            <w:vAlign w:val="center"/>
          </w:tcPr>
          <w:p w14:paraId="090616A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序号</w:t>
            </w:r>
          </w:p>
        </w:tc>
        <w:tc>
          <w:tcPr>
            <w:tcW w:w="2401" w:type="pct"/>
            <w:vAlign w:val="center"/>
          </w:tcPr>
          <w:p w14:paraId="3B74BD3C">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项目</w:t>
            </w:r>
          </w:p>
        </w:tc>
        <w:tc>
          <w:tcPr>
            <w:tcW w:w="2067" w:type="pct"/>
            <w:vAlign w:val="center"/>
          </w:tcPr>
          <w:p w14:paraId="1AF9EB1D">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参数</w:t>
            </w:r>
          </w:p>
        </w:tc>
      </w:tr>
      <w:tr w14:paraId="608D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30" w:type="pct"/>
            <w:vAlign w:val="center"/>
          </w:tcPr>
          <w:p w14:paraId="6F621D67">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w:t>
            </w:r>
          </w:p>
        </w:tc>
        <w:tc>
          <w:tcPr>
            <w:tcW w:w="2401" w:type="pct"/>
            <w:vAlign w:val="center"/>
          </w:tcPr>
          <w:p w14:paraId="20AF121D">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★理论处理量</w:t>
            </w:r>
          </w:p>
        </w:tc>
        <w:tc>
          <w:tcPr>
            <w:tcW w:w="2067" w:type="pct"/>
            <w:vAlign w:val="center"/>
          </w:tcPr>
          <w:p w14:paraId="72DAE06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≥40t/h</w:t>
            </w:r>
          </w:p>
        </w:tc>
      </w:tr>
      <w:tr w14:paraId="33C2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30" w:type="pct"/>
            <w:vAlign w:val="center"/>
          </w:tcPr>
          <w:p w14:paraId="7B5A995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w:t>
            </w:r>
          </w:p>
        </w:tc>
        <w:tc>
          <w:tcPr>
            <w:tcW w:w="2401" w:type="pct"/>
            <w:vAlign w:val="center"/>
          </w:tcPr>
          <w:p w14:paraId="03AEA74E">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★最大压缩力</w:t>
            </w:r>
          </w:p>
        </w:tc>
        <w:tc>
          <w:tcPr>
            <w:tcW w:w="2067" w:type="pct"/>
            <w:vAlign w:val="center"/>
          </w:tcPr>
          <w:p w14:paraId="783FDA19">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≥630kN</w:t>
            </w:r>
          </w:p>
        </w:tc>
      </w:tr>
      <w:tr w14:paraId="32BB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30" w:type="pct"/>
            <w:vAlign w:val="center"/>
          </w:tcPr>
          <w:p w14:paraId="349685BA">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3</w:t>
            </w:r>
          </w:p>
        </w:tc>
        <w:tc>
          <w:tcPr>
            <w:tcW w:w="2401" w:type="pct"/>
            <w:vAlign w:val="center"/>
          </w:tcPr>
          <w:p w14:paraId="47F27C09">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★压头（推头）截面尺寸（宽×高）</w:t>
            </w:r>
          </w:p>
        </w:tc>
        <w:tc>
          <w:tcPr>
            <w:tcW w:w="2067" w:type="pct"/>
            <w:vAlign w:val="center"/>
          </w:tcPr>
          <w:p w14:paraId="51118A0D">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（1850×800）±</w:t>
            </w:r>
            <w:r>
              <w:rPr>
                <w:rFonts w:hint="eastAsia" w:ascii="宋体" w:hAnsi="宋体" w:eastAsia="宋体" w:cs="宋体"/>
                <w:b w:val="0"/>
                <w:bCs/>
                <w:snapToGrid/>
                <w:kern w:val="2"/>
                <w:sz w:val="28"/>
                <w:szCs w:val="28"/>
                <w:highlight w:val="none"/>
                <w:lang w:val="en-US" w:eastAsia="zh-CN"/>
              </w:rPr>
              <w:t>5</w:t>
            </w:r>
            <w:r>
              <w:rPr>
                <w:rFonts w:hint="eastAsia" w:ascii="宋体" w:hAnsi="宋体" w:eastAsia="宋体" w:cs="宋体"/>
                <w:b w:val="0"/>
                <w:bCs/>
                <w:snapToGrid/>
                <w:kern w:val="2"/>
                <w:sz w:val="28"/>
                <w:szCs w:val="28"/>
                <w:highlight w:val="none"/>
                <w:lang w:eastAsia="zh-CN"/>
              </w:rPr>
              <w:t>0 mm</w:t>
            </w:r>
            <w:r>
              <w:rPr>
                <w:rFonts w:hint="eastAsia" w:ascii="宋体" w:hAnsi="宋体" w:eastAsia="宋体" w:cs="宋体"/>
                <w:b w:val="0"/>
                <w:bCs/>
                <w:snapToGrid/>
                <w:kern w:val="2"/>
                <w:sz w:val="28"/>
                <w:szCs w:val="28"/>
                <w:highlight w:val="none"/>
                <w:lang w:val="en-US" w:eastAsia="zh-CN"/>
              </w:rPr>
              <w:t>旧设备参数</w:t>
            </w:r>
          </w:p>
        </w:tc>
      </w:tr>
      <w:tr w14:paraId="3151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30" w:type="pct"/>
            <w:vAlign w:val="center"/>
          </w:tcPr>
          <w:p w14:paraId="4D62E8D8">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4</w:t>
            </w:r>
          </w:p>
        </w:tc>
        <w:tc>
          <w:tcPr>
            <w:tcW w:w="2401" w:type="pct"/>
            <w:vAlign w:val="center"/>
          </w:tcPr>
          <w:p w14:paraId="6BE78219">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★压头（推头）入箱距离</w:t>
            </w:r>
          </w:p>
        </w:tc>
        <w:tc>
          <w:tcPr>
            <w:tcW w:w="2067" w:type="pct"/>
            <w:vAlign w:val="center"/>
          </w:tcPr>
          <w:p w14:paraId="3C82BA4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≥800mm</w:t>
            </w:r>
          </w:p>
        </w:tc>
      </w:tr>
      <w:tr w14:paraId="17A2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30" w:type="pct"/>
            <w:vAlign w:val="center"/>
          </w:tcPr>
          <w:p w14:paraId="3E47A898">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val="en-US" w:eastAsia="zh-CN"/>
              </w:rPr>
              <w:t>5</w:t>
            </w:r>
          </w:p>
        </w:tc>
        <w:tc>
          <w:tcPr>
            <w:tcW w:w="2401" w:type="pct"/>
            <w:vAlign w:val="center"/>
          </w:tcPr>
          <w:p w14:paraId="4FDCF5F1">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★泵站电机功率</w:t>
            </w:r>
          </w:p>
        </w:tc>
        <w:tc>
          <w:tcPr>
            <w:tcW w:w="2067" w:type="pct"/>
            <w:vAlign w:val="center"/>
          </w:tcPr>
          <w:p w14:paraId="57DEFE1D">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≥30kW</w:t>
            </w:r>
          </w:p>
        </w:tc>
      </w:tr>
    </w:tbl>
    <w:p w14:paraId="02A120C5">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lang w:eastAsia="zh-CN"/>
        </w:rPr>
      </w:pPr>
    </w:p>
    <w:p w14:paraId="18389A69">
      <w:pPr>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br w:type="page"/>
      </w:r>
    </w:p>
    <w:p w14:paraId="786CB0C2">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t>（二）料斗</w:t>
      </w:r>
    </w:p>
    <w:p w14:paraId="5F8EBD40">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1、改造要求</w:t>
      </w:r>
    </w:p>
    <w:p w14:paraId="7C8001EB">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更换现有压缩机的料斗。</w:t>
      </w:r>
    </w:p>
    <w:p w14:paraId="324D417C">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2、参数要求</w:t>
      </w:r>
    </w:p>
    <w:tbl>
      <w:tblPr>
        <w:tblStyle w:val="20"/>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1"/>
        <w:gridCol w:w="4027"/>
        <w:gridCol w:w="3550"/>
      </w:tblGrid>
      <w:tr w14:paraId="7311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2121" w:type="dxa"/>
            <w:vAlign w:val="center"/>
          </w:tcPr>
          <w:p w14:paraId="0EE169C4">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序号</w:t>
            </w:r>
          </w:p>
        </w:tc>
        <w:tc>
          <w:tcPr>
            <w:tcW w:w="4027" w:type="dxa"/>
            <w:vAlign w:val="center"/>
          </w:tcPr>
          <w:p w14:paraId="290F5541">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项目</w:t>
            </w:r>
          </w:p>
        </w:tc>
        <w:tc>
          <w:tcPr>
            <w:tcW w:w="3550" w:type="dxa"/>
            <w:vAlign w:val="center"/>
          </w:tcPr>
          <w:p w14:paraId="7B7FD06D">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参数</w:t>
            </w:r>
          </w:p>
        </w:tc>
      </w:tr>
      <w:tr w14:paraId="6C3BE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2121" w:type="dxa"/>
            <w:vAlign w:val="center"/>
          </w:tcPr>
          <w:p w14:paraId="3E3B6E47">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w:t>
            </w:r>
          </w:p>
        </w:tc>
        <w:tc>
          <w:tcPr>
            <w:tcW w:w="4027" w:type="dxa"/>
            <w:vAlign w:val="center"/>
          </w:tcPr>
          <w:p w14:paraId="2787842B">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卸料口外宽</w:t>
            </w:r>
          </w:p>
        </w:tc>
        <w:tc>
          <w:tcPr>
            <w:tcW w:w="3550" w:type="dxa"/>
            <w:vAlign w:val="center"/>
          </w:tcPr>
          <w:p w14:paraId="61A7BE84">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≥3000 mm</w:t>
            </w:r>
          </w:p>
        </w:tc>
      </w:tr>
      <w:tr w14:paraId="58786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2121" w:type="dxa"/>
            <w:vAlign w:val="center"/>
          </w:tcPr>
          <w:p w14:paraId="1C37F7A5">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w:t>
            </w:r>
          </w:p>
        </w:tc>
        <w:tc>
          <w:tcPr>
            <w:tcW w:w="4027" w:type="dxa"/>
            <w:vAlign w:val="center"/>
          </w:tcPr>
          <w:p w14:paraId="44781916">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钢板材质</w:t>
            </w:r>
          </w:p>
        </w:tc>
        <w:tc>
          <w:tcPr>
            <w:tcW w:w="3550" w:type="dxa"/>
            <w:vAlign w:val="center"/>
          </w:tcPr>
          <w:p w14:paraId="7977909E">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不低于Q345</w:t>
            </w:r>
          </w:p>
        </w:tc>
      </w:tr>
      <w:tr w14:paraId="57A17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2121" w:type="dxa"/>
            <w:vAlign w:val="center"/>
          </w:tcPr>
          <w:p w14:paraId="3800ED58">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3</w:t>
            </w:r>
          </w:p>
        </w:tc>
        <w:tc>
          <w:tcPr>
            <w:tcW w:w="4027" w:type="dxa"/>
            <w:vAlign w:val="center"/>
          </w:tcPr>
          <w:p w14:paraId="3C4AFB33">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钢板厚度</w:t>
            </w:r>
          </w:p>
        </w:tc>
        <w:tc>
          <w:tcPr>
            <w:tcW w:w="3550" w:type="dxa"/>
            <w:vAlign w:val="center"/>
          </w:tcPr>
          <w:p w14:paraId="0A197A45">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≥4 mm</w:t>
            </w:r>
          </w:p>
        </w:tc>
      </w:tr>
    </w:tbl>
    <w:p w14:paraId="0B334054">
      <w:pPr>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br w:type="page"/>
      </w:r>
    </w:p>
    <w:p w14:paraId="45E79370">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bCs w:val="0"/>
          <w:snapToGrid/>
          <w:kern w:val="2"/>
          <w:sz w:val="32"/>
          <w:szCs w:val="32"/>
          <w:lang w:eastAsia="zh-CN"/>
        </w:rPr>
        <w:t>（三）移箱平台</w:t>
      </w:r>
    </w:p>
    <w:p w14:paraId="292264B3">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1、改造要求</w:t>
      </w:r>
    </w:p>
    <w:p w14:paraId="72C9785C">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对现有移箱平台的平台总成、驱动装置总成、导轨总成进行改造</w:t>
      </w:r>
      <w:r>
        <w:rPr>
          <w:rFonts w:hint="eastAsia" w:ascii="宋体" w:hAnsi="宋体" w:eastAsia="宋体" w:cs="宋体"/>
          <w:b w:val="0"/>
          <w:bCs/>
          <w:snapToGrid/>
          <w:color w:val="auto"/>
          <w:kern w:val="2"/>
          <w:sz w:val="28"/>
          <w:szCs w:val="28"/>
          <w:lang w:eastAsia="zh-CN"/>
        </w:rPr>
        <w:t>或更换。</w:t>
      </w:r>
    </w:p>
    <w:p w14:paraId="7C3D22D1">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2、参数要求</w:t>
      </w:r>
    </w:p>
    <w:tbl>
      <w:tblPr>
        <w:tblStyle w:val="19"/>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905"/>
        <w:gridCol w:w="4274"/>
      </w:tblGrid>
      <w:tr w14:paraId="2290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69" w:type="pct"/>
            <w:vAlign w:val="center"/>
          </w:tcPr>
          <w:p w14:paraId="798C38B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序号</w:t>
            </w:r>
          </w:p>
        </w:tc>
        <w:tc>
          <w:tcPr>
            <w:tcW w:w="1924" w:type="pct"/>
            <w:vAlign w:val="center"/>
          </w:tcPr>
          <w:p w14:paraId="6C8F8D3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项目</w:t>
            </w:r>
          </w:p>
        </w:tc>
        <w:tc>
          <w:tcPr>
            <w:tcW w:w="2106" w:type="pct"/>
            <w:vAlign w:val="center"/>
          </w:tcPr>
          <w:p w14:paraId="62A840CA">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参数</w:t>
            </w:r>
          </w:p>
        </w:tc>
      </w:tr>
      <w:tr w14:paraId="1EE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69" w:type="pct"/>
            <w:vAlign w:val="center"/>
          </w:tcPr>
          <w:p w14:paraId="2812FC1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w:t>
            </w:r>
          </w:p>
        </w:tc>
        <w:tc>
          <w:tcPr>
            <w:tcW w:w="1924" w:type="pct"/>
            <w:vAlign w:val="center"/>
          </w:tcPr>
          <w:p w14:paraId="16859F74">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平台型式</w:t>
            </w:r>
          </w:p>
        </w:tc>
        <w:tc>
          <w:tcPr>
            <w:tcW w:w="2106" w:type="pct"/>
            <w:vAlign w:val="center"/>
          </w:tcPr>
          <w:p w14:paraId="4E971C5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双平台串联式</w:t>
            </w:r>
          </w:p>
        </w:tc>
      </w:tr>
      <w:tr w14:paraId="5733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69" w:type="pct"/>
            <w:vAlign w:val="center"/>
          </w:tcPr>
          <w:p w14:paraId="342A0325">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w:t>
            </w:r>
          </w:p>
        </w:tc>
        <w:tc>
          <w:tcPr>
            <w:tcW w:w="1924" w:type="pct"/>
            <w:vAlign w:val="center"/>
          </w:tcPr>
          <w:p w14:paraId="3740B02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平移距离</w:t>
            </w:r>
          </w:p>
        </w:tc>
        <w:tc>
          <w:tcPr>
            <w:tcW w:w="2106" w:type="pct"/>
            <w:vAlign w:val="center"/>
          </w:tcPr>
          <w:p w14:paraId="56FDB08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≤2960 mm</w:t>
            </w:r>
          </w:p>
        </w:tc>
      </w:tr>
      <w:tr w14:paraId="11E1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9" w:type="pct"/>
            <w:vAlign w:val="center"/>
          </w:tcPr>
          <w:p w14:paraId="04D9334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3</w:t>
            </w:r>
          </w:p>
        </w:tc>
        <w:tc>
          <w:tcPr>
            <w:tcW w:w="1924" w:type="pct"/>
            <w:vAlign w:val="center"/>
          </w:tcPr>
          <w:p w14:paraId="6E264865">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平移速度</w:t>
            </w:r>
          </w:p>
        </w:tc>
        <w:tc>
          <w:tcPr>
            <w:tcW w:w="2106" w:type="pct"/>
            <w:vAlign w:val="center"/>
          </w:tcPr>
          <w:p w14:paraId="024AB9F4">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60-70mm/s</w:t>
            </w:r>
          </w:p>
        </w:tc>
      </w:tr>
    </w:tbl>
    <w:p w14:paraId="638C4E5F">
      <w:pPr>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br w:type="page"/>
      </w:r>
    </w:p>
    <w:p w14:paraId="413BEB00">
      <w:pPr>
        <w:widowControl/>
        <w:kinsoku/>
        <w:autoSpaceDE/>
        <w:autoSpaceDN/>
        <w:adjustRightInd/>
        <w:snapToGrid/>
        <w:spacing w:line="360" w:lineRule="auto"/>
        <w:jc w:val="left"/>
        <w:textAlignment w:val="auto"/>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t>（四）控制设备</w:t>
      </w:r>
    </w:p>
    <w:p w14:paraId="62B07F94">
      <w:pPr>
        <w:widowControl/>
        <w:kinsoku/>
        <w:autoSpaceDE/>
        <w:autoSpaceDN/>
        <w:adjustRightInd/>
        <w:snapToGrid/>
        <w:spacing w:line="360" w:lineRule="auto"/>
        <w:jc w:val="left"/>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1、改造要求</w:t>
      </w:r>
    </w:p>
    <w:p w14:paraId="40B76828">
      <w:pPr>
        <w:widowControl/>
        <w:kinsoku/>
        <w:autoSpaceDE/>
        <w:autoSpaceDN/>
        <w:adjustRightInd/>
        <w:snapToGrid/>
        <w:spacing w:line="360" w:lineRule="auto"/>
        <w:ind w:firstLine="560" w:firstLineChars="200"/>
        <w:jc w:val="left"/>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对现有压缩机的设备控制及信号</w:t>
      </w:r>
      <w:r>
        <w:rPr>
          <w:rFonts w:hint="eastAsia" w:ascii="宋体" w:hAnsi="宋体" w:eastAsia="宋体" w:cs="宋体"/>
          <w:b w:val="0"/>
          <w:bCs/>
          <w:snapToGrid/>
          <w:kern w:val="2"/>
          <w:sz w:val="28"/>
          <w:szCs w:val="28"/>
          <w:lang w:val="en-US" w:eastAsia="zh-CN"/>
        </w:rPr>
        <w:t>提醒</w:t>
      </w:r>
      <w:r>
        <w:rPr>
          <w:rFonts w:hint="eastAsia" w:ascii="宋体" w:hAnsi="宋体" w:eastAsia="宋体" w:cs="宋体"/>
          <w:b w:val="0"/>
          <w:bCs/>
          <w:snapToGrid/>
          <w:kern w:val="2"/>
          <w:sz w:val="28"/>
          <w:szCs w:val="28"/>
          <w:lang w:eastAsia="zh-CN"/>
        </w:rPr>
        <w:t>等功能。</w:t>
      </w:r>
    </w:p>
    <w:p w14:paraId="57199DBD">
      <w:pPr>
        <w:widowControl/>
        <w:kinsoku/>
        <w:autoSpaceDE/>
        <w:autoSpaceDN/>
        <w:adjustRightInd/>
        <w:snapToGrid/>
        <w:spacing w:line="360" w:lineRule="auto"/>
        <w:jc w:val="left"/>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2、配置要求</w:t>
      </w:r>
    </w:p>
    <w:tbl>
      <w:tblPr>
        <w:tblStyle w:val="19"/>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864"/>
        <w:gridCol w:w="1354"/>
        <w:gridCol w:w="5438"/>
      </w:tblGrid>
      <w:tr w14:paraId="1909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22" w:type="pct"/>
            <w:shd w:val="clear" w:color="auto" w:fill="auto"/>
            <w:vAlign w:val="center"/>
          </w:tcPr>
          <w:p w14:paraId="7E095543">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序号</w:t>
            </w:r>
          </w:p>
        </w:tc>
        <w:tc>
          <w:tcPr>
            <w:tcW w:w="964" w:type="pct"/>
            <w:shd w:val="clear" w:color="auto" w:fill="auto"/>
            <w:vAlign w:val="center"/>
          </w:tcPr>
          <w:p w14:paraId="4F59B543">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名称</w:t>
            </w:r>
          </w:p>
        </w:tc>
        <w:tc>
          <w:tcPr>
            <w:tcW w:w="700" w:type="pct"/>
            <w:vAlign w:val="center"/>
          </w:tcPr>
          <w:p w14:paraId="3321F6E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数量</w:t>
            </w:r>
          </w:p>
        </w:tc>
        <w:tc>
          <w:tcPr>
            <w:tcW w:w="2812" w:type="pct"/>
            <w:shd w:val="clear" w:color="auto" w:fill="auto"/>
            <w:vAlign w:val="center"/>
          </w:tcPr>
          <w:p w14:paraId="0C6E064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参数</w:t>
            </w:r>
          </w:p>
        </w:tc>
      </w:tr>
      <w:tr w14:paraId="4540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22" w:type="pct"/>
            <w:shd w:val="clear" w:color="auto" w:fill="auto"/>
            <w:vAlign w:val="center"/>
          </w:tcPr>
          <w:p w14:paraId="146C35F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w:t>
            </w:r>
          </w:p>
        </w:tc>
        <w:tc>
          <w:tcPr>
            <w:tcW w:w="964" w:type="pct"/>
            <w:shd w:val="clear" w:color="auto" w:fill="auto"/>
            <w:vAlign w:val="center"/>
          </w:tcPr>
          <w:p w14:paraId="3267D96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中控软件</w:t>
            </w:r>
          </w:p>
        </w:tc>
        <w:tc>
          <w:tcPr>
            <w:tcW w:w="700" w:type="pct"/>
            <w:vAlign w:val="center"/>
          </w:tcPr>
          <w:p w14:paraId="3560F2ED">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 套</w:t>
            </w:r>
          </w:p>
        </w:tc>
        <w:tc>
          <w:tcPr>
            <w:tcW w:w="2812" w:type="pct"/>
            <w:shd w:val="clear" w:color="auto" w:fill="auto"/>
            <w:vAlign w:val="center"/>
          </w:tcPr>
          <w:p w14:paraId="1A8B93AE">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SCADA</w:t>
            </w:r>
            <w:r>
              <w:rPr>
                <w:rFonts w:hint="eastAsia" w:ascii="宋体" w:hAnsi="宋体" w:eastAsia="宋体" w:cs="宋体"/>
                <w:b w:val="0"/>
                <w:bCs/>
                <w:snapToGrid/>
                <w:kern w:val="2"/>
                <w:sz w:val="28"/>
                <w:szCs w:val="28"/>
                <w:lang w:val="en-US" w:eastAsia="zh-CN"/>
              </w:rPr>
              <w:t>中控</w:t>
            </w:r>
            <w:r>
              <w:rPr>
                <w:rFonts w:hint="eastAsia" w:ascii="宋体" w:hAnsi="宋体" w:eastAsia="宋体" w:cs="宋体"/>
                <w:b w:val="0"/>
                <w:bCs/>
                <w:snapToGrid/>
                <w:kern w:val="2"/>
                <w:sz w:val="28"/>
                <w:szCs w:val="28"/>
                <w:lang w:eastAsia="zh-CN"/>
              </w:rPr>
              <w:t>组件</w:t>
            </w:r>
          </w:p>
        </w:tc>
      </w:tr>
      <w:tr w14:paraId="71B7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2" w:type="pct"/>
            <w:shd w:val="clear" w:color="auto" w:fill="auto"/>
            <w:vAlign w:val="center"/>
          </w:tcPr>
          <w:p w14:paraId="42CE680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w:t>
            </w:r>
          </w:p>
        </w:tc>
        <w:tc>
          <w:tcPr>
            <w:tcW w:w="964" w:type="pct"/>
            <w:shd w:val="clear" w:color="auto" w:fill="auto"/>
            <w:vAlign w:val="center"/>
          </w:tcPr>
          <w:p w14:paraId="482DB4D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工控机</w:t>
            </w:r>
          </w:p>
        </w:tc>
        <w:tc>
          <w:tcPr>
            <w:tcW w:w="700" w:type="pct"/>
            <w:vAlign w:val="center"/>
          </w:tcPr>
          <w:p w14:paraId="6B150E2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 台</w:t>
            </w:r>
          </w:p>
        </w:tc>
        <w:tc>
          <w:tcPr>
            <w:tcW w:w="2812" w:type="pct"/>
            <w:shd w:val="clear" w:color="auto" w:fill="auto"/>
            <w:vAlign w:val="center"/>
          </w:tcPr>
          <w:p w14:paraId="2D9B3B68">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处理器：≥4核I7</w:t>
            </w:r>
          </w:p>
          <w:p w14:paraId="0838C4D4">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内存容量：≥8G</w:t>
            </w:r>
          </w:p>
          <w:p w14:paraId="06813347">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硬盘容量：≥1T</w:t>
            </w:r>
          </w:p>
        </w:tc>
      </w:tr>
      <w:tr w14:paraId="0262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22" w:type="pct"/>
            <w:shd w:val="clear" w:color="auto" w:fill="auto"/>
            <w:vAlign w:val="center"/>
          </w:tcPr>
          <w:p w14:paraId="2D3F68C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3</w:t>
            </w:r>
          </w:p>
        </w:tc>
        <w:tc>
          <w:tcPr>
            <w:tcW w:w="964" w:type="pct"/>
            <w:shd w:val="clear" w:color="auto" w:fill="auto"/>
            <w:vAlign w:val="center"/>
          </w:tcPr>
          <w:p w14:paraId="7416EF1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显示器</w:t>
            </w:r>
          </w:p>
        </w:tc>
        <w:tc>
          <w:tcPr>
            <w:tcW w:w="700" w:type="pct"/>
            <w:vAlign w:val="center"/>
          </w:tcPr>
          <w:p w14:paraId="6567B563">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 台</w:t>
            </w:r>
          </w:p>
        </w:tc>
        <w:tc>
          <w:tcPr>
            <w:tcW w:w="2812" w:type="pct"/>
            <w:shd w:val="clear" w:color="auto" w:fill="auto"/>
            <w:vAlign w:val="center"/>
          </w:tcPr>
          <w:p w14:paraId="311BF6A8">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尺寸：≥23.8英寸</w:t>
            </w:r>
          </w:p>
          <w:p w14:paraId="725B9479">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分辨率：≥1920*1080</w:t>
            </w:r>
          </w:p>
        </w:tc>
      </w:tr>
      <w:tr w14:paraId="6A5D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22" w:type="pct"/>
            <w:shd w:val="clear" w:color="auto" w:fill="auto"/>
            <w:vAlign w:val="center"/>
          </w:tcPr>
          <w:p w14:paraId="38DB333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4</w:t>
            </w:r>
          </w:p>
        </w:tc>
        <w:tc>
          <w:tcPr>
            <w:tcW w:w="964" w:type="pct"/>
            <w:shd w:val="clear" w:color="auto" w:fill="auto"/>
            <w:vAlign w:val="center"/>
          </w:tcPr>
          <w:p w14:paraId="31F59945">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钢制操作台</w:t>
            </w:r>
          </w:p>
        </w:tc>
        <w:tc>
          <w:tcPr>
            <w:tcW w:w="700" w:type="pct"/>
            <w:vAlign w:val="center"/>
          </w:tcPr>
          <w:p w14:paraId="3775B3E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 张</w:t>
            </w:r>
          </w:p>
        </w:tc>
        <w:tc>
          <w:tcPr>
            <w:tcW w:w="2812" w:type="pct"/>
            <w:shd w:val="clear" w:color="auto" w:fill="auto"/>
            <w:vAlign w:val="center"/>
          </w:tcPr>
          <w:p w14:paraId="19DE6A8F">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双工位，桌面材质应选用优质冷轧钢板</w:t>
            </w:r>
          </w:p>
        </w:tc>
      </w:tr>
      <w:tr w14:paraId="469D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22" w:type="pct"/>
            <w:shd w:val="clear" w:color="auto" w:fill="auto"/>
            <w:vAlign w:val="center"/>
          </w:tcPr>
          <w:p w14:paraId="324F94E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5</w:t>
            </w:r>
          </w:p>
        </w:tc>
        <w:tc>
          <w:tcPr>
            <w:tcW w:w="964" w:type="pct"/>
            <w:shd w:val="clear" w:color="auto" w:fill="auto"/>
            <w:vAlign w:val="center"/>
          </w:tcPr>
          <w:p w14:paraId="74B09A5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配套椅子</w:t>
            </w:r>
          </w:p>
        </w:tc>
        <w:tc>
          <w:tcPr>
            <w:tcW w:w="700" w:type="pct"/>
            <w:vAlign w:val="center"/>
          </w:tcPr>
          <w:p w14:paraId="68C271F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 把</w:t>
            </w:r>
          </w:p>
        </w:tc>
        <w:tc>
          <w:tcPr>
            <w:tcW w:w="2812" w:type="pct"/>
            <w:shd w:val="clear" w:color="auto" w:fill="auto"/>
            <w:vAlign w:val="center"/>
          </w:tcPr>
          <w:p w14:paraId="0E04DBA3">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应为黑色靠背网面，应带滚轮</w:t>
            </w:r>
          </w:p>
        </w:tc>
      </w:tr>
    </w:tbl>
    <w:p w14:paraId="3613D103">
      <w:pPr>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br w:type="page"/>
      </w:r>
    </w:p>
    <w:p w14:paraId="03FC65AC">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t>（五）负压抽风除臭设备</w:t>
      </w:r>
    </w:p>
    <w:p w14:paraId="1E053F5E">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1、改造要求</w:t>
      </w:r>
    </w:p>
    <w:p w14:paraId="679E2199">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更换现有转运站内负压抽风除臭设备的风管、风机、洗涤塔等设备，对两个卸料口进行抽风，除臭工艺应采用生物液洗涤工艺，使臭气经处理后达到环保排放要求。</w:t>
      </w:r>
    </w:p>
    <w:p w14:paraId="3A9E0B92">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2、参数要求</w:t>
      </w:r>
    </w:p>
    <w:tbl>
      <w:tblPr>
        <w:tblStyle w:val="19"/>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3920"/>
        <w:gridCol w:w="3452"/>
      </w:tblGrid>
      <w:tr w14:paraId="26D7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1253E">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设备名称</w:t>
            </w: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16DEA">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项目</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A26DF">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参数</w:t>
            </w:r>
          </w:p>
        </w:tc>
      </w:tr>
      <w:tr w14:paraId="620D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restart"/>
            <w:tcBorders>
              <w:top w:val="single" w:color="auto" w:sz="4" w:space="0"/>
              <w:left w:val="single" w:color="auto" w:sz="4" w:space="0"/>
              <w:right w:val="single" w:color="auto" w:sz="4" w:space="0"/>
            </w:tcBorders>
            <w:shd w:val="clear" w:color="auto" w:fill="auto"/>
            <w:noWrap/>
            <w:vAlign w:val="center"/>
          </w:tcPr>
          <w:p w14:paraId="4E7F42D3">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风机</w:t>
            </w: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6997B">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材质</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1A6B9">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FRP</w:t>
            </w:r>
          </w:p>
        </w:tc>
      </w:tr>
      <w:tr w14:paraId="2BD6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tcBorders>
              <w:left w:val="single" w:color="auto" w:sz="4" w:space="0"/>
              <w:right w:val="single" w:color="auto" w:sz="4" w:space="0"/>
            </w:tcBorders>
            <w:shd w:val="clear" w:color="auto" w:fill="auto"/>
            <w:noWrap/>
            <w:vAlign w:val="center"/>
          </w:tcPr>
          <w:p w14:paraId="569E3B2A">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D19BC">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风量(m3/h)</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D499B">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≥30000</w:t>
            </w:r>
          </w:p>
        </w:tc>
      </w:tr>
      <w:tr w14:paraId="373B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tcBorders>
              <w:left w:val="single" w:color="auto" w:sz="4" w:space="0"/>
              <w:right w:val="single" w:color="auto" w:sz="4" w:space="0"/>
            </w:tcBorders>
            <w:shd w:val="clear" w:color="auto" w:fill="auto"/>
            <w:noWrap/>
            <w:vAlign w:val="center"/>
          </w:tcPr>
          <w:p w14:paraId="0D214BB3">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A9181">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功率(kW)</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9FE0F">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≥22</w:t>
            </w:r>
          </w:p>
        </w:tc>
      </w:tr>
      <w:tr w14:paraId="43A7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tcBorders>
              <w:left w:val="single" w:color="auto" w:sz="4" w:space="0"/>
              <w:right w:val="single" w:color="auto" w:sz="4" w:space="0"/>
            </w:tcBorders>
            <w:shd w:val="clear" w:color="auto" w:fill="auto"/>
            <w:noWrap/>
            <w:vAlign w:val="center"/>
          </w:tcPr>
          <w:p w14:paraId="2AABF8F4">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8C781">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噪音(dB（A）)</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CA220">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≤85</w:t>
            </w:r>
          </w:p>
        </w:tc>
      </w:tr>
      <w:tr w14:paraId="00F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tcBorders>
              <w:left w:val="single" w:color="auto" w:sz="4" w:space="0"/>
              <w:bottom w:val="single" w:color="auto" w:sz="4" w:space="0"/>
              <w:right w:val="single" w:color="auto" w:sz="4" w:space="0"/>
            </w:tcBorders>
            <w:shd w:val="clear" w:color="auto" w:fill="auto"/>
            <w:noWrap/>
            <w:vAlign w:val="center"/>
          </w:tcPr>
          <w:p w14:paraId="56102240">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FEAED">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防护等级</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E9246">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≥IP55</w:t>
            </w:r>
          </w:p>
        </w:tc>
      </w:tr>
      <w:tr w14:paraId="5743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restart"/>
            <w:tcBorders>
              <w:top w:val="single" w:color="auto" w:sz="4" w:space="0"/>
              <w:left w:val="single" w:color="auto" w:sz="4" w:space="0"/>
              <w:right w:val="single" w:color="auto" w:sz="4" w:space="0"/>
            </w:tcBorders>
            <w:shd w:val="clear" w:color="auto" w:fill="auto"/>
            <w:noWrap/>
            <w:vAlign w:val="center"/>
          </w:tcPr>
          <w:p w14:paraId="2505D34D">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洗涤塔</w:t>
            </w: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5A0F7">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材质</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8C45F">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PP</w:t>
            </w:r>
          </w:p>
        </w:tc>
      </w:tr>
      <w:tr w14:paraId="513D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tcBorders>
              <w:left w:val="single" w:color="auto" w:sz="4" w:space="0"/>
              <w:right w:val="single" w:color="auto" w:sz="4" w:space="0"/>
            </w:tcBorders>
            <w:shd w:val="clear" w:color="auto" w:fill="auto"/>
            <w:noWrap/>
            <w:vAlign w:val="center"/>
          </w:tcPr>
          <w:p w14:paraId="613BEE98">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BE9EF">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尺寸（mm）</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6AD4B">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≥Φ2400*5600</w:t>
            </w:r>
          </w:p>
        </w:tc>
      </w:tr>
      <w:tr w14:paraId="1FE6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tcBorders>
              <w:left w:val="single" w:color="auto" w:sz="4" w:space="0"/>
              <w:right w:val="single" w:color="auto" w:sz="4" w:space="0"/>
            </w:tcBorders>
            <w:shd w:val="clear" w:color="auto" w:fill="auto"/>
            <w:noWrap/>
            <w:vAlign w:val="center"/>
          </w:tcPr>
          <w:p w14:paraId="6C3E8961">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3D0DC">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厚度（mm）</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2DF78D">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≥12</w:t>
            </w:r>
          </w:p>
        </w:tc>
      </w:tr>
      <w:tr w14:paraId="3D7D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tcBorders>
              <w:left w:val="single" w:color="auto" w:sz="4" w:space="0"/>
              <w:right w:val="single" w:color="auto" w:sz="4" w:space="0"/>
            </w:tcBorders>
            <w:shd w:val="clear" w:color="auto" w:fill="auto"/>
            <w:noWrap/>
            <w:vAlign w:val="center"/>
          </w:tcPr>
          <w:p w14:paraId="7FD09088">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6E70C">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填料厚度（mm）</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2E939">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≥500</w:t>
            </w:r>
          </w:p>
        </w:tc>
      </w:tr>
      <w:tr w14:paraId="532F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restart"/>
            <w:tcBorders>
              <w:top w:val="single" w:color="auto" w:sz="4" w:space="0"/>
              <w:left w:val="single" w:color="auto" w:sz="4" w:space="0"/>
              <w:right w:val="single" w:color="auto" w:sz="4" w:space="0"/>
            </w:tcBorders>
            <w:shd w:val="clear" w:color="auto" w:fill="auto"/>
            <w:noWrap/>
            <w:vAlign w:val="center"/>
          </w:tcPr>
          <w:p w14:paraId="6DEB002C">
            <w:pPr>
              <w:widowControl w:val="0"/>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控制设备</w:t>
            </w: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DE5A0">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控制方式</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89076">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PLC控制</w:t>
            </w:r>
          </w:p>
        </w:tc>
      </w:tr>
      <w:tr w14:paraId="509D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tcBorders>
              <w:left w:val="single" w:color="auto" w:sz="4" w:space="0"/>
              <w:right w:val="single" w:color="auto" w:sz="4" w:space="0"/>
            </w:tcBorders>
            <w:shd w:val="clear" w:color="auto" w:fill="auto"/>
            <w:noWrap/>
            <w:vAlign w:val="center"/>
          </w:tcPr>
          <w:p w14:paraId="5B00C683">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828CC">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触摸屏尺寸</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82F4E">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≥7寸</w:t>
            </w:r>
          </w:p>
        </w:tc>
      </w:tr>
      <w:tr w14:paraId="094C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restart"/>
            <w:shd w:val="clear" w:color="auto" w:fill="auto"/>
            <w:noWrap/>
            <w:vAlign w:val="center"/>
          </w:tcPr>
          <w:p w14:paraId="3B011227">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循环泵</w:t>
            </w:r>
          </w:p>
        </w:tc>
        <w:tc>
          <w:tcPr>
            <w:tcW w:w="2027" w:type="pct"/>
            <w:shd w:val="clear" w:color="auto" w:fill="auto"/>
            <w:noWrap/>
            <w:vAlign w:val="center"/>
          </w:tcPr>
          <w:p w14:paraId="0B9FBC8D">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流量（L/min)</w:t>
            </w:r>
          </w:p>
        </w:tc>
        <w:tc>
          <w:tcPr>
            <w:tcW w:w="1785" w:type="pct"/>
            <w:shd w:val="clear" w:color="auto" w:fill="auto"/>
            <w:noWrap/>
            <w:vAlign w:val="center"/>
          </w:tcPr>
          <w:p w14:paraId="1DA4E11C">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≥1416</w:t>
            </w:r>
          </w:p>
        </w:tc>
      </w:tr>
      <w:tr w14:paraId="158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shd w:val="clear" w:color="auto" w:fill="auto"/>
            <w:vAlign w:val="center"/>
          </w:tcPr>
          <w:p w14:paraId="1B95A8BF">
            <w:pPr>
              <w:widowControl/>
              <w:kinsoku/>
              <w:autoSpaceDE/>
              <w:autoSpaceDN/>
              <w:adjustRightInd/>
              <w:snapToGrid/>
              <w:spacing w:line="240" w:lineRule="auto"/>
              <w:jc w:val="left"/>
              <w:textAlignment w:val="auto"/>
              <w:rPr>
                <w:rFonts w:hint="eastAsia" w:ascii="宋体" w:hAnsi="宋体" w:eastAsia="宋体" w:cs="宋体"/>
                <w:b w:val="0"/>
                <w:bCs/>
                <w:snapToGrid/>
                <w:kern w:val="0"/>
                <w:sz w:val="28"/>
                <w:szCs w:val="28"/>
                <w:lang w:eastAsia="zh-CN"/>
              </w:rPr>
            </w:pPr>
          </w:p>
        </w:tc>
        <w:tc>
          <w:tcPr>
            <w:tcW w:w="2027" w:type="pct"/>
            <w:shd w:val="clear" w:color="auto" w:fill="auto"/>
            <w:noWrap/>
            <w:vAlign w:val="center"/>
          </w:tcPr>
          <w:p w14:paraId="1ECFC409">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扬程（m）</w:t>
            </w:r>
          </w:p>
        </w:tc>
        <w:tc>
          <w:tcPr>
            <w:tcW w:w="1785" w:type="pct"/>
            <w:shd w:val="clear" w:color="auto" w:fill="auto"/>
            <w:noWrap/>
            <w:vAlign w:val="center"/>
          </w:tcPr>
          <w:p w14:paraId="40D5058F">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≥12</w:t>
            </w:r>
          </w:p>
        </w:tc>
      </w:tr>
      <w:tr w14:paraId="4FD2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continue"/>
            <w:shd w:val="clear" w:color="auto" w:fill="auto"/>
            <w:vAlign w:val="center"/>
          </w:tcPr>
          <w:p w14:paraId="10DA38DF">
            <w:pPr>
              <w:widowControl/>
              <w:kinsoku/>
              <w:autoSpaceDE/>
              <w:autoSpaceDN/>
              <w:adjustRightInd/>
              <w:snapToGrid/>
              <w:spacing w:line="240" w:lineRule="auto"/>
              <w:jc w:val="left"/>
              <w:textAlignment w:val="auto"/>
              <w:rPr>
                <w:rFonts w:hint="eastAsia" w:ascii="宋体" w:hAnsi="宋体" w:eastAsia="宋体" w:cs="宋体"/>
                <w:b w:val="0"/>
                <w:bCs/>
                <w:snapToGrid/>
                <w:kern w:val="0"/>
                <w:sz w:val="28"/>
                <w:szCs w:val="28"/>
                <w:lang w:eastAsia="zh-CN"/>
              </w:rPr>
            </w:pPr>
          </w:p>
        </w:tc>
        <w:tc>
          <w:tcPr>
            <w:tcW w:w="2027" w:type="pct"/>
            <w:shd w:val="clear" w:color="auto" w:fill="auto"/>
            <w:noWrap/>
            <w:vAlign w:val="center"/>
          </w:tcPr>
          <w:p w14:paraId="5797EC60">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功率(kW)</w:t>
            </w:r>
          </w:p>
        </w:tc>
        <w:tc>
          <w:tcPr>
            <w:tcW w:w="1785" w:type="pct"/>
            <w:shd w:val="clear" w:color="auto" w:fill="auto"/>
            <w:noWrap/>
            <w:vAlign w:val="center"/>
          </w:tcPr>
          <w:p w14:paraId="43C142A0">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≥5.5</w:t>
            </w:r>
          </w:p>
        </w:tc>
      </w:tr>
      <w:tr w14:paraId="3BA7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shd w:val="clear" w:color="auto" w:fill="auto"/>
            <w:noWrap/>
            <w:vAlign w:val="center"/>
          </w:tcPr>
          <w:p w14:paraId="12CB3A2B">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除雾器</w:t>
            </w:r>
          </w:p>
        </w:tc>
        <w:tc>
          <w:tcPr>
            <w:tcW w:w="2027" w:type="pct"/>
            <w:shd w:val="clear" w:color="auto" w:fill="auto"/>
            <w:noWrap/>
            <w:vAlign w:val="center"/>
          </w:tcPr>
          <w:p w14:paraId="71BD133C">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除雾效率</w:t>
            </w:r>
          </w:p>
        </w:tc>
        <w:tc>
          <w:tcPr>
            <w:tcW w:w="1785" w:type="pct"/>
            <w:shd w:val="clear" w:color="auto" w:fill="auto"/>
            <w:noWrap/>
            <w:vAlign w:val="center"/>
          </w:tcPr>
          <w:p w14:paraId="7A8C5006">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≥80%</w:t>
            </w:r>
          </w:p>
        </w:tc>
      </w:tr>
      <w:tr w14:paraId="5A5F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shd w:val="clear" w:color="auto" w:fill="auto"/>
            <w:noWrap/>
            <w:vAlign w:val="center"/>
          </w:tcPr>
          <w:p w14:paraId="04F71805">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生物药剂</w:t>
            </w:r>
          </w:p>
        </w:tc>
        <w:tc>
          <w:tcPr>
            <w:tcW w:w="2027" w:type="pct"/>
            <w:shd w:val="clear" w:color="auto" w:fill="auto"/>
            <w:noWrap/>
            <w:vAlign w:val="center"/>
          </w:tcPr>
          <w:p w14:paraId="7740A518">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安全性</w:t>
            </w:r>
          </w:p>
        </w:tc>
        <w:tc>
          <w:tcPr>
            <w:tcW w:w="1785" w:type="pct"/>
            <w:shd w:val="clear" w:color="auto" w:fill="auto"/>
            <w:noWrap/>
            <w:vAlign w:val="center"/>
          </w:tcPr>
          <w:p w14:paraId="53D81668">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无毒、无腐蚀性</w:t>
            </w:r>
          </w:p>
        </w:tc>
      </w:tr>
      <w:tr w14:paraId="14D8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shd w:val="clear" w:color="auto" w:fill="auto"/>
            <w:noWrap/>
            <w:vAlign w:val="center"/>
          </w:tcPr>
          <w:p w14:paraId="34EEC634">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烟囱</w:t>
            </w:r>
          </w:p>
        </w:tc>
        <w:tc>
          <w:tcPr>
            <w:tcW w:w="2027" w:type="pct"/>
            <w:shd w:val="clear" w:color="auto" w:fill="auto"/>
            <w:noWrap/>
            <w:vAlign w:val="center"/>
          </w:tcPr>
          <w:p w14:paraId="02FF4150">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烟囱高度（m）</w:t>
            </w:r>
          </w:p>
        </w:tc>
        <w:tc>
          <w:tcPr>
            <w:tcW w:w="1785" w:type="pct"/>
            <w:shd w:val="clear" w:color="auto" w:fill="auto"/>
            <w:vAlign w:val="center"/>
          </w:tcPr>
          <w:p w14:paraId="2288BE97">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color w:val="000000"/>
                <w:kern w:val="0"/>
                <w:sz w:val="28"/>
                <w:szCs w:val="28"/>
                <w:lang w:eastAsia="zh-CN" w:bidi="ar"/>
              </w:rPr>
              <w:t>≥</w:t>
            </w:r>
            <w:r>
              <w:rPr>
                <w:rFonts w:hint="eastAsia" w:ascii="宋体" w:hAnsi="宋体" w:eastAsia="宋体" w:cs="宋体"/>
                <w:b w:val="0"/>
                <w:bCs/>
                <w:snapToGrid/>
                <w:kern w:val="0"/>
                <w:sz w:val="28"/>
                <w:szCs w:val="28"/>
                <w:lang w:eastAsia="zh-CN"/>
              </w:rPr>
              <w:t>15</w:t>
            </w:r>
          </w:p>
        </w:tc>
      </w:tr>
      <w:tr w14:paraId="2C11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7" w:type="pct"/>
            <w:vMerge w:val="restart"/>
            <w:shd w:val="clear" w:color="auto" w:fill="auto"/>
            <w:noWrap/>
            <w:vAlign w:val="center"/>
          </w:tcPr>
          <w:p w14:paraId="24A20E7F">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风管</w:t>
            </w:r>
          </w:p>
        </w:tc>
        <w:tc>
          <w:tcPr>
            <w:tcW w:w="2027" w:type="pct"/>
            <w:shd w:val="clear" w:color="auto" w:fill="auto"/>
            <w:noWrap/>
            <w:vAlign w:val="center"/>
          </w:tcPr>
          <w:p w14:paraId="479FDC8A">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主风管规格（mm）</w:t>
            </w:r>
          </w:p>
        </w:tc>
        <w:tc>
          <w:tcPr>
            <w:tcW w:w="1785" w:type="pct"/>
            <w:shd w:val="clear" w:color="auto" w:fill="auto"/>
            <w:noWrap/>
            <w:vAlign w:val="center"/>
          </w:tcPr>
          <w:p w14:paraId="5AAB38AA">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color w:val="000000"/>
                <w:kern w:val="0"/>
                <w:sz w:val="28"/>
                <w:szCs w:val="28"/>
                <w:lang w:eastAsia="zh-CN" w:bidi="ar"/>
              </w:rPr>
              <w:t>≥Φ900</w:t>
            </w:r>
          </w:p>
        </w:tc>
      </w:tr>
      <w:tr w14:paraId="12B2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87" w:type="pct"/>
            <w:vMerge w:val="continue"/>
            <w:shd w:val="clear" w:color="auto" w:fill="auto"/>
            <w:noWrap/>
            <w:vAlign w:val="center"/>
          </w:tcPr>
          <w:p w14:paraId="6B0524A6">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p>
        </w:tc>
        <w:tc>
          <w:tcPr>
            <w:tcW w:w="2027" w:type="pct"/>
            <w:shd w:val="clear" w:color="auto" w:fill="auto"/>
            <w:noWrap/>
            <w:vAlign w:val="center"/>
          </w:tcPr>
          <w:p w14:paraId="2F7A8C5D">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材质</w:t>
            </w:r>
          </w:p>
        </w:tc>
        <w:tc>
          <w:tcPr>
            <w:tcW w:w="1785" w:type="pct"/>
            <w:shd w:val="clear" w:color="auto" w:fill="auto"/>
            <w:noWrap/>
            <w:vAlign w:val="center"/>
          </w:tcPr>
          <w:p w14:paraId="1524B528">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PP</w:t>
            </w:r>
          </w:p>
        </w:tc>
      </w:tr>
    </w:tbl>
    <w:p w14:paraId="66AAC87D">
      <w:pPr>
        <w:widowControl/>
        <w:kinsoku/>
        <w:autoSpaceDE/>
        <w:autoSpaceDN/>
        <w:adjustRightInd/>
        <w:snapToGrid/>
        <w:spacing w:line="360" w:lineRule="auto"/>
        <w:ind w:firstLine="560" w:firstLineChars="200"/>
        <w:jc w:val="left"/>
        <w:textAlignment w:val="auto"/>
        <w:rPr>
          <w:rFonts w:hint="eastAsia" w:ascii="宋体" w:hAnsi="宋体" w:eastAsia="宋体" w:cs="宋体"/>
          <w:b w:val="0"/>
          <w:bCs/>
          <w:snapToGrid/>
          <w:kern w:val="2"/>
          <w:sz w:val="28"/>
          <w:szCs w:val="28"/>
          <w:lang w:eastAsia="zh-CN"/>
        </w:rPr>
      </w:pPr>
    </w:p>
    <w:p w14:paraId="45A8D938">
      <w:pPr>
        <w:widowControl/>
        <w:kinsoku/>
        <w:autoSpaceDE/>
        <w:autoSpaceDN/>
        <w:adjustRightInd/>
        <w:snapToGrid/>
        <w:spacing w:line="360" w:lineRule="auto"/>
        <w:ind w:firstLine="560" w:firstLineChars="200"/>
        <w:jc w:val="left"/>
        <w:textAlignment w:val="auto"/>
        <w:rPr>
          <w:rFonts w:hint="eastAsia" w:ascii="宋体" w:hAnsi="宋体" w:eastAsia="宋体" w:cs="宋体"/>
          <w:b w:val="0"/>
          <w:bCs/>
          <w:snapToGrid/>
          <w:kern w:val="2"/>
          <w:sz w:val="28"/>
          <w:szCs w:val="28"/>
          <w:lang w:eastAsia="zh-CN"/>
        </w:rPr>
      </w:pPr>
    </w:p>
    <w:p w14:paraId="62F5298A">
      <w:pPr>
        <w:widowControl/>
        <w:kinsoku/>
        <w:autoSpaceDE/>
        <w:autoSpaceDN/>
        <w:adjustRightInd/>
        <w:snapToGrid/>
        <w:spacing w:line="240" w:lineRule="auto"/>
        <w:jc w:val="left"/>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br w:type="page"/>
      </w:r>
    </w:p>
    <w:p w14:paraId="3350ABDB">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t>三、4座转运站新增设备需求表</w:t>
      </w:r>
    </w:p>
    <w:tbl>
      <w:tblPr>
        <w:tblStyle w:val="19"/>
        <w:tblW w:w="50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744"/>
        <w:gridCol w:w="1006"/>
        <w:gridCol w:w="5209"/>
      </w:tblGrid>
      <w:tr w14:paraId="24C3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000000" w:fill="F2F2F2"/>
            <w:vAlign w:val="center"/>
          </w:tcPr>
          <w:p w14:paraId="57BD4864">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序号</w:t>
            </w:r>
          </w:p>
        </w:tc>
        <w:tc>
          <w:tcPr>
            <w:tcW w:w="1416" w:type="pct"/>
            <w:shd w:val="clear" w:color="000000" w:fill="F2F2F2"/>
            <w:vAlign w:val="center"/>
          </w:tcPr>
          <w:p w14:paraId="51107E58">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名称</w:t>
            </w:r>
          </w:p>
        </w:tc>
        <w:tc>
          <w:tcPr>
            <w:tcW w:w="519" w:type="pct"/>
            <w:shd w:val="clear" w:color="000000" w:fill="F2F2F2"/>
            <w:vAlign w:val="center"/>
          </w:tcPr>
          <w:p w14:paraId="5BC09084">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数量</w:t>
            </w:r>
          </w:p>
        </w:tc>
        <w:tc>
          <w:tcPr>
            <w:tcW w:w="2688" w:type="pct"/>
            <w:shd w:val="clear" w:color="000000" w:fill="F2F2F2"/>
            <w:vAlign w:val="center"/>
          </w:tcPr>
          <w:p w14:paraId="19F59543">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备注</w:t>
            </w:r>
          </w:p>
        </w:tc>
      </w:tr>
      <w:tr w14:paraId="23E5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75" w:type="pct"/>
            <w:shd w:val="clear" w:color="auto" w:fill="auto"/>
            <w:vAlign w:val="center"/>
          </w:tcPr>
          <w:p w14:paraId="5AADA807">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6F9EA878">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水平直压式压缩机</w:t>
            </w:r>
          </w:p>
        </w:tc>
        <w:tc>
          <w:tcPr>
            <w:tcW w:w="519" w:type="pct"/>
            <w:shd w:val="clear" w:color="auto" w:fill="auto"/>
            <w:vAlign w:val="center"/>
          </w:tcPr>
          <w:p w14:paraId="082A5BD8">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551AE461">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水平直压工艺，后平台上料模式</w:t>
            </w:r>
            <w:r>
              <w:rPr>
                <w:rFonts w:hint="eastAsia" w:ascii="宋体" w:hAnsi="宋体" w:eastAsia="宋体" w:cs="宋体"/>
                <w:b w:val="0"/>
                <w:bCs/>
                <w:snapToGrid/>
                <w:kern w:val="0"/>
                <w:sz w:val="28"/>
                <w:szCs w:val="28"/>
                <w:lang w:eastAsia="zh-CN"/>
              </w:rPr>
              <w:t>，理论处理量40/小时</w:t>
            </w:r>
          </w:p>
        </w:tc>
      </w:tr>
      <w:tr w14:paraId="2B0F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2F352A6E">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26B829B7">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料斗</w:t>
            </w:r>
          </w:p>
        </w:tc>
        <w:tc>
          <w:tcPr>
            <w:tcW w:w="519" w:type="pct"/>
            <w:shd w:val="clear" w:color="auto" w:fill="auto"/>
            <w:vAlign w:val="center"/>
          </w:tcPr>
          <w:p w14:paraId="3EF61626">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6FD2305D">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垃圾暂存，卸料高度3.9米</w:t>
            </w:r>
          </w:p>
        </w:tc>
      </w:tr>
      <w:tr w14:paraId="6741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75" w:type="pct"/>
            <w:shd w:val="clear" w:color="auto" w:fill="auto"/>
            <w:vAlign w:val="center"/>
          </w:tcPr>
          <w:p w14:paraId="506ED875">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7A342729">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移箱平台</w:t>
            </w:r>
          </w:p>
        </w:tc>
        <w:tc>
          <w:tcPr>
            <w:tcW w:w="519" w:type="pct"/>
            <w:shd w:val="clear" w:color="auto" w:fill="auto"/>
            <w:vAlign w:val="center"/>
          </w:tcPr>
          <w:p w14:paraId="4F146FDA">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253D7776">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垃圾箱承载平台，2箱3工位，横向移动换位</w:t>
            </w:r>
          </w:p>
        </w:tc>
      </w:tr>
      <w:tr w14:paraId="2B3D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23458E59">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03EB9E86">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垃圾箱</w:t>
            </w:r>
          </w:p>
        </w:tc>
        <w:tc>
          <w:tcPr>
            <w:tcW w:w="519" w:type="pct"/>
            <w:shd w:val="clear" w:color="auto" w:fill="auto"/>
            <w:vAlign w:val="center"/>
          </w:tcPr>
          <w:p w14:paraId="7782D364">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20个</w:t>
            </w:r>
          </w:p>
        </w:tc>
        <w:tc>
          <w:tcPr>
            <w:tcW w:w="2688" w:type="pct"/>
            <w:shd w:val="clear" w:color="auto" w:fill="auto"/>
            <w:vAlign w:val="center"/>
          </w:tcPr>
          <w:p w14:paraId="260B81A5">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容积28m³。</w:t>
            </w:r>
          </w:p>
        </w:tc>
      </w:tr>
      <w:tr w14:paraId="0408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3C02D985">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261239C3">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控制设备</w:t>
            </w:r>
          </w:p>
        </w:tc>
        <w:tc>
          <w:tcPr>
            <w:tcW w:w="519" w:type="pct"/>
            <w:shd w:val="clear" w:color="auto" w:fill="auto"/>
            <w:vAlign w:val="center"/>
          </w:tcPr>
          <w:p w14:paraId="195E6DF7">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2E0FE9E8">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压缩机控制，1机1控</w:t>
            </w:r>
          </w:p>
        </w:tc>
      </w:tr>
      <w:tr w14:paraId="1364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68B2003C">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22A5966D">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交通指挥设备</w:t>
            </w:r>
          </w:p>
        </w:tc>
        <w:tc>
          <w:tcPr>
            <w:tcW w:w="519" w:type="pct"/>
            <w:shd w:val="clear" w:color="auto" w:fill="auto"/>
            <w:vAlign w:val="center"/>
          </w:tcPr>
          <w:p w14:paraId="0A0CB722">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8套</w:t>
            </w:r>
          </w:p>
        </w:tc>
        <w:tc>
          <w:tcPr>
            <w:tcW w:w="2688" w:type="pct"/>
            <w:shd w:val="clear" w:color="auto" w:fill="auto"/>
            <w:vAlign w:val="center"/>
          </w:tcPr>
          <w:p w14:paraId="47C44D3A">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红绿灯模式，站内车辆调度</w:t>
            </w:r>
          </w:p>
        </w:tc>
      </w:tr>
      <w:tr w14:paraId="3921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2708C014">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03AD1B5D">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语音广播设备</w:t>
            </w:r>
          </w:p>
        </w:tc>
        <w:tc>
          <w:tcPr>
            <w:tcW w:w="519" w:type="pct"/>
            <w:shd w:val="clear" w:color="auto" w:fill="auto"/>
            <w:vAlign w:val="center"/>
          </w:tcPr>
          <w:p w14:paraId="3350AE52">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5E8FCEA8">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中控人员向站内人员语音提示</w:t>
            </w:r>
          </w:p>
        </w:tc>
      </w:tr>
      <w:tr w14:paraId="2A6F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6EDA0199">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5F1E4AF6">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大屏显示设备</w:t>
            </w:r>
          </w:p>
        </w:tc>
        <w:tc>
          <w:tcPr>
            <w:tcW w:w="519" w:type="pct"/>
            <w:shd w:val="clear" w:color="auto" w:fill="auto"/>
            <w:vAlign w:val="center"/>
          </w:tcPr>
          <w:p w14:paraId="10092BE1">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424FE656">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65寸单屏，集中显示监控画面</w:t>
            </w:r>
          </w:p>
        </w:tc>
      </w:tr>
      <w:tr w14:paraId="01D0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370D5C9B">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16C30C8A">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料口喷淋降尘设备</w:t>
            </w:r>
          </w:p>
        </w:tc>
        <w:tc>
          <w:tcPr>
            <w:tcW w:w="519" w:type="pct"/>
            <w:shd w:val="clear" w:color="auto" w:fill="auto"/>
            <w:vAlign w:val="center"/>
          </w:tcPr>
          <w:p w14:paraId="74C54B6B">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3EE317C7">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卸料口喷淋降尘</w:t>
            </w:r>
          </w:p>
        </w:tc>
      </w:tr>
      <w:tr w14:paraId="0F19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757318D1">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588C80B9">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植物液喷雾除臭设备</w:t>
            </w:r>
          </w:p>
        </w:tc>
        <w:tc>
          <w:tcPr>
            <w:tcW w:w="519" w:type="pct"/>
            <w:shd w:val="clear" w:color="auto" w:fill="auto"/>
            <w:vAlign w:val="center"/>
          </w:tcPr>
          <w:p w14:paraId="0E38673E">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7D710833">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室内空间喷雾除臭</w:t>
            </w:r>
          </w:p>
        </w:tc>
      </w:tr>
      <w:tr w14:paraId="0E64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75" w:type="pct"/>
            <w:shd w:val="clear" w:color="auto" w:fill="auto"/>
            <w:vAlign w:val="center"/>
          </w:tcPr>
          <w:p w14:paraId="7E345440">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kern w:val="0"/>
                <w:sz w:val="28"/>
                <w:szCs w:val="28"/>
                <w:highlight w:val="none"/>
                <w:lang w:eastAsia="zh-CN"/>
              </w:rPr>
            </w:pPr>
          </w:p>
        </w:tc>
        <w:tc>
          <w:tcPr>
            <w:tcW w:w="1416" w:type="pct"/>
            <w:shd w:val="clear" w:color="auto" w:fill="auto"/>
            <w:vAlign w:val="center"/>
          </w:tcPr>
          <w:p w14:paraId="0DBBDE4E">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快速卷帘门</w:t>
            </w:r>
          </w:p>
        </w:tc>
        <w:tc>
          <w:tcPr>
            <w:tcW w:w="519" w:type="pct"/>
            <w:shd w:val="clear" w:color="auto" w:fill="auto"/>
            <w:vAlign w:val="center"/>
          </w:tcPr>
          <w:p w14:paraId="7B8B617A">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8套</w:t>
            </w:r>
          </w:p>
        </w:tc>
        <w:tc>
          <w:tcPr>
            <w:tcW w:w="2688" w:type="pct"/>
            <w:shd w:val="clear" w:color="auto" w:fill="auto"/>
            <w:vAlign w:val="center"/>
          </w:tcPr>
          <w:p w14:paraId="1E69DEB0">
            <w:pPr>
              <w:widowControl/>
              <w:kinsoku/>
              <w:autoSpaceDE/>
              <w:autoSpaceDN/>
              <w:adjustRightInd/>
              <w:snapToGrid/>
              <w:spacing w:line="276" w:lineRule="auto"/>
              <w:jc w:val="both"/>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卸料口前端自动门，地磁感应自动启闭</w:t>
            </w:r>
          </w:p>
        </w:tc>
      </w:tr>
      <w:tr w14:paraId="4ADB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5" w:type="pct"/>
            <w:shd w:val="clear" w:color="auto" w:fill="auto"/>
            <w:vAlign w:val="center"/>
          </w:tcPr>
          <w:p w14:paraId="7001B4AA">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kern w:val="0"/>
                <w:sz w:val="28"/>
                <w:szCs w:val="28"/>
                <w:highlight w:val="none"/>
                <w:lang w:eastAsia="zh-CN"/>
              </w:rPr>
            </w:pPr>
          </w:p>
        </w:tc>
        <w:tc>
          <w:tcPr>
            <w:tcW w:w="1416" w:type="pct"/>
            <w:shd w:val="clear" w:color="auto" w:fill="auto"/>
            <w:vAlign w:val="center"/>
          </w:tcPr>
          <w:p w14:paraId="583ACED1">
            <w:pPr>
              <w:widowControl/>
              <w:kinsoku/>
              <w:autoSpaceDE/>
              <w:autoSpaceDN/>
              <w:adjustRightInd/>
              <w:snapToGrid w:val="0"/>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快速卷帘门</w:t>
            </w:r>
          </w:p>
        </w:tc>
        <w:tc>
          <w:tcPr>
            <w:tcW w:w="519" w:type="pct"/>
            <w:shd w:val="clear" w:color="auto" w:fill="auto"/>
            <w:vAlign w:val="center"/>
          </w:tcPr>
          <w:p w14:paraId="5E857389">
            <w:pPr>
              <w:widowControl/>
              <w:kinsoku/>
              <w:autoSpaceDE/>
              <w:autoSpaceDN/>
              <w:adjustRightInd/>
              <w:snapToGrid w:val="0"/>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val="en-US" w:eastAsia="zh-CN"/>
              </w:rPr>
              <w:t>4套</w:t>
            </w:r>
          </w:p>
        </w:tc>
        <w:tc>
          <w:tcPr>
            <w:tcW w:w="2688" w:type="pct"/>
            <w:shd w:val="clear" w:color="auto" w:fill="auto"/>
            <w:vAlign w:val="center"/>
          </w:tcPr>
          <w:p w14:paraId="58DA7556">
            <w:pPr>
              <w:widowControl/>
              <w:kinsoku/>
              <w:autoSpaceDE/>
              <w:autoSpaceDN/>
              <w:adjustRightInd/>
              <w:snapToGrid w:val="0"/>
              <w:spacing w:line="240" w:lineRule="auto"/>
              <w:jc w:val="left"/>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二楼坡道自动门</w:t>
            </w:r>
          </w:p>
        </w:tc>
      </w:tr>
      <w:tr w14:paraId="0B9E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6A9074F4">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7AE73D76">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硬质合金快速门</w:t>
            </w:r>
          </w:p>
        </w:tc>
        <w:tc>
          <w:tcPr>
            <w:tcW w:w="519" w:type="pct"/>
            <w:shd w:val="clear" w:color="auto" w:fill="auto"/>
            <w:vAlign w:val="center"/>
          </w:tcPr>
          <w:p w14:paraId="6618E5B5">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16套</w:t>
            </w:r>
          </w:p>
        </w:tc>
        <w:tc>
          <w:tcPr>
            <w:tcW w:w="2688" w:type="pct"/>
            <w:shd w:val="clear" w:color="auto" w:fill="auto"/>
            <w:vAlign w:val="center"/>
          </w:tcPr>
          <w:p w14:paraId="16DAFDD3">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勾箱门洞前端自动启闭硬质门</w:t>
            </w:r>
          </w:p>
        </w:tc>
      </w:tr>
      <w:tr w14:paraId="4699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376E01F4">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4D03E9F8">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水沟自动冲洗设备</w:t>
            </w:r>
          </w:p>
        </w:tc>
        <w:tc>
          <w:tcPr>
            <w:tcW w:w="519" w:type="pct"/>
            <w:shd w:val="clear" w:color="auto" w:fill="auto"/>
            <w:vAlign w:val="center"/>
          </w:tcPr>
          <w:p w14:paraId="0520CF2E">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0FB45811">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水沟自动冲洗</w:t>
            </w:r>
          </w:p>
        </w:tc>
      </w:tr>
      <w:tr w14:paraId="1AE9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5" w:type="pct"/>
            <w:shd w:val="clear" w:color="auto" w:fill="auto"/>
            <w:vAlign w:val="center"/>
          </w:tcPr>
          <w:p w14:paraId="0399EAE1">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56C1DE55">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高压清洗机</w:t>
            </w:r>
          </w:p>
        </w:tc>
        <w:tc>
          <w:tcPr>
            <w:tcW w:w="519" w:type="pct"/>
            <w:shd w:val="clear" w:color="auto" w:fill="auto"/>
            <w:vAlign w:val="center"/>
          </w:tcPr>
          <w:p w14:paraId="14AE8D55">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8套</w:t>
            </w:r>
          </w:p>
        </w:tc>
        <w:tc>
          <w:tcPr>
            <w:tcW w:w="2688" w:type="pct"/>
            <w:shd w:val="clear" w:color="auto" w:fill="auto"/>
            <w:vAlign w:val="center"/>
          </w:tcPr>
          <w:p w14:paraId="6CECDD79">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壁挂式，站内地面清洗和设备清洁</w:t>
            </w:r>
          </w:p>
        </w:tc>
      </w:tr>
      <w:tr w14:paraId="27DD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75" w:type="pct"/>
            <w:shd w:val="clear" w:color="auto" w:fill="auto"/>
            <w:vAlign w:val="center"/>
          </w:tcPr>
          <w:p w14:paraId="046F193F">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62680125">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称重计量设备</w:t>
            </w:r>
          </w:p>
        </w:tc>
        <w:tc>
          <w:tcPr>
            <w:tcW w:w="519" w:type="pct"/>
            <w:shd w:val="clear" w:color="auto" w:fill="auto"/>
            <w:vAlign w:val="center"/>
          </w:tcPr>
          <w:p w14:paraId="6FCB8D02">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536BADEB">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收集车进站称重，静态称重模式，最大称重能力50吨，秤台尺寸（宽×长）3米×长10米</w:t>
            </w:r>
          </w:p>
        </w:tc>
      </w:tr>
      <w:tr w14:paraId="3E9A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75" w:type="pct"/>
            <w:shd w:val="clear" w:color="auto" w:fill="auto"/>
            <w:vAlign w:val="center"/>
          </w:tcPr>
          <w:p w14:paraId="0F3D10CB">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eastAsia="zh-CN"/>
              </w:rPr>
            </w:pPr>
          </w:p>
        </w:tc>
        <w:tc>
          <w:tcPr>
            <w:tcW w:w="1416" w:type="pct"/>
            <w:shd w:val="clear" w:color="auto" w:fill="auto"/>
            <w:vAlign w:val="center"/>
          </w:tcPr>
          <w:p w14:paraId="5E188621">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离子新风设备</w:t>
            </w:r>
          </w:p>
        </w:tc>
        <w:tc>
          <w:tcPr>
            <w:tcW w:w="519" w:type="pct"/>
            <w:shd w:val="clear" w:color="auto" w:fill="auto"/>
            <w:vAlign w:val="center"/>
          </w:tcPr>
          <w:p w14:paraId="0724CEBA">
            <w:pPr>
              <w:widowControl/>
              <w:kinsoku/>
              <w:autoSpaceDE/>
              <w:autoSpaceDN/>
              <w:adjustRightInd/>
              <w:snapToGrid/>
              <w:spacing w:line="276" w:lineRule="auto"/>
              <w:jc w:val="center"/>
              <w:textAlignment w:val="auto"/>
              <w:rPr>
                <w:rFonts w:hint="eastAsia" w:ascii="宋体" w:hAnsi="宋体" w:eastAsia="宋体" w:cs="宋体"/>
                <w:b w:val="0"/>
                <w:bCs/>
                <w:snapToGrid/>
                <w:kern w:val="0"/>
                <w:sz w:val="28"/>
                <w:szCs w:val="28"/>
                <w:lang w:eastAsia="zh-CN"/>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0AACE05D">
            <w:pPr>
              <w:widowControl/>
              <w:kinsoku/>
              <w:autoSpaceDE/>
              <w:autoSpaceDN/>
              <w:adjustRightInd/>
              <w:snapToGrid/>
              <w:spacing w:line="276" w:lineRule="auto"/>
              <w:jc w:val="both"/>
              <w:textAlignment w:val="auto"/>
              <w:rPr>
                <w:rFonts w:hint="eastAsia" w:ascii="宋体" w:hAnsi="宋体" w:eastAsia="宋体" w:cs="宋体"/>
                <w:b w:val="0"/>
                <w:bCs/>
                <w:snapToGrid/>
                <w:color w:val="000000"/>
                <w:kern w:val="0"/>
                <w:sz w:val="28"/>
                <w:szCs w:val="28"/>
                <w:lang w:eastAsia="zh-CN"/>
              </w:rPr>
            </w:pPr>
            <w:r>
              <w:rPr>
                <w:rFonts w:hint="eastAsia" w:ascii="宋体" w:hAnsi="宋体" w:eastAsia="宋体" w:cs="宋体"/>
                <w:b w:val="0"/>
                <w:bCs/>
                <w:snapToGrid/>
                <w:color w:val="000000"/>
                <w:kern w:val="0"/>
                <w:sz w:val="28"/>
                <w:szCs w:val="28"/>
                <w:lang w:eastAsia="zh-CN"/>
              </w:rPr>
              <w:t>卸料大厅补充新风，带离子发生器，风量30000立方米/小时。</w:t>
            </w:r>
          </w:p>
        </w:tc>
      </w:tr>
      <w:tr w14:paraId="310E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75" w:type="pct"/>
            <w:shd w:val="clear" w:color="auto" w:fill="auto"/>
            <w:vAlign w:val="center"/>
          </w:tcPr>
          <w:p w14:paraId="2794320C">
            <w:pPr>
              <w:widowControl/>
              <w:numPr>
                <w:ilvl w:val="0"/>
                <w:numId w:val="1"/>
              </w:numPr>
              <w:kinsoku/>
              <w:autoSpaceDE/>
              <w:autoSpaceDN/>
              <w:adjustRightInd/>
              <w:snapToGrid/>
              <w:spacing w:line="276" w:lineRule="auto"/>
              <w:ind w:left="425" w:leftChars="0" w:hanging="425" w:firstLineChars="0"/>
              <w:jc w:val="center"/>
              <w:textAlignment w:val="auto"/>
              <w:rPr>
                <w:rFonts w:hint="eastAsia" w:ascii="宋体" w:hAnsi="宋体" w:eastAsia="宋体" w:cs="宋体"/>
                <w:b w:val="0"/>
                <w:bCs/>
                <w:snapToGrid/>
                <w:color w:val="000000"/>
                <w:kern w:val="0"/>
                <w:sz w:val="28"/>
                <w:szCs w:val="28"/>
                <w:lang w:val="en-US" w:eastAsia="zh-CN"/>
              </w:rPr>
            </w:pPr>
          </w:p>
        </w:tc>
        <w:tc>
          <w:tcPr>
            <w:tcW w:w="1416" w:type="pct"/>
            <w:shd w:val="clear" w:color="auto" w:fill="auto"/>
            <w:vAlign w:val="center"/>
          </w:tcPr>
          <w:p w14:paraId="420A4180">
            <w:pPr>
              <w:widowControl/>
              <w:kinsoku/>
              <w:autoSpaceDE/>
              <w:autoSpaceDN/>
              <w:adjustRightInd/>
              <w:snapToGrid w:val="0"/>
              <w:spacing w:line="240" w:lineRule="auto"/>
              <w:jc w:val="center"/>
              <w:textAlignment w:val="auto"/>
              <w:rPr>
                <w:rFonts w:hint="eastAsia" w:ascii="宋体" w:hAnsi="宋体" w:eastAsia="宋体" w:cs="宋体"/>
                <w:b w:val="0"/>
                <w:bCs/>
                <w:snapToGrid/>
                <w:kern w:val="0"/>
                <w:sz w:val="28"/>
                <w:szCs w:val="28"/>
                <w:lang w:val="en-US" w:eastAsia="zh-CN" w:bidi="ar-SA"/>
              </w:rPr>
            </w:pPr>
            <w:r>
              <w:rPr>
                <w:rFonts w:hint="eastAsia" w:ascii="宋体" w:hAnsi="宋体" w:eastAsia="宋体" w:cs="宋体"/>
                <w:b w:val="0"/>
                <w:bCs/>
                <w:snapToGrid/>
                <w:kern w:val="0"/>
                <w:sz w:val="28"/>
                <w:szCs w:val="28"/>
                <w:lang w:eastAsia="zh-CN"/>
              </w:rPr>
              <w:t>渗滤液集中处理</w:t>
            </w:r>
            <w:r>
              <w:rPr>
                <w:rFonts w:hint="eastAsia" w:ascii="宋体" w:hAnsi="宋体" w:eastAsia="宋体" w:cs="宋体"/>
                <w:b w:val="0"/>
                <w:bCs/>
                <w:snapToGrid/>
                <w:kern w:val="0"/>
                <w:sz w:val="28"/>
                <w:szCs w:val="28"/>
                <w:lang w:val="en-US" w:eastAsia="zh-CN"/>
              </w:rPr>
              <w:t>设备</w:t>
            </w:r>
          </w:p>
        </w:tc>
        <w:tc>
          <w:tcPr>
            <w:tcW w:w="519" w:type="pct"/>
            <w:shd w:val="clear" w:color="auto" w:fill="auto"/>
            <w:vAlign w:val="center"/>
          </w:tcPr>
          <w:p w14:paraId="519A63BE">
            <w:pPr>
              <w:widowControl/>
              <w:kinsoku/>
              <w:autoSpaceDE/>
              <w:autoSpaceDN/>
              <w:adjustRightInd/>
              <w:snapToGrid w:val="0"/>
              <w:spacing w:line="240" w:lineRule="auto"/>
              <w:jc w:val="center"/>
              <w:textAlignment w:val="auto"/>
              <w:rPr>
                <w:rFonts w:hint="eastAsia" w:ascii="宋体" w:hAnsi="宋体" w:eastAsia="宋体" w:cs="宋体"/>
                <w:b w:val="0"/>
                <w:bCs/>
                <w:snapToGrid/>
                <w:kern w:val="0"/>
                <w:sz w:val="28"/>
                <w:szCs w:val="28"/>
                <w:lang w:val="en-US" w:eastAsia="zh-CN" w:bidi="ar-SA"/>
              </w:rPr>
            </w:pPr>
            <w:r>
              <w:rPr>
                <w:rFonts w:hint="eastAsia" w:ascii="宋体" w:hAnsi="宋体" w:eastAsia="宋体" w:cs="宋体"/>
                <w:b w:val="0"/>
                <w:bCs/>
                <w:snapToGrid/>
                <w:kern w:val="0"/>
                <w:sz w:val="28"/>
                <w:szCs w:val="28"/>
                <w:lang w:eastAsia="zh-CN"/>
              </w:rPr>
              <w:t>4套</w:t>
            </w:r>
          </w:p>
        </w:tc>
        <w:tc>
          <w:tcPr>
            <w:tcW w:w="2688" w:type="pct"/>
            <w:shd w:val="clear" w:color="auto" w:fill="auto"/>
            <w:vAlign w:val="center"/>
          </w:tcPr>
          <w:p w14:paraId="5563C46A">
            <w:pPr>
              <w:widowControl/>
              <w:kinsoku/>
              <w:autoSpaceDE/>
              <w:autoSpaceDN/>
              <w:adjustRightInd/>
              <w:snapToGrid w:val="0"/>
              <w:spacing w:line="240" w:lineRule="auto"/>
              <w:jc w:val="left"/>
              <w:textAlignment w:val="auto"/>
              <w:rPr>
                <w:rFonts w:hint="eastAsia" w:ascii="宋体" w:hAnsi="宋体" w:eastAsia="宋体" w:cs="宋体"/>
                <w:b w:val="0"/>
                <w:bCs/>
                <w:snapToGrid/>
                <w:color w:val="000000"/>
                <w:kern w:val="0"/>
                <w:sz w:val="28"/>
                <w:szCs w:val="28"/>
                <w:lang w:val="en-US" w:eastAsia="zh-CN" w:bidi="ar-SA"/>
              </w:rPr>
            </w:pPr>
            <w:r>
              <w:rPr>
                <w:rFonts w:hint="eastAsia" w:ascii="宋体" w:hAnsi="宋体" w:eastAsia="宋体" w:cs="宋体"/>
                <w:b w:val="0"/>
                <w:bCs/>
                <w:snapToGrid/>
                <w:color w:val="000000"/>
                <w:kern w:val="0"/>
                <w:sz w:val="28"/>
                <w:szCs w:val="28"/>
                <w:lang w:eastAsia="zh-CN"/>
              </w:rPr>
              <w:t>单套处理规模20t/d，“预处理+高效MBR生化+深度保障”工艺，一体化设备，出水符合《污水排入城镇下水道水质标准》（GB/T 31962-2015）B级标准和《污水综合排放标准》（GB8978-1996）三级标准。</w:t>
            </w:r>
          </w:p>
        </w:tc>
      </w:tr>
    </w:tbl>
    <w:p w14:paraId="6E3DE584">
      <w:pPr>
        <w:widowControl/>
        <w:kinsoku/>
        <w:autoSpaceDE/>
        <w:autoSpaceDN/>
        <w:adjustRightInd/>
        <w:snapToGrid/>
        <w:spacing w:line="240" w:lineRule="auto"/>
        <w:jc w:val="left"/>
        <w:textAlignment w:val="auto"/>
        <w:rPr>
          <w:rFonts w:hint="eastAsia" w:ascii="宋体" w:hAnsi="宋体" w:eastAsia="宋体" w:cs="宋体"/>
          <w:b w:val="0"/>
          <w:bCs/>
          <w:snapToGrid/>
          <w:color w:val="FF0000"/>
          <w:kern w:val="2"/>
          <w:sz w:val="28"/>
          <w:szCs w:val="28"/>
          <w:lang w:eastAsia="zh-CN"/>
        </w:rPr>
      </w:pPr>
      <w:r>
        <w:rPr>
          <w:rFonts w:hint="eastAsia" w:ascii="宋体" w:hAnsi="宋体" w:eastAsia="宋体" w:cs="宋体"/>
          <w:b w:val="0"/>
          <w:bCs/>
          <w:snapToGrid/>
          <w:color w:val="FF0000"/>
          <w:kern w:val="2"/>
          <w:sz w:val="28"/>
          <w:szCs w:val="28"/>
          <w:lang w:eastAsia="zh-CN"/>
        </w:rPr>
        <w:br w:type="page"/>
      </w:r>
    </w:p>
    <w:p w14:paraId="3EE50776">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t>四、项目设备技术要求</w:t>
      </w:r>
    </w:p>
    <w:p w14:paraId="30456B53">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lang w:eastAsia="zh-CN"/>
        </w:rPr>
      </w:pPr>
      <w:r>
        <w:rPr>
          <w:rFonts w:hint="eastAsia" w:ascii="宋体" w:hAnsi="宋体" w:eastAsia="宋体" w:cs="宋体"/>
          <w:b/>
          <w:bCs w:val="0"/>
          <w:snapToGrid/>
          <w:kern w:val="2"/>
          <w:sz w:val="32"/>
          <w:szCs w:val="32"/>
          <w:lang w:eastAsia="zh-CN"/>
        </w:rPr>
        <w:t>（一）水平直压式压缩机</w:t>
      </w:r>
    </w:p>
    <w:p w14:paraId="7FBC9041">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1、组成要求</w:t>
      </w:r>
    </w:p>
    <w:p w14:paraId="049452D1">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压缩机主要应由机体、推头、推拉箱装置、锁紧装置、提门装置、中闸门、排污设备、液压及电控设备等组成。</w:t>
      </w:r>
    </w:p>
    <w:p w14:paraId="05A6CFB4">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lang w:eastAsia="zh-CN"/>
        </w:rPr>
      </w:pPr>
      <w:r>
        <w:rPr>
          <w:rFonts w:hint="eastAsia" w:ascii="宋体" w:hAnsi="宋体" w:eastAsia="宋体" w:cs="宋体"/>
          <w:b w:val="0"/>
          <w:bCs/>
          <w:snapToGrid/>
          <w:kern w:val="2"/>
          <w:sz w:val="28"/>
          <w:szCs w:val="28"/>
          <w:lang w:eastAsia="zh-CN"/>
        </w:rPr>
        <w:t>2、性能要求</w:t>
      </w:r>
    </w:p>
    <w:p w14:paraId="485A37A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lang w:eastAsia="zh-CN"/>
        </w:rPr>
        <w:t>（1）推拉箱装置应采用</w:t>
      </w:r>
      <w:r>
        <w:rPr>
          <w:rFonts w:hint="eastAsia" w:ascii="宋体" w:hAnsi="宋体" w:eastAsia="宋体" w:cs="宋体"/>
          <w:b w:val="0"/>
          <w:bCs/>
          <w:snapToGrid/>
          <w:kern w:val="2"/>
          <w:sz w:val="28"/>
          <w:szCs w:val="28"/>
          <w:lang w:val="en-US" w:eastAsia="zh-CN"/>
        </w:rPr>
        <w:t>包括但不限</w:t>
      </w:r>
      <w:r>
        <w:rPr>
          <w:rFonts w:hint="eastAsia" w:ascii="宋体" w:hAnsi="宋体" w:eastAsia="宋体" w:cs="宋体"/>
          <w:b w:val="0"/>
          <w:bCs/>
          <w:snapToGrid/>
          <w:kern w:val="2"/>
          <w:sz w:val="28"/>
          <w:szCs w:val="28"/>
          <w:highlight w:val="none"/>
          <w:lang w:val="en-US" w:eastAsia="zh-CN"/>
        </w:rPr>
        <w:t>于</w:t>
      </w:r>
      <w:r>
        <w:rPr>
          <w:rFonts w:hint="eastAsia" w:ascii="宋体" w:hAnsi="宋体" w:eastAsia="宋体" w:cs="宋体"/>
          <w:b w:val="0"/>
          <w:bCs/>
          <w:snapToGrid/>
          <w:kern w:val="2"/>
          <w:sz w:val="28"/>
          <w:szCs w:val="28"/>
          <w:highlight w:val="none"/>
          <w:lang w:eastAsia="zh-CN"/>
        </w:rPr>
        <w:t>单油缸</w:t>
      </w:r>
      <w:r>
        <w:rPr>
          <w:rFonts w:hint="eastAsia" w:ascii="宋体" w:hAnsi="宋体" w:eastAsia="宋体" w:cs="宋体"/>
          <w:b w:val="0"/>
          <w:bCs/>
          <w:snapToGrid/>
          <w:kern w:val="2"/>
          <w:sz w:val="28"/>
          <w:szCs w:val="28"/>
          <w:highlight w:val="none"/>
          <w:lang w:val="en-US" w:eastAsia="zh-CN"/>
        </w:rPr>
        <w:t>或</w:t>
      </w:r>
      <w:r>
        <w:rPr>
          <w:rFonts w:hint="eastAsia" w:ascii="宋体" w:hAnsi="宋体" w:eastAsia="宋体" w:cs="宋体"/>
          <w:b w:val="0"/>
          <w:bCs/>
          <w:snapToGrid/>
          <w:kern w:val="2"/>
          <w:sz w:val="28"/>
          <w:szCs w:val="28"/>
          <w:highlight w:val="none"/>
          <w:lang w:eastAsia="zh-CN"/>
        </w:rPr>
        <w:t>双油缸</w:t>
      </w:r>
      <w:r>
        <w:rPr>
          <w:rFonts w:hint="eastAsia" w:ascii="宋体" w:hAnsi="宋体" w:eastAsia="宋体" w:cs="宋体"/>
          <w:b w:val="0"/>
          <w:bCs/>
          <w:snapToGrid/>
          <w:kern w:val="2"/>
          <w:sz w:val="28"/>
          <w:szCs w:val="28"/>
          <w:highlight w:val="none"/>
          <w:lang w:val="en-US" w:eastAsia="zh-CN"/>
        </w:rPr>
        <w:t>或</w:t>
      </w:r>
      <w:r>
        <w:rPr>
          <w:rFonts w:hint="eastAsia" w:ascii="宋体" w:hAnsi="宋体" w:eastAsia="宋体" w:cs="宋体"/>
          <w:b w:val="0"/>
          <w:bCs/>
          <w:snapToGrid/>
          <w:kern w:val="2"/>
          <w:sz w:val="28"/>
          <w:szCs w:val="28"/>
          <w:highlight w:val="none"/>
          <w:lang w:eastAsia="zh-CN"/>
        </w:rPr>
        <w:t>带连杆</w:t>
      </w:r>
      <w:r>
        <w:rPr>
          <w:rFonts w:hint="eastAsia" w:ascii="宋体" w:hAnsi="宋体" w:eastAsia="宋体" w:cs="宋体"/>
          <w:b w:val="0"/>
          <w:bCs/>
          <w:snapToGrid/>
          <w:kern w:val="2"/>
          <w:sz w:val="28"/>
          <w:szCs w:val="28"/>
          <w:highlight w:val="none"/>
          <w:lang w:val="en-US" w:eastAsia="zh-CN"/>
        </w:rPr>
        <w:t>或</w:t>
      </w:r>
      <w:r>
        <w:rPr>
          <w:rFonts w:hint="eastAsia" w:ascii="宋体" w:hAnsi="宋体" w:eastAsia="宋体" w:cs="宋体"/>
          <w:b w:val="0"/>
          <w:bCs/>
          <w:snapToGrid/>
          <w:kern w:val="2"/>
          <w:sz w:val="28"/>
          <w:szCs w:val="28"/>
          <w:highlight w:val="none"/>
          <w:lang w:eastAsia="zh-CN"/>
        </w:rPr>
        <w:t>带过渡</w:t>
      </w:r>
      <w:r>
        <w:rPr>
          <w:rFonts w:hint="eastAsia" w:ascii="宋体" w:hAnsi="宋体" w:eastAsia="宋体" w:cs="宋体"/>
          <w:b w:val="0"/>
          <w:bCs/>
          <w:snapToGrid/>
          <w:kern w:val="2"/>
          <w:sz w:val="28"/>
          <w:szCs w:val="28"/>
          <w:highlight w:val="none"/>
          <w:lang w:val="en-US" w:eastAsia="zh-CN"/>
        </w:rPr>
        <w:t>板</w:t>
      </w:r>
      <w:r>
        <w:rPr>
          <w:rFonts w:hint="eastAsia" w:ascii="宋体" w:hAnsi="宋体" w:eastAsia="宋体" w:cs="宋体"/>
          <w:b w:val="0"/>
          <w:bCs/>
          <w:snapToGrid/>
          <w:kern w:val="2"/>
          <w:sz w:val="28"/>
          <w:szCs w:val="28"/>
          <w:highlight w:val="none"/>
          <w:lang w:eastAsia="zh-CN"/>
        </w:rPr>
        <w:t>驱动，推拉钩应直接作用在垃圾箱体上，中间无任何辅助机构，实现机箱对接与分离。</w:t>
      </w:r>
    </w:p>
    <w:p w14:paraId="7DE620D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★（2）配置红外线电子围栏，机箱分离后（推拉钩完全伸出）防止人员误入机箱对接区域，保证人员安全。</w:t>
      </w:r>
    </w:p>
    <w:p w14:paraId="5465F09D">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应采用机械自锁结构，可靠防止压缩机与箱体松脱、位移及泄漏。结构形式包括但不限于连杆机构式、挂钩式、插销式、液压锁块式，允许采用其他同等或更高可靠性的成熟锁紧结构。（需要提供图例说明）</w:t>
      </w:r>
    </w:p>
    <w:p w14:paraId="11FBC487">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（4）提门装置应由两根液压油缸驱动，</w:t>
      </w:r>
      <w:r>
        <w:rPr>
          <w:rFonts w:hint="eastAsia" w:asciiTheme="minorEastAsia" w:hAnsiTheme="minorEastAsia" w:eastAsiaTheme="minorEastAsia" w:cstheme="minorEastAsia"/>
          <w:color w:val="000000" w:themeColor="text1"/>
          <w:spacing w:val="3"/>
          <w:sz w:val="28"/>
          <w:szCs w:val="28"/>
          <w:highlight w:val="none"/>
          <w14:textFill>
            <w14:solidFill>
              <w14:schemeClr w14:val="tx1"/>
            </w14:solidFill>
          </w14:textFill>
        </w:rPr>
        <w:t>(需提供实</w:t>
      </w:r>
      <w:r>
        <w:rPr>
          <w:rFonts w:hint="eastAsia" w:asciiTheme="minorEastAsia" w:hAnsiTheme="minorEastAsia" w:eastAsiaTheme="minorEastAsia" w:cstheme="minorEastAsia"/>
          <w:color w:val="000000" w:themeColor="text1"/>
          <w:spacing w:val="13"/>
          <w:sz w:val="28"/>
          <w:szCs w:val="28"/>
          <w:highlight w:val="none"/>
          <w14:textFill>
            <w14:solidFill>
              <w14:schemeClr w14:val="tx1"/>
            </w14:solidFill>
          </w14:textFill>
        </w:rPr>
        <w:t>物照片)</w:t>
      </w:r>
    </w:p>
    <w:p w14:paraId="67429CF5">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油缸外置安装，便于维护保养。</w:t>
      </w:r>
    </w:p>
    <w:p w14:paraId="058DE8FB">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（5）推头应采用滚轮滚动运行方式，并在推头两侧设置导向滚轮，减小推头和机体运动磨损，延长整机使用寿命。</w:t>
      </w:r>
    </w:p>
    <w:p w14:paraId="0A850C1C">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★（6）推头应直接与垃圾接触，中间应无其他机构，提高压缩效率，减小设备故障率。</w:t>
      </w:r>
    </w:p>
    <w:p w14:paraId="7F4CDBEB">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（7）推头与压缩腔体之间应设置有自补偿密封装置，减少残余垃圾进入后腔体。</w:t>
      </w:r>
      <w:r>
        <w:rPr>
          <w:rFonts w:hint="eastAsia" w:asciiTheme="minorEastAsia" w:hAnsiTheme="minorEastAsia" w:eastAsiaTheme="minorEastAsia" w:cstheme="minorEastAsia"/>
          <w:color w:val="000000" w:themeColor="text1"/>
          <w:spacing w:val="-4"/>
          <w:sz w:val="28"/>
          <w:szCs w:val="28"/>
          <w:highlight w:val="none"/>
          <w14:textFill>
            <w14:solidFill>
              <w14:schemeClr w14:val="tx1"/>
            </w14:solidFill>
          </w14:textFill>
        </w:rPr>
        <w:t>(提</w:t>
      </w:r>
      <w:r>
        <w:rPr>
          <w:rFonts w:hint="eastAsia" w:asciiTheme="minorEastAsia" w:hAnsiTheme="minorEastAsia" w:eastAsiaTheme="minorEastAsia" w:cstheme="minorEastAsia"/>
          <w:color w:val="000000" w:themeColor="text1"/>
          <w:spacing w:val="3"/>
          <w:sz w:val="28"/>
          <w:szCs w:val="28"/>
          <w:highlight w:val="none"/>
          <w14:textFill>
            <w14:solidFill>
              <w14:schemeClr w14:val="tx1"/>
            </w14:solidFill>
          </w14:textFill>
        </w:rPr>
        <w:t>供实物照片及说明方案)</w:t>
      </w:r>
    </w:p>
    <w:p w14:paraId="63CCDAA2">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（8）压缩机应设置排污装置，采用密闭式设计，内部应有可拆卸式孔板篓式滤渣装置，避免大件垃圾堵塞排水管道。</w:t>
      </w:r>
    </w:p>
    <w:p w14:paraId="3337EEBA">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★（9）主压缩油缸与油缸支座间应设计弹性结构，确保油缸受到冲击、偏载时有一定的缓冲能力。</w:t>
      </w:r>
    </w:p>
    <w:p w14:paraId="772E8EE4">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（10）主压缩油缸缸径≥180mm。</w:t>
      </w:r>
    </w:p>
    <w:p w14:paraId="5BA2D88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（11）压缩腔底板和侧板应采用高强度、耐磨钢板，硬度≧4</w:t>
      </w:r>
      <w:r>
        <w:rPr>
          <w:rFonts w:hint="eastAsia" w:ascii="宋体" w:hAnsi="宋体" w:eastAsia="宋体" w:cs="宋体"/>
          <w:b w:val="0"/>
          <w:bCs/>
          <w:snapToGrid/>
          <w:kern w:val="2"/>
          <w:sz w:val="28"/>
          <w:szCs w:val="28"/>
          <w:highlight w:val="none"/>
          <w:lang w:val="en-US" w:eastAsia="zh-CN"/>
        </w:rPr>
        <w:t>2</w:t>
      </w:r>
      <w:r>
        <w:rPr>
          <w:rFonts w:hint="eastAsia" w:ascii="宋体" w:hAnsi="宋体" w:eastAsia="宋体" w:cs="宋体"/>
          <w:b w:val="0"/>
          <w:bCs/>
          <w:snapToGrid/>
          <w:kern w:val="2"/>
          <w:sz w:val="28"/>
          <w:szCs w:val="28"/>
          <w:highlight w:val="none"/>
          <w:lang w:eastAsia="zh-CN"/>
        </w:rPr>
        <w:t>0HB，屈服强度≧</w:t>
      </w:r>
      <w:r>
        <w:rPr>
          <w:rFonts w:hint="eastAsia" w:ascii="宋体" w:hAnsi="宋体" w:eastAsia="宋体" w:cs="宋体"/>
          <w:b w:val="0"/>
          <w:bCs/>
          <w:snapToGrid/>
          <w:kern w:val="2"/>
          <w:sz w:val="28"/>
          <w:szCs w:val="28"/>
          <w:highlight w:val="none"/>
          <w:lang w:val="en-US" w:eastAsia="zh-CN"/>
        </w:rPr>
        <w:t>9</w:t>
      </w:r>
      <w:r>
        <w:rPr>
          <w:rFonts w:hint="eastAsia" w:ascii="宋体" w:hAnsi="宋体" w:eastAsia="宋体" w:cs="宋体"/>
          <w:b w:val="0"/>
          <w:bCs/>
          <w:snapToGrid/>
          <w:kern w:val="2"/>
          <w:sz w:val="28"/>
          <w:szCs w:val="28"/>
          <w:highlight w:val="none"/>
          <w:lang w:eastAsia="zh-CN"/>
        </w:rPr>
        <w:t>00MPa。</w:t>
      </w:r>
      <w:r>
        <w:rPr>
          <w:rFonts w:hint="eastAsia" w:ascii="宋体" w:hAnsi="宋体" w:eastAsia="宋体" w:cs="宋体"/>
          <w:b w:val="0"/>
          <w:bCs/>
          <w:snapToGrid/>
          <w:color w:val="000000" w:themeColor="text1"/>
          <w:kern w:val="2"/>
          <w:sz w:val="28"/>
          <w:szCs w:val="28"/>
          <w:highlight w:val="none"/>
          <w:lang w:eastAsia="zh-CN"/>
          <w14:textFill>
            <w14:solidFill>
              <w14:schemeClr w14:val="tx1"/>
            </w14:solidFill>
          </w14:textFill>
        </w:rPr>
        <w:t>（</w:t>
      </w:r>
      <w:r>
        <w:rPr>
          <w:rFonts w:hint="eastAsia" w:ascii="宋体" w:hAnsi="宋体" w:eastAsia="宋体" w:cs="宋体"/>
          <w:b w:val="0"/>
          <w:bCs/>
          <w:snapToGrid/>
          <w:color w:val="000000" w:themeColor="text1"/>
          <w:kern w:val="2"/>
          <w:sz w:val="28"/>
          <w:szCs w:val="28"/>
          <w:highlight w:val="none"/>
          <w:lang w:val="en-US" w:eastAsia="zh-CN"/>
          <w14:textFill>
            <w14:solidFill>
              <w14:schemeClr w14:val="tx1"/>
            </w14:solidFill>
          </w14:textFill>
        </w:rPr>
        <w:t>提供原材料合格证明）</w:t>
      </w:r>
    </w:p>
    <w:p w14:paraId="209F4691">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（12）推头压缩垃圾应根据垃圾装箱程度可自动调节推头行程、移动速度、压缩力等，以减少垃圾箱尾门夹渣。</w:t>
      </w:r>
    </w:p>
    <w:p w14:paraId="3A611DA0">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（13）推头运行应采用激光测距位移传感技术，对推头进行全行程感应。</w:t>
      </w:r>
    </w:p>
    <w:p w14:paraId="62C21961">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（14）电控设备应采用PLC控制，可实现自动推拉垃圾箱、自动启闭锁紧钩、自动启闭垃圾箱门、自动压缩垃圾等动作。</w:t>
      </w:r>
    </w:p>
    <w:p w14:paraId="02FE7353">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（15）压缩机的电控柜应设置可现场操作的触摸屏，触摸屏尺寸≥10寸，电控柜应配置有声光报警器。</w:t>
      </w:r>
    </w:p>
    <w:p w14:paraId="6B5A309A">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r>
        <w:rPr>
          <w:rFonts w:hint="eastAsia" w:ascii="宋体" w:hAnsi="宋体" w:eastAsia="宋体" w:cs="宋体"/>
          <w:b w:val="0"/>
          <w:bCs/>
          <w:snapToGrid/>
          <w:kern w:val="2"/>
          <w:sz w:val="28"/>
          <w:szCs w:val="28"/>
          <w:highlight w:val="none"/>
          <w:lang w:val="en-US" w:eastAsia="zh-CN"/>
        </w:rPr>
        <w:t>6</w:t>
      </w:r>
      <w:r>
        <w:rPr>
          <w:rFonts w:hint="eastAsia" w:ascii="宋体" w:hAnsi="宋体" w:eastAsia="宋体" w:cs="宋体"/>
          <w:b w:val="0"/>
          <w:bCs/>
          <w:snapToGrid/>
          <w:kern w:val="2"/>
          <w:sz w:val="28"/>
          <w:szCs w:val="28"/>
          <w:highlight w:val="none"/>
          <w:lang w:eastAsia="zh-CN"/>
        </w:rPr>
        <w:t>）液压泵站的电机应采用伺服电机。</w:t>
      </w:r>
    </w:p>
    <w:p w14:paraId="062671BD">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r>
        <w:rPr>
          <w:rFonts w:hint="eastAsia" w:ascii="宋体" w:hAnsi="宋体" w:eastAsia="宋体" w:cs="宋体"/>
          <w:b w:val="0"/>
          <w:bCs/>
          <w:snapToGrid/>
          <w:kern w:val="2"/>
          <w:sz w:val="28"/>
          <w:szCs w:val="28"/>
          <w:highlight w:val="none"/>
          <w:lang w:val="en-US" w:eastAsia="zh-CN"/>
        </w:rPr>
        <w:t>7</w:t>
      </w:r>
      <w:r>
        <w:rPr>
          <w:rFonts w:hint="eastAsia" w:ascii="宋体" w:hAnsi="宋体" w:eastAsia="宋体" w:cs="宋体"/>
          <w:b w:val="0"/>
          <w:bCs/>
          <w:snapToGrid/>
          <w:kern w:val="2"/>
          <w:sz w:val="28"/>
          <w:szCs w:val="28"/>
          <w:highlight w:val="none"/>
          <w:lang w:eastAsia="zh-CN"/>
        </w:rPr>
        <w:t>）中控设备应运用三维动画实时显示压缩机主要机构动作，界面布置相关子设备启停按钮和指示灯。</w:t>
      </w:r>
    </w:p>
    <w:p w14:paraId="56D0C880">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532"/>
        <w:gridCol w:w="2457"/>
        <w:gridCol w:w="2888"/>
      </w:tblGrid>
      <w:tr w14:paraId="21FE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384" w:type="pct"/>
            <w:vAlign w:val="center"/>
          </w:tcPr>
          <w:p w14:paraId="5B6528F7">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序号</w:t>
            </w:r>
          </w:p>
        </w:tc>
        <w:tc>
          <w:tcPr>
            <w:tcW w:w="1836" w:type="pct"/>
            <w:vAlign w:val="center"/>
          </w:tcPr>
          <w:p w14:paraId="2D5E5F1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项目</w:t>
            </w:r>
          </w:p>
        </w:tc>
        <w:tc>
          <w:tcPr>
            <w:tcW w:w="1277" w:type="pct"/>
            <w:vAlign w:val="center"/>
          </w:tcPr>
          <w:p w14:paraId="7A7C4D3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w:t>
            </w:r>
          </w:p>
        </w:tc>
        <w:tc>
          <w:tcPr>
            <w:tcW w:w="1501" w:type="pct"/>
            <w:vAlign w:val="center"/>
          </w:tcPr>
          <w:p w14:paraId="430F296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备注</w:t>
            </w:r>
          </w:p>
        </w:tc>
      </w:tr>
      <w:tr w14:paraId="7693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 w:type="pct"/>
            <w:vAlign w:val="center"/>
          </w:tcPr>
          <w:p w14:paraId="1E3A24B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1836" w:type="pct"/>
            <w:vAlign w:val="center"/>
          </w:tcPr>
          <w:p w14:paraId="1D33A76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★理论处理量</w:t>
            </w:r>
          </w:p>
        </w:tc>
        <w:tc>
          <w:tcPr>
            <w:tcW w:w="1277" w:type="pct"/>
            <w:vAlign w:val="center"/>
          </w:tcPr>
          <w:p w14:paraId="5B53E54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≥40t/h</w:t>
            </w:r>
          </w:p>
        </w:tc>
        <w:tc>
          <w:tcPr>
            <w:tcW w:w="1501" w:type="pct"/>
            <w:vMerge w:val="restart"/>
            <w:vAlign w:val="center"/>
          </w:tcPr>
          <w:p w14:paraId="72C4067F">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需提供具有CMA、CNAS认证的检测机构出具的检测报告</w:t>
            </w:r>
            <w:r>
              <w:rPr>
                <w:rFonts w:hint="eastAsia" w:ascii="宋体" w:hAnsi="宋体" w:eastAsia="宋体" w:cs="宋体"/>
                <w:b w:val="0"/>
                <w:bCs/>
                <w:snapToGrid/>
                <w:kern w:val="2"/>
                <w:sz w:val="28"/>
                <w:szCs w:val="28"/>
                <w:highlight w:val="none"/>
                <w:lang w:val="en-US" w:eastAsia="zh-CN"/>
              </w:rPr>
              <w:t>（或</w:t>
            </w:r>
            <w:r>
              <w:rPr>
                <w:rFonts w:hint="eastAsia" w:ascii="仿宋" w:hAnsi="仿宋" w:eastAsia="仿宋" w:cs="仿宋"/>
                <w:color w:val="auto"/>
                <w:sz w:val="32"/>
                <w:szCs w:val="32"/>
                <w:highlight w:val="none"/>
                <w:lang w:val="en-US" w:eastAsia="zh-CN"/>
              </w:rPr>
              <w:t>提供</w:t>
            </w:r>
            <w:r>
              <w:rPr>
                <w:rFonts w:hint="eastAsia" w:ascii="宋体" w:hAnsi="宋体" w:eastAsia="宋体" w:cs="宋体"/>
                <w:b w:val="0"/>
                <w:bCs/>
                <w:snapToGrid/>
                <w:kern w:val="2"/>
                <w:sz w:val="28"/>
                <w:szCs w:val="28"/>
                <w:highlight w:val="none"/>
                <w:lang w:val="en-US" w:eastAsia="zh-CN"/>
              </w:rPr>
              <w:t>技术白皮书或推荐书或彩页）</w:t>
            </w:r>
          </w:p>
        </w:tc>
      </w:tr>
      <w:tr w14:paraId="0B25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 w:type="pct"/>
            <w:vAlign w:val="center"/>
          </w:tcPr>
          <w:p w14:paraId="663882D5">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1836" w:type="pct"/>
            <w:vAlign w:val="center"/>
          </w:tcPr>
          <w:p w14:paraId="1CAF7DAB">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最大压缩力</w:t>
            </w:r>
          </w:p>
        </w:tc>
        <w:tc>
          <w:tcPr>
            <w:tcW w:w="1277" w:type="pct"/>
            <w:vAlign w:val="center"/>
          </w:tcPr>
          <w:p w14:paraId="28C718C5">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w:t>
            </w:r>
            <w:r>
              <w:rPr>
                <w:rFonts w:hint="eastAsia" w:ascii="宋体" w:hAnsi="宋体" w:eastAsia="宋体" w:cs="宋体"/>
                <w:b w:val="0"/>
                <w:bCs/>
                <w:snapToGrid/>
                <w:kern w:val="2"/>
                <w:sz w:val="28"/>
                <w:szCs w:val="28"/>
                <w:highlight w:val="none"/>
                <w:lang w:val="en-US" w:eastAsia="zh-CN"/>
              </w:rPr>
              <w:t>480</w:t>
            </w:r>
            <w:r>
              <w:rPr>
                <w:rFonts w:hint="eastAsia" w:ascii="宋体" w:hAnsi="宋体" w:eastAsia="宋体" w:cs="宋体"/>
                <w:b w:val="0"/>
                <w:bCs/>
                <w:snapToGrid/>
                <w:kern w:val="2"/>
                <w:sz w:val="28"/>
                <w:szCs w:val="28"/>
                <w:highlight w:val="none"/>
                <w:lang w:eastAsia="zh-CN"/>
              </w:rPr>
              <w:t>kN</w:t>
            </w:r>
          </w:p>
        </w:tc>
        <w:tc>
          <w:tcPr>
            <w:tcW w:w="1501" w:type="pct"/>
            <w:vMerge w:val="continue"/>
            <w:vAlign w:val="center"/>
          </w:tcPr>
          <w:p w14:paraId="619A159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59DF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 w:type="pct"/>
            <w:vAlign w:val="center"/>
          </w:tcPr>
          <w:p w14:paraId="1F65DBF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p>
        </w:tc>
        <w:tc>
          <w:tcPr>
            <w:tcW w:w="1836" w:type="pct"/>
            <w:vAlign w:val="center"/>
          </w:tcPr>
          <w:p w14:paraId="2C8B0C3C">
            <w:pPr>
              <w:widowControl w:val="0"/>
              <w:kinsoku/>
              <w:autoSpaceDE/>
              <w:autoSpaceDN/>
              <w:adjustRightInd/>
              <w:snapToGrid/>
              <w:spacing w:line="240" w:lineRule="auto"/>
              <w:jc w:val="both"/>
              <w:textAlignment w:val="auto"/>
              <w:rPr>
                <w:rFonts w:hint="eastAsia" w:ascii="宋体" w:hAnsi="宋体" w:eastAsia="宋体" w:cs="宋体"/>
                <w:b w:val="0"/>
                <w:bCs/>
                <w:snapToGrid/>
                <w:color w:val="000000" w:themeColor="text1"/>
                <w:kern w:val="2"/>
                <w:sz w:val="28"/>
                <w:szCs w:val="28"/>
                <w:highlight w:val="none"/>
                <w:lang w:eastAsia="zh-CN"/>
                <w14:textFill>
                  <w14:solidFill>
                    <w14:schemeClr w14:val="tx1"/>
                  </w14:solidFill>
                </w14:textFill>
              </w:rPr>
            </w:pPr>
            <w:r>
              <w:rPr>
                <w:rFonts w:hint="eastAsia" w:ascii="宋体" w:hAnsi="宋体" w:eastAsia="宋体" w:cs="宋体"/>
                <w:b w:val="0"/>
                <w:bCs/>
                <w:snapToGrid/>
                <w:color w:val="000000" w:themeColor="text1"/>
                <w:kern w:val="2"/>
                <w:sz w:val="28"/>
                <w:szCs w:val="28"/>
                <w:highlight w:val="none"/>
                <w:lang w:eastAsia="zh-CN"/>
                <w14:textFill>
                  <w14:solidFill>
                    <w14:schemeClr w14:val="tx1"/>
                  </w14:solidFill>
                </w14:textFill>
              </w:rPr>
              <w:t>★</w:t>
            </w:r>
            <w:r>
              <w:rPr>
                <w:rFonts w:hint="eastAsia" w:ascii="宋体" w:hAnsi="宋体" w:eastAsia="宋体" w:cs="宋体"/>
                <w:b w:val="0"/>
                <w:bCs/>
                <w:snapToGrid/>
                <w:color w:val="000000" w:themeColor="text1"/>
                <w:kern w:val="2"/>
                <w:sz w:val="28"/>
                <w:szCs w:val="28"/>
                <w:highlight w:val="none"/>
                <w:lang w:val="en-US" w:eastAsia="zh-CN"/>
                <w14:textFill>
                  <w14:solidFill>
                    <w14:schemeClr w14:val="tx1"/>
                  </w14:solidFill>
                </w14:textFill>
              </w:rPr>
              <w:t>压缩腔容积</w:t>
            </w:r>
          </w:p>
        </w:tc>
        <w:tc>
          <w:tcPr>
            <w:tcW w:w="1277" w:type="pct"/>
            <w:vAlign w:val="center"/>
          </w:tcPr>
          <w:p w14:paraId="08ACBDC5">
            <w:pPr>
              <w:widowControl w:val="0"/>
              <w:kinsoku/>
              <w:autoSpaceDE/>
              <w:autoSpaceDN/>
              <w:adjustRightInd/>
              <w:snapToGrid/>
              <w:spacing w:line="240" w:lineRule="auto"/>
              <w:jc w:val="both"/>
              <w:textAlignment w:val="auto"/>
              <w:rPr>
                <w:rFonts w:hint="eastAsia" w:ascii="宋体" w:hAnsi="宋体" w:eastAsia="宋体" w:cs="宋体"/>
                <w:b w:val="0"/>
                <w:bCs/>
                <w:snapToGrid/>
                <w:color w:val="000000" w:themeColor="text1"/>
                <w:kern w:val="2"/>
                <w:sz w:val="28"/>
                <w:szCs w:val="28"/>
                <w:highlight w:val="none"/>
                <w:lang w:eastAsia="zh-CN"/>
                <w14:textFill>
                  <w14:solidFill>
                    <w14:schemeClr w14:val="tx1"/>
                  </w14:solidFill>
                </w14:textFill>
              </w:rPr>
            </w:pPr>
            <w:r>
              <w:rPr>
                <w:rFonts w:hint="eastAsia" w:ascii="宋体" w:hAnsi="宋体" w:eastAsia="宋体" w:cs="宋体"/>
                <w:b w:val="0"/>
                <w:bCs/>
                <w:snapToGrid/>
                <w:color w:val="000000" w:themeColor="text1"/>
                <w:kern w:val="2"/>
                <w:sz w:val="28"/>
                <w:szCs w:val="28"/>
                <w:highlight w:val="none"/>
                <w:lang w:val="en-US" w:eastAsia="zh-CN"/>
                <w14:textFill>
                  <w14:solidFill>
                    <w14:schemeClr w14:val="tx1"/>
                  </w14:solidFill>
                </w14:textFill>
              </w:rPr>
              <w:t>≥4m³</w:t>
            </w:r>
          </w:p>
        </w:tc>
        <w:tc>
          <w:tcPr>
            <w:tcW w:w="1501" w:type="pct"/>
            <w:vMerge w:val="continue"/>
            <w:vAlign w:val="center"/>
          </w:tcPr>
          <w:p w14:paraId="57A450B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2F7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 w:type="pct"/>
            <w:vAlign w:val="center"/>
          </w:tcPr>
          <w:p w14:paraId="55470FB8">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1836" w:type="pct"/>
            <w:vAlign w:val="center"/>
          </w:tcPr>
          <w:p w14:paraId="16200FCE">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压头（推头）入箱距离</w:t>
            </w:r>
          </w:p>
        </w:tc>
        <w:tc>
          <w:tcPr>
            <w:tcW w:w="1277" w:type="pct"/>
            <w:vAlign w:val="center"/>
          </w:tcPr>
          <w:p w14:paraId="3C2209C3">
            <w:pPr>
              <w:widowControl w:val="0"/>
              <w:kinsoku/>
              <w:autoSpaceDE/>
              <w:autoSpaceDN/>
              <w:adjustRightInd/>
              <w:snapToGrid/>
              <w:spacing w:line="240" w:lineRule="auto"/>
              <w:jc w:val="both"/>
              <w:textAlignment w:val="auto"/>
              <w:rPr>
                <w:rFonts w:hint="default" w:ascii="宋体" w:hAnsi="宋体" w:eastAsia="宋体" w:cs="宋体"/>
                <w:b w:val="0"/>
                <w:bCs/>
                <w:snapToGrid/>
                <w:kern w:val="2"/>
                <w:sz w:val="28"/>
                <w:szCs w:val="28"/>
                <w:highlight w:val="none"/>
                <w:lang w:val="en-US" w:eastAsia="zh-CN"/>
              </w:rPr>
            </w:pPr>
            <w:r>
              <w:rPr>
                <w:rFonts w:hint="eastAsia" w:ascii="宋体" w:hAnsi="宋体" w:eastAsia="宋体" w:cs="宋体"/>
                <w:b w:val="0"/>
                <w:bCs/>
                <w:snapToGrid/>
                <w:color w:val="000000" w:themeColor="text1"/>
                <w:kern w:val="2"/>
                <w:sz w:val="28"/>
                <w:szCs w:val="28"/>
                <w:highlight w:val="none"/>
                <w:lang w:eastAsia="zh-CN"/>
                <w14:textFill>
                  <w14:solidFill>
                    <w14:schemeClr w14:val="tx1"/>
                  </w14:solidFill>
                </w14:textFill>
              </w:rPr>
              <w:t>≥</w:t>
            </w:r>
            <w:r>
              <w:rPr>
                <w:rFonts w:hint="eastAsia" w:ascii="宋体" w:hAnsi="宋体" w:eastAsia="宋体" w:cs="宋体"/>
                <w:b w:val="0"/>
                <w:bCs/>
                <w:snapToGrid/>
                <w:color w:val="000000" w:themeColor="text1"/>
                <w:kern w:val="2"/>
                <w:sz w:val="28"/>
                <w:szCs w:val="28"/>
                <w:highlight w:val="none"/>
                <w:lang w:val="en-US" w:eastAsia="zh-CN"/>
                <w14:textFill>
                  <w14:solidFill>
                    <w14:schemeClr w14:val="tx1"/>
                  </w14:solidFill>
                </w14:textFill>
              </w:rPr>
              <w:t>6</w:t>
            </w:r>
            <w:r>
              <w:rPr>
                <w:rFonts w:hint="eastAsia" w:ascii="宋体" w:hAnsi="宋体" w:eastAsia="宋体" w:cs="宋体"/>
                <w:b w:val="0"/>
                <w:bCs/>
                <w:snapToGrid/>
                <w:color w:val="000000" w:themeColor="text1"/>
                <w:kern w:val="2"/>
                <w:sz w:val="28"/>
                <w:szCs w:val="28"/>
                <w:highlight w:val="none"/>
                <w:lang w:eastAsia="zh-CN"/>
                <w14:textFill>
                  <w14:solidFill>
                    <w14:schemeClr w14:val="tx1"/>
                  </w14:solidFill>
                </w14:textFill>
              </w:rPr>
              <w:t>00mm</w:t>
            </w:r>
            <w:r>
              <w:rPr>
                <w:rFonts w:hint="eastAsia" w:ascii="宋体" w:hAnsi="宋体" w:eastAsia="宋体" w:cs="宋体"/>
                <w:b w:val="0"/>
                <w:bCs/>
                <w:snapToGrid/>
                <w:color w:val="000000" w:themeColor="text1"/>
                <w:kern w:val="2"/>
                <w:sz w:val="28"/>
                <w:szCs w:val="28"/>
                <w:highlight w:val="none"/>
                <w:lang w:val="en-US" w:eastAsia="zh-CN"/>
                <w14:textFill>
                  <w14:solidFill>
                    <w14:schemeClr w14:val="tx1"/>
                  </w14:solidFill>
                </w14:textFill>
              </w:rPr>
              <w:t xml:space="preserve">  </w:t>
            </w:r>
          </w:p>
        </w:tc>
        <w:tc>
          <w:tcPr>
            <w:tcW w:w="1501" w:type="pct"/>
            <w:vMerge w:val="continue"/>
            <w:vAlign w:val="center"/>
          </w:tcPr>
          <w:p w14:paraId="5751870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1FE6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 w:type="pct"/>
            <w:vAlign w:val="center"/>
          </w:tcPr>
          <w:p w14:paraId="29CE541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val="en-US" w:eastAsia="zh-CN"/>
              </w:rPr>
              <w:t>5</w:t>
            </w:r>
          </w:p>
        </w:tc>
        <w:tc>
          <w:tcPr>
            <w:tcW w:w="1836" w:type="pct"/>
            <w:vAlign w:val="center"/>
          </w:tcPr>
          <w:p w14:paraId="6808F9FD">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★泵站电机功率</w:t>
            </w:r>
          </w:p>
        </w:tc>
        <w:tc>
          <w:tcPr>
            <w:tcW w:w="1277" w:type="pct"/>
            <w:vAlign w:val="center"/>
          </w:tcPr>
          <w:p w14:paraId="4358E4AF">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≥30kW</w:t>
            </w:r>
          </w:p>
        </w:tc>
        <w:tc>
          <w:tcPr>
            <w:tcW w:w="1501" w:type="pct"/>
            <w:vMerge w:val="continue"/>
            <w:vAlign w:val="center"/>
          </w:tcPr>
          <w:p w14:paraId="123A046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r>
    </w:tbl>
    <w:p w14:paraId="73316868">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17214DF9">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（二）料斗</w:t>
      </w:r>
    </w:p>
    <w:p w14:paraId="471E35F6">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635955D0">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料斗应由钢板焊接组成，应安装在水平直压式垃圾压缩机上部，用来接收收集车倾倒的垃圾，并将垃圾导入压缩机后进行压缩。</w:t>
      </w:r>
    </w:p>
    <w:p w14:paraId="6782A3DA">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01638B6A">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（1）落料应顺畅，不搭桥起拱。</w:t>
      </w:r>
    </w:p>
    <w:p w14:paraId="7510A47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（2）落料全程应无污水滴漏。</w:t>
      </w:r>
    </w:p>
    <w:p w14:paraId="4EB469FE">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20"/>
        <w:tblW w:w="95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2"/>
        <w:gridCol w:w="3951"/>
        <w:gridCol w:w="3485"/>
      </w:tblGrid>
      <w:tr w14:paraId="59FCA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2082" w:type="dxa"/>
            <w:vAlign w:val="center"/>
          </w:tcPr>
          <w:p w14:paraId="2C7D83E4">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序号</w:t>
            </w:r>
          </w:p>
        </w:tc>
        <w:tc>
          <w:tcPr>
            <w:tcW w:w="3951" w:type="dxa"/>
            <w:vAlign w:val="center"/>
          </w:tcPr>
          <w:p w14:paraId="3ECF0DDD">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项目</w:t>
            </w:r>
          </w:p>
        </w:tc>
        <w:tc>
          <w:tcPr>
            <w:tcW w:w="3485" w:type="dxa"/>
            <w:vAlign w:val="center"/>
          </w:tcPr>
          <w:p w14:paraId="6A0F3E01">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w:t>
            </w:r>
          </w:p>
        </w:tc>
      </w:tr>
      <w:tr w14:paraId="4E31E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2082" w:type="dxa"/>
            <w:vAlign w:val="center"/>
          </w:tcPr>
          <w:p w14:paraId="73AFC94D">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3951" w:type="dxa"/>
            <w:vAlign w:val="center"/>
          </w:tcPr>
          <w:p w14:paraId="4B1BF23E">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卸料口外宽</w:t>
            </w:r>
          </w:p>
        </w:tc>
        <w:tc>
          <w:tcPr>
            <w:tcW w:w="3485" w:type="dxa"/>
            <w:vAlign w:val="center"/>
          </w:tcPr>
          <w:p w14:paraId="15ACC0A2">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≥3000 mm</w:t>
            </w:r>
          </w:p>
        </w:tc>
      </w:tr>
      <w:tr w14:paraId="7FD0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2082" w:type="dxa"/>
            <w:vAlign w:val="center"/>
          </w:tcPr>
          <w:p w14:paraId="023D41E4">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3951" w:type="dxa"/>
            <w:vAlign w:val="center"/>
          </w:tcPr>
          <w:p w14:paraId="63B5A3E3">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钢板材质</w:t>
            </w:r>
          </w:p>
        </w:tc>
        <w:tc>
          <w:tcPr>
            <w:tcW w:w="3485" w:type="dxa"/>
            <w:vAlign w:val="center"/>
          </w:tcPr>
          <w:p w14:paraId="4682C7C6">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不低于Q345</w:t>
            </w:r>
          </w:p>
        </w:tc>
      </w:tr>
      <w:tr w14:paraId="70CB7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082" w:type="dxa"/>
            <w:vAlign w:val="center"/>
          </w:tcPr>
          <w:p w14:paraId="36F2B157">
            <w:pPr>
              <w:widowControl w:val="0"/>
              <w:kinsoku/>
              <w:autoSpaceDE/>
              <w:autoSpaceDN/>
              <w:adjustRightInd/>
              <w:snapToGrid/>
              <w:spacing w:line="276"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p>
        </w:tc>
        <w:tc>
          <w:tcPr>
            <w:tcW w:w="3951" w:type="dxa"/>
            <w:vAlign w:val="center"/>
          </w:tcPr>
          <w:p w14:paraId="1C205887">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钢板厚度</w:t>
            </w:r>
          </w:p>
        </w:tc>
        <w:tc>
          <w:tcPr>
            <w:tcW w:w="3485" w:type="dxa"/>
            <w:vAlign w:val="center"/>
          </w:tcPr>
          <w:p w14:paraId="277019BE">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 mm</w:t>
            </w:r>
          </w:p>
        </w:tc>
      </w:tr>
    </w:tbl>
    <w:p w14:paraId="47181D0D">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5F9D94C2">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（三）移箱平台</w:t>
      </w:r>
    </w:p>
    <w:p w14:paraId="4183F745">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5714267F">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移箱平台应由平台机架，驱动装置、导轨等组成。</w:t>
      </w:r>
    </w:p>
    <w:p w14:paraId="22112FAA">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25586F8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（1）应采用两箱三工位的布置方式，可承载两个满载的垃圾箱。</w:t>
      </w:r>
    </w:p>
    <w:p w14:paraId="5100CC01">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（2）应采用</w:t>
      </w:r>
      <w:r>
        <w:rPr>
          <w:rFonts w:hint="eastAsia" w:ascii="宋体" w:hAnsi="宋体" w:eastAsia="宋体" w:cs="宋体"/>
          <w:b w:val="0"/>
          <w:bCs/>
          <w:snapToGrid/>
          <w:kern w:val="2"/>
          <w:sz w:val="28"/>
          <w:szCs w:val="28"/>
          <w:highlight w:val="none"/>
          <w:lang w:val="en-US" w:eastAsia="zh-CN"/>
        </w:rPr>
        <w:t>包括但不限于</w:t>
      </w:r>
      <w:r>
        <w:rPr>
          <w:rFonts w:hint="eastAsia" w:ascii="宋体" w:hAnsi="宋体" w:eastAsia="宋体" w:cs="宋体"/>
          <w:b w:val="0"/>
          <w:bCs/>
          <w:snapToGrid/>
          <w:kern w:val="2"/>
          <w:sz w:val="28"/>
          <w:szCs w:val="28"/>
          <w:highlight w:val="none"/>
          <w:lang w:eastAsia="zh-CN"/>
        </w:rPr>
        <w:t>单油缸驱动、双油缸、电机链条、齿轮齿条等驱动方式，通过平台的水平移动能完成垃圾箱的自动换位。</w:t>
      </w:r>
    </w:p>
    <w:p w14:paraId="752558D5">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★（3）平台主体结构形式包括但不限于单层桁架、格栅式、镂空式、双层结构，平台承载面应具备垃圾及污水承接能力，结构牢固、不漏料、不渗漏，满足设备使用及环保要求。</w:t>
      </w:r>
    </w:p>
    <w:p w14:paraId="44219259">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49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3084"/>
        <w:gridCol w:w="4523"/>
      </w:tblGrid>
      <w:tr w14:paraId="589A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1" w:type="pct"/>
            <w:vAlign w:val="center"/>
          </w:tcPr>
          <w:p w14:paraId="14818FD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序号</w:t>
            </w:r>
          </w:p>
        </w:tc>
        <w:tc>
          <w:tcPr>
            <w:tcW w:w="1633" w:type="pct"/>
            <w:vAlign w:val="center"/>
          </w:tcPr>
          <w:p w14:paraId="136E97D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项目</w:t>
            </w:r>
          </w:p>
        </w:tc>
        <w:tc>
          <w:tcPr>
            <w:tcW w:w="2395" w:type="pct"/>
            <w:vAlign w:val="center"/>
          </w:tcPr>
          <w:p w14:paraId="1245C57D">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w:t>
            </w:r>
          </w:p>
        </w:tc>
      </w:tr>
      <w:tr w14:paraId="08F0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1" w:type="pct"/>
            <w:vAlign w:val="center"/>
          </w:tcPr>
          <w:p w14:paraId="025084A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1633" w:type="pct"/>
            <w:vAlign w:val="center"/>
          </w:tcPr>
          <w:p w14:paraId="71CC4BB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平台型式</w:t>
            </w:r>
          </w:p>
        </w:tc>
        <w:tc>
          <w:tcPr>
            <w:tcW w:w="2395" w:type="pct"/>
            <w:vAlign w:val="center"/>
          </w:tcPr>
          <w:p w14:paraId="16454338">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双平台串联式</w:t>
            </w:r>
          </w:p>
        </w:tc>
      </w:tr>
      <w:tr w14:paraId="591C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1" w:type="pct"/>
            <w:vAlign w:val="center"/>
          </w:tcPr>
          <w:p w14:paraId="6EF9198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1633" w:type="pct"/>
            <w:vAlign w:val="center"/>
          </w:tcPr>
          <w:p w14:paraId="5368F7E5">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平移距离</w:t>
            </w:r>
          </w:p>
        </w:tc>
        <w:tc>
          <w:tcPr>
            <w:tcW w:w="2395" w:type="pct"/>
            <w:vAlign w:val="center"/>
          </w:tcPr>
          <w:p w14:paraId="15419F2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≤2960 mm</w:t>
            </w:r>
          </w:p>
        </w:tc>
      </w:tr>
      <w:tr w14:paraId="23F8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1" w:type="pct"/>
            <w:vAlign w:val="center"/>
          </w:tcPr>
          <w:p w14:paraId="6069174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p>
        </w:tc>
        <w:tc>
          <w:tcPr>
            <w:tcW w:w="1633" w:type="pct"/>
            <w:vAlign w:val="center"/>
          </w:tcPr>
          <w:p w14:paraId="2CE099D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平移速度</w:t>
            </w:r>
          </w:p>
        </w:tc>
        <w:tc>
          <w:tcPr>
            <w:tcW w:w="2395" w:type="pct"/>
            <w:vAlign w:val="center"/>
          </w:tcPr>
          <w:p w14:paraId="3B50115D">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30-100mm/s</w:t>
            </w:r>
            <w:r>
              <w:rPr>
                <w:rFonts w:hint="eastAsia" w:ascii="宋体" w:hAnsi="宋体" w:eastAsia="宋体" w:cs="宋体"/>
                <w:b w:val="0"/>
                <w:bCs/>
                <w:snapToGrid/>
                <w:color w:val="000000" w:themeColor="text1"/>
                <w:kern w:val="2"/>
                <w:sz w:val="28"/>
                <w:szCs w:val="28"/>
                <w:highlight w:val="none"/>
                <w:lang w:val="en-US" w:eastAsia="zh-CN"/>
                <w14:textFill>
                  <w14:solidFill>
                    <w14:schemeClr w14:val="tx1"/>
                  </w14:solidFill>
                </w14:textFill>
              </w:rPr>
              <w:t>可调</w:t>
            </w:r>
          </w:p>
        </w:tc>
      </w:tr>
      <w:tr w14:paraId="0348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1" w:type="pct"/>
            <w:shd w:val="clear" w:color="auto" w:fill="auto"/>
            <w:vAlign w:val="center"/>
          </w:tcPr>
          <w:p w14:paraId="08E1CEAC">
            <w:pPr>
              <w:widowControl w:val="0"/>
              <w:kinsoku/>
              <w:autoSpaceDE/>
              <w:autoSpaceDN/>
              <w:adjustRightInd/>
              <w:snapToGrid/>
              <w:spacing w:line="240" w:lineRule="auto"/>
              <w:jc w:val="center"/>
              <w:textAlignment w:val="auto"/>
              <w:rPr>
                <w:rFonts w:hint="default" w:ascii="宋体" w:hAnsi="宋体" w:eastAsia="宋体" w:cs="宋体"/>
                <w:b w:val="0"/>
                <w:bCs/>
                <w:snapToGrid/>
                <w:color w:val="000000" w:themeColor="text1"/>
                <w:kern w:val="2"/>
                <w:sz w:val="28"/>
                <w:szCs w:val="28"/>
                <w:highlight w:val="none"/>
                <w:lang w:val="en-US" w:eastAsia="zh-CN"/>
                <w14:textFill>
                  <w14:solidFill>
                    <w14:schemeClr w14:val="tx1"/>
                  </w14:solidFill>
                </w14:textFill>
              </w:rPr>
            </w:pPr>
            <w:r>
              <w:rPr>
                <w:rFonts w:hint="eastAsia" w:ascii="宋体" w:hAnsi="宋体" w:eastAsia="宋体" w:cs="宋体"/>
                <w:b w:val="0"/>
                <w:bCs/>
                <w:snapToGrid/>
                <w:color w:val="000000" w:themeColor="text1"/>
                <w:kern w:val="2"/>
                <w:sz w:val="28"/>
                <w:szCs w:val="28"/>
                <w:highlight w:val="none"/>
                <w:lang w:val="en-US" w:eastAsia="zh-CN"/>
                <w14:textFill>
                  <w14:solidFill>
                    <w14:schemeClr w14:val="tx1"/>
                  </w14:solidFill>
                </w14:textFill>
              </w:rPr>
              <w:t>4</w:t>
            </w:r>
          </w:p>
        </w:tc>
        <w:tc>
          <w:tcPr>
            <w:tcW w:w="1633" w:type="pct"/>
            <w:shd w:val="clear" w:color="auto" w:fill="auto"/>
            <w:vAlign w:val="center"/>
          </w:tcPr>
          <w:p w14:paraId="3A95222C">
            <w:pPr>
              <w:widowControl w:val="0"/>
              <w:kinsoku/>
              <w:autoSpaceDE/>
              <w:autoSpaceDN/>
              <w:adjustRightInd/>
              <w:snapToGrid/>
              <w:spacing w:line="240" w:lineRule="auto"/>
              <w:jc w:val="center"/>
              <w:textAlignment w:val="auto"/>
              <w:rPr>
                <w:rFonts w:hint="eastAsia" w:ascii="宋体" w:hAnsi="宋体" w:eastAsia="宋体" w:cs="宋体"/>
                <w:b w:val="0"/>
                <w:bCs/>
                <w:snapToGrid/>
                <w:color w:val="000000" w:themeColor="text1"/>
                <w:kern w:val="2"/>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snapToGrid/>
                <w:color w:val="000000" w:themeColor="text1"/>
                <w:kern w:val="2"/>
                <w:sz w:val="28"/>
                <w:szCs w:val="28"/>
                <w:highlight w:val="none"/>
                <w:lang w:eastAsia="zh-CN"/>
                <w14:textFill>
                  <w14:solidFill>
                    <w14:schemeClr w14:val="tx1"/>
                  </w14:solidFill>
                </w14:textFill>
              </w:rPr>
              <w:t>平台</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承载力</w:t>
            </w:r>
          </w:p>
        </w:tc>
        <w:tc>
          <w:tcPr>
            <w:tcW w:w="2395" w:type="pct"/>
            <w:shd w:val="clear" w:color="auto" w:fill="auto"/>
            <w:vAlign w:val="center"/>
          </w:tcPr>
          <w:p w14:paraId="287C36DE">
            <w:pPr>
              <w:widowControl w:val="0"/>
              <w:kinsoku/>
              <w:autoSpaceDE/>
              <w:autoSpaceDN/>
              <w:adjustRightInd/>
              <w:snapToGrid/>
              <w:spacing w:line="240" w:lineRule="auto"/>
              <w:jc w:val="left"/>
              <w:textAlignment w:val="auto"/>
              <w:rPr>
                <w:rFonts w:hint="eastAsia" w:ascii="宋体" w:hAnsi="宋体" w:eastAsia="宋体" w:cs="宋体"/>
                <w:b w:val="0"/>
                <w:bCs/>
                <w:snapToGrid/>
                <w:color w:val="000000" w:themeColor="text1"/>
                <w:kern w:val="2"/>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平台竖向承重≥40T，同时需抵抗转运车作业冲击力（瞬时） </w:t>
            </w:r>
          </w:p>
        </w:tc>
      </w:tr>
      <w:tr w14:paraId="4EBA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1" w:type="pct"/>
            <w:shd w:val="clear" w:color="auto" w:fill="auto"/>
            <w:vAlign w:val="center"/>
          </w:tcPr>
          <w:p w14:paraId="19E2EA3D">
            <w:pPr>
              <w:widowControl w:val="0"/>
              <w:kinsoku/>
              <w:autoSpaceDE/>
              <w:autoSpaceDN/>
              <w:adjustRightInd/>
              <w:snapToGrid/>
              <w:spacing w:line="240" w:lineRule="auto"/>
              <w:jc w:val="center"/>
              <w:textAlignment w:val="auto"/>
              <w:rPr>
                <w:rFonts w:hint="default" w:ascii="宋体" w:hAnsi="宋体" w:eastAsia="宋体" w:cs="宋体"/>
                <w:b w:val="0"/>
                <w:bCs/>
                <w:snapToGrid/>
                <w:color w:val="000000" w:themeColor="text1"/>
                <w:kern w:val="2"/>
                <w:sz w:val="28"/>
                <w:szCs w:val="28"/>
                <w:highlight w:val="none"/>
                <w:lang w:val="en-US" w:eastAsia="zh-CN"/>
                <w14:textFill>
                  <w14:solidFill>
                    <w14:schemeClr w14:val="tx1"/>
                  </w14:solidFill>
                </w14:textFill>
              </w:rPr>
            </w:pPr>
            <w:r>
              <w:rPr>
                <w:rFonts w:hint="eastAsia" w:ascii="宋体" w:hAnsi="宋体" w:eastAsia="宋体" w:cs="宋体"/>
                <w:b w:val="0"/>
                <w:bCs/>
                <w:snapToGrid/>
                <w:color w:val="000000" w:themeColor="text1"/>
                <w:kern w:val="2"/>
                <w:sz w:val="28"/>
                <w:szCs w:val="28"/>
                <w:highlight w:val="none"/>
                <w:lang w:val="en-US" w:eastAsia="zh-CN"/>
                <w14:textFill>
                  <w14:solidFill>
                    <w14:schemeClr w14:val="tx1"/>
                  </w14:solidFill>
                </w14:textFill>
              </w:rPr>
              <w:t>5</w:t>
            </w:r>
          </w:p>
        </w:tc>
        <w:tc>
          <w:tcPr>
            <w:tcW w:w="1633" w:type="pct"/>
            <w:shd w:val="clear" w:color="auto" w:fill="auto"/>
            <w:vAlign w:val="center"/>
          </w:tcPr>
          <w:p w14:paraId="22292AD3">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平台控制</w:t>
            </w:r>
          </w:p>
        </w:tc>
        <w:tc>
          <w:tcPr>
            <w:tcW w:w="2395" w:type="pct"/>
            <w:shd w:val="clear" w:color="auto" w:fill="auto"/>
            <w:vAlign w:val="center"/>
          </w:tcPr>
          <w:p w14:paraId="0199677E">
            <w:pPr>
              <w:widowControl w:val="0"/>
              <w:kinsoku/>
              <w:autoSpaceDE/>
              <w:autoSpaceDN/>
              <w:adjustRightInd/>
              <w:snapToGrid/>
              <w:spacing w:line="240" w:lineRule="auto"/>
              <w:jc w:val="lef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移位装置所用传感器需选用品质成熟、性能稳定的优质产品，具备智能位置检测，平台运行能够自动定位停止。</w:t>
            </w:r>
          </w:p>
        </w:tc>
      </w:tr>
    </w:tbl>
    <w:p w14:paraId="15FEC0B6">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p>
    <w:p w14:paraId="6245E447">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6AE2BEA1">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（四）垃圾箱</w:t>
      </w:r>
    </w:p>
    <w:p w14:paraId="56C364E0">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2E2DA6B5">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垃圾箱应由箱体、卸料门、密封门、锁紧机构、液压设备等组成，液压设备应能实现卸料门锁紧和密封门的翻转、锁紧。</w:t>
      </w:r>
    </w:p>
    <w:p w14:paraId="257D7B91">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75CB1E9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（1）垃圾箱整体应采用骨架少筋结构，箱体截面应为方形截面，箱体及卸料门应采用不低于Q345材质的钢板。</w:t>
      </w:r>
    </w:p>
    <w:p w14:paraId="065C0007">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（2）垃圾箱顶部应设置有排气孔，确保垃圾压缩进箱体时气流合理排出。</w:t>
      </w:r>
      <w:r>
        <w:rPr>
          <w:rFonts w:hint="eastAsia" w:asciiTheme="minorEastAsia" w:hAnsiTheme="minorEastAsia" w:eastAsiaTheme="minorEastAsia" w:cstheme="minorEastAsia"/>
          <w:color w:val="000000" w:themeColor="text1"/>
          <w:spacing w:val="3"/>
          <w:sz w:val="28"/>
          <w:szCs w:val="28"/>
          <w:highlight w:val="none"/>
          <w14:textFill>
            <w14:solidFill>
              <w14:schemeClr w14:val="tx1"/>
            </w14:solidFill>
          </w14:textFill>
        </w:rPr>
        <w:t>(需提供</w:t>
      </w:r>
      <w:r>
        <w:rPr>
          <w:rFonts w:hint="eastAsia" w:asciiTheme="minorEastAsia" w:hAnsiTheme="minorEastAsia" w:eastAsiaTheme="minorEastAsia" w:cstheme="minorEastAsia"/>
          <w:color w:val="000000" w:themeColor="text1"/>
          <w:spacing w:val="6"/>
          <w:sz w:val="28"/>
          <w:szCs w:val="28"/>
          <w:highlight w:val="none"/>
          <w14:textFill>
            <w14:solidFill>
              <w14:schemeClr w14:val="tx1"/>
            </w14:solidFill>
          </w14:textFill>
        </w:rPr>
        <w:t>实物照片)</w:t>
      </w:r>
    </w:p>
    <w:p w14:paraId="2DF2D5FD">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（3）垃圾箱尾部结构形式包括但不限于单门、双门、三门结构（卸料门 + 闸门 + 密封门）。卸料门采用门框式结构，内置闸门，可与压缩机提门机构可靠对接并实现升降动作；卸料门外框应通过液压锁紧机构与箱体后部紧密锁紧，对接面设置密封胶条，确保压缩过程无污水滴漏；采用多门结构时，最外侧密封门应保证运输过程密闭可靠。</w:t>
      </w:r>
    </w:p>
    <w:p w14:paraId="10BCF3B0">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★（4）密封门应采用液压自动启闭方式，无需人工手动开关。</w:t>
      </w:r>
    </w:p>
    <w:p w14:paraId="53A4C09D">
      <w:pPr>
        <w:widowControl w:val="0"/>
        <w:kinsoku/>
        <w:autoSpaceDE/>
        <w:autoSpaceDN/>
        <w:adjustRightInd/>
        <w:snapToGrid/>
        <w:spacing w:line="360" w:lineRule="auto"/>
        <w:ind w:left="279" w:leftChars="133" w:firstLine="0" w:firstLineChars="0"/>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w:t>
      </w:r>
      <w:r>
        <w:rPr>
          <w:rFonts w:hint="eastAsia" w:ascii="宋体" w:hAnsi="宋体" w:eastAsia="宋体" w:cs="宋体"/>
          <w:b w:val="0"/>
          <w:bCs/>
          <w:snapToGrid/>
          <w:kern w:val="2"/>
          <w:sz w:val="28"/>
          <w:szCs w:val="28"/>
          <w:highlight w:val="none"/>
          <w:lang w:val="en-US" w:eastAsia="zh-CN"/>
        </w:rPr>
        <w:t>5</w:t>
      </w:r>
      <w:r>
        <w:rPr>
          <w:rFonts w:hint="eastAsia" w:ascii="宋体" w:hAnsi="宋体" w:eastAsia="宋体" w:cs="宋体"/>
          <w:b w:val="0"/>
          <w:bCs/>
          <w:snapToGrid/>
          <w:kern w:val="2"/>
          <w:sz w:val="28"/>
          <w:szCs w:val="28"/>
          <w:highlight w:val="none"/>
          <w:lang w:eastAsia="zh-CN"/>
        </w:rPr>
        <w:t>）卸料门内侧应有带滤水孔板及污水导流通道，使污水快速导流排放。</w:t>
      </w:r>
      <w:r>
        <w:rPr>
          <w:rFonts w:hint="eastAsia" w:ascii="宋体" w:hAnsi="宋体" w:eastAsia="宋体" w:cs="宋体"/>
          <w:b w:val="0"/>
          <w:bCs/>
          <w:snapToGrid/>
          <w:kern w:val="2"/>
          <w:sz w:val="28"/>
          <w:szCs w:val="28"/>
          <w:highlight w:val="none"/>
          <w:lang w:val="en-US" w:eastAsia="zh-CN"/>
        </w:rPr>
        <w:t xml:space="preserve">    </w:t>
      </w:r>
      <w:r>
        <w:rPr>
          <w:rFonts w:hint="eastAsia" w:ascii="宋体" w:hAnsi="宋体" w:eastAsia="宋体" w:cs="宋体"/>
          <w:b w:val="0"/>
          <w:bCs/>
          <w:snapToGrid/>
          <w:kern w:val="2"/>
          <w:sz w:val="28"/>
          <w:szCs w:val="28"/>
          <w:highlight w:val="none"/>
          <w:lang w:eastAsia="zh-CN"/>
        </w:rPr>
        <w:t>★（6）卸料门应设置推拉座，与压缩机推拉箱机构配合，实现压缩机自动勾箱、精准对接。</w:t>
      </w:r>
    </w:p>
    <w:p w14:paraId="5FC7F8F4">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★（7）为保证垃圾箱在站内和运输过程中的密封性能，垃圾箱卸料门应采用多点锁紧结构（锁紧点≥</w:t>
      </w:r>
      <w:r>
        <w:rPr>
          <w:rFonts w:hint="eastAsia" w:ascii="宋体" w:hAnsi="宋体" w:eastAsia="宋体" w:cs="宋体"/>
          <w:b w:val="0"/>
          <w:bCs/>
          <w:snapToGrid/>
          <w:kern w:val="2"/>
          <w:sz w:val="28"/>
          <w:szCs w:val="28"/>
          <w:highlight w:val="none"/>
          <w:lang w:val="en-US" w:eastAsia="zh-CN"/>
        </w:rPr>
        <w:t>4</w:t>
      </w:r>
      <w:r>
        <w:rPr>
          <w:rFonts w:hint="eastAsia" w:ascii="宋体" w:hAnsi="宋体" w:eastAsia="宋体" w:cs="宋体"/>
          <w:b w:val="0"/>
          <w:bCs/>
          <w:snapToGrid/>
          <w:kern w:val="2"/>
          <w:sz w:val="28"/>
          <w:szCs w:val="28"/>
          <w:highlight w:val="none"/>
          <w:lang w:eastAsia="zh-CN"/>
        </w:rPr>
        <w:t xml:space="preserve"> 处），并可对密封条压缩量进行调节，确保密封可靠无渗漏。</w:t>
      </w:r>
    </w:p>
    <w:p w14:paraId="7B1F919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★（8）垃圾箱应设置 4 个冲洗口和 2 个排水口，便于冲洗箱体内残渣；单个冲洗口尺寸不小于 100mm×50mm。</w:t>
      </w:r>
    </w:p>
    <w:p w14:paraId="680ABD24">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（9）应充分考虑人机工程，液压快换接头布置合理，插拔操作方便、快捷。</w:t>
      </w:r>
    </w:p>
    <w:p w14:paraId="1458E25C">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595"/>
        <w:gridCol w:w="4630"/>
      </w:tblGrid>
      <w:tr w14:paraId="7F3B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634" w:type="pct"/>
            <w:vAlign w:val="center"/>
          </w:tcPr>
          <w:p w14:paraId="4F75ADED">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序号</w:t>
            </w:r>
          </w:p>
        </w:tc>
        <w:tc>
          <w:tcPr>
            <w:tcW w:w="1908" w:type="pct"/>
            <w:vAlign w:val="center"/>
          </w:tcPr>
          <w:p w14:paraId="0B0E37C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项目</w:t>
            </w:r>
          </w:p>
        </w:tc>
        <w:tc>
          <w:tcPr>
            <w:tcW w:w="2457" w:type="pct"/>
            <w:vAlign w:val="center"/>
          </w:tcPr>
          <w:p w14:paraId="113E2FDA">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w:t>
            </w:r>
          </w:p>
        </w:tc>
      </w:tr>
      <w:tr w14:paraId="6FCB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4" w:type="pct"/>
            <w:vAlign w:val="center"/>
          </w:tcPr>
          <w:p w14:paraId="41AC00B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1908" w:type="pct"/>
            <w:vAlign w:val="center"/>
          </w:tcPr>
          <w:p w14:paraId="41F99EA3">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★容积</w:t>
            </w:r>
          </w:p>
        </w:tc>
        <w:tc>
          <w:tcPr>
            <w:tcW w:w="2457" w:type="pct"/>
            <w:vAlign w:val="center"/>
          </w:tcPr>
          <w:p w14:paraId="6506BB55">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≥28 m</w:t>
            </w:r>
            <w:r>
              <w:rPr>
                <w:rFonts w:hint="eastAsia" w:ascii="宋体" w:hAnsi="宋体" w:eastAsia="宋体" w:cs="宋体"/>
                <w:b w:val="0"/>
                <w:bCs/>
                <w:snapToGrid/>
                <w:kern w:val="2"/>
                <w:sz w:val="28"/>
                <w:szCs w:val="28"/>
                <w:highlight w:val="none"/>
                <w:vertAlign w:val="superscript"/>
                <w:lang w:eastAsia="zh-CN"/>
              </w:rPr>
              <w:t>3</w:t>
            </w:r>
          </w:p>
        </w:tc>
      </w:tr>
      <w:tr w14:paraId="5687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4" w:type="pct"/>
            <w:vAlign w:val="center"/>
          </w:tcPr>
          <w:p w14:paraId="56BFB65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1908" w:type="pct"/>
            <w:vAlign w:val="center"/>
          </w:tcPr>
          <w:p w14:paraId="19C2FA3D">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外形尺寸（长×宽×高）</w:t>
            </w:r>
          </w:p>
        </w:tc>
        <w:tc>
          <w:tcPr>
            <w:tcW w:w="2457" w:type="pct"/>
            <w:vAlign w:val="center"/>
          </w:tcPr>
          <w:p w14:paraId="7870B7D8">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≤7</w:t>
            </w:r>
            <w:r>
              <w:rPr>
                <w:rFonts w:hint="eastAsia" w:ascii="宋体" w:hAnsi="宋体" w:eastAsia="宋体" w:cs="宋体"/>
                <w:b w:val="0"/>
                <w:bCs/>
                <w:snapToGrid/>
                <w:kern w:val="2"/>
                <w:sz w:val="28"/>
                <w:szCs w:val="28"/>
                <w:highlight w:val="none"/>
                <w:lang w:val="en-US" w:eastAsia="zh-CN"/>
              </w:rPr>
              <w:t>10</w:t>
            </w:r>
            <w:r>
              <w:rPr>
                <w:rFonts w:hint="eastAsia" w:ascii="宋体" w:hAnsi="宋体" w:eastAsia="宋体" w:cs="宋体"/>
                <w:b w:val="0"/>
                <w:bCs/>
                <w:snapToGrid/>
                <w:kern w:val="2"/>
                <w:sz w:val="28"/>
                <w:szCs w:val="28"/>
                <w:highlight w:val="none"/>
                <w:lang w:eastAsia="zh-CN"/>
              </w:rPr>
              <w:t>0×25</w:t>
            </w:r>
            <w:r>
              <w:rPr>
                <w:rFonts w:hint="eastAsia" w:ascii="宋体" w:hAnsi="宋体" w:eastAsia="宋体" w:cs="宋体"/>
                <w:b w:val="0"/>
                <w:bCs/>
                <w:snapToGrid/>
                <w:kern w:val="2"/>
                <w:sz w:val="28"/>
                <w:szCs w:val="28"/>
                <w:highlight w:val="none"/>
                <w:lang w:val="en-US" w:eastAsia="zh-CN"/>
              </w:rPr>
              <w:t>0</w:t>
            </w:r>
            <w:r>
              <w:rPr>
                <w:rFonts w:hint="eastAsia" w:ascii="宋体" w:hAnsi="宋体" w:eastAsia="宋体" w:cs="宋体"/>
                <w:b w:val="0"/>
                <w:bCs/>
                <w:snapToGrid/>
                <w:kern w:val="2"/>
                <w:sz w:val="28"/>
                <w:szCs w:val="28"/>
                <w:highlight w:val="none"/>
                <w:lang w:eastAsia="zh-CN"/>
              </w:rPr>
              <w:t>0×2</w:t>
            </w:r>
            <w:r>
              <w:rPr>
                <w:rFonts w:hint="eastAsia" w:ascii="宋体" w:hAnsi="宋体" w:eastAsia="宋体" w:cs="宋体"/>
                <w:b w:val="0"/>
                <w:bCs/>
                <w:snapToGrid/>
                <w:kern w:val="2"/>
                <w:sz w:val="28"/>
                <w:szCs w:val="28"/>
                <w:highlight w:val="none"/>
                <w:lang w:val="en-US" w:eastAsia="zh-CN"/>
              </w:rPr>
              <w:t>80</w:t>
            </w:r>
            <w:r>
              <w:rPr>
                <w:rFonts w:hint="eastAsia" w:ascii="宋体" w:hAnsi="宋体" w:eastAsia="宋体" w:cs="宋体"/>
                <w:b w:val="0"/>
                <w:bCs/>
                <w:snapToGrid/>
                <w:kern w:val="2"/>
                <w:sz w:val="28"/>
                <w:szCs w:val="28"/>
                <w:highlight w:val="none"/>
                <w:lang w:eastAsia="zh-CN"/>
              </w:rPr>
              <w:t>0 mm</w:t>
            </w:r>
          </w:p>
        </w:tc>
      </w:tr>
      <w:tr w14:paraId="3665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4" w:type="pct"/>
            <w:vAlign w:val="center"/>
          </w:tcPr>
          <w:p w14:paraId="1EB4840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val="en-US" w:eastAsia="zh-CN"/>
              </w:rPr>
              <w:t>3</w:t>
            </w:r>
          </w:p>
        </w:tc>
        <w:tc>
          <w:tcPr>
            <w:tcW w:w="1908" w:type="pct"/>
            <w:vAlign w:val="center"/>
          </w:tcPr>
          <w:p w14:paraId="1F98033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箱体勾心高度</w:t>
            </w:r>
          </w:p>
        </w:tc>
        <w:tc>
          <w:tcPr>
            <w:tcW w:w="2457" w:type="pct"/>
            <w:vAlign w:val="center"/>
          </w:tcPr>
          <w:p w14:paraId="262B9048">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r>
              <w:rPr>
                <w:rFonts w:hint="eastAsia" w:ascii="宋体" w:hAnsi="宋体" w:eastAsia="宋体" w:cs="宋体"/>
                <w:b w:val="0"/>
                <w:bCs/>
                <w:snapToGrid/>
                <w:kern w:val="2"/>
                <w:sz w:val="28"/>
                <w:szCs w:val="28"/>
                <w:highlight w:val="none"/>
                <w:lang w:val="en-US" w:eastAsia="zh-CN"/>
              </w:rPr>
              <w:t>60</w:t>
            </w:r>
            <w:r>
              <w:rPr>
                <w:rFonts w:hint="eastAsia" w:ascii="宋体" w:hAnsi="宋体" w:eastAsia="宋体" w:cs="宋体"/>
                <w:b w:val="0"/>
                <w:bCs/>
                <w:snapToGrid/>
                <w:kern w:val="2"/>
                <w:sz w:val="28"/>
                <w:szCs w:val="28"/>
                <w:highlight w:val="none"/>
                <w:lang w:eastAsia="zh-CN"/>
              </w:rPr>
              <w:t>0±</w:t>
            </w:r>
            <w:r>
              <w:rPr>
                <w:rFonts w:hint="eastAsia" w:ascii="宋体" w:hAnsi="宋体" w:eastAsia="宋体" w:cs="宋体"/>
                <w:b w:val="0"/>
                <w:bCs/>
                <w:snapToGrid/>
                <w:kern w:val="2"/>
                <w:sz w:val="28"/>
                <w:szCs w:val="28"/>
                <w:highlight w:val="none"/>
                <w:lang w:val="en-US" w:eastAsia="zh-CN"/>
              </w:rPr>
              <w:t>5</w:t>
            </w:r>
            <w:r>
              <w:rPr>
                <w:rFonts w:hint="eastAsia" w:ascii="宋体" w:hAnsi="宋体" w:eastAsia="宋体" w:cs="宋体"/>
                <w:b w:val="0"/>
                <w:bCs/>
                <w:snapToGrid/>
                <w:kern w:val="2"/>
                <w:sz w:val="28"/>
                <w:szCs w:val="28"/>
                <w:highlight w:val="none"/>
                <w:lang w:eastAsia="zh-CN"/>
              </w:rPr>
              <w:t>0mm</w:t>
            </w:r>
          </w:p>
        </w:tc>
      </w:tr>
      <w:tr w14:paraId="648E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34" w:type="pct"/>
            <w:vAlign w:val="center"/>
          </w:tcPr>
          <w:p w14:paraId="362A5AE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val="en-US" w:eastAsia="zh-CN"/>
              </w:rPr>
              <w:t>4</w:t>
            </w:r>
          </w:p>
        </w:tc>
        <w:tc>
          <w:tcPr>
            <w:tcW w:w="1908" w:type="pct"/>
            <w:vAlign w:val="center"/>
          </w:tcPr>
          <w:p w14:paraId="50E887C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箱体板厚</w:t>
            </w:r>
          </w:p>
        </w:tc>
        <w:tc>
          <w:tcPr>
            <w:tcW w:w="2457" w:type="pct"/>
            <w:vAlign w:val="center"/>
          </w:tcPr>
          <w:p w14:paraId="28E976D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底板≥5mm，侧板≥4mm</w:t>
            </w:r>
          </w:p>
        </w:tc>
      </w:tr>
      <w:tr w14:paraId="1C9D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95" w:type="dxa"/>
            <w:vAlign w:val="center"/>
          </w:tcPr>
          <w:p w14:paraId="456E70EA">
            <w:pPr>
              <w:widowControl w:val="0"/>
              <w:kinsoku/>
              <w:autoSpaceDE/>
              <w:autoSpaceDN/>
              <w:adjustRightInd/>
              <w:snapToGrid/>
              <w:spacing w:line="240" w:lineRule="auto"/>
              <w:jc w:val="center"/>
              <w:textAlignment w:val="auto"/>
              <w:rPr>
                <w:rFonts w:hint="eastAsia" w:ascii="宋体" w:hAnsi="宋体" w:eastAsia="宋体" w:cs="宋体"/>
                <w:b w:val="0"/>
                <w:bCs/>
                <w:snapToGrid/>
                <w:color w:val="auto"/>
                <w:kern w:val="2"/>
                <w:sz w:val="28"/>
                <w:szCs w:val="28"/>
                <w:highlight w:val="none"/>
                <w:lang w:val="en-US" w:eastAsia="zh-CN"/>
              </w:rPr>
            </w:pPr>
            <w:r>
              <w:rPr>
                <w:rFonts w:hint="eastAsia" w:ascii="宋体" w:hAnsi="宋体" w:eastAsia="宋体" w:cs="宋体"/>
                <w:b w:val="0"/>
                <w:bCs/>
                <w:snapToGrid/>
                <w:color w:val="auto"/>
                <w:kern w:val="2"/>
                <w:sz w:val="28"/>
                <w:szCs w:val="28"/>
                <w:highlight w:val="none"/>
                <w:lang w:val="en-US" w:eastAsia="zh-CN"/>
              </w:rPr>
              <w:t>5</w:t>
            </w:r>
          </w:p>
        </w:tc>
        <w:tc>
          <w:tcPr>
            <w:tcW w:w="3595" w:type="dxa"/>
            <w:vAlign w:val="center"/>
          </w:tcPr>
          <w:p w14:paraId="66E97020">
            <w:pPr>
              <w:widowControl w:val="0"/>
              <w:kinsoku/>
              <w:autoSpaceDE/>
              <w:autoSpaceDN/>
              <w:adjustRightInd/>
              <w:snapToGrid/>
              <w:spacing w:line="240" w:lineRule="auto"/>
              <w:jc w:val="center"/>
              <w:textAlignment w:val="auto"/>
              <w:rPr>
                <w:rFonts w:hint="eastAsia" w:ascii="宋体" w:hAnsi="宋体" w:eastAsia="宋体" w:cs="宋体"/>
                <w:b w:val="0"/>
                <w:bCs/>
                <w:snapToGrid/>
                <w:color w:val="auto"/>
                <w:kern w:val="2"/>
                <w:sz w:val="28"/>
                <w:szCs w:val="28"/>
                <w:highlight w:val="none"/>
                <w:lang w:eastAsia="zh-CN"/>
              </w:rPr>
            </w:pPr>
            <w:r>
              <w:rPr>
                <w:rFonts w:hint="eastAsia" w:ascii="宋体" w:hAnsi="宋体" w:eastAsia="宋体" w:cs="宋体"/>
                <w:b w:val="0"/>
                <w:bCs/>
                <w:snapToGrid/>
                <w:color w:val="auto"/>
                <w:kern w:val="2"/>
                <w:sz w:val="28"/>
                <w:szCs w:val="28"/>
                <w:highlight w:val="none"/>
                <w:lang w:eastAsia="zh-CN"/>
              </w:rPr>
              <w:t>★</w:t>
            </w:r>
            <w:r>
              <w:rPr>
                <w:rFonts w:hint="eastAsia" w:ascii="宋体" w:hAnsi="宋体" w:eastAsia="宋体" w:cs="宋体"/>
                <w:b w:val="0"/>
                <w:bCs/>
                <w:snapToGrid/>
                <w:color w:val="auto"/>
                <w:kern w:val="2"/>
                <w:sz w:val="28"/>
                <w:szCs w:val="28"/>
                <w:highlight w:val="none"/>
                <w:lang w:val="en-US" w:eastAsia="zh-CN"/>
              </w:rPr>
              <w:t>箱体箍筋</w:t>
            </w:r>
          </w:p>
        </w:tc>
        <w:tc>
          <w:tcPr>
            <w:tcW w:w="4630" w:type="dxa"/>
            <w:vAlign w:val="center"/>
          </w:tcPr>
          <w:p w14:paraId="4EEEDEF1">
            <w:pPr>
              <w:widowControl w:val="0"/>
              <w:kinsoku/>
              <w:autoSpaceDE/>
              <w:autoSpaceDN/>
              <w:adjustRightInd/>
              <w:snapToGrid/>
              <w:spacing w:line="240" w:lineRule="auto"/>
              <w:jc w:val="center"/>
              <w:textAlignment w:val="auto"/>
              <w:rPr>
                <w:rFonts w:hint="eastAsia" w:ascii="宋体" w:hAnsi="宋体" w:eastAsia="宋体" w:cs="宋体"/>
                <w:b w:val="0"/>
                <w:bCs/>
                <w:snapToGrid/>
                <w:color w:val="auto"/>
                <w:kern w:val="2"/>
                <w:sz w:val="28"/>
                <w:szCs w:val="28"/>
                <w:highlight w:val="none"/>
                <w:lang w:eastAsia="zh-CN"/>
              </w:rPr>
            </w:pPr>
            <w:r>
              <w:rPr>
                <w:rFonts w:hint="eastAsia" w:ascii="宋体" w:hAnsi="宋体" w:eastAsia="宋体" w:cs="宋体"/>
                <w:b w:val="0"/>
                <w:bCs/>
                <w:snapToGrid/>
                <w:color w:val="auto"/>
                <w:kern w:val="2"/>
                <w:sz w:val="28"/>
                <w:szCs w:val="28"/>
                <w:highlight w:val="none"/>
                <w:lang w:val="en-US" w:eastAsia="zh-CN"/>
              </w:rPr>
              <w:t>≥4</w:t>
            </w:r>
          </w:p>
        </w:tc>
      </w:tr>
    </w:tbl>
    <w:p w14:paraId="590EB087">
      <w:pPr>
        <w:rPr>
          <w:rFonts w:hint="eastAsia" w:ascii="宋体" w:hAnsi="宋体" w:eastAsia="宋体" w:cs="宋体"/>
          <w:b w:val="0"/>
          <w:bCs/>
          <w:snapToGrid/>
          <w:kern w:val="2"/>
          <w:sz w:val="28"/>
          <w:szCs w:val="28"/>
          <w:highlight w:val="none"/>
          <w:lang w:eastAsia="zh-CN"/>
        </w:rPr>
      </w:pPr>
    </w:p>
    <w:p w14:paraId="4567FCB1">
      <w:pPr>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r>
        <w:rPr>
          <w:rFonts w:hint="eastAsia" w:ascii="宋体" w:hAnsi="宋体" w:eastAsia="宋体" w:cs="宋体"/>
          <w:b w:val="0"/>
          <w:bCs/>
          <w:snapToGrid/>
          <w:kern w:val="0"/>
          <w:sz w:val="28"/>
          <w:szCs w:val="28"/>
          <w:lang w:eastAsia="zh-CN"/>
        </w:rPr>
        <w:t>控制设备</w:t>
      </w:r>
      <w:r>
        <w:rPr>
          <w:rFonts w:hint="eastAsia" w:ascii="宋体" w:hAnsi="宋体" w:eastAsia="宋体" w:cs="宋体"/>
          <w:b w:val="0"/>
          <w:bCs/>
          <w:snapToGrid/>
          <w:kern w:val="2"/>
          <w:sz w:val="28"/>
          <w:szCs w:val="28"/>
          <w:highlight w:val="none"/>
          <w:lang w:eastAsia="zh-CN"/>
        </w:rPr>
        <w:t>配置要求</w:t>
      </w:r>
    </w:p>
    <w:tbl>
      <w:tblPr>
        <w:tblStyle w:val="19"/>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867"/>
        <w:gridCol w:w="1357"/>
        <w:gridCol w:w="5451"/>
      </w:tblGrid>
      <w:tr w14:paraId="402E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3" w:type="pct"/>
            <w:shd w:val="clear" w:color="auto" w:fill="auto"/>
            <w:vAlign w:val="center"/>
          </w:tcPr>
          <w:p w14:paraId="7112464C">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序号</w:t>
            </w:r>
          </w:p>
        </w:tc>
        <w:tc>
          <w:tcPr>
            <w:tcW w:w="963" w:type="pct"/>
            <w:shd w:val="clear" w:color="auto" w:fill="auto"/>
            <w:vAlign w:val="center"/>
          </w:tcPr>
          <w:p w14:paraId="194AB80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名称</w:t>
            </w:r>
          </w:p>
        </w:tc>
        <w:tc>
          <w:tcPr>
            <w:tcW w:w="700" w:type="pct"/>
            <w:vAlign w:val="center"/>
          </w:tcPr>
          <w:p w14:paraId="32AE0043">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数量</w:t>
            </w:r>
          </w:p>
        </w:tc>
        <w:tc>
          <w:tcPr>
            <w:tcW w:w="2812" w:type="pct"/>
            <w:shd w:val="clear" w:color="auto" w:fill="auto"/>
            <w:vAlign w:val="center"/>
          </w:tcPr>
          <w:p w14:paraId="3D28362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技术参数</w:t>
            </w:r>
          </w:p>
        </w:tc>
      </w:tr>
      <w:tr w14:paraId="226C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3" w:type="pct"/>
            <w:shd w:val="clear" w:color="auto" w:fill="auto"/>
            <w:vAlign w:val="center"/>
          </w:tcPr>
          <w:p w14:paraId="268BDCEC">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963" w:type="pct"/>
            <w:shd w:val="clear" w:color="auto" w:fill="auto"/>
            <w:vAlign w:val="center"/>
          </w:tcPr>
          <w:p w14:paraId="35BFEDEC">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中控软件</w:t>
            </w:r>
          </w:p>
        </w:tc>
        <w:tc>
          <w:tcPr>
            <w:tcW w:w="700" w:type="pct"/>
            <w:vAlign w:val="center"/>
          </w:tcPr>
          <w:p w14:paraId="3242917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 套</w:t>
            </w:r>
          </w:p>
        </w:tc>
        <w:tc>
          <w:tcPr>
            <w:tcW w:w="2812" w:type="pct"/>
            <w:shd w:val="clear" w:color="auto" w:fill="auto"/>
            <w:vAlign w:val="center"/>
          </w:tcPr>
          <w:p w14:paraId="3EFD5D25">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SCADA组件</w:t>
            </w:r>
          </w:p>
        </w:tc>
      </w:tr>
      <w:tr w14:paraId="4652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23" w:type="pct"/>
            <w:shd w:val="clear" w:color="auto" w:fill="auto"/>
            <w:vAlign w:val="center"/>
          </w:tcPr>
          <w:p w14:paraId="2D1986E0">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963" w:type="pct"/>
            <w:shd w:val="clear" w:color="auto" w:fill="auto"/>
            <w:vAlign w:val="center"/>
          </w:tcPr>
          <w:p w14:paraId="61B887DD">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工控机</w:t>
            </w:r>
          </w:p>
        </w:tc>
        <w:tc>
          <w:tcPr>
            <w:tcW w:w="700" w:type="pct"/>
            <w:vAlign w:val="center"/>
          </w:tcPr>
          <w:p w14:paraId="6758B0ED">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 台</w:t>
            </w:r>
          </w:p>
        </w:tc>
        <w:tc>
          <w:tcPr>
            <w:tcW w:w="2812" w:type="pct"/>
            <w:shd w:val="clear" w:color="auto" w:fill="auto"/>
            <w:vAlign w:val="center"/>
          </w:tcPr>
          <w:p w14:paraId="09DB510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处理器：≥4核I7</w:t>
            </w:r>
          </w:p>
          <w:p w14:paraId="3EFB1253">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内存容量：≥8G</w:t>
            </w:r>
          </w:p>
          <w:p w14:paraId="7C79B661">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硬盘容量：≥1T</w:t>
            </w:r>
          </w:p>
        </w:tc>
      </w:tr>
      <w:tr w14:paraId="1C67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23" w:type="pct"/>
            <w:shd w:val="clear" w:color="auto" w:fill="auto"/>
            <w:vAlign w:val="center"/>
          </w:tcPr>
          <w:p w14:paraId="29BC4155">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p>
        </w:tc>
        <w:tc>
          <w:tcPr>
            <w:tcW w:w="963" w:type="pct"/>
            <w:shd w:val="clear" w:color="auto" w:fill="auto"/>
            <w:vAlign w:val="center"/>
          </w:tcPr>
          <w:p w14:paraId="5629297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显示器</w:t>
            </w:r>
          </w:p>
        </w:tc>
        <w:tc>
          <w:tcPr>
            <w:tcW w:w="700" w:type="pct"/>
            <w:vAlign w:val="center"/>
          </w:tcPr>
          <w:p w14:paraId="19F2BBC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 台</w:t>
            </w:r>
          </w:p>
        </w:tc>
        <w:tc>
          <w:tcPr>
            <w:tcW w:w="2812" w:type="pct"/>
            <w:shd w:val="clear" w:color="auto" w:fill="auto"/>
            <w:vAlign w:val="center"/>
          </w:tcPr>
          <w:p w14:paraId="1C4E3FF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尺寸：≥23.8英寸</w:t>
            </w:r>
          </w:p>
          <w:p w14:paraId="14CAC47A">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分辨率：≥1920*1080</w:t>
            </w:r>
          </w:p>
        </w:tc>
      </w:tr>
      <w:tr w14:paraId="3BF9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3" w:type="pct"/>
            <w:shd w:val="clear" w:color="auto" w:fill="auto"/>
            <w:vAlign w:val="center"/>
          </w:tcPr>
          <w:p w14:paraId="0321E753">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963" w:type="pct"/>
            <w:shd w:val="clear" w:color="auto" w:fill="auto"/>
            <w:vAlign w:val="center"/>
          </w:tcPr>
          <w:p w14:paraId="7F159C5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钢制操作台</w:t>
            </w:r>
          </w:p>
        </w:tc>
        <w:tc>
          <w:tcPr>
            <w:tcW w:w="700" w:type="pct"/>
            <w:vAlign w:val="center"/>
          </w:tcPr>
          <w:p w14:paraId="24EA330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 张</w:t>
            </w:r>
          </w:p>
        </w:tc>
        <w:tc>
          <w:tcPr>
            <w:tcW w:w="2812" w:type="pct"/>
            <w:shd w:val="clear" w:color="auto" w:fill="auto"/>
            <w:vAlign w:val="center"/>
          </w:tcPr>
          <w:p w14:paraId="66477546">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双工位，桌面材质应选用优质冷轧钢板</w:t>
            </w:r>
          </w:p>
        </w:tc>
      </w:tr>
      <w:tr w14:paraId="7BAA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3" w:type="pct"/>
            <w:shd w:val="clear" w:color="auto" w:fill="auto"/>
            <w:vAlign w:val="center"/>
          </w:tcPr>
          <w:p w14:paraId="36C55E2C">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w:t>
            </w:r>
          </w:p>
        </w:tc>
        <w:tc>
          <w:tcPr>
            <w:tcW w:w="963" w:type="pct"/>
            <w:shd w:val="clear" w:color="auto" w:fill="auto"/>
            <w:vAlign w:val="center"/>
          </w:tcPr>
          <w:p w14:paraId="2A1ADD4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配套椅子</w:t>
            </w:r>
          </w:p>
        </w:tc>
        <w:tc>
          <w:tcPr>
            <w:tcW w:w="700" w:type="pct"/>
            <w:vAlign w:val="center"/>
          </w:tcPr>
          <w:p w14:paraId="1192C1C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 把</w:t>
            </w:r>
          </w:p>
        </w:tc>
        <w:tc>
          <w:tcPr>
            <w:tcW w:w="2812" w:type="pct"/>
            <w:shd w:val="clear" w:color="auto" w:fill="auto"/>
            <w:vAlign w:val="center"/>
          </w:tcPr>
          <w:p w14:paraId="7304FF99">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应为黑色靠背网面，应带滚轮</w:t>
            </w:r>
          </w:p>
        </w:tc>
      </w:tr>
    </w:tbl>
    <w:p w14:paraId="6ACBFC26">
      <w:pPr>
        <w:rPr>
          <w:rFonts w:hint="eastAsia" w:ascii="宋体" w:hAnsi="宋体" w:eastAsia="宋体" w:cs="宋体"/>
          <w:b w:val="0"/>
          <w:bCs/>
          <w:snapToGrid/>
          <w:kern w:val="2"/>
          <w:sz w:val="28"/>
          <w:szCs w:val="28"/>
          <w:highlight w:val="none"/>
          <w:lang w:eastAsia="zh-CN"/>
        </w:rPr>
      </w:pPr>
    </w:p>
    <w:p w14:paraId="0D711CD5">
      <w:pPr>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r>
        <w:rPr>
          <w:rFonts w:hint="eastAsia" w:ascii="宋体" w:hAnsi="宋体" w:eastAsia="宋体" w:cs="宋体"/>
          <w:b w:val="0"/>
          <w:bCs/>
          <w:snapToGrid/>
          <w:kern w:val="0"/>
          <w:sz w:val="28"/>
          <w:szCs w:val="28"/>
          <w:lang w:eastAsia="zh-CN"/>
        </w:rPr>
        <w:t>交通指挥设备</w:t>
      </w:r>
      <w:r>
        <w:rPr>
          <w:rFonts w:hint="eastAsia" w:ascii="宋体" w:hAnsi="宋体" w:eastAsia="宋体" w:cs="宋体"/>
          <w:b w:val="0"/>
          <w:bCs/>
          <w:snapToGrid/>
          <w:kern w:val="2"/>
          <w:sz w:val="28"/>
          <w:szCs w:val="28"/>
          <w:highlight w:val="none"/>
          <w:lang w:eastAsia="zh-CN"/>
        </w:rPr>
        <w:t>参数要求</w:t>
      </w:r>
    </w:p>
    <w:tbl>
      <w:tblPr>
        <w:tblStyle w:val="20"/>
        <w:tblW w:w="46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3202"/>
        <w:gridCol w:w="4520"/>
      </w:tblGrid>
      <w:tr w14:paraId="7BB9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3" w:type="pct"/>
            <w:vAlign w:val="center"/>
          </w:tcPr>
          <w:p w14:paraId="48627CF1">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序号</w:t>
            </w:r>
          </w:p>
        </w:tc>
        <w:tc>
          <w:tcPr>
            <w:tcW w:w="1773" w:type="pct"/>
            <w:vAlign w:val="center"/>
          </w:tcPr>
          <w:p w14:paraId="16E0B92B">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项目</w:t>
            </w:r>
          </w:p>
        </w:tc>
        <w:tc>
          <w:tcPr>
            <w:tcW w:w="2503" w:type="pct"/>
            <w:vAlign w:val="center"/>
          </w:tcPr>
          <w:p w14:paraId="2616F0A8">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参数</w:t>
            </w:r>
          </w:p>
        </w:tc>
      </w:tr>
      <w:tr w14:paraId="1FCE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3" w:type="pct"/>
            <w:vAlign w:val="center"/>
          </w:tcPr>
          <w:p w14:paraId="4663364B">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1</w:t>
            </w:r>
          </w:p>
        </w:tc>
        <w:tc>
          <w:tcPr>
            <w:tcW w:w="1773" w:type="pct"/>
            <w:vAlign w:val="center"/>
          </w:tcPr>
          <w:p w14:paraId="4C852508">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交通指挥灯组数</w:t>
            </w:r>
          </w:p>
        </w:tc>
        <w:tc>
          <w:tcPr>
            <w:tcW w:w="2503" w:type="pct"/>
            <w:vAlign w:val="center"/>
          </w:tcPr>
          <w:p w14:paraId="07C409A8">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≥3组</w:t>
            </w:r>
          </w:p>
        </w:tc>
      </w:tr>
      <w:tr w14:paraId="41FB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3" w:type="pct"/>
            <w:vAlign w:val="center"/>
          </w:tcPr>
          <w:p w14:paraId="21B02E6D">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2</w:t>
            </w:r>
          </w:p>
        </w:tc>
        <w:tc>
          <w:tcPr>
            <w:tcW w:w="1773" w:type="pct"/>
            <w:vAlign w:val="center"/>
          </w:tcPr>
          <w:p w14:paraId="24131155">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灯壳材料</w:t>
            </w:r>
          </w:p>
        </w:tc>
        <w:tc>
          <w:tcPr>
            <w:tcW w:w="2503" w:type="pct"/>
            <w:vAlign w:val="center"/>
          </w:tcPr>
          <w:p w14:paraId="4CB5712B">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铝合金</w:t>
            </w:r>
          </w:p>
        </w:tc>
      </w:tr>
      <w:tr w14:paraId="1AB6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3" w:type="pct"/>
            <w:vAlign w:val="center"/>
          </w:tcPr>
          <w:p w14:paraId="505F815B">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auto"/>
                <w:kern w:val="28"/>
                <w:sz w:val="28"/>
                <w:szCs w:val="28"/>
                <w:highlight w:val="none"/>
                <w:lang w:val="en-US" w:eastAsia="zh-CN" w:bidi="ar-SA"/>
              </w:rPr>
              <w:t>3</w:t>
            </w:r>
          </w:p>
        </w:tc>
        <w:tc>
          <w:tcPr>
            <w:tcW w:w="1773" w:type="pct"/>
            <w:vAlign w:val="center"/>
          </w:tcPr>
          <w:p w14:paraId="1D29D733">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发光面</w:t>
            </w:r>
          </w:p>
        </w:tc>
        <w:tc>
          <w:tcPr>
            <w:tcW w:w="2503" w:type="pct"/>
            <w:vAlign w:val="center"/>
          </w:tcPr>
          <w:p w14:paraId="10A49F3E">
            <w:pPr>
              <w:widowControl w:val="0"/>
              <w:autoSpaceDE w:val="0"/>
              <w:autoSpaceDN w:val="0"/>
              <w:adjustRightInd w:val="0"/>
              <w:jc w:val="center"/>
              <w:rPr>
                <w:rFonts w:hint="eastAsia" w:ascii="宋体" w:hAnsi="宋体" w:eastAsia="宋体" w:cs="宋体"/>
                <w:b w:val="0"/>
                <w:bCs/>
                <w:snapToGrid w:val="0"/>
                <w:color w:val="auto"/>
                <w:kern w:val="28"/>
                <w:sz w:val="28"/>
                <w:szCs w:val="28"/>
                <w:highlight w:val="none"/>
                <w:lang w:val="en-US" w:eastAsia="zh-CN" w:bidi="ar-SA"/>
              </w:rPr>
            </w:pPr>
            <w:r>
              <w:rPr>
                <w:rFonts w:hint="eastAsia" w:ascii="宋体" w:hAnsi="宋体" w:eastAsia="宋体" w:cs="宋体"/>
                <w:b w:val="0"/>
                <w:bCs/>
                <w:snapToGrid w:val="0"/>
                <w:color w:val="000000"/>
                <w:kern w:val="28"/>
                <w:sz w:val="28"/>
                <w:szCs w:val="28"/>
                <w:highlight w:val="none"/>
                <w:lang w:val="en-US" w:eastAsia="zh-CN" w:bidi="ar-SA"/>
              </w:rPr>
              <w:t>红叉绿箭</w:t>
            </w:r>
          </w:p>
        </w:tc>
      </w:tr>
    </w:tbl>
    <w:p w14:paraId="2CA982C8">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00A2B847">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w:t>
      </w:r>
      <w:r>
        <w:rPr>
          <w:rFonts w:hint="eastAsia" w:ascii="宋体" w:hAnsi="宋体" w:eastAsia="宋体" w:cs="宋体"/>
          <w:b/>
          <w:bCs w:val="0"/>
          <w:snapToGrid/>
          <w:kern w:val="2"/>
          <w:sz w:val="32"/>
          <w:szCs w:val="32"/>
          <w:highlight w:val="none"/>
          <w:lang w:val="en-US" w:eastAsia="zh-CN"/>
        </w:rPr>
        <w:t>五</w:t>
      </w:r>
      <w:r>
        <w:rPr>
          <w:rFonts w:hint="eastAsia" w:ascii="宋体" w:hAnsi="宋体" w:eastAsia="宋体" w:cs="宋体"/>
          <w:b/>
          <w:bCs w:val="0"/>
          <w:snapToGrid/>
          <w:kern w:val="2"/>
          <w:sz w:val="32"/>
          <w:szCs w:val="32"/>
          <w:highlight w:val="none"/>
          <w:lang w:eastAsia="zh-CN"/>
        </w:rPr>
        <w:t>）语音广播设备</w:t>
      </w:r>
    </w:p>
    <w:p w14:paraId="1710C475">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1、性能要求</w:t>
      </w:r>
    </w:p>
    <w:p w14:paraId="5255224D">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（1）语音广播和指挥。当操作人员发现</w:t>
      </w:r>
      <w:r>
        <w:rPr>
          <w:rFonts w:hint="eastAsia" w:ascii="宋体" w:hAnsi="宋体" w:eastAsia="宋体" w:cs="宋体"/>
          <w:b w:val="0"/>
          <w:bCs/>
          <w:snapToGrid/>
          <w:kern w:val="2"/>
          <w:sz w:val="28"/>
          <w:szCs w:val="28"/>
          <w:highlight w:val="none"/>
          <w:lang w:val="en-US" w:eastAsia="zh-CN"/>
        </w:rPr>
        <w:t>违规操作</w:t>
      </w:r>
      <w:r>
        <w:rPr>
          <w:rFonts w:hint="eastAsia" w:ascii="宋体" w:hAnsi="宋体" w:eastAsia="宋体" w:cs="宋体"/>
          <w:b w:val="0"/>
          <w:bCs/>
          <w:snapToGrid/>
          <w:kern w:val="2"/>
          <w:sz w:val="28"/>
          <w:szCs w:val="28"/>
          <w:highlight w:val="none"/>
          <w:lang w:eastAsia="zh-CN"/>
        </w:rPr>
        <w:t>、或其它设备中有可疑现象和紧急突发情况或其他需调度情况时，均能通过麦克风实现紧急语音广播，进行指挥现场处理工作。</w:t>
      </w:r>
    </w:p>
    <w:p w14:paraId="40F90070">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（2）对讲机寻呼对讲。站内工作人员中远距离间可通过对讲机进行寻呼对讲，满足工作通讯。</w:t>
      </w:r>
    </w:p>
    <w:p w14:paraId="4FFABE48">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45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653"/>
        <w:gridCol w:w="1203"/>
        <w:gridCol w:w="4966"/>
      </w:tblGrid>
      <w:tr w14:paraId="1F4D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pct"/>
            <w:noWrap/>
            <w:vAlign w:val="center"/>
          </w:tcPr>
          <w:p w14:paraId="70D4C445">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序号</w:t>
            </w:r>
          </w:p>
        </w:tc>
        <w:tc>
          <w:tcPr>
            <w:tcW w:w="948" w:type="pct"/>
            <w:noWrap/>
            <w:vAlign w:val="center"/>
          </w:tcPr>
          <w:p w14:paraId="5E6C643B">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名称</w:t>
            </w:r>
          </w:p>
        </w:tc>
        <w:tc>
          <w:tcPr>
            <w:tcW w:w="690" w:type="pct"/>
            <w:vAlign w:val="center"/>
          </w:tcPr>
          <w:p w14:paraId="45751EEF">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数量</w:t>
            </w:r>
          </w:p>
        </w:tc>
        <w:tc>
          <w:tcPr>
            <w:tcW w:w="2847" w:type="pct"/>
            <w:noWrap/>
            <w:vAlign w:val="center"/>
          </w:tcPr>
          <w:p w14:paraId="3A848FE4">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参数</w:t>
            </w:r>
          </w:p>
        </w:tc>
      </w:tr>
      <w:tr w14:paraId="0F23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pct"/>
            <w:noWrap/>
            <w:vAlign w:val="center"/>
          </w:tcPr>
          <w:p w14:paraId="01E2E1F0">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1</w:t>
            </w:r>
          </w:p>
        </w:tc>
        <w:tc>
          <w:tcPr>
            <w:tcW w:w="948" w:type="pct"/>
            <w:noWrap/>
            <w:vAlign w:val="center"/>
          </w:tcPr>
          <w:p w14:paraId="1B1D156A">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功率放大器</w:t>
            </w:r>
          </w:p>
        </w:tc>
        <w:tc>
          <w:tcPr>
            <w:tcW w:w="690" w:type="pct"/>
            <w:vAlign w:val="center"/>
          </w:tcPr>
          <w:p w14:paraId="6216E150">
            <w:pPr>
              <w:widowControl/>
              <w:kinsoku/>
              <w:autoSpaceDE/>
              <w:autoSpaceDN/>
              <w:adjustRightInd/>
              <w:snapToGrid/>
              <w:spacing w:line="240" w:lineRule="auto"/>
              <w:ind w:left="105" w:hanging="140" w:hangingChars="50"/>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1台</w:t>
            </w:r>
          </w:p>
        </w:tc>
        <w:tc>
          <w:tcPr>
            <w:tcW w:w="2847" w:type="pct"/>
            <w:noWrap/>
            <w:vAlign w:val="center"/>
          </w:tcPr>
          <w:p w14:paraId="25420776">
            <w:pPr>
              <w:widowControl/>
              <w:kinsoku/>
              <w:autoSpaceDE/>
              <w:autoSpaceDN/>
              <w:adjustRightInd/>
              <w:snapToGrid/>
              <w:spacing w:line="240" w:lineRule="auto"/>
              <w:ind w:left="105" w:hanging="140" w:hangingChars="50"/>
              <w:jc w:val="both"/>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定压定阻功放机，输出功率：≥180W</w:t>
            </w:r>
          </w:p>
        </w:tc>
      </w:tr>
      <w:tr w14:paraId="6918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pct"/>
            <w:noWrap/>
            <w:vAlign w:val="center"/>
          </w:tcPr>
          <w:p w14:paraId="0D01B9D9">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2</w:t>
            </w:r>
          </w:p>
        </w:tc>
        <w:tc>
          <w:tcPr>
            <w:tcW w:w="948" w:type="pct"/>
            <w:noWrap/>
            <w:vAlign w:val="center"/>
          </w:tcPr>
          <w:p w14:paraId="5E5BF312">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音柱</w:t>
            </w:r>
          </w:p>
        </w:tc>
        <w:tc>
          <w:tcPr>
            <w:tcW w:w="690" w:type="pct"/>
            <w:vAlign w:val="center"/>
          </w:tcPr>
          <w:p w14:paraId="563C4E46">
            <w:pPr>
              <w:widowControl/>
              <w:kinsoku/>
              <w:autoSpaceDE/>
              <w:autoSpaceDN/>
              <w:adjustRightInd/>
              <w:snapToGrid/>
              <w:spacing w:line="240" w:lineRule="auto"/>
              <w:ind w:left="105" w:hanging="140" w:hangingChars="50"/>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2件</w:t>
            </w:r>
          </w:p>
        </w:tc>
        <w:tc>
          <w:tcPr>
            <w:tcW w:w="2847" w:type="pct"/>
            <w:noWrap/>
            <w:vAlign w:val="center"/>
          </w:tcPr>
          <w:p w14:paraId="16BD6641">
            <w:pPr>
              <w:widowControl/>
              <w:kinsoku/>
              <w:autoSpaceDE/>
              <w:autoSpaceDN/>
              <w:adjustRightInd/>
              <w:snapToGrid/>
              <w:spacing w:line="240" w:lineRule="auto"/>
              <w:ind w:left="105" w:hanging="140" w:hangingChars="50"/>
              <w:jc w:val="both"/>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2"/>
                <w:sz w:val="28"/>
                <w:szCs w:val="28"/>
                <w:highlight w:val="none"/>
                <w:lang w:eastAsia="zh-CN"/>
              </w:rPr>
              <w:t>额定功率：≥60W</w:t>
            </w:r>
          </w:p>
        </w:tc>
      </w:tr>
      <w:tr w14:paraId="5FF3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pct"/>
            <w:noWrap/>
            <w:vAlign w:val="center"/>
          </w:tcPr>
          <w:p w14:paraId="506DBB86">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3</w:t>
            </w:r>
          </w:p>
        </w:tc>
        <w:tc>
          <w:tcPr>
            <w:tcW w:w="948" w:type="pct"/>
            <w:noWrap/>
            <w:vAlign w:val="center"/>
          </w:tcPr>
          <w:p w14:paraId="31F48230">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对讲机</w:t>
            </w:r>
          </w:p>
        </w:tc>
        <w:tc>
          <w:tcPr>
            <w:tcW w:w="690" w:type="pct"/>
            <w:vAlign w:val="center"/>
          </w:tcPr>
          <w:p w14:paraId="1EB1CBF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4台</w:t>
            </w:r>
          </w:p>
        </w:tc>
        <w:tc>
          <w:tcPr>
            <w:tcW w:w="2847" w:type="pct"/>
            <w:noWrap/>
            <w:vAlign w:val="center"/>
          </w:tcPr>
          <w:p w14:paraId="69D5EF4D">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频率范围：400-470MHz</w:t>
            </w:r>
          </w:p>
        </w:tc>
      </w:tr>
      <w:tr w14:paraId="5C79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pct"/>
            <w:noWrap/>
            <w:vAlign w:val="center"/>
          </w:tcPr>
          <w:p w14:paraId="3A41917B">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4</w:t>
            </w:r>
          </w:p>
        </w:tc>
        <w:tc>
          <w:tcPr>
            <w:tcW w:w="948" w:type="pct"/>
            <w:noWrap/>
            <w:vAlign w:val="center"/>
          </w:tcPr>
          <w:p w14:paraId="4636FCCC">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有线麦克风</w:t>
            </w:r>
          </w:p>
        </w:tc>
        <w:tc>
          <w:tcPr>
            <w:tcW w:w="690" w:type="pct"/>
            <w:vAlign w:val="center"/>
          </w:tcPr>
          <w:p w14:paraId="0CA25CE0">
            <w:pPr>
              <w:widowControl/>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1台</w:t>
            </w:r>
          </w:p>
        </w:tc>
        <w:tc>
          <w:tcPr>
            <w:tcW w:w="2847" w:type="pct"/>
            <w:noWrap/>
            <w:vAlign w:val="center"/>
          </w:tcPr>
          <w:p w14:paraId="6E24640E">
            <w:pPr>
              <w:widowControl/>
              <w:kinsoku/>
              <w:autoSpaceDE/>
              <w:autoSpaceDN/>
              <w:adjustRightInd/>
              <w:snapToGrid/>
              <w:spacing w:line="240" w:lineRule="auto"/>
              <w:jc w:val="both"/>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2"/>
                <w:sz w:val="28"/>
                <w:szCs w:val="28"/>
                <w:highlight w:val="none"/>
                <w:lang w:eastAsia="zh-CN"/>
              </w:rPr>
              <w:t>频率响应：60Hz-18KHz</w:t>
            </w:r>
          </w:p>
        </w:tc>
      </w:tr>
    </w:tbl>
    <w:p w14:paraId="4FD81174">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386107E1">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w:t>
      </w:r>
      <w:r>
        <w:rPr>
          <w:rFonts w:hint="eastAsia" w:ascii="宋体" w:hAnsi="宋体" w:eastAsia="宋体" w:cs="宋体"/>
          <w:b/>
          <w:bCs w:val="0"/>
          <w:snapToGrid/>
          <w:kern w:val="2"/>
          <w:sz w:val="32"/>
          <w:szCs w:val="32"/>
          <w:highlight w:val="none"/>
          <w:lang w:val="en-US" w:eastAsia="zh-CN"/>
        </w:rPr>
        <w:t>六</w:t>
      </w:r>
      <w:r>
        <w:rPr>
          <w:rFonts w:hint="eastAsia" w:ascii="宋体" w:hAnsi="宋体" w:eastAsia="宋体" w:cs="宋体"/>
          <w:b/>
          <w:bCs w:val="0"/>
          <w:snapToGrid/>
          <w:kern w:val="2"/>
          <w:sz w:val="32"/>
          <w:szCs w:val="32"/>
          <w:highlight w:val="none"/>
          <w:lang w:eastAsia="zh-CN"/>
        </w:rPr>
        <w:t>）大屏显示设备</w:t>
      </w:r>
    </w:p>
    <w:p w14:paraId="6E4D8122">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366532DD">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大屏显示设备主要应由彩色液晶显示器、硬盘录像机、硬盘等组成画面的集中显示。</w:t>
      </w:r>
    </w:p>
    <w:p w14:paraId="11418B8F">
      <w:pPr>
        <w:widowControl w:val="0"/>
        <w:numPr>
          <w:ilvl w:val="0"/>
          <w:numId w:val="2"/>
        </w:numPr>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参数要求</w:t>
      </w:r>
    </w:p>
    <w:tbl>
      <w:tblPr>
        <w:tblStyle w:val="19"/>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431"/>
        <w:gridCol w:w="1041"/>
        <w:gridCol w:w="2082"/>
        <w:gridCol w:w="2781"/>
      </w:tblGrid>
      <w:tr w14:paraId="0550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6" w:type="pct"/>
            <w:vAlign w:val="center"/>
          </w:tcPr>
          <w:p w14:paraId="49AC0C1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序号</w:t>
            </w:r>
          </w:p>
        </w:tc>
        <w:tc>
          <w:tcPr>
            <w:tcW w:w="1322" w:type="pct"/>
            <w:vAlign w:val="center"/>
          </w:tcPr>
          <w:p w14:paraId="5137149C">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设备名称</w:t>
            </w:r>
          </w:p>
        </w:tc>
        <w:tc>
          <w:tcPr>
            <w:tcW w:w="566" w:type="pct"/>
            <w:vAlign w:val="center"/>
          </w:tcPr>
          <w:p w14:paraId="75CFF467">
            <w:pPr>
              <w:widowControl w:val="0"/>
              <w:kinsoku/>
              <w:autoSpaceDE/>
              <w:autoSpaceDN/>
              <w:adjustRightInd/>
              <w:snapToGrid/>
              <w:spacing w:before="100" w:beforeAutospacing="1" w:after="100" w:afterAutospacing="1"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数量</w:t>
            </w:r>
          </w:p>
        </w:tc>
        <w:tc>
          <w:tcPr>
            <w:tcW w:w="2644" w:type="pct"/>
            <w:gridSpan w:val="2"/>
            <w:vAlign w:val="center"/>
          </w:tcPr>
          <w:p w14:paraId="7B9967B9">
            <w:pPr>
              <w:widowControl w:val="0"/>
              <w:kinsoku/>
              <w:autoSpaceDE/>
              <w:autoSpaceDN/>
              <w:adjustRightInd/>
              <w:snapToGrid/>
              <w:spacing w:before="100" w:beforeAutospacing="1" w:after="100" w:afterAutospacing="1"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参数要求</w:t>
            </w:r>
          </w:p>
        </w:tc>
      </w:tr>
      <w:tr w14:paraId="3B90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6" w:type="pct"/>
            <w:vMerge w:val="restart"/>
            <w:vAlign w:val="center"/>
          </w:tcPr>
          <w:p w14:paraId="212D624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1322" w:type="pct"/>
            <w:vMerge w:val="restart"/>
            <w:vAlign w:val="center"/>
          </w:tcPr>
          <w:p w14:paraId="4651CA68">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val="0"/>
                <w:kern w:val="28"/>
                <w:sz w:val="28"/>
                <w:szCs w:val="28"/>
                <w:highlight w:val="none"/>
                <w:lang w:eastAsia="zh-CN"/>
              </w:rPr>
              <w:t>彩色液晶显示器</w:t>
            </w:r>
          </w:p>
        </w:tc>
        <w:tc>
          <w:tcPr>
            <w:tcW w:w="566" w:type="pct"/>
            <w:vMerge w:val="restart"/>
            <w:vAlign w:val="center"/>
          </w:tcPr>
          <w:p w14:paraId="2057986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1个</w:t>
            </w:r>
          </w:p>
        </w:tc>
        <w:tc>
          <w:tcPr>
            <w:tcW w:w="1132" w:type="pct"/>
            <w:vAlign w:val="center"/>
          </w:tcPr>
          <w:p w14:paraId="3C3A3F0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屏幕尺寸</w:t>
            </w:r>
          </w:p>
        </w:tc>
        <w:tc>
          <w:tcPr>
            <w:tcW w:w="1511" w:type="pct"/>
            <w:vAlign w:val="center"/>
          </w:tcPr>
          <w:p w14:paraId="18D4C0F7">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≥65英寸</w:t>
            </w:r>
          </w:p>
        </w:tc>
      </w:tr>
      <w:tr w14:paraId="2DCA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6" w:type="pct"/>
            <w:vMerge w:val="continue"/>
            <w:vAlign w:val="center"/>
          </w:tcPr>
          <w:p w14:paraId="23F4207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322" w:type="pct"/>
            <w:vMerge w:val="continue"/>
            <w:vAlign w:val="center"/>
          </w:tcPr>
          <w:p w14:paraId="4747B073">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p>
        </w:tc>
        <w:tc>
          <w:tcPr>
            <w:tcW w:w="566" w:type="pct"/>
            <w:vMerge w:val="continue"/>
            <w:vAlign w:val="center"/>
          </w:tcPr>
          <w:p w14:paraId="4E6553E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132" w:type="pct"/>
            <w:vAlign w:val="center"/>
          </w:tcPr>
          <w:p w14:paraId="615AD427">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屏幕分辨率</w:t>
            </w:r>
          </w:p>
        </w:tc>
        <w:tc>
          <w:tcPr>
            <w:tcW w:w="1511" w:type="pct"/>
            <w:vAlign w:val="center"/>
          </w:tcPr>
          <w:p w14:paraId="54F6ED72">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≥1920*1080</w:t>
            </w:r>
          </w:p>
        </w:tc>
      </w:tr>
      <w:tr w14:paraId="61E9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6" w:type="pct"/>
            <w:vMerge w:val="restart"/>
            <w:vAlign w:val="center"/>
          </w:tcPr>
          <w:p w14:paraId="4561F5A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1322" w:type="pct"/>
            <w:vMerge w:val="restart"/>
            <w:vAlign w:val="center"/>
          </w:tcPr>
          <w:p w14:paraId="0AE42750">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硬盘</w:t>
            </w:r>
            <w:r>
              <w:rPr>
                <w:rFonts w:hint="eastAsia" w:ascii="宋体" w:hAnsi="宋体" w:eastAsia="宋体" w:cs="宋体"/>
                <w:b w:val="0"/>
                <w:bCs/>
                <w:snapToGrid/>
                <w:kern w:val="2"/>
                <w:sz w:val="28"/>
                <w:szCs w:val="28"/>
                <w:highlight w:val="none"/>
                <w:lang w:val="en-US" w:eastAsia="zh-CN"/>
              </w:rPr>
              <w:t>刻录</w:t>
            </w:r>
            <w:r>
              <w:rPr>
                <w:rFonts w:hint="eastAsia" w:ascii="宋体" w:hAnsi="宋体" w:eastAsia="宋体" w:cs="宋体"/>
                <w:b w:val="0"/>
                <w:bCs/>
                <w:snapToGrid/>
                <w:kern w:val="2"/>
                <w:sz w:val="28"/>
                <w:szCs w:val="28"/>
                <w:highlight w:val="none"/>
                <w:lang w:eastAsia="zh-CN"/>
              </w:rPr>
              <w:t>机</w:t>
            </w:r>
          </w:p>
        </w:tc>
        <w:tc>
          <w:tcPr>
            <w:tcW w:w="566" w:type="pct"/>
            <w:vMerge w:val="restart"/>
            <w:vAlign w:val="center"/>
          </w:tcPr>
          <w:p w14:paraId="1E8219B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1台</w:t>
            </w:r>
          </w:p>
        </w:tc>
        <w:tc>
          <w:tcPr>
            <w:tcW w:w="1132" w:type="pct"/>
            <w:vAlign w:val="center"/>
          </w:tcPr>
          <w:p w14:paraId="71FFA793">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网络视频输入</w:t>
            </w:r>
          </w:p>
        </w:tc>
        <w:tc>
          <w:tcPr>
            <w:tcW w:w="1511" w:type="pct"/>
            <w:vAlign w:val="center"/>
          </w:tcPr>
          <w:p w14:paraId="2CC8EFB3">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≥16路</w:t>
            </w:r>
          </w:p>
        </w:tc>
      </w:tr>
      <w:tr w14:paraId="0033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6" w:type="pct"/>
            <w:vMerge w:val="continue"/>
            <w:vAlign w:val="center"/>
          </w:tcPr>
          <w:p w14:paraId="3654E556">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322" w:type="pct"/>
            <w:vMerge w:val="continue"/>
            <w:vAlign w:val="center"/>
          </w:tcPr>
          <w:p w14:paraId="5C8B0D28">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p>
        </w:tc>
        <w:tc>
          <w:tcPr>
            <w:tcW w:w="566" w:type="pct"/>
            <w:vMerge w:val="continue"/>
            <w:vAlign w:val="center"/>
          </w:tcPr>
          <w:p w14:paraId="19153391">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p>
        </w:tc>
        <w:tc>
          <w:tcPr>
            <w:tcW w:w="1132" w:type="pct"/>
            <w:vAlign w:val="center"/>
          </w:tcPr>
          <w:p w14:paraId="4B61CFB1">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预览分割</w:t>
            </w:r>
          </w:p>
        </w:tc>
        <w:tc>
          <w:tcPr>
            <w:tcW w:w="1511" w:type="pct"/>
            <w:vAlign w:val="center"/>
          </w:tcPr>
          <w:p w14:paraId="0F284600">
            <w:pPr>
              <w:widowControl w:val="0"/>
              <w:kinsoku/>
              <w:autoSpaceDE/>
              <w:autoSpaceDN/>
              <w:adjustRightInd/>
              <w:snapToGrid/>
              <w:spacing w:line="380" w:lineRule="exact"/>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1/4/6/8/9/16画面</w:t>
            </w:r>
          </w:p>
        </w:tc>
      </w:tr>
      <w:tr w14:paraId="3575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6" w:type="pct"/>
            <w:vAlign w:val="center"/>
          </w:tcPr>
          <w:p w14:paraId="6010579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p>
        </w:tc>
        <w:tc>
          <w:tcPr>
            <w:tcW w:w="1322" w:type="pct"/>
            <w:vAlign w:val="center"/>
          </w:tcPr>
          <w:p w14:paraId="65337732">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硬盘</w:t>
            </w:r>
          </w:p>
        </w:tc>
        <w:tc>
          <w:tcPr>
            <w:tcW w:w="566" w:type="pct"/>
            <w:vAlign w:val="center"/>
          </w:tcPr>
          <w:p w14:paraId="063F05DE">
            <w:pPr>
              <w:widowControl w:val="0"/>
              <w:kinsoku/>
              <w:autoSpaceDE/>
              <w:autoSpaceDN/>
              <w:adjustRightInd/>
              <w:snapToGrid/>
              <w:spacing w:line="330" w:lineRule="atLeas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1片</w:t>
            </w:r>
          </w:p>
        </w:tc>
        <w:tc>
          <w:tcPr>
            <w:tcW w:w="1132" w:type="pct"/>
            <w:vAlign w:val="center"/>
          </w:tcPr>
          <w:p w14:paraId="2AA7F10A">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容量</w:t>
            </w:r>
          </w:p>
        </w:tc>
        <w:tc>
          <w:tcPr>
            <w:tcW w:w="1511" w:type="pct"/>
            <w:vAlign w:val="center"/>
          </w:tcPr>
          <w:p w14:paraId="3783BBB2">
            <w:pPr>
              <w:widowControl w:val="0"/>
              <w:kinsoku/>
              <w:autoSpaceDE/>
              <w:autoSpaceDN/>
              <w:adjustRightInd/>
              <w:snapToGrid/>
              <w:spacing w:line="380" w:lineRule="exact"/>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≥4T</w:t>
            </w:r>
          </w:p>
        </w:tc>
      </w:tr>
      <w:tr w14:paraId="1B84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6" w:type="pct"/>
            <w:vAlign w:val="center"/>
          </w:tcPr>
          <w:p w14:paraId="3069AD5D">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1322" w:type="pct"/>
            <w:vAlign w:val="center"/>
          </w:tcPr>
          <w:p w14:paraId="601FC4E4">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UPS应急电源</w:t>
            </w:r>
          </w:p>
        </w:tc>
        <w:tc>
          <w:tcPr>
            <w:tcW w:w="566" w:type="pct"/>
            <w:vAlign w:val="center"/>
          </w:tcPr>
          <w:p w14:paraId="0BD35D97">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1个</w:t>
            </w:r>
          </w:p>
        </w:tc>
        <w:tc>
          <w:tcPr>
            <w:tcW w:w="1132" w:type="pct"/>
            <w:vAlign w:val="center"/>
          </w:tcPr>
          <w:p w14:paraId="7944C549">
            <w:pPr>
              <w:widowControl w:val="0"/>
              <w:kinsoku/>
              <w:autoSpaceDE/>
              <w:autoSpaceDN/>
              <w:adjustRightInd/>
              <w:snapToGrid/>
              <w:spacing w:line="380" w:lineRule="exact"/>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额定容量</w:t>
            </w:r>
          </w:p>
        </w:tc>
        <w:tc>
          <w:tcPr>
            <w:tcW w:w="1511" w:type="pct"/>
            <w:vAlign w:val="center"/>
          </w:tcPr>
          <w:p w14:paraId="17302302">
            <w:pPr>
              <w:widowControl w:val="0"/>
              <w:kinsoku/>
              <w:autoSpaceDE/>
              <w:autoSpaceDN/>
              <w:adjustRightInd/>
              <w:snapToGrid/>
              <w:spacing w:line="380" w:lineRule="exact"/>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≥2400W</w:t>
            </w:r>
          </w:p>
        </w:tc>
      </w:tr>
    </w:tbl>
    <w:p w14:paraId="236AE65A">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38AE139B">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w:t>
      </w:r>
      <w:r>
        <w:rPr>
          <w:rFonts w:hint="eastAsia" w:ascii="宋体" w:hAnsi="宋体" w:eastAsia="宋体" w:cs="宋体"/>
          <w:b/>
          <w:bCs w:val="0"/>
          <w:snapToGrid/>
          <w:kern w:val="2"/>
          <w:sz w:val="32"/>
          <w:szCs w:val="32"/>
          <w:highlight w:val="none"/>
          <w:lang w:val="en-US" w:eastAsia="zh-CN"/>
        </w:rPr>
        <w:t>七</w:t>
      </w:r>
      <w:r>
        <w:rPr>
          <w:rFonts w:hint="eastAsia" w:ascii="宋体" w:hAnsi="宋体" w:eastAsia="宋体" w:cs="宋体"/>
          <w:b/>
          <w:bCs w:val="0"/>
          <w:snapToGrid/>
          <w:kern w:val="2"/>
          <w:sz w:val="32"/>
          <w:szCs w:val="32"/>
          <w:highlight w:val="none"/>
          <w:lang w:eastAsia="zh-CN"/>
        </w:rPr>
        <w:t>）料口喷淋降尘设备</w:t>
      </w:r>
    </w:p>
    <w:p w14:paraId="3862B96E">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6EC630F2">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料口喷淋降尘设备由水雾炮、输送管、输送泵及自动化控制设备组成。水雾炮架设在卸料位上空，通过雾化喷嘴喷出水雾滴，经风机的风力推送将微小颗粒均匀的喷洒在卸料位上空，附空气中的粉尘粒子，从而起到降尘的作用。</w:t>
      </w:r>
    </w:p>
    <w:p w14:paraId="1836CB15">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538FBBD4">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控制设备可根据实际情况，调整运行时间和运行间隔时间。</w:t>
      </w:r>
    </w:p>
    <w:p w14:paraId="5BD87643">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33"/>
        <w:gridCol w:w="5644"/>
      </w:tblGrid>
      <w:tr w14:paraId="1F34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shd w:val="clear" w:color="auto" w:fill="auto"/>
            <w:noWrap/>
            <w:vAlign w:val="center"/>
          </w:tcPr>
          <w:p w14:paraId="6CCD52B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设备名称</w:t>
            </w:r>
          </w:p>
        </w:tc>
        <w:tc>
          <w:tcPr>
            <w:tcW w:w="1159" w:type="pct"/>
            <w:shd w:val="clear" w:color="auto" w:fill="auto"/>
            <w:noWrap/>
            <w:vAlign w:val="center"/>
          </w:tcPr>
          <w:p w14:paraId="3FFF158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项目</w:t>
            </w:r>
          </w:p>
        </w:tc>
        <w:tc>
          <w:tcPr>
            <w:tcW w:w="3069" w:type="pct"/>
            <w:shd w:val="clear" w:color="auto" w:fill="auto"/>
            <w:vAlign w:val="center"/>
          </w:tcPr>
          <w:p w14:paraId="3AD2EAE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参数</w:t>
            </w:r>
          </w:p>
        </w:tc>
      </w:tr>
      <w:tr w14:paraId="19A2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restart"/>
            <w:shd w:val="clear" w:color="auto" w:fill="auto"/>
            <w:vAlign w:val="center"/>
          </w:tcPr>
          <w:p w14:paraId="49B31BE5">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控制设备</w:t>
            </w:r>
          </w:p>
        </w:tc>
        <w:tc>
          <w:tcPr>
            <w:tcW w:w="1159" w:type="pct"/>
            <w:shd w:val="clear" w:color="auto" w:fill="auto"/>
            <w:noWrap/>
            <w:vAlign w:val="center"/>
          </w:tcPr>
          <w:p w14:paraId="68DFA4B0">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控制方式</w:t>
            </w:r>
          </w:p>
        </w:tc>
        <w:tc>
          <w:tcPr>
            <w:tcW w:w="3069" w:type="pct"/>
            <w:shd w:val="clear" w:color="auto" w:fill="auto"/>
            <w:noWrap/>
            <w:vAlign w:val="center"/>
          </w:tcPr>
          <w:tbl>
            <w:tblPr>
              <w:tblStyle w:val="19"/>
              <w:tblW w:w="7500" w:type="dxa"/>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0"/>
            </w:tblGrid>
            <w:tr w14:paraId="26BB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7500"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14:paraId="2AA22725">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PLC可编程控制，运行稳定、逻辑清晰</w:t>
                  </w:r>
                </w:p>
              </w:tc>
            </w:tr>
          </w:tbl>
          <w:p w14:paraId="6B14E18C">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p>
        </w:tc>
      </w:tr>
      <w:tr w14:paraId="60A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6A158EBC">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6B79D28F">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高压电磁阀</w:t>
            </w:r>
          </w:p>
        </w:tc>
        <w:tc>
          <w:tcPr>
            <w:tcW w:w="3069" w:type="pct"/>
            <w:shd w:val="clear" w:color="auto" w:fill="auto"/>
            <w:noWrap/>
            <w:vAlign w:val="center"/>
          </w:tcPr>
          <w:tbl>
            <w:tblPr>
              <w:tblStyle w:val="19"/>
              <w:tblW w:w="7500" w:type="dxa"/>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0"/>
            </w:tblGrid>
            <w:tr w14:paraId="77D6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7500"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14:paraId="33F520CA">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常闭型，接口规格适配系统管路，动作灵敏</w:t>
                  </w:r>
                </w:p>
                <w:p w14:paraId="710A2385">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密封可靠</w:t>
                  </w:r>
                </w:p>
              </w:tc>
            </w:tr>
          </w:tbl>
          <w:p w14:paraId="6AA9ED76">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p>
        </w:tc>
      </w:tr>
      <w:tr w14:paraId="0116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restart"/>
            <w:shd w:val="clear" w:color="auto" w:fill="auto"/>
            <w:vAlign w:val="center"/>
          </w:tcPr>
          <w:p w14:paraId="47C51443">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输送泵</w:t>
            </w:r>
          </w:p>
        </w:tc>
        <w:tc>
          <w:tcPr>
            <w:tcW w:w="1159" w:type="pct"/>
            <w:shd w:val="clear" w:color="auto" w:fill="auto"/>
            <w:noWrap/>
            <w:vAlign w:val="center"/>
          </w:tcPr>
          <w:p w14:paraId="59D1427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功率(kW)</w:t>
            </w:r>
          </w:p>
        </w:tc>
        <w:tc>
          <w:tcPr>
            <w:tcW w:w="3069" w:type="pct"/>
            <w:shd w:val="clear" w:color="auto" w:fill="auto"/>
            <w:noWrap/>
            <w:vAlign w:val="center"/>
          </w:tcPr>
          <w:p w14:paraId="6C512F3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≥1.5</w:t>
            </w:r>
          </w:p>
        </w:tc>
      </w:tr>
      <w:tr w14:paraId="31C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13F5844A">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1328A1F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流量(L/min)</w:t>
            </w:r>
          </w:p>
        </w:tc>
        <w:tc>
          <w:tcPr>
            <w:tcW w:w="3069" w:type="pct"/>
            <w:shd w:val="clear" w:color="auto" w:fill="auto"/>
            <w:noWrap/>
            <w:vAlign w:val="center"/>
          </w:tcPr>
          <w:p w14:paraId="5DE709E8">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≥8</w:t>
            </w:r>
          </w:p>
        </w:tc>
      </w:tr>
      <w:tr w14:paraId="45BE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restart"/>
            <w:shd w:val="clear" w:color="auto" w:fill="auto"/>
            <w:noWrap/>
            <w:vAlign w:val="center"/>
          </w:tcPr>
          <w:p w14:paraId="14B8537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水雾炮</w:t>
            </w:r>
          </w:p>
        </w:tc>
        <w:tc>
          <w:tcPr>
            <w:tcW w:w="1159" w:type="pct"/>
            <w:shd w:val="clear" w:color="auto" w:fill="auto"/>
            <w:noWrap/>
            <w:vAlign w:val="center"/>
          </w:tcPr>
          <w:p w14:paraId="7DE04514">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风机风量(m</w:t>
            </w:r>
            <w:r>
              <w:rPr>
                <w:rFonts w:hint="eastAsia" w:ascii="宋体" w:hAnsi="宋体" w:eastAsia="宋体" w:cs="宋体"/>
                <w:b w:val="0"/>
                <w:bCs/>
                <w:snapToGrid/>
                <w:color w:val="000000"/>
                <w:kern w:val="0"/>
                <w:sz w:val="28"/>
                <w:szCs w:val="28"/>
                <w:highlight w:val="none"/>
                <w:vertAlign w:val="superscript"/>
                <w:lang w:eastAsia="zh-CN"/>
              </w:rPr>
              <w:t>3</w:t>
            </w:r>
            <w:r>
              <w:rPr>
                <w:rFonts w:hint="eastAsia" w:ascii="宋体" w:hAnsi="宋体" w:eastAsia="宋体" w:cs="宋体"/>
                <w:b w:val="0"/>
                <w:bCs/>
                <w:snapToGrid/>
                <w:color w:val="000000"/>
                <w:kern w:val="0"/>
                <w:sz w:val="28"/>
                <w:szCs w:val="28"/>
                <w:highlight w:val="none"/>
                <w:lang w:eastAsia="zh-CN"/>
              </w:rPr>
              <w:t>/h)</w:t>
            </w:r>
          </w:p>
        </w:tc>
        <w:tc>
          <w:tcPr>
            <w:tcW w:w="3069" w:type="pct"/>
            <w:shd w:val="clear" w:color="auto" w:fill="auto"/>
            <w:noWrap/>
            <w:vAlign w:val="center"/>
          </w:tcPr>
          <w:p w14:paraId="0C60C69A">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≥1000</w:t>
            </w:r>
          </w:p>
        </w:tc>
      </w:tr>
      <w:tr w14:paraId="5D91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1" w:type="pct"/>
            <w:vMerge w:val="continue"/>
            <w:shd w:val="clear" w:color="auto" w:fill="auto"/>
            <w:vAlign w:val="center"/>
          </w:tcPr>
          <w:p w14:paraId="593D6308">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57BC9E9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雾化半径(m)</w:t>
            </w:r>
          </w:p>
        </w:tc>
        <w:tc>
          <w:tcPr>
            <w:tcW w:w="3069" w:type="pct"/>
            <w:shd w:val="clear" w:color="auto" w:fill="auto"/>
            <w:noWrap/>
            <w:vAlign w:val="center"/>
          </w:tcPr>
          <w:p w14:paraId="67C29D71">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val="en-US" w:eastAsia="zh-CN"/>
              </w:rPr>
              <w:t>2.0-4.0（覆盖卸料位即可）</w:t>
            </w:r>
          </w:p>
        </w:tc>
      </w:tr>
      <w:tr w14:paraId="72A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1" w:type="pct"/>
            <w:vMerge w:val="continue"/>
            <w:shd w:val="clear" w:color="auto" w:fill="auto"/>
            <w:vAlign w:val="center"/>
          </w:tcPr>
          <w:p w14:paraId="38FF7199">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2B87F8C6">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喷嘴材质</w:t>
            </w:r>
          </w:p>
        </w:tc>
        <w:tc>
          <w:tcPr>
            <w:tcW w:w="3069" w:type="pct"/>
            <w:shd w:val="clear" w:color="auto" w:fill="auto"/>
            <w:noWrap/>
          </w:tcPr>
          <w:tbl>
            <w:tblPr>
              <w:tblStyle w:val="19"/>
              <w:tblW w:w="7500" w:type="dxa"/>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0"/>
            </w:tblGrid>
            <w:tr w14:paraId="37A3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7500"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14:paraId="647F82D2">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val="en-US" w:eastAsia="zh-CN"/>
                    </w:rPr>
                    <w:t>耐腐蚀、耐磨材质（如SUS304及以上）</w:t>
                  </w:r>
                </w:p>
              </w:tc>
            </w:tr>
          </w:tbl>
          <w:p w14:paraId="4214823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r>
      <w:tr w14:paraId="27DB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0D502ED2">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0A947C09">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水雾炮数量</w:t>
            </w:r>
          </w:p>
        </w:tc>
        <w:tc>
          <w:tcPr>
            <w:tcW w:w="3069" w:type="pct"/>
            <w:shd w:val="clear" w:color="auto" w:fill="auto"/>
            <w:noWrap/>
          </w:tcPr>
          <w:p w14:paraId="235634F2">
            <w:pPr>
              <w:widowControl w:val="0"/>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4个/卸料位</w:t>
            </w:r>
          </w:p>
        </w:tc>
      </w:tr>
      <w:tr w14:paraId="69C6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5779CDE0">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203DE703">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总功率（kW）</w:t>
            </w:r>
          </w:p>
        </w:tc>
        <w:tc>
          <w:tcPr>
            <w:tcW w:w="3069" w:type="pct"/>
            <w:shd w:val="clear" w:color="auto" w:fill="auto"/>
            <w:noWrap/>
          </w:tcPr>
          <w:p w14:paraId="27710536">
            <w:pPr>
              <w:widowControl w:val="0"/>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≥0.8</w:t>
            </w:r>
          </w:p>
        </w:tc>
      </w:tr>
      <w:tr w14:paraId="61FE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restart"/>
            <w:shd w:val="clear" w:color="auto" w:fill="auto"/>
            <w:noWrap/>
            <w:vAlign w:val="center"/>
          </w:tcPr>
          <w:p w14:paraId="66379AC3">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自动配药器</w:t>
            </w:r>
          </w:p>
        </w:tc>
        <w:tc>
          <w:tcPr>
            <w:tcW w:w="1159" w:type="pct"/>
            <w:shd w:val="clear" w:color="auto" w:fill="auto"/>
            <w:noWrap/>
            <w:vAlign w:val="center"/>
          </w:tcPr>
          <w:p w14:paraId="5F711ECA">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液箱规格(L)</w:t>
            </w:r>
          </w:p>
        </w:tc>
        <w:tc>
          <w:tcPr>
            <w:tcW w:w="3069" w:type="pct"/>
            <w:shd w:val="clear" w:color="auto" w:fill="auto"/>
            <w:noWrap/>
          </w:tcPr>
          <w:p w14:paraId="0E42A25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≥30</w:t>
            </w:r>
          </w:p>
        </w:tc>
      </w:tr>
      <w:tr w14:paraId="3019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292C893A">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63FF00C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液箱材质</w:t>
            </w:r>
          </w:p>
        </w:tc>
        <w:tc>
          <w:tcPr>
            <w:tcW w:w="3069" w:type="pct"/>
            <w:shd w:val="clear" w:color="auto" w:fill="auto"/>
            <w:noWrap/>
          </w:tcPr>
          <w:p w14:paraId="23292A5B">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耐腐蚀材质（如PP及以上）</w:t>
            </w:r>
          </w:p>
        </w:tc>
      </w:tr>
      <w:tr w14:paraId="55E1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4D301223">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305748C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进水过滤</w:t>
            </w:r>
          </w:p>
        </w:tc>
        <w:tc>
          <w:tcPr>
            <w:tcW w:w="3069" w:type="pct"/>
            <w:shd w:val="clear" w:color="auto" w:fill="auto"/>
            <w:noWrap/>
            <w:vAlign w:val="center"/>
          </w:tcPr>
          <w:p w14:paraId="56FFE515">
            <w:pPr>
              <w:keepNext w:val="0"/>
              <w:keepLines w:val="0"/>
              <w:widowControl/>
              <w:suppressLineNumbers w:val="0"/>
              <w:jc w:val="left"/>
              <w:rPr>
                <w:rFonts w:hint="eastAsia" w:ascii="宋体" w:hAnsi="宋体" w:eastAsia="宋体" w:cs="宋体"/>
                <w:b w:val="0"/>
                <w:bCs/>
                <w:snapToGrid/>
                <w:color w:val="000000"/>
                <w:kern w:val="0"/>
                <w:sz w:val="28"/>
                <w:szCs w:val="28"/>
                <w:highlight w:val="none"/>
                <w:lang w:eastAsia="zh-CN"/>
              </w:rPr>
            </w:pPr>
            <w:r>
              <w:rPr>
                <w:rFonts w:ascii="宋体" w:hAnsi="宋体" w:eastAsia="宋体" w:cs="宋体"/>
                <w:snapToGrid w:val="0"/>
                <w:color w:val="000000"/>
                <w:kern w:val="0"/>
                <w:sz w:val="24"/>
                <w:szCs w:val="24"/>
                <w:highlight w:val="none"/>
                <w:lang w:val="en-US" w:eastAsia="zh-CN" w:bidi="ar"/>
              </w:rPr>
              <w:t>三级及以上精滤，防止喷嘴堵塞</w:t>
            </w:r>
          </w:p>
        </w:tc>
      </w:tr>
      <w:tr w14:paraId="048D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73307DBE">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5DA0E25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过滤精度(μm)</w:t>
            </w:r>
          </w:p>
        </w:tc>
        <w:tc>
          <w:tcPr>
            <w:tcW w:w="3069" w:type="pct"/>
            <w:shd w:val="clear" w:color="auto" w:fill="auto"/>
            <w:noWrap/>
            <w:vAlign w:val="center"/>
          </w:tcPr>
          <w:p w14:paraId="20F90103">
            <w:pPr>
              <w:keepNext w:val="0"/>
              <w:keepLines w:val="0"/>
              <w:widowControl/>
              <w:suppressLineNumbers w:val="0"/>
              <w:jc w:val="left"/>
              <w:rPr>
                <w:rFonts w:hint="eastAsia" w:ascii="宋体" w:hAnsi="宋体" w:eastAsia="宋体" w:cs="宋体"/>
                <w:b w:val="0"/>
                <w:bCs/>
                <w:snapToGrid/>
                <w:color w:val="000000"/>
                <w:kern w:val="0"/>
                <w:sz w:val="28"/>
                <w:szCs w:val="28"/>
                <w:highlight w:val="none"/>
                <w:lang w:eastAsia="zh-CN"/>
              </w:rPr>
            </w:pPr>
            <w:r>
              <w:rPr>
                <w:rFonts w:ascii="宋体" w:hAnsi="宋体" w:eastAsia="宋体" w:cs="宋体"/>
                <w:snapToGrid w:val="0"/>
                <w:color w:val="000000"/>
                <w:kern w:val="0"/>
                <w:sz w:val="24"/>
                <w:szCs w:val="24"/>
                <w:highlight w:val="none"/>
                <w:lang w:val="en-US" w:eastAsia="zh-CN" w:bidi="ar"/>
              </w:rPr>
              <w:t>≤5（保障过滤效果</w:t>
            </w:r>
            <w:r>
              <w:rPr>
                <w:rFonts w:hint="eastAsia" w:ascii="宋体" w:hAnsi="宋体" w:eastAsia="宋体" w:cs="宋体"/>
                <w:snapToGrid w:val="0"/>
                <w:color w:val="000000"/>
                <w:kern w:val="0"/>
                <w:sz w:val="24"/>
                <w:szCs w:val="24"/>
                <w:highlight w:val="none"/>
                <w:lang w:val="en-US" w:eastAsia="zh-CN" w:bidi="ar"/>
              </w:rPr>
              <w:t>）</w:t>
            </w:r>
          </w:p>
        </w:tc>
      </w:tr>
      <w:tr w14:paraId="5D11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388CC5AB">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351346B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自动配药器</w:t>
            </w:r>
          </w:p>
        </w:tc>
        <w:tc>
          <w:tcPr>
            <w:tcW w:w="3069" w:type="pct"/>
            <w:shd w:val="clear" w:color="auto" w:fill="auto"/>
            <w:noWrap/>
            <w:vAlign w:val="center"/>
          </w:tcPr>
          <w:p w14:paraId="2A7386E1">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电驱动，比例可调</w:t>
            </w:r>
          </w:p>
        </w:tc>
      </w:tr>
      <w:tr w14:paraId="5501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1" w:type="pct"/>
            <w:vMerge w:val="continue"/>
            <w:shd w:val="clear" w:color="auto" w:fill="auto"/>
            <w:vAlign w:val="center"/>
          </w:tcPr>
          <w:p w14:paraId="0D533224">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6B8437DB">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液位控制</w:t>
            </w:r>
          </w:p>
        </w:tc>
        <w:tc>
          <w:tcPr>
            <w:tcW w:w="3069" w:type="pct"/>
            <w:shd w:val="clear" w:color="auto" w:fill="auto"/>
            <w:noWrap/>
            <w:vAlign w:val="center"/>
          </w:tcPr>
          <w:p w14:paraId="7D684F70">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液位计自动控制，具备液位报警功能（如电极式及以上）</w:t>
            </w:r>
          </w:p>
        </w:tc>
      </w:tr>
      <w:tr w14:paraId="4295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71" w:type="pct"/>
            <w:vMerge w:val="continue"/>
            <w:shd w:val="clear" w:color="auto" w:fill="auto"/>
            <w:vAlign w:val="center"/>
          </w:tcPr>
          <w:p w14:paraId="5CDC47BA">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1159" w:type="pct"/>
            <w:shd w:val="clear" w:color="auto" w:fill="auto"/>
            <w:noWrap/>
            <w:vAlign w:val="center"/>
          </w:tcPr>
          <w:p w14:paraId="3847444F">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药剂配比范围</w:t>
            </w:r>
          </w:p>
        </w:tc>
        <w:tc>
          <w:tcPr>
            <w:tcW w:w="3069" w:type="pct"/>
            <w:shd w:val="clear" w:color="auto" w:fill="auto"/>
            <w:noWrap/>
            <w:vAlign w:val="center"/>
          </w:tcPr>
          <w:p w14:paraId="388C0DEB">
            <w:pPr>
              <w:widowControl/>
              <w:kinsoku/>
              <w:autoSpaceDE/>
              <w:autoSpaceDN/>
              <w:adjustRightInd/>
              <w:snapToGrid/>
              <w:spacing w:line="240" w:lineRule="auto"/>
              <w:jc w:val="both"/>
              <w:textAlignment w:val="auto"/>
              <w:rPr>
                <w:rFonts w:hint="eastAsia"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kern w:val="0"/>
                <w:sz w:val="28"/>
                <w:szCs w:val="28"/>
                <w:highlight w:val="none"/>
                <w:lang w:val="en-US" w:eastAsia="zh-CN"/>
              </w:rPr>
              <w:t>1：1-100（可根据实际需求调节）</w:t>
            </w:r>
          </w:p>
        </w:tc>
      </w:tr>
    </w:tbl>
    <w:p w14:paraId="6AC8C8E2">
      <w:pPr>
        <w:rPr>
          <w:rFonts w:hint="eastAsia" w:ascii="宋体" w:hAnsi="宋体" w:eastAsia="宋体" w:cs="宋体"/>
          <w:b/>
          <w:bCs w:val="0"/>
          <w:snapToGrid/>
          <w:kern w:val="2"/>
          <w:sz w:val="28"/>
          <w:szCs w:val="28"/>
          <w:highlight w:val="none"/>
          <w:lang w:eastAsia="zh-CN"/>
        </w:rPr>
      </w:pPr>
      <w:r>
        <w:rPr>
          <w:rFonts w:hint="eastAsia" w:ascii="宋体" w:hAnsi="宋体" w:eastAsia="宋体" w:cs="宋体"/>
          <w:b/>
          <w:bCs w:val="0"/>
          <w:snapToGrid/>
          <w:kern w:val="2"/>
          <w:sz w:val="28"/>
          <w:szCs w:val="28"/>
          <w:highlight w:val="none"/>
          <w:lang w:eastAsia="zh-CN"/>
        </w:rPr>
        <w:br w:type="page"/>
      </w:r>
    </w:p>
    <w:p w14:paraId="64712F7B">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28"/>
          <w:szCs w:val="28"/>
          <w:highlight w:val="none"/>
          <w:lang w:eastAsia="zh-CN"/>
        </w:rPr>
      </w:pPr>
      <w:r>
        <w:rPr>
          <w:rFonts w:hint="eastAsia" w:ascii="宋体" w:hAnsi="宋体" w:eastAsia="宋体" w:cs="宋体"/>
          <w:b/>
          <w:bCs w:val="0"/>
          <w:snapToGrid/>
          <w:kern w:val="2"/>
          <w:sz w:val="28"/>
          <w:szCs w:val="28"/>
          <w:highlight w:val="none"/>
          <w:lang w:eastAsia="zh-CN"/>
        </w:rPr>
        <w:t>（</w:t>
      </w:r>
      <w:r>
        <w:rPr>
          <w:rFonts w:hint="eastAsia" w:ascii="宋体" w:hAnsi="宋体" w:eastAsia="宋体" w:cs="宋体"/>
          <w:b/>
          <w:bCs w:val="0"/>
          <w:snapToGrid/>
          <w:kern w:val="2"/>
          <w:sz w:val="28"/>
          <w:szCs w:val="28"/>
          <w:highlight w:val="none"/>
          <w:lang w:val="en-US" w:eastAsia="zh-CN"/>
        </w:rPr>
        <w:t>八</w:t>
      </w:r>
      <w:r>
        <w:rPr>
          <w:rFonts w:hint="eastAsia" w:ascii="宋体" w:hAnsi="宋体" w:eastAsia="宋体" w:cs="宋体"/>
          <w:b/>
          <w:bCs w:val="0"/>
          <w:snapToGrid/>
          <w:kern w:val="2"/>
          <w:sz w:val="28"/>
          <w:szCs w:val="28"/>
          <w:highlight w:val="none"/>
          <w:lang w:eastAsia="zh-CN"/>
        </w:rPr>
        <w:t>）植物液喷雾除臭设备</w:t>
      </w:r>
    </w:p>
    <w:p w14:paraId="4A4BDF7D">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439555FE">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植物液喷雾除臭设备应由控制设备、供液设备、雾化设备等组成。通过控制设备自动将除臭药剂配比稀释，再经过高压泵将药剂通过雾化喷头以微雾的形式喷洒到空中及地面，与空间的臭气分子充分接触和反应，将臭气分子分解，从而减少空间异味。</w:t>
      </w:r>
    </w:p>
    <w:p w14:paraId="75B6E533">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651780F4">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（1）应采用PLC控制，全自动操作，无需专人值守。</w:t>
      </w:r>
    </w:p>
    <w:p w14:paraId="764309A5">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（2）应采用电磁阀将管路分多路控制，每路可以同时运行，也可以单独运行。</w:t>
      </w:r>
    </w:p>
    <w:p w14:paraId="69BCC709">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859"/>
        <w:gridCol w:w="4655"/>
      </w:tblGrid>
      <w:tr w14:paraId="62FA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92" w:type="pct"/>
            <w:tcBorders>
              <w:top w:val="single" w:color="auto" w:sz="4" w:space="0"/>
              <w:left w:val="single" w:color="auto" w:sz="4" w:space="0"/>
              <w:bottom w:val="single" w:color="auto" w:sz="4" w:space="0"/>
              <w:right w:val="single" w:color="auto" w:sz="4" w:space="0"/>
            </w:tcBorders>
            <w:noWrap/>
            <w:vAlign w:val="center"/>
          </w:tcPr>
          <w:p w14:paraId="6292D511">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设备名称</w:t>
            </w:r>
          </w:p>
        </w:tc>
        <w:tc>
          <w:tcPr>
            <w:tcW w:w="1486" w:type="pct"/>
            <w:tcBorders>
              <w:top w:val="single" w:color="auto" w:sz="4" w:space="0"/>
              <w:left w:val="single" w:color="auto" w:sz="4" w:space="0"/>
              <w:bottom w:val="single" w:color="auto" w:sz="4" w:space="0"/>
              <w:right w:val="single" w:color="auto" w:sz="4" w:space="0"/>
            </w:tcBorders>
            <w:noWrap/>
            <w:vAlign w:val="center"/>
          </w:tcPr>
          <w:p w14:paraId="31FB7BA4">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项目</w:t>
            </w:r>
          </w:p>
        </w:tc>
        <w:tc>
          <w:tcPr>
            <w:tcW w:w="2420" w:type="pct"/>
            <w:tcBorders>
              <w:top w:val="single" w:color="auto" w:sz="4" w:space="0"/>
              <w:left w:val="single" w:color="auto" w:sz="4" w:space="0"/>
              <w:bottom w:val="single" w:color="auto" w:sz="4" w:space="0"/>
              <w:right w:val="single" w:color="auto" w:sz="4" w:space="0"/>
            </w:tcBorders>
            <w:noWrap/>
            <w:vAlign w:val="center"/>
          </w:tcPr>
          <w:p w14:paraId="2A0FEAC8">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参数</w:t>
            </w:r>
          </w:p>
        </w:tc>
      </w:tr>
      <w:tr w14:paraId="4405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restart"/>
            <w:tcBorders>
              <w:top w:val="single" w:color="auto" w:sz="4" w:space="0"/>
              <w:left w:val="single" w:color="auto" w:sz="4" w:space="0"/>
              <w:bottom w:val="single" w:color="auto" w:sz="4" w:space="0"/>
              <w:right w:val="single" w:color="auto" w:sz="4" w:space="0"/>
            </w:tcBorders>
            <w:noWrap/>
            <w:vAlign w:val="center"/>
          </w:tcPr>
          <w:p w14:paraId="65A071AA">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雾化喷嘴</w:t>
            </w:r>
          </w:p>
        </w:tc>
        <w:tc>
          <w:tcPr>
            <w:tcW w:w="1486" w:type="pct"/>
            <w:tcBorders>
              <w:top w:val="single" w:color="auto" w:sz="4" w:space="0"/>
              <w:left w:val="single" w:color="auto" w:sz="4" w:space="0"/>
              <w:bottom w:val="single" w:color="auto" w:sz="4" w:space="0"/>
              <w:right w:val="single" w:color="auto" w:sz="4" w:space="0"/>
            </w:tcBorders>
            <w:noWrap/>
            <w:vAlign w:val="center"/>
          </w:tcPr>
          <w:p w14:paraId="07A40A01">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流量(L/min)</w:t>
            </w:r>
          </w:p>
        </w:tc>
        <w:tc>
          <w:tcPr>
            <w:tcW w:w="2420" w:type="pct"/>
            <w:tcBorders>
              <w:top w:val="single" w:color="auto" w:sz="4" w:space="0"/>
              <w:left w:val="single" w:color="auto" w:sz="4" w:space="0"/>
              <w:bottom w:val="single" w:color="auto" w:sz="4" w:space="0"/>
              <w:right w:val="single" w:color="auto" w:sz="4" w:space="0"/>
            </w:tcBorders>
            <w:noWrap/>
            <w:vAlign w:val="center"/>
          </w:tcPr>
          <w:p w14:paraId="5068BEE5">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0.03-0.04</w:t>
            </w:r>
          </w:p>
        </w:tc>
      </w:tr>
      <w:tr w14:paraId="4A4C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top w:val="single" w:color="auto" w:sz="4" w:space="0"/>
              <w:left w:val="single" w:color="auto" w:sz="4" w:space="0"/>
              <w:bottom w:val="single" w:color="auto" w:sz="4" w:space="0"/>
              <w:right w:val="single" w:color="auto" w:sz="4" w:space="0"/>
            </w:tcBorders>
            <w:vAlign w:val="center"/>
          </w:tcPr>
          <w:p w14:paraId="1AACC7F9">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34B15674">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雾化半径(mm)</w:t>
            </w:r>
          </w:p>
        </w:tc>
        <w:tc>
          <w:tcPr>
            <w:tcW w:w="2420" w:type="pct"/>
            <w:tcBorders>
              <w:top w:val="single" w:color="auto" w:sz="4" w:space="0"/>
              <w:left w:val="single" w:color="auto" w:sz="4" w:space="0"/>
              <w:bottom w:val="single" w:color="auto" w:sz="4" w:space="0"/>
              <w:right w:val="single" w:color="auto" w:sz="4" w:space="0"/>
            </w:tcBorders>
            <w:noWrap/>
            <w:vAlign w:val="center"/>
          </w:tcPr>
          <w:p w14:paraId="5CF06E92">
            <w:pPr>
              <w:widowControl/>
              <w:kinsoku/>
              <w:autoSpaceDE/>
              <w:autoSpaceDN/>
              <w:adjustRightInd/>
              <w:snapToGrid/>
              <w:spacing w:line="240" w:lineRule="auto"/>
              <w:jc w:val="center"/>
              <w:textAlignment w:val="auto"/>
              <w:rPr>
                <w:rFonts w:hint="default"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themeColor="text1"/>
                <w:kern w:val="0"/>
                <w:sz w:val="28"/>
                <w:szCs w:val="28"/>
                <w:highlight w:val="none"/>
                <w:lang w:eastAsia="zh-CN"/>
                <w14:textFill>
                  <w14:solidFill>
                    <w14:schemeClr w14:val="tx1"/>
                  </w14:solidFill>
                </w14:textFill>
              </w:rPr>
              <w:t>≥1500</w:t>
            </w:r>
            <w:r>
              <w:rPr>
                <w:rFonts w:hint="eastAsia" w:ascii="宋体" w:hAnsi="宋体" w:eastAsia="宋体" w:cs="宋体"/>
                <w:b w:val="0"/>
                <w:bCs/>
                <w:snapToGrid/>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val="0"/>
                <w:bCs/>
                <w:snapToGrid/>
                <w:color w:val="FF0000"/>
                <w:kern w:val="0"/>
                <w:sz w:val="28"/>
                <w:szCs w:val="28"/>
                <w:highlight w:val="none"/>
                <w:lang w:val="en-US" w:eastAsia="zh-CN"/>
              </w:rPr>
              <w:t xml:space="preserve">  </w:t>
            </w:r>
          </w:p>
        </w:tc>
      </w:tr>
      <w:tr w14:paraId="2630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top w:val="single" w:color="auto" w:sz="4" w:space="0"/>
              <w:left w:val="single" w:color="auto" w:sz="4" w:space="0"/>
              <w:bottom w:val="single" w:color="auto" w:sz="4" w:space="0"/>
              <w:right w:val="single" w:color="auto" w:sz="4" w:space="0"/>
            </w:tcBorders>
            <w:vAlign w:val="center"/>
          </w:tcPr>
          <w:p w14:paraId="324F4ECE">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28AAD48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喷淋方式</w:t>
            </w:r>
          </w:p>
        </w:tc>
        <w:tc>
          <w:tcPr>
            <w:tcW w:w="2420" w:type="pct"/>
            <w:tcBorders>
              <w:top w:val="single" w:color="auto" w:sz="4" w:space="0"/>
              <w:left w:val="single" w:color="auto" w:sz="4" w:space="0"/>
              <w:bottom w:val="single" w:color="auto" w:sz="4" w:space="0"/>
              <w:right w:val="single" w:color="auto" w:sz="4" w:space="0"/>
            </w:tcBorders>
            <w:noWrap/>
            <w:vAlign w:val="center"/>
          </w:tcPr>
          <w:p w14:paraId="58F71B9B">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高压雾化（撞击式 / 旋芯式，纯水压雾化，无需气助）</w:t>
            </w:r>
          </w:p>
        </w:tc>
      </w:tr>
      <w:tr w14:paraId="4A4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top w:val="single" w:color="auto" w:sz="4" w:space="0"/>
              <w:left w:val="single" w:color="auto" w:sz="4" w:space="0"/>
              <w:bottom w:val="single" w:color="auto" w:sz="4" w:space="0"/>
              <w:right w:val="single" w:color="auto" w:sz="4" w:space="0"/>
            </w:tcBorders>
            <w:vAlign w:val="center"/>
          </w:tcPr>
          <w:p w14:paraId="24A49FCE">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0A880848">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2"/>
                <w:sz w:val="28"/>
                <w:szCs w:val="28"/>
                <w:highlight w:val="none"/>
                <w:lang w:eastAsia="zh-CN"/>
              </w:rPr>
              <w:t>★</w:t>
            </w:r>
            <w:r>
              <w:rPr>
                <w:rFonts w:hint="eastAsia" w:ascii="宋体" w:hAnsi="宋体" w:eastAsia="宋体" w:cs="宋体"/>
                <w:b w:val="0"/>
                <w:bCs/>
                <w:snapToGrid/>
                <w:color w:val="000000"/>
                <w:kern w:val="0"/>
                <w:sz w:val="28"/>
                <w:szCs w:val="28"/>
                <w:highlight w:val="none"/>
                <w:lang w:eastAsia="zh-CN"/>
              </w:rPr>
              <w:t>喷嘴数量（个）</w:t>
            </w:r>
          </w:p>
        </w:tc>
        <w:tc>
          <w:tcPr>
            <w:tcW w:w="2420" w:type="pct"/>
            <w:tcBorders>
              <w:top w:val="single" w:color="auto" w:sz="4" w:space="0"/>
              <w:left w:val="single" w:color="auto" w:sz="4" w:space="0"/>
              <w:bottom w:val="single" w:color="auto" w:sz="4" w:space="0"/>
              <w:right w:val="single" w:color="auto" w:sz="4" w:space="0"/>
            </w:tcBorders>
            <w:noWrap/>
            <w:vAlign w:val="center"/>
          </w:tcPr>
          <w:p w14:paraId="3CAF2F98">
            <w:pPr>
              <w:widowControl/>
              <w:kinsoku/>
              <w:autoSpaceDE/>
              <w:autoSpaceDN/>
              <w:adjustRightInd/>
              <w:snapToGrid/>
              <w:spacing w:line="240" w:lineRule="auto"/>
              <w:jc w:val="center"/>
              <w:textAlignment w:val="auto"/>
              <w:rPr>
                <w:rFonts w:hint="default"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color w:val="000000" w:themeColor="text1"/>
                <w:kern w:val="0"/>
                <w:sz w:val="28"/>
                <w:szCs w:val="28"/>
                <w:highlight w:val="none"/>
                <w:lang w:eastAsia="zh-CN"/>
                <w14:textFill>
                  <w14:solidFill>
                    <w14:schemeClr w14:val="tx1"/>
                  </w14:solidFill>
                </w14:textFill>
              </w:rPr>
              <w:t>≥120</w:t>
            </w:r>
            <w:r>
              <w:rPr>
                <w:rFonts w:hint="eastAsia" w:ascii="宋体" w:hAnsi="宋体" w:eastAsia="宋体" w:cs="宋体"/>
                <w:b w:val="0"/>
                <w:bCs/>
                <w:snapToGrid/>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val="0"/>
                <w:bCs/>
                <w:snapToGrid/>
                <w:color w:val="000000"/>
                <w:kern w:val="0"/>
                <w:sz w:val="28"/>
                <w:szCs w:val="28"/>
                <w:highlight w:val="none"/>
                <w:lang w:val="en-US" w:eastAsia="zh-CN"/>
              </w:rPr>
              <w:t xml:space="preserve"> </w:t>
            </w:r>
          </w:p>
        </w:tc>
      </w:tr>
      <w:tr w14:paraId="0D94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top w:val="single" w:color="auto" w:sz="4" w:space="0"/>
              <w:left w:val="single" w:color="auto" w:sz="4" w:space="0"/>
              <w:bottom w:val="single" w:color="auto" w:sz="4" w:space="0"/>
              <w:right w:val="single" w:color="auto" w:sz="4" w:space="0"/>
            </w:tcBorders>
            <w:vAlign w:val="center"/>
          </w:tcPr>
          <w:p w14:paraId="70D67453">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7A6ECC25">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喷嘴材质</w:t>
            </w:r>
          </w:p>
        </w:tc>
        <w:tc>
          <w:tcPr>
            <w:tcW w:w="2420" w:type="pct"/>
            <w:tcBorders>
              <w:top w:val="single" w:color="auto" w:sz="4" w:space="0"/>
              <w:left w:val="single" w:color="auto" w:sz="4" w:space="0"/>
              <w:bottom w:val="single" w:color="auto" w:sz="4" w:space="0"/>
              <w:right w:val="single" w:color="auto" w:sz="4" w:space="0"/>
            </w:tcBorders>
            <w:noWrap/>
            <w:vAlign w:val="center"/>
          </w:tcPr>
          <w:p w14:paraId="4E1E94D4">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SUS304 不锈钢（304 不锈钢，耐腐蚀防堵）</w:t>
            </w:r>
          </w:p>
        </w:tc>
      </w:tr>
      <w:tr w14:paraId="0187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restart"/>
            <w:tcBorders>
              <w:top w:val="single" w:color="auto" w:sz="4" w:space="0"/>
              <w:left w:val="single" w:color="auto" w:sz="4" w:space="0"/>
              <w:right w:val="single" w:color="auto" w:sz="4" w:space="0"/>
            </w:tcBorders>
            <w:noWrap/>
            <w:vAlign w:val="center"/>
          </w:tcPr>
          <w:p w14:paraId="01BBAF2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雾化泵</w:t>
            </w:r>
          </w:p>
        </w:tc>
        <w:tc>
          <w:tcPr>
            <w:tcW w:w="1486" w:type="pct"/>
            <w:tcBorders>
              <w:top w:val="single" w:color="auto" w:sz="4" w:space="0"/>
              <w:left w:val="single" w:color="auto" w:sz="4" w:space="0"/>
              <w:bottom w:val="single" w:color="auto" w:sz="4" w:space="0"/>
              <w:right w:val="single" w:color="auto" w:sz="4" w:space="0"/>
            </w:tcBorders>
            <w:noWrap/>
            <w:vAlign w:val="center"/>
          </w:tcPr>
          <w:p w14:paraId="50DC0B9C">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流量（L/min）</w:t>
            </w:r>
          </w:p>
        </w:tc>
        <w:tc>
          <w:tcPr>
            <w:tcW w:w="2420" w:type="pct"/>
            <w:tcBorders>
              <w:top w:val="single" w:color="auto" w:sz="4" w:space="0"/>
              <w:left w:val="single" w:color="auto" w:sz="4" w:space="0"/>
              <w:bottom w:val="single" w:color="auto" w:sz="4" w:space="0"/>
              <w:right w:val="single" w:color="auto" w:sz="4" w:space="0"/>
            </w:tcBorders>
            <w:noWrap/>
            <w:vAlign w:val="center"/>
          </w:tcPr>
          <w:p w14:paraId="19796874">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≥4</w:t>
            </w:r>
          </w:p>
        </w:tc>
      </w:tr>
      <w:tr w14:paraId="5CBD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left w:val="single" w:color="auto" w:sz="4" w:space="0"/>
              <w:right w:val="single" w:color="auto" w:sz="4" w:space="0"/>
            </w:tcBorders>
            <w:vAlign w:val="center"/>
          </w:tcPr>
          <w:p w14:paraId="33BC2E8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3ED332E4">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2"/>
                <w:sz w:val="28"/>
                <w:szCs w:val="28"/>
                <w:highlight w:val="none"/>
                <w:lang w:eastAsia="zh-CN"/>
              </w:rPr>
              <w:t>★</w:t>
            </w:r>
            <w:r>
              <w:rPr>
                <w:rFonts w:hint="eastAsia" w:ascii="宋体" w:hAnsi="宋体" w:eastAsia="宋体" w:cs="宋体"/>
                <w:b w:val="0"/>
                <w:bCs/>
                <w:snapToGrid/>
                <w:color w:val="000000"/>
                <w:kern w:val="0"/>
                <w:sz w:val="28"/>
                <w:szCs w:val="28"/>
                <w:highlight w:val="none"/>
                <w:lang w:eastAsia="zh-CN"/>
              </w:rPr>
              <w:t>功率（kW）</w:t>
            </w:r>
          </w:p>
        </w:tc>
        <w:tc>
          <w:tcPr>
            <w:tcW w:w="2420" w:type="pct"/>
            <w:tcBorders>
              <w:top w:val="single" w:color="auto" w:sz="4" w:space="0"/>
              <w:left w:val="single" w:color="auto" w:sz="4" w:space="0"/>
              <w:bottom w:val="single" w:color="auto" w:sz="4" w:space="0"/>
              <w:right w:val="single" w:color="auto" w:sz="4" w:space="0"/>
            </w:tcBorders>
            <w:noWrap/>
            <w:vAlign w:val="center"/>
          </w:tcPr>
          <w:p w14:paraId="575E014B">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w:t>
            </w:r>
            <w:r>
              <w:rPr>
                <w:rFonts w:hint="eastAsia" w:ascii="宋体" w:hAnsi="宋体" w:eastAsia="宋体" w:cs="宋体"/>
                <w:b w:val="0"/>
                <w:bCs/>
                <w:snapToGrid/>
                <w:color w:val="000000"/>
                <w:kern w:val="0"/>
                <w:sz w:val="28"/>
                <w:szCs w:val="28"/>
                <w:highlight w:val="none"/>
                <w:lang w:val="en-US" w:eastAsia="zh-CN"/>
              </w:rPr>
              <w:t xml:space="preserve">2.5  </w:t>
            </w:r>
          </w:p>
        </w:tc>
      </w:tr>
      <w:tr w14:paraId="3085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left w:val="single" w:color="auto" w:sz="4" w:space="0"/>
              <w:bottom w:val="single" w:color="auto" w:sz="4" w:space="0"/>
              <w:right w:val="single" w:color="auto" w:sz="4" w:space="0"/>
            </w:tcBorders>
            <w:vAlign w:val="center"/>
          </w:tcPr>
          <w:p w14:paraId="50438E9B">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3A70438B">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ascii="宋体" w:hAnsi="宋体" w:eastAsia="宋体" w:cs="宋体"/>
                <w:sz w:val="24"/>
                <w:szCs w:val="24"/>
                <w:highlight w:val="none"/>
              </w:rPr>
              <w:t>工作压力</w:t>
            </w:r>
          </w:p>
        </w:tc>
        <w:tc>
          <w:tcPr>
            <w:tcW w:w="2420" w:type="pct"/>
            <w:tcBorders>
              <w:top w:val="single" w:color="auto" w:sz="4" w:space="0"/>
              <w:left w:val="single" w:color="auto" w:sz="4" w:space="0"/>
              <w:bottom w:val="single" w:color="auto" w:sz="4" w:space="0"/>
              <w:right w:val="single" w:color="auto" w:sz="4" w:space="0"/>
            </w:tcBorders>
            <w:noWrap/>
            <w:vAlign w:val="center"/>
          </w:tcPr>
          <w:p w14:paraId="678A61CF">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70–100bar</w:t>
            </w:r>
          </w:p>
        </w:tc>
      </w:tr>
      <w:tr w14:paraId="7843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restart"/>
            <w:tcBorders>
              <w:top w:val="single" w:color="auto" w:sz="4" w:space="0"/>
              <w:left w:val="single" w:color="auto" w:sz="4" w:space="0"/>
              <w:right w:val="single" w:color="auto" w:sz="4" w:space="0"/>
            </w:tcBorders>
            <w:vAlign w:val="center"/>
          </w:tcPr>
          <w:p w14:paraId="755AC2F0">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进水过滤</w:t>
            </w:r>
          </w:p>
        </w:tc>
        <w:tc>
          <w:tcPr>
            <w:tcW w:w="1486" w:type="pct"/>
            <w:tcBorders>
              <w:top w:val="single" w:color="auto" w:sz="4" w:space="0"/>
              <w:left w:val="single" w:color="auto" w:sz="4" w:space="0"/>
              <w:bottom w:val="single" w:color="auto" w:sz="4" w:space="0"/>
              <w:right w:val="single" w:color="auto" w:sz="4" w:space="0"/>
            </w:tcBorders>
            <w:noWrap/>
            <w:vAlign w:val="center"/>
          </w:tcPr>
          <w:p w14:paraId="7AC6C313">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过滤等级</w:t>
            </w:r>
          </w:p>
        </w:tc>
        <w:tc>
          <w:tcPr>
            <w:tcW w:w="2420" w:type="pct"/>
            <w:tcBorders>
              <w:top w:val="single" w:color="auto" w:sz="4" w:space="0"/>
              <w:left w:val="single" w:color="auto" w:sz="4" w:space="0"/>
              <w:bottom w:val="single" w:color="auto" w:sz="4" w:space="0"/>
              <w:right w:val="single" w:color="auto" w:sz="4" w:space="0"/>
            </w:tcBorders>
            <w:noWrap/>
            <w:vAlign w:val="center"/>
          </w:tcPr>
          <w:p w14:paraId="238E2020">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三级精滤</w:t>
            </w:r>
          </w:p>
        </w:tc>
      </w:tr>
      <w:tr w14:paraId="073B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left w:val="single" w:color="auto" w:sz="4" w:space="0"/>
              <w:bottom w:val="single" w:color="auto" w:sz="4" w:space="0"/>
              <w:right w:val="single" w:color="auto" w:sz="4" w:space="0"/>
            </w:tcBorders>
            <w:vAlign w:val="center"/>
          </w:tcPr>
          <w:p w14:paraId="66CDE409">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14DFA07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过滤精度（μm）</w:t>
            </w:r>
          </w:p>
        </w:tc>
        <w:tc>
          <w:tcPr>
            <w:tcW w:w="2420" w:type="pct"/>
            <w:tcBorders>
              <w:top w:val="single" w:color="auto" w:sz="4" w:space="0"/>
              <w:left w:val="single" w:color="auto" w:sz="4" w:space="0"/>
              <w:bottom w:val="single" w:color="auto" w:sz="4" w:space="0"/>
              <w:right w:val="single" w:color="auto" w:sz="4" w:space="0"/>
            </w:tcBorders>
            <w:noWrap/>
            <w:vAlign w:val="center"/>
          </w:tcPr>
          <w:p w14:paraId="20531FB9">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≤5 μm</w:t>
            </w:r>
          </w:p>
        </w:tc>
      </w:tr>
      <w:tr w14:paraId="1A0D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restart"/>
            <w:tcBorders>
              <w:top w:val="single" w:color="auto" w:sz="4" w:space="0"/>
              <w:left w:val="single" w:color="auto" w:sz="4" w:space="0"/>
              <w:right w:val="single" w:color="auto" w:sz="4" w:space="0"/>
            </w:tcBorders>
            <w:vAlign w:val="center"/>
          </w:tcPr>
          <w:p w14:paraId="6818F0A8">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自动配药设备</w:t>
            </w:r>
          </w:p>
        </w:tc>
        <w:tc>
          <w:tcPr>
            <w:tcW w:w="1486" w:type="pct"/>
            <w:tcBorders>
              <w:top w:val="single" w:color="auto" w:sz="4" w:space="0"/>
              <w:left w:val="single" w:color="auto" w:sz="4" w:space="0"/>
              <w:bottom w:val="single" w:color="auto" w:sz="4" w:space="0"/>
              <w:right w:val="single" w:color="auto" w:sz="4" w:space="0"/>
            </w:tcBorders>
            <w:noWrap/>
            <w:vAlign w:val="center"/>
          </w:tcPr>
          <w:p w14:paraId="077AFF24">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混液箱规格（L）</w:t>
            </w:r>
          </w:p>
        </w:tc>
        <w:tc>
          <w:tcPr>
            <w:tcW w:w="2420" w:type="pct"/>
            <w:tcBorders>
              <w:top w:val="single" w:color="auto" w:sz="4" w:space="0"/>
              <w:left w:val="single" w:color="auto" w:sz="4" w:space="0"/>
              <w:bottom w:val="single" w:color="auto" w:sz="4" w:space="0"/>
              <w:right w:val="single" w:color="auto" w:sz="4" w:space="0"/>
            </w:tcBorders>
            <w:noWrap/>
            <w:vAlign w:val="center"/>
          </w:tcPr>
          <w:p w14:paraId="0DB55004">
            <w:pPr>
              <w:widowControl/>
              <w:kinsoku/>
              <w:autoSpaceDE/>
              <w:autoSpaceDN/>
              <w:adjustRightInd/>
              <w:snapToGrid/>
              <w:spacing w:line="240" w:lineRule="auto"/>
              <w:jc w:val="center"/>
              <w:textAlignment w:val="auto"/>
              <w:rPr>
                <w:rFonts w:hint="eastAsia" w:ascii="宋体" w:hAnsi="宋体" w:eastAsia="宋体" w:cs="宋体"/>
                <w:b w:val="0"/>
                <w:bCs/>
                <w:snapToGrid/>
                <w:kern w:val="0"/>
                <w:sz w:val="28"/>
                <w:szCs w:val="28"/>
                <w:highlight w:val="none"/>
                <w:lang w:eastAsia="zh-CN"/>
              </w:rPr>
            </w:pPr>
            <w:r>
              <w:rPr>
                <w:rFonts w:hint="eastAsia" w:ascii="宋体" w:hAnsi="宋体" w:eastAsia="宋体" w:cs="宋体"/>
                <w:b w:val="0"/>
                <w:bCs/>
                <w:snapToGrid/>
                <w:kern w:val="0"/>
                <w:sz w:val="28"/>
                <w:szCs w:val="28"/>
                <w:highlight w:val="none"/>
                <w:lang w:eastAsia="zh-CN"/>
              </w:rPr>
              <w:t>≥30</w:t>
            </w:r>
          </w:p>
        </w:tc>
      </w:tr>
      <w:tr w14:paraId="6AAB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left w:val="single" w:color="auto" w:sz="4" w:space="0"/>
              <w:right w:val="single" w:color="auto" w:sz="4" w:space="0"/>
            </w:tcBorders>
            <w:vAlign w:val="center"/>
          </w:tcPr>
          <w:p w14:paraId="6BD231BE">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68E968D6">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混液箱材质</w:t>
            </w:r>
          </w:p>
        </w:tc>
        <w:tc>
          <w:tcPr>
            <w:tcW w:w="2420" w:type="pct"/>
            <w:tcBorders>
              <w:top w:val="single" w:color="auto" w:sz="4" w:space="0"/>
              <w:left w:val="single" w:color="auto" w:sz="4" w:space="0"/>
              <w:bottom w:val="single" w:color="auto" w:sz="4" w:space="0"/>
              <w:right w:val="single" w:color="auto" w:sz="4" w:space="0"/>
            </w:tcBorders>
            <w:noWrap/>
            <w:vAlign w:val="center"/>
          </w:tcPr>
          <w:p w14:paraId="22C79CFA">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PP或优于</w:t>
            </w:r>
          </w:p>
        </w:tc>
      </w:tr>
      <w:tr w14:paraId="6B54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left w:val="single" w:color="auto" w:sz="4" w:space="0"/>
              <w:right w:val="single" w:color="auto" w:sz="4" w:space="0"/>
            </w:tcBorders>
            <w:vAlign w:val="center"/>
          </w:tcPr>
          <w:p w14:paraId="7E91DCD1">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65E0568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自动配药器</w:t>
            </w:r>
          </w:p>
        </w:tc>
        <w:tc>
          <w:tcPr>
            <w:tcW w:w="2420" w:type="pct"/>
            <w:tcBorders>
              <w:top w:val="single" w:color="auto" w:sz="4" w:space="0"/>
              <w:left w:val="single" w:color="auto" w:sz="4" w:space="0"/>
              <w:bottom w:val="single" w:color="auto" w:sz="4" w:space="0"/>
              <w:right w:val="single" w:color="auto" w:sz="4" w:space="0"/>
            </w:tcBorders>
            <w:noWrap/>
            <w:vAlign w:val="center"/>
          </w:tcPr>
          <w:p w14:paraId="187002B0">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电驱动，比例可调</w:t>
            </w:r>
          </w:p>
        </w:tc>
      </w:tr>
      <w:tr w14:paraId="4C96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left w:val="single" w:color="auto" w:sz="4" w:space="0"/>
              <w:right w:val="single" w:color="auto" w:sz="4" w:space="0"/>
            </w:tcBorders>
            <w:vAlign w:val="center"/>
          </w:tcPr>
          <w:p w14:paraId="0CC9C19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3C6F8876">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液位控制</w:t>
            </w:r>
          </w:p>
        </w:tc>
        <w:tc>
          <w:tcPr>
            <w:tcW w:w="2420" w:type="pct"/>
            <w:tcBorders>
              <w:top w:val="single" w:color="auto" w:sz="4" w:space="0"/>
              <w:left w:val="single" w:color="auto" w:sz="4" w:space="0"/>
              <w:bottom w:val="single" w:color="auto" w:sz="4" w:space="0"/>
              <w:right w:val="single" w:color="auto" w:sz="4" w:space="0"/>
            </w:tcBorders>
            <w:noWrap/>
            <w:vAlign w:val="center"/>
          </w:tcPr>
          <w:p w14:paraId="1D458F83">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电极式液位计液位控制</w:t>
            </w:r>
          </w:p>
        </w:tc>
      </w:tr>
      <w:tr w14:paraId="6CB0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left w:val="single" w:color="auto" w:sz="4" w:space="0"/>
              <w:bottom w:val="single" w:color="auto" w:sz="4" w:space="0"/>
              <w:right w:val="single" w:color="auto" w:sz="4" w:space="0"/>
            </w:tcBorders>
            <w:vAlign w:val="center"/>
          </w:tcPr>
          <w:p w14:paraId="20B2FE39">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5A6C4BC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药剂配比范围</w:t>
            </w:r>
          </w:p>
        </w:tc>
        <w:tc>
          <w:tcPr>
            <w:tcW w:w="2420" w:type="pct"/>
            <w:tcBorders>
              <w:top w:val="single" w:color="auto" w:sz="4" w:space="0"/>
              <w:left w:val="single" w:color="auto" w:sz="4" w:space="0"/>
              <w:bottom w:val="single" w:color="auto" w:sz="4" w:space="0"/>
              <w:right w:val="single" w:color="auto" w:sz="4" w:space="0"/>
            </w:tcBorders>
            <w:noWrap/>
            <w:vAlign w:val="center"/>
          </w:tcPr>
          <w:p w14:paraId="5626709E">
            <w:pPr>
              <w:widowControl/>
              <w:kinsoku/>
              <w:autoSpaceDE/>
              <w:autoSpaceDN/>
              <w:adjustRightInd/>
              <w:snapToGrid/>
              <w:spacing w:line="240" w:lineRule="auto"/>
              <w:jc w:val="center"/>
              <w:textAlignment w:val="auto"/>
              <w:rPr>
                <w:rFonts w:hint="default" w:ascii="宋体" w:hAnsi="宋体" w:eastAsia="宋体" w:cs="宋体"/>
                <w:b w:val="0"/>
                <w:bCs/>
                <w:snapToGrid/>
                <w:color w:val="000000"/>
                <w:kern w:val="0"/>
                <w:sz w:val="28"/>
                <w:szCs w:val="28"/>
                <w:highlight w:val="none"/>
                <w:lang w:val="en-US" w:eastAsia="zh-CN"/>
              </w:rPr>
            </w:pPr>
            <w:r>
              <w:rPr>
                <w:rFonts w:hint="eastAsia" w:ascii="宋体" w:hAnsi="宋体" w:eastAsia="宋体" w:cs="宋体"/>
                <w:b w:val="0"/>
                <w:bCs/>
                <w:snapToGrid/>
                <w:kern w:val="0"/>
                <w:sz w:val="28"/>
                <w:szCs w:val="28"/>
                <w:highlight w:val="none"/>
                <w:lang w:eastAsia="zh-CN"/>
              </w:rPr>
              <w:t>0-100</w:t>
            </w:r>
            <w:r>
              <w:rPr>
                <w:rFonts w:hint="eastAsia" w:ascii="宋体" w:hAnsi="宋体" w:eastAsia="宋体" w:cs="宋体"/>
                <w:b w:val="0"/>
                <w:bCs/>
                <w:snapToGrid/>
                <w:kern w:val="0"/>
                <w:sz w:val="28"/>
                <w:szCs w:val="28"/>
                <w:highlight w:val="none"/>
                <w:lang w:val="en-US" w:eastAsia="zh-CN"/>
              </w:rPr>
              <w:t>%</w:t>
            </w:r>
          </w:p>
        </w:tc>
      </w:tr>
      <w:tr w14:paraId="3FD0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restart"/>
            <w:tcBorders>
              <w:top w:val="single" w:color="auto" w:sz="4" w:space="0"/>
              <w:left w:val="single" w:color="auto" w:sz="4" w:space="0"/>
              <w:bottom w:val="single" w:color="auto" w:sz="4" w:space="0"/>
              <w:right w:val="single" w:color="auto" w:sz="4" w:space="0"/>
            </w:tcBorders>
            <w:noWrap/>
            <w:vAlign w:val="center"/>
          </w:tcPr>
          <w:p w14:paraId="2589EAD0">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喷淋管道</w:t>
            </w:r>
          </w:p>
        </w:tc>
        <w:tc>
          <w:tcPr>
            <w:tcW w:w="1486" w:type="pct"/>
            <w:tcBorders>
              <w:top w:val="single" w:color="auto" w:sz="4" w:space="0"/>
              <w:left w:val="single" w:color="auto" w:sz="4" w:space="0"/>
              <w:bottom w:val="single" w:color="auto" w:sz="4" w:space="0"/>
              <w:right w:val="single" w:color="auto" w:sz="4" w:space="0"/>
            </w:tcBorders>
            <w:noWrap/>
            <w:vAlign w:val="center"/>
          </w:tcPr>
          <w:p w14:paraId="56CF8E43">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规格（mm）</w:t>
            </w:r>
          </w:p>
        </w:tc>
        <w:tc>
          <w:tcPr>
            <w:tcW w:w="2420" w:type="pct"/>
            <w:tcBorders>
              <w:top w:val="single" w:color="auto" w:sz="4" w:space="0"/>
              <w:left w:val="single" w:color="auto" w:sz="4" w:space="0"/>
              <w:bottom w:val="single" w:color="auto" w:sz="4" w:space="0"/>
              <w:right w:val="single" w:color="auto" w:sz="4" w:space="0"/>
            </w:tcBorders>
            <w:noWrap/>
            <w:vAlign w:val="center"/>
          </w:tcPr>
          <w:p w14:paraId="4FF1F55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Φ9.52×0.8</w:t>
            </w:r>
          </w:p>
        </w:tc>
      </w:tr>
      <w:tr w14:paraId="1E54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2" w:type="pct"/>
            <w:vMerge w:val="continue"/>
            <w:tcBorders>
              <w:top w:val="single" w:color="auto" w:sz="4" w:space="0"/>
              <w:left w:val="single" w:color="auto" w:sz="4" w:space="0"/>
              <w:bottom w:val="single" w:color="auto" w:sz="4" w:space="0"/>
              <w:right w:val="single" w:color="auto" w:sz="4" w:space="0"/>
            </w:tcBorders>
            <w:vAlign w:val="center"/>
          </w:tcPr>
          <w:p w14:paraId="296D923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1486" w:type="pct"/>
            <w:tcBorders>
              <w:top w:val="single" w:color="auto" w:sz="4" w:space="0"/>
              <w:left w:val="single" w:color="auto" w:sz="4" w:space="0"/>
              <w:bottom w:val="single" w:color="auto" w:sz="4" w:space="0"/>
              <w:right w:val="single" w:color="auto" w:sz="4" w:space="0"/>
            </w:tcBorders>
            <w:noWrap/>
            <w:vAlign w:val="center"/>
          </w:tcPr>
          <w:p w14:paraId="3DF0F08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材质</w:t>
            </w:r>
          </w:p>
        </w:tc>
        <w:tc>
          <w:tcPr>
            <w:tcW w:w="2420" w:type="pct"/>
            <w:tcBorders>
              <w:top w:val="single" w:color="auto" w:sz="4" w:space="0"/>
              <w:left w:val="single" w:color="auto" w:sz="4" w:space="0"/>
              <w:bottom w:val="single" w:color="auto" w:sz="4" w:space="0"/>
              <w:right w:val="single" w:color="auto" w:sz="4" w:space="0"/>
            </w:tcBorders>
            <w:noWrap/>
            <w:vAlign w:val="center"/>
          </w:tcPr>
          <w:p w14:paraId="741879DB">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SUS304</w:t>
            </w:r>
            <w:r>
              <w:rPr>
                <w:rFonts w:ascii="宋体" w:hAnsi="宋体" w:eastAsia="宋体" w:cs="宋体"/>
                <w:sz w:val="24"/>
                <w:szCs w:val="24"/>
                <w:highlight w:val="none"/>
              </w:rPr>
              <w:t>不锈钢</w:t>
            </w:r>
          </w:p>
        </w:tc>
      </w:tr>
    </w:tbl>
    <w:p w14:paraId="3FF7A19C">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20A6B4A5">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w:t>
      </w:r>
      <w:r>
        <w:rPr>
          <w:rFonts w:hint="eastAsia" w:ascii="宋体" w:hAnsi="宋体" w:eastAsia="宋体" w:cs="宋体"/>
          <w:b/>
          <w:bCs w:val="0"/>
          <w:snapToGrid/>
          <w:kern w:val="2"/>
          <w:sz w:val="32"/>
          <w:szCs w:val="32"/>
          <w:highlight w:val="none"/>
          <w:lang w:val="en-US" w:eastAsia="zh-CN"/>
        </w:rPr>
        <w:t>九</w:t>
      </w:r>
      <w:r>
        <w:rPr>
          <w:rFonts w:hint="eastAsia" w:ascii="宋体" w:hAnsi="宋体" w:eastAsia="宋体" w:cs="宋体"/>
          <w:b/>
          <w:bCs w:val="0"/>
          <w:snapToGrid/>
          <w:kern w:val="2"/>
          <w:sz w:val="32"/>
          <w:szCs w:val="32"/>
          <w:highlight w:val="none"/>
          <w:lang w:eastAsia="zh-CN"/>
        </w:rPr>
        <w:t>）快速卷帘门</w:t>
      </w:r>
    </w:p>
    <w:p w14:paraId="149BC85F">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24A7E607">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快速卷帘门应由门帘、传动设备、控制设备、定位设备等组成，用于卸料口的臭源隔离。</w:t>
      </w:r>
    </w:p>
    <w:p w14:paraId="1244C187">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5F33673D">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★（1）应使用地磁感应技术，当车辆靠近或离开时，快速卷帘门可根据传感器检测信号自动打开、关闭，不会因垃圾、灰尘、光线、人员晃动等因素而产生误开闭。</w:t>
      </w:r>
    </w:p>
    <w:p w14:paraId="0BF80F1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★（2）门帘应采用高密度低纱聚酯丝PVDF涂层的涤纶网带</w:t>
      </w:r>
      <w:r>
        <w:rPr>
          <w:rFonts w:hint="eastAsia" w:ascii="宋体" w:hAnsi="宋体" w:eastAsia="宋体" w:cs="宋体"/>
          <w:b w:val="0"/>
          <w:bCs/>
          <w:snapToGrid/>
          <w:color w:val="auto"/>
          <w:kern w:val="2"/>
          <w:sz w:val="28"/>
          <w:szCs w:val="28"/>
          <w:highlight w:val="none"/>
          <w:lang w:eastAsia="zh-CN"/>
        </w:rPr>
        <w:t>（纱线密度14/14）</w:t>
      </w:r>
      <w:r>
        <w:rPr>
          <w:rFonts w:hint="eastAsia" w:ascii="宋体" w:hAnsi="宋体" w:eastAsia="宋体" w:cs="宋体"/>
          <w:b w:val="0"/>
          <w:bCs/>
          <w:snapToGrid/>
          <w:kern w:val="2"/>
          <w:sz w:val="28"/>
          <w:szCs w:val="28"/>
          <w:highlight w:val="none"/>
          <w:lang w:eastAsia="zh-CN"/>
        </w:rPr>
        <w:t>与流线型的玻璃纤维加固涤纶组成，门帘厚度≥1mm。</w:t>
      </w:r>
    </w:p>
    <w:p w14:paraId="63194E1D">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（3）底端应装有加重隔气布，两侧滑道应配有内置增强尼龙毛刷密封。</w:t>
      </w:r>
    </w:p>
    <w:p w14:paraId="3078DB7C">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（4）传动设备的电机防护等级≥IP55，并具备刹车释放功能。</w:t>
      </w:r>
    </w:p>
    <w:p w14:paraId="181912DF">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（5）控制设备应具备软启动、缓停止功能。</w:t>
      </w:r>
    </w:p>
    <w:p w14:paraId="7D88F3D9">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（6）应采用单面地磁环自动开门装置，可感应移动的金属物体。</w:t>
      </w:r>
    </w:p>
    <w:p w14:paraId="3DEEF75C">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★（7）每樘门门柱下方应装有二套光电保护设备，防止卷帘门落下碰到人或车辆。</w:t>
      </w:r>
    </w:p>
    <w:p w14:paraId="200D14BF">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197"/>
        <w:gridCol w:w="4780"/>
      </w:tblGrid>
      <w:tr w14:paraId="26D7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02" w:type="dxa"/>
            <w:vAlign w:val="center"/>
          </w:tcPr>
          <w:p w14:paraId="46F0EC58">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序号</w:t>
            </w:r>
          </w:p>
        </w:tc>
        <w:tc>
          <w:tcPr>
            <w:tcW w:w="3197" w:type="dxa"/>
            <w:vAlign w:val="center"/>
          </w:tcPr>
          <w:p w14:paraId="6B4DC189">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项目</w:t>
            </w:r>
          </w:p>
        </w:tc>
        <w:tc>
          <w:tcPr>
            <w:tcW w:w="4780" w:type="dxa"/>
            <w:vAlign w:val="center"/>
          </w:tcPr>
          <w:p w14:paraId="34276F47">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参数</w:t>
            </w:r>
          </w:p>
        </w:tc>
      </w:tr>
      <w:tr w14:paraId="58C1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02" w:type="dxa"/>
            <w:vAlign w:val="center"/>
          </w:tcPr>
          <w:p w14:paraId="001575FB">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1</w:t>
            </w:r>
          </w:p>
        </w:tc>
        <w:tc>
          <w:tcPr>
            <w:tcW w:w="3197" w:type="dxa"/>
            <w:vAlign w:val="center"/>
          </w:tcPr>
          <w:p w14:paraId="30FBBFAF">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开启速度</w:t>
            </w:r>
          </w:p>
        </w:tc>
        <w:tc>
          <w:tcPr>
            <w:tcW w:w="4780" w:type="dxa"/>
            <w:vAlign w:val="center"/>
          </w:tcPr>
          <w:p w14:paraId="221F8C4A">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0.8～1.5m/s（可调节速度）</w:t>
            </w:r>
          </w:p>
        </w:tc>
      </w:tr>
      <w:tr w14:paraId="5DC0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02" w:type="dxa"/>
            <w:vAlign w:val="center"/>
          </w:tcPr>
          <w:p w14:paraId="03BBF800">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2</w:t>
            </w:r>
          </w:p>
        </w:tc>
        <w:tc>
          <w:tcPr>
            <w:tcW w:w="3197" w:type="dxa"/>
            <w:vAlign w:val="center"/>
          </w:tcPr>
          <w:p w14:paraId="5D8A39D3">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适用门洞尺寸</w:t>
            </w:r>
          </w:p>
        </w:tc>
        <w:tc>
          <w:tcPr>
            <w:tcW w:w="4780" w:type="dxa"/>
            <w:vAlign w:val="center"/>
          </w:tcPr>
          <w:p w14:paraId="41603E66">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3.5m×6.5m（可定制）</w:t>
            </w:r>
          </w:p>
        </w:tc>
      </w:tr>
      <w:tr w14:paraId="283A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02" w:type="dxa"/>
            <w:vAlign w:val="center"/>
          </w:tcPr>
          <w:p w14:paraId="30ADC458">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3</w:t>
            </w:r>
          </w:p>
        </w:tc>
        <w:tc>
          <w:tcPr>
            <w:tcW w:w="3197" w:type="dxa"/>
            <w:vAlign w:val="center"/>
          </w:tcPr>
          <w:p w14:paraId="265FC445">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电机功率</w:t>
            </w:r>
          </w:p>
        </w:tc>
        <w:tc>
          <w:tcPr>
            <w:tcW w:w="4780" w:type="dxa"/>
            <w:vAlign w:val="center"/>
          </w:tcPr>
          <w:p w14:paraId="38BC3C6F">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≤1.5kW</w:t>
            </w:r>
          </w:p>
        </w:tc>
      </w:tr>
    </w:tbl>
    <w:p w14:paraId="14BF8488">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791079DD">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（十）硬质合金快速门</w:t>
      </w:r>
    </w:p>
    <w:p w14:paraId="528FCE81">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2FF6992C">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硬质合金快速门应由门板、传动设备、控制设备等组成，用于一层车间的勾箱门洞。</w:t>
      </w:r>
    </w:p>
    <w:p w14:paraId="78F0DED0">
      <w:pPr>
        <w:widowControl w:val="0"/>
        <w:numPr>
          <w:ilvl w:val="0"/>
          <w:numId w:val="2"/>
        </w:numPr>
        <w:kinsoku/>
        <w:autoSpaceDE/>
        <w:autoSpaceDN/>
        <w:adjustRightInd/>
        <w:snapToGrid/>
        <w:spacing w:line="360" w:lineRule="auto"/>
        <w:ind w:left="0" w:leftChars="0" w:firstLine="0" w:firstLineChars="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性能要求</w:t>
      </w:r>
    </w:p>
    <w:p w14:paraId="79A414C3">
      <w:pPr>
        <w:widowControl w:val="0"/>
        <w:numPr>
          <w:ilvl w:val="0"/>
          <w:numId w:val="0"/>
        </w:numPr>
        <w:kinsoku/>
        <w:autoSpaceDE/>
        <w:autoSpaceDN/>
        <w:adjustRightInd/>
        <w:snapToGrid/>
        <w:spacing w:line="360" w:lineRule="auto"/>
        <w:ind w:leftChars="0"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（1）当车辆靠近或离开时，快速门可根据传感器检测信号自动打开、关闭，不会因垃圾、灰尘、光线、人员晃动等因素而产生误开闭。</w:t>
      </w:r>
    </w:p>
    <w:p w14:paraId="1213002C">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★（2）门板：应采用双0.7～0.8mm厚双层铝板经流水线一次复合成型，中间为聚氨酯，门板总厚度≥40mm。</w:t>
      </w:r>
    </w:p>
    <w:p w14:paraId="3F5434EE">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（3）密封性能：应具有导轨密封，门板中间密封，门体顶部密封、门体底密封。</w:t>
      </w:r>
    </w:p>
    <w:p w14:paraId="51D22C68">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（4）传动设备：应采用一体式的传动设备，使得门体两侧均匀受力，运行通畅。</w:t>
      </w:r>
    </w:p>
    <w:p w14:paraId="6E6FF4BB">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★（5）控制设备：应自带制动功能、具有断电后的记忆功能和电机过载过流保护。</w:t>
      </w:r>
    </w:p>
    <w:p w14:paraId="5E164B4D">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★（6）安全装置：门框两侧应设有对射电眼，当快速门下方有障碍物时，门体应保持开启状态。</w:t>
      </w:r>
    </w:p>
    <w:p w14:paraId="21CE96E1">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（7）平衡设备：两侧门柱内部应配平衡弹簧，和门板重量保持一定的平衡性。</w:t>
      </w:r>
    </w:p>
    <w:p w14:paraId="4D299565">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939"/>
        <w:gridCol w:w="4883"/>
      </w:tblGrid>
      <w:tr w14:paraId="7F6E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1197" w:type="dxa"/>
            <w:vAlign w:val="center"/>
          </w:tcPr>
          <w:p w14:paraId="28A44427">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序号</w:t>
            </w:r>
          </w:p>
        </w:tc>
        <w:tc>
          <w:tcPr>
            <w:tcW w:w="2939" w:type="dxa"/>
            <w:vAlign w:val="center"/>
          </w:tcPr>
          <w:p w14:paraId="15DC9A37">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项目</w:t>
            </w:r>
          </w:p>
        </w:tc>
        <w:tc>
          <w:tcPr>
            <w:tcW w:w="4883" w:type="dxa"/>
            <w:vAlign w:val="center"/>
          </w:tcPr>
          <w:p w14:paraId="1192BA1D">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规格/参数</w:t>
            </w:r>
          </w:p>
        </w:tc>
      </w:tr>
      <w:tr w14:paraId="703C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7" w:type="dxa"/>
            <w:vAlign w:val="center"/>
          </w:tcPr>
          <w:p w14:paraId="2B60DED3">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1</w:t>
            </w:r>
          </w:p>
        </w:tc>
        <w:tc>
          <w:tcPr>
            <w:tcW w:w="2939" w:type="dxa"/>
            <w:vAlign w:val="center"/>
          </w:tcPr>
          <w:p w14:paraId="50C96C0B">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开启速度</w:t>
            </w:r>
          </w:p>
        </w:tc>
        <w:tc>
          <w:tcPr>
            <w:tcW w:w="4883" w:type="dxa"/>
            <w:vAlign w:val="center"/>
          </w:tcPr>
          <w:p w14:paraId="52FB04D0">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0.8～1.5m/s（可调节速度）</w:t>
            </w:r>
          </w:p>
        </w:tc>
      </w:tr>
      <w:tr w14:paraId="02B4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7" w:type="dxa"/>
            <w:vAlign w:val="center"/>
          </w:tcPr>
          <w:p w14:paraId="1D259A75">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2</w:t>
            </w:r>
          </w:p>
        </w:tc>
        <w:tc>
          <w:tcPr>
            <w:tcW w:w="2939" w:type="dxa"/>
            <w:vAlign w:val="center"/>
          </w:tcPr>
          <w:p w14:paraId="5148F5A9">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适用门洞尺寸</w:t>
            </w:r>
          </w:p>
        </w:tc>
        <w:tc>
          <w:tcPr>
            <w:tcW w:w="4883" w:type="dxa"/>
            <w:vAlign w:val="center"/>
          </w:tcPr>
          <w:p w14:paraId="5AC37310">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3.5m×6.5m（可定制）</w:t>
            </w:r>
          </w:p>
        </w:tc>
      </w:tr>
      <w:tr w14:paraId="68ED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7" w:type="dxa"/>
            <w:vAlign w:val="center"/>
          </w:tcPr>
          <w:p w14:paraId="76906EFE">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3</w:t>
            </w:r>
          </w:p>
        </w:tc>
        <w:tc>
          <w:tcPr>
            <w:tcW w:w="2939" w:type="dxa"/>
            <w:vAlign w:val="center"/>
          </w:tcPr>
          <w:p w14:paraId="2E1A1363">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电机功率</w:t>
            </w:r>
          </w:p>
        </w:tc>
        <w:tc>
          <w:tcPr>
            <w:tcW w:w="4883" w:type="dxa"/>
            <w:vAlign w:val="center"/>
          </w:tcPr>
          <w:p w14:paraId="0F1A440F">
            <w:pPr>
              <w:widowControl w:val="0"/>
              <w:kinsoku/>
              <w:autoSpaceDE/>
              <w:autoSpaceDN/>
              <w:adjustRightInd w:val="0"/>
              <w:snapToGrid w:val="0"/>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≤2.2 kW</w:t>
            </w:r>
          </w:p>
        </w:tc>
      </w:tr>
    </w:tbl>
    <w:p w14:paraId="58C6C81E">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425DDD38">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（十</w:t>
      </w:r>
      <w:r>
        <w:rPr>
          <w:rFonts w:hint="eastAsia" w:ascii="宋体" w:hAnsi="宋体" w:eastAsia="宋体" w:cs="宋体"/>
          <w:b/>
          <w:bCs w:val="0"/>
          <w:snapToGrid/>
          <w:kern w:val="2"/>
          <w:sz w:val="32"/>
          <w:szCs w:val="32"/>
          <w:highlight w:val="none"/>
          <w:lang w:val="en-US" w:eastAsia="zh-CN"/>
        </w:rPr>
        <w:t>一</w:t>
      </w:r>
      <w:r>
        <w:rPr>
          <w:rFonts w:hint="eastAsia" w:ascii="宋体" w:hAnsi="宋体" w:eastAsia="宋体" w:cs="宋体"/>
          <w:b/>
          <w:bCs w:val="0"/>
          <w:snapToGrid/>
          <w:kern w:val="2"/>
          <w:sz w:val="32"/>
          <w:szCs w:val="32"/>
          <w:highlight w:val="none"/>
          <w:lang w:eastAsia="zh-CN"/>
        </w:rPr>
        <w:t>）水沟自动冲洗设备</w:t>
      </w:r>
    </w:p>
    <w:p w14:paraId="04AF8C0E">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16F55871">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水沟自动冲洗设备应由控制设备、冲洗设备等组成，主要用于站内压缩车间排水沟的冲洗。</w:t>
      </w:r>
    </w:p>
    <w:p w14:paraId="5C83394B">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19FFC69C">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（1）应采用PLC控制，全自动操作，可调整运行时间和运行间隔时间。</w:t>
      </w:r>
    </w:p>
    <w:p w14:paraId="449E8A8A">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（2）应采用电磁阀将管路分多路控制。</w:t>
      </w:r>
    </w:p>
    <w:p w14:paraId="1C6169DD">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6"/>
        <w:gridCol w:w="2216"/>
        <w:gridCol w:w="1874"/>
        <w:gridCol w:w="4092"/>
      </w:tblGrid>
      <w:tr w14:paraId="357D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016" w:type="dxa"/>
            <w:vAlign w:val="center"/>
          </w:tcPr>
          <w:p w14:paraId="536C5A42">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序号</w:t>
            </w:r>
          </w:p>
        </w:tc>
        <w:tc>
          <w:tcPr>
            <w:tcW w:w="2216" w:type="dxa"/>
            <w:vAlign w:val="center"/>
          </w:tcPr>
          <w:p w14:paraId="4F75AFE4">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设备</w:t>
            </w:r>
          </w:p>
        </w:tc>
        <w:tc>
          <w:tcPr>
            <w:tcW w:w="1874" w:type="dxa"/>
            <w:vAlign w:val="center"/>
          </w:tcPr>
          <w:p w14:paraId="06345A56">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项目</w:t>
            </w:r>
          </w:p>
        </w:tc>
        <w:tc>
          <w:tcPr>
            <w:tcW w:w="4092" w:type="dxa"/>
            <w:vAlign w:val="center"/>
          </w:tcPr>
          <w:p w14:paraId="79D5D68E">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w:t>
            </w:r>
          </w:p>
        </w:tc>
      </w:tr>
      <w:tr w14:paraId="52A8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016" w:type="dxa"/>
            <w:vMerge w:val="restart"/>
            <w:vAlign w:val="center"/>
          </w:tcPr>
          <w:p w14:paraId="703DA00C">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2216" w:type="dxa"/>
            <w:vMerge w:val="restart"/>
            <w:vAlign w:val="center"/>
          </w:tcPr>
          <w:p w14:paraId="32F092B3">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控制设备</w:t>
            </w:r>
          </w:p>
        </w:tc>
        <w:tc>
          <w:tcPr>
            <w:tcW w:w="1874" w:type="dxa"/>
            <w:vAlign w:val="center"/>
          </w:tcPr>
          <w:p w14:paraId="3E973639">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控制方式</w:t>
            </w:r>
          </w:p>
        </w:tc>
        <w:tc>
          <w:tcPr>
            <w:tcW w:w="4092" w:type="dxa"/>
            <w:vAlign w:val="center"/>
          </w:tcPr>
          <w:p w14:paraId="77AD63A2">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PLC控制</w:t>
            </w:r>
          </w:p>
        </w:tc>
      </w:tr>
      <w:tr w14:paraId="7E02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016" w:type="dxa"/>
            <w:vMerge w:val="continue"/>
            <w:vAlign w:val="center"/>
          </w:tcPr>
          <w:p w14:paraId="2715A68E">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p>
        </w:tc>
        <w:tc>
          <w:tcPr>
            <w:tcW w:w="2216" w:type="dxa"/>
            <w:vMerge w:val="continue"/>
            <w:vAlign w:val="center"/>
          </w:tcPr>
          <w:p w14:paraId="0EB5A963">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p>
        </w:tc>
        <w:tc>
          <w:tcPr>
            <w:tcW w:w="1874" w:type="dxa"/>
            <w:vAlign w:val="center"/>
          </w:tcPr>
          <w:p w14:paraId="6196627B">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触摸屏</w:t>
            </w:r>
          </w:p>
        </w:tc>
        <w:tc>
          <w:tcPr>
            <w:tcW w:w="4092" w:type="dxa"/>
            <w:vAlign w:val="center"/>
          </w:tcPr>
          <w:p w14:paraId="7CC91A42">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尺寸：≥7寸</w:t>
            </w:r>
          </w:p>
        </w:tc>
      </w:tr>
      <w:tr w14:paraId="00777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1016" w:type="dxa"/>
            <w:vMerge w:val="restart"/>
            <w:vAlign w:val="center"/>
          </w:tcPr>
          <w:p w14:paraId="6BE983A2">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2216" w:type="dxa"/>
            <w:vMerge w:val="restart"/>
            <w:vAlign w:val="center"/>
          </w:tcPr>
          <w:p w14:paraId="21BFCFDE">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冲洗设备</w:t>
            </w:r>
          </w:p>
        </w:tc>
        <w:tc>
          <w:tcPr>
            <w:tcW w:w="1874" w:type="dxa"/>
            <w:vAlign w:val="center"/>
          </w:tcPr>
          <w:p w14:paraId="60F2462E">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水泵</w:t>
            </w:r>
          </w:p>
        </w:tc>
        <w:tc>
          <w:tcPr>
            <w:tcW w:w="4092" w:type="dxa"/>
            <w:vAlign w:val="center"/>
          </w:tcPr>
          <w:p w14:paraId="5DA0EA82">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流量：≥20 m³/h</w:t>
            </w:r>
          </w:p>
          <w:p w14:paraId="30706F6E">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扬程：≥55 m</w:t>
            </w:r>
          </w:p>
          <w:p w14:paraId="5D78D9B5">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功率：≥5.5 kW</w:t>
            </w:r>
          </w:p>
          <w:p w14:paraId="0BCBA540">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进出口径：≥DN50</w:t>
            </w:r>
          </w:p>
          <w:p w14:paraId="42716713">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数量：1台</w:t>
            </w:r>
          </w:p>
        </w:tc>
      </w:tr>
      <w:tr w14:paraId="7430F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6" w:hRule="atLeast"/>
          <w:jc w:val="center"/>
        </w:trPr>
        <w:tc>
          <w:tcPr>
            <w:tcW w:w="1016" w:type="dxa"/>
            <w:vMerge w:val="continue"/>
            <w:vAlign w:val="center"/>
          </w:tcPr>
          <w:p w14:paraId="5AAA4B61">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p>
        </w:tc>
        <w:tc>
          <w:tcPr>
            <w:tcW w:w="2216" w:type="dxa"/>
            <w:vMerge w:val="continue"/>
            <w:vAlign w:val="center"/>
          </w:tcPr>
          <w:p w14:paraId="2AC6948F">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p>
        </w:tc>
        <w:tc>
          <w:tcPr>
            <w:tcW w:w="1874" w:type="dxa"/>
            <w:vAlign w:val="center"/>
          </w:tcPr>
          <w:p w14:paraId="2BDB2085">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水箱</w:t>
            </w:r>
          </w:p>
        </w:tc>
        <w:tc>
          <w:tcPr>
            <w:tcW w:w="4092" w:type="dxa"/>
            <w:vAlign w:val="center"/>
          </w:tcPr>
          <w:p w14:paraId="7E9775A9">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容积：≥2 m³</w:t>
            </w:r>
          </w:p>
          <w:p w14:paraId="3936D1C9">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厚度：≥1 mm</w:t>
            </w:r>
          </w:p>
          <w:p w14:paraId="6B1D9F07">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材质：304不锈钢</w:t>
            </w:r>
          </w:p>
          <w:p w14:paraId="550A724F">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数量：1个</w:t>
            </w:r>
          </w:p>
        </w:tc>
      </w:tr>
      <w:tr w14:paraId="0846A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016" w:type="dxa"/>
            <w:vMerge w:val="continue"/>
            <w:vAlign w:val="center"/>
          </w:tcPr>
          <w:p w14:paraId="379AFBD4">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p>
        </w:tc>
        <w:tc>
          <w:tcPr>
            <w:tcW w:w="2216" w:type="dxa"/>
            <w:vMerge w:val="continue"/>
            <w:vAlign w:val="center"/>
          </w:tcPr>
          <w:p w14:paraId="1C1BBBF0">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p>
        </w:tc>
        <w:tc>
          <w:tcPr>
            <w:tcW w:w="1874" w:type="dxa"/>
            <w:vAlign w:val="center"/>
          </w:tcPr>
          <w:p w14:paraId="04F12EE8">
            <w:pPr>
              <w:widowControl w:val="0"/>
              <w:kinsoku/>
              <w:autoSpaceDE/>
              <w:autoSpaceDN/>
              <w:adjustRightInd/>
              <w:snapToGrid/>
              <w:spacing w:line="36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喷嘴</w:t>
            </w:r>
          </w:p>
        </w:tc>
        <w:tc>
          <w:tcPr>
            <w:tcW w:w="4092" w:type="dxa"/>
            <w:vAlign w:val="center"/>
          </w:tcPr>
          <w:p w14:paraId="7ECE8C96">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形式：鸭嘴型</w:t>
            </w:r>
          </w:p>
          <w:p w14:paraId="29F59A95">
            <w:pPr>
              <w:widowControl w:val="0"/>
              <w:kinsoku/>
              <w:autoSpaceDE/>
              <w:autoSpaceDN/>
              <w:adjustRightInd/>
              <w:snapToGrid/>
              <w:spacing w:line="276"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数量：≥20个</w:t>
            </w:r>
          </w:p>
        </w:tc>
      </w:tr>
    </w:tbl>
    <w:p w14:paraId="67B17A7F">
      <w:pPr>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br w:type="page"/>
      </w:r>
    </w:p>
    <w:p w14:paraId="0780FA2E">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（十</w:t>
      </w:r>
      <w:r>
        <w:rPr>
          <w:rFonts w:hint="eastAsia" w:ascii="宋体" w:hAnsi="宋体" w:eastAsia="宋体" w:cs="宋体"/>
          <w:b/>
          <w:bCs w:val="0"/>
          <w:snapToGrid/>
          <w:kern w:val="2"/>
          <w:sz w:val="32"/>
          <w:szCs w:val="32"/>
          <w:highlight w:val="none"/>
          <w:lang w:val="en-US" w:eastAsia="zh-CN"/>
        </w:rPr>
        <w:t>二</w:t>
      </w:r>
      <w:r>
        <w:rPr>
          <w:rFonts w:hint="eastAsia" w:ascii="宋体" w:hAnsi="宋体" w:eastAsia="宋体" w:cs="宋体"/>
          <w:b/>
          <w:bCs w:val="0"/>
          <w:snapToGrid/>
          <w:kern w:val="2"/>
          <w:sz w:val="32"/>
          <w:szCs w:val="32"/>
          <w:highlight w:val="none"/>
          <w:lang w:eastAsia="zh-CN"/>
        </w:rPr>
        <w:t>）高压清洗机</w:t>
      </w:r>
    </w:p>
    <w:p w14:paraId="73931BFD">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524BC214">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高压清洗机应由泵头、动力装置、卷管器等组成，用于设备附近的卫生清理工作。</w:t>
      </w:r>
    </w:p>
    <w:p w14:paraId="3015DDB6">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16C43BB1">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（1）应采用工业水冷4级电机，配合工业陶瓷柱塞泵。</w:t>
      </w:r>
    </w:p>
    <w:p w14:paraId="1120AB25">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（2）应采用壁挂式安装，高压水枪可通过自动卷管器实现可控式回缩。</w:t>
      </w:r>
    </w:p>
    <w:p w14:paraId="383D2898">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4855" w:type="pct"/>
        <w:jc w:val="center"/>
        <w:tblLayout w:type="autofit"/>
        <w:tblCellMar>
          <w:top w:w="0" w:type="dxa"/>
          <w:left w:w="108" w:type="dxa"/>
          <w:bottom w:w="0" w:type="dxa"/>
          <w:right w:w="108" w:type="dxa"/>
        </w:tblCellMar>
      </w:tblPr>
      <w:tblGrid>
        <w:gridCol w:w="1623"/>
        <w:gridCol w:w="4207"/>
        <w:gridCol w:w="3507"/>
      </w:tblGrid>
      <w:tr w14:paraId="17F49088">
        <w:tblPrEx>
          <w:tblCellMar>
            <w:top w:w="0" w:type="dxa"/>
            <w:left w:w="108" w:type="dxa"/>
            <w:bottom w:w="0" w:type="dxa"/>
            <w:right w:w="108" w:type="dxa"/>
          </w:tblCellMar>
        </w:tblPrEx>
        <w:trPr>
          <w:trHeight w:val="511" w:hRule="atLeast"/>
          <w:tblHeader/>
          <w:jc w:val="center"/>
        </w:trPr>
        <w:tc>
          <w:tcPr>
            <w:tcW w:w="869" w:type="pct"/>
            <w:tcBorders>
              <w:top w:val="single" w:color="auto" w:sz="4" w:space="0"/>
              <w:left w:val="single" w:color="auto" w:sz="4" w:space="0"/>
              <w:bottom w:val="single" w:color="auto" w:sz="4" w:space="0"/>
              <w:right w:val="single" w:color="auto" w:sz="4" w:space="0"/>
            </w:tcBorders>
            <w:vAlign w:val="center"/>
          </w:tcPr>
          <w:p w14:paraId="7954271A">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序号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5B11DD11">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项目</w:t>
            </w:r>
          </w:p>
        </w:tc>
        <w:tc>
          <w:tcPr>
            <w:tcW w:w="1877" w:type="pct"/>
            <w:tcBorders>
              <w:top w:val="single" w:color="auto" w:sz="4" w:space="0"/>
              <w:left w:val="nil"/>
              <w:bottom w:val="single" w:color="auto" w:sz="4" w:space="0"/>
              <w:right w:val="single" w:color="auto" w:sz="4" w:space="0"/>
            </w:tcBorders>
            <w:shd w:val="clear" w:color="auto" w:fill="auto"/>
            <w:vAlign w:val="center"/>
          </w:tcPr>
          <w:p w14:paraId="3277CC46">
            <w:pPr>
              <w:widowControl/>
              <w:kinsoku/>
              <w:autoSpaceDE/>
              <w:autoSpaceDN/>
              <w:adjustRightInd/>
              <w:snapToGrid/>
              <w:spacing w:line="276"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w:t>
            </w:r>
          </w:p>
        </w:tc>
      </w:tr>
      <w:tr w14:paraId="033C99D8">
        <w:tblPrEx>
          <w:tblCellMar>
            <w:top w:w="0" w:type="dxa"/>
            <w:left w:w="108" w:type="dxa"/>
            <w:bottom w:w="0" w:type="dxa"/>
            <w:right w:w="108" w:type="dxa"/>
          </w:tblCellMar>
        </w:tblPrEx>
        <w:trPr>
          <w:trHeight w:val="511"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14:paraId="7631E41A">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1</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52249ED7">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功率</w:t>
            </w:r>
          </w:p>
        </w:tc>
        <w:tc>
          <w:tcPr>
            <w:tcW w:w="1877" w:type="pct"/>
            <w:tcBorders>
              <w:top w:val="single" w:color="auto" w:sz="4" w:space="0"/>
              <w:left w:val="nil"/>
              <w:bottom w:val="single" w:color="auto" w:sz="4" w:space="0"/>
              <w:right w:val="single" w:color="auto" w:sz="4" w:space="0"/>
            </w:tcBorders>
            <w:shd w:val="clear" w:color="auto" w:fill="auto"/>
            <w:vAlign w:val="center"/>
          </w:tcPr>
          <w:p w14:paraId="17A83C55">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2"/>
                <w:sz w:val="28"/>
                <w:szCs w:val="28"/>
                <w:highlight w:val="none"/>
                <w:lang w:eastAsia="zh-CN"/>
              </w:rPr>
              <w:t>≤</w:t>
            </w:r>
            <w:r>
              <w:rPr>
                <w:rFonts w:hint="eastAsia" w:ascii="宋体" w:hAnsi="宋体" w:eastAsia="宋体" w:cs="宋体"/>
                <w:b w:val="0"/>
                <w:bCs/>
                <w:snapToGrid/>
                <w:color w:val="000000"/>
                <w:kern w:val="0"/>
                <w:sz w:val="28"/>
                <w:szCs w:val="28"/>
                <w:highlight w:val="none"/>
                <w:lang w:eastAsia="zh-CN"/>
              </w:rPr>
              <w:t>3.0 kW</w:t>
            </w:r>
          </w:p>
        </w:tc>
      </w:tr>
      <w:tr w14:paraId="1BFBEAA1">
        <w:tblPrEx>
          <w:tblCellMar>
            <w:top w:w="0" w:type="dxa"/>
            <w:left w:w="108" w:type="dxa"/>
            <w:bottom w:w="0" w:type="dxa"/>
            <w:right w:w="108" w:type="dxa"/>
          </w:tblCellMar>
        </w:tblPrEx>
        <w:trPr>
          <w:trHeight w:val="511"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14:paraId="314461D0">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2</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6E8A27F3">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流量</w:t>
            </w:r>
          </w:p>
        </w:tc>
        <w:tc>
          <w:tcPr>
            <w:tcW w:w="1877" w:type="pct"/>
            <w:tcBorders>
              <w:top w:val="nil"/>
              <w:left w:val="nil"/>
              <w:bottom w:val="single" w:color="auto" w:sz="4" w:space="0"/>
              <w:right w:val="single" w:color="auto" w:sz="4" w:space="0"/>
            </w:tcBorders>
            <w:shd w:val="clear" w:color="auto" w:fill="auto"/>
            <w:vAlign w:val="center"/>
          </w:tcPr>
          <w:p w14:paraId="64D2B23F">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≥600 L/H</w:t>
            </w:r>
          </w:p>
        </w:tc>
      </w:tr>
      <w:tr w14:paraId="24B9B61E">
        <w:tblPrEx>
          <w:tblCellMar>
            <w:top w:w="0" w:type="dxa"/>
            <w:left w:w="108" w:type="dxa"/>
            <w:bottom w:w="0" w:type="dxa"/>
            <w:right w:w="108" w:type="dxa"/>
          </w:tblCellMar>
        </w:tblPrEx>
        <w:trPr>
          <w:trHeight w:val="511"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14:paraId="7FA50378">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3</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7B8F3426">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压力</w:t>
            </w:r>
          </w:p>
        </w:tc>
        <w:tc>
          <w:tcPr>
            <w:tcW w:w="1877" w:type="pct"/>
            <w:tcBorders>
              <w:top w:val="nil"/>
              <w:left w:val="nil"/>
              <w:bottom w:val="single" w:color="auto" w:sz="4" w:space="0"/>
              <w:right w:val="single" w:color="auto" w:sz="4" w:space="0"/>
            </w:tcBorders>
            <w:shd w:val="clear" w:color="auto" w:fill="auto"/>
            <w:vAlign w:val="center"/>
          </w:tcPr>
          <w:p w14:paraId="6CBB0447">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3-15 MPa</w:t>
            </w:r>
          </w:p>
        </w:tc>
      </w:tr>
      <w:tr w14:paraId="337A379D">
        <w:tblPrEx>
          <w:tblCellMar>
            <w:top w:w="0" w:type="dxa"/>
            <w:left w:w="108" w:type="dxa"/>
            <w:bottom w:w="0" w:type="dxa"/>
            <w:right w:w="108" w:type="dxa"/>
          </w:tblCellMar>
        </w:tblPrEx>
        <w:trPr>
          <w:trHeight w:val="542"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14:paraId="23F5C4AC">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4</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54D285F3">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卷管器输出长度</w:t>
            </w:r>
          </w:p>
        </w:tc>
        <w:tc>
          <w:tcPr>
            <w:tcW w:w="1877" w:type="pct"/>
            <w:tcBorders>
              <w:top w:val="nil"/>
              <w:left w:val="nil"/>
              <w:bottom w:val="single" w:color="auto" w:sz="4" w:space="0"/>
              <w:right w:val="single" w:color="auto" w:sz="4" w:space="0"/>
            </w:tcBorders>
            <w:shd w:val="clear" w:color="auto" w:fill="auto"/>
            <w:vAlign w:val="center"/>
          </w:tcPr>
          <w:p w14:paraId="2DAB19FD">
            <w:pPr>
              <w:widowControl/>
              <w:kinsoku/>
              <w:autoSpaceDE/>
              <w:autoSpaceDN/>
              <w:adjustRightInd/>
              <w:snapToGrid/>
              <w:spacing w:line="276"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≥10 m</w:t>
            </w:r>
          </w:p>
        </w:tc>
      </w:tr>
    </w:tbl>
    <w:p w14:paraId="79C60715">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（十</w:t>
      </w:r>
      <w:r>
        <w:rPr>
          <w:rFonts w:hint="eastAsia" w:ascii="宋体" w:hAnsi="宋体" w:eastAsia="宋体" w:cs="宋体"/>
          <w:b/>
          <w:bCs w:val="0"/>
          <w:snapToGrid/>
          <w:kern w:val="2"/>
          <w:sz w:val="32"/>
          <w:szCs w:val="32"/>
          <w:highlight w:val="none"/>
          <w:lang w:val="en-US" w:eastAsia="zh-CN"/>
        </w:rPr>
        <w:t>三</w:t>
      </w:r>
      <w:r>
        <w:rPr>
          <w:rFonts w:hint="eastAsia" w:ascii="宋体" w:hAnsi="宋体" w:eastAsia="宋体" w:cs="宋体"/>
          <w:b/>
          <w:bCs w:val="0"/>
          <w:snapToGrid/>
          <w:kern w:val="2"/>
          <w:sz w:val="32"/>
          <w:szCs w:val="32"/>
          <w:highlight w:val="none"/>
          <w:lang w:eastAsia="zh-CN"/>
        </w:rPr>
        <w:t>）称重计量设备</w:t>
      </w:r>
    </w:p>
    <w:p w14:paraId="3C336104">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7269E7F0">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称重计量设备应包含电子汽车衡（地磅）、无人值守设备两部分，称重过程不用人工干预，可实现自动称重功能。无人值守设备是配合电子汽车衡使用，应由车辆识别设备、交通指挥设备、车辆定位设备、车辆监控设备、语音引导设备、信息显示设备、称重管理设备、电气控制设备等组成。</w:t>
      </w:r>
    </w:p>
    <w:p w14:paraId="38EBEBD7">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2、性能要求</w:t>
      </w:r>
    </w:p>
    <w:p w14:paraId="412F02FB">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（1）车辆称重管理设备计算机应具备开放式数据库，应留有RJ45网络接口。</w:t>
      </w:r>
    </w:p>
    <w:p w14:paraId="62174DDF">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（2）称重计量设备应能数字显示毛重、净重、皮，车号、皮重存储、分项、总项累计，并记录所称重车辆的上下秤时间。</w:t>
      </w:r>
    </w:p>
    <w:p w14:paraId="7B29A047">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（3）车辆应能自动识别，当自动识别的随车射频卡信息记载车号一致时，方可对车辆放行；如不一致，鸣警示音提示。</w:t>
      </w:r>
    </w:p>
    <w:p w14:paraId="69ED7E52">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（4）称重计量设备软件应具有记录数据、汇总、纸计、查询、制作报表、打印报表的功能。</w:t>
      </w:r>
    </w:p>
    <w:p w14:paraId="5F70691F">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（5）可自动控制、实现无人值守，也可手动控制设备和计量，具备电子语音提示指引功能。</w:t>
      </w:r>
    </w:p>
    <w:p w14:paraId="46EDDF63">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（6）称重计量设备应采取防雷措施，减少雷电对设备的影响。</w:t>
      </w:r>
    </w:p>
    <w:p w14:paraId="48E6B09A">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（7）称重计量设备应具备预防超重报警措施，避免超重车辆过磅对地磅造成损害。</w:t>
      </w:r>
    </w:p>
    <w:p w14:paraId="45B4A9D3">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3、参数要求</w:t>
      </w:r>
    </w:p>
    <w:tbl>
      <w:tblPr>
        <w:tblStyle w:val="19"/>
        <w:tblW w:w="46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807"/>
        <w:gridCol w:w="2556"/>
        <w:gridCol w:w="3834"/>
      </w:tblGrid>
      <w:tr w14:paraId="3FD4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6" w:type="pct"/>
            <w:tcBorders>
              <w:top w:val="single" w:color="auto" w:sz="4" w:space="0"/>
              <w:left w:val="single" w:color="auto" w:sz="4" w:space="0"/>
              <w:bottom w:val="single" w:color="auto" w:sz="4" w:space="0"/>
              <w:right w:val="single" w:color="auto" w:sz="4" w:space="0"/>
            </w:tcBorders>
            <w:vAlign w:val="center"/>
          </w:tcPr>
          <w:p w14:paraId="3648B596">
            <w:pPr>
              <w:widowControl w:val="0"/>
              <w:kinsoku/>
              <w:autoSpaceDE/>
              <w:autoSpaceDN/>
              <w:adjustRightInd/>
              <w:snapToGrid/>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序号</w:t>
            </w:r>
          </w:p>
        </w:tc>
        <w:tc>
          <w:tcPr>
            <w:tcW w:w="1010" w:type="pct"/>
            <w:tcBorders>
              <w:top w:val="single" w:color="auto" w:sz="4" w:space="0"/>
              <w:left w:val="single" w:color="auto" w:sz="4" w:space="0"/>
              <w:bottom w:val="single" w:color="auto" w:sz="4" w:space="0"/>
              <w:right w:val="single" w:color="auto" w:sz="4" w:space="0"/>
            </w:tcBorders>
            <w:vAlign w:val="center"/>
          </w:tcPr>
          <w:p w14:paraId="60708443">
            <w:pPr>
              <w:widowControl w:val="0"/>
              <w:kinsoku/>
              <w:autoSpaceDE/>
              <w:autoSpaceDN/>
              <w:adjustRightInd/>
              <w:snapToGrid/>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设备名称</w:t>
            </w:r>
          </w:p>
        </w:tc>
        <w:tc>
          <w:tcPr>
            <w:tcW w:w="3572" w:type="pct"/>
            <w:gridSpan w:val="2"/>
            <w:tcBorders>
              <w:top w:val="single" w:color="auto" w:sz="4" w:space="0"/>
              <w:left w:val="single" w:color="auto" w:sz="4" w:space="0"/>
              <w:bottom w:val="single" w:color="auto" w:sz="4" w:space="0"/>
              <w:right w:val="single" w:color="auto" w:sz="4" w:space="0"/>
            </w:tcBorders>
            <w:vAlign w:val="center"/>
          </w:tcPr>
          <w:p w14:paraId="5B7538A8">
            <w:pPr>
              <w:widowControl w:val="0"/>
              <w:kinsoku/>
              <w:autoSpaceDE/>
              <w:autoSpaceDN/>
              <w:adjustRightInd/>
              <w:snapToGrid/>
              <w:spacing w:line="240" w:lineRule="auto"/>
              <w:jc w:val="center"/>
              <w:textAlignment w:val="auto"/>
              <w:rPr>
                <w:rFonts w:hint="eastAsia" w:ascii="宋体" w:hAnsi="宋体" w:eastAsia="宋体" w:cs="宋体"/>
                <w:b w:val="0"/>
                <w:bCs/>
                <w:snapToGrid w:val="0"/>
                <w:kern w:val="28"/>
                <w:sz w:val="28"/>
                <w:szCs w:val="28"/>
                <w:highlight w:val="none"/>
                <w:lang w:eastAsia="zh-CN"/>
              </w:rPr>
            </w:pPr>
            <w:r>
              <w:rPr>
                <w:rFonts w:hint="eastAsia" w:ascii="宋体" w:hAnsi="宋体" w:eastAsia="宋体" w:cs="宋体"/>
                <w:b w:val="0"/>
                <w:bCs/>
                <w:snapToGrid w:val="0"/>
                <w:kern w:val="28"/>
                <w:sz w:val="28"/>
                <w:szCs w:val="28"/>
                <w:highlight w:val="none"/>
                <w:lang w:eastAsia="zh-CN"/>
              </w:rPr>
              <w:t>参数要求</w:t>
            </w:r>
          </w:p>
        </w:tc>
      </w:tr>
      <w:tr w14:paraId="12BD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restart"/>
            <w:vAlign w:val="center"/>
          </w:tcPr>
          <w:p w14:paraId="21F3E2C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1010" w:type="pct"/>
            <w:vMerge w:val="restart"/>
            <w:vAlign w:val="center"/>
          </w:tcPr>
          <w:p w14:paraId="193EFB9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汽车衡（地磅）</w:t>
            </w:r>
          </w:p>
        </w:tc>
        <w:tc>
          <w:tcPr>
            <w:tcW w:w="1429" w:type="pct"/>
            <w:vAlign w:val="center"/>
          </w:tcPr>
          <w:p w14:paraId="7B8D774A">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最大称量</w:t>
            </w:r>
          </w:p>
        </w:tc>
        <w:tc>
          <w:tcPr>
            <w:tcW w:w="2143" w:type="pct"/>
            <w:vAlign w:val="center"/>
          </w:tcPr>
          <w:p w14:paraId="4CEA7AD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≥50吨</w:t>
            </w:r>
          </w:p>
        </w:tc>
      </w:tr>
      <w:tr w14:paraId="25CE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vAlign w:val="center"/>
          </w:tcPr>
          <w:p w14:paraId="44810DE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010" w:type="pct"/>
            <w:vMerge w:val="continue"/>
            <w:vAlign w:val="center"/>
          </w:tcPr>
          <w:p w14:paraId="43E6A9B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429" w:type="pct"/>
            <w:vAlign w:val="center"/>
          </w:tcPr>
          <w:p w14:paraId="42E95C06">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台面规格（宽×长）</w:t>
            </w:r>
          </w:p>
        </w:tc>
        <w:tc>
          <w:tcPr>
            <w:tcW w:w="2143" w:type="pct"/>
            <w:vAlign w:val="center"/>
          </w:tcPr>
          <w:p w14:paraId="5DAE517B">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3m×10m</w:t>
            </w:r>
          </w:p>
        </w:tc>
      </w:tr>
      <w:tr w14:paraId="712B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vAlign w:val="center"/>
          </w:tcPr>
          <w:p w14:paraId="0E275EDC">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010" w:type="pct"/>
            <w:vMerge w:val="continue"/>
            <w:vAlign w:val="center"/>
          </w:tcPr>
          <w:p w14:paraId="578EB748">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429" w:type="pct"/>
            <w:vAlign w:val="center"/>
          </w:tcPr>
          <w:p w14:paraId="111DC20C">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称重传感器</w:t>
            </w:r>
          </w:p>
        </w:tc>
        <w:tc>
          <w:tcPr>
            <w:tcW w:w="2143" w:type="pct"/>
            <w:vAlign w:val="center"/>
          </w:tcPr>
          <w:p w14:paraId="60997E92">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精度等级：C3；</w:t>
            </w:r>
          </w:p>
          <w:p w14:paraId="3B36E56D">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额定容量： 30吨数字型</w:t>
            </w:r>
          </w:p>
          <w:p w14:paraId="3072A702">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防护等级≥IP68；</w:t>
            </w:r>
          </w:p>
          <w:p w14:paraId="5A53FF49">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数量：≥6个</w:t>
            </w:r>
          </w:p>
        </w:tc>
      </w:tr>
      <w:tr w14:paraId="582E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vAlign w:val="center"/>
          </w:tcPr>
          <w:p w14:paraId="46BBC3B0">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010" w:type="pct"/>
            <w:vMerge w:val="continue"/>
            <w:vAlign w:val="center"/>
          </w:tcPr>
          <w:p w14:paraId="2E466939">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429" w:type="pct"/>
            <w:vAlign w:val="center"/>
          </w:tcPr>
          <w:p w14:paraId="1FEE7D1F">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计量精度</w:t>
            </w:r>
          </w:p>
        </w:tc>
        <w:tc>
          <w:tcPr>
            <w:tcW w:w="2143" w:type="pct"/>
            <w:vAlign w:val="center"/>
          </w:tcPr>
          <w:p w14:paraId="4D77644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准确度等级：OIML Ⅲ；</w:t>
            </w:r>
          </w:p>
          <w:p w14:paraId="11ED22F5">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分度值：≤10千克</w:t>
            </w:r>
          </w:p>
        </w:tc>
      </w:tr>
      <w:tr w14:paraId="619C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vAlign w:val="center"/>
          </w:tcPr>
          <w:p w14:paraId="630C6AA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010" w:type="pct"/>
            <w:vMerge w:val="continue"/>
            <w:vAlign w:val="center"/>
          </w:tcPr>
          <w:p w14:paraId="0D6D7391">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429" w:type="pct"/>
            <w:vAlign w:val="center"/>
          </w:tcPr>
          <w:p w14:paraId="01DA2A77">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地磅秤台</w:t>
            </w:r>
          </w:p>
        </w:tc>
        <w:tc>
          <w:tcPr>
            <w:tcW w:w="2143" w:type="pct"/>
            <w:vAlign w:val="center"/>
          </w:tcPr>
          <w:p w14:paraId="3D7D28A6">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框架式称体</w:t>
            </w:r>
          </w:p>
        </w:tc>
      </w:tr>
      <w:tr w14:paraId="6C59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vAlign w:val="center"/>
          </w:tcPr>
          <w:p w14:paraId="0D2DE362">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010" w:type="pct"/>
            <w:vMerge w:val="continue"/>
            <w:vAlign w:val="center"/>
          </w:tcPr>
          <w:p w14:paraId="505A3B3B">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429" w:type="pct"/>
            <w:vAlign w:val="center"/>
          </w:tcPr>
          <w:p w14:paraId="370807C0">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最大安全过载</w:t>
            </w:r>
          </w:p>
        </w:tc>
        <w:tc>
          <w:tcPr>
            <w:tcW w:w="2143" w:type="pct"/>
            <w:vAlign w:val="center"/>
          </w:tcPr>
          <w:p w14:paraId="6104B02F">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150%</w:t>
            </w:r>
          </w:p>
        </w:tc>
      </w:tr>
      <w:tr w14:paraId="73C6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vAlign w:val="center"/>
          </w:tcPr>
          <w:p w14:paraId="6A4124CA">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010" w:type="pct"/>
            <w:vMerge w:val="continue"/>
            <w:vAlign w:val="center"/>
          </w:tcPr>
          <w:p w14:paraId="772C8A3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429" w:type="pct"/>
            <w:vAlign w:val="center"/>
          </w:tcPr>
          <w:p w14:paraId="1D6EB7A8">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适用环境温度</w:t>
            </w:r>
          </w:p>
        </w:tc>
        <w:tc>
          <w:tcPr>
            <w:tcW w:w="2143" w:type="pct"/>
            <w:vAlign w:val="center"/>
          </w:tcPr>
          <w:p w14:paraId="089E958F">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-30℃～70℃</w:t>
            </w:r>
          </w:p>
        </w:tc>
      </w:tr>
      <w:tr w14:paraId="34CB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Merge w:val="continue"/>
            <w:vAlign w:val="center"/>
          </w:tcPr>
          <w:p w14:paraId="3912D455">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010" w:type="pct"/>
            <w:vMerge w:val="continue"/>
            <w:vAlign w:val="center"/>
          </w:tcPr>
          <w:p w14:paraId="52ACBB0F">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1429" w:type="pct"/>
            <w:vAlign w:val="center"/>
          </w:tcPr>
          <w:p w14:paraId="5357BD1E">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安装要求</w:t>
            </w:r>
          </w:p>
        </w:tc>
        <w:tc>
          <w:tcPr>
            <w:tcW w:w="2143" w:type="pct"/>
            <w:vAlign w:val="center"/>
          </w:tcPr>
          <w:p w14:paraId="02BAF69F">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浅基坑（在设计地磅基础时，必须考虑地磅的排水功能，以保护电器元件和保证正常使用）；</w:t>
            </w:r>
          </w:p>
        </w:tc>
      </w:tr>
      <w:tr w14:paraId="67AB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Align w:val="center"/>
          </w:tcPr>
          <w:p w14:paraId="42158150">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1010" w:type="pct"/>
            <w:vAlign w:val="center"/>
          </w:tcPr>
          <w:p w14:paraId="1E4621F0">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计算机</w:t>
            </w:r>
          </w:p>
        </w:tc>
        <w:tc>
          <w:tcPr>
            <w:tcW w:w="3572" w:type="pct"/>
            <w:gridSpan w:val="2"/>
            <w:vAlign w:val="center"/>
          </w:tcPr>
          <w:p w14:paraId="7DFE42F4">
            <w:pPr>
              <w:widowControl w:val="0"/>
              <w:kinsoku/>
              <w:autoSpaceDE/>
              <w:autoSpaceDN/>
              <w:adjustRightInd/>
              <w:snapToGrid/>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参数：内存≥4G、硬盘≥1T、显示器≥23.8寸。</w:t>
            </w:r>
          </w:p>
        </w:tc>
      </w:tr>
      <w:tr w14:paraId="2F15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Align w:val="center"/>
          </w:tcPr>
          <w:p w14:paraId="348A861E">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p>
        </w:tc>
        <w:tc>
          <w:tcPr>
            <w:tcW w:w="1010" w:type="pct"/>
            <w:vAlign w:val="center"/>
          </w:tcPr>
          <w:p w14:paraId="01EFFBBC">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票据打印机</w:t>
            </w:r>
          </w:p>
        </w:tc>
        <w:tc>
          <w:tcPr>
            <w:tcW w:w="3572" w:type="pct"/>
            <w:gridSpan w:val="2"/>
            <w:vAlign w:val="center"/>
          </w:tcPr>
          <w:p w14:paraId="621A3BF1">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满足日常打印需求</w:t>
            </w:r>
          </w:p>
        </w:tc>
      </w:tr>
      <w:tr w14:paraId="5B53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Align w:val="center"/>
          </w:tcPr>
          <w:p w14:paraId="388B4C10">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1010" w:type="pct"/>
            <w:vAlign w:val="center"/>
          </w:tcPr>
          <w:p w14:paraId="71DD7E54">
            <w:pPr>
              <w:widowControl w:val="0"/>
              <w:kinsoku/>
              <w:autoSpaceDE/>
              <w:autoSpaceDN/>
              <w:adjustRightInd/>
              <w:snapToGrid/>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配套设施</w:t>
            </w:r>
          </w:p>
        </w:tc>
        <w:tc>
          <w:tcPr>
            <w:tcW w:w="3572" w:type="pct"/>
            <w:gridSpan w:val="2"/>
            <w:vAlign w:val="center"/>
          </w:tcPr>
          <w:p w14:paraId="1DDD8D56">
            <w:pPr>
              <w:widowControl w:val="0"/>
              <w:kinsoku/>
              <w:autoSpaceDE/>
              <w:autoSpaceDN/>
              <w:adjustRightInd/>
              <w:snapToGrid/>
              <w:spacing w:line="240" w:lineRule="auto"/>
              <w:jc w:val="both"/>
              <w:textAlignment w:val="auto"/>
              <w:rPr>
                <w:rFonts w:hint="eastAsia" w:ascii="宋体" w:hAnsi="宋体" w:eastAsia="宋体" w:cs="宋体"/>
                <w:b w:val="0"/>
                <w:bCs/>
                <w:snapToGrid/>
                <w:kern w:val="2"/>
                <w:sz w:val="28"/>
                <w:szCs w:val="28"/>
                <w:highlight w:val="none"/>
                <w:lang w:val="en-US" w:eastAsia="zh-CN"/>
              </w:rPr>
            </w:pPr>
            <w:r>
              <w:rPr>
                <w:rFonts w:hint="eastAsia" w:ascii="宋体" w:hAnsi="宋体" w:eastAsia="宋体" w:cs="宋体"/>
                <w:b w:val="0"/>
                <w:bCs/>
                <w:snapToGrid/>
                <w:kern w:val="2"/>
                <w:sz w:val="28"/>
                <w:szCs w:val="28"/>
                <w:highlight w:val="none"/>
                <w:lang w:val="en-US" w:eastAsia="zh-CN"/>
              </w:rPr>
              <w:t>相关</w:t>
            </w:r>
            <w:r>
              <w:rPr>
                <w:rFonts w:hint="eastAsia" w:ascii="宋体" w:hAnsi="宋体" w:eastAsia="宋体" w:cs="宋体"/>
                <w:b w:val="0"/>
                <w:bCs/>
                <w:snapToGrid/>
                <w:kern w:val="2"/>
                <w:sz w:val="28"/>
                <w:szCs w:val="28"/>
                <w:highlight w:val="none"/>
                <w:lang w:eastAsia="zh-CN"/>
              </w:rPr>
              <w:t>配套设施</w:t>
            </w:r>
          </w:p>
        </w:tc>
      </w:tr>
    </w:tbl>
    <w:p w14:paraId="131DD526">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（十</w:t>
      </w:r>
      <w:r>
        <w:rPr>
          <w:rFonts w:hint="eastAsia" w:ascii="宋体" w:hAnsi="宋体" w:eastAsia="宋体" w:cs="宋体"/>
          <w:b/>
          <w:bCs w:val="0"/>
          <w:snapToGrid/>
          <w:kern w:val="2"/>
          <w:sz w:val="32"/>
          <w:szCs w:val="32"/>
          <w:highlight w:val="none"/>
          <w:lang w:val="en-US" w:eastAsia="zh-CN"/>
        </w:rPr>
        <w:t>四</w:t>
      </w:r>
      <w:r>
        <w:rPr>
          <w:rFonts w:hint="eastAsia" w:ascii="宋体" w:hAnsi="宋体" w:eastAsia="宋体" w:cs="宋体"/>
          <w:b/>
          <w:bCs w:val="0"/>
          <w:snapToGrid/>
          <w:kern w:val="2"/>
          <w:sz w:val="32"/>
          <w:szCs w:val="32"/>
          <w:highlight w:val="none"/>
          <w:lang w:eastAsia="zh-CN"/>
        </w:rPr>
        <w:t>）离子新风设备</w:t>
      </w:r>
    </w:p>
    <w:p w14:paraId="620FE01E">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1、组成要求</w:t>
      </w:r>
    </w:p>
    <w:p w14:paraId="73A8586B">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离子新风设备应由离子发生段、风机、送风管路和控制设备等组成，可与负压抽风除尘除臭设备配套使用，能对垃圾站作业过程中产生的臭气通过站内离子送风除臭的方式进行处理，并对室内空间进行风量补偿。</w:t>
      </w:r>
    </w:p>
    <w:p w14:paraId="58E78197">
      <w:pPr>
        <w:widowControl w:val="0"/>
        <w:kinsoku/>
        <w:autoSpaceDE/>
        <w:autoSpaceDN/>
        <w:adjustRightInd/>
        <w:snapToGrid/>
        <w:spacing w:line="360" w:lineRule="auto"/>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2、参数要求</w:t>
      </w:r>
    </w:p>
    <w:tbl>
      <w:tblPr>
        <w:tblStyle w:val="19"/>
        <w:tblW w:w="4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3257"/>
        <w:gridCol w:w="3325"/>
      </w:tblGrid>
      <w:tr w14:paraId="3222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shd w:val="clear" w:color="auto" w:fill="auto"/>
            <w:noWrap/>
            <w:vAlign w:val="center"/>
          </w:tcPr>
          <w:p w14:paraId="06182E6A">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设备名称</w:t>
            </w:r>
          </w:p>
        </w:tc>
        <w:tc>
          <w:tcPr>
            <w:tcW w:w="3257" w:type="dxa"/>
            <w:shd w:val="clear" w:color="auto" w:fill="auto"/>
            <w:noWrap/>
            <w:vAlign w:val="center"/>
          </w:tcPr>
          <w:p w14:paraId="7737AA16">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项目</w:t>
            </w:r>
          </w:p>
        </w:tc>
        <w:tc>
          <w:tcPr>
            <w:tcW w:w="3325" w:type="dxa"/>
            <w:shd w:val="clear" w:color="auto" w:fill="auto"/>
            <w:noWrap/>
            <w:vAlign w:val="center"/>
          </w:tcPr>
          <w:p w14:paraId="672D4705">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参数</w:t>
            </w:r>
          </w:p>
        </w:tc>
      </w:tr>
      <w:tr w14:paraId="5D49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restart"/>
            <w:shd w:val="clear" w:color="auto" w:fill="auto"/>
            <w:vAlign w:val="center"/>
          </w:tcPr>
          <w:p w14:paraId="4EABF07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离心风机</w:t>
            </w:r>
          </w:p>
        </w:tc>
        <w:tc>
          <w:tcPr>
            <w:tcW w:w="3257" w:type="dxa"/>
            <w:shd w:val="clear" w:color="auto" w:fill="auto"/>
            <w:noWrap/>
            <w:vAlign w:val="center"/>
          </w:tcPr>
          <w:p w14:paraId="54D63200">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材质</w:t>
            </w:r>
          </w:p>
        </w:tc>
        <w:tc>
          <w:tcPr>
            <w:tcW w:w="3325" w:type="dxa"/>
            <w:shd w:val="clear" w:color="auto" w:fill="auto"/>
            <w:noWrap/>
            <w:vAlign w:val="center"/>
          </w:tcPr>
          <w:p w14:paraId="5EA6EC7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FRP</w:t>
            </w:r>
          </w:p>
        </w:tc>
      </w:tr>
      <w:tr w14:paraId="63D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continue"/>
            <w:shd w:val="clear" w:color="auto" w:fill="auto"/>
            <w:vAlign w:val="center"/>
          </w:tcPr>
          <w:p w14:paraId="1D946C6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65AECF7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风量（m</w:t>
            </w:r>
            <w:r>
              <w:rPr>
                <w:rFonts w:hint="eastAsia" w:ascii="宋体" w:hAnsi="宋体" w:eastAsia="宋体" w:cs="宋体"/>
                <w:b w:val="0"/>
                <w:bCs/>
                <w:snapToGrid/>
                <w:color w:val="000000"/>
                <w:kern w:val="0"/>
                <w:sz w:val="28"/>
                <w:szCs w:val="28"/>
                <w:highlight w:val="none"/>
                <w:vertAlign w:val="superscript"/>
                <w:lang w:eastAsia="zh-CN"/>
              </w:rPr>
              <w:t>3</w:t>
            </w:r>
            <w:r>
              <w:rPr>
                <w:rFonts w:hint="eastAsia" w:ascii="宋体" w:hAnsi="宋体" w:eastAsia="宋体" w:cs="宋体"/>
                <w:b w:val="0"/>
                <w:bCs/>
                <w:snapToGrid/>
                <w:color w:val="000000"/>
                <w:kern w:val="0"/>
                <w:sz w:val="28"/>
                <w:szCs w:val="28"/>
                <w:highlight w:val="none"/>
                <w:lang w:eastAsia="zh-CN"/>
              </w:rPr>
              <w:t>/h）</w:t>
            </w:r>
          </w:p>
        </w:tc>
        <w:tc>
          <w:tcPr>
            <w:tcW w:w="3325" w:type="dxa"/>
            <w:shd w:val="clear" w:color="auto" w:fill="auto"/>
            <w:noWrap/>
            <w:vAlign w:val="center"/>
          </w:tcPr>
          <w:p w14:paraId="2F31E25F">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≥30000</w:t>
            </w:r>
          </w:p>
        </w:tc>
      </w:tr>
      <w:tr w14:paraId="7C2F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continue"/>
            <w:shd w:val="clear" w:color="auto" w:fill="auto"/>
            <w:vAlign w:val="center"/>
          </w:tcPr>
          <w:p w14:paraId="5705E50D">
            <w:pPr>
              <w:widowControl w:val="0"/>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0D7ACC96">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功率（kW）</w:t>
            </w:r>
          </w:p>
        </w:tc>
        <w:tc>
          <w:tcPr>
            <w:tcW w:w="3325" w:type="dxa"/>
            <w:shd w:val="clear" w:color="auto" w:fill="auto"/>
            <w:noWrap/>
            <w:vAlign w:val="center"/>
          </w:tcPr>
          <w:p w14:paraId="1B81047A">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≥22</w:t>
            </w:r>
          </w:p>
        </w:tc>
      </w:tr>
      <w:tr w14:paraId="1EC7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continue"/>
            <w:shd w:val="clear" w:color="auto" w:fill="auto"/>
            <w:vAlign w:val="center"/>
          </w:tcPr>
          <w:p w14:paraId="3A113296">
            <w:pPr>
              <w:widowControl w:val="0"/>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19D950B9">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噪音</w:t>
            </w:r>
            <w:r>
              <w:rPr>
                <w:rFonts w:hint="eastAsia" w:ascii="宋体" w:hAnsi="宋体" w:eastAsia="宋体" w:cs="宋体"/>
                <w:b w:val="0"/>
                <w:bCs/>
                <w:snapToGrid/>
                <w:kern w:val="0"/>
                <w:sz w:val="28"/>
                <w:szCs w:val="28"/>
                <w:highlight w:val="none"/>
                <w:lang w:eastAsia="zh-CN"/>
              </w:rPr>
              <w:t>(dB（A）)</w:t>
            </w:r>
          </w:p>
        </w:tc>
        <w:tc>
          <w:tcPr>
            <w:tcW w:w="3325" w:type="dxa"/>
            <w:shd w:val="clear" w:color="auto" w:fill="auto"/>
            <w:noWrap/>
            <w:vAlign w:val="center"/>
          </w:tcPr>
          <w:p w14:paraId="2BCCD213">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≤85</w:t>
            </w:r>
          </w:p>
        </w:tc>
      </w:tr>
      <w:tr w14:paraId="357F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continue"/>
            <w:shd w:val="clear" w:color="auto" w:fill="auto"/>
            <w:vAlign w:val="center"/>
          </w:tcPr>
          <w:p w14:paraId="10943F26">
            <w:pPr>
              <w:widowControl w:val="0"/>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366837BB">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防护等级</w:t>
            </w:r>
          </w:p>
        </w:tc>
        <w:tc>
          <w:tcPr>
            <w:tcW w:w="3325" w:type="dxa"/>
            <w:shd w:val="clear" w:color="auto" w:fill="auto"/>
            <w:noWrap/>
            <w:vAlign w:val="center"/>
          </w:tcPr>
          <w:p w14:paraId="46479E25">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IP55或优于</w:t>
            </w:r>
          </w:p>
        </w:tc>
      </w:tr>
      <w:tr w14:paraId="0FE2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restart"/>
            <w:shd w:val="clear" w:color="auto" w:fill="auto"/>
            <w:vAlign w:val="center"/>
          </w:tcPr>
          <w:p w14:paraId="6F7876EA">
            <w:pPr>
              <w:widowControl w:val="0"/>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高能离子发生装置</w:t>
            </w:r>
          </w:p>
        </w:tc>
        <w:tc>
          <w:tcPr>
            <w:tcW w:w="3257" w:type="dxa"/>
            <w:shd w:val="clear" w:color="auto" w:fill="auto"/>
            <w:noWrap/>
            <w:vAlign w:val="center"/>
          </w:tcPr>
          <w:p w14:paraId="14E50F03">
            <w:pPr>
              <w:widowControl/>
              <w:kinsoku/>
              <w:autoSpaceDE/>
              <w:autoSpaceDN/>
              <w:adjustRightInd/>
              <w:snapToGrid/>
              <w:spacing w:line="240" w:lineRule="auto"/>
              <w:jc w:val="center"/>
              <w:textAlignment w:val="center"/>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柜体材质</w:t>
            </w:r>
          </w:p>
        </w:tc>
        <w:tc>
          <w:tcPr>
            <w:tcW w:w="3325" w:type="dxa"/>
            <w:shd w:val="clear" w:color="auto" w:fill="auto"/>
            <w:noWrap/>
            <w:vAlign w:val="center"/>
          </w:tcPr>
          <w:p w14:paraId="0516B0B0">
            <w:pPr>
              <w:widowControl/>
              <w:kinsoku/>
              <w:autoSpaceDE/>
              <w:autoSpaceDN/>
              <w:adjustRightInd/>
              <w:snapToGrid/>
              <w:spacing w:line="240" w:lineRule="auto"/>
              <w:jc w:val="center"/>
              <w:textAlignment w:val="center"/>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SUS304</w:t>
            </w:r>
          </w:p>
        </w:tc>
      </w:tr>
      <w:tr w14:paraId="35A5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continue"/>
            <w:shd w:val="clear" w:color="auto" w:fill="auto"/>
            <w:noWrap/>
            <w:vAlign w:val="center"/>
          </w:tcPr>
          <w:p w14:paraId="73DE924B">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1D967C95">
            <w:pPr>
              <w:widowControl/>
              <w:kinsoku/>
              <w:autoSpaceDE/>
              <w:autoSpaceDN/>
              <w:adjustRightInd/>
              <w:snapToGrid/>
              <w:spacing w:line="240" w:lineRule="auto"/>
              <w:jc w:val="center"/>
              <w:textAlignment w:val="center"/>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功率（kW）</w:t>
            </w:r>
          </w:p>
        </w:tc>
        <w:tc>
          <w:tcPr>
            <w:tcW w:w="3325" w:type="dxa"/>
            <w:shd w:val="clear" w:color="auto" w:fill="auto"/>
            <w:noWrap/>
            <w:vAlign w:val="center"/>
          </w:tcPr>
          <w:p w14:paraId="485C5A68">
            <w:pPr>
              <w:widowControl/>
              <w:kinsoku/>
              <w:autoSpaceDE/>
              <w:autoSpaceDN/>
              <w:adjustRightInd/>
              <w:snapToGrid/>
              <w:spacing w:line="240" w:lineRule="auto"/>
              <w:jc w:val="center"/>
              <w:textAlignment w:val="center"/>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≥1.8</w:t>
            </w:r>
          </w:p>
        </w:tc>
      </w:tr>
      <w:tr w14:paraId="00D5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continue"/>
            <w:shd w:val="clear" w:color="auto" w:fill="auto"/>
            <w:vAlign w:val="center"/>
          </w:tcPr>
          <w:p w14:paraId="19E9D381">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50814E2B">
            <w:pPr>
              <w:widowControl/>
              <w:kinsoku/>
              <w:autoSpaceDE/>
              <w:autoSpaceDN/>
              <w:adjustRightInd/>
              <w:snapToGrid/>
              <w:spacing w:line="240" w:lineRule="auto"/>
              <w:jc w:val="center"/>
              <w:textAlignment w:val="center"/>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离子管数量</w:t>
            </w:r>
          </w:p>
        </w:tc>
        <w:tc>
          <w:tcPr>
            <w:tcW w:w="3325" w:type="dxa"/>
            <w:shd w:val="clear" w:color="auto" w:fill="auto"/>
            <w:noWrap/>
            <w:vAlign w:val="center"/>
          </w:tcPr>
          <w:p w14:paraId="6A3290D2">
            <w:pPr>
              <w:widowControl/>
              <w:kinsoku/>
              <w:autoSpaceDE/>
              <w:autoSpaceDN/>
              <w:adjustRightInd/>
              <w:snapToGrid/>
              <w:spacing w:line="240" w:lineRule="auto"/>
              <w:jc w:val="center"/>
              <w:textAlignment w:val="center"/>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≥12组</w:t>
            </w:r>
          </w:p>
        </w:tc>
      </w:tr>
      <w:tr w14:paraId="21B8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continue"/>
            <w:shd w:val="clear" w:color="auto" w:fill="auto"/>
            <w:vAlign w:val="center"/>
          </w:tcPr>
          <w:p w14:paraId="5C0A1734">
            <w:pPr>
              <w:widowControl/>
              <w:kinsoku/>
              <w:autoSpaceDE/>
              <w:autoSpaceDN/>
              <w:adjustRightInd/>
              <w:snapToGrid/>
              <w:spacing w:line="240" w:lineRule="auto"/>
              <w:jc w:val="left"/>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751586C9">
            <w:pPr>
              <w:widowControl/>
              <w:kinsoku/>
              <w:autoSpaceDE/>
              <w:autoSpaceDN/>
              <w:adjustRightInd/>
              <w:snapToGrid/>
              <w:spacing w:line="240" w:lineRule="auto"/>
              <w:jc w:val="center"/>
              <w:textAlignment w:val="center"/>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离子管寿命（h）</w:t>
            </w:r>
          </w:p>
        </w:tc>
        <w:tc>
          <w:tcPr>
            <w:tcW w:w="3325" w:type="dxa"/>
            <w:shd w:val="clear" w:color="auto" w:fill="auto"/>
            <w:noWrap/>
            <w:vAlign w:val="center"/>
          </w:tcPr>
          <w:p w14:paraId="44A24AD6">
            <w:pPr>
              <w:widowControl/>
              <w:kinsoku/>
              <w:autoSpaceDE/>
              <w:autoSpaceDN/>
              <w:adjustRightInd/>
              <w:snapToGrid/>
              <w:spacing w:line="240" w:lineRule="auto"/>
              <w:jc w:val="center"/>
              <w:textAlignment w:val="center"/>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≥30000</w:t>
            </w:r>
          </w:p>
        </w:tc>
      </w:tr>
      <w:tr w14:paraId="371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restart"/>
            <w:shd w:val="clear" w:color="auto" w:fill="auto"/>
            <w:vAlign w:val="center"/>
          </w:tcPr>
          <w:p w14:paraId="796CD333">
            <w:pPr>
              <w:widowControl w:val="0"/>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控制设备</w:t>
            </w:r>
          </w:p>
        </w:tc>
        <w:tc>
          <w:tcPr>
            <w:tcW w:w="3257" w:type="dxa"/>
            <w:shd w:val="clear" w:color="auto" w:fill="auto"/>
            <w:noWrap/>
            <w:vAlign w:val="center"/>
          </w:tcPr>
          <w:p w14:paraId="54784E14">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控制形式</w:t>
            </w:r>
          </w:p>
        </w:tc>
        <w:tc>
          <w:tcPr>
            <w:tcW w:w="3325" w:type="dxa"/>
            <w:shd w:val="clear" w:color="auto" w:fill="auto"/>
            <w:noWrap/>
            <w:vAlign w:val="center"/>
          </w:tcPr>
          <w:p w14:paraId="1DB32364">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PLC控制</w:t>
            </w:r>
          </w:p>
        </w:tc>
      </w:tr>
      <w:tr w14:paraId="504C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continue"/>
            <w:shd w:val="clear" w:color="auto" w:fill="auto"/>
            <w:vAlign w:val="center"/>
          </w:tcPr>
          <w:p w14:paraId="3B42B659">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348695DD">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触摸屏尺寸</w:t>
            </w:r>
          </w:p>
        </w:tc>
        <w:tc>
          <w:tcPr>
            <w:tcW w:w="3325" w:type="dxa"/>
            <w:shd w:val="clear" w:color="auto" w:fill="auto"/>
            <w:noWrap/>
            <w:vAlign w:val="center"/>
          </w:tcPr>
          <w:p w14:paraId="446D759F">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≥7寸</w:t>
            </w:r>
          </w:p>
        </w:tc>
      </w:tr>
      <w:tr w14:paraId="4738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958" w:type="dxa"/>
            <w:vMerge w:val="restart"/>
            <w:shd w:val="clear" w:color="auto" w:fill="auto"/>
            <w:noWrap/>
            <w:vAlign w:val="center"/>
          </w:tcPr>
          <w:p w14:paraId="3FD32447">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风管</w:t>
            </w:r>
          </w:p>
        </w:tc>
        <w:tc>
          <w:tcPr>
            <w:tcW w:w="3257" w:type="dxa"/>
            <w:shd w:val="clear" w:color="auto" w:fill="auto"/>
            <w:noWrap/>
            <w:vAlign w:val="center"/>
          </w:tcPr>
          <w:p w14:paraId="48911A49">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主风管规格（mm）</w:t>
            </w:r>
          </w:p>
        </w:tc>
        <w:tc>
          <w:tcPr>
            <w:tcW w:w="3325" w:type="dxa"/>
            <w:shd w:val="clear" w:color="auto" w:fill="auto"/>
            <w:noWrap/>
            <w:vAlign w:val="center"/>
          </w:tcPr>
          <w:p w14:paraId="7486A352">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≥Φ900</w:t>
            </w:r>
          </w:p>
        </w:tc>
      </w:tr>
      <w:tr w14:paraId="2FD2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jc w:val="center"/>
        </w:trPr>
        <w:tc>
          <w:tcPr>
            <w:tcW w:w="2958" w:type="dxa"/>
            <w:vMerge w:val="continue"/>
            <w:shd w:val="clear" w:color="auto" w:fill="auto"/>
            <w:noWrap/>
            <w:vAlign w:val="center"/>
          </w:tcPr>
          <w:p w14:paraId="353DD6C6">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p>
        </w:tc>
        <w:tc>
          <w:tcPr>
            <w:tcW w:w="3257" w:type="dxa"/>
            <w:shd w:val="clear" w:color="auto" w:fill="auto"/>
            <w:noWrap/>
            <w:vAlign w:val="center"/>
          </w:tcPr>
          <w:p w14:paraId="0D8BEBB1">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color w:val="000000"/>
                <w:kern w:val="0"/>
                <w:sz w:val="28"/>
                <w:szCs w:val="28"/>
                <w:highlight w:val="none"/>
                <w:lang w:eastAsia="zh-CN"/>
              </w:rPr>
              <w:t>材质</w:t>
            </w:r>
          </w:p>
        </w:tc>
        <w:tc>
          <w:tcPr>
            <w:tcW w:w="3325" w:type="dxa"/>
            <w:shd w:val="clear" w:color="auto" w:fill="auto"/>
            <w:noWrap/>
            <w:vAlign w:val="center"/>
          </w:tcPr>
          <w:p w14:paraId="37191FF1">
            <w:pPr>
              <w:widowControl/>
              <w:kinsoku/>
              <w:autoSpaceDE/>
              <w:autoSpaceDN/>
              <w:adjustRightInd/>
              <w:snapToGrid/>
              <w:spacing w:line="240" w:lineRule="auto"/>
              <w:jc w:val="center"/>
              <w:textAlignment w:val="auto"/>
              <w:rPr>
                <w:rFonts w:hint="eastAsia" w:ascii="宋体" w:hAnsi="宋体" w:eastAsia="宋体" w:cs="宋体"/>
                <w:b w:val="0"/>
                <w:bCs/>
                <w:snapToGrid/>
                <w:color w:val="000000"/>
                <w:kern w:val="0"/>
                <w:sz w:val="28"/>
                <w:szCs w:val="28"/>
                <w:highlight w:val="none"/>
                <w:lang w:eastAsia="zh-CN"/>
              </w:rPr>
            </w:pPr>
            <w:r>
              <w:rPr>
                <w:rFonts w:hint="eastAsia" w:ascii="宋体" w:hAnsi="宋体" w:eastAsia="宋体" w:cs="宋体"/>
                <w:b w:val="0"/>
                <w:bCs/>
                <w:snapToGrid/>
                <w:kern w:val="0"/>
                <w:sz w:val="28"/>
                <w:szCs w:val="28"/>
                <w:highlight w:val="none"/>
                <w:lang w:eastAsia="zh-CN"/>
              </w:rPr>
              <w:t>SUS304</w:t>
            </w:r>
          </w:p>
        </w:tc>
      </w:tr>
    </w:tbl>
    <w:p w14:paraId="32FD48F7">
      <w:pPr>
        <w:widowControl w:val="0"/>
        <w:kinsoku/>
        <w:autoSpaceDE/>
        <w:autoSpaceDN/>
        <w:adjustRightInd/>
        <w:snapToGrid/>
        <w:spacing w:line="360" w:lineRule="auto"/>
        <w:jc w:val="both"/>
        <w:textAlignment w:val="auto"/>
        <w:rPr>
          <w:rFonts w:hint="eastAsia" w:ascii="宋体" w:hAnsi="宋体" w:eastAsia="宋体" w:cs="宋体"/>
          <w:b/>
          <w:bCs w:val="0"/>
          <w:snapToGrid/>
          <w:kern w:val="2"/>
          <w:sz w:val="32"/>
          <w:szCs w:val="32"/>
          <w:highlight w:val="none"/>
          <w:lang w:eastAsia="zh-CN"/>
        </w:rPr>
      </w:pPr>
      <w:r>
        <w:rPr>
          <w:rFonts w:hint="eastAsia" w:ascii="宋体" w:hAnsi="宋体" w:eastAsia="宋体" w:cs="宋体"/>
          <w:b/>
          <w:bCs w:val="0"/>
          <w:snapToGrid/>
          <w:kern w:val="2"/>
          <w:sz w:val="32"/>
          <w:szCs w:val="32"/>
          <w:highlight w:val="none"/>
          <w:lang w:eastAsia="zh-CN"/>
        </w:rPr>
        <w:t>（十</w:t>
      </w:r>
      <w:r>
        <w:rPr>
          <w:rFonts w:hint="eastAsia" w:ascii="宋体" w:hAnsi="宋体" w:eastAsia="宋体" w:cs="宋体"/>
          <w:b/>
          <w:bCs w:val="0"/>
          <w:snapToGrid/>
          <w:kern w:val="2"/>
          <w:sz w:val="32"/>
          <w:szCs w:val="32"/>
          <w:highlight w:val="none"/>
          <w:lang w:val="en-US" w:eastAsia="zh-CN"/>
        </w:rPr>
        <w:t>五</w:t>
      </w:r>
      <w:r>
        <w:rPr>
          <w:rFonts w:hint="eastAsia" w:ascii="宋体" w:hAnsi="宋体" w:eastAsia="宋体" w:cs="宋体"/>
          <w:b/>
          <w:bCs w:val="0"/>
          <w:snapToGrid/>
          <w:kern w:val="2"/>
          <w:sz w:val="32"/>
          <w:szCs w:val="32"/>
          <w:highlight w:val="none"/>
          <w:lang w:eastAsia="zh-CN"/>
        </w:rPr>
        <w:t>）渗滤液集中处理</w:t>
      </w:r>
      <w:r>
        <w:rPr>
          <w:rFonts w:hint="eastAsia" w:ascii="宋体" w:hAnsi="宋体" w:eastAsia="宋体" w:cs="宋体"/>
          <w:b/>
          <w:bCs w:val="0"/>
          <w:snapToGrid/>
          <w:kern w:val="2"/>
          <w:sz w:val="32"/>
          <w:szCs w:val="32"/>
          <w:highlight w:val="none"/>
          <w:lang w:val="en-US" w:eastAsia="zh-CN"/>
        </w:rPr>
        <w:t>设备</w:t>
      </w:r>
    </w:p>
    <w:p w14:paraId="6C2FAC77">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污水处理规模：渗滤液集中处理系统单套处理规模为20t/d，本项目需4套。</w:t>
      </w:r>
    </w:p>
    <w:p w14:paraId="06EDB920">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出水水质：本项目处理出水需符合《污水排入城镇下水道水质标准》（GB/T 31962-2015）B级标准和《污水综合排放标准》（GB8978-1996）三级标准。</w:t>
      </w:r>
    </w:p>
    <w:p w14:paraId="2B5B43DC">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污水处理工艺：“预处理+高效MBR生化+深度保障”的工艺路线。</w:t>
      </w:r>
    </w:p>
    <w:p w14:paraId="1D98CCB5">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工艺不允许变更，不允许有浓缩液产生。在投标文件中阐述污水处理技术方案，对各工艺单元进行详细描述、设计。</w:t>
      </w:r>
    </w:p>
    <w:p w14:paraId="14B71009">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总体设计要求：</w:t>
      </w:r>
    </w:p>
    <w:p w14:paraId="5F0DF2A2">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1）全量化处理，无难处理二次污染物，不产生膜浓缩液，不产生难处理或属于管控危废的废材废料，理后产水排放至红线处下水道。</w:t>
      </w:r>
    </w:p>
    <w:p w14:paraId="7564ACF6">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2）污泥必须经过脱水，脱水后含水率≤80%。</w:t>
      </w:r>
    </w:p>
    <w:p w14:paraId="2B947EA8">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3）无安全生产管控风险与难点。不产生甲烷沼气、硫化氢等有毒易燃易爆气体；不使用强腐蚀性、有毒有害、易制爆及管控或需备案类耗材与药剂。</w:t>
      </w:r>
    </w:p>
    <w:p w14:paraId="714695E0">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4）供应商所提供的污水处理设备应采用一套或多套集成撬装式设备，无现场焊接生产等加工。</w:t>
      </w:r>
    </w:p>
    <w:p w14:paraId="69D07B11">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5）设备应采用密封式结构防止恶臭气体外泄。</w:t>
      </w:r>
    </w:p>
    <w:p w14:paraId="65EE2C22">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设备配置要求：</w:t>
      </w:r>
    </w:p>
    <w:p w14:paraId="33759644">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1）水泵、传感器、搅拌机、容器等根据水质条件，过流面或过流部件应采用防腐材质或防腐处理。</w:t>
      </w:r>
    </w:p>
    <w:p w14:paraId="4B046C80">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一体化设备曝气装置采用包括但不限于可拆卸式旋流曝气器、可拆卸式微孔曝气器、可拆卸式管式曝气器，应实现在不停机状态下拆卸维修。供应商应在投标文件中对此项功能的实现结构、工作原理及拆装方式进行详细描述，并附结构示意图或拆装示意图予以说明。</w:t>
      </w:r>
    </w:p>
    <w:p w14:paraId="583B6D20">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3）一体化设备生化反应器可采用不锈钢或碳钢防腐</w:t>
      </w:r>
      <w:r>
        <w:rPr>
          <w:rFonts w:hint="eastAsia" w:ascii="宋体" w:hAnsi="宋体" w:eastAsia="宋体" w:cs="宋体"/>
          <w:b w:val="0"/>
          <w:bCs/>
          <w:snapToGrid/>
          <w:kern w:val="2"/>
          <w:sz w:val="28"/>
          <w:szCs w:val="28"/>
          <w:highlight w:val="none"/>
          <w:lang w:val="en-US" w:eastAsia="zh-CN"/>
        </w:rPr>
        <w:t>等</w:t>
      </w:r>
      <w:r>
        <w:rPr>
          <w:rFonts w:hint="eastAsia" w:ascii="宋体" w:hAnsi="宋体" w:eastAsia="宋体" w:cs="宋体"/>
          <w:b w:val="0"/>
          <w:bCs/>
          <w:snapToGrid/>
          <w:kern w:val="2"/>
          <w:sz w:val="28"/>
          <w:szCs w:val="28"/>
          <w:highlight w:val="none"/>
          <w:lang w:eastAsia="zh-CN"/>
        </w:rPr>
        <w:t>形式。</w:t>
      </w:r>
    </w:p>
    <w:p w14:paraId="6A06229B">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4）生化反应器缺氧区停留时间不应低于1d，应配置主动水力搅拌（非气搅拌）设备以强化效果。好氧区停留时间不低于7d，供应商应在投标文件中提供详细说明。</w:t>
      </w:r>
    </w:p>
    <w:p w14:paraId="4897355D">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5）采用浸没式超滤膜，供应商应在设计方案中详细描述其所有维护、清洗状况下所需药剂、操作与装备。</w:t>
      </w:r>
    </w:p>
    <w:p w14:paraId="01569F71">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val="en-US" w:eastAsia="zh-CN"/>
        </w:rPr>
      </w:pPr>
      <w:r>
        <w:rPr>
          <w:rFonts w:hint="eastAsia" w:ascii="宋体" w:hAnsi="宋体" w:eastAsia="宋体" w:cs="宋体"/>
          <w:b w:val="0"/>
          <w:bCs/>
          <w:snapToGrid/>
          <w:kern w:val="2"/>
          <w:sz w:val="28"/>
          <w:szCs w:val="28"/>
          <w:highlight w:val="none"/>
          <w:lang w:eastAsia="zh-CN"/>
        </w:rPr>
        <w:t>6）为保障MBR工艺持久性，所选用PVDF材质类型膜通量8-15L/ (m2.h)，且配置膜面积应富余10%以上。供应商应在投标文件中对以详细设计参数与计算对此要求进行论述。平板膜作为核心部件，</w:t>
      </w:r>
      <w:r>
        <w:rPr>
          <w:rFonts w:hint="eastAsia" w:ascii="宋体" w:hAnsi="宋体" w:eastAsia="宋体" w:cs="宋体"/>
          <w:b w:val="0"/>
          <w:bCs/>
          <w:snapToGrid/>
          <w:kern w:val="2"/>
          <w:sz w:val="28"/>
          <w:szCs w:val="28"/>
          <w:highlight w:val="none"/>
          <w:lang w:val="en-US" w:eastAsia="zh-CN"/>
        </w:rPr>
        <w:t>开工前</w:t>
      </w:r>
      <w:r>
        <w:rPr>
          <w:rFonts w:hint="eastAsia" w:ascii="宋体" w:hAnsi="宋体" w:eastAsia="宋体" w:cs="宋体"/>
          <w:b w:val="0"/>
          <w:bCs/>
          <w:snapToGrid/>
          <w:kern w:val="2"/>
          <w:sz w:val="28"/>
          <w:szCs w:val="28"/>
          <w:highlight w:val="none"/>
          <w:lang w:eastAsia="zh-CN"/>
        </w:rPr>
        <w:t>需提供具有CMA、CNAS认证的检测机构出具的检测报告</w:t>
      </w:r>
      <w:r>
        <w:rPr>
          <w:rFonts w:hint="eastAsia" w:ascii="宋体" w:hAnsi="宋体" w:eastAsia="宋体" w:cs="宋体"/>
          <w:b w:val="0"/>
          <w:bCs/>
          <w:snapToGrid/>
          <w:kern w:val="2"/>
          <w:sz w:val="28"/>
          <w:szCs w:val="28"/>
          <w:highlight w:val="none"/>
          <w:lang w:val="en-US" w:eastAsia="zh-CN"/>
        </w:rPr>
        <w:t>（或</w:t>
      </w:r>
      <w:r>
        <w:rPr>
          <w:rFonts w:hint="eastAsia" w:ascii="仿宋" w:hAnsi="仿宋" w:eastAsia="仿宋" w:cs="仿宋"/>
          <w:color w:val="auto"/>
          <w:sz w:val="32"/>
          <w:szCs w:val="32"/>
          <w:highlight w:val="none"/>
          <w:lang w:val="en-US" w:eastAsia="zh-CN"/>
        </w:rPr>
        <w:t>提供</w:t>
      </w:r>
      <w:r>
        <w:rPr>
          <w:rFonts w:hint="eastAsia" w:ascii="宋体" w:hAnsi="宋体" w:eastAsia="宋体" w:cs="宋体"/>
          <w:b w:val="0"/>
          <w:bCs/>
          <w:snapToGrid/>
          <w:kern w:val="2"/>
          <w:sz w:val="28"/>
          <w:szCs w:val="28"/>
          <w:highlight w:val="none"/>
          <w:lang w:val="en-US" w:eastAsia="zh-CN"/>
        </w:rPr>
        <w:t>技术白皮书或推荐书或彩页）。</w:t>
      </w:r>
    </w:p>
    <w:p w14:paraId="29991C60">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w:t>
      </w:r>
      <w:r>
        <w:rPr>
          <w:rFonts w:hint="eastAsia" w:ascii="宋体" w:hAnsi="宋体" w:eastAsia="宋体" w:cs="宋体"/>
          <w:b w:val="0"/>
          <w:bCs/>
          <w:snapToGrid/>
          <w:kern w:val="2"/>
          <w:sz w:val="28"/>
          <w:szCs w:val="28"/>
          <w:highlight w:val="none"/>
          <w:lang w:val="en-US" w:eastAsia="zh-CN"/>
        </w:rPr>
        <w:t>7</w:t>
      </w:r>
      <w:r>
        <w:rPr>
          <w:rFonts w:hint="eastAsia" w:ascii="宋体" w:hAnsi="宋体" w:eastAsia="宋体" w:cs="宋体"/>
          <w:b w:val="0"/>
          <w:bCs/>
          <w:snapToGrid/>
          <w:kern w:val="2"/>
          <w:sz w:val="28"/>
          <w:szCs w:val="28"/>
          <w:highlight w:val="none"/>
          <w:lang w:eastAsia="zh-CN"/>
        </w:rPr>
        <w:t>）一体化设备应具有与生化反应池独立的膜池，以便于独立排空进行清洗维护操作而不影响生化系统的正常运行。</w:t>
      </w:r>
    </w:p>
    <w:p w14:paraId="72D418E9">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自控系统要求：</w:t>
      </w:r>
    </w:p>
    <w:p w14:paraId="0BC292BB">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供应商所提供的集成式装备应具有以下自控性能，并在设计方案中描述及展示：</w:t>
      </w:r>
    </w:p>
    <w:p w14:paraId="7728AA81">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1）集成式装备应设有PLC结合各类传感器以实现自动控制，自动控制逻辑应满足水处理日常运行所需，供应商应在投标文件中对处理系统控制逻辑进行详细描述以说明其满足运行要求。</w:t>
      </w:r>
    </w:p>
    <w:p w14:paraId="07105B42">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2）集成式装备在控制柜设有触摸屏及人机交互界面完成系统运行控制与参数设置。供应商应在投标方案中对此功能进行描述与明确的图文展示。</w:t>
      </w:r>
    </w:p>
    <w:p w14:paraId="3F11B859">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3）集成式装备自控系统界面应具有设备控制、参数设置、故障报警、运维操作提示等功能，供应商应在方案中展示包括但不限于上述界面并做介绍；</w:t>
      </w:r>
    </w:p>
    <w:p w14:paraId="0FCAA74F">
      <w:pPr>
        <w:widowControl w:val="0"/>
        <w:kinsoku/>
        <w:autoSpaceDE/>
        <w:autoSpaceDN/>
        <w:adjustRightInd/>
        <w:snapToGrid/>
        <w:spacing w:line="360" w:lineRule="auto"/>
        <w:ind w:firstLine="280" w:firstLineChars="1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4）提供拟投入本项目所使用电控柜，</w:t>
      </w:r>
      <w:r>
        <w:rPr>
          <w:rFonts w:hint="eastAsia" w:ascii="宋体" w:hAnsi="宋体" w:eastAsia="宋体" w:cs="宋体"/>
          <w:b w:val="0"/>
          <w:bCs/>
          <w:snapToGrid/>
          <w:kern w:val="2"/>
          <w:sz w:val="28"/>
          <w:szCs w:val="28"/>
          <w:highlight w:val="none"/>
          <w:u w:val="none"/>
          <w:lang w:val="en-US" w:eastAsia="zh-CN"/>
        </w:rPr>
        <w:t>开工前</w:t>
      </w:r>
      <w:r>
        <w:rPr>
          <w:rFonts w:hint="eastAsia" w:ascii="宋体" w:hAnsi="宋体" w:eastAsia="宋体" w:cs="宋体"/>
          <w:b w:val="0"/>
          <w:bCs/>
          <w:snapToGrid/>
          <w:kern w:val="2"/>
          <w:sz w:val="28"/>
          <w:szCs w:val="28"/>
          <w:highlight w:val="none"/>
          <w:u w:val="none"/>
          <w:lang w:eastAsia="zh-CN"/>
        </w:rPr>
        <w:t>需提供具有CMA、CNAS认证的检测机构出具的检测报告</w:t>
      </w:r>
      <w:r>
        <w:rPr>
          <w:rFonts w:hint="eastAsia" w:ascii="宋体" w:hAnsi="宋体" w:eastAsia="宋体" w:cs="宋体"/>
          <w:b w:val="0"/>
          <w:bCs/>
          <w:snapToGrid/>
          <w:kern w:val="2"/>
          <w:sz w:val="28"/>
          <w:szCs w:val="28"/>
          <w:highlight w:val="none"/>
          <w:u w:val="none"/>
          <w:lang w:val="en-US" w:eastAsia="zh-CN"/>
        </w:rPr>
        <w:t>（或</w:t>
      </w:r>
      <w:r>
        <w:rPr>
          <w:rFonts w:hint="eastAsia" w:ascii="仿宋" w:hAnsi="仿宋" w:eastAsia="仿宋" w:cs="仿宋"/>
          <w:color w:val="auto"/>
          <w:sz w:val="32"/>
          <w:szCs w:val="32"/>
          <w:highlight w:val="none"/>
          <w:u w:val="none"/>
          <w:lang w:val="en-US" w:eastAsia="zh-CN"/>
        </w:rPr>
        <w:t>提供</w:t>
      </w:r>
      <w:r>
        <w:rPr>
          <w:rFonts w:hint="eastAsia" w:ascii="宋体" w:hAnsi="宋体" w:eastAsia="宋体" w:cs="宋体"/>
          <w:b w:val="0"/>
          <w:bCs/>
          <w:snapToGrid/>
          <w:kern w:val="2"/>
          <w:sz w:val="28"/>
          <w:szCs w:val="28"/>
          <w:highlight w:val="none"/>
          <w:u w:val="none"/>
          <w:lang w:val="en-US" w:eastAsia="zh-CN"/>
        </w:rPr>
        <w:t>技术白皮书或推荐书或彩页）。</w:t>
      </w:r>
      <w:r>
        <w:rPr>
          <w:rFonts w:hint="eastAsia" w:ascii="宋体" w:hAnsi="宋体" w:eastAsia="宋体" w:cs="宋体"/>
          <w:b w:val="0"/>
          <w:bCs/>
          <w:snapToGrid/>
          <w:kern w:val="2"/>
          <w:sz w:val="28"/>
          <w:szCs w:val="28"/>
          <w:highlight w:val="none"/>
          <w:lang w:eastAsia="zh-CN"/>
        </w:rPr>
        <w:t>(检测报告所检项目至少包括但不限于：焊接、涂层、绝缘电阻试验、耐压试验均为合格或符合的检测要求项目)。</w:t>
      </w:r>
    </w:p>
    <w:p w14:paraId="2A778746">
      <w:pPr>
        <w:widowControl w:val="0"/>
        <w:kinsoku/>
        <w:autoSpaceDE/>
        <w:autoSpaceDN/>
        <w:adjustRightInd/>
        <w:snapToGrid/>
        <w:spacing w:line="360" w:lineRule="auto"/>
        <w:ind w:firstLine="560" w:firstLineChars="200"/>
        <w:jc w:val="both"/>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主要设备清单（4套合计）：</w:t>
      </w:r>
    </w:p>
    <w:tbl>
      <w:tblPr>
        <w:tblStyle w:val="19"/>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82"/>
        <w:gridCol w:w="4439"/>
        <w:gridCol w:w="833"/>
        <w:gridCol w:w="867"/>
        <w:gridCol w:w="792"/>
      </w:tblGrid>
      <w:tr w14:paraId="63CA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7" w:type="dxa"/>
            <w:shd w:val="clear" w:color="auto" w:fill="auto"/>
            <w:vAlign w:val="center"/>
          </w:tcPr>
          <w:p w14:paraId="5665586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序号</w:t>
            </w:r>
          </w:p>
        </w:tc>
        <w:tc>
          <w:tcPr>
            <w:tcW w:w="1682" w:type="dxa"/>
            <w:shd w:val="clear" w:color="auto" w:fill="auto"/>
            <w:vAlign w:val="center"/>
          </w:tcPr>
          <w:p w14:paraId="16A2C4D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设备名称</w:t>
            </w:r>
          </w:p>
        </w:tc>
        <w:tc>
          <w:tcPr>
            <w:tcW w:w="4439" w:type="dxa"/>
            <w:shd w:val="clear" w:color="auto" w:fill="auto"/>
            <w:vAlign w:val="center"/>
          </w:tcPr>
          <w:p w14:paraId="60BC42C5">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参数</w:t>
            </w:r>
          </w:p>
        </w:tc>
        <w:tc>
          <w:tcPr>
            <w:tcW w:w="833" w:type="dxa"/>
            <w:shd w:val="clear" w:color="auto" w:fill="auto"/>
            <w:vAlign w:val="center"/>
          </w:tcPr>
          <w:p w14:paraId="72D26C19">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数量</w:t>
            </w:r>
          </w:p>
        </w:tc>
        <w:tc>
          <w:tcPr>
            <w:tcW w:w="867" w:type="dxa"/>
            <w:shd w:val="clear" w:color="auto" w:fill="auto"/>
            <w:vAlign w:val="center"/>
          </w:tcPr>
          <w:p w14:paraId="1CE50D2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单位</w:t>
            </w:r>
          </w:p>
        </w:tc>
        <w:tc>
          <w:tcPr>
            <w:tcW w:w="792" w:type="dxa"/>
            <w:shd w:val="clear" w:color="auto" w:fill="auto"/>
            <w:vAlign w:val="center"/>
          </w:tcPr>
          <w:p w14:paraId="37CACBA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备注</w:t>
            </w:r>
          </w:p>
        </w:tc>
      </w:tr>
      <w:tr w14:paraId="556A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8" w:type="dxa"/>
            <w:gridSpan w:val="3"/>
            <w:shd w:val="clear" w:color="auto" w:fill="auto"/>
            <w:vAlign w:val="center"/>
          </w:tcPr>
          <w:p w14:paraId="0E8EF28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传感器配置</w:t>
            </w:r>
          </w:p>
        </w:tc>
        <w:tc>
          <w:tcPr>
            <w:tcW w:w="833" w:type="dxa"/>
            <w:shd w:val="clear" w:color="auto" w:fill="auto"/>
            <w:vAlign w:val="center"/>
          </w:tcPr>
          <w:p w14:paraId="336B621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867" w:type="dxa"/>
            <w:shd w:val="clear" w:color="auto" w:fill="auto"/>
            <w:vAlign w:val="center"/>
          </w:tcPr>
          <w:p w14:paraId="00F8554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792" w:type="dxa"/>
            <w:shd w:val="clear" w:color="auto" w:fill="auto"/>
            <w:vAlign w:val="center"/>
          </w:tcPr>
          <w:p w14:paraId="294CF43B">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1D0B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2D30FD6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1682" w:type="dxa"/>
            <w:shd w:val="clear" w:color="auto" w:fill="auto"/>
            <w:vAlign w:val="center"/>
          </w:tcPr>
          <w:p w14:paraId="39C5699F">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暂存液位计</w:t>
            </w:r>
          </w:p>
        </w:tc>
        <w:tc>
          <w:tcPr>
            <w:tcW w:w="4439" w:type="dxa"/>
            <w:shd w:val="clear" w:color="auto" w:fill="auto"/>
            <w:vAlign w:val="center"/>
          </w:tcPr>
          <w:p w14:paraId="7E4A21EF">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投入式液位计，量程0~10m，精度0.01m</w:t>
            </w:r>
          </w:p>
        </w:tc>
        <w:tc>
          <w:tcPr>
            <w:tcW w:w="833" w:type="dxa"/>
            <w:shd w:val="clear" w:color="auto" w:fill="auto"/>
            <w:noWrap/>
            <w:vAlign w:val="center"/>
          </w:tcPr>
          <w:p w14:paraId="6D6D9D89">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729626B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202E98B1">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2A5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7721FF55">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1682" w:type="dxa"/>
            <w:shd w:val="clear" w:color="auto" w:fill="auto"/>
            <w:vAlign w:val="center"/>
          </w:tcPr>
          <w:p w14:paraId="151A0CFF">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混凝反应pH计</w:t>
            </w:r>
          </w:p>
        </w:tc>
        <w:tc>
          <w:tcPr>
            <w:tcW w:w="4439" w:type="dxa"/>
            <w:shd w:val="clear" w:color="auto" w:fill="auto"/>
            <w:vAlign w:val="center"/>
          </w:tcPr>
          <w:p w14:paraId="216FEA93">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量程0~14，精度0.01，带温度补偿</w:t>
            </w:r>
          </w:p>
        </w:tc>
        <w:tc>
          <w:tcPr>
            <w:tcW w:w="833" w:type="dxa"/>
            <w:shd w:val="clear" w:color="auto" w:fill="auto"/>
            <w:noWrap/>
            <w:vAlign w:val="center"/>
          </w:tcPr>
          <w:p w14:paraId="6384483D">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6D1EB93B">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798D174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1C08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390A4A4D">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p>
        </w:tc>
        <w:tc>
          <w:tcPr>
            <w:tcW w:w="1682" w:type="dxa"/>
            <w:shd w:val="clear" w:color="auto" w:fill="auto"/>
            <w:noWrap/>
            <w:vAlign w:val="center"/>
          </w:tcPr>
          <w:p w14:paraId="63379BBF">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制药系统液位浮球</w:t>
            </w:r>
          </w:p>
        </w:tc>
        <w:tc>
          <w:tcPr>
            <w:tcW w:w="4439" w:type="dxa"/>
            <w:shd w:val="clear" w:color="auto" w:fill="auto"/>
            <w:vAlign w:val="center"/>
          </w:tcPr>
          <w:p w14:paraId="7CF6140A">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浮子液位计，PP材质</w:t>
            </w:r>
          </w:p>
        </w:tc>
        <w:tc>
          <w:tcPr>
            <w:tcW w:w="833" w:type="dxa"/>
            <w:shd w:val="clear" w:color="auto" w:fill="auto"/>
            <w:noWrap/>
            <w:vAlign w:val="center"/>
          </w:tcPr>
          <w:p w14:paraId="4435FAB9">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7DA7A5CB">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46CF25A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7B0B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79C52C00">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1682" w:type="dxa"/>
            <w:shd w:val="clear" w:color="auto" w:fill="auto"/>
            <w:noWrap/>
            <w:vAlign w:val="center"/>
          </w:tcPr>
          <w:p w14:paraId="7ED8928D">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调节池液位计</w:t>
            </w:r>
          </w:p>
        </w:tc>
        <w:tc>
          <w:tcPr>
            <w:tcW w:w="4439" w:type="dxa"/>
            <w:shd w:val="clear" w:color="auto" w:fill="auto"/>
            <w:vAlign w:val="center"/>
          </w:tcPr>
          <w:p w14:paraId="1F400A6F">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量程0~10m，精度0.01m，芯体316L，外壳316L</w:t>
            </w:r>
          </w:p>
        </w:tc>
        <w:tc>
          <w:tcPr>
            <w:tcW w:w="833" w:type="dxa"/>
            <w:shd w:val="clear" w:color="auto" w:fill="auto"/>
            <w:noWrap/>
            <w:vAlign w:val="center"/>
          </w:tcPr>
          <w:p w14:paraId="1FDB32F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26857C3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1305C2F4">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2E23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09373AEC">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w:t>
            </w:r>
          </w:p>
        </w:tc>
        <w:tc>
          <w:tcPr>
            <w:tcW w:w="1682" w:type="dxa"/>
            <w:shd w:val="clear" w:color="auto" w:fill="auto"/>
            <w:noWrap/>
            <w:vAlign w:val="center"/>
          </w:tcPr>
          <w:p w14:paraId="15D554A8">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进水流量计</w:t>
            </w:r>
          </w:p>
        </w:tc>
        <w:tc>
          <w:tcPr>
            <w:tcW w:w="4439" w:type="dxa"/>
            <w:shd w:val="clear" w:color="auto" w:fill="auto"/>
            <w:vAlign w:val="center"/>
          </w:tcPr>
          <w:p w14:paraId="3F41ABA1">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一体式电磁流量计，带LCD，DN40，流量0~10m3/h</w:t>
            </w:r>
          </w:p>
        </w:tc>
        <w:tc>
          <w:tcPr>
            <w:tcW w:w="833" w:type="dxa"/>
            <w:shd w:val="clear" w:color="auto" w:fill="auto"/>
            <w:noWrap/>
            <w:vAlign w:val="center"/>
          </w:tcPr>
          <w:p w14:paraId="1D37A13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78C6D005">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0E248E8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7333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418EA509">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6</w:t>
            </w:r>
          </w:p>
        </w:tc>
        <w:tc>
          <w:tcPr>
            <w:tcW w:w="1682" w:type="dxa"/>
            <w:shd w:val="clear" w:color="auto" w:fill="auto"/>
            <w:noWrap/>
            <w:vAlign w:val="center"/>
          </w:tcPr>
          <w:p w14:paraId="60D2FB58">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其他供应商补充...</w:t>
            </w:r>
          </w:p>
        </w:tc>
        <w:tc>
          <w:tcPr>
            <w:tcW w:w="4439" w:type="dxa"/>
            <w:shd w:val="clear" w:color="auto" w:fill="auto"/>
            <w:vAlign w:val="center"/>
          </w:tcPr>
          <w:p w14:paraId="079994AC">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p>
        </w:tc>
        <w:tc>
          <w:tcPr>
            <w:tcW w:w="833" w:type="dxa"/>
            <w:shd w:val="clear" w:color="auto" w:fill="auto"/>
            <w:noWrap/>
            <w:vAlign w:val="center"/>
          </w:tcPr>
          <w:p w14:paraId="1CECD964">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867" w:type="dxa"/>
            <w:shd w:val="clear" w:color="auto" w:fill="auto"/>
            <w:noWrap/>
            <w:vAlign w:val="center"/>
          </w:tcPr>
          <w:p w14:paraId="21DA949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792" w:type="dxa"/>
            <w:shd w:val="clear" w:color="auto" w:fill="auto"/>
            <w:noWrap/>
            <w:vAlign w:val="center"/>
          </w:tcPr>
          <w:p w14:paraId="1DEB97A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02D5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8" w:type="dxa"/>
            <w:gridSpan w:val="3"/>
            <w:shd w:val="clear" w:color="auto" w:fill="auto"/>
            <w:noWrap/>
            <w:vAlign w:val="center"/>
          </w:tcPr>
          <w:p w14:paraId="010770F1">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一体化集成装备配置</w:t>
            </w:r>
          </w:p>
        </w:tc>
        <w:tc>
          <w:tcPr>
            <w:tcW w:w="833" w:type="dxa"/>
            <w:shd w:val="clear" w:color="auto" w:fill="auto"/>
            <w:noWrap/>
            <w:vAlign w:val="center"/>
          </w:tcPr>
          <w:p w14:paraId="12EB59AC">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867" w:type="dxa"/>
            <w:shd w:val="clear" w:color="auto" w:fill="auto"/>
            <w:noWrap/>
            <w:vAlign w:val="center"/>
          </w:tcPr>
          <w:p w14:paraId="3FB437F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792" w:type="dxa"/>
            <w:shd w:val="clear" w:color="auto" w:fill="auto"/>
            <w:noWrap/>
            <w:vAlign w:val="center"/>
          </w:tcPr>
          <w:p w14:paraId="3890567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47A6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3A7C83EC">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w:t>
            </w:r>
          </w:p>
        </w:tc>
        <w:tc>
          <w:tcPr>
            <w:tcW w:w="1682" w:type="dxa"/>
            <w:shd w:val="clear" w:color="auto" w:fill="auto"/>
            <w:vAlign w:val="center"/>
          </w:tcPr>
          <w:p w14:paraId="3E2FC018">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暂存池提升泵</w:t>
            </w:r>
          </w:p>
        </w:tc>
        <w:tc>
          <w:tcPr>
            <w:tcW w:w="4439" w:type="dxa"/>
            <w:shd w:val="clear" w:color="auto" w:fill="auto"/>
            <w:vAlign w:val="center"/>
          </w:tcPr>
          <w:p w14:paraId="1A5359C2">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潜污泵，4m3/h，15m，不锈钢304过流部件，配不锈钢链条</w:t>
            </w:r>
          </w:p>
        </w:tc>
        <w:tc>
          <w:tcPr>
            <w:tcW w:w="833" w:type="dxa"/>
            <w:shd w:val="clear" w:color="auto" w:fill="auto"/>
            <w:noWrap/>
            <w:vAlign w:val="center"/>
          </w:tcPr>
          <w:p w14:paraId="793C65E0">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31F9E58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56579780">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2938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43D12306">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w:t>
            </w:r>
          </w:p>
        </w:tc>
        <w:tc>
          <w:tcPr>
            <w:tcW w:w="1682" w:type="dxa"/>
            <w:shd w:val="clear" w:color="auto" w:fill="auto"/>
            <w:noWrap/>
            <w:vAlign w:val="center"/>
          </w:tcPr>
          <w:p w14:paraId="7CEDF4E8">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混凝剂制药系统</w:t>
            </w:r>
          </w:p>
        </w:tc>
        <w:tc>
          <w:tcPr>
            <w:tcW w:w="4439" w:type="dxa"/>
            <w:shd w:val="clear" w:color="auto" w:fill="auto"/>
            <w:vAlign w:val="center"/>
          </w:tcPr>
          <w:p w14:paraId="3401B07E">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容积不低于800L，含溶药搅拌机计量泵，设计配套</w:t>
            </w:r>
          </w:p>
        </w:tc>
        <w:tc>
          <w:tcPr>
            <w:tcW w:w="833" w:type="dxa"/>
            <w:shd w:val="clear" w:color="auto" w:fill="auto"/>
            <w:noWrap/>
            <w:vAlign w:val="center"/>
          </w:tcPr>
          <w:p w14:paraId="6F1997B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12</w:t>
            </w:r>
          </w:p>
        </w:tc>
        <w:tc>
          <w:tcPr>
            <w:tcW w:w="867" w:type="dxa"/>
            <w:shd w:val="clear" w:color="auto" w:fill="auto"/>
            <w:noWrap/>
            <w:vAlign w:val="center"/>
          </w:tcPr>
          <w:p w14:paraId="419B843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7E6DDBBE">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14BE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49A5E3E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3</w:t>
            </w:r>
          </w:p>
        </w:tc>
        <w:tc>
          <w:tcPr>
            <w:tcW w:w="1682" w:type="dxa"/>
            <w:shd w:val="clear" w:color="auto" w:fill="auto"/>
            <w:noWrap/>
            <w:vAlign w:val="center"/>
          </w:tcPr>
          <w:p w14:paraId="43A2DBFE">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混凝反应器</w:t>
            </w:r>
          </w:p>
        </w:tc>
        <w:tc>
          <w:tcPr>
            <w:tcW w:w="4439" w:type="dxa"/>
            <w:shd w:val="clear" w:color="auto" w:fill="auto"/>
            <w:vAlign w:val="center"/>
          </w:tcPr>
          <w:p w14:paraId="42F963A9">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多级混凝反应器，PE/PP材质</w:t>
            </w:r>
          </w:p>
        </w:tc>
        <w:tc>
          <w:tcPr>
            <w:tcW w:w="833" w:type="dxa"/>
            <w:shd w:val="clear" w:color="auto" w:fill="auto"/>
            <w:noWrap/>
            <w:vAlign w:val="center"/>
          </w:tcPr>
          <w:p w14:paraId="2B6A1FD3">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749B5F9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44FF3A6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1DF3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172EF41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1682" w:type="dxa"/>
            <w:shd w:val="clear" w:color="auto" w:fill="auto"/>
            <w:vAlign w:val="center"/>
          </w:tcPr>
          <w:p w14:paraId="1C6BF7DD">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混凝搅拌机</w:t>
            </w:r>
          </w:p>
        </w:tc>
        <w:tc>
          <w:tcPr>
            <w:tcW w:w="4439" w:type="dxa"/>
            <w:shd w:val="clear" w:color="auto" w:fill="auto"/>
            <w:vAlign w:val="center"/>
          </w:tcPr>
          <w:p w14:paraId="6C07EC53">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双桨叶搅拌机，碳钢衬塑，转速36r/min</w:t>
            </w:r>
          </w:p>
        </w:tc>
        <w:tc>
          <w:tcPr>
            <w:tcW w:w="833" w:type="dxa"/>
            <w:shd w:val="clear" w:color="auto" w:fill="auto"/>
            <w:noWrap/>
            <w:vAlign w:val="center"/>
          </w:tcPr>
          <w:p w14:paraId="7499B07E">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0549677B">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台</w:t>
            </w:r>
          </w:p>
        </w:tc>
        <w:tc>
          <w:tcPr>
            <w:tcW w:w="792" w:type="dxa"/>
            <w:shd w:val="clear" w:color="auto" w:fill="auto"/>
            <w:noWrap/>
            <w:vAlign w:val="center"/>
          </w:tcPr>
          <w:p w14:paraId="73E2D9C6">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021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97" w:type="dxa"/>
            <w:shd w:val="clear" w:color="auto" w:fill="auto"/>
            <w:noWrap/>
            <w:vAlign w:val="center"/>
          </w:tcPr>
          <w:p w14:paraId="69DA9514">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5</w:t>
            </w:r>
          </w:p>
        </w:tc>
        <w:tc>
          <w:tcPr>
            <w:tcW w:w="1682" w:type="dxa"/>
            <w:shd w:val="clear" w:color="auto" w:fill="auto"/>
            <w:noWrap/>
            <w:vAlign w:val="center"/>
          </w:tcPr>
          <w:p w14:paraId="6861ED72">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混凝反应固液分离机</w:t>
            </w:r>
          </w:p>
        </w:tc>
        <w:tc>
          <w:tcPr>
            <w:tcW w:w="4439" w:type="dxa"/>
            <w:shd w:val="clear" w:color="auto" w:fill="auto"/>
            <w:vAlign w:val="center"/>
          </w:tcPr>
          <w:p w14:paraId="3651157D">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叠螺式脱水机，40kgDS/h，96%污泥2m3/h，主体不锈钢304</w:t>
            </w:r>
          </w:p>
        </w:tc>
        <w:tc>
          <w:tcPr>
            <w:tcW w:w="833" w:type="dxa"/>
            <w:shd w:val="clear" w:color="auto" w:fill="auto"/>
            <w:noWrap/>
            <w:vAlign w:val="center"/>
          </w:tcPr>
          <w:p w14:paraId="5091674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6072E50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0A4F960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6D92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49622D9D">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6</w:t>
            </w:r>
          </w:p>
        </w:tc>
        <w:tc>
          <w:tcPr>
            <w:tcW w:w="1682" w:type="dxa"/>
            <w:shd w:val="clear" w:color="auto" w:fill="auto"/>
            <w:noWrap/>
            <w:vAlign w:val="center"/>
          </w:tcPr>
          <w:p w14:paraId="14DA837F">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一体化预处理箱体</w:t>
            </w:r>
          </w:p>
        </w:tc>
        <w:tc>
          <w:tcPr>
            <w:tcW w:w="4439" w:type="dxa"/>
            <w:shd w:val="clear" w:color="auto" w:fill="auto"/>
            <w:vAlign w:val="center"/>
          </w:tcPr>
          <w:p w14:paraId="3C1A8D18">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碳钢防腐主体框架，蒙皮涂装</w:t>
            </w:r>
          </w:p>
        </w:tc>
        <w:tc>
          <w:tcPr>
            <w:tcW w:w="833" w:type="dxa"/>
            <w:shd w:val="clear" w:color="auto" w:fill="auto"/>
            <w:noWrap/>
            <w:vAlign w:val="center"/>
          </w:tcPr>
          <w:p w14:paraId="690F0E2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12684513">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2487CF3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0845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04169B2E">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7</w:t>
            </w:r>
          </w:p>
        </w:tc>
        <w:tc>
          <w:tcPr>
            <w:tcW w:w="1682" w:type="dxa"/>
            <w:shd w:val="clear" w:color="auto" w:fill="auto"/>
            <w:noWrap/>
            <w:vAlign w:val="center"/>
          </w:tcPr>
          <w:p w14:paraId="3145A1D9">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水质保障装备</w:t>
            </w:r>
          </w:p>
        </w:tc>
        <w:tc>
          <w:tcPr>
            <w:tcW w:w="4439" w:type="dxa"/>
            <w:shd w:val="clear" w:color="auto" w:fill="auto"/>
            <w:vAlign w:val="center"/>
          </w:tcPr>
          <w:p w14:paraId="11260537">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活性吸附系统，处理量20t/d，容量1.5m3</w:t>
            </w:r>
          </w:p>
        </w:tc>
        <w:tc>
          <w:tcPr>
            <w:tcW w:w="833" w:type="dxa"/>
            <w:shd w:val="clear" w:color="auto" w:fill="auto"/>
            <w:noWrap/>
            <w:vAlign w:val="center"/>
          </w:tcPr>
          <w:p w14:paraId="61A4892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4DA75F5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15A9515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2B5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12CEF2E3">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1682" w:type="dxa"/>
            <w:shd w:val="clear" w:color="auto" w:fill="auto"/>
            <w:noWrap/>
            <w:vAlign w:val="center"/>
          </w:tcPr>
          <w:p w14:paraId="7FEEB0C0">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预处理电控柜</w:t>
            </w:r>
          </w:p>
        </w:tc>
        <w:tc>
          <w:tcPr>
            <w:tcW w:w="4439" w:type="dxa"/>
            <w:shd w:val="clear" w:color="auto" w:fill="auto"/>
            <w:vAlign w:val="center"/>
          </w:tcPr>
          <w:p w14:paraId="5C59760D">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设计配套，PLC自控，带触摸屏</w:t>
            </w:r>
          </w:p>
        </w:tc>
        <w:tc>
          <w:tcPr>
            <w:tcW w:w="833" w:type="dxa"/>
            <w:shd w:val="clear" w:color="auto" w:fill="auto"/>
            <w:noWrap/>
            <w:vAlign w:val="center"/>
          </w:tcPr>
          <w:p w14:paraId="0B137A0D">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6E1A980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1D8BC38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68C8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195C70E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9</w:t>
            </w:r>
          </w:p>
        </w:tc>
        <w:tc>
          <w:tcPr>
            <w:tcW w:w="1682" w:type="dxa"/>
            <w:shd w:val="clear" w:color="auto" w:fill="auto"/>
            <w:noWrap/>
            <w:vAlign w:val="center"/>
          </w:tcPr>
          <w:p w14:paraId="53F39C78">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调节池提升泵</w:t>
            </w:r>
          </w:p>
        </w:tc>
        <w:tc>
          <w:tcPr>
            <w:tcW w:w="4439" w:type="dxa"/>
            <w:shd w:val="clear" w:color="auto" w:fill="auto"/>
            <w:vAlign w:val="center"/>
          </w:tcPr>
          <w:p w14:paraId="574AC4FA">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6m3/h，15m，不锈钢304过流部</w:t>
            </w:r>
            <w:r>
              <w:rPr>
                <w:rFonts w:hint="eastAsia" w:ascii="宋体" w:hAnsi="宋体" w:eastAsia="宋体" w:cs="宋体"/>
                <w:b w:val="0"/>
                <w:bCs/>
                <w:snapToGrid/>
                <w:kern w:val="2"/>
                <w:sz w:val="28"/>
                <w:szCs w:val="28"/>
                <w:highlight w:val="none"/>
                <w:lang w:val="en-US" w:eastAsia="zh-CN"/>
              </w:rPr>
              <w:t>件，</w:t>
            </w:r>
            <w:r>
              <w:rPr>
                <w:rFonts w:hint="eastAsia" w:ascii="宋体" w:hAnsi="宋体" w:eastAsia="宋体" w:cs="宋体"/>
                <w:b w:val="0"/>
                <w:bCs/>
                <w:snapToGrid/>
                <w:kern w:val="2"/>
                <w:sz w:val="28"/>
                <w:szCs w:val="28"/>
                <w:highlight w:val="none"/>
                <w:lang w:eastAsia="zh-CN"/>
              </w:rPr>
              <w:t>含不锈钢链条</w:t>
            </w:r>
          </w:p>
        </w:tc>
        <w:tc>
          <w:tcPr>
            <w:tcW w:w="833" w:type="dxa"/>
            <w:shd w:val="clear" w:color="auto" w:fill="auto"/>
            <w:noWrap/>
            <w:vAlign w:val="center"/>
          </w:tcPr>
          <w:p w14:paraId="37CA1413">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4</w:t>
            </w:r>
          </w:p>
        </w:tc>
        <w:tc>
          <w:tcPr>
            <w:tcW w:w="867" w:type="dxa"/>
            <w:shd w:val="clear" w:color="auto" w:fill="auto"/>
            <w:noWrap/>
            <w:vAlign w:val="center"/>
          </w:tcPr>
          <w:p w14:paraId="40B45A86">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450CF07E">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263F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0716D15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10</w:t>
            </w:r>
          </w:p>
        </w:tc>
        <w:tc>
          <w:tcPr>
            <w:tcW w:w="1682" w:type="dxa"/>
            <w:shd w:val="clear" w:color="auto" w:fill="auto"/>
            <w:noWrap/>
            <w:vAlign w:val="center"/>
          </w:tcPr>
          <w:p w14:paraId="0E60BE76">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缺氧搅拌机</w:t>
            </w:r>
          </w:p>
        </w:tc>
        <w:tc>
          <w:tcPr>
            <w:tcW w:w="4439" w:type="dxa"/>
            <w:shd w:val="clear" w:color="auto" w:fill="auto"/>
            <w:vAlign w:val="center"/>
          </w:tcPr>
          <w:p w14:paraId="435E065C">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立式推流搅拌机，功率0.55kw</w:t>
            </w:r>
          </w:p>
        </w:tc>
        <w:tc>
          <w:tcPr>
            <w:tcW w:w="833" w:type="dxa"/>
            <w:shd w:val="clear" w:color="auto" w:fill="auto"/>
            <w:noWrap/>
            <w:vAlign w:val="center"/>
          </w:tcPr>
          <w:p w14:paraId="7CCDBF0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711A24F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05A177F4">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3B37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4BF961F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11</w:t>
            </w:r>
          </w:p>
        </w:tc>
        <w:tc>
          <w:tcPr>
            <w:tcW w:w="1682" w:type="dxa"/>
            <w:shd w:val="clear" w:color="auto" w:fill="auto"/>
            <w:noWrap/>
            <w:vAlign w:val="center"/>
          </w:tcPr>
          <w:p w14:paraId="2C4996CF">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曝气器</w:t>
            </w:r>
          </w:p>
        </w:tc>
        <w:tc>
          <w:tcPr>
            <w:tcW w:w="4439" w:type="dxa"/>
            <w:shd w:val="clear" w:color="auto" w:fill="auto"/>
            <w:vAlign w:val="center"/>
          </w:tcPr>
          <w:p w14:paraId="5CCD22CB">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设计配套，可在线拆卸式旋流式曝气器，曝气量不低于3.6m3/min</w:t>
            </w:r>
          </w:p>
        </w:tc>
        <w:tc>
          <w:tcPr>
            <w:tcW w:w="833" w:type="dxa"/>
            <w:shd w:val="clear" w:color="auto" w:fill="auto"/>
            <w:noWrap/>
            <w:vAlign w:val="center"/>
          </w:tcPr>
          <w:p w14:paraId="72C2A763">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282094A1">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6E8054DD">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184C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62E83DC6">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12</w:t>
            </w:r>
          </w:p>
        </w:tc>
        <w:tc>
          <w:tcPr>
            <w:tcW w:w="1682" w:type="dxa"/>
            <w:shd w:val="clear" w:color="auto" w:fill="auto"/>
            <w:vAlign w:val="center"/>
          </w:tcPr>
          <w:p w14:paraId="0AD176FB">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曝气风机</w:t>
            </w:r>
          </w:p>
        </w:tc>
        <w:tc>
          <w:tcPr>
            <w:tcW w:w="4439" w:type="dxa"/>
            <w:shd w:val="clear" w:color="auto" w:fill="auto"/>
            <w:vAlign w:val="center"/>
          </w:tcPr>
          <w:p w14:paraId="2C73E26A">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涡流式风机，1.6m3/min，水深2.2m</w:t>
            </w:r>
          </w:p>
        </w:tc>
        <w:tc>
          <w:tcPr>
            <w:tcW w:w="833" w:type="dxa"/>
            <w:shd w:val="clear" w:color="auto" w:fill="auto"/>
            <w:noWrap/>
            <w:vAlign w:val="center"/>
          </w:tcPr>
          <w:p w14:paraId="5D16C32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24</w:t>
            </w:r>
          </w:p>
        </w:tc>
        <w:tc>
          <w:tcPr>
            <w:tcW w:w="867" w:type="dxa"/>
            <w:shd w:val="clear" w:color="auto" w:fill="auto"/>
            <w:noWrap/>
            <w:vAlign w:val="center"/>
          </w:tcPr>
          <w:p w14:paraId="7B0D28F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461C64F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5566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66C575DA">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13</w:t>
            </w:r>
          </w:p>
        </w:tc>
        <w:tc>
          <w:tcPr>
            <w:tcW w:w="1682" w:type="dxa"/>
            <w:shd w:val="clear" w:color="auto" w:fill="auto"/>
            <w:vAlign w:val="center"/>
          </w:tcPr>
          <w:p w14:paraId="4AC3CC07">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排泥泵</w:t>
            </w:r>
          </w:p>
        </w:tc>
        <w:tc>
          <w:tcPr>
            <w:tcW w:w="4439" w:type="dxa"/>
            <w:shd w:val="clear" w:color="auto" w:fill="auto"/>
            <w:vAlign w:val="center"/>
          </w:tcPr>
          <w:p w14:paraId="0F4662A5">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10m3/h，10m，不锈钢304过流部件</w:t>
            </w:r>
          </w:p>
        </w:tc>
        <w:tc>
          <w:tcPr>
            <w:tcW w:w="833" w:type="dxa"/>
            <w:shd w:val="clear" w:color="auto" w:fill="auto"/>
            <w:noWrap/>
            <w:vAlign w:val="center"/>
          </w:tcPr>
          <w:p w14:paraId="6434C9C1">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68B76854">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15780D15">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088C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5ACDB62E">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14</w:t>
            </w:r>
          </w:p>
        </w:tc>
        <w:tc>
          <w:tcPr>
            <w:tcW w:w="1682" w:type="dxa"/>
            <w:shd w:val="clear" w:color="auto" w:fill="auto"/>
            <w:vAlign w:val="center"/>
          </w:tcPr>
          <w:p w14:paraId="46BC7D36">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超滤抽吸泵</w:t>
            </w:r>
          </w:p>
        </w:tc>
        <w:tc>
          <w:tcPr>
            <w:tcW w:w="4439" w:type="dxa"/>
            <w:shd w:val="clear" w:color="auto" w:fill="auto"/>
            <w:vAlign w:val="center"/>
          </w:tcPr>
          <w:p w14:paraId="74487ACD">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自吸泵，0.5~1.5m3/h，15m，不锈钢304过流部件泵头</w:t>
            </w:r>
          </w:p>
        </w:tc>
        <w:tc>
          <w:tcPr>
            <w:tcW w:w="833" w:type="dxa"/>
            <w:shd w:val="clear" w:color="auto" w:fill="auto"/>
            <w:noWrap/>
            <w:vAlign w:val="center"/>
          </w:tcPr>
          <w:p w14:paraId="5E2C2EE3">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17B9DCDD">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4D49F9B2">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55C3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5EF33AF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15</w:t>
            </w:r>
          </w:p>
        </w:tc>
        <w:tc>
          <w:tcPr>
            <w:tcW w:w="1682" w:type="dxa"/>
            <w:shd w:val="clear" w:color="auto" w:fill="auto"/>
            <w:vAlign w:val="center"/>
          </w:tcPr>
          <w:p w14:paraId="63153B71">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超滤风机</w:t>
            </w:r>
          </w:p>
        </w:tc>
        <w:tc>
          <w:tcPr>
            <w:tcW w:w="4439" w:type="dxa"/>
            <w:shd w:val="clear" w:color="auto" w:fill="auto"/>
            <w:vAlign w:val="center"/>
          </w:tcPr>
          <w:p w14:paraId="38948BC2">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风量0.8m3/min，风压配套，带立式进气过滤器</w:t>
            </w:r>
          </w:p>
        </w:tc>
        <w:tc>
          <w:tcPr>
            <w:tcW w:w="833" w:type="dxa"/>
            <w:shd w:val="clear" w:color="auto" w:fill="auto"/>
            <w:noWrap/>
            <w:vAlign w:val="center"/>
          </w:tcPr>
          <w:p w14:paraId="1C89E7BC">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54A08D7E">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23E49AF1">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510B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2E493B69">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16</w:t>
            </w:r>
          </w:p>
        </w:tc>
        <w:tc>
          <w:tcPr>
            <w:tcW w:w="1682" w:type="dxa"/>
            <w:shd w:val="clear" w:color="auto" w:fill="auto"/>
            <w:noWrap/>
            <w:vAlign w:val="center"/>
          </w:tcPr>
          <w:p w14:paraId="0E7B3F29">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超滤反洗过滤器</w:t>
            </w:r>
          </w:p>
        </w:tc>
        <w:tc>
          <w:tcPr>
            <w:tcW w:w="4439" w:type="dxa"/>
            <w:shd w:val="clear" w:color="auto" w:fill="auto"/>
            <w:vAlign w:val="center"/>
          </w:tcPr>
          <w:p w14:paraId="4AE7301E">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袋式过滤器，3m3/h，精度10um，滤袋尼龙</w:t>
            </w:r>
          </w:p>
        </w:tc>
        <w:tc>
          <w:tcPr>
            <w:tcW w:w="833" w:type="dxa"/>
            <w:shd w:val="clear" w:color="auto" w:fill="auto"/>
            <w:noWrap/>
            <w:vAlign w:val="center"/>
          </w:tcPr>
          <w:p w14:paraId="7410C4FC">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4753D299">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4AFC37AD">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30F6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6EC48F0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17</w:t>
            </w:r>
          </w:p>
        </w:tc>
        <w:tc>
          <w:tcPr>
            <w:tcW w:w="1682" w:type="dxa"/>
            <w:shd w:val="clear" w:color="auto" w:fill="auto"/>
            <w:vAlign w:val="center"/>
          </w:tcPr>
          <w:p w14:paraId="528AE298">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超滤膜</w:t>
            </w:r>
          </w:p>
        </w:tc>
        <w:tc>
          <w:tcPr>
            <w:tcW w:w="4439" w:type="dxa"/>
            <w:shd w:val="clear" w:color="auto" w:fill="auto"/>
            <w:vAlign w:val="center"/>
          </w:tcPr>
          <w:p w14:paraId="2F3093AB">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平板超滤膜，通量7LPM，产水量10TPD</w:t>
            </w:r>
          </w:p>
        </w:tc>
        <w:tc>
          <w:tcPr>
            <w:tcW w:w="833" w:type="dxa"/>
            <w:shd w:val="clear" w:color="auto" w:fill="auto"/>
            <w:noWrap/>
            <w:vAlign w:val="center"/>
          </w:tcPr>
          <w:p w14:paraId="1858AB3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49C4DE4D">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22B7D526">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5164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5F6D8B55">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18</w:t>
            </w:r>
          </w:p>
        </w:tc>
        <w:tc>
          <w:tcPr>
            <w:tcW w:w="1682" w:type="dxa"/>
            <w:shd w:val="clear" w:color="auto" w:fill="auto"/>
            <w:noWrap/>
            <w:vAlign w:val="center"/>
          </w:tcPr>
          <w:p w14:paraId="166AC663">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MBR一体化箱体</w:t>
            </w:r>
          </w:p>
        </w:tc>
        <w:tc>
          <w:tcPr>
            <w:tcW w:w="4439" w:type="dxa"/>
            <w:shd w:val="clear" w:color="auto" w:fill="auto"/>
            <w:vAlign w:val="center"/>
          </w:tcPr>
          <w:p w14:paraId="6C109385">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壁板厚度≥4mm，底板厚度≥4mm，顶部密封结构设检查井，带侧壁保温厚度不低于30mm，蒙皮涂装</w:t>
            </w:r>
          </w:p>
        </w:tc>
        <w:tc>
          <w:tcPr>
            <w:tcW w:w="833" w:type="dxa"/>
            <w:shd w:val="clear" w:color="auto" w:fill="auto"/>
            <w:noWrap/>
            <w:vAlign w:val="center"/>
          </w:tcPr>
          <w:p w14:paraId="1D3D1634">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714BC38F">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49CD62A0">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6E12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5FC4CDDE">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19</w:t>
            </w:r>
          </w:p>
        </w:tc>
        <w:tc>
          <w:tcPr>
            <w:tcW w:w="1682" w:type="dxa"/>
            <w:shd w:val="clear" w:color="auto" w:fill="auto"/>
            <w:noWrap/>
            <w:vAlign w:val="center"/>
          </w:tcPr>
          <w:p w14:paraId="2620A1CF">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一体机电控柜</w:t>
            </w:r>
          </w:p>
        </w:tc>
        <w:tc>
          <w:tcPr>
            <w:tcW w:w="4439" w:type="dxa"/>
            <w:shd w:val="clear" w:color="auto" w:fill="auto"/>
            <w:vAlign w:val="center"/>
          </w:tcPr>
          <w:p w14:paraId="484E2279">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设计配套，带触摸屏，预留DCS，含GPS</w:t>
            </w:r>
          </w:p>
        </w:tc>
        <w:tc>
          <w:tcPr>
            <w:tcW w:w="833" w:type="dxa"/>
            <w:shd w:val="clear" w:color="auto" w:fill="auto"/>
            <w:noWrap/>
            <w:vAlign w:val="center"/>
          </w:tcPr>
          <w:p w14:paraId="0854B40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8</w:t>
            </w:r>
          </w:p>
        </w:tc>
        <w:tc>
          <w:tcPr>
            <w:tcW w:w="867" w:type="dxa"/>
            <w:shd w:val="clear" w:color="auto" w:fill="auto"/>
            <w:noWrap/>
            <w:vAlign w:val="center"/>
          </w:tcPr>
          <w:p w14:paraId="436BBF2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套</w:t>
            </w:r>
          </w:p>
        </w:tc>
        <w:tc>
          <w:tcPr>
            <w:tcW w:w="792" w:type="dxa"/>
            <w:shd w:val="clear" w:color="auto" w:fill="auto"/>
            <w:noWrap/>
            <w:vAlign w:val="center"/>
          </w:tcPr>
          <w:p w14:paraId="0F07A0B8">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r w14:paraId="0B1A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shd w:val="clear" w:color="auto" w:fill="auto"/>
            <w:noWrap/>
            <w:vAlign w:val="center"/>
          </w:tcPr>
          <w:p w14:paraId="4EC92681">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20</w:t>
            </w:r>
          </w:p>
        </w:tc>
        <w:tc>
          <w:tcPr>
            <w:tcW w:w="1682" w:type="dxa"/>
            <w:shd w:val="clear" w:color="auto" w:fill="auto"/>
            <w:noWrap/>
            <w:vAlign w:val="center"/>
          </w:tcPr>
          <w:p w14:paraId="623967F3">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r>
              <w:rPr>
                <w:rFonts w:hint="eastAsia" w:ascii="宋体" w:hAnsi="宋体" w:eastAsia="宋体" w:cs="宋体"/>
                <w:b w:val="0"/>
                <w:bCs/>
                <w:snapToGrid/>
                <w:kern w:val="2"/>
                <w:sz w:val="28"/>
                <w:szCs w:val="28"/>
                <w:highlight w:val="none"/>
                <w:lang w:eastAsia="zh-CN"/>
              </w:rPr>
              <w:t>其他供应商补充...</w:t>
            </w:r>
          </w:p>
        </w:tc>
        <w:tc>
          <w:tcPr>
            <w:tcW w:w="4439" w:type="dxa"/>
            <w:shd w:val="clear" w:color="auto" w:fill="auto"/>
            <w:vAlign w:val="center"/>
          </w:tcPr>
          <w:p w14:paraId="581A5C32">
            <w:pPr>
              <w:widowControl w:val="0"/>
              <w:kinsoku/>
              <w:autoSpaceDE/>
              <w:autoSpaceDN/>
              <w:adjustRightInd/>
              <w:snapToGrid w:val="0"/>
              <w:spacing w:line="240" w:lineRule="auto"/>
              <w:jc w:val="left"/>
              <w:textAlignment w:val="auto"/>
              <w:rPr>
                <w:rFonts w:hint="eastAsia" w:ascii="宋体" w:hAnsi="宋体" w:eastAsia="宋体" w:cs="宋体"/>
                <w:b w:val="0"/>
                <w:bCs/>
                <w:snapToGrid/>
                <w:kern w:val="2"/>
                <w:sz w:val="28"/>
                <w:szCs w:val="28"/>
                <w:highlight w:val="none"/>
                <w:lang w:eastAsia="zh-CN"/>
              </w:rPr>
            </w:pPr>
          </w:p>
        </w:tc>
        <w:tc>
          <w:tcPr>
            <w:tcW w:w="833" w:type="dxa"/>
            <w:shd w:val="clear" w:color="auto" w:fill="auto"/>
            <w:noWrap/>
            <w:vAlign w:val="center"/>
          </w:tcPr>
          <w:p w14:paraId="0BE9268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867" w:type="dxa"/>
            <w:shd w:val="clear" w:color="auto" w:fill="auto"/>
            <w:noWrap/>
            <w:vAlign w:val="center"/>
          </w:tcPr>
          <w:p w14:paraId="61876C07">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c>
          <w:tcPr>
            <w:tcW w:w="792" w:type="dxa"/>
            <w:shd w:val="clear" w:color="auto" w:fill="auto"/>
            <w:noWrap/>
            <w:vAlign w:val="center"/>
          </w:tcPr>
          <w:p w14:paraId="4C045F0B">
            <w:pPr>
              <w:widowControl w:val="0"/>
              <w:kinsoku/>
              <w:autoSpaceDE/>
              <w:autoSpaceDN/>
              <w:adjustRightInd/>
              <w:snapToGrid w:val="0"/>
              <w:spacing w:line="240" w:lineRule="auto"/>
              <w:jc w:val="center"/>
              <w:textAlignment w:val="auto"/>
              <w:rPr>
                <w:rFonts w:hint="eastAsia" w:ascii="宋体" w:hAnsi="宋体" w:eastAsia="宋体" w:cs="宋体"/>
                <w:b w:val="0"/>
                <w:bCs/>
                <w:snapToGrid/>
                <w:kern w:val="2"/>
                <w:sz w:val="28"/>
                <w:szCs w:val="28"/>
                <w:highlight w:val="none"/>
                <w:lang w:eastAsia="zh-CN"/>
              </w:rPr>
            </w:pPr>
          </w:p>
        </w:tc>
      </w:tr>
    </w:tbl>
    <w:p w14:paraId="22F13E7C">
      <w:pPr>
        <w:rPr>
          <w:rFonts w:hint="eastAsia" w:ascii="仿宋" w:hAnsi="仿宋" w:eastAsia="仿宋" w:cs="仿宋"/>
          <w:spacing w:val="6"/>
          <w:sz w:val="32"/>
          <w:szCs w:val="32"/>
          <w:highlight w:val="none"/>
          <w:lang w:val="en-US" w:eastAsia="zh-CN"/>
          <w14:textOutline w14:w="5793" w14:cap="sq" w14:cmpd="sng">
            <w14:solidFill>
              <w14:srgbClr w14:val="000000"/>
            </w14:solidFill>
            <w14:prstDash w14:val="solid"/>
            <w14:bevel/>
          </w14:textOutline>
        </w:rPr>
      </w:pPr>
      <w:r>
        <w:rPr>
          <w:rFonts w:hint="eastAsia" w:ascii="仿宋" w:hAnsi="仿宋" w:eastAsia="仿宋" w:cs="仿宋"/>
          <w:spacing w:val="6"/>
          <w:sz w:val="32"/>
          <w:szCs w:val="32"/>
          <w:highlight w:val="none"/>
          <w:lang w:val="en-US" w:eastAsia="zh-CN"/>
          <w14:textOutline w14:w="5793" w14:cap="sq" w14:cmpd="sng">
            <w14:solidFill>
              <w14:srgbClr w14:val="000000"/>
            </w14:solidFill>
            <w14:prstDash w14:val="solid"/>
            <w14:bevel/>
          </w14:textOutline>
        </w:rPr>
        <w:br w:type="page"/>
      </w:r>
    </w:p>
    <w:p w14:paraId="23A221C9">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0"/>
        <w:rPr>
          <w:rFonts w:hint="eastAsia" w:ascii="仿宋" w:hAnsi="仿宋" w:eastAsia="仿宋" w:cs="仿宋"/>
          <w:spacing w:val="6"/>
          <w:sz w:val="32"/>
          <w:szCs w:val="32"/>
          <w:highlight w:val="none"/>
          <w:lang w:val="en-US" w:eastAsia="zh-CN"/>
          <w14:textOutline w14:w="5793" w14:cap="sq" w14:cmpd="sng">
            <w14:solidFill>
              <w14:srgbClr w14:val="000000"/>
            </w14:solidFill>
            <w14:prstDash w14:val="solid"/>
            <w14:bevel/>
          </w14:textOutline>
        </w:rPr>
      </w:pPr>
      <w:r>
        <w:rPr>
          <w:rFonts w:hint="eastAsia" w:ascii="仿宋" w:hAnsi="仿宋" w:eastAsia="仿宋" w:cs="仿宋"/>
          <w:spacing w:val="6"/>
          <w:sz w:val="32"/>
          <w:szCs w:val="32"/>
          <w:highlight w:val="none"/>
          <w:lang w:val="en-US" w:eastAsia="zh-CN"/>
          <w14:textOutline w14:w="5793" w14:cap="sq" w14:cmpd="sng">
            <w14:solidFill>
              <w14:srgbClr w14:val="000000"/>
            </w14:solidFill>
            <w14:prstDash w14:val="solid"/>
            <w14:bevel/>
          </w14:textOutline>
        </w:rPr>
        <w:t>第四章  评标办法</w:t>
      </w:r>
      <w:bookmarkEnd w:id="91"/>
      <w:bookmarkEnd w:id="92"/>
      <w:bookmarkEnd w:id="93"/>
      <w:bookmarkEnd w:id="94"/>
    </w:p>
    <w:p w14:paraId="4EC15F1C">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highlight w:val="none"/>
        </w:rPr>
      </w:pPr>
      <w:bookmarkStart w:id="95" w:name="_Toc27945"/>
      <w:bookmarkStart w:id="96" w:name="_Toc2007"/>
      <w:bookmarkStart w:id="97" w:name="_Toc494455917"/>
      <w:r>
        <w:rPr>
          <w:rFonts w:hint="eastAsia" w:ascii="仿宋" w:hAnsi="仿宋" w:eastAsia="仿宋" w:cs="仿宋"/>
          <w:b/>
          <w:bCs/>
          <w:color w:val="auto"/>
          <w:sz w:val="28"/>
          <w:szCs w:val="28"/>
          <w:highlight w:val="none"/>
        </w:rPr>
        <w:t>1.相关要求</w:t>
      </w:r>
      <w:bookmarkEnd w:id="95"/>
      <w:bookmarkEnd w:id="96"/>
      <w:bookmarkEnd w:id="97"/>
    </w:p>
    <w:p w14:paraId="78D1FE3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1.1当投标人未提供符合招标文件规定的技术支持资料时，其技术部分得0分。</w:t>
      </w:r>
    </w:p>
    <w:p w14:paraId="2E29DB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1.2技术汇总得分的计算方法：评标委员会成员技术评分的算术平均值。</w:t>
      </w:r>
    </w:p>
    <w:p w14:paraId="370B654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1.3当投标人所投设备功能与招标文件要求相同，但其表述不同时不扣分。</w:t>
      </w:r>
    </w:p>
    <w:p w14:paraId="721FD55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1.4“同类项目”是指投标人已经完成的与本次采购要求相同或者类同的货物，并且签订合同一方必须是投标人，以相同或者类同部分的合同金额为准。</w:t>
      </w:r>
    </w:p>
    <w:p w14:paraId="3D3930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1.5执行国家统一定价标准和采用固定价格采购的项目，其价格不列为评审因素。</w:t>
      </w:r>
    </w:p>
    <w:p w14:paraId="554484B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1.6中型、小型、微型企业应当同时符合以下条件：</w:t>
      </w:r>
    </w:p>
    <w:p w14:paraId="172737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1.6.1依据《关于印发&lt;统计上大中小微型企业划分办法(2017)&gt;的通知》规定，中型、小型和微型企业投标的须提供《中小企业声明函》原件并对声明函的真实性负责；</w:t>
      </w:r>
    </w:p>
    <w:p w14:paraId="267755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14:paraId="51812B0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1.6.3提供本企业制造的货物、承担的工程或者服务，或者提供其他中小企业制造的货物。本项所称货物不包括使用大型企业注册商标的货物。</w:t>
      </w:r>
    </w:p>
    <w:p w14:paraId="5D9F757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1.7小型、微型企业提供中型企业制造的货物的，视同为中型企业。</w:t>
      </w:r>
    </w:p>
    <w:p w14:paraId="1C3AB66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1.8小型和微型企业提供的货物中含有中型及以上企业的产品或者大中型企业提供货物中含有小型、微型企业产品的，均不给予价格扣除。</w:t>
      </w:r>
    </w:p>
    <w:p w14:paraId="4152C66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1.9评分得分非整数的保留小数点后两位（小数点后第三位数四舍五入）。</w:t>
      </w:r>
    </w:p>
    <w:p w14:paraId="348BB315">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highlight w:val="none"/>
        </w:rPr>
      </w:pPr>
      <w:bookmarkStart w:id="98" w:name="_Toc494455918"/>
      <w:bookmarkStart w:id="99" w:name="_Toc5292"/>
      <w:bookmarkStart w:id="100" w:name="_Toc15193"/>
      <w:r>
        <w:rPr>
          <w:rFonts w:hint="eastAsia" w:ascii="仿宋" w:hAnsi="仿宋" w:eastAsia="仿宋" w:cs="仿宋"/>
          <w:b/>
          <w:bCs/>
          <w:color w:val="auto"/>
          <w:sz w:val="28"/>
          <w:szCs w:val="28"/>
          <w:highlight w:val="none"/>
        </w:rPr>
        <w:t>2.评</w:t>
      </w:r>
      <w:bookmarkEnd w:id="98"/>
      <w:r>
        <w:rPr>
          <w:rFonts w:hint="eastAsia" w:ascii="仿宋" w:hAnsi="仿宋" w:eastAsia="仿宋" w:cs="仿宋"/>
          <w:b/>
          <w:bCs/>
          <w:color w:val="auto"/>
          <w:sz w:val="28"/>
          <w:szCs w:val="28"/>
          <w:highlight w:val="none"/>
        </w:rPr>
        <w:t>标附表</w:t>
      </w:r>
      <w:bookmarkEnd w:id="99"/>
      <w:bookmarkEnd w:id="100"/>
    </w:p>
    <w:p w14:paraId="6B595EB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w:t>
      </w:r>
      <w:r>
        <w:rPr>
          <w:rFonts w:hint="eastAsia" w:ascii="仿宋" w:hAnsi="仿宋" w:eastAsia="仿宋" w:cs="仿宋"/>
          <w:color w:val="auto"/>
          <w:sz w:val="28"/>
          <w:szCs w:val="28"/>
          <w:highlight w:val="none"/>
          <w:lang w:val="en-US" w:eastAsia="zh-CN"/>
        </w:rPr>
        <w:t>初步评审表</w:t>
      </w:r>
    </w:p>
    <w:tbl>
      <w:tblPr>
        <w:tblStyle w:val="19"/>
        <w:tblW w:w="498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8"/>
        <w:gridCol w:w="1754"/>
        <w:gridCol w:w="6453"/>
      </w:tblGrid>
      <w:tr w14:paraId="3BEB1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37" w:type="pct"/>
            <w:gridSpan w:val="2"/>
            <w:tcBorders>
              <w:top w:val="single" w:color="auto" w:sz="4" w:space="0"/>
              <w:left w:val="single" w:color="auto" w:sz="4" w:space="0"/>
              <w:bottom w:val="single" w:color="auto" w:sz="4" w:space="0"/>
              <w:right w:val="single" w:color="auto" w:sz="4" w:space="0"/>
            </w:tcBorders>
            <w:vAlign w:val="center"/>
          </w:tcPr>
          <w:p w14:paraId="453B065A">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3362" w:type="pct"/>
            <w:tcBorders>
              <w:top w:val="single" w:color="auto" w:sz="4" w:space="0"/>
              <w:left w:val="single" w:color="auto" w:sz="4" w:space="0"/>
              <w:bottom w:val="single" w:color="auto" w:sz="4" w:space="0"/>
              <w:right w:val="single" w:color="auto" w:sz="4" w:space="0"/>
            </w:tcBorders>
            <w:vAlign w:val="center"/>
          </w:tcPr>
          <w:p w14:paraId="784886BA">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评审标准</w:t>
            </w:r>
          </w:p>
        </w:tc>
      </w:tr>
      <w:tr w14:paraId="430A1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3" w:type="pct"/>
            <w:vMerge w:val="restart"/>
            <w:tcBorders>
              <w:top w:val="single" w:color="auto" w:sz="4" w:space="0"/>
              <w:left w:val="single" w:color="auto" w:sz="4" w:space="0"/>
              <w:right w:val="single" w:color="auto" w:sz="4" w:space="0"/>
              <w:tl2br w:val="nil"/>
              <w:tr2bl w:val="nil"/>
            </w:tcBorders>
            <w:vAlign w:val="center"/>
          </w:tcPr>
          <w:p w14:paraId="21E14E4B">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182CCEB2">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05A0A749">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2B0BB0D6">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6E3EC809">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42A8D458">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31CCC45F">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.1</w:t>
            </w:r>
          </w:p>
        </w:tc>
        <w:tc>
          <w:tcPr>
            <w:tcW w:w="914" w:type="pct"/>
            <w:vMerge w:val="restart"/>
            <w:tcBorders>
              <w:top w:val="single" w:color="auto" w:sz="4" w:space="0"/>
              <w:left w:val="nil"/>
              <w:right w:val="single" w:color="auto" w:sz="4" w:space="0"/>
              <w:tl2br w:val="nil"/>
              <w:tr2bl w:val="nil"/>
            </w:tcBorders>
            <w:vAlign w:val="center"/>
          </w:tcPr>
          <w:p w14:paraId="14988270">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3828E0BE">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7454FDAF">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559D6260">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4542AE84">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5EEC9B95">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p>
          <w:p w14:paraId="3FD54D72">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资格性审查</w:t>
            </w:r>
          </w:p>
        </w:tc>
        <w:tc>
          <w:tcPr>
            <w:tcW w:w="3362" w:type="pct"/>
            <w:tcBorders>
              <w:top w:val="single" w:color="auto" w:sz="4" w:space="0"/>
              <w:left w:val="single" w:color="auto" w:sz="4" w:space="0"/>
              <w:bottom w:val="single" w:color="auto" w:sz="4" w:space="0"/>
              <w:right w:val="single" w:color="auto" w:sz="4" w:space="0"/>
            </w:tcBorders>
            <w:vAlign w:val="center"/>
          </w:tcPr>
          <w:p w14:paraId="49D5B543">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jc w:val="both"/>
              <w:textAlignment w:val="baseline"/>
              <w:rPr>
                <w:rFonts w:hint="default" w:ascii="仿宋" w:hAnsi="仿宋" w:eastAsia="仿宋" w:cs="仿宋"/>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1.有效经年检的营业执照；（加盖公章）</w:t>
            </w:r>
          </w:p>
        </w:tc>
      </w:tr>
      <w:tr w14:paraId="1484E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23" w:type="pct"/>
            <w:vMerge w:val="continue"/>
            <w:tcBorders>
              <w:left w:val="single" w:color="auto" w:sz="4" w:space="0"/>
              <w:right w:val="single" w:color="auto" w:sz="4" w:space="0"/>
            </w:tcBorders>
            <w:vAlign w:val="center"/>
          </w:tcPr>
          <w:p w14:paraId="5F834E39">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left w:val="nil"/>
              <w:right w:val="single" w:color="auto" w:sz="4" w:space="0"/>
            </w:tcBorders>
            <w:vAlign w:val="center"/>
          </w:tcPr>
          <w:p w14:paraId="389EF661">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l2br w:val="nil"/>
              <w:tr2bl w:val="nil"/>
            </w:tcBorders>
            <w:vAlign w:val="center"/>
          </w:tcPr>
          <w:p w14:paraId="3018B594">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jc w:val="both"/>
              <w:textAlignment w:val="baseline"/>
              <w:rPr>
                <w:rFonts w:hint="eastAsia" w:ascii="仿宋" w:hAnsi="仿宋" w:eastAsia="仿宋" w:cs="仿宋"/>
                <w:sz w:val="24"/>
                <w:szCs w:val="24"/>
                <w:highlight w:val="none"/>
                <w:lang w:val="zh-CN" w:eastAsia="zh-CN"/>
              </w:rPr>
            </w:pPr>
            <w:r>
              <w:rPr>
                <w:rFonts w:hint="eastAsia" w:ascii="仿宋" w:hAnsi="仿宋" w:eastAsia="仿宋" w:cs="仿宋"/>
                <w:color w:val="auto"/>
                <w:spacing w:val="-1"/>
                <w:sz w:val="24"/>
                <w:szCs w:val="24"/>
                <w:highlight w:val="none"/>
                <w:lang w:val="en-US" w:eastAsia="zh-CN"/>
              </w:rPr>
              <w:t>2.法人代表或其委托代理人应提供本人身份证，委托代理人还应提供《法人代表授权委托书》；</w:t>
            </w:r>
            <w:r>
              <w:rPr>
                <w:rFonts w:hint="eastAsia" w:ascii="仿宋" w:hAnsi="仿宋" w:eastAsia="仿宋" w:cs="仿宋"/>
                <w:color w:val="auto"/>
                <w:spacing w:val="-1"/>
                <w:sz w:val="24"/>
                <w:szCs w:val="24"/>
                <w:highlight w:val="none"/>
              </w:rPr>
              <w:t>（加盖公章）</w:t>
            </w:r>
          </w:p>
        </w:tc>
      </w:tr>
      <w:tr w14:paraId="0ED2B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723" w:type="pct"/>
            <w:vMerge w:val="continue"/>
            <w:tcBorders>
              <w:left w:val="single" w:color="auto" w:sz="4" w:space="0"/>
              <w:right w:val="single" w:color="auto" w:sz="4" w:space="0"/>
            </w:tcBorders>
            <w:vAlign w:val="center"/>
          </w:tcPr>
          <w:p w14:paraId="41476C68">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left w:val="nil"/>
              <w:right w:val="single" w:color="auto" w:sz="4" w:space="0"/>
            </w:tcBorders>
            <w:vAlign w:val="center"/>
          </w:tcPr>
          <w:p w14:paraId="65307483">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7FE54648">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jc w:val="both"/>
              <w:textAlignment w:val="baseline"/>
              <w:rPr>
                <w:rFonts w:hint="eastAsia" w:ascii="仿宋" w:hAnsi="仿宋" w:eastAsia="仿宋" w:cs="仿宋"/>
                <w:spacing w:val="-1"/>
                <w:sz w:val="24"/>
                <w:szCs w:val="24"/>
                <w:highlight w:val="none"/>
              </w:rPr>
            </w:pPr>
            <w:r>
              <w:rPr>
                <w:rFonts w:hint="eastAsia" w:ascii="仿宋" w:hAnsi="仿宋" w:eastAsia="仿宋" w:cs="仿宋"/>
                <w:color w:val="auto"/>
                <w:spacing w:val="-1"/>
                <w:sz w:val="24"/>
                <w:szCs w:val="24"/>
                <w:highlight w:val="none"/>
                <w:lang w:val="en-US" w:eastAsia="zh-CN"/>
              </w:rPr>
              <w:t>3.</w:t>
            </w:r>
            <w:r>
              <w:rPr>
                <w:rFonts w:hint="eastAsia" w:ascii="仿宋" w:hAnsi="仿宋" w:eastAsia="仿宋" w:cs="仿宋"/>
                <w:color w:val="auto"/>
                <w:spacing w:val="-1"/>
                <w:sz w:val="24"/>
                <w:szCs w:val="24"/>
                <w:highlight w:val="none"/>
              </w:rPr>
              <w:t>提供近</w:t>
            </w:r>
            <w:r>
              <w:rPr>
                <w:rFonts w:hint="eastAsia" w:ascii="仿宋" w:hAnsi="仿宋" w:eastAsia="仿宋" w:cs="仿宋"/>
                <w:color w:val="auto"/>
                <w:spacing w:val="-1"/>
                <w:sz w:val="24"/>
                <w:szCs w:val="24"/>
                <w:highlight w:val="none"/>
                <w:lang w:eastAsia="zh-CN"/>
              </w:rPr>
              <w:t>近三个月内任意一个月</w:t>
            </w:r>
            <w:r>
              <w:rPr>
                <w:rFonts w:hint="eastAsia" w:ascii="仿宋" w:hAnsi="仿宋" w:eastAsia="仿宋" w:cs="仿宋"/>
                <w:color w:val="auto"/>
                <w:spacing w:val="-1"/>
                <w:sz w:val="24"/>
                <w:szCs w:val="24"/>
                <w:highlight w:val="none"/>
              </w:rPr>
              <w:t>授权委托人及相关人员社保缴纳明细需盖有社保部门印章（退休人员提供退休证）；</w:t>
            </w:r>
          </w:p>
        </w:tc>
      </w:tr>
      <w:tr w14:paraId="3C658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pct"/>
            <w:vMerge w:val="continue"/>
            <w:tcBorders>
              <w:left w:val="single" w:color="auto" w:sz="4" w:space="0"/>
              <w:right w:val="single" w:color="auto" w:sz="4" w:space="0"/>
            </w:tcBorders>
            <w:vAlign w:val="center"/>
          </w:tcPr>
          <w:p w14:paraId="0FB0745F">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left w:val="nil"/>
              <w:right w:val="single" w:color="auto" w:sz="4" w:space="0"/>
            </w:tcBorders>
            <w:vAlign w:val="center"/>
          </w:tcPr>
          <w:p w14:paraId="08C6D499">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137048C6">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jc w:val="both"/>
              <w:textAlignment w:val="baseline"/>
              <w:rPr>
                <w:rFonts w:hint="eastAsia" w:ascii="仿宋" w:hAnsi="仿宋" w:eastAsia="仿宋" w:cs="仿宋"/>
                <w:spacing w:val="-1"/>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提供所在企业</w:t>
            </w:r>
            <w:r>
              <w:rPr>
                <w:rFonts w:hint="eastAsia" w:ascii="仿宋" w:hAnsi="仿宋" w:eastAsia="仿宋" w:cs="仿宋"/>
                <w:color w:val="auto"/>
                <w:sz w:val="24"/>
                <w:szCs w:val="24"/>
                <w:highlight w:val="none"/>
                <w:lang w:eastAsia="zh-CN"/>
              </w:rPr>
              <w:t>近三个月内任意一个月</w:t>
            </w:r>
            <w:r>
              <w:rPr>
                <w:rFonts w:hint="eastAsia" w:ascii="仿宋" w:hAnsi="仿宋" w:eastAsia="仿宋" w:cs="仿宋"/>
                <w:color w:val="auto"/>
                <w:sz w:val="24"/>
                <w:szCs w:val="24"/>
                <w:highlight w:val="none"/>
              </w:rPr>
              <w:t>税务部门出具的完税证明或税务部门出具的其他证明，非社会保险类；（若投标人某月税收为零申报，须提供当月加盖税务局公章的无欠税证明（依法免税的供应商应提供相应证明文件证明其依法免税。）；（加盖公章）</w:t>
            </w:r>
          </w:p>
        </w:tc>
      </w:tr>
      <w:tr w14:paraId="2547F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pct"/>
            <w:vMerge w:val="continue"/>
            <w:tcBorders>
              <w:left w:val="single" w:color="auto" w:sz="4" w:space="0"/>
              <w:right w:val="single" w:color="auto" w:sz="4" w:space="0"/>
            </w:tcBorders>
            <w:vAlign w:val="center"/>
          </w:tcPr>
          <w:p w14:paraId="433A42A0">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left w:val="nil"/>
              <w:right w:val="single" w:color="auto" w:sz="4" w:space="0"/>
            </w:tcBorders>
            <w:vAlign w:val="center"/>
          </w:tcPr>
          <w:p w14:paraId="5967DC15">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3D2B4DBB">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jc w:val="both"/>
              <w:textAlignment w:val="baseline"/>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具有良好的商业信誉和健全的财务会计制度（提供</w:t>
            </w:r>
            <w:r>
              <w:rPr>
                <w:rFonts w:hint="eastAsia" w:ascii="仿宋" w:hAnsi="仿宋" w:eastAsia="仿宋" w:cs="仿宋"/>
                <w:color w:val="auto"/>
                <w:sz w:val="24"/>
                <w:szCs w:val="24"/>
                <w:highlight w:val="none"/>
                <w:lang w:val="en-US" w:eastAsia="zh-CN"/>
              </w:rPr>
              <w:t>2024</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或2025年）财务报表或第三方出具的财务审计报告;</w:t>
            </w:r>
            <w:r>
              <w:rPr>
                <w:rFonts w:hint="eastAsia" w:ascii="仿宋" w:hAnsi="仿宋" w:eastAsia="仿宋" w:cs="仿宋"/>
                <w:color w:val="auto"/>
                <w:sz w:val="24"/>
                <w:szCs w:val="24"/>
                <w:highlight w:val="none"/>
                <w:lang w:val="zh-CN" w:eastAsia="zh-CN"/>
              </w:rPr>
              <w:t>（成立不足一年的新办企业提供银行资信证明</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val="zh-CN" w:eastAsia="zh-CN"/>
              </w:rPr>
              <w:t>提供成立至今的财务报表、包含资产负债表、现金流量表、利润表））；（</w:t>
            </w:r>
            <w:r>
              <w:rPr>
                <w:rFonts w:hint="eastAsia" w:ascii="仿宋" w:hAnsi="仿宋" w:eastAsia="仿宋" w:cs="仿宋"/>
                <w:color w:val="auto"/>
                <w:sz w:val="24"/>
                <w:szCs w:val="24"/>
                <w:highlight w:val="none"/>
                <w:lang w:val="en-US" w:eastAsia="zh-CN"/>
              </w:rPr>
              <w:t>加盖公章</w:t>
            </w:r>
            <w:r>
              <w:rPr>
                <w:rFonts w:hint="eastAsia" w:ascii="仿宋" w:hAnsi="仿宋" w:eastAsia="仿宋" w:cs="仿宋"/>
                <w:color w:val="auto"/>
                <w:sz w:val="24"/>
                <w:szCs w:val="24"/>
                <w:highlight w:val="none"/>
                <w:lang w:val="zh-CN" w:eastAsia="zh-CN"/>
              </w:rPr>
              <w:t>）</w:t>
            </w:r>
          </w:p>
        </w:tc>
      </w:tr>
      <w:tr w14:paraId="26240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pct"/>
            <w:vMerge w:val="continue"/>
            <w:tcBorders>
              <w:left w:val="single" w:color="auto" w:sz="4" w:space="0"/>
              <w:right w:val="single" w:color="auto" w:sz="4" w:space="0"/>
            </w:tcBorders>
            <w:vAlign w:val="center"/>
          </w:tcPr>
          <w:p w14:paraId="0AA0AC86">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left w:val="nil"/>
              <w:right w:val="single" w:color="auto" w:sz="4" w:space="0"/>
            </w:tcBorders>
            <w:vAlign w:val="center"/>
          </w:tcPr>
          <w:p w14:paraId="109385AD">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71CAE66C">
            <w:pPr>
              <w:pStyle w:val="24"/>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jc w:val="both"/>
              <w:textAlignment w:val="baseline"/>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6.“信用中国”网站查询截图和信用信息报告，中国政府采购网被列入严重违法失信行为记录名单的（尚在处罚期内的）；（投标人打印时间须在获取采购文件之日起至投标截止时间之日内）。﹙若投标人未提供则自投标文件提交截止时至评审结束（评标委员会在评审报告上签字完成）期间，由采购人或采购代理机构以评标现场查询结果为准。）；</w:t>
            </w:r>
          </w:p>
        </w:tc>
      </w:tr>
      <w:tr w14:paraId="0A8E0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restart"/>
            <w:tcBorders>
              <w:top w:val="single" w:color="auto" w:sz="4" w:space="0"/>
              <w:left w:val="single" w:color="auto" w:sz="4" w:space="0"/>
              <w:bottom w:val="single" w:color="auto" w:sz="4" w:space="0"/>
              <w:right w:val="single" w:color="auto" w:sz="4" w:space="0"/>
            </w:tcBorders>
            <w:vAlign w:val="center"/>
          </w:tcPr>
          <w:p w14:paraId="28D3247D">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lang w:val="en-US" w:eastAsia="zh-CN"/>
              </w:rPr>
            </w:pPr>
            <w:bookmarkStart w:id="101" w:name="_Toc494455919"/>
            <w:r>
              <w:rPr>
                <w:rFonts w:hint="eastAsia" w:ascii="仿宋" w:hAnsi="仿宋" w:eastAsia="仿宋" w:cs="仿宋"/>
                <w:sz w:val="24"/>
                <w:szCs w:val="24"/>
                <w:highlight w:val="none"/>
                <w:lang w:val="en-US" w:eastAsia="zh-CN"/>
              </w:rPr>
              <w:t>2.1.2</w:t>
            </w:r>
          </w:p>
        </w:tc>
        <w:tc>
          <w:tcPr>
            <w:tcW w:w="914" w:type="pct"/>
            <w:vMerge w:val="restart"/>
            <w:tcBorders>
              <w:top w:val="single" w:color="auto" w:sz="4" w:space="0"/>
              <w:left w:val="nil"/>
              <w:bottom w:val="single" w:color="auto" w:sz="4" w:space="0"/>
              <w:right w:val="single" w:color="auto" w:sz="4" w:space="0"/>
            </w:tcBorders>
            <w:vAlign w:val="center"/>
          </w:tcPr>
          <w:p w14:paraId="3DAEB92F">
            <w:pPr>
              <w:keepNext w:val="0"/>
              <w:keepLines w:val="0"/>
              <w:pageBreakBefore w:val="0"/>
              <w:widowControl w:val="0"/>
              <w:kinsoku/>
              <w:wordWrap/>
              <w:overflowPunct/>
              <w:topLinePunct w:val="0"/>
              <w:autoSpaceDE/>
              <w:autoSpaceDN/>
              <w:bidi w:val="0"/>
              <w:adjustRightInd w:val="0"/>
              <w:snapToGrid w:val="0"/>
              <w:spacing w:line="320" w:lineRule="exact"/>
              <w:ind w:left="0" w:right="0"/>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符合性审查</w:t>
            </w:r>
          </w:p>
        </w:tc>
        <w:tc>
          <w:tcPr>
            <w:tcW w:w="3362" w:type="pct"/>
            <w:tcBorders>
              <w:top w:val="single" w:color="auto" w:sz="4" w:space="0"/>
              <w:left w:val="single" w:color="auto" w:sz="4" w:space="0"/>
              <w:bottom w:val="single" w:color="auto" w:sz="4" w:space="0"/>
              <w:right w:val="single" w:color="auto" w:sz="4" w:space="0"/>
            </w:tcBorders>
            <w:vAlign w:val="center"/>
          </w:tcPr>
          <w:p w14:paraId="28345820">
            <w:pPr>
              <w:keepNext w:val="0"/>
              <w:keepLines w:val="0"/>
              <w:pageBreakBefore w:val="0"/>
              <w:widowControl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投标企业名称是否与营业执照、开户许可证（或基本存款账户信息）一致；</w:t>
            </w:r>
          </w:p>
        </w:tc>
      </w:tr>
      <w:tr w14:paraId="4A4BD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09D7ECEF">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top w:val="single" w:color="auto" w:sz="4" w:space="0"/>
              <w:left w:val="nil"/>
              <w:bottom w:val="single" w:color="auto" w:sz="4" w:space="0"/>
              <w:right w:val="single" w:color="auto" w:sz="4" w:space="0"/>
            </w:tcBorders>
            <w:vAlign w:val="center"/>
          </w:tcPr>
          <w:p w14:paraId="5CCD367D">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6790BB3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2.投标人满足本招标文件关于对投标人资格证明文件的规定；</w:t>
            </w:r>
          </w:p>
        </w:tc>
      </w:tr>
      <w:tr w14:paraId="48EBF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371EDA86">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top w:val="single" w:color="auto" w:sz="4" w:space="0"/>
              <w:left w:val="nil"/>
              <w:bottom w:val="single" w:color="auto" w:sz="4" w:space="0"/>
              <w:right w:val="single" w:color="auto" w:sz="4" w:space="0"/>
            </w:tcBorders>
            <w:vAlign w:val="center"/>
          </w:tcPr>
          <w:p w14:paraId="28C6154C">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3B50288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3.投标文件的有效期满足招标文件的规定；</w:t>
            </w:r>
          </w:p>
        </w:tc>
      </w:tr>
      <w:tr w14:paraId="61759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54856F13">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top w:val="single" w:color="auto" w:sz="4" w:space="0"/>
              <w:left w:val="nil"/>
              <w:bottom w:val="single" w:color="auto" w:sz="4" w:space="0"/>
              <w:right w:val="single" w:color="auto" w:sz="4" w:space="0"/>
            </w:tcBorders>
            <w:vAlign w:val="center"/>
          </w:tcPr>
          <w:p w14:paraId="2E726319">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1757BF8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4.投标文件中每一种货物只有一个有效报价，不得提交选择性报价且没有漏项；</w:t>
            </w:r>
          </w:p>
        </w:tc>
      </w:tr>
      <w:tr w14:paraId="40A74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218F20C3">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top w:val="single" w:color="auto" w:sz="4" w:space="0"/>
              <w:left w:val="nil"/>
              <w:bottom w:val="single" w:color="auto" w:sz="4" w:space="0"/>
              <w:right w:val="single" w:color="auto" w:sz="4" w:space="0"/>
            </w:tcBorders>
            <w:vAlign w:val="center"/>
          </w:tcPr>
          <w:p w14:paraId="616BB50D">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30B7B69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napToGrid w:val="0"/>
                <w:color w:val="auto"/>
                <w:kern w:val="0"/>
                <w:sz w:val="24"/>
                <w:szCs w:val="24"/>
                <w:highlight w:val="none"/>
                <w:lang w:val="en-US" w:eastAsia="zh-CN"/>
              </w:rPr>
              <w:t>5.投标报价未超过或等于最高限价（预算金额）；</w:t>
            </w:r>
          </w:p>
        </w:tc>
      </w:tr>
      <w:tr w14:paraId="3D3FA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6D560A09">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top w:val="single" w:color="auto" w:sz="4" w:space="0"/>
              <w:left w:val="nil"/>
              <w:bottom w:val="single" w:color="auto" w:sz="4" w:space="0"/>
              <w:right w:val="single" w:color="auto" w:sz="4" w:space="0"/>
            </w:tcBorders>
            <w:vAlign w:val="center"/>
          </w:tcPr>
          <w:p w14:paraId="441496B0">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6EF97DC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6.投标文件载明的招标项目供货期未超过招标文件规定的期限；</w:t>
            </w:r>
          </w:p>
        </w:tc>
      </w:tr>
      <w:tr w14:paraId="76057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0D76EE47">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top w:val="single" w:color="auto" w:sz="4" w:space="0"/>
              <w:left w:val="nil"/>
              <w:bottom w:val="single" w:color="auto" w:sz="4" w:space="0"/>
              <w:right w:val="single" w:color="auto" w:sz="4" w:space="0"/>
            </w:tcBorders>
            <w:vAlign w:val="center"/>
          </w:tcPr>
          <w:p w14:paraId="28DD3289">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7FFF92B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7.投标文件未附有采购人不能接受的附加条件；</w:t>
            </w:r>
          </w:p>
        </w:tc>
      </w:tr>
      <w:tr w14:paraId="40FFD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5D897BFF">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top w:val="single" w:color="auto" w:sz="4" w:space="0"/>
              <w:left w:val="nil"/>
              <w:bottom w:val="single" w:color="auto" w:sz="4" w:space="0"/>
              <w:right w:val="single" w:color="auto" w:sz="4" w:space="0"/>
            </w:tcBorders>
            <w:vAlign w:val="center"/>
          </w:tcPr>
          <w:p w14:paraId="5FF8C2AA">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7D566EF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8.符合法律、法规和招标文件规定的其他实质性要求；</w:t>
            </w:r>
          </w:p>
        </w:tc>
      </w:tr>
      <w:tr w14:paraId="589AA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3" w:type="pct"/>
            <w:vMerge w:val="continue"/>
            <w:tcBorders>
              <w:top w:val="single" w:color="auto" w:sz="4" w:space="0"/>
              <w:left w:val="single" w:color="auto" w:sz="4" w:space="0"/>
              <w:bottom w:val="single" w:color="auto" w:sz="4" w:space="0"/>
              <w:right w:val="single" w:color="auto" w:sz="4" w:space="0"/>
            </w:tcBorders>
            <w:vAlign w:val="center"/>
          </w:tcPr>
          <w:p w14:paraId="655E4AB6">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914" w:type="pct"/>
            <w:vMerge w:val="continue"/>
            <w:tcBorders>
              <w:top w:val="single" w:color="auto" w:sz="4" w:space="0"/>
              <w:left w:val="nil"/>
              <w:bottom w:val="single" w:color="auto" w:sz="4" w:space="0"/>
              <w:right w:val="single" w:color="auto" w:sz="4" w:space="0"/>
            </w:tcBorders>
            <w:vAlign w:val="center"/>
          </w:tcPr>
          <w:p w14:paraId="669F2948">
            <w:pPr>
              <w:keepNext w:val="0"/>
              <w:keepLines w:val="0"/>
              <w:pageBreakBefore w:val="0"/>
              <w:widowControl w:val="0"/>
              <w:kinsoku/>
              <w:wordWrap/>
              <w:overflowPunct/>
              <w:topLinePunct w:val="0"/>
              <w:autoSpaceDE/>
              <w:autoSpaceDN/>
              <w:bidi w:val="0"/>
              <w:adjustRightInd w:val="0"/>
              <w:snapToGrid w:val="0"/>
              <w:spacing w:line="320" w:lineRule="exact"/>
              <w:ind w:left="0" w:right="0" w:firstLine="480" w:firstLineChars="200"/>
              <w:jc w:val="center"/>
              <w:textAlignment w:val="baseline"/>
              <w:rPr>
                <w:rFonts w:hint="eastAsia" w:ascii="仿宋" w:hAnsi="仿宋" w:eastAsia="仿宋" w:cs="仿宋"/>
                <w:sz w:val="24"/>
                <w:szCs w:val="24"/>
                <w:highlight w:val="none"/>
              </w:rPr>
            </w:pPr>
          </w:p>
        </w:tc>
        <w:tc>
          <w:tcPr>
            <w:tcW w:w="3362" w:type="pct"/>
            <w:tcBorders>
              <w:top w:val="single" w:color="auto" w:sz="4" w:space="0"/>
              <w:left w:val="single" w:color="auto" w:sz="4" w:space="0"/>
              <w:bottom w:val="single" w:color="auto" w:sz="4" w:space="0"/>
              <w:right w:val="single" w:color="auto" w:sz="4" w:space="0"/>
            </w:tcBorders>
            <w:vAlign w:val="center"/>
          </w:tcPr>
          <w:p w14:paraId="72234B9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right="0"/>
              <w:jc w:val="both"/>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9.具有履行合同所必需的设备和专业技术能力；</w:t>
            </w:r>
          </w:p>
        </w:tc>
      </w:tr>
    </w:tbl>
    <w:p w14:paraId="2C0B8274">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5180302C">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2.2商务</w:t>
      </w:r>
      <w:r>
        <w:rPr>
          <w:rFonts w:hint="eastAsia" w:ascii="仿宋" w:hAnsi="仿宋" w:eastAsia="仿宋" w:cs="仿宋"/>
          <w:color w:val="auto"/>
          <w:sz w:val="28"/>
          <w:szCs w:val="28"/>
          <w:highlight w:val="none"/>
          <w:lang w:val="en-US" w:eastAsia="zh-CN"/>
        </w:rPr>
        <w:t>技术</w:t>
      </w:r>
      <w:r>
        <w:rPr>
          <w:rFonts w:hint="eastAsia" w:ascii="仿宋" w:hAnsi="仿宋" w:eastAsia="仿宋" w:cs="仿宋"/>
          <w:sz w:val="28"/>
          <w:szCs w:val="28"/>
          <w:highlight w:val="none"/>
          <w:lang w:val="en-US" w:eastAsia="zh-CN"/>
        </w:rPr>
        <w:t>部分</w:t>
      </w:r>
    </w:p>
    <w:tbl>
      <w:tblPr>
        <w:tblStyle w:val="19"/>
        <w:tblW w:w="504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6"/>
        <w:gridCol w:w="1210"/>
        <w:gridCol w:w="131"/>
        <w:gridCol w:w="7542"/>
      </w:tblGrid>
      <w:tr w14:paraId="3A595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4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7A0CD2">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395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1705C3">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bCs/>
                <w:snapToGrid/>
                <w:color w:val="auto"/>
                <w:kern w:val="0"/>
                <w:sz w:val="24"/>
                <w:szCs w:val="24"/>
                <w:highlight w:val="none"/>
                <w:lang w:val="en-US" w:eastAsia="zh-CN"/>
              </w:rPr>
              <w:t>商务报价部分：30分    技术部分：70分</w:t>
            </w:r>
            <w:r>
              <w:rPr>
                <w:rFonts w:hint="eastAsia" w:ascii="仿宋" w:hAnsi="仿宋" w:eastAsia="仿宋" w:cs="仿宋"/>
                <w:b/>
                <w:bCs/>
                <w:snapToGrid/>
                <w:color w:val="auto"/>
                <w:kern w:val="0"/>
                <w:sz w:val="24"/>
                <w:szCs w:val="24"/>
                <w:highlight w:val="none"/>
                <w:lang w:eastAsia="zh-CN"/>
              </w:rPr>
              <w:t xml:space="preserve">  </w:t>
            </w:r>
          </w:p>
        </w:tc>
      </w:tr>
      <w:tr w14:paraId="6CCE4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6"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F1EC6C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2.2.1</w:t>
            </w:r>
          </w:p>
        </w:tc>
        <w:tc>
          <w:tcPr>
            <w:tcW w:w="692" w:type="pct"/>
            <w:gridSpan w:val="2"/>
            <w:tcBorders>
              <w:top w:val="single" w:color="auto" w:sz="4" w:space="0"/>
              <w:left w:val="nil"/>
              <w:bottom w:val="single" w:color="auto" w:sz="4" w:space="0"/>
              <w:right w:val="single" w:color="auto" w:sz="4" w:space="0"/>
            </w:tcBorders>
            <w:vAlign w:val="center"/>
          </w:tcPr>
          <w:p w14:paraId="05D9729B">
            <w:pPr>
              <w:keepNext w:val="0"/>
              <w:keepLines w:val="0"/>
              <w:widowControl/>
              <w:suppressLineNumbers w:val="0"/>
              <w:jc w:val="left"/>
              <w:rPr>
                <w:rFonts w:hint="eastAsia" w:ascii="仿宋" w:hAnsi="仿宋" w:eastAsia="仿宋" w:cs="仿宋"/>
                <w:snapToGrid w:val="0"/>
                <w:color w:val="auto"/>
                <w:kern w:val="0"/>
                <w:sz w:val="24"/>
                <w:szCs w:val="24"/>
                <w:highlight w:val="none"/>
                <w:lang w:val="zh-CN" w:eastAsia="zh-CN" w:bidi="ar-SA"/>
              </w:rPr>
            </w:pPr>
            <w:r>
              <w:rPr>
                <w:rFonts w:hint="eastAsia" w:ascii="仿宋" w:hAnsi="仿宋" w:eastAsia="仿宋" w:cs="仿宋"/>
                <w:snapToGrid w:val="0"/>
                <w:color w:val="auto"/>
                <w:kern w:val="0"/>
                <w:sz w:val="24"/>
                <w:szCs w:val="24"/>
                <w:highlight w:val="none"/>
                <w:lang w:val="zh-CN" w:eastAsia="zh-CN" w:bidi="ar-SA"/>
              </w:rPr>
              <w:t>投标报价</w:t>
            </w:r>
          </w:p>
          <w:p w14:paraId="7AC24AE9">
            <w:pPr>
              <w:keepNext w:val="0"/>
              <w:keepLines w:val="0"/>
              <w:widowControl/>
              <w:suppressLineNumbers w:val="0"/>
              <w:jc w:val="left"/>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zh-CN" w:eastAsia="zh-CN" w:bidi="ar-SA"/>
              </w:rPr>
              <w:t>（30）分</w:t>
            </w:r>
          </w:p>
        </w:tc>
        <w:tc>
          <w:tcPr>
            <w:tcW w:w="3886" w:type="pct"/>
            <w:tcBorders>
              <w:top w:val="single" w:color="auto" w:sz="4" w:space="0"/>
              <w:left w:val="single" w:color="auto" w:sz="4" w:space="0"/>
              <w:bottom w:val="single" w:color="auto" w:sz="4" w:space="0"/>
              <w:right w:val="single" w:color="auto" w:sz="4" w:space="0"/>
            </w:tcBorders>
            <w:vAlign w:val="center"/>
          </w:tcPr>
          <w:p w14:paraId="45A1B46F">
            <w:pPr>
              <w:widowControl/>
              <w:kinsoku/>
              <w:autoSpaceDE/>
              <w:autoSpaceDN/>
              <w:adjustRightInd/>
              <w:snapToGrid/>
              <w:spacing w:line="320" w:lineRule="exact"/>
              <w:jc w:val="left"/>
              <w:textAlignment w:val="auto"/>
              <w:rPr>
                <w:rFonts w:hint="eastAsia" w:ascii="仿宋" w:hAnsi="仿宋" w:eastAsia="仿宋" w:cs="仿宋"/>
                <w:snapToGrid w:val="0"/>
                <w:color w:val="auto"/>
                <w:kern w:val="0"/>
                <w:sz w:val="24"/>
                <w:szCs w:val="24"/>
                <w:highlight w:val="none"/>
                <w:lang w:val="zh-CN" w:eastAsia="zh-CN" w:bidi="ar-SA"/>
              </w:rPr>
            </w:pPr>
            <w:r>
              <w:rPr>
                <w:rFonts w:hint="eastAsia" w:ascii="仿宋" w:hAnsi="仿宋" w:eastAsia="仿宋" w:cs="仿宋"/>
                <w:snapToGrid w:val="0"/>
                <w:color w:val="auto"/>
                <w:kern w:val="0"/>
                <w:sz w:val="24"/>
                <w:szCs w:val="24"/>
                <w:highlight w:val="none"/>
                <w:lang w:val="zh-CN" w:eastAsia="zh-CN" w:bidi="ar-SA"/>
              </w:rPr>
              <w:t>1.以供应商有效投标价中的最低价为评标基准价，得满分30分。商务报价评分结算公式为：投标报价得分=（评标基准价／投标报价）×价格权值×100。</w:t>
            </w:r>
          </w:p>
          <w:p w14:paraId="6793E10F">
            <w:pPr>
              <w:widowControl/>
              <w:kinsoku/>
              <w:autoSpaceDE/>
              <w:autoSpaceDN/>
              <w:adjustRightInd/>
              <w:snapToGrid/>
              <w:spacing w:line="320" w:lineRule="exact"/>
              <w:jc w:val="left"/>
              <w:textAlignment w:val="auto"/>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zh-CN" w:eastAsia="zh-CN" w:bidi="ar-SA"/>
              </w:rPr>
              <w:t>2.为防止恶意竞标的行为，评审小组</w:t>
            </w:r>
            <w:r>
              <w:rPr>
                <w:rFonts w:hint="eastAsia" w:ascii="仿宋" w:hAnsi="仿宋" w:eastAsia="仿宋" w:cs="仿宋"/>
                <w:snapToGrid w:val="0"/>
                <w:color w:val="auto"/>
                <w:kern w:val="0"/>
                <w:sz w:val="24"/>
                <w:szCs w:val="24"/>
                <w:highlight w:val="none"/>
                <w:lang w:val="en-US" w:eastAsia="zh-CN" w:bidi="ar-SA"/>
              </w:rPr>
              <w:t>依据招标文件前附须知表第41条第8款“低价不正当竞争预防措施”有关规定执行。</w:t>
            </w:r>
          </w:p>
          <w:p w14:paraId="48C153D1">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zh-CN" w:eastAsia="zh-CN" w:bidi="ar-SA"/>
              </w:rPr>
              <w:t>（注：（</w:t>
            </w: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zh-CN" w:eastAsia="zh-CN" w:bidi="ar-SA"/>
              </w:rPr>
              <w:t>）本项目不属于专门面向中小企业项目，所投货物制造商均为小型企业或微型企业的可享受价10%的价格扣除后参与评审。须根据招标文件中的法定格式提供中小企业声明函。（</w:t>
            </w:r>
            <w:r>
              <w:rPr>
                <w:rFonts w:hint="eastAsia" w:ascii="仿宋" w:hAnsi="仿宋" w:eastAsia="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zh-CN" w:eastAsia="zh-CN" w:bidi="ar-SA"/>
              </w:rPr>
              <w:t>）《国务院办公厅关于在政府采购中实施本国产品标准及相关政策的通知》国办发〔2025〕34号</w:t>
            </w:r>
            <w:r>
              <w:rPr>
                <w:rFonts w:hint="eastAsia" w:ascii="仿宋" w:hAnsi="仿宋" w:eastAsia="仿宋" w:cs="仿宋"/>
                <w:snapToGrid w:val="0"/>
                <w:color w:val="auto"/>
                <w:kern w:val="0"/>
                <w:sz w:val="24"/>
                <w:szCs w:val="24"/>
                <w:highlight w:val="none"/>
                <w:lang w:val="en-US" w:eastAsia="zh-CN" w:bidi="ar-SA"/>
              </w:rPr>
              <w:t xml:space="preserve"> </w:t>
            </w:r>
            <w:r>
              <w:rPr>
                <w:rFonts w:hint="eastAsia" w:ascii="仿宋" w:hAnsi="仿宋" w:eastAsia="仿宋" w:cs="仿宋"/>
                <w:snapToGrid w:val="0"/>
                <w:color w:val="auto"/>
                <w:kern w:val="0"/>
                <w:sz w:val="24"/>
                <w:szCs w:val="24"/>
                <w:highlight w:val="none"/>
                <w:lang w:val="zh-CN" w:eastAsia="zh-CN" w:bidi="ar-SA"/>
              </w:rPr>
              <w:t>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E8EF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38DCB98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2.2</w:t>
            </w:r>
          </w:p>
        </w:tc>
        <w:tc>
          <w:tcPr>
            <w:tcW w:w="692" w:type="pct"/>
            <w:gridSpan w:val="2"/>
            <w:tcBorders>
              <w:top w:val="single" w:color="auto" w:sz="4" w:space="0"/>
              <w:left w:val="nil"/>
              <w:bottom w:val="single" w:color="auto" w:sz="4" w:space="0"/>
              <w:right w:val="single" w:color="auto" w:sz="4" w:space="0"/>
            </w:tcBorders>
            <w:vAlign w:val="center"/>
          </w:tcPr>
          <w:p w14:paraId="07FD0628">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类似业绩（3分）</w:t>
            </w:r>
          </w:p>
          <w:p w14:paraId="712D0477">
            <w:pPr>
              <w:keepNext w:val="0"/>
              <w:keepLines w:val="0"/>
              <w:widowControl/>
              <w:suppressLineNumbers w:val="0"/>
              <w:jc w:val="left"/>
              <w:rPr>
                <w:rFonts w:hint="default" w:ascii="仿宋" w:hAnsi="仿宋" w:eastAsia="仿宋" w:cs="仿宋"/>
                <w:snapToGrid w:val="0"/>
                <w:color w:val="auto"/>
                <w:kern w:val="0"/>
                <w:sz w:val="24"/>
                <w:szCs w:val="24"/>
                <w:highlight w:val="none"/>
                <w:lang w:val="en-US" w:eastAsia="zh-CN" w:bidi="ar-SA"/>
              </w:rPr>
            </w:pPr>
          </w:p>
        </w:tc>
        <w:tc>
          <w:tcPr>
            <w:tcW w:w="3886" w:type="pct"/>
            <w:tcBorders>
              <w:top w:val="single" w:color="auto" w:sz="4" w:space="0"/>
              <w:left w:val="single" w:color="auto" w:sz="4" w:space="0"/>
              <w:bottom w:val="single" w:color="auto" w:sz="4" w:space="0"/>
              <w:right w:val="single" w:color="auto" w:sz="4" w:space="0"/>
            </w:tcBorders>
            <w:vAlign w:val="center"/>
          </w:tcPr>
          <w:p w14:paraId="0C48AEF0">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投标人须提供自 2021年4月1日至今（以合同签订日期为准）的生活垃圾转运站相关业绩每提供 1 个业绩，1.5 分，最多计2 项，满分3 分。</w:t>
            </w:r>
          </w:p>
          <w:p w14:paraId="506854C8">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业绩证明材料须提供：合同复印件 + 中标（成交）通知书 或 验收报告 ，以上材料齐全方可计分，缺核心材料（合同）不予计分。</w:t>
            </w:r>
          </w:p>
        </w:tc>
      </w:tr>
      <w:tr w14:paraId="111EC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auto" w:sz="4" w:space="0"/>
              <w:left w:val="single" w:color="auto" w:sz="4" w:space="0"/>
              <w:right w:val="single" w:color="auto" w:sz="4" w:space="0"/>
            </w:tcBorders>
            <w:vAlign w:val="center"/>
          </w:tcPr>
          <w:p w14:paraId="70CFFA6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2.3</w:t>
            </w:r>
          </w:p>
        </w:tc>
        <w:tc>
          <w:tcPr>
            <w:tcW w:w="692" w:type="pct"/>
            <w:gridSpan w:val="2"/>
            <w:tcBorders>
              <w:top w:val="single" w:color="auto" w:sz="4" w:space="0"/>
              <w:left w:val="nil"/>
              <w:right w:val="single" w:color="auto" w:sz="4" w:space="0"/>
            </w:tcBorders>
            <w:vAlign w:val="center"/>
          </w:tcPr>
          <w:p w14:paraId="2016AF85">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技术方案</w:t>
            </w:r>
          </w:p>
          <w:p w14:paraId="585AFE67">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（8分）</w:t>
            </w:r>
          </w:p>
          <w:p w14:paraId="24B6678F">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p>
        </w:tc>
        <w:tc>
          <w:tcPr>
            <w:tcW w:w="3886" w:type="pct"/>
            <w:tcBorders>
              <w:top w:val="single" w:color="auto" w:sz="4" w:space="0"/>
              <w:left w:val="single" w:color="auto" w:sz="4" w:space="0"/>
              <w:bottom w:val="single" w:color="auto" w:sz="4" w:space="0"/>
              <w:right w:val="single" w:color="auto" w:sz="4" w:space="0"/>
            </w:tcBorders>
            <w:vAlign w:val="center"/>
          </w:tcPr>
          <w:p w14:paraId="2DB8C5E0">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包含但不限于垃圾中转站及渗滤液的（设计理念、转运流程、自动化程度、设备维护；满分8分，评审专家根据投标人提供的内容进行评分，不提供的不得分。</w:t>
            </w:r>
          </w:p>
        </w:tc>
      </w:tr>
      <w:tr w14:paraId="32F2A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1F23CB2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2.2.4</w:t>
            </w:r>
          </w:p>
        </w:tc>
        <w:tc>
          <w:tcPr>
            <w:tcW w:w="692" w:type="pct"/>
            <w:gridSpan w:val="2"/>
            <w:tcBorders>
              <w:top w:val="single" w:color="auto" w:sz="4" w:space="0"/>
              <w:left w:val="single" w:color="auto" w:sz="4" w:space="0"/>
              <w:right w:val="single" w:color="auto" w:sz="4" w:space="0"/>
            </w:tcBorders>
            <w:vAlign w:val="center"/>
          </w:tcPr>
          <w:p w14:paraId="182E8525">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组织方案</w:t>
            </w:r>
          </w:p>
          <w:p w14:paraId="0695EC97">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（3分）</w:t>
            </w:r>
          </w:p>
        </w:tc>
        <w:tc>
          <w:tcPr>
            <w:tcW w:w="3886" w:type="pct"/>
            <w:tcBorders>
              <w:top w:val="single" w:color="auto" w:sz="4" w:space="0"/>
              <w:left w:val="single" w:color="auto" w:sz="4" w:space="0"/>
              <w:bottom w:val="single" w:color="auto" w:sz="4" w:space="0"/>
              <w:right w:val="single" w:color="auto" w:sz="4" w:space="0"/>
            </w:tcBorders>
            <w:vAlign w:val="center"/>
          </w:tcPr>
          <w:p w14:paraId="220E40A0">
            <w:pPr>
              <w:keepNext w:val="0"/>
              <w:keepLines w:val="0"/>
              <w:widowControl/>
              <w:numPr>
                <w:ilvl w:val="0"/>
                <w:numId w:val="0"/>
              </w:numPr>
              <w:suppressLineNumbers w:val="0"/>
              <w:jc w:val="left"/>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项目全过程人员配置安排：主要技术负责人1人、配置专业技术人员3名，售后专业技术驻场员1名；在以上基础上每增加一名专业技术人员的得1分，满分3分；（包含：需提供技术人员名单（需与提供社保人员一致）且同时具备①身份证明；②提供投标单位人员社保证明）两项为一套完整资料。</w:t>
            </w:r>
          </w:p>
        </w:tc>
      </w:tr>
      <w:tr w14:paraId="394ED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0B643B0F">
            <w:pPr>
              <w:keepNext w:val="0"/>
              <w:keepLines w:val="0"/>
              <w:pageBreakBefore w:val="0"/>
              <w:widowControl w:val="0"/>
              <w:kinsoku/>
              <w:wordWrap/>
              <w:overflowPunct/>
              <w:topLinePunct w:val="0"/>
              <w:autoSpaceDE/>
              <w:autoSpaceDN/>
              <w:bidi w:val="0"/>
              <w:adjustRightInd w:val="0"/>
              <w:snapToGrid w:val="0"/>
              <w:spacing w:line="320" w:lineRule="exact"/>
              <w:jc w:val="both"/>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2.2.5</w:t>
            </w:r>
          </w:p>
        </w:tc>
        <w:tc>
          <w:tcPr>
            <w:tcW w:w="692" w:type="pct"/>
            <w:gridSpan w:val="2"/>
            <w:tcBorders>
              <w:top w:val="single" w:color="auto" w:sz="4" w:space="0"/>
              <w:left w:val="single" w:color="auto" w:sz="4" w:space="0"/>
              <w:bottom w:val="single" w:color="auto" w:sz="4" w:space="0"/>
              <w:right w:val="single" w:color="auto" w:sz="4" w:space="0"/>
            </w:tcBorders>
            <w:vAlign w:val="center"/>
          </w:tcPr>
          <w:p w14:paraId="1086DD53">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供货方案</w:t>
            </w:r>
          </w:p>
          <w:p w14:paraId="1551596C">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（12分）</w:t>
            </w:r>
          </w:p>
        </w:tc>
        <w:tc>
          <w:tcPr>
            <w:tcW w:w="3886" w:type="pct"/>
            <w:tcBorders>
              <w:top w:val="single" w:color="auto" w:sz="4" w:space="0"/>
              <w:left w:val="single" w:color="auto" w:sz="4" w:space="0"/>
              <w:bottom w:val="single" w:color="auto" w:sz="4" w:space="0"/>
              <w:right w:val="single" w:color="auto" w:sz="4" w:space="0"/>
            </w:tcBorders>
            <w:vAlign w:val="center"/>
          </w:tcPr>
          <w:p w14:paraId="5A65585A">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包含：①货源交付时间进度安排；②配送运输方案；③核心产品制造商生产技术；④工艺能力情况；⑤供货保障措施；⑥产品交付及验收方案。满分 12 分；评审专家根据投标人提供的内容进行评分，不提供的不得分。</w:t>
            </w:r>
          </w:p>
        </w:tc>
      </w:tr>
      <w:tr w14:paraId="49F23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CE9800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22.6</w:t>
            </w:r>
          </w:p>
        </w:tc>
        <w:tc>
          <w:tcPr>
            <w:tcW w:w="692" w:type="pct"/>
            <w:gridSpan w:val="2"/>
            <w:tcBorders>
              <w:top w:val="single" w:color="auto" w:sz="4" w:space="0"/>
              <w:left w:val="single" w:color="auto" w:sz="4" w:space="0"/>
              <w:bottom w:val="single" w:color="auto" w:sz="4" w:space="0"/>
              <w:right w:val="single" w:color="auto" w:sz="4" w:space="0"/>
            </w:tcBorders>
            <w:vAlign w:val="center"/>
          </w:tcPr>
          <w:p w14:paraId="26566FB1">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质量管控方案</w:t>
            </w:r>
          </w:p>
          <w:p w14:paraId="25D0F419">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（8分）</w:t>
            </w:r>
          </w:p>
        </w:tc>
        <w:tc>
          <w:tcPr>
            <w:tcW w:w="3886" w:type="pct"/>
            <w:tcBorders>
              <w:top w:val="single" w:color="auto" w:sz="4" w:space="0"/>
              <w:left w:val="single" w:color="auto" w:sz="4" w:space="0"/>
              <w:bottom w:val="single" w:color="auto" w:sz="4" w:space="0"/>
              <w:right w:val="single" w:color="auto" w:sz="4" w:space="0"/>
            </w:tcBorders>
            <w:vAlign w:val="center"/>
          </w:tcPr>
          <w:p w14:paraId="67A9FB87">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包含：质量保证体系、质量保证措施、质量控制流程、质量信誉。评标委员会根据以上内容每提供一项得2分，满分8分，不提供的不得分。</w:t>
            </w:r>
          </w:p>
        </w:tc>
      </w:tr>
      <w:tr w14:paraId="6FEC1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AD5705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2.2.7</w:t>
            </w:r>
          </w:p>
        </w:tc>
        <w:tc>
          <w:tcPr>
            <w:tcW w:w="692" w:type="pct"/>
            <w:gridSpan w:val="2"/>
            <w:tcBorders>
              <w:top w:val="single" w:color="auto" w:sz="4" w:space="0"/>
              <w:left w:val="single" w:color="auto" w:sz="4" w:space="0"/>
              <w:bottom w:val="single" w:color="auto" w:sz="4" w:space="0"/>
              <w:right w:val="single" w:color="auto" w:sz="4" w:space="0"/>
            </w:tcBorders>
            <w:vAlign w:val="center"/>
          </w:tcPr>
          <w:p w14:paraId="1687C0AC">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设备安装调试方案（15分）</w:t>
            </w:r>
          </w:p>
        </w:tc>
        <w:tc>
          <w:tcPr>
            <w:tcW w:w="3886" w:type="pct"/>
            <w:tcBorders>
              <w:top w:val="single" w:color="auto" w:sz="4" w:space="0"/>
              <w:left w:val="single" w:color="auto" w:sz="4" w:space="0"/>
              <w:bottom w:val="single" w:color="auto" w:sz="4" w:space="0"/>
              <w:right w:val="single" w:color="auto" w:sz="4" w:space="0"/>
            </w:tcBorders>
            <w:vAlign w:val="center"/>
          </w:tcPr>
          <w:p w14:paraId="346B0229">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包含①项目安装进度安排；②人员安排；③施工机具；④环境保护；⑤调试工作。评标委员会根据以上内容每提供一项得3分，满分15分，不提供的不得分。</w:t>
            </w:r>
          </w:p>
        </w:tc>
      </w:tr>
      <w:tr w14:paraId="46D28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1448E6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2.8</w:t>
            </w:r>
          </w:p>
        </w:tc>
        <w:tc>
          <w:tcPr>
            <w:tcW w:w="692" w:type="pct"/>
            <w:gridSpan w:val="2"/>
            <w:tcBorders>
              <w:top w:val="single" w:color="auto" w:sz="4" w:space="0"/>
              <w:left w:val="single" w:color="auto" w:sz="4" w:space="0"/>
              <w:bottom w:val="single" w:color="auto" w:sz="4" w:space="0"/>
              <w:right w:val="single" w:color="auto" w:sz="4" w:space="0"/>
            </w:tcBorders>
            <w:vAlign w:val="center"/>
          </w:tcPr>
          <w:p w14:paraId="721F8886">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应急预案</w:t>
            </w:r>
          </w:p>
          <w:p w14:paraId="592F59FF">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（8分）</w:t>
            </w:r>
          </w:p>
        </w:tc>
        <w:tc>
          <w:tcPr>
            <w:tcW w:w="3886" w:type="pct"/>
            <w:tcBorders>
              <w:top w:val="single" w:color="auto" w:sz="4" w:space="0"/>
              <w:left w:val="single" w:color="auto" w:sz="4" w:space="0"/>
              <w:bottom w:val="single" w:color="auto" w:sz="4" w:space="0"/>
              <w:right w:val="single" w:color="auto" w:sz="4" w:space="0"/>
            </w:tcBorders>
            <w:vAlign w:val="center"/>
          </w:tcPr>
          <w:p w14:paraId="2BED288A">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结合本项目垃圾压缩转运站实际情况，编制安全应急预案，内容包括人员安全防护、设备故障应急、突发安全事件处置、备品备件应急保障等内容；满分8分。评审专家根据投标人提供的内容进行评分，不提供的不得分。</w:t>
            </w:r>
          </w:p>
        </w:tc>
      </w:tr>
      <w:tr w14:paraId="4A843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420" w:type="pct"/>
            <w:vMerge w:val="restart"/>
            <w:tcBorders>
              <w:top w:val="single" w:color="auto" w:sz="4" w:space="0"/>
              <w:left w:val="single" w:color="auto" w:sz="4" w:space="0"/>
              <w:right w:val="single" w:color="auto" w:sz="4" w:space="0"/>
            </w:tcBorders>
            <w:vAlign w:val="center"/>
          </w:tcPr>
          <w:p w14:paraId="76D29F7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2.2.9</w:t>
            </w:r>
          </w:p>
        </w:tc>
        <w:tc>
          <w:tcPr>
            <w:tcW w:w="692" w:type="pct"/>
            <w:gridSpan w:val="2"/>
            <w:vMerge w:val="restart"/>
            <w:tcBorders>
              <w:top w:val="single" w:color="auto" w:sz="4" w:space="0"/>
              <w:left w:val="single" w:color="auto" w:sz="4" w:space="0"/>
              <w:right w:val="single" w:color="auto" w:sz="4" w:space="0"/>
            </w:tcBorders>
            <w:vAlign w:val="center"/>
          </w:tcPr>
          <w:p w14:paraId="32E8D12B">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售后服务</w:t>
            </w:r>
          </w:p>
          <w:p w14:paraId="6501E880">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（13分）</w:t>
            </w:r>
          </w:p>
        </w:tc>
        <w:tc>
          <w:tcPr>
            <w:tcW w:w="3886" w:type="pct"/>
            <w:tcBorders>
              <w:top w:val="single" w:color="auto" w:sz="4" w:space="0"/>
              <w:left w:val="single" w:color="auto" w:sz="4" w:space="0"/>
              <w:bottom w:val="single" w:color="auto" w:sz="4" w:space="0"/>
              <w:right w:val="single" w:color="auto" w:sz="4" w:space="0"/>
            </w:tcBorders>
            <w:vAlign w:val="center"/>
          </w:tcPr>
          <w:p w14:paraId="0BE6005C">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根据投标人提供的售后服务方案，从售后服务承诺、响应方案、应急服务场所 / 人员 / 车辆配备、故障处理机制、备品备件供应（含报价）及质保期外服务等方面综合评审；满分11分，评审专家根据投标人提供的内容进行评分，不提供的不得分。</w:t>
            </w:r>
          </w:p>
        </w:tc>
      </w:tr>
      <w:tr w14:paraId="2E9C1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420" w:type="pct"/>
            <w:vMerge w:val="continue"/>
            <w:tcBorders>
              <w:left w:val="single" w:color="auto" w:sz="4" w:space="0"/>
              <w:right w:val="single" w:color="auto" w:sz="4" w:space="0"/>
            </w:tcBorders>
            <w:vAlign w:val="center"/>
          </w:tcPr>
          <w:p w14:paraId="376817B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highlight w:val="none"/>
                <w:lang w:val="en-US" w:eastAsia="zh-CN"/>
              </w:rPr>
            </w:pPr>
            <w:bookmarkStart w:id="102" w:name="_Toc9355"/>
            <w:bookmarkStart w:id="103" w:name="_Toc21920"/>
          </w:p>
        </w:tc>
        <w:tc>
          <w:tcPr>
            <w:tcW w:w="692" w:type="pct"/>
            <w:gridSpan w:val="2"/>
            <w:vMerge w:val="continue"/>
            <w:tcBorders>
              <w:left w:val="single" w:color="auto" w:sz="4" w:space="0"/>
              <w:right w:val="single" w:color="auto" w:sz="4" w:space="0"/>
            </w:tcBorders>
            <w:vAlign w:val="center"/>
          </w:tcPr>
          <w:p w14:paraId="60634A4C">
            <w:pPr>
              <w:keepNext w:val="0"/>
              <w:keepLines w:val="0"/>
              <w:widowControl/>
              <w:suppressLineNumbers w:val="0"/>
              <w:jc w:val="center"/>
              <w:rPr>
                <w:rFonts w:hint="eastAsia" w:ascii="仿宋" w:hAnsi="仿宋" w:eastAsia="仿宋" w:cs="仿宋"/>
                <w:snapToGrid w:val="0"/>
                <w:color w:val="auto"/>
                <w:kern w:val="0"/>
                <w:sz w:val="24"/>
                <w:szCs w:val="24"/>
                <w:highlight w:val="none"/>
                <w:lang w:val="en-US" w:eastAsia="zh-CN" w:bidi="ar-SA"/>
              </w:rPr>
            </w:pPr>
          </w:p>
        </w:tc>
        <w:tc>
          <w:tcPr>
            <w:tcW w:w="3886" w:type="pct"/>
            <w:tcBorders>
              <w:top w:val="single" w:color="auto" w:sz="4" w:space="0"/>
              <w:left w:val="single" w:color="auto" w:sz="4" w:space="0"/>
              <w:bottom w:val="single" w:color="auto" w:sz="4" w:space="0"/>
              <w:right w:val="single" w:color="auto" w:sz="4" w:space="0"/>
            </w:tcBorders>
            <w:vAlign w:val="center"/>
          </w:tcPr>
          <w:p w14:paraId="49CF3A44">
            <w:pPr>
              <w:keepNext w:val="0"/>
              <w:keepLines w:val="0"/>
              <w:widowControl/>
              <w:suppressLineNumbers w:val="0"/>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投标人或制造商具备或承诺建立信息化售后服务管理平台，可实现故障报修、维修跟踪、服务回访等功能的；满分2分，不提供的不得分。</w:t>
            </w:r>
          </w:p>
        </w:tc>
      </w:tr>
      <w:bookmarkEnd w:id="101"/>
    </w:tbl>
    <w:p w14:paraId="38EDE337">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.评标方法</w:t>
      </w:r>
      <w:bookmarkEnd w:id="102"/>
      <w:bookmarkEnd w:id="103"/>
    </w:p>
    <w:p w14:paraId="5C7DF1B4">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本项目评标办法为综合评分法。评标委员会对满足招标文件实质性要求的投标文件，按照本章第2.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款规定的评分标准进行打分，并按综合得分由高到低顺序推荐中标候选人，或根据招标人授权直接确定中标人。综合评分相等时，以投标报价低的优先；投标报价也相等的，由招标人自行确定。</w:t>
      </w:r>
    </w:p>
    <w:p w14:paraId="36AA7669">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highlight w:val="none"/>
        </w:rPr>
      </w:pPr>
      <w:bookmarkStart w:id="104" w:name="_Toc6050"/>
      <w:bookmarkStart w:id="105" w:name="_Toc8667"/>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.评审标准</w:t>
      </w:r>
      <w:bookmarkEnd w:id="104"/>
      <w:bookmarkEnd w:id="105"/>
    </w:p>
    <w:p w14:paraId="2DEE9401">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.1初步评审标准</w:t>
      </w:r>
    </w:p>
    <w:p w14:paraId="2C4BD23A">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.1.1资格性审查：详见评标办法前附表；</w:t>
      </w:r>
    </w:p>
    <w:p w14:paraId="39D65774">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.1.2符合性审查：详见评标办法前附表。</w:t>
      </w:r>
    </w:p>
    <w:p w14:paraId="54194448">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.2分值构成与评分标准</w:t>
      </w:r>
    </w:p>
    <w:p w14:paraId="2868563A">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.2.1分值构成：详见评标办法前附表。</w:t>
      </w:r>
    </w:p>
    <w:p w14:paraId="3AD98BD2">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.2.2评标基准价的确定：满足招标要求且投标价格最低的投标报价为评标基准价。</w:t>
      </w:r>
    </w:p>
    <w:p w14:paraId="2AC37B7E">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有效报价：未超过最高限价的所以投标报价均为有效报价。</w:t>
      </w:r>
    </w:p>
    <w:p w14:paraId="57C36A18">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.2.3投标报价的得分计算</w:t>
      </w:r>
    </w:p>
    <w:p w14:paraId="1073A256">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投标报价得分=(评标基准价／投标报价)×价格权值×100</w:t>
      </w:r>
    </w:p>
    <w:p w14:paraId="3149DB3D">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.2.4发包人有权接受或拒绝投标人在投标文件中提出偏离、保留。发包人不接受投标人在开标后提出的优惠条件。</w:t>
      </w:r>
    </w:p>
    <w:p w14:paraId="7DCC9466">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.2.5评分标准：详见评标附表。</w:t>
      </w:r>
    </w:p>
    <w:p w14:paraId="5AB18D45">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highlight w:val="none"/>
        </w:rPr>
      </w:pPr>
      <w:bookmarkStart w:id="106" w:name="_Toc32660"/>
      <w:bookmarkStart w:id="107" w:name="_Toc29836"/>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.评标程序</w:t>
      </w:r>
      <w:bookmarkEnd w:id="106"/>
      <w:bookmarkEnd w:id="107"/>
    </w:p>
    <w:p w14:paraId="6260D005">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5.1初步评审</w:t>
      </w:r>
    </w:p>
    <w:p w14:paraId="5310CDD4">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5.1.1评标委员会依据本章第2.1款规定的标准对投标文件进行初步评审。有一项不符合评审标准的，作废标处理</w:t>
      </w:r>
      <w:r>
        <w:rPr>
          <w:rFonts w:hint="eastAsia" w:ascii="仿宋" w:hAnsi="仿宋" w:eastAsia="仿宋" w:cs="仿宋"/>
          <w:color w:val="auto"/>
          <w:sz w:val="28"/>
          <w:szCs w:val="28"/>
          <w:lang w:val="en-US" w:eastAsia="zh-CN"/>
        </w:rPr>
        <w:t>。</w:t>
      </w:r>
    </w:p>
    <w:p w14:paraId="55F8E88B">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5.1.2投标人有以下情形之一的，其投标作废标处理：</w:t>
      </w:r>
    </w:p>
    <w:p w14:paraId="0714C233">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（1）串通投标或弄虚作假或有其他违法行为的；</w:t>
      </w:r>
    </w:p>
    <w:p w14:paraId="5724EB11">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（2）不按评标委员会要求澄清、说明或补正的。</w:t>
      </w:r>
    </w:p>
    <w:p w14:paraId="0429E19F">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（3）投标函中投标报价与采购清单汇总价不一致时投标文件作废标处理。</w:t>
      </w:r>
    </w:p>
    <w:p w14:paraId="6C6BBB15">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（4）提供虚假资料的其投标文件作废标处理。</w:t>
      </w:r>
    </w:p>
    <w:p w14:paraId="47E63BB9">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（5）评标委员会认定投标人以低于成本报价竞标的。</w:t>
      </w:r>
    </w:p>
    <w:p w14:paraId="5DE1E581">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（6）投标人附有招标人不能接受的条件。</w:t>
      </w:r>
    </w:p>
    <w:p w14:paraId="1B0A4BB4">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（7）投标文件偏离招标文件实质性要求和条件的。</w:t>
      </w:r>
    </w:p>
    <w:p w14:paraId="7C381E35">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（8）一个投标人递交两份或多分内容不同的投标文件，或在一份投标文件中对同一招标项目有两个或多个报价，且未声明哪一个报价有效的。</w:t>
      </w:r>
    </w:p>
    <w:p w14:paraId="35520872">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5.1.3投标报价有算术错误的，评标委员会按以下原则对投标报价进行修正，修正的价格经投标人书面确认后具有约束力。投标人不接受修正价格的，其投标作废标处理。</w:t>
      </w:r>
    </w:p>
    <w:p w14:paraId="5C089DFE">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（1）投标文件中的大写金额与小写金额不一致的，以大写金额为准；</w:t>
      </w:r>
    </w:p>
    <w:p w14:paraId="43717789">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（2）总价金额与依据单价计算出的结果不一致的，以单价金额为准修正总价，但单价金额小数点有明显错误的除外。</w:t>
      </w:r>
    </w:p>
    <w:p w14:paraId="15C04B7F">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5.2详细评审</w:t>
      </w:r>
    </w:p>
    <w:p w14:paraId="76468FDD">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评标委员会分别进行技术评审、商务评审和信用与业绩评审，在技术组评委技术评分表提交后，在进行商务评分汇总。</w:t>
      </w:r>
    </w:p>
    <w:p w14:paraId="4805D919">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5.2.1评标委员会按照本章第2.2款规定的量化因素和分值进行打分,计算出综合评分得分,投标人的总得分等于评委评分的算术和的平均值。</w:t>
      </w:r>
    </w:p>
    <w:p w14:paraId="11F71E4D">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（1）按本章规定的评审项目及内容对技术因素部分计算出得分∑1；</w:t>
      </w:r>
    </w:p>
    <w:p w14:paraId="18B216DB">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（2）按本章规定的评审项目及内容对投标报价部分计算出∑2；</w:t>
      </w:r>
    </w:p>
    <w:p w14:paraId="6C649066">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5.2.2评分分值计算保留小数点后两位，小数点后第三位按“四舍五入”;</w:t>
      </w:r>
    </w:p>
    <w:p w14:paraId="259F554F">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5.2.3投标人得分：∑1+∑2</w:t>
      </w:r>
    </w:p>
    <w:p w14:paraId="0610910B">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5.3投标文件的澄清和补正</w:t>
      </w:r>
    </w:p>
    <w:p w14:paraId="5BCAA149">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5.3.1在评标过程中，评标委员会可以书面形式要求投标人对所提交投标文件中不明确的内容进行书面澄清或说明，或者对细微偏差进行补正。评标委员会不接受投标人主动提出的澄清、说明或补正。</w:t>
      </w:r>
    </w:p>
    <w:p w14:paraId="0855EEE3">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5.3.2澄清、说明和补正不得改变投标文件的实质性内容（算术性错误修正的除外）。投标人的书面澄清、说明和补正属于投标文件的组成部分。</w:t>
      </w:r>
    </w:p>
    <w:p w14:paraId="5ADF1BB7">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5.3.3评标委员会对投标人提交的澄清、说明或补正有疑问的，可以要求投标人进一步澄清、说明或补正，直至满足评标委员会的要求。</w:t>
      </w:r>
    </w:p>
    <w:p w14:paraId="7FCA83C0">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5.4评标结果</w:t>
      </w:r>
    </w:p>
    <w:p w14:paraId="5710D293">
      <w:pPr>
        <w:pStyle w:val="8"/>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5.4.1评标委员会依据本章第评分标准进行评分，按评标办法前附表的约定计算投标人最终得分，根据得分由高到低的顺序推荐3名中标候选人，并标明推荐顺序。</w:t>
      </w:r>
    </w:p>
    <w:p w14:paraId="00A7D1B9">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5.4.2评标委员会完成评标后，应当向招标人提交书面评标报告。</w:t>
      </w:r>
    </w:p>
    <w:p w14:paraId="29AA6A6D">
      <w:pP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pPr>
      <w:bookmarkStart w:id="108" w:name="_Toc19011"/>
      <w:bookmarkStart w:id="109" w:name="_Toc494455690"/>
      <w:bookmarkStart w:id="110" w:name="_Toc13487"/>
      <w:bookmarkStart w:id="111" w:name="_Toc4130"/>
      <w: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br w:type="page"/>
      </w:r>
    </w:p>
    <w:p w14:paraId="58695852">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0"/>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pPr>
      <w: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t>第五章  签订合同、合同主要条款</w:t>
      </w:r>
      <w:bookmarkEnd w:id="108"/>
      <w:bookmarkEnd w:id="109"/>
      <w:bookmarkEnd w:id="110"/>
      <w:bookmarkEnd w:id="111"/>
    </w:p>
    <w:p w14:paraId="3195D16F">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112" w:name="_Toc20091"/>
      <w:bookmarkStart w:id="113" w:name="_Toc17234"/>
      <w:bookmarkStart w:id="114" w:name="_Toc494455691"/>
      <w:r>
        <w:rPr>
          <w:rFonts w:hint="eastAsia" w:ascii="仿宋" w:hAnsi="仿宋" w:eastAsia="仿宋" w:cs="仿宋"/>
          <w:b/>
          <w:bCs/>
          <w:color w:val="auto"/>
          <w:sz w:val="28"/>
          <w:szCs w:val="28"/>
        </w:rPr>
        <w:t>1.签订合同</w:t>
      </w:r>
      <w:bookmarkEnd w:id="112"/>
      <w:bookmarkEnd w:id="113"/>
      <w:bookmarkEnd w:id="114"/>
    </w:p>
    <w:p w14:paraId="6949733A">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1.1招标人应当自中标通知书发出之日起三十日内，按照招标文件和中标人投标文件的约定，与中标人签订书面合同。所签订合同不得对招标文件和中标人投标文件作实质性修改。</w:t>
      </w:r>
    </w:p>
    <w:p w14:paraId="503C9C3E">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签订的合同原则以本章第4条的规定为基础，并根据评标、答疑情况进行修改补充，但该款并不限制招标人以其他方式签订合同的权利。招标人不得向中标人提出任何不合理的要求，作为签订合同的条件，不得与中标人私下订立背离合同实质性内容的协议。</w:t>
      </w:r>
    </w:p>
    <w:p w14:paraId="01D04F15">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1.3招标文件、投标文件、书面承诺和中标通知书均作为经济合同的一部分，且具有法律效力。中标人应严格履行经济合同所规定的各项义务和责任，否则将依法处理。</w:t>
      </w:r>
    </w:p>
    <w:p w14:paraId="44C86E13">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1.4有关法规或者招标文件明确不允许分包方式履行合同的，中标人不得分包履行合同，否则将依法承担法律责任。招标文件明确允许分包方式履行合同的，按照招标文件相关规定执行。</w:t>
      </w:r>
    </w:p>
    <w:p w14:paraId="0B966FF0">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当中标人放弃中标结果或者因被质疑、投诉，经查属实或者因不可抗力而不能履行合同的，招标人可从推荐中标候选人名单中按顺序重新确定中标人，但应符合相关规定；否则招标人应重新组织招标。</w:t>
      </w:r>
    </w:p>
    <w:p w14:paraId="6611493D">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1.5招标人应当自采购合同签订之日起7个工作日内，将采购合同副本报同级财政部门和有关部门备案。</w:t>
      </w:r>
    </w:p>
    <w:p w14:paraId="736FD3F6">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1.6法律、行政法规规定应当办理批准、登记等手续后生效的合同，依照其规定。</w:t>
      </w:r>
    </w:p>
    <w:p w14:paraId="7B4F4B98">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115" w:name="_Toc28467"/>
      <w:bookmarkStart w:id="116" w:name="_Toc15317"/>
      <w:bookmarkStart w:id="117" w:name="_Toc494455692"/>
      <w:r>
        <w:rPr>
          <w:rFonts w:hint="eastAsia" w:ascii="仿宋" w:hAnsi="仿宋" w:eastAsia="仿宋" w:cs="仿宋"/>
          <w:b/>
          <w:bCs/>
          <w:color w:val="auto"/>
          <w:sz w:val="28"/>
          <w:szCs w:val="28"/>
        </w:rPr>
        <w:t>2.追加合同金额</w:t>
      </w:r>
      <w:bookmarkEnd w:id="115"/>
      <w:bookmarkEnd w:id="116"/>
      <w:bookmarkEnd w:id="117"/>
    </w:p>
    <w:p w14:paraId="54693433">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政府采购合同履行中，招标人需要追加与合同标的相同的货物的，在不改变合同其他条款的前提下并且在签订合同后1年内，经招标人报同级财政部门批准后，可以与中标人协商签订补充合同，但所有补充合同的采购金额不得超过原合同采购金额的10%，否则招标人应重新组织招标。</w:t>
      </w:r>
    </w:p>
    <w:p w14:paraId="3339CF18">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0E6D223B">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118" w:name="_Toc494455693"/>
      <w:bookmarkStart w:id="119" w:name="_Toc21859"/>
      <w:bookmarkStart w:id="120" w:name="_Toc20804"/>
      <w:r>
        <w:rPr>
          <w:rFonts w:hint="eastAsia" w:ascii="仿宋" w:hAnsi="仿宋" w:eastAsia="仿宋" w:cs="仿宋"/>
          <w:b/>
          <w:bCs/>
          <w:color w:val="auto"/>
          <w:sz w:val="28"/>
          <w:szCs w:val="28"/>
        </w:rPr>
        <w:t>3.货物质量与验收</w:t>
      </w:r>
      <w:bookmarkEnd w:id="118"/>
      <w:bookmarkEnd w:id="119"/>
      <w:bookmarkEnd w:id="120"/>
    </w:p>
    <w:p w14:paraId="308BF4A6">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招标文件中的货物按照国标、部标、行业标准或者双方技术协议或者招标文件、投标文件、书面承诺的技术要求制造。货到后，由招标人组织验收小组对货物进行验收（以《项目验收报告单》为准）。如对货物质量有争议，招标人可委托国家认定的相关部门对货物进行质量检验，并以质检部门出具的检验报告为准，并由责任方承担全部责任。</w:t>
      </w:r>
    </w:p>
    <w:p w14:paraId="59D30D74">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3.2货物制造完毕经出厂检验合格后方能发货，并提供货物合格证书。</w:t>
      </w:r>
    </w:p>
    <w:p w14:paraId="0085BE1A">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3.3货物的表面涂漆颜色：由招标人和中标人商定。</w:t>
      </w:r>
    </w:p>
    <w:p w14:paraId="1DEEA27F">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3.4货物包装按照国标、部标以及有关标准执行。</w:t>
      </w:r>
    </w:p>
    <w:p w14:paraId="4E34BFE1">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3.5投标人所供货物须与投标过程中递交投标文件内规格参数保持一致。</w:t>
      </w:r>
    </w:p>
    <w:p w14:paraId="0CE2E085">
      <w:pPr>
        <w:pStyle w:val="8"/>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lang w:val="en-US" w:eastAsia="zh-CN"/>
        </w:rPr>
      </w:pPr>
    </w:p>
    <w:p w14:paraId="3CB8965B">
      <w:pPr>
        <w:pStyle w:val="8"/>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outlineLvl w:val="2"/>
        <w:rPr>
          <w:rFonts w:hint="eastAsia" w:ascii="仿宋" w:hAnsi="仿宋" w:eastAsia="仿宋" w:cs="仿宋"/>
          <w:b/>
          <w:bCs/>
          <w:color w:val="auto"/>
          <w:sz w:val="28"/>
          <w:szCs w:val="28"/>
        </w:rPr>
      </w:pPr>
      <w:bookmarkStart w:id="121" w:name="_Toc20945"/>
      <w:bookmarkStart w:id="122" w:name="_Toc13421"/>
      <w:bookmarkStart w:id="123" w:name="_Toc494455694"/>
      <w:r>
        <w:rPr>
          <w:rFonts w:hint="eastAsia" w:ascii="仿宋" w:hAnsi="仿宋" w:eastAsia="仿宋" w:cs="仿宋"/>
          <w:b/>
          <w:bCs/>
          <w:color w:val="auto"/>
          <w:sz w:val="28"/>
          <w:szCs w:val="28"/>
        </w:rPr>
        <w:t>4.合同主要条款</w:t>
      </w:r>
      <w:bookmarkEnd w:id="121"/>
      <w:bookmarkEnd w:id="122"/>
      <w:bookmarkEnd w:id="123"/>
    </w:p>
    <w:p w14:paraId="52F775E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合同编号：</w:t>
      </w:r>
      <w:r>
        <w:rPr>
          <w:rFonts w:hint="eastAsia" w:ascii="仿宋" w:hAnsi="仿宋" w:eastAsia="仿宋" w:cs="仿宋"/>
          <w:sz w:val="28"/>
          <w:szCs w:val="28"/>
          <w:highlight w:val="none"/>
          <w:u w:val="single"/>
          <w:lang w:val="zh-CN"/>
        </w:rPr>
        <w:t xml:space="preserve">                         </w:t>
      </w:r>
    </w:p>
    <w:p w14:paraId="5F31A35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签 订 地： </w:t>
      </w:r>
      <w:r>
        <w:rPr>
          <w:rFonts w:hint="eastAsia" w:ascii="仿宋" w:hAnsi="仿宋" w:eastAsia="仿宋" w:cs="仿宋"/>
          <w:sz w:val="28"/>
          <w:szCs w:val="28"/>
          <w:highlight w:val="none"/>
          <w:u w:val="single"/>
          <w:lang w:val="zh-CN"/>
        </w:rPr>
        <w:t xml:space="preserve">                        </w:t>
      </w:r>
    </w:p>
    <w:p w14:paraId="25E307F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甲方（招标人）：</w:t>
      </w:r>
      <w:r>
        <w:rPr>
          <w:rFonts w:hint="eastAsia" w:ascii="仿宋" w:hAnsi="仿宋" w:eastAsia="仿宋" w:cs="仿宋"/>
          <w:sz w:val="28"/>
          <w:szCs w:val="28"/>
          <w:highlight w:val="none"/>
          <w:u w:val="single"/>
          <w:lang w:val="zh-CN"/>
        </w:rPr>
        <w:t xml:space="preserve">                    </w:t>
      </w:r>
    </w:p>
    <w:p w14:paraId="6A0D958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住所地：</w:t>
      </w:r>
      <w:r>
        <w:rPr>
          <w:rFonts w:hint="eastAsia" w:ascii="仿宋" w:hAnsi="仿宋" w:eastAsia="仿宋" w:cs="仿宋"/>
          <w:sz w:val="28"/>
          <w:szCs w:val="28"/>
          <w:highlight w:val="none"/>
          <w:u w:val="single"/>
          <w:lang w:val="zh-CN"/>
        </w:rPr>
        <w:t xml:space="preserve">                           </w:t>
      </w:r>
    </w:p>
    <w:p w14:paraId="42C1660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乙方（中标人）：</w:t>
      </w:r>
      <w:r>
        <w:rPr>
          <w:rFonts w:hint="eastAsia" w:ascii="仿宋" w:hAnsi="仿宋" w:eastAsia="仿宋" w:cs="仿宋"/>
          <w:sz w:val="28"/>
          <w:szCs w:val="28"/>
          <w:highlight w:val="none"/>
          <w:u w:val="single"/>
          <w:lang w:val="zh-CN"/>
        </w:rPr>
        <w:t xml:space="preserve">                    </w:t>
      </w:r>
    </w:p>
    <w:p w14:paraId="77A5D86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住 所 地：</w:t>
      </w:r>
      <w:r>
        <w:rPr>
          <w:rFonts w:hint="eastAsia" w:ascii="仿宋" w:hAnsi="仿宋" w:eastAsia="仿宋" w:cs="仿宋"/>
          <w:sz w:val="28"/>
          <w:szCs w:val="28"/>
          <w:highlight w:val="none"/>
          <w:u w:val="single"/>
          <w:lang w:val="zh-CN"/>
        </w:rPr>
        <w:t xml:space="preserve">                         </w:t>
      </w:r>
    </w:p>
    <w:p w14:paraId="6543558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乙方于20</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日参加了</w:t>
      </w:r>
      <w:r>
        <w:rPr>
          <w:rFonts w:hint="eastAsia" w:ascii="仿宋" w:hAnsi="仿宋" w:eastAsia="仿宋" w:cs="仿宋"/>
          <w:sz w:val="28"/>
          <w:szCs w:val="28"/>
          <w:highlight w:val="none"/>
          <w:u w:val="single"/>
          <w:lang w:val="zh-CN"/>
        </w:rPr>
        <w:t xml:space="preserve"> （招标人）</w:t>
      </w:r>
      <w:r>
        <w:rPr>
          <w:rFonts w:hint="eastAsia" w:ascii="仿宋" w:hAnsi="仿宋" w:eastAsia="仿宋" w:cs="仿宋"/>
          <w:sz w:val="28"/>
          <w:szCs w:val="28"/>
          <w:highlight w:val="none"/>
          <w:lang w:val="zh-CN"/>
        </w:rPr>
        <w:t xml:space="preserve"> 组织的“</w:t>
      </w:r>
      <w:r>
        <w:rPr>
          <w:rFonts w:hint="eastAsia" w:ascii="仿宋" w:hAnsi="仿宋" w:eastAsia="仿宋" w:cs="仿宋"/>
          <w:sz w:val="28"/>
          <w:szCs w:val="28"/>
          <w:highlight w:val="none"/>
          <w:u w:val="single"/>
          <w:lang w:val="zh-CN"/>
        </w:rPr>
        <w:t xml:space="preserve"> （项目名称及项目编号） </w:t>
      </w:r>
      <w:r>
        <w:rPr>
          <w:rFonts w:hint="eastAsia" w:ascii="仿宋" w:hAnsi="仿宋" w:eastAsia="仿宋" w:cs="仿宋"/>
          <w:sz w:val="28"/>
          <w:szCs w:val="28"/>
          <w:highlight w:val="none"/>
          <w:lang w:val="zh-CN"/>
        </w:rPr>
        <w:t>”政府采购活动，经评标委员会评审确定乙方为</w:t>
      </w:r>
      <w:r>
        <w:rPr>
          <w:rFonts w:hint="eastAsia" w:ascii="仿宋" w:hAnsi="仿宋" w:eastAsia="仿宋" w:cs="仿宋"/>
          <w:sz w:val="28"/>
          <w:szCs w:val="28"/>
          <w:highlight w:val="none"/>
          <w:u w:val="single"/>
          <w:lang w:val="zh-CN"/>
        </w:rPr>
        <w:t xml:space="preserve"> （包及包名称） </w:t>
      </w:r>
      <w:r>
        <w:rPr>
          <w:rFonts w:hint="eastAsia" w:ascii="仿宋" w:hAnsi="仿宋" w:eastAsia="仿宋" w:cs="仿宋"/>
          <w:sz w:val="28"/>
          <w:szCs w:val="28"/>
          <w:highlight w:val="none"/>
          <w:lang w:val="zh-CN"/>
        </w:rPr>
        <w:t>中标人，按照《中华人民共和国合同法》、《中华人民共和国政府采购法》和相关的法律法规规定，以及招标文件规定，经甲乙双方协商一致，签订本政府采购合同。</w:t>
      </w:r>
    </w:p>
    <w:p w14:paraId="340F2D2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第一条  货物条款</w:t>
      </w:r>
    </w:p>
    <w:p w14:paraId="3F65E28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乙方向甲方提供以下货物</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5192"/>
        <w:gridCol w:w="913"/>
        <w:gridCol w:w="913"/>
        <w:gridCol w:w="1223"/>
      </w:tblGrid>
      <w:tr w14:paraId="1EF9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Align w:val="center"/>
          </w:tcPr>
          <w:p w14:paraId="2BCBED84">
            <w:pPr>
              <w:spacing w:line="44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货物名称</w:t>
            </w:r>
          </w:p>
        </w:tc>
        <w:tc>
          <w:tcPr>
            <w:tcW w:w="2699" w:type="pct"/>
            <w:vAlign w:val="center"/>
          </w:tcPr>
          <w:p w14:paraId="2851D384">
            <w:pPr>
              <w:spacing w:line="44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品牌、规格型号（技术参数）</w:t>
            </w:r>
          </w:p>
        </w:tc>
        <w:tc>
          <w:tcPr>
            <w:tcW w:w="475" w:type="pct"/>
            <w:vAlign w:val="center"/>
          </w:tcPr>
          <w:p w14:paraId="720E754A">
            <w:pPr>
              <w:spacing w:line="440" w:lineRule="exact"/>
              <w:ind w:firstLine="105"/>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单价</w:t>
            </w:r>
          </w:p>
        </w:tc>
        <w:tc>
          <w:tcPr>
            <w:tcW w:w="475" w:type="pct"/>
            <w:vAlign w:val="center"/>
          </w:tcPr>
          <w:p w14:paraId="2F4B48F3">
            <w:pPr>
              <w:spacing w:line="44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数量</w:t>
            </w:r>
          </w:p>
        </w:tc>
        <w:tc>
          <w:tcPr>
            <w:tcW w:w="634" w:type="pct"/>
            <w:vAlign w:val="center"/>
          </w:tcPr>
          <w:p w14:paraId="634B9868">
            <w:pPr>
              <w:spacing w:line="44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小 计</w:t>
            </w:r>
          </w:p>
        </w:tc>
      </w:tr>
      <w:tr w14:paraId="77C5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Align w:val="center"/>
          </w:tcPr>
          <w:p w14:paraId="00291788">
            <w:pPr>
              <w:spacing w:line="440" w:lineRule="exact"/>
              <w:jc w:val="center"/>
              <w:rPr>
                <w:rFonts w:hint="eastAsia" w:ascii="仿宋" w:hAnsi="仿宋" w:eastAsia="仿宋" w:cs="仿宋"/>
                <w:sz w:val="24"/>
                <w:szCs w:val="24"/>
                <w:highlight w:val="none"/>
                <w:lang w:val="zh-CN"/>
              </w:rPr>
            </w:pPr>
          </w:p>
        </w:tc>
        <w:tc>
          <w:tcPr>
            <w:tcW w:w="2699" w:type="pct"/>
            <w:vAlign w:val="center"/>
          </w:tcPr>
          <w:p w14:paraId="3093B105">
            <w:pPr>
              <w:spacing w:line="440" w:lineRule="exact"/>
              <w:jc w:val="center"/>
              <w:rPr>
                <w:rFonts w:hint="eastAsia" w:ascii="仿宋" w:hAnsi="仿宋" w:eastAsia="仿宋" w:cs="仿宋"/>
                <w:sz w:val="24"/>
                <w:szCs w:val="24"/>
                <w:highlight w:val="none"/>
                <w:lang w:val="zh-CN"/>
              </w:rPr>
            </w:pPr>
          </w:p>
        </w:tc>
        <w:tc>
          <w:tcPr>
            <w:tcW w:w="475" w:type="pct"/>
            <w:vAlign w:val="center"/>
          </w:tcPr>
          <w:p w14:paraId="06EF8076">
            <w:pPr>
              <w:spacing w:line="440" w:lineRule="exact"/>
              <w:jc w:val="center"/>
              <w:rPr>
                <w:rFonts w:hint="eastAsia" w:ascii="仿宋" w:hAnsi="仿宋" w:eastAsia="仿宋" w:cs="仿宋"/>
                <w:sz w:val="24"/>
                <w:szCs w:val="24"/>
                <w:highlight w:val="none"/>
                <w:lang w:val="zh-CN"/>
              </w:rPr>
            </w:pPr>
          </w:p>
        </w:tc>
        <w:tc>
          <w:tcPr>
            <w:tcW w:w="475" w:type="pct"/>
            <w:vAlign w:val="center"/>
          </w:tcPr>
          <w:p w14:paraId="3C9902D0">
            <w:pPr>
              <w:spacing w:line="440" w:lineRule="exact"/>
              <w:jc w:val="center"/>
              <w:rPr>
                <w:rFonts w:hint="eastAsia" w:ascii="仿宋" w:hAnsi="仿宋" w:eastAsia="仿宋" w:cs="仿宋"/>
                <w:sz w:val="24"/>
                <w:szCs w:val="24"/>
                <w:highlight w:val="none"/>
                <w:lang w:val="zh-CN"/>
              </w:rPr>
            </w:pPr>
          </w:p>
        </w:tc>
        <w:tc>
          <w:tcPr>
            <w:tcW w:w="634" w:type="pct"/>
            <w:vAlign w:val="center"/>
          </w:tcPr>
          <w:p w14:paraId="30A1C2E6">
            <w:pPr>
              <w:spacing w:line="440" w:lineRule="exact"/>
              <w:jc w:val="center"/>
              <w:rPr>
                <w:rFonts w:hint="eastAsia" w:ascii="仿宋" w:hAnsi="仿宋" w:eastAsia="仿宋" w:cs="仿宋"/>
                <w:sz w:val="24"/>
                <w:szCs w:val="24"/>
                <w:highlight w:val="none"/>
                <w:lang w:val="zh-CN"/>
              </w:rPr>
            </w:pPr>
          </w:p>
        </w:tc>
      </w:tr>
      <w:tr w14:paraId="014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Align w:val="center"/>
          </w:tcPr>
          <w:p w14:paraId="283143AD">
            <w:pPr>
              <w:spacing w:line="440" w:lineRule="exact"/>
              <w:jc w:val="center"/>
              <w:rPr>
                <w:rFonts w:hint="eastAsia" w:ascii="仿宋" w:hAnsi="仿宋" w:eastAsia="仿宋" w:cs="仿宋"/>
                <w:sz w:val="24"/>
                <w:szCs w:val="24"/>
                <w:highlight w:val="none"/>
                <w:lang w:val="zh-CN"/>
              </w:rPr>
            </w:pPr>
          </w:p>
        </w:tc>
        <w:tc>
          <w:tcPr>
            <w:tcW w:w="2699" w:type="pct"/>
            <w:vAlign w:val="center"/>
          </w:tcPr>
          <w:p w14:paraId="675C7251">
            <w:pPr>
              <w:spacing w:line="440" w:lineRule="exact"/>
              <w:jc w:val="center"/>
              <w:rPr>
                <w:rFonts w:hint="eastAsia" w:ascii="仿宋" w:hAnsi="仿宋" w:eastAsia="仿宋" w:cs="仿宋"/>
                <w:sz w:val="24"/>
                <w:szCs w:val="24"/>
                <w:highlight w:val="none"/>
                <w:lang w:val="zh-CN"/>
              </w:rPr>
            </w:pPr>
          </w:p>
        </w:tc>
        <w:tc>
          <w:tcPr>
            <w:tcW w:w="475" w:type="pct"/>
            <w:vAlign w:val="center"/>
          </w:tcPr>
          <w:p w14:paraId="2749406F">
            <w:pPr>
              <w:spacing w:line="440" w:lineRule="exact"/>
              <w:jc w:val="center"/>
              <w:rPr>
                <w:rFonts w:hint="eastAsia" w:ascii="仿宋" w:hAnsi="仿宋" w:eastAsia="仿宋" w:cs="仿宋"/>
                <w:sz w:val="24"/>
                <w:szCs w:val="24"/>
                <w:highlight w:val="none"/>
                <w:lang w:val="zh-CN"/>
              </w:rPr>
            </w:pPr>
          </w:p>
        </w:tc>
        <w:tc>
          <w:tcPr>
            <w:tcW w:w="475" w:type="pct"/>
            <w:vAlign w:val="center"/>
          </w:tcPr>
          <w:p w14:paraId="4068F461">
            <w:pPr>
              <w:spacing w:line="440" w:lineRule="exact"/>
              <w:jc w:val="center"/>
              <w:rPr>
                <w:rFonts w:hint="eastAsia" w:ascii="仿宋" w:hAnsi="仿宋" w:eastAsia="仿宋" w:cs="仿宋"/>
                <w:sz w:val="24"/>
                <w:szCs w:val="24"/>
                <w:highlight w:val="none"/>
                <w:lang w:val="zh-CN"/>
              </w:rPr>
            </w:pPr>
          </w:p>
        </w:tc>
        <w:tc>
          <w:tcPr>
            <w:tcW w:w="634" w:type="pct"/>
            <w:vAlign w:val="center"/>
          </w:tcPr>
          <w:p w14:paraId="0B12AB91">
            <w:pPr>
              <w:spacing w:line="440" w:lineRule="exact"/>
              <w:jc w:val="center"/>
              <w:rPr>
                <w:rFonts w:hint="eastAsia" w:ascii="仿宋" w:hAnsi="仿宋" w:eastAsia="仿宋" w:cs="仿宋"/>
                <w:sz w:val="24"/>
                <w:szCs w:val="24"/>
                <w:highlight w:val="none"/>
                <w:lang w:val="zh-CN"/>
              </w:rPr>
            </w:pPr>
          </w:p>
        </w:tc>
      </w:tr>
      <w:tr w14:paraId="0F6C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Align w:val="center"/>
          </w:tcPr>
          <w:p w14:paraId="7ACA0710">
            <w:pPr>
              <w:spacing w:line="440" w:lineRule="exact"/>
              <w:jc w:val="center"/>
              <w:rPr>
                <w:rFonts w:hint="eastAsia" w:ascii="仿宋" w:hAnsi="仿宋" w:eastAsia="仿宋" w:cs="仿宋"/>
                <w:sz w:val="24"/>
                <w:szCs w:val="24"/>
                <w:highlight w:val="none"/>
                <w:lang w:val="zh-CN"/>
              </w:rPr>
            </w:pPr>
          </w:p>
        </w:tc>
        <w:tc>
          <w:tcPr>
            <w:tcW w:w="2699" w:type="pct"/>
            <w:vAlign w:val="center"/>
          </w:tcPr>
          <w:p w14:paraId="78EC2C54">
            <w:pPr>
              <w:spacing w:line="440" w:lineRule="exact"/>
              <w:jc w:val="center"/>
              <w:rPr>
                <w:rFonts w:hint="eastAsia" w:ascii="仿宋" w:hAnsi="仿宋" w:eastAsia="仿宋" w:cs="仿宋"/>
                <w:sz w:val="24"/>
                <w:szCs w:val="24"/>
                <w:highlight w:val="none"/>
                <w:lang w:val="zh-CN"/>
              </w:rPr>
            </w:pPr>
          </w:p>
        </w:tc>
        <w:tc>
          <w:tcPr>
            <w:tcW w:w="475" w:type="pct"/>
            <w:vAlign w:val="center"/>
          </w:tcPr>
          <w:p w14:paraId="0BCD94B0">
            <w:pPr>
              <w:spacing w:line="440" w:lineRule="exact"/>
              <w:jc w:val="center"/>
              <w:rPr>
                <w:rFonts w:hint="eastAsia" w:ascii="仿宋" w:hAnsi="仿宋" w:eastAsia="仿宋" w:cs="仿宋"/>
                <w:sz w:val="24"/>
                <w:szCs w:val="24"/>
                <w:highlight w:val="none"/>
                <w:lang w:val="zh-CN"/>
              </w:rPr>
            </w:pPr>
          </w:p>
        </w:tc>
        <w:tc>
          <w:tcPr>
            <w:tcW w:w="475" w:type="pct"/>
            <w:vAlign w:val="center"/>
          </w:tcPr>
          <w:p w14:paraId="34404E81">
            <w:pPr>
              <w:spacing w:line="440" w:lineRule="exact"/>
              <w:jc w:val="center"/>
              <w:rPr>
                <w:rFonts w:hint="eastAsia" w:ascii="仿宋" w:hAnsi="仿宋" w:eastAsia="仿宋" w:cs="仿宋"/>
                <w:sz w:val="24"/>
                <w:szCs w:val="24"/>
                <w:highlight w:val="none"/>
                <w:lang w:val="zh-CN"/>
              </w:rPr>
            </w:pPr>
          </w:p>
        </w:tc>
        <w:tc>
          <w:tcPr>
            <w:tcW w:w="634" w:type="pct"/>
            <w:vAlign w:val="center"/>
          </w:tcPr>
          <w:p w14:paraId="30150D05">
            <w:pPr>
              <w:spacing w:line="440" w:lineRule="exact"/>
              <w:jc w:val="center"/>
              <w:rPr>
                <w:rFonts w:hint="eastAsia" w:ascii="仿宋" w:hAnsi="仿宋" w:eastAsia="仿宋" w:cs="仿宋"/>
                <w:sz w:val="24"/>
                <w:szCs w:val="24"/>
                <w:highlight w:val="none"/>
                <w:lang w:val="zh-CN"/>
              </w:rPr>
            </w:pPr>
          </w:p>
        </w:tc>
      </w:tr>
      <w:tr w14:paraId="2C3D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13" w:type="pct"/>
            <w:gridSpan w:val="2"/>
            <w:vAlign w:val="center"/>
          </w:tcPr>
          <w:p w14:paraId="38A86391">
            <w:pPr>
              <w:spacing w:line="44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合     计</w:t>
            </w:r>
          </w:p>
        </w:tc>
        <w:tc>
          <w:tcPr>
            <w:tcW w:w="1586" w:type="pct"/>
            <w:gridSpan w:val="3"/>
            <w:vAlign w:val="center"/>
          </w:tcPr>
          <w:p w14:paraId="526A8A88">
            <w:pPr>
              <w:spacing w:line="440" w:lineRule="exact"/>
              <w:jc w:val="center"/>
              <w:rPr>
                <w:rFonts w:hint="eastAsia" w:ascii="仿宋" w:hAnsi="仿宋" w:eastAsia="仿宋" w:cs="仿宋"/>
                <w:sz w:val="24"/>
                <w:szCs w:val="24"/>
                <w:highlight w:val="none"/>
                <w:lang w:val="zh-CN"/>
              </w:rPr>
            </w:pPr>
          </w:p>
        </w:tc>
      </w:tr>
    </w:tbl>
    <w:p w14:paraId="25D0FA4F">
      <w:pPr>
        <w:spacing w:line="44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注：如上述表格不适用相关货物的，具体品牌、数量、规格型号（技术参数）及质保期等可用附件形式列明，作为本合同组成部分。</w:t>
      </w:r>
    </w:p>
    <w:p w14:paraId="0E7DEE54">
      <w:pPr>
        <w:spacing w:line="44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p>
    <w:p w14:paraId="3931727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第二条  合同总金额</w:t>
      </w:r>
    </w:p>
    <w:p w14:paraId="38E8590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lang w:val="zh-CN"/>
        </w:rPr>
        <w:t>合同总金额为人民币（大写）：</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 xml:space="preserve">） </w:t>
      </w:r>
    </w:p>
    <w:p w14:paraId="616BD4B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14:paraId="733ABC8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第三条 质量要求及技术标准</w:t>
      </w:r>
    </w:p>
    <w:p w14:paraId="1BF93F4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1.货物原产地：         </w:t>
      </w:r>
    </w:p>
    <w:p w14:paraId="6CF0549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2.货物的质量要求：</w:t>
      </w:r>
    </w:p>
    <w:p w14:paraId="0A3C2FE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3.货物的技术标准：</w:t>
      </w:r>
    </w:p>
    <w:p w14:paraId="2EEC7DB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第四条  交货</w:t>
      </w:r>
    </w:p>
    <w:p w14:paraId="61FC149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1.交货日期： </w:t>
      </w:r>
    </w:p>
    <w:p w14:paraId="5E6919E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2.交货地点：</w:t>
      </w:r>
    </w:p>
    <w:p w14:paraId="494672A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第五条  包装、装运及运输</w:t>
      </w:r>
    </w:p>
    <w:p w14:paraId="3726B96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1.乙方负责包装、装运和运输，由于不适当的包装、装运和运输造成货物有任何损坏均由乙方负责。</w:t>
      </w:r>
    </w:p>
    <w:p w14:paraId="42C9ACC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2.包装费、运费及相关费用已包含在合同总金额内。</w:t>
      </w:r>
    </w:p>
    <w:p w14:paraId="4114939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第六条  货款支付</w:t>
      </w:r>
    </w:p>
    <w:p w14:paraId="6E7BF48A">
      <w:pPr>
        <w:keepNext w:val="0"/>
        <w:keepLines w:val="0"/>
        <w:pageBreakBefore w:val="0"/>
        <w:widowControl/>
        <w:tabs>
          <w:tab w:val="left" w:pos="840"/>
        </w:tabs>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1.货物运到交货地点，经甲乙双方共同验收合格后由甲方负责办理货款支付手续。</w:t>
      </w:r>
    </w:p>
    <w:p w14:paraId="6B0E19CB">
      <w:pPr>
        <w:keepNext w:val="0"/>
        <w:keepLines w:val="0"/>
        <w:pageBreakBefore w:val="0"/>
        <w:widowControl/>
        <w:tabs>
          <w:tab w:val="left" w:pos="840"/>
        </w:tabs>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2.属国库集中支付资金，甲方应按照双方约定的付款期限，及时向同级财政部门报送资金支付申请，同级财政部门对支付申请审核无误后，将货款直接支付至乙方账户。</w:t>
      </w:r>
    </w:p>
    <w:p w14:paraId="2F532B0C">
      <w:pPr>
        <w:keepNext w:val="0"/>
        <w:keepLines w:val="0"/>
        <w:pageBreakBefore w:val="0"/>
        <w:widowControl/>
        <w:tabs>
          <w:tab w:val="left" w:pos="840"/>
        </w:tabs>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3.付款方式 </w:t>
      </w:r>
    </w:p>
    <w:p w14:paraId="57B79F64">
      <w:pPr>
        <w:keepNext w:val="0"/>
        <w:keepLines w:val="0"/>
        <w:pageBreakBefore w:val="0"/>
        <w:widowControl/>
        <w:tabs>
          <w:tab w:val="left" w:pos="840"/>
        </w:tabs>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签订合同支付合同总价30%，供货完成支付合同总价30%，验收完成支付合同总价40%。</w:t>
      </w:r>
    </w:p>
    <w:p w14:paraId="0C99AD9A">
      <w:pPr>
        <w:keepNext w:val="0"/>
        <w:keepLines w:val="0"/>
        <w:pageBreakBefore w:val="0"/>
        <w:widowControl/>
        <w:tabs>
          <w:tab w:val="left" w:pos="840"/>
        </w:tabs>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第七条  履约保证金</w:t>
      </w:r>
    </w:p>
    <w:p w14:paraId="51CDEE3F">
      <w:pPr>
        <w:keepNext w:val="0"/>
        <w:keepLines w:val="0"/>
        <w:pageBreakBefore w:val="0"/>
        <w:widowControl/>
        <w:tabs>
          <w:tab w:val="left" w:pos="840"/>
        </w:tabs>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1.乙方须向甲方交纳人民币(大写)</w:t>
      </w:r>
      <w:r>
        <w:rPr>
          <w:rFonts w:hint="eastAsia" w:ascii="仿宋" w:hAnsi="仿宋" w:eastAsia="仿宋" w:cs="仿宋"/>
          <w:sz w:val="28"/>
          <w:szCs w:val="28"/>
          <w:highlight w:val="none"/>
          <w:u w:val="single"/>
          <w:lang w:val="zh-CN"/>
        </w:rPr>
        <w:t xml:space="preserve">          （￥        </w:t>
      </w:r>
      <w:r>
        <w:rPr>
          <w:rFonts w:hint="eastAsia" w:ascii="仿宋" w:hAnsi="仿宋" w:eastAsia="仿宋" w:cs="仿宋"/>
          <w:sz w:val="28"/>
          <w:szCs w:val="28"/>
          <w:highlight w:val="none"/>
          <w:lang w:val="zh-CN"/>
        </w:rPr>
        <w:t xml:space="preserve">） 作为本合同的履约保证金。 </w:t>
      </w:r>
    </w:p>
    <w:p w14:paraId="2B660BC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2.履约保证金用于补偿甲方因乙方不能履行或不能完全履行合同义务而蒙受的损失。</w:t>
      </w:r>
    </w:p>
    <w:p w14:paraId="467EE6A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kern w:val="1"/>
          <w:sz w:val="28"/>
          <w:szCs w:val="28"/>
          <w:highlight w:val="none"/>
        </w:rPr>
      </w:pPr>
      <w:r>
        <w:rPr>
          <w:rFonts w:hint="eastAsia" w:ascii="仿宋" w:hAnsi="仿宋" w:eastAsia="仿宋" w:cs="仿宋"/>
          <w:sz w:val="28"/>
          <w:szCs w:val="28"/>
          <w:highlight w:val="none"/>
          <w:lang w:val="zh-CN"/>
        </w:rPr>
        <w:t>3.</w:t>
      </w:r>
      <w:r>
        <w:rPr>
          <w:rFonts w:hint="eastAsia" w:ascii="仿宋" w:hAnsi="仿宋" w:eastAsia="仿宋" w:cs="仿宋"/>
          <w:kern w:val="1"/>
          <w:sz w:val="28"/>
          <w:szCs w:val="28"/>
          <w:highlight w:val="none"/>
        </w:rPr>
        <w:t>履约保证金在货物交付验收合格</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月无质量问题后，填写《阿克苏市政府采购项目履约保证金退付表》、《阿克苏市政府采购项目验收单》和资金往来收款收据交监督部门审核后20个工作日内退还。</w:t>
      </w:r>
    </w:p>
    <w:p w14:paraId="67AC7B2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第八条  售后服务及承诺</w:t>
      </w:r>
    </w:p>
    <w:p w14:paraId="3F01AEB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1.乙方有完善的服务体系，有能力提供持续的、本地化售后服务。</w:t>
      </w:r>
    </w:p>
    <w:p w14:paraId="31B9A8B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1ED6C9F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3.供货及服务范围：乙方负责货物的供应、运输、安装调试、免费培训、售后服务。</w:t>
      </w:r>
    </w:p>
    <w:p w14:paraId="46C4D6C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第九条  </w:t>
      </w:r>
      <w:r>
        <w:rPr>
          <w:rStyle w:val="35"/>
          <w:rFonts w:hint="eastAsia" w:ascii="仿宋" w:hAnsi="仿宋" w:eastAsia="仿宋" w:cs="仿宋"/>
          <w:sz w:val="28"/>
          <w:szCs w:val="28"/>
          <w:highlight w:val="none"/>
        </w:rPr>
        <w:t>验收</w:t>
      </w:r>
    </w:p>
    <w:p w14:paraId="5EFD9EB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1.货物运抵现场后，招标人将对货物数量、质量、规格等进行检验。如发现货物和规格或者两者都与合同不符，招标人有权限根据检验结果要求中标人立即更换或者提出索赔要求。</w:t>
      </w:r>
    </w:p>
    <w:p w14:paraId="2620E3F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2.开箱检查设备外观，如有损伤或质量缺陷，乙方应及时更换。</w:t>
      </w:r>
    </w:p>
    <w:p w14:paraId="6E115DE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3.依据合同设备清单，对设备品牌、规格型号（技术参数）、数量、质保书等必备附件进行检查。</w:t>
      </w:r>
    </w:p>
    <w:p w14:paraId="1CB62A1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4.货物由中标人进行安装，完毕后，招标人应对货物的数量、质量、规格、性能等进行详细而全面的检验。安装调试完毕</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日内，证明货物以及安装质量无任何问题，甲乙双方共同确认设备正常运行后，由招标人组成的验收小组签署验收报告，作为付款凭据之一。</w:t>
      </w:r>
    </w:p>
    <w:p w14:paraId="4A8A4DF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第十条  知识产权</w:t>
      </w:r>
    </w:p>
    <w:p w14:paraId="2F1DDC1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7BCC881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2.乙方为执行本合同而提供的技术资料或者其他相关资料、软件等由甲方永久免费使用。</w:t>
      </w:r>
    </w:p>
    <w:p w14:paraId="1953E78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第十一条  甲方责任</w:t>
      </w:r>
    </w:p>
    <w:p w14:paraId="3B49949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1.及时办理付款手续。</w:t>
      </w:r>
    </w:p>
    <w:p w14:paraId="394547A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2.负责提供工作场地，协助乙方办理有关事宜。</w:t>
      </w:r>
    </w:p>
    <w:p w14:paraId="7DDF653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3.对合同条款及所知悉的乙方商业秘密负有保密义务。</w:t>
      </w:r>
    </w:p>
    <w:p w14:paraId="1E476DE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第十二条  乙方责任</w:t>
      </w:r>
    </w:p>
    <w:p w14:paraId="78034A8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1.保证所供货物均为投标文件承诺的货物，符合相关质量检测标准，具有该产品的出厂标准或国家鉴定证书,保证其全部部件为全新的未使用的且符合相关质量要求。</w:t>
      </w:r>
    </w:p>
    <w:p w14:paraId="50AA933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2.保证货物的售后服务，严格依据投标文件及相关承诺，对货物及系统进行保修、维护等服务。</w:t>
      </w:r>
    </w:p>
    <w:p w14:paraId="28D4CEF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3.保证其所供货物不存在侵犯第三方知识产权的行为，否则由此产生的损失由乙方承担。</w:t>
      </w:r>
    </w:p>
    <w:p w14:paraId="29626B4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第十三条  违约责任</w:t>
      </w:r>
    </w:p>
    <w:p w14:paraId="4360ABC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1.甲乙双方任意一方无故终止合同的，违约方应当按照合同总金额的20%向守约方支付违约金。</w:t>
      </w:r>
    </w:p>
    <w:p w14:paraId="3ACDFCB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2.乙方逾期交付货物时，每逾1日乙方向甲方支付合同总金额0.5‰的滞纳金。逾期交货超过30日的，甲方有权决定是否继续履行合同，如甲方决定终止履行合同的，乙方应按照第1款的规定赔偿甲方违约金。</w:t>
      </w:r>
    </w:p>
    <w:p w14:paraId="13982D7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乙方所供货物品牌、规格型号、质量等不符合合同约定标准，甲方有权拒收，以及甲方收货后，发现产品出现质量问题不能使用的，甲方有权终止合同，同时，乙方向甲方支付合同总金额20%的违约金，如果违约金不足以支付甲方所受损失的，甲方有权要求其赔偿。</w:t>
      </w:r>
    </w:p>
    <w:p w14:paraId="7666AD1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4.在质保期内产品出现质量问题，乙方必须在接到甲方通知后</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小时内到达现场解决，否则甲方有权另请单位解决，由此产生的费用由乙方承担，甲方有权从质保金中扣除相关费用，产生的损失由乙方赔偿。</w:t>
      </w:r>
    </w:p>
    <w:p w14:paraId="069437A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5.甲乙双方违背其他合同条款，违约方赔偿对方损失。</w:t>
      </w:r>
    </w:p>
    <w:p w14:paraId="6002CEA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第十四条  不可抗力</w:t>
      </w:r>
    </w:p>
    <w:p w14:paraId="12AB376C">
      <w:pPr>
        <w:keepNext w:val="0"/>
        <w:keepLines w:val="0"/>
        <w:pageBreakBefore w:val="0"/>
        <w:widowControl/>
        <w:kinsoku w:val="0"/>
        <w:wordWrap w:val="0"/>
        <w:overflowPunct/>
        <w:topLinePunct/>
        <w:autoSpaceDE w:val="0"/>
        <w:autoSpaceDN/>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3311BA7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第十五条  保密</w:t>
      </w:r>
    </w:p>
    <w:p w14:paraId="62D02DA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00A5BB1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乙方违反本合同所规定的保密义务，应按照本合同总金额的10%支付违约金。</w:t>
      </w:r>
    </w:p>
    <w:p w14:paraId="07346EF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第十六条  争议解决</w:t>
      </w:r>
    </w:p>
    <w:p w14:paraId="79A4719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甲乙双方在合同履行中发生争议，应通过协商解决。如协商不成，可以向合同签订地法院提起诉讼。</w:t>
      </w:r>
    </w:p>
    <w:p w14:paraId="7E0FD69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第十七条  合同生效及其它</w:t>
      </w:r>
    </w:p>
    <w:p w14:paraId="03DADB2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1.除招标文件规定且甲方事先书面同意外，乙方不得部分或者全部转让、分包履行其应履行的合同项下的义务。</w:t>
      </w:r>
    </w:p>
    <w:p w14:paraId="7BDC114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2.合同由甲、乙双方法定代表人（或者被授权代表）签字并加盖单位公章，以最后一方签字日期为合同生效日期。</w:t>
      </w:r>
    </w:p>
    <w:p w14:paraId="15E882C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第十八条  本合同附件</w:t>
      </w:r>
    </w:p>
    <w:p w14:paraId="6273079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1.中标通知书；</w:t>
      </w:r>
    </w:p>
    <w:p w14:paraId="3959A9D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2.政府采购招标文件（含招标文件的澄清、修改等）；</w:t>
      </w:r>
    </w:p>
    <w:p w14:paraId="0B3CF18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3.乙方投标文件；</w:t>
      </w:r>
    </w:p>
    <w:p w14:paraId="6FCC377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4.中标人在评标过程中做出的有关澄清、说明、承诺或者补正文件（材料）；</w:t>
      </w:r>
    </w:p>
    <w:p w14:paraId="25115266">
      <w:pPr>
        <w:keepNext w:val="0"/>
        <w:keepLines w:val="0"/>
        <w:pageBreakBefore w:val="0"/>
        <w:widowControl/>
        <w:kinsoku w:val="0"/>
        <w:wordWrap/>
        <w:overflowPunct/>
        <w:topLinePunct w:val="0"/>
        <w:autoSpaceDE w:val="0"/>
        <w:autoSpaceDN w:val="0"/>
        <w:bidi w:val="0"/>
        <w:adjustRightInd w:val="0"/>
        <w:snapToGrid w:val="0"/>
        <w:spacing w:line="64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甲    方：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乙    方：</w:t>
      </w:r>
    </w:p>
    <w:p w14:paraId="1AABF3BE">
      <w:pPr>
        <w:keepNext w:val="0"/>
        <w:keepLines w:val="0"/>
        <w:pageBreakBefore w:val="0"/>
        <w:widowControl/>
        <w:kinsoku w:val="0"/>
        <w:wordWrap/>
        <w:overflowPunct/>
        <w:topLinePunct w:val="0"/>
        <w:autoSpaceDE w:val="0"/>
        <w:autoSpaceDN w:val="0"/>
        <w:bidi w:val="0"/>
        <w:adjustRightInd w:val="0"/>
        <w:snapToGrid w:val="0"/>
        <w:spacing w:line="64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单位名称(公章)：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单位名称(公章)：</w:t>
      </w:r>
    </w:p>
    <w:p w14:paraId="20E1B4A6">
      <w:pPr>
        <w:keepNext w:val="0"/>
        <w:keepLines w:val="0"/>
        <w:pageBreakBefore w:val="0"/>
        <w:widowControl/>
        <w:kinsoku w:val="0"/>
        <w:wordWrap/>
        <w:overflowPunct/>
        <w:topLinePunct w:val="0"/>
        <w:autoSpaceDE w:val="0"/>
        <w:autoSpaceDN w:val="0"/>
        <w:bidi w:val="0"/>
        <w:adjustRightInd w:val="0"/>
        <w:snapToGrid w:val="0"/>
        <w:spacing w:line="64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法定代表人（授权代表）签字：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法定代表人（授权代表）</w:t>
      </w:r>
    </w:p>
    <w:p w14:paraId="70ACFD37">
      <w:pPr>
        <w:keepNext w:val="0"/>
        <w:keepLines w:val="0"/>
        <w:pageBreakBefore w:val="0"/>
        <w:widowControl/>
        <w:kinsoku w:val="0"/>
        <w:wordWrap/>
        <w:overflowPunct/>
        <w:topLinePunct w:val="0"/>
        <w:autoSpaceDE w:val="0"/>
        <w:autoSpaceDN w:val="0"/>
        <w:bidi w:val="0"/>
        <w:adjustRightInd w:val="0"/>
        <w:snapToGrid w:val="0"/>
        <w:spacing w:line="64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电   话：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电    话：</w:t>
      </w:r>
    </w:p>
    <w:p w14:paraId="664B2BFD">
      <w:pPr>
        <w:keepNext w:val="0"/>
        <w:keepLines w:val="0"/>
        <w:pageBreakBefore w:val="0"/>
        <w:widowControl/>
        <w:kinsoku w:val="0"/>
        <w:wordWrap/>
        <w:overflowPunct/>
        <w:topLinePunct w:val="0"/>
        <w:autoSpaceDE w:val="0"/>
        <w:autoSpaceDN w:val="0"/>
        <w:bidi w:val="0"/>
        <w:adjustRightInd w:val="0"/>
        <w:snapToGrid w:val="0"/>
        <w:spacing w:line="640" w:lineRule="exact"/>
        <w:ind w:firstLine="560" w:firstLineChars="20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rPr>
        <w:t xml:space="preserve"> 年  月  日</w:t>
      </w:r>
    </w:p>
    <w:p w14:paraId="74000C86">
      <w:pPr>
        <w:rPr>
          <w:rFonts w:hint="eastAsia" w:ascii="仿宋" w:hAnsi="仿宋" w:eastAsia="仿宋" w:cs="仿宋"/>
        </w:rPr>
        <w:sectPr>
          <w:footerReference r:id="rId6" w:type="default"/>
          <w:pgSz w:w="11906" w:h="16838"/>
          <w:pgMar w:top="1213" w:right="1253" w:bottom="1213" w:left="1253" w:header="851" w:footer="992" w:gutter="0"/>
          <w:pgNumType w:fmt="decimal" w:start="1"/>
          <w:cols w:space="0" w:num="1"/>
          <w:docGrid w:type="lines" w:linePitch="317" w:charSpace="0"/>
        </w:sectPr>
      </w:pPr>
    </w:p>
    <w:p w14:paraId="60322405">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0"/>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pPr>
      <w:bookmarkStart w:id="124" w:name="_Toc494455695"/>
      <w:bookmarkStart w:id="125" w:name="_Toc5022"/>
      <w:bookmarkStart w:id="126" w:name="_Toc19000"/>
      <w:bookmarkStart w:id="127" w:name="_Toc11459"/>
      <w: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t>第六章  投标文件</w:t>
      </w:r>
      <w:bookmarkEnd w:id="124"/>
      <w:r>
        <w:rPr>
          <w:rFonts w:hint="eastAsia" w:ascii="仿宋" w:hAnsi="仿宋" w:eastAsia="仿宋" w:cs="仿宋"/>
          <w:spacing w:val="6"/>
          <w:sz w:val="32"/>
          <w:szCs w:val="32"/>
          <w:lang w:val="en-US" w:eastAsia="zh-CN"/>
          <w14:textOutline w14:w="5793" w14:cap="sq" w14:cmpd="sng">
            <w14:solidFill>
              <w14:srgbClr w14:val="000000"/>
            </w14:solidFill>
            <w14:prstDash w14:val="solid"/>
            <w14:bevel/>
          </w14:textOutline>
        </w:rPr>
        <w:t>格式</w:t>
      </w:r>
      <w:bookmarkEnd w:id="125"/>
      <w:bookmarkEnd w:id="126"/>
      <w:bookmarkEnd w:id="127"/>
    </w:p>
    <w:p w14:paraId="3B9112D9">
      <w:pPr>
        <w:spacing w:afterLines="50" w:line="440" w:lineRule="exact"/>
        <w:jc w:val="right"/>
        <w:rPr>
          <w:rFonts w:hint="eastAsia" w:ascii="仿宋" w:hAnsi="仿宋" w:eastAsia="仿宋" w:cs="仿宋"/>
          <w:kern w:val="1"/>
          <w:sz w:val="36"/>
          <w:szCs w:val="36"/>
          <w:highlight w:val="none"/>
        </w:rPr>
      </w:pPr>
    </w:p>
    <w:p w14:paraId="1D57A971">
      <w:pPr>
        <w:spacing w:afterLines="50" w:line="440" w:lineRule="exact"/>
        <w:jc w:val="right"/>
        <w:rPr>
          <w:rFonts w:hint="eastAsia" w:ascii="仿宋" w:hAnsi="仿宋" w:eastAsia="仿宋" w:cs="仿宋"/>
          <w:kern w:val="1"/>
          <w:sz w:val="36"/>
          <w:szCs w:val="36"/>
          <w:highlight w:val="none"/>
        </w:rPr>
      </w:pPr>
    </w:p>
    <w:p w14:paraId="5D5A7CFC">
      <w:pPr>
        <w:spacing w:afterLines="50" w:line="440" w:lineRule="exact"/>
        <w:jc w:val="center"/>
        <w:rPr>
          <w:rFonts w:hint="eastAsia" w:ascii="仿宋" w:hAnsi="仿宋" w:eastAsia="仿宋" w:cs="仿宋"/>
          <w:kern w:val="1"/>
          <w:sz w:val="36"/>
          <w:szCs w:val="36"/>
          <w:highlight w:val="none"/>
        </w:rPr>
      </w:pPr>
      <w:r>
        <w:rPr>
          <w:rFonts w:hint="eastAsia" w:ascii="仿宋" w:hAnsi="仿宋" w:eastAsia="仿宋" w:cs="仿宋"/>
          <w:kern w:val="1"/>
          <w:sz w:val="36"/>
          <w:szCs w:val="36"/>
          <w:highlight w:val="none"/>
        </w:rPr>
        <w:br w:type="page"/>
      </w:r>
    </w:p>
    <w:p w14:paraId="65F485FD">
      <w:pPr>
        <w:spacing w:line="360" w:lineRule="auto"/>
        <w:jc w:val="center"/>
        <w:rPr>
          <w:rFonts w:hint="eastAsia" w:ascii="仿宋" w:hAnsi="仿宋" w:eastAsia="仿宋" w:cs="仿宋"/>
          <w:highlight w:val="none"/>
        </w:rPr>
      </w:pPr>
      <w:r>
        <w:rPr>
          <w:rFonts w:hint="eastAsia" w:ascii="仿宋" w:hAnsi="仿宋" w:eastAsia="仿宋" w:cs="仿宋"/>
          <w:b/>
          <w:bCs/>
          <w:sz w:val="52"/>
          <w:szCs w:val="52"/>
          <w:highlight w:val="none"/>
          <w:u w:val="single"/>
        </w:rPr>
        <w:t xml:space="preserve">****          </w:t>
      </w:r>
      <w:r>
        <w:rPr>
          <w:rFonts w:hint="eastAsia" w:ascii="仿宋" w:hAnsi="仿宋" w:eastAsia="仿宋" w:cs="仿宋"/>
          <w:b/>
          <w:bCs/>
          <w:sz w:val="52"/>
          <w:szCs w:val="52"/>
          <w:highlight w:val="none"/>
        </w:rPr>
        <w:t>项目</w:t>
      </w:r>
    </w:p>
    <w:p w14:paraId="0BB7E065">
      <w:pPr>
        <w:spacing w:line="360" w:lineRule="auto"/>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项目编号：</w:t>
      </w:r>
    </w:p>
    <w:p w14:paraId="19FE248F">
      <w:pPr>
        <w:spacing w:line="360" w:lineRule="auto"/>
        <w:rPr>
          <w:rFonts w:hint="eastAsia" w:ascii="仿宋" w:hAnsi="仿宋" w:eastAsia="仿宋" w:cs="仿宋"/>
          <w:highlight w:val="none"/>
        </w:rPr>
      </w:pPr>
    </w:p>
    <w:p w14:paraId="37E60799">
      <w:pPr>
        <w:spacing w:line="360" w:lineRule="auto"/>
        <w:rPr>
          <w:rFonts w:hint="eastAsia" w:ascii="仿宋" w:hAnsi="仿宋" w:eastAsia="仿宋" w:cs="仿宋"/>
          <w:highlight w:val="none"/>
        </w:rPr>
      </w:pPr>
    </w:p>
    <w:p w14:paraId="5E5BBAB6">
      <w:pPr>
        <w:spacing w:line="360" w:lineRule="auto"/>
        <w:rPr>
          <w:rFonts w:hint="eastAsia" w:ascii="仿宋" w:hAnsi="仿宋" w:eastAsia="仿宋" w:cs="仿宋"/>
          <w:highlight w:val="none"/>
        </w:rPr>
      </w:pPr>
    </w:p>
    <w:p w14:paraId="6F6C7C2C">
      <w:pPr>
        <w:spacing w:line="360" w:lineRule="auto"/>
        <w:rPr>
          <w:rFonts w:hint="eastAsia" w:ascii="仿宋" w:hAnsi="仿宋" w:eastAsia="仿宋" w:cs="仿宋"/>
          <w:highlight w:val="none"/>
        </w:rPr>
      </w:pPr>
    </w:p>
    <w:p w14:paraId="62AEF910">
      <w:pPr>
        <w:spacing w:line="360" w:lineRule="auto"/>
        <w:rPr>
          <w:rFonts w:hint="eastAsia" w:ascii="仿宋" w:hAnsi="仿宋" w:eastAsia="仿宋" w:cs="仿宋"/>
          <w:highlight w:val="none"/>
        </w:rPr>
      </w:pPr>
    </w:p>
    <w:p w14:paraId="167C8D64">
      <w:pPr>
        <w:spacing w:line="360" w:lineRule="auto"/>
        <w:jc w:val="center"/>
        <w:rPr>
          <w:rFonts w:hint="eastAsia" w:ascii="仿宋" w:hAnsi="仿宋" w:eastAsia="仿宋" w:cs="仿宋"/>
          <w:sz w:val="72"/>
          <w:szCs w:val="144"/>
          <w:highlight w:val="none"/>
        </w:rPr>
      </w:pPr>
      <w:r>
        <w:rPr>
          <w:rFonts w:hint="eastAsia" w:ascii="仿宋" w:hAnsi="仿宋" w:eastAsia="仿宋" w:cs="仿宋"/>
          <w:b/>
          <w:bCs/>
          <w:sz w:val="72"/>
          <w:szCs w:val="144"/>
          <w:highlight w:val="none"/>
        </w:rPr>
        <w:t>商 务（技 术） 文 件</w:t>
      </w:r>
    </w:p>
    <w:p w14:paraId="0735268E">
      <w:pPr>
        <w:spacing w:line="360" w:lineRule="auto"/>
        <w:jc w:val="center"/>
        <w:rPr>
          <w:rFonts w:hint="eastAsia" w:ascii="仿宋" w:hAnsi="仿宋" w:eastAsia="仿宋" w:cs="仿宋"/>
          <w:sz w:val="44"/>
          <w:szCs w:val="52"/>
          <w:highlight w:val="none"/>
        </w:rPr>
      </w:pPr>
    </w:p>
    <w:p w14:paraId="3982571D">
      <w:pPr>
        <w:spacing w:line="360" w:lineRule="auto"/>
        <w:jc w:val="center"/>
        <w:rPr>
          <w:rFonts w:hint="eastAsia" w:ascii="仿宋" w:hAnsi="仿宋" w:eastAsia="仿宋" w:cs="仿宋"/>
          <w:sz w:val="72"/>
          <w:szCs w:val="144"/>
          <w:highlight w:val="none"/>
        </w:rPr>
      </w:pPr>
    </w:p>
    <w:p w14:paraId="14805266">
      <w:pPr>
        <w:spacing w:line="360" w:lineRule="auto"/>
        <w:jc w:val="center"/>
        <w:rPr>
          <w:rFonts w:hint="eastAsia" w:ascii="仿宋" w:hAnsi="仿宋" w:eastAsia="仿宋" w:cs="仿宋"/>
          <w:sz w:val="72"/>
          <w:szCs w:val="144"/>
          <w:highlight w:val="none"/>
        </w:rPr>
      </w:pPr>
    </w:p>
    <w:p w14:paraId="0E274DED">
      <w:pPr>
        <w:spacing w:line="360" w:lineRule="auto"/>
        <w:rPr>
          <w:rFonts w:hint="eastAsia" w:ascii="仿宋" w:hAnsi="仿宋" w:eastAsia="仿宋" w:cs="仿宋"/>
          <w:sz w:val="28"/>
          <w:szCs w:val="28"/>
          <w:highlight w:val="none"/>
        </w:rPr>
      </w:pPr>
      <w:bookmarkStart w:id="128" w:name="_Toc32738"/>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bookmarkEnd w:id="128"/>
    </w:p>
    <w:p w14:paraId="360F09B2">
      <w:pPr>
        <w:spacing w:line="360" w:lineRule="auto"/>
        <w:rPr>
          <w:rFonts w:hint="eastAsia" w:ascii="仿宋" w:hAnsi="仿宋" w:eastAsia="仿宋" w:cs="仿宋"/>
          <w:sz w:val="28"/>
          <w:szCs w:val="28"/>
          <w:highlight w:val="none"/>
        </w:rPr>
      </w:pPr>
      <w:bookmarkStart w:id="129" w:name="_Toc6652"/>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bookmarkEnd w:id="129"/>
    </w:p>
    <w:p w14:paraId="72582A6D">
      <w:pPr>
        <w:spacing w:line="360" w:lineRule="auto"/>
        <w:rPr>
          <w:rFonts w:hint="eastAsia" w:ascii="仿宋" w:hAnsi="仿宋" w:eastAsia="仿宋" w:cs="仿宋"/>
          <w:sz w:val="28"/>
          <w:szCs w:val="28"/>
          <w:highlight w:val="none"/>
          <w:u w:val="single"/>
        </w:rPr>
      </w:pPr>
      <w:bookmarkStart w:id="130" w:name="_Toc3693"/>
      <w:r>
        <w:rPr>
          <w:rFonts w:hint="eastAsia" w:ascii="仿宋" w:hAnsi="仿宋" w:eastAsia="仿宋" w:cs="仿宋"/>
          <w:sz w:val="28"/>
          <w:szCs w:val="28"/>
          <w:highlight w:val="none"/>
        </w:rPr>
        <w:t>投标人地址：</w:t>
      </w:r>
      <w:bookmarkEnd w:id="130"/>
      <w:r>
        <w:rPr>
          <w:rFonts w:hint="eastAsia" w:ascii="仿宋" w:hAnsi="仿宋" w:eastAsia="仿宋" w:cs="仿宋"/>
          <w:sz w:val="28"/>
          <w:szCs w:val="28"/>
          <w:highlight w:val="none"/>
          <w:u w:val="single"/>
        </w:rPr>
        <w:t xml:space="preserve">                   </w:t>
      </w:r>
    </w:p>
    <w:p w14:paraId="1D1A6408">
      <w:pPr>
        <w:spacing w:line="360" w:lineRule="auto"/>
        <w:rPr>
          <w:rFonts w:hint="eastAsia" w:ascii="仿宋" w:hAnsi="仿宋" w:eastAsia="仿宋" w:cs="仿宋"/>
          <w:sz w:val="28"/>
          <w:szCs w:val="28"/>
          <w:highlight w:val="none"/>
        </w:rPr>
      </w:pPr>
      <w:bookmarkStart w:id="131" w:name="_Toc10765"/>
      <w:r>
        <w:rPr>
          <w:rFonts w:hint="eastAsia" w:ascii="仿宋" w:hAnsi="仿宋" w:eastAsia="仿宋" w:cs="仿宋"/>
          <w:sz w:val="28"/>
          <w:szCs w:val="28"/>
          <w:highlight w:val="none"/>
        </w:rPr>
        <w:t>联  系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联系电话：</w:t>
      </w:r>
      <w:bookmarkEnd w:id="131"/>
      <w:r>
        <w:rPr>
          <w:rFonts w:hint="eastAsia" w:ascii="仿宋" w:hAnsi="仿宋" w:eastAsia="仿宋" w:cs="仿宋"/>
          <w:sz w:val="28"/>
          <w:szCs w:val="28"/>
          <w:highlight w:val="none"/>
          <w:u w:val="single"/>
        </w:rPr>
        <w:t xml:space="preserve">           </w:t>
      </w:r>
    </w:p>
    <w:p w14:paraId="2669819E">
      <w:pPr>
        <w:spacing w:line="360" w:lineRule="auto"/>
        <w:rPr>
          <w:rFonts w:hint="eastAsia" w:ascii="仿宋" w:hAnsi="仿宋" w:eastAsia="仿宋" w:cs="仿宋"/>
          <w:sz w:val="28"/>
          <w:szCs w:val="28"/>
          <w:highlight w:val="none"/>
        </w:rPr>
      </w:pPr>
      <w:bookmarkStart w:id="132" w:name="_Toc26817"/>
      <w:r>
        <w:rPr>
          <w:rFonts w:hint="eastAsia" w:ascii="仿宋" w:hAnsi="仿宋" w:eastAsia="仿宋" w:cs="仿宋"/>
          <w:sz w:val="28"/>
          <w:szCs w:val="28"/>
          <w:highlight w:val="none"/>
        </w:rPr>
        <w:t>年   月    日</w:t>
      </w:r>
      <w:bookmarkEnd w:id="132"/>
    </w:p>
    <w:p w14:paraId="0459F08B">
      <w:pPr>
        <w:spacing w:line="360" w:lineRule="auto"/>
        <w:rPr>
          <w:rFonts w:hint="eastAsia" w:ascii="仿宋" w:hAnsi="仿宋" w:eastAsia="仿宋" w:cs="仿宋"/>
          <w:sz w:val="28"/>
          <w:szCs w:val="28"/>
          <w:highlight w:val="none"/>
        </w:rPr>
      </w:pPr>
    </w:p>
    <w:p w14:paraId="7759606D">
      <w:pPr>
        <w:widowControl/>
        <w:autoSpaceDE w:val="0"/>
        <w:autoSpaceDN w:val="0"/>
        <w:adjustRightInd w:val="0"/>
        <w:spacing w:before="260" w:after="260"/>
        <w:ind w:right="-482"/>
        <w:jc w:val="center"/>
        <w:rPr>
          <w:rFonts w:hint="eastAsia" w:ascii="仿宋" w:hAnsi="仿宋" w:eastAsia="仿宋" w:cs="仿宋"/>
          <w:kern w:val="1"/>
          <w:sz w:val="30"/>
          <w:szCs w:val="30"/>
          <w:highlight w:val="none"/>
        </w:rPr>
      </w:pPr>
      <w:r>
        <w:rPr>
          <w:rFonts w:hint="eastAsia" w:ascii="仿宋" w:hAnsi="仿宋" w:eastAsia="仿宋" w:cs="仿宋"/>
          <w:sz w:val="28"/>
          <w:szCs w:val="28"/>
          <w:highlight w:val="none"/>
        </w:rPr>
        <w:t>在  年  月  日  时  分之前不得启封</w:t>
      </w:r>
      <w:r>
        <w:rPr>
          <w:rFonts w:hint="eastAsia" w:ascii="仿宋" w:hAnsi="仿宋" w:eastAsia="仿宋" w:cs="仿宋"/>
          <w:highlight w:val="none"/>
        </w:rPr>
        <w:br w:type="page"/>
      </w:r>
      <w:r>
        <w:rPr>
          <w:rFonts w:hint="eastAsia" w:ascii="仿宋" w:hAnsi="仿宋" w:eastAsia="仿宋" w:cs="仿宋"/>
          <w:kern w:val="1"/>
          <w:sz w:val="30"/>
          <w:szCs w:val="30"/>
          <w:highlight w:val="none"/>
        </w:rPr>
        <w:t>目 录</w:t>
      </w:r>
    </w:p>
    <w:p w14:paraId="572025AF">
      <w:pPr>
        <w:widowControl/>
        <w:autoSpaceDE w:val="0"/>
        <w:autoSpaceDN w:val="0"/>
        <w:adjustRightInd w:val="0"/>
        <w:spacing w:line="440" w:lineRule="exact"/>
        <w:ind w:right="-481"/>
        <w:rPr>
          <w:rFonts w:hint="default"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lang w:val="en-US" w:eastAsia="zh-CN"/>
        </w:rPr>
        <w:t>包含以下内容但不限于，投标人自行添加，修改。</w:t>
      </w:r>
    </w:p>
    <w:p w14:paraId="5F23DBD4">
      <w:pPr>
        <w:widowControl/>
        <w:autoSpaceDE w:val="0"/>
        <w:autoSpaceDN w:val="0"/>
        <w:adjustRightInd w:val="0"/>
        <w:spacing w:line="440" w:lineRule="exact"/>
        <w:ind w:right="-482"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一、投标函；</w:t>
      </w:r>
    </w:p>
    <w:p w14:paraId="100E4EF2">
      <w:pPr>
        <w:widowControl/>
        <w:autoSpaceDE w:val="0"/>
        <w:autoSpaceDN w:val="0"/>
        <w:adjustRightInd w:val="0"/>
        <w:spacing w:line="440" w:lineRule="exact"/>
        <w:ind w:right="-482"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二、投标报价一览表；</w:t>
      </w:r>
    </w:p>
    <w:p w14:paraId="7F39599A">
      <w:pPr>
        <w:widowControl/>
        <w:autoSpaceDE w:val="0"/>
        <w:autoSpaceDN w:val="0"/>
        <w:adjustRightInd w:val="0"/>
        <w:spacing w:line="440" w:lineRule="exact"/>
        <w:ind w:right="-482" w:firstLine="480"/>
        <w:rPr>
          <w:rFonts w:hint="eastAsia" w:ascii="仿宋" w:hAnsi="仿宋" w:eastAsia="仿宋" w:cs="仿宋"/>
          <w:sz w:val="24"/>
          <w:szCs w:val="24"/>
          <w:highlight w:val="none"/>
        </w:rPr>
      </w:pPr>
      <w:r>
        <w:rPr>
          <w:rFonts w:hint="eastAsia" w:ascii="仿宋" w:hAnsi="仿宋" w:eastAsia="仿宋" w:cs="仿宋"/>
          <w:kern w:val="1"/>
          <w:sz w:val="24"/>
          <w:szCs w:val="24"/>
          <w:highlight w:val="none"/>
        </w:rPr>
        <w:t>三、</w:t>
      </w:r>
      <w:r>
        <w:rPr>
          <w:rStyle w:val="35"/>
          <w:rFonts w:hint="eastAsia" w:ascii="仿宋" w:hAnsi="仿宋" w:eastAsia="仿宋" w:cs="仿宋"/>
          <w:sz w:val="24"/>
          <w:szCs w:val="24"/>
          <w:highlight w:val="none"/>
        </w:rPr>
        <w:t>分项报价明细表</w:t>
      </w:r>
      <w:r>
        <w:rPr>
          <w:rFonts w:hint="eastAsia" w:ascii="仿宋" w:hAnsi="仿宋" w:eastAsia="仿宋" w:cs="仿宋"/>
          <w:kern w:val="1"/>
          <w:sz w:val="24"/>
          <w:szCs w:val="24"/>
          <w:highlight w:val="none"/>
        </w:rPr>
        <w:t>；</w:t>
      </w:r>
    </w:p>
    <w:p w14:paraId="53227DE4">
      <w:pPr>
        <w:widowControl/>
        <w:autoSpaceDE w:val="0"/>
        <w:autoSpaceDN w:val="0"/>
        <w:adjustRightInd w:val="0"/>
        <w:spacing w:line="440" w:lineRule="exact"/>
        <w:ind w:right="-482"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四、联合投标协议书；</w:t>
      </w:r>
    </w:p>
    <w:p w14:paraId="2D00F098">
      <w:pPr>
        <w:widowControl/>
        <w:autoSpaceDE w:val="0"/>
        <w:autoSpaceDN w:val="0"/>
        <w:adjustRightInd w:val="0"/>
        <w:spacing w:line="440" w:lineRule="exact"/>
        <w:ind w:right="-482" w:firstLine="480"/>
        <w:rPr>
          <w:rFonts w:hint="eastAsia" w:ascii="仿宋" w:hAnsi="仿宋" w:eastAsia="仿宋" w:cs="仿宋"/>
          <w:kern w:val="1"/>
          <w:sz w:val="24"/>
          <w:szCs w:val="24"/>
          <w:highlight w:val="none"/>
          <w:lang w:eastAsia="zh-CN"/>
        </w:rPr>
      </w:pPr>
      <w:r>
        <w:rPr>
          <w:rStyle w:val="35"/>
          <w:rFonts w:hint="eastAsia" w:ascii="仿宋" w:hAnsi="仿宋" w:eastAsia="仿宋" w:cs="仿宋"/>
          <w:sz w:val="24"/>
          <w:szCs w:val="24"/>
          <w:highlight w:val="none"/>
        </w:rPr>
        <w:t>五、</w:t>
      </w:r>
      <w:r>
        <w:rPr>
          <w:rFonts w:hint="eastAsia" w:ascii="仿宋" w:hAnsi="仿宋" w:eastAsia="仿宋" w:cs="仿宋"/>
          <w:kern w:val="1"/>
          <w:sz w:val="24"/>
          <w:szCs w:val="24"/>
          <w:highlight w:val="none"/>
        </w:rPr>
        <w:t>法定代表人身份证明</w:t>
      </w:r>
      <w:r>
        <w:rPr>
          <w:rFonts w:hint="eastAsia" w:ascii="仿宋" w:hAnsi="仿宋" w:eastAsia="仿宋" w:cs="仿宋"/>
          <w:kern w:val="1"/>
          <w:sz w:val="24"/>
          <w:szCs w:val="24"/>
          <w:highlight w:val="none"/>
          <w:lang w:eastAsia="zh-CN"/>
        </w:rPr>
        <w:t>；</w:t>
      </w:r>
    </w:p>
    <w:p w14:paraId="667F081B">
      <w:pPr>
        <w:widowControl/>
        <w:autoSpaceDE w:val="0"/>
        <w:autoSpaceDN w:val="0"/>
        <w:adjustRightInd w:val="0"/>
        <w:spacing w:line="440" w:lineRule="exact"/>
        <w:ind w:right="-482"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lang w:val="en-US" w:eastAsia="zh-CN"/>
        </w:rPr>
        <w:t>六</w:t>
      </w:r>
      <w:r>
        <w:rPr>
          <w:rStyle w:val="35"/>
          <w:rFonts w:hint="eastAsia" w:ascii="仿宋" w:hAnsi="仿宋" w:eastAsia="仿宋" w:cs="仿宋"/>
          <w:sz w:val="24"/>
          <w:szCs w:val="24"/>
          <w:highlight w:val="none"/>
        </w:rPr>
        <w:t>、投标人情况介绍；</w:t>
      </w:r>
    </w:p>
    <w:p w14:paraId="7EFD1B9F">
      <w:pPr>
        <w:widowControl/>
        <w:autoSpaceDE w:val="0"/>
        <w:autoSpaceDN w:val="0"/>
        <w:adjustRightInd w:val="0"/>
        <w:spacing w:line="440" w:lineRule="exact"/>
        <w:ind w:right="-482" w:firstLine="480"/>
        <w:rPr>
          <w:rFonts w:hint="eastAsia" w:ascii="仿宋" w:hAnsi="仿宋" w:eastAsia="仿宋" w:cs="仿宋"/>
          <w:sz w:val="24"/>
          <w:szCs w:val="24"/>
          <w:highlight w:val="none"/>
          <w:lang w:val="en-US" w:eastAsia="zh-CN"/>
        </w:rPr>
      </w:pPr>
      <w:r>
        <w:rPr>
          <w:rStyle w:val="35"/>
          <w:rFonts w:hint="eastAsia" w:ascii="仿宋" w:hAnsi="仿宋" w:eastAsia="仿宋" w:cs="仿宋"/>
          <w:sz w:val="24"/>
          <w:szCs w:val="24"/>
          <w:highlight w:val="none"/>
          <w:lang w:val="en-US" w:eastAsia="zh-CN"/>
        </w:rPr>
        <w:t>七</w:t>
      </w:r>
      <w:r>
        <w:rPr>
          <w:rStyle w:val="35"/>
          <w:rFonts w:hint="eastAsia" w:ascii="仿宋" w:hAnsi="仿宋" w:eastAsia="仿宋" w:cs="仿宋"/>
          <w:sz w:val="24"/>
          <w:szCs w:val="24"/>
          <w:highlight w:val="none"/>
        </w:rPr>
        <w:t>、</w:t>
      </w:r>
      <w:r>
        <w:rPr>
          <w:rStyle w:val="35"/>
          <w:rFonts w:hint="eastAsia" w:ascii="仿宋" w:hAnsi="仿宋" w:eastAsia="仿宋" w:cs="仿宋"/>
          <w:sz w:val="24"/>
          <w:szCs w:val="24"/>
          <w:highlight w:val="none"/>
          <w:lang w:val="en-US" w:eastAsia="zh-CN"/>
        </w:rPr>
        <w:t>完税证明和社保缴纳证明；</w:t>
      </w:r>
    </w:p>
    <w:p w14:paraId="3B276755">
      <w:pPr>
        <w:widowControl/>
        <w:autoSpaceDE w:val="0"/>
        <w:autoSpaceDN w:val="0"/>
        <w:adjustRightInd w:val="0"/>
        <w:spacing w:line="440" w:lineRule="exact"/>
        <w:ind w:right="-482" w:firstLine="480"/>
        <w:rPr>
          <w:rFonts w:hint="eastAsia" w:ascii="仿宋" w:hAnsi="仿宋" w:eastAsia="仿宋" w:cs="仿宋"/>
          <w:sz w:val="24"/>
          <w:szCs w:val="24"/>
          <w:highlight w:val="none"/>
          <w:lang w:val="en-US" w:eastAsia="zh-CN"/>
        </w:rPr>
      </w:pPr>
      <w:r>
        <w:rPr>
          <w:rStyle w:val="35"/>
          <w:rFonts w:hint="eastAsia" w:ascii="仿宋" w:hAnsi="仿宋" w:eastAsia="仿宋" w:cs="仿宋"/>
          <w:sz w:val="24"/>
          <w:szCs w:val="24"/>
          <w:highlight w:val="none"/>
          <w:lang w:val="en-US" w:eastAsia="zh-CN"/>
        </w:rPr>
        <w:t>八</w:t>
      </w:r>
      <w:r>
        <w:rPr>
          <w:rStyle w:val="35"/>
          <w:rFonts w:hint="eastAsia" w:ascii="仿宋" w:hAnsi="仿宋" w:eastAsia="仿宋" w:cs="仿宋"/>
          <w:sz w:val="24"/>
          <w:szCs w:val="24"/>
          <w:highlight w:val="none"/>
        </w:rPr>
        <w:t>、财务状况</w:t>
      </w:r>
      <w:r>
        <w:rPr>
          <w:rStyle w:val="35"/>
          <w:rFonts w:hint="eastAsia" w:ascii="仿宋" w:hAnsi="仿宋" w:eastAsia="仿宋" w:cs="仿宋"/>
          <w:sz w:val="24"/>
          <w:szCs w:val="24"/>
          <w:highlight w:val="none"/>
          <w:lang w:eastAsia="zh-CN"/>
        </w:rPr>
        <w:t>；</w:t>
      </w:r>
      <w:r>
        <w:rPr>
          <w:rStyle w:val="35"/>
          <w:rFonts w:hint="eastAsia" w:ascii="仿宋" w:hAnsi="仿宋" w:eastAsia="仿宋" w:cs="仿宋"/>
          <w:sz w:val="24"/>
          <w:szCs w:val="24"/>
          <w:highlight w:val="none"/>
          <w:lang w:val="en-US" w:eastAsia="zh-CN"/>
        </w:rPr>
        <w:t xml:space="preserve"> </w:t>
      </w:r>
    </w:p>
    <w:p w14:paraId="68AD204C">
      <w:pPr>
        <w:widowControl/>
        <w:autoSpaceDE w:val="0"/>
        <w:autoSpaceDN w:val="0"/>
        <w:adjustRightInd w:val="0"/>
        <w:spacing w:line="440" w:lineRule="exact"/>
        <w:ind w:right="-482"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lang w:val="en-US" w:eastAsia="zh-CN"/>
        </w:rPr>
        <w:t>九</w:t>
      </w:r>
      <w:r>
        <w:rPr>
          <w:rStyle w:val="35"/>
          <w:rFonts w:hint="eastAsia" w:ascii="仿宋" w:hAnsi="仿宋" w:eastAsia="仿宋" w:cs="仿宋"/>
          <w:sz w:val="24"/>
          <w:szCs w:val="24"/>
          <w:highlight w:val="none"/>
        </w:rPr>
        <w:t>、在经营活动中没有重大违法记录的书面声明；</w:t>
      </w:r>
    </w:p>
    <w:p w14:paraId="198838B8">
      <w:pPr>
        <w:widowControl/>
        <w:autoSpaceDE w:val="0"/>
        <w:autoSpaceDN w:val="0"/>
        <w:adjustRightInd w:val="0"/>
        <w:spacing w:line="440" w:lineRule="exact"/>
        <w:ind w:right="-482"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十、政府采购诚信承诺书；</w:t>
      </w:r>
    </w:p>
    <w:p w14:paraId="17FA92BD">
      <w:pPr>
        <w:widowControl/>
        <w:autoSpaceDE w:val="0"/>
        <w:autoSpaceDN w:val="0"/>
        <w:adjustRightInd w:val="0"/>
        <w:spacing w:line="440" w:lineRule="exact"/>
        <w:ind w:right="-482" w:firstLine="480"/>
        <w:rPr>
          <w:rFonts w:hint="eastAsia" w:ascii="仿宋" w:hAnsi="仿宋" w:eastAsia="仿宋" w:cs="仿宋"/>
        </w:rPr>
      </w:pPr>
      <w:r>
        <w:rPr>
          <w:rStyle w:val="35"/>
          <w:rFonts w:hint="eastAsia" w:ascii="仿宋" w:hAnsi="仿宋" w:eastAsia="仿宋" w:cs="仿宋"/>
          <w:sz w:val="24"/>
          <w:szCs w:val="24"/>
          <w:highlight w:val="none"/>
          <w:lang w:val="en-US" w:eastAsia="zh-CN"/>
        </w:rPr>
        <w:t>十一</w:t>
      </w:r>
      <w:r>
        <w:rPr>
          <w:rStyle w:val="35"/>
          <w:rFonts w:hint="eastAsia" w:ascii="仿宋" w:hAnsi="仿宋" w:eastAsia="仿宋" w:cs="仿宋"/>
          <w:sz w:val="24"/>
          <w:szCs w:val="24"/>
          <w:highlight w:val="none"/>
        </w:rPr>
        <w:t>、商务偏离表；</w:t>
      </w:r>
    </w:p>
    <w:p w14:paraId="7322D565">
      <w:pPr>
        <w:widowControl/>
        <w:autoSpaceDE w:val="0"/>
        <w:autoSpaceDN w:val="0"/>
        <w:adjustRightInd w:val="0"/>
        <w:spacing w:line="440" w:lineRule="exact"/>
        <w:ind w:right="-482" w:firstLine="480"/>
        <w:rPr>
          <w:rFonts w:hint="eastAsia" w:ascii="仿宋" w:hAnsi="仿宋" w:eastAsia="仿宋" w:cs="仿宋"/>
          <w:sz w:val="24"/>
          <w:szCs w:val="24"/>
          <w:highlight w:val="none"/>
          <w:lang w:val="en-US" w:eastAsia="zh-CN"/>
        </w:rPr>
      </w:pPr>
      <w:r>
        <w:rPr>
          <w:rStyle w:val="35"/>
          <w:rFonts w:hint="eastAsia" w:ascii="仿宋" w:hAnsi="仿宋" w:eastAsia="仿宋" w:cs="仿宋"/>
          <w:sz w:val="24"/>
          <w:szCs w:val="24"/>
          <w:highlight w:val="none"/>
          <w:lang w:val="en-US" w:eastAsia="zh-CN"/>
        </w:rPr>
        <w:t>十二、技术偏离表；</w:t>
      </w:r>
    </w:p>
    <w:p w14:paraId="48CDA31F">
      <w:pPr>
        <w:widowControl/>
        <w:autoSpaceDE w:val="0"/>
        <w:autoSpaceDN w:val="0"/>
        <w:adjustRightInd w:val="0"/>
        <w:spacing w:line="440" w:lineRule="exact"/>
        <w:ind w:right="-482" w:firstLine="480"/>
        <w:rPr>
          <w:rFonts w:hint="eastAsia" w:ascii="仿宋" w:hAnsi="仿宋" w:eastAsia="仿宋" w:cs="仿宋"/>
          <w:sz w:val="24"/>
          <w:szCs w:val="24"/>
          <w:highlight w:val="none"/>
          <w:lang w:val="en-US" w:eastAsia="zh-CN"/>
        </w:rPr>
      </w:pPr>
      <w:r>
        <w:rPr>
          <w:rStyle w:val="35"/>
          <w:rFonts w:hint="eastAsia" w:ascii="仿宋" w:hAnsi="仿宋" w:eastAsia="仿宋" w:cs="仿宋"/>
          <w:sz w:val="24"/>
          <w:szCs w:val="24"/>
          <w:highlight w:val="none"/>
          <w:lang w:val="en-US" w:eastAsia="zh-CN"/>
        </w:rPr>
        <w:t>十三、</w:t>
      </w:r>
      <w:r>
        <w:rPr>
          <w:rStyle w:val="35"/>
          <w:rFonts w:hint="eastAsia" w:ascii="仿宋" w:hAnsi="仿宋" w:eastAsia="仿宋" w:cs="仿宋"/>
          <w:sz w:val="24"/>
          <w:szCs w:val="24"/>
          <w:highlight w:val="none"/>
        </w:rPr>
        <w:t>供货方案、人员配置、售后服务保障、安装验收方案、产品配件服务供应方案、培训方案</w:t>
      </w:r>
      <w:r>
        <w:rPr>
          <w:rStyle w:val="35"/>
          <w:rFonts w:hint="eastAsia" w:ascii="仿宋" w:hAnsi="仿宋" w:eastAsia="仿宋" w:cs="仿宋"/>
          <w:sz w:val="24"/>
          <w:szCs w:val="24"/>
          <w:highlight w:val="none"/>
          <w:lang w:eastAsia="zh-CN"/>
        </w:rPr>
        <w:t>；</w:t>
      </w:r>
    </w:p>
    <w:p w14:paraId="48CB21FF">
      <w:pPr>
        <w:widowControl/>
        <w:autoSpaceDE w:val="0"/>
        <w:autoSpaceDN w:val="0"/>
        <w:adjustRightInd w:val="0"/>
        <w:spacing w:line="440" w:lineRule="exact"/>
        <w:ind w:right="-482" w:firstLine="480"/>
        <w:rPr>
          <w:rFonts w:hint="eastAsia" w:ascii="仿宋" w:hAnsi="仿宋" w:eastAsia="仿宋" w:cs="仿宋"/>
          <w:sz w:val="24"/>
          <w:szCs w:val="24"/>
          <w:highlight w:val="none"/>
          <w:lang w:val="en-US" w:eastAsia="zh-CN"/>
        </w:rPr>
      </w:pPr>
      <w:r>
        <w:rPr>
          <w:rStyle w:val="35"/>
          <w:rFonts w:hint="eastAsia" w:ascii="仿宋" w:hAnsi="仿宋" w:eastAsia="仿宋" w:cs="仿宋"/>
          <w:sz w:val="24"/>
          <w:szCs w:val="24"/>
          <w:highlight w:val="none"/>
          <w:lang w:val="en-US" w:eastAsia="zh-CN"/>
        </w:rPr>
        <w:t>十四</w:t>
      </w:r>
      <w:r>
        <w:rPr>
          <w:rStyle w:val="35"/>
          <w:rFonts w:hint="eastAsia" w:ascii="仿宋" w:hAnsi="仿宋" w:eastAsia="仿宋" w:cs="仿宋"/>
          <w:sz w:val="24"/>
          <w:szCs w:val="24"/>
          <w:highlight w:val="none"/>
        </w:rPr>
        <w:t>、投标人需要说明的其他文件和说明</w:t>
      </w:r>
    </w:p>
    <w:p w14:paraId="75964F19">
      <w:pPr>
        <w:widowControl/>
        <w:autoSpaceDE w:val="0"/>
        <w:autoSpaceDN w:val="0"/>
        <w:adjustRightInd w:val="0"/>
        <w:spacing w:line="440" w:lineRule="exact"/>
        <w:ind w:right="-482" w:firstLine="480"/>
        <w:rPr>
          <w:rFonts w:hint="eastAsia" w:ascii="仿宋" w:hAnsi="仿宋" w:eastAsia="仿宋" w:cs="仿宋"/>
          <w:sz w:val="24"/>
          <w:szCs w:val="24"/>
          <w:highlight w:val="none"/>
          <w:lang w:val="en-US" w:eastAsia="zh-CN"/>
        </w:rPr>
      </w:pPr>
      <w:r>
        <w:rPr>
          <w:rStyle w:val="35"/>
          <w:rFonts w:hint="eastAsia" w:ascii="仿宋" w:hAnsi="仿宋" w:eastAsia="仿宋" w:cs="仿宋"/>
          <w:sz w:val="24"/>
          <w:szCs w:val="24"/>
          <w:highlight w:val="none"/>
          <w:lang w:val="en-US" w:eastAsia="zh-CN"/>
        </w:rPr>
        <w:t>十五、中小企业声明函（货物）、残疾人福利性单位声明函、监狱企业声明函</w:t>
      </w:r>
    </w:p>
    <w:p w14:paraId="4A5C5331">
      <w:pPr>
        <w:widowControl/>
        <w:autoSpaceDE w:val="0"/>
        <w:autoSpaceDN w:val="0"/>
        <w:adjustRightInd w:val="0"/>
        <w:spacing w:line="440" w:lineRule="exact"/>
        <w:ind w:right="-482" w:firstLine="480"/>
        <w:rPr>
          <w:rFonts w:hint="eastAsia" w:ascii="仿宋" w:hAnsi="仿宋" w:eastAsia="仿宋" w:cs="仿宋"/>
          <w:sz w:val="24"/>
          <w:szCs w:val="24"/>
          <w:highlight w:val="none"/>
          <w:lang w:eastAsia="zh-CN"/>
        </w:rPr>
      </w:pPr>
    </w:p>
    <w:p w14:paraId="75782574">
      <w:pPr>
        <w:widowControl/>
        <w:autoSpaceDE w:val="0"/>
        <w:autoSpaceDN w:val="0"/>
        <w:adjustRightInd w:val="0"/>
        <w:spacing w:line="440" w:lineRule="exact"/>
        <w:ind w:right="-482" w:firstLine="470"/>
        <w:jc w:val="left"/>
        <w:rPr>
          <w:rFonts w:hint="eastAsia" w:ascii="仿宋" w:hAnsi="仿宋" w:eastAsia="仿宋" w:cs="仿宋"/>
          <w:kern w:val="1"/>
          <w:sz w:val="24"/>
          <w:szCs w:val="24"/>
          <w:highlight w:val="none"/>
        </w:rPr>
      </w:pPr>
    </w:p>
    <w:p w14:paraId="2F032E30">
      <w:pPr>
        <w:widowControl/>
        <w:autoSpaceDE w:val="0"/>
        <w:autoSpaceDN w:val="0"/>
        <w:adjustRightInd w:val="0"/>
        <w:spacing w:line="440" w:lineRule="exact"/>
        <w:ind w:right="-481"/>
        <w:jc w:val="left"/>
        <w:rPr>
          <w:rFonts w:hint="eastAsia" w:ascii="仿宋" w:hAnsi="仿宋" w:eastAsia="仿宋" w:cs="仿宋"/>
          <w:kern w:val="1"/>
          <w:sz w:val="24"/>
          <w:szCs w:val="24"/>
          <w:highlight w:val="none"/>
        </w:rPr>
      </w:pPr>
    </w:p>
    <w:p w14:paraId="2B7C73EC">
      <w:pPr>
        <w:widowControl/>
        <w:autoSpaceDE w:val="0"/>
        <w:autoSpaceDN w:val="0"/>
        <w:adjustRightInd w:val="0"/>
        <w:spacing w:line="440" w:lineRule="exact"/>
        <w:ind w:right="-481"/>
        <w:jc w:val="center"/>
        <w:rPr>
          <w:rFonts w:hint="eastAsia" w:ascii="仿宋" w:hAnsi="仿宋" w:eastAsia="仿宋" w:cs="仿宋"/>
          <w:kern w:val="1"/>
          <w:sz w:val="32"/>
          <w:szCs w:val="32"/>
          <w:highlight w:val="none"/>
        </w:rPr>
      </w:pPr>
    </w:p>
    <w:p w14:paraId="556C5C4E">
      <w:pPr>
        <w:widowControl/>
        <w:autoSpaceDE w:val="0"/>
        <w:autoSpaceDN w:val="0"/>
        <w:adjustRightInd w:val="0"/>
        <w:spacing w:line="440" w:lineRule="exact"/>
        <w:ind w:right="-481"/>
        <w:jc w:val="left"/>
        <w:rPr>
          <w:rFonts w:hint="eastAsia" w:ascii="仿宋" w:hAnsi="仿宋" w:eastAsia="仿宋" w:cs="仿宋"/>
          <w:sz w:val="24"/>
          <w:szCs w:val="24"/>
          <w:highlight w:val="none"/>
        </w:rPr>
      </w:pPr>
      <w:r>
        <w:rPr>
          <w:rFonts w:hint="eastAsia" w:ascii="仿宋" w:hAnsi="仿宋" w:eastAsia="仿宋" w:cs="仿宋"/>
          <w:kern w:val="1"/>
          <w:highlight w:val="none"/>
        </w:rPr>
        <w:br w:type="page"/>
      </w:r>
    </w:p>
    <w:p w14:paraId="3AAE30D6">
      <w:pPr>
        <w:widowControl/>
        <w:autoSpaceDE w:val="0"/>
        <w:autoSpaceDN w:val="0"/>
        <w:adjustRightInd w:val="0"/>
        <w:spacing w:before="120" w:after="120" w:line="440" w:lineRule="exact"/>
        <w:ind w:right="-481"/>
        <w:jc w:val="center"/>
        <w:rPr>
          <w:rFonts w:hint="eastAsia" w:ascii="仿宋" w:hAnsi="仿宋" w:eastAsia="仿宋" w:cs="仿宋"/>
          <w:b/>
          <w:bCs/>
          <w:kern w:val="1"/>
          <w:sz w:val="28"/>
          <w:szCs w:val="28"/>
          <w:highlight w:val="none"/>
        </w:rPr>
      </w:pPr>
      <w:r>
        <w:rPr>
          <w:rFonts w:hint="eastAsia" w:ascii="仿宋" w:hAnsi="仿宋" w:eastAsia="仿宋" w:cs="仿宋"/>
          <w:b/>
          <w:bCs/>
          <w:kern w:val="1"/>
          <w:sz w:val="28"/>
          <w:szCs w:val="28"/>
          <w:highlight w:val="none"/>
        </w:rPr>
        <w:t>一、投标函</w:t>
      </w:r>
    </w:p>
    <w:p w14:paraId="3D7BA772">
      <w:pPr>
        <w:widowControl/>
        <w:autoSpaceDE w:val="0"/>
        <w:autoSpaceDN w:val="0"/>
        <w:adjustRightInd w:val="0"/>
        <w:spacing w:line="440" w:lineRule="exact"/>
        <w:ind w:right="-481"/>
        <w:rPr>
          <w:rFonts w:hint="eastAsia" w:ascii="仿宋" w:hAnsi="仿宋" w:eastAsia="仿宋" w:cs="仿宋"/>
          <w:kern w:val="1"/>
          <w:sz w:val="24"/>
          <w:szCs w:val="24"/>
          <w:highlight w:val="none"/>
          <w:u w:val="single"/>
        </w:rPr>
      </w:pPr>
    </w:p>
    <w:p w14:paraId="0E6D7BDA">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u w:val="single"/>
        </w:rPr>
        <w:t>（</w:t>
      </w:r>
      <w:r>
        <w:rPr>
          <w:rFonts w:hint="eastAsia" w:ascii="仿宋" w:hAnsi="仿宋" w:eastAsia="仿宋" w:cs="仿宋"/>
          <w:kern w:val="1"/>
          <w:sz w:val="24"/>
          <w:szCs w:val="24"/>
          <w:highlight w:val="none"/>
          <w:u w:val="single"/>
          <w:lang w:eastAsia="zh-CN"/>
        </w:rPr>
        <w:t>招标人</w:t>
      </w:r>
      <w:r>
        <w:rPr>
          <w:rFonts w:hint="eastAsia" w:ascii="仿宋" w:hAnsi="仿宋" w:eastAsia="仿宋" w:cs="仿宋"/>
          <w:kern w:val="1"/>
          <w:sz w:val="24"/>
          <w:szCs w:val="24"/>
          <w:highlight w:val="none"/>
          <w:u w:val="single"/>
        </w:rPr>
        <w:t>）</w:t>
      </w:r>
      <w:r>
        <w:rPr>
          <w:rStyle w:val="35"/>
          <w:rFonts w:hint="eastAsia" w:ascii="仿宋" w:hAnsi="仿宋" w:eastAsia="仿宋" w:cs="仿宋"/>
          <w:sz w:val="24"/>
          <w:szCs w:val="24"/>
          <w:highlight w:val="none"/>
        </w:rPr>
        <w:t>：</w:t>
      </w:r>
    </w:p>
    <w:p w14:paraId="3BF0DBDA">
      <w:pPr>
        <w:widowControl/>
        <w:autoSpaceDE w:val="0"/>
        <w:autoSpaceDN w:val="0"/>
        <w:adjustRightInd w:val="0"/>
        <w:spacing w:line="440" w:lineRule="exact"/>
        <w:rPr>
          <w:rFonts w:hint="eastAsia" w:ascii="仿宋" w:hAnsi="仿宋" w:eastAsia="仿宋" w:cs="仿宋"/>
          <w:kern w:val="1"/>
          <w:sz w:val="24"/>
          <w:szCs w:val="24"/>
          <w:highlight w:val="none"/>
        </w:rPr>
      </w:pPr>
    </w:p>
    <w:p w14:paraId="32D2161F">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u w:val="single"/>
        </w:rPr>
        <w:t>（投标人名称）</w:t>
      </w:r>
      <w:r>
        <w:rPr>
          <w:rStyle w:val="35"/>
          <w:rFonts w:hint="eastAsia" w:ascii="仿宋" w:hAnsi="仿宋" w:eastAsia="仿宋" w:cs="仿宋"/>
          <w:sz w:val="24"/>
          <w:szCs w:val="24"/>
          <w:highlight w:val="none"/>
        </w:rPr>
        <w:t>系中华人民共和国合法企业，经营地址</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w:t>
      </w:r>
    </w:p>
    <w:p w14:paraId="48C48CB7">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我</w:t>
      </w:r>
      <w:r>
        <w:rPr>
          <w:rFonts w:hint="eastAsia" w:ascii="仿宋" w:hAnsi="仿宋" w:eastAsia="仿宋" w:cs="仿宋"/>
          <w:kern w:val="1"/>
          <w:sz w:val="24"/>
          <w:szCs w:val="24"/>
          <w:highlight w:val="none"/>
          <w:u w:val="single"/>
        </w:rPr>
        <w:t>（姓名）</w:t>
      </w:r>
      <w:r>
        <w:rPr>
          <w:rStyle w:val="35"/>
          <w:rFonts w:hint="eastAsia" w:ascii="仿宋" w:hAnsi="仿宋" w:eastAsia="仿宋" w:cs="仿宋"/>
          <w:sz w:val="24"/>
          <w:szCs w:val="24"/>
          <w:highlight w:val="none"/>
        </w:rPr>
        <w:t>系</w:t>
      </w:r>
      <w:r>
        <w:rPr>
          <w:rFonts w:hint="eastAsia" w:ascii="仿宋" w:hAnsi="仿宋" w:eastAsia="仿宋" w:cs="仿宋"/>
          <w:kern w:val="1"/>
          <w:sz w:val="24"/>
          <w:szCs w:val="24"/>
          <w:highlight w:val="none"/>
          <w:u w:val="single"/>
        </w:rPr>
        <w:t>（投标人名称）</w:t>
      </w:r>
      <w:r>
        <w:rPr>
          <w:rStyle w:val="35"/>
          <w:rFonts w:hint="eastAsia" w:ascii="仿宋" w:hAnsi="仿宋" w:eastAsia="仿宋" w:cs="仿宋"/>
          <w:sz w:val="24"/>
          <w:szCs w:val="24"/>
          <w:highlight w:val="none"/>
        </w:rPr>
        <w:t>的法定代表人，我方愿意参加贵方组织的</w:t>
      </w:r>
      <w:r>
        <w:rPr>
          <w:rFonts w:hint="eastAsia" w:ascii="仿宋" w:hAnsi="仿宋" w:eastAsia="仿宋" w:cs="仿宋"/>
          <w:kern w:val="1"/>
          <w:sz w:val="24"/>
          <w:szCs w:val="24"/>
          <w:highlight w:val="none"/>
          <w:u w:val="single"/>
        </w:rPr>
        <w:t>（招标项目名称）（编号为              ）</w:t>
      </w:r>
      <w:r>
        <w:rPr>
          <w:rStyle w:val="35"/>
          <w:rFonts w:hint="eastAsia" w:ascii="仿宋" w:hAnsi="仿宋" w:eastAsia="仿宋" w:cs="仿宋"/>
          <w:sz w:val="24"/>
          <w:szCs w:val="24"/>
          <w:highlight w:val="none"/>
        </w:rPr>
        <w:t>的投标，为此，我方就本次投标有关事项郑重声明如下：</w:t>
      </w:r>
    </w:p>
    <w:p w14:paraId="6F375F71">
      <w:pPr>
        <w:widowControl/>
        <w:autoSpaceDE w:val="0"/>
        <w:autoSpaceDN w:val="0"/>
        <w:adjustRightInd w:val="0"/>
        <w:spacing w:line="440" w:lineRule="exact"/>
        <w:ind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1、我方已详细审查全部招标文件，同意招标文件的各项要求。</w:t>
      </w:r>
    </w:p>
    <w:p w14:paraId="348A562B">
      <w:pPr>
        <w:widowControl/>
        <w:autoSpaceDE w:val="0"/>
        <w:autoSpaceDN w:val="0"/>
        <w:adjustRightInd w:val="0"/>
        <w:spacing w:line="440" w:lineRule="exact"/>
        <w:ind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2、我方向贵方提交的所有投标文件、资料都是准确的和真实的。</w:t>
      </w:r>
    </w:p>
    <w:p w14:paraId="69D2606C">
      <w:pPr>
        <w:widowControl/>
        <w:autoSpaceDE w:val="0"/>
        <w:autoSpaceDN w:val="0"/>
        <w:adjustRightInd w:val="0"/>
        <w:spacing w:line="440" w:lineRule="exact"/>
        <w:ind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3、若中标，我方将按照招标文件规定履行合同责任和义务。</w:t>
      </w:r>
    </w:p>
    <w:p w14:paraId="0CD4190F">
      <w:pPr>
        <w:widowControl/>
        <w:autoSpaceDE w:val="0"/>
        <w:autoSpaceDN w:val="0"/>
        <w:adjustRightInd w:val="0"/>
        <w:spacing w:line="440" w:lineRule="exact"/>
        <w:ind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4、我方不是</w:t>
      </w:r>
      <w:r>
        <w:rPr>
          <w:rStyle w:val="35"/>
          <w:rFonts w:hint="eastAsia" w:ascii="仿宋" w:hAnsi="仿宋" w:eastAsia="仿宋" w:cs="仿宋"/>
          <w:sz w:val="24"/>
          <w:szCs w:val="24"/>
          <w:highlight w:val="none"/>
          <w:lang w:eastAsia="zh-CN"/>
        </w:rPr>
        <w:t>招标人</w:t>
      </w:r>
      <w:r>
        <w:rPr>
          <w:rStyle w:val="35"/>
          <w:rFonts w:hint="eastAsia" w:ascii="仿宋" w:hAnsi="仿宋" w:eastAsia="仿宋" w:cs="仿宋"/>
          <w:sz w:val="24"/>
          <w:szCs w:val="24"/>
          <w:highlight w:val="none"/>
        </w:rPr>
        <w:t>的附属机构；在获知本项目采购信息后，与</w:t>
      </w:r>
      <w:r>
        <w:rPr>
          <w:rStyle w:val="35"/>
          <w:rFonts w:hint="eastAsia" w:ascii="仿宋" w:hAnsi="仿宋" w:eastAsia="仿宋" w:cs="仿宋"/>
          <w:sz w:val="24"/>
          <w:szCs w:val="24"/>
          <w:highlight w:val="none"/>
          <w:lang w:eastAsia="zh-CN"/>
        </w:rPr>
        <w:t>招标人</w:t>
      </w:r>
      <w:r>
        <w:rPr>
          <w:rStyle w:val="35"/>
          <w:rFonts w:hint="eastAsia" w:ascii="仿宋" w:hAnsi="仿宋" w:eastAsia="仿宋" w:cs="仿宋"/>
          <w:sz w:val="24"/>
          <w:szCs w:val="24"/>
          <w:highlight w:val="none"/>
        </w:rPr>
        <w:t>聘请的为此项目提供咨询服务的公司以及其附属机构没有任何联系。</w:t>
      </w:r>
    </w:p>
    <w:p w14:paraId="37C7FB9B">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5、投标文件自开标日起有效期为</w:t>
      </w:r>
      <w:r>
        <w:rPr>
          <w:rStyle w:val="35"/>
          <w:rFonts w:hint="eastAsia" w:ascii="仿宋" w:hAnsi="仿宋" w:eastAsia="仿宋" w:cs="仿宋"/>
          <w:sz w:val="24"/>
          <w:szCs w:val="24"/>
          <w:highlight w:val="none"/>
          <w:u w:val="single"/>
          <w:lang w:val="en-US" w:eastAsia="zh-CN"/>
        </w:rPr>
        <w:t xml:space="preserve"> </w:t>
      </w:r>
      <w:r>
        <w:rPr>
          <w:rFonts w:hint="eastAsia" w:ascii="仿宋" w:hAnsi="仿宋" w:eastAsia="仿宋" w:cs="仿宋"/>
          <w:kern w:val="1"/>
          <w:sz w:val="24"/>
          <w:szCs w:val="24"/>
          <w:highlight w:val="none"/>
          <w:u w:val="single"/>
          <w:lang w:val="en-US" w:eastAsia="zh-CN"/>
        </w:rPr>
        <w:t xml:space="preserve">60 </w:t>
      </w:r>
      <w:r>
        <w:rPr>
          <w:rStyle w:val="35"/>
          <w:rFonts w:hint="eastAsia" w:ascii="仿宋" w:hAnsi="仿宋" w:eastAsia="仿宋" w:cs="仿宋"/>
          <w:sz w:val="24"/>
          <w:szCs w:val="24"/>
          <w:highlight w:val="none"/>
        </w:rPr>
        <w:t>日历</w:t>
      </w:r>
      <w:r>
        <w:rPr>
          <w:rStyle w:val="35"/>
          <w:rFonts w:hint="eastAsia" w:ascii="仿宋" w:hAnsi="仿宋" w:eastAsia="仿宋" w:cs="仿宋"/>
          <w:sz w:val="24"/>
          <w:szCs w:val="24"/>
          <w:highlight w:val="none"/>
          <w:lang w:val="en-US" w:eastAsia="zh-CN"/>
        </w:rPr>
        <w:t>天</w:t>
      </w:r>
      <w:r>
        <w:rPr>
          <w:rStyle w:val="35"/>
          <w:rFonts w:hint="eastAsia" w:ascii="仿宋" w:hAnsi="仿宋" w:eastAsia="仿宋" w:cs="仿宋"/>
          <w:sz w:val="24"/>
          <w:szCs w:val="24"/>
          <w:highlight w:val="none"/>
        </w:rPr>
        <w:t>。</w:t>
      </w:r>
    </w:p>
    <w:p w14:paraId="59865671">
      <w:pPr>
        <w:widowControl/>
        <w:autoSpaceDE w:val="0"/>
        <w:autoSpaceDN w:val="0"/>
        <w:adjustRightInd w:val="0"/>
        <w:spacing w:line="440" w:lineRule="exact"/>
        <w:ind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6</w:t>
      </w:r>
      <w:r>
        <w:rPr>
          <w:rStyle w:val="35"/>
          <w:rFonts w:hint="eastAsia" w:ascii="仿宋" w:hAnsi="仿宋" w:eastAsia="仿宋" w:cs="仿宋"/>
          <w:sz w:val="24"/>
          <w:szCs w:val="24"/>
          <w:highlight w:val="none"/>
          <w:lang w:eastAsia="zh-CN"/>
        </w:rPr>
        <w:t>、</w:t>
      </w:r>
      <w:r>
        <w:rPr>
          <w:rStyle w:val="35"/>
          <w:rFonts w:hint="eastAsia" w:ascii="仿宋" w:hAnsi="仿宋" w:eastAsia="仿宋" w:cs="仿宋"/>
          <w:sz w:val="24"/>
          <w:szCs w:val="24"/>
          <w:highlight w:val="none"/>
        </w:rPr>
        <w:t>以上事项如有虚假或者隐瞒，我方愿意承担一切后果。</w:t>
      </w:r>
    </w:p>
    <w:p w14:paraId="2FF6B9BF">
      <w:pPr>
        <w:widowControl/>
        <w:tabs>
          <w:tab w:val="left" w:pos="939"/>
        </w:tabs>
        <w:autoSpaceDE w:val="0"/>
        <w:autoSpaceDN w:val="0"/>
        <w:adjustRightInd w:val="0"/>
        <w:spacing w:line="440" w:lineRule="exact"/>
        <w:ind w:left="773" w:right="-481" w:hanging="458"/>
        <w:rPr>
          <w:rFonts w:hint="eastAsia" w:ascii="仿宋" w:hAnsi="仿宋" w:eastAsia="仿宋" w:cs="仿宋"/>
          <w:kern w:val="1"/>
          <w:sz w:val="24"/>
          <w:szCs w:val="24"/>
          <w:highlight w:val="none"/>
        </w:rPr>
      </w:pPr>
    </w:p>
    <w:p w14:paraId="3EBABB92">
      <w:pPr>
        <w:widowControl/>
        <w:tabs>
          <w:tab w:val="left" w:pos="939"/>
        </w:tabs>
        <w:autoSpaceDE w:val="0"/>
        <w:autoSpaceDN w:val="0"/>
        <w:adjustRightInd w:val="0"/>
        <w:spacing w:line="440" w:lineRule="exact"/>
        <w:ind w:left="773" w:right="-481" w:hanging="458"/>
        <w:rPr>
          <w:rFonts w:hint="eastAsia" w:ascii="仿宋" w:hAnsi="仿宋" w:eastAsia="仿宋" w:cs="仿宋"/>
          <w:kern w:val="1"/>
          <w:sz w:val="24"/>
          <w:szCs w:val="24"/>
          <w:highlight w:val="none"/>
        </w:rPr>
      </w:pPr>
    </w:p>
    <w:p w14:paraId="440D2339">
      <w:pPr>
        <w:widowControl/>
        <w:tabs>
          <w:tab w:val="left" w:pos="939"/>
        </w:tabs>
        <w:autoSpaceDE w:val="0"/>
        <w:autoSpaceDN w:val="0"/>
        <w:adjustRightInd w:val="0"/>
        <w:spacing w:line="440" w:lineRule="exact"/>
        <w:ind w:left="773" w:right="-481" w:hanging="458"/>
        <w:rPr>
          <w:rFonts w:hint="eastAsia" w:ascii="仿宋" w:hAnsi="仿宋" w:eastAsia="仿宋" w:cs="仿宋"/>
          <w:kern w:val="1"/>
          <w:sz w:val="24"/>
          <w:szCs w:val="24"/>
          <w:highlight w:val="none"/>
        </w:rPr>
      </w:pPr>
    </w:p>
    <w:p w14:paraId="2EF427E8">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169752F1">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354AA52C">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7539F64">
      <w:pPr>
        <w:spacing w:before="100" w:beforeAutospacing="1" w:after="100" w:afterAutospacing="1" w:line="440" w:lineRule="exact"/>
        <w:jc w:val="left"/>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br w:type="page"/>
      </w:r>
    </w:p>
    <w:p w14:paraId="42C49A18">
      <w:pPr>
        <w:spacing w:before="100" w:beforeAutospacing="1" w:after="100" w:afterAutospacing="1" w:line="440" w:lineRule="exact"/>
        <w:jc w:val="center"/>
        <w:rPr>
          <w:rFonts w:hint="eastAsia" w:ascii="仿宋" w:hAnsi="仿宋" w:eastAsia="仿宋" w:cs="仿宋"/>
          <w:b/>
          <w:bCs/>
          <w:kern w:val="1"/>
          <w:sz w:val="24"/>
          <w:szCs w:val="24"/>
          <w:highlight w:val="none"/>
          <w:u w:val="single"/>
        </w:rPr>
      </w:pPr>
      <w:r>
        <w:rPr>
          <w:rFonts w:hint="eastAsia" w:ascii="仿宋" w:hAnsi="仿宋" w:eastAsia="仿宋" w:cs="仿宋"/>
          <w:b/>
          <w:bCs/>
          <w:kern w:val="1"/>
          <w:sz w:val="28"/>
          <w:szCs w:val="28"/>
          <w:highlight w:val="none"/>
        </w:rPr>
        <w:t>二、投标报价一览表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4F7A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3441D220">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600" w:type="dxa"/>
            <w:vAlign w:val="center"/>
          </w:tcPr>
          <w:p w14:paraId="42D4FA7E">
            <w:pPr>
              <w:spacing w:line="440" w:lineRule="exact"/>
              <w:jc w:val="center"/>
              <w:rPr>
                <w:rFonts w:hint="eastAsia" w:ascii="仿宋" w:hAnsi="仿宋" w:eastAsia="仿宋" w:cs="仿宋"/>
                <w:sz w:val="24"/>
                <w:szCs w:val="24"/>
                <w:highlight w:val="none"/>
              </w:rPr>
            </w:pPr>
          </w:p>
        </w:tc>
      </w:tr>
      <w:tr w14:paraId="2AEF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900" w:type="dxa"/>
            <w:vAlign w:val="center"/>
          </w:tcPr>
          <w:p w14:paraId="4E308C9F">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7600" w:type="dxa"/>
          </w:tcPr>
          <w:p w14:paraId="732CB121">
            <w:pPr>
              <w:spacing w:line="440" w:lineRule="exact"/>
              <w:jc w:val="center"/>
              <w:rPr>
                <w:rFonts w:hint="eastAsia" w:ascii="仿宋" w:hAnsi="仿宋" w:eastAsia="仿宋" w:cs="仿宋"/>
                <w:sz w:val="24"/>
                <w:szCs w:val="24"/>
                <w:highlight w:val="none"/>
              </w:rPr>
            </w:pPr>
          </w:p>
        </w:tc>
      </w:tr>
      <w:tr w14:paraId="0C93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900" w:type="dxa"/>
            <w:vAlign w:val="center"/>
          </w:tcPr>
          <w:p w14:paraId="09E939D0">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7600" w:type="dxa"/>
          </w:tcPr>
          <w:p w14:paraId="21C23F76">
            <w:pPr>
              <w:spacing w:line="440" w:lineRule="exact"/>
              <w:jc w:val="center"/>
              <w:rPr>
                <w:rFonts w:hint="eastAsia" w:ascii="仿宋" w:hAnsi="仿宋" w:eastAsia="仿宋" w:cs="仿宋"/>
                <w:sz w:val="24"/>
                <w:szCs w:val="24"/>
                <w:highlight w:val="none"/>
              </w:rPr>
            </w:pPr>
          </w:p>
        </w:tc>
      </w:tr>
      <w:tr w14:paraId="653E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00" w:type="dxa"/>
            <w:vAlign w:val="center"/>
          </w:tcPr>
          <w:p w14:paraId="798FF5FC">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交货</w:t>
            </w:r>
            <w:r>
              <w:rPr>
                <w:rFonts w:hint="eastAsia" w:ascii="仿宋" w:hAnsi="仿宋" w:eastAsia="仿宋" w:cs="仿宋"/>
                <w:sz w:val="24"/>
                <w:szCs w:val="24"/>
                <w:highlight w:val="none"/>
              </w:rPr>
              <w:t>期</w:t>
            </w:r>
          </w:p>
        </w:tc>
        <w:tc>
          <w:tcPr>
            <w:tcW w:w="7600" w:type="dxa"/>
            <w:vAlign w:val="center"/>
          </w:tcPr>
          <w:p w14:paraId="72A91F26">
            <w:pPr>
              <w:spacing w:line="440" w:lineRule="exact"/>
              <w:rPr>
                <w:rFonts w:hint="eastAsia" w:ascii="仿宋" w:hAnsi="仿宋" w:eastAsia="仿宋" w:cs="仿宋"/>
                <w:sz w:val="24"/>
                <w:szCs w:val="24"/>
                <w:highlight w:val="none"/>
                <w:u w:val="single"/>
              </w:rPr>
            </w:pPr>
          </w:p>
        </w:tc>
      </w:tr>
      <w:tr w14:paraId="2461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00" w:type="dxa"/>
            <w:vAlign w:val="center"/>
          </w:tcPr>
          <w:p w14:paraId="65385EB8">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质量目标</w:t>
            </w:r>
          </w:p>
        </w:tc>
        <w:tc>
          <w:tcPr>
            <w:tcW w:w="7600" w:type="dxa"/>
            <w:vAlign w:val="center"/>
          </w:tcPr>
          <w:p w14:paraId="5CDFF75E">
            <w:pPr>
              <w:spacing w:line="440" w:lineRule="exact"/>
              <w:rPr>
                <w:rFonts w:hint="eastAsia" w:ascii="仿宋" w:hAnsi="仿宋" w:eastAsia="仿宋" w:cs="仿宋"/>
                <w:sz w:val="24"/>
                <w:szCs w:val="24"/>
                <w:highlight w:val="none"/>
              </w:rPr>
            </w:pPr>
          </w:p>
        </w:tc>
      </w:tr>
      <w:tr w14:paraId="2990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1900" w:type="dxa"/>
            <w:vAlign w:val="center"/>
          </w:tcPr>
          <w:p w14:paraId="3279327C">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w:t>
            </w:r>
          </w:p>
        </w:tc>
        <w:tc>
          <w:tcPr>
            <w:tcW w:w="7600" w:type="dxa"/>
            <w:vAlign w:val="center"/>
          </w:tcPr>
          <w:p w14:paraId="32A791F2">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14:paraId="1BB3BD50">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14:paraId="7B96D6A0">
            <w:pPr>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投标报价应包括：货物本身价格、保险费用、包装费、运输 费用、二次搬运费、损耗、税金费用、检疫费、管理费、随产品资料费、自检费及验收合格前和质保期内发生的一切费用、应当提供的伴随服务/售后服务费用</w:t>
            </w:r>
            <w:r>
              <w:rPr>
                <w:rFonts w:hint="eastAsia" w:ascii="仿宋" w:hAnsi="仿宋" w:eastAsia="仿宋" w:cs="仿宋"/>
                <w:color w:val="auto"/>
                <w:sz w:val="24"/>
                <w:szCs w:val="24"/>
                <w:highlight w:val="none"/>
              </w:rPr>
              <w:t>）</w:t>
            </w:r>
          </w:p>
        </w:tc>
      </w:tr>
      <w:tr w14:paraId="1717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900" w:type="dxa"/>
            <w:vAlign w:val="center"/>
          </w:tcPr>
          <w:p w14:paraId="28FCAE18">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7600" w:type="dxa"/>
          </w:tcPr>
          <w:p w14:paraId="3C94F364">
            <w:pPr>
              <w:spacing w:line="440" w:lineRule="exact"/>
              <w:jc w:val="center"/>
              <w:rPr>
                <w:rFonts w:hint="eastAsia" w:ascii="仿宋" w:hAnsi="仿宋" w:eastAsia="仿宋" w:cs="仿宋"/>
                <w:sz w:val="24"/>
                <w:szCs w:val="24"/>
                <w:highlight w:val="none"/>
              </w:rPr>
            </w:pPr>
          </w:p>
        </w:tc>
      </w:tr>
    </w:tbl>
    <w:p w14:paraId="065F3925">
      <w:pPr>
        <w:spacing w:line="360" w:lineRule="auto"/>
        <w:rPr>
          <w:rFonts w:hint="eastAsia" w:ascii="仿宋" w:hAnsi="仿宋" w:eastAsia="仿宋" w:cs="仿宋"/>
          <w:sz w:val="24"/>
          <w:szCs w:val="24"/>
          <w:highlight w:val="none"/>
        </w:rPr>
      </w:pPr>
    </w:p>
    <w:p w14:paraId="02014A9D">
      <w:pPr>
        <w:spacing w:line="360" w:lineRule="auto"/>
        <w:rPr>
          <w:rFonts w:hint="eastAsia" w:ascii="仿宋" w:hAnsi="仿宋" w:eastAsia="仿宋" w:cs="仿宋"/>
          <w:sz w:val="24"/>
          <w:szCs w:val="24"/>
          <w:highlight w:val="none"/>
        </w:rPr>
      </w:pPr>
    </w:p>
    <w:p w14:paraId="6959EE32">
      <w:pPr>
        <w:spacing w:line="360" w:lineRule="auto"/>
        <w:rPr>
          <w:rFonts w:hint="eastAsia" w:ascii="仿宋" w:hAnsi="仿宋" w:eastAsia="仿宋" w:cs="仿宋"/>
          <w:sz w:val="24"/>
          <w:szCs w:val="24"/>
          <w:highlight w:val="none"/>
        </w:rPr>
      </w:pPr>
    </w:p>
    <w:p w14:paraId="2AEE9B35">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47F2E06C">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2A142B78">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CF84327">
      <w:pPr>
        <w:numPr>
          <w:ilvl w:val="0"/>
          <w:numId w:val="3"/>
        </w:numPr>
        <w:spacing w:before="100" w:beforeAutospacing="1" w:after="100" w:afterAutospacing="1" w:line="440" w:lineRule="exact"/>
        <w:jc w:val="center"/>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br w:type="page"/>
      </w:r>
    </w:p>
    <w:p w14:paraId="70D859C6">
      <w:pPr>
        <w:pStyle w:val="36"/>
        <w:numPr>
          <w:ilvl w:val="0"/>
          <w:numId w:val="4"/>
        </w:numPr>
        <w:spacing w:afterLines="100" w:line="440" w:lineRule="exact"/>
        <w:rPr>
          <w:rFonts w:hint="eastAsia" w:ascii="仿宋" w:hAnsi="仿宋" w:eastAsia="仿宋" w:cs="仿宋"/>
          <w:b/>
          <w:bCs/>
          <w:highlight w:val="none"/>
          <w:lang w:val="zh-CN"/>
        </w:rPr>
      </w:pPr>
      <w:r>
        <w:rPr>
          <w:rFonts w:hint="eastAsia" w:ascii="仿宋" w:hAnsi="仿宋" w:eastAsia="仿宋" w:cs="仿宋"/>
          <w:b/>
          <w:bCs/>
          <w:highlight w:val="none"/>
          <w:lang w:val="zh-CN"/>
        </w:rPr>
        <w:t>分项报价明细表</w:t>
      </w:r>
    </w:p>
    <w:p w14:paraId="53D1B3DA">
      <w:pPr>
        <w:autoSpaceDE w:val="0"/>
        <w:autoSpaceDN w:val="0"/>
        <w:adjustRightInd w:val="0"/>
        <w:spacing w:line="360" w:lineRule="auto"/>
        <w:rPr>
          <w:rFonts w:hint="eastAsia" w:ascii="仿宋" w:hAnsi="仿宋" w:eastAsia="仿宋" w:cs="仿宋"/>
          <w:highlight w:val="none"/>
          <w:lang w:val="zh-CN"/>
        </w:rPr>
      </w:pPr>
      <w:r>
        <w:rPr>
          <w:rFonts w:hint="eastAsia" w:ascii="仿宋" w:hAnsi="仿宋" w:eastAsia="仿宋" w:cs="仿宋"/>
          <w:color w:val="auto"/>
          <w:sz w:val="24"/>
          <w:szCs w:val="24"/>
          <w:lang w:val="zh-CN"/>
        </w:rPr>
        <w:t xml:space="preserve">项目名称：                             项目编号： </w:t>
      </w:r>
    </w:p>
    <w:tbl>
      <w:tblPr>
        <w:tblStyle w:val="20"/>
        <w:tblpPr w:leftFromText="180" w:rightFromText="180" w:vertAnchor="text" w:horzAnchor="page" w:tblpX="1066" w:tblpY="4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474"/>
        <w:gridCol w:w="1129"/>
        <w:gridCol w:w="1287"/>
        <w:gridCol w:w="815"/>
        <w:gridCol w:w="1154"/>
        <w:gridCol w:w="1373"/>
        <w:gridCol w:w="1702"/>
        <w:gridCol w:w="4"/>
      </w:tblGrid>
      <w:tr w14:paraId="10F8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455" w:hRule="atLeast"/>
        </w:trPr>
        <w:tc>
          <w:tcPr>
            <w:tcW w:w="699" w:type="dxa"/>
            <w:noWrap w:val="0"/>
            <w:vAlign w:val="center"/>
          </w:tcPr>
          <w:p w14:paraId="283890AB">
            <w:pPr>
              <w:widowControl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序</w:t>
            </w:r>
            <w:r>
              <w:rPr>
                <w:rFonts w:hint="eastAsia" w:ascii="仿宋" w:hAnsi="仿宋" w:eastAsia="仿宋" w:cs="仿宋"/>
                <w:color w:val="auto"/>
                <w:sz w:val="24"/>
                <w:szCs w:val="24"/>
                <w:lang w:eastAsia="zh-CN"/>
              </w:rPr>
              <w:t>号</w:t>
            </w:r>
          </w:p>
        </w:tc>
        <w:tc>
          <w:tcPr>
            <w:tcW w:w="1474" w:type="dxa"/>
            <w:noWrap w:val="0"/>
            <w:vAlign w:val="center"/>
          </w:tcPr>
          <w:p w14:paraId="6A47B9FC">
            <w:pPr>
              <w:widowControl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lang w:eastAsia="zh-CN"/>
              </w:rPr>
              <w:t>名称</w:t>
            </w:r>
          </w:p>
        </w:tc>
        <w:tc>
          <w:tcPr>
            <w:tcW w:w="1129" w:type="dxa"/>
            <w:noWrap w:val="0"/>
            <w:vAlign w:val="center"/>
          </w:tcPr>
          <w:p w14:paraId="4FF0E5DA">
            <w:pPr>
              <w:widowControl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品牌</w:t>
            </w:r>
          </w:p>
        </w:tc>
        <w:tc>
          <w:tcPr>
            <w:tcW w:w="1287" w:type="dxa"/>
            <w:noWrap w:val="0"/>
            <w:vAlign w:val="center"/>
          </w:tcPr>
          <w:p w14:paraId="2BB40D0C">
            <w:pPr>
              <w:widowControl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规格</w:t>
            </w:r>
            <w:r>
              <w:rPr>
                <w:rFonts w:hint="eastAsia" w:ascii="仿宋" w:hAnsi="仿宋" w:eastAsia="仿宋" w:cs="仿宋"/>
                <w:color w:val="auto"/>
                <w:sz w:val="24"/>
                <w:szCs w:val="24"/>
                <w:lang w:val="zh-CN" w:eastAsia="zh-CN"/>
              </w:rPr>
              <w:t>型号</w:t>
            </w:r>
          </w:p>
        </w:tc>
        <w:tc>
          <w:tcPr>
            <w:tcW w:w="815" w:type="dxa"/>
            <w:noWrap w:val="0"/>
            <w:vAlign w:val="center"/>
          </w:tcPr>
          <w:p w14:paraId="62107AFC">
            <w:pPr>
              <w:widowControl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数量</w:t>
            </w:r>
          </w:p>
        </w:tc>
        <w:tc>
          <w:tcPr>
            <w:tcW w:w="1154" w:type="dxa"/>
            <w:noWrap w:val="0"/>
            <w:vAlign w:val="center"/>
          </w:tcPr>
          <w:p w14:paraId="3874D7E7">
            <w:pPr>
              <w:widowControl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单位</w:t>
            </w:r>
          </w:p>
        </w:tc>
        <w:tc>
          <w:tcPr>
            <w:tcW w:w="1373" w:type="dxa"/>
            <w:noWrap w:val="0"/>
            <w:vAlign w:val="center"/>
          </w:tcPr>
          <w:p w14:paraId="5D244932">
            <w:pPr>
              <w:widowControl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单价（元）</w:t>
            </w:r>
          </w:p>
        </w:tc>
        <w:tc>
          <w:tcPr>
            <w:tcW w:w="1702" w:type="dxa"/>
            <w:noWrap w:val="0"/>
            <w:vAlign w:val="center"/>
          </w:tcPr>
          <w:p w14:paraId="6AF5A3AA">
            <w:pPr>
              <w:widowControl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小计</w:t>
            </w:r>
            <w:r>
              <w:rPr>
                <w:rFonts w:hint="eastAsia" w:ascii="仿宋" w:hAnsi="仿宋" w:eastAsia="仿宋" w:cs="仿宋"/>
                <w:color w:val="auto"/>
                <w:sz w:val="24"/>
                <w:szCs w:val="24"/>
                <w:lang w:eastAsia="zh-CN"/>
              </w:rPr>
              <w:t>（元）</w:t>
            </w:r>
          </w:p>
        </w:tc>
      </w:tr>
      <w:tr w14:paraId="64CE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6" w:hRule="atLeast"/>
        </w:trPr>
        <w:tc>
          <w:tcPr>
            <w:tcW w:w="699" w:type="dxa"/>
            <w:noWrap w:val="0"/>
            <w:vAlign w:val="center"/>
          </w:tcPr>
          <w:p w14:paraId="66776CD0">
            <w:pPr>
              <w:widowControl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4" w:type="dxa"/>
            <w:noWrap w:val="0"/>
            <w:vAlign w:val="center"/>
          </w:tcPr>
          <w:p w14:paraId="3CAB5F92">
            <w:pPr>
              <w:widowControl w:val="0"/>
              <w:spacing w:line="440" w:lineRule="exact"/>
              <w:jc w:val="center"/>
              <w:rPr>
                <w:rFonts w:hint="eastAsia" w:ascii="仿宋" w:hAnsi="仿宋" w:eastAsia="仿宋" w:cs="仿宋"/>
                <w:color w:val="auto"/>
                <w:sz w:val="24"/>
                <w:szCs w:val="24"/>
                <w:lang w:eastAsia="zh-CN"/>
              </w:rPr>
            </w:pPr>
          </w:p>
        </w:tc>
        <w:tc>
          <w:tcPr>
            <w:tcW w:w="1129" w:type="dxa"/>
            <w:noWrap w:val="0"/>
            <w:vAlign w:val="center"/>
          </w:tcPr>
          <w:p w14:paraId="7B7B477C">
            <w:pPr>
              <w:widowControl w:val="0"/>
              <w:spacing w:line="440" w:lineRule="exact"/>
              <w:jc w:val="center"/>
              <w:rPr>
                <w:rFonts w:hint="eastAsia" w:ascii="仿宋" w:hAnsi="仿宋" w:eastAsia="仿宋" w:cs="仿宋"/>
                <w:color w:val="auto"/>
                <w:sz w:val="24"/>
                <w:szCs w:val="24"/>
                <w:lang w:val="en-US" w:eastAsia="zh-CN"/>
              </w:rPr>
            </w:pPr>
          </w:p>
        </w:tc>
        <w:tc>
          <w:tcPr>
            <w:tcW w:w="1287" w:type="dxa"/>
            <w:noWrap w:val="0"/>
            <w:vAlign w:val="center"/>
          </w:tcPr>
          <w:p w14:paraId="74348A3C">
            <w:pPr>
              <w:widowControl w:val="0"/>
              <w:spacing w:line="440" w:lineRule="exact"/>
              <w:jc w:val="center"/>
              <w:rPr>
                <w:rFonts w:hint="eastAsia" w:ascii="仿宋" w:hAnsi="仿宋" w:eastAsia="仿宋" w:cs="仿宋"/>
                <w:color w:val="auto"/>
                <w:sz w:val="24"/>
                <w:szCs w:val="24"/>
                <w:lang w:eastAsia="zh-CN"/>
              </w:rPr>
            </w:pPr>
          </w:p>
        </w:tc>
        <w:tc>
          <w:tcPr>
            <w:tcW w:w="815" w:type="dxa"/>
            <w:noWrap w:val="0"/>
            <w:vAlign w:val="center"/>
          </w:tcPr>
          <w:p w14:paraId="27A97EE7">
            <w:pPr>
              <w:widowControl w:val="0"/>
              <w:spacing w:line="440" w:lineRule="exact"/>
              <w:jc w:val="center"/>
              <w:rPr>
                <w:rFonts w:hint="eastAsia" w:ascii="仿宋" w:hAnsi="仿宋" w:eastAsia="仿宋" w:cs="仿宋"/>
                <w:color w:val="auto"/>
                <w:sz w:val="24"/>
                <w:szCs w:val="24"/>
                <w:lang w:eastAsia="zh-CN"/>
              </w:rPr>
            </w:pPr>
          </w:p>
        </w:tc>
        <w:tc>
          <w:tcPr>
            <w:tcW w:w="1154" w:type="dxa"/>
            <w:noWrap w:val="0"/>
            <w:vAlign w:val="center"/>
          </w:tcPr>
          <w:p w14:paraId="75A168D7">
            <w:pPr>
              <w:widowControl w:val="0"/>
              <w:spacing w:line="440" w:lineRule="exact"/>
              <w:jc w:val="center"/>
              <w:rPr>
                <w:rFonts w:hint="eastAsia" w:ascii="仿宋" w:hAnsi="仿宋" w:eastAsia="仿宋" w:cs="仿宋"/>
                <w:color w:val="auto"/>
                <w:sz w:val="24"/>
                <w:szCs w:val="24"/>
                <w:lang w:eastAsia="zh-CN"/>
              </w:rPr>
            </w:pPr>
          </w:p>
        </w:tc>
        <w:tc>
          <w:tcPr>
            <w:tcW w:w="1373" w:type="dxa"/>
            <w:noWrap w:val="0"/>
            <w:vAlign w:val="center"/>
          </w:tcPr>
          <w:p w14:paraId="3D266E4E">
            <w:pPr>
              <w:widowControl w:val="0"/>
              <w:spacing w:line="440" w:lineRule="exact"/>
              <w:jc w:val="center"/>
              <w:rPr>
                <w:rFonts w:hint="eastAsia" w:ascii="仿宋" w:hAnsi="仿宋" w:eastAsia="仿宋" w:cs="仿宋"/>
                <w:color w:val="auto"/>
                <w:sz w:val="24"/>
                <w:szCs w:val="24"/>
                <w:lang w:eastAsia="zh-CN"/>
              </w:rPr>
            </w:pPr>
          </w:p>
        </w:tc>
        <w:tc>
          <w:tcPr>
            <w:tcW w:w="1702" w:type="dxa"/>
            <w:noWrap w:val="0"/>
            <w:vAlign w:val="center"/>
          </w:tcPr>
          <w:p w14:paraId="62DC5C6D">
            <w:pPr>
              <w:widowControl w:val="0"/>
              <w:spacing w:line="440" w:lineRule="exact"/>
              <w:jc w:val="center"/>
              <w:rPr>
                <w:rFonts w:hint="eastAsia" w:ascii="仿宋" w:hAnsi="仿宋" w:eastAsia="仿宋" w:cs="仿宋"/>
                <w:color w:val="auto"/>
                <w:sz w:val="24"/>
                <w:szCs w:val="24"/>
                <w:lang w:eastAsia="zh-CN"/>
              </w:rPr>
            </w:pPr>
          </w:p>
        </w:tc>
      </w:tr>
      <w:tr w14:paraId="18BA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6" w:hRule="atLeast"/>
        </w:trPr>
        <w:tc>
          <w:tcPr>
            <w:tcW w:w="699" w:type="dxa"/>
            <w:noWrap w:val="0"/>
            <w:vAlign w:val="center"/>
          </w:tcPr>
          <w:p w14:paraId="43EB061B">
            <w:pPr>
              <w:widowControl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4" w:type="dxa"/>
            <w:noWrap w:val="0"/>
            <w:vAlign w:val="center"/>
          </w:tcPr>
          <w:p w14:paraId="2FF0D454">
            <w:pPr>
              <w:widowControl w:val="0"/>
              <w:spacing w:line="440" w:lineRule="exact"/>
              <w:jc w:val="center"/>
              <w:rPr>
                <w:rFonts w:hint="eastAsia" w:ascii="仿宋" w:hAnsi="仿宋" w:eastAsia="仿宋" w:cs="仿宋"/>
                <w:color w:val="auto"/>
                <w:sz w:val="24"/>
                <w:szCs w:val="24"/>
                <w:lang w:eastAsia="zh-CN"/>
              </w:rPr>
            </w:pPr>
          </w:p>
        </w:tc>
        <w:tc>
          <w:tcPr>
            <w:tcW w:w="1129" w:type="dxa"/>
            <w:noWrap w:val="0"/>
            <w:vAlign w:val="center"/>
          </w:tcPr>
          <w:p w14:paraId="0D040823">
            <w:pPr>
              <w:widowControl w:val="0"/>
              <w:spacing w:line="440" w:lineRule="exact"/>
              <w:jc w:val="center"/>
              <w:rPr>
                <w:rFonts w:hint="eastAsia" w:ascii="仿宋" w:hAnsi="仿宋" w:eastAsia="仿宋" w:cs="仿宋"/>
                <w:color w:val="auto"/>
                <w:sz w:val="24"/>
                <w:szCs w:val="24"/>
                <w:lang w:val="en-US" w:eastAsia="zh-CN"/>
              </w:rPr>
            </w:pPr>
          </w:p>
        </w:tc>
        <w:tc>
          <w:tcPr>
            <w:tcW w:w="1287" w:type="dxa"/>
            <w:noWrap w:val="0"/>
            <w:vAlign w:val="center"/>
          </w:tcPr>
          <w:p w14:paraId="5F36E108">
            <w:pPr>
              <w:widowControl w:val="0"/>
              <w:spacing w:line="440" w:lineRule="exact"/>
              <w:jc w:val="center"/>
              <w:rPr>
                <w:rFonts w:hint="eastAsia" w:ascii="仿宋" w:hAnsi="仿宋" w:eastAsia="仿宋" w:cs="仿宋"/>
                <w:color w:val="auto"/>
                <w:sz w:val="24"/>
                <w:szCs w:val="24"/>
                <w:lang w:eastAsia="zh-CN"/>
              </w:rPr>
            </w:pPr>
          </w:p>
        </w:tc>
        <w:tc>
          <w:tcPr>
            <w:tcW w:w="815" w:type="dxa"/>
            <w:noWrap w:val="0"/>
            <w:vAlign w:val="center"/>
          </w:tcPr>
          <w:p w14:paraId="7B03D4B1">
            <w:pPr>
              <w:widowControl w:val="0"/>
              <w:spacing w:line="440" w:lineRule="exact"/>
              <w:jc w:val="center"/>
              <w:rPr>
                <w:rFonts w:hint="eastAsia" w:ascii="仿宋" w:hAnsi="仿宋" w:eastAsia="仿宋" w:cs="仿宋"/>
                <w:color w:val="auto"/>
                <w:sz w:val="24"/>
                <w:szCs w:val="24"/>
                <w:lang w:eastAsia="zh-CN"/>
              </w:rPr>
            </w:pPr>
          </w:p>
        </w:tc>
        <w:tc>
          <w:tcPr>
            <w:tcW w:w="1154" w:type="dxa"/>
            <w:noWrap w:val="0"/>
            <w:vAlign w:val="center"/>
          </w:tcPr>
          <w:p w14:paraId="164E732E">
            <w:pPr>
              <w:widowControl w:val="0"/>
              <w:spacing w:line="440" w:lineRule="exact"/>
              <w:jc w:val="center"/>
              <w:rPr>
                <w:rFonts w:hint="eastAsia" w:ascii="仿宋" w:hAnsi="仿宋" w:eastAsia="仿宋" w:cs="仿宋"/>
                <w:color w:val="auto"/>
                <w:sz w:val="24"/>
                <w:szCs w:val="24"/>
                <w:lang w:eastAsia="zh-CN"/>
              </w:rPr>
            </w:pPr>
          </w:p>
        </w:tc>
        <w:tc>
          <w:tcPr>
            <w:tcW w:w="1373" w:type="dxa"/>
            <w:noWrap w:val="0"/>
            <w:vAlign w:val="center"/>
          </w:tcPr>
          <w:p w14:paraId="500A9BEF">
            <w:pPr>
              <w:widowControl w:val="0"/>
              <w:spacing w:line="440" w:lineRule="exact"/>
              <w:jc w:val="center"/>
              <w:rPr>
                <w:rFonts w:hint="eastAsia" w:ascii="仿宋" w:hAnsi="仿宋" w:eastAsia="仿宋" w:cs="仿宋"/>
                <w:color w:val="auto"/>
                <w:sz w:val="24"/>
                <w:szCs w:val="24"/>
                <w:lang w:eastAsia="zh-CN"/>
              </w:rPr>
            </w:pPr>
          </w:p>
        </w:tc>
        <w:tc>
          <w:tcPr>
            <w:tcW w:w="1702" w:type="dxa"/>
            <w:noWrap w:val="0"/>
            <w:vAlign w:val="center"/>
          </w:tcPr>
          <w:p w14:paraId="23F01D6C">
            <w:pPr>
              <w:widowControl w:val="0"/>
              <w:spacing w:line="440" w:lineRule="exact"/>
              <w:jc w:val="center"/>
              <w:rPr>
                <w:rFonts w:hint="eastAsia" w:ascii="仿宋" w:hAnsi="仿宋" w:eastAsia="仿宋" w:cs="仿宋"/>
                <w:color w:val="auto"/>
                <w:sz w:val="24"/>
                <w:szCs w:val="24"/>
                <w:lang w:eastAsia="zh-CN"/>
              </w:rPr>
            </w:pPr>
          </w:p>
        </w:tc>
      </w:tr>
      <w:tr w14:paraId="677B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6" w:hRule="atLeast"/>
        </w:trPr>
        <w:tc>
          <w:tcPr>
            <w:tcW w:w="699" w:type="dxa"/>
            <w:noWrap w:val="0"/>
            <w:vAlign w:val="center"/>
          </w:tcPr>
          <w:p w14:paraId="289CE3FD">
            <w:pPr>
              <w:widowControl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474" w:type="dxa"/>
            <w:noWrap w:val="0"/>
            <w:vAlign w:val="center"/>
          </w:tcPr>
          <w:p w14:paraId="6BD0FC28">
            <w:pPr>
              <w:widowControl w:val="0"/>
              <w:spacing w:line="440" w:lineRule="exact"/>
              <w:jc w:val="center"/>
              <w:rPr>
                <w:rFonts w:hint="eastAsia" w:ascii="仿宋" w:hAnsi="仿宋" w:eastAsia="仿宋" w:cs="仿宋"/>
                <w:color w:val="auto"/>
                <w:sz w:val="24"/>
                <w:szCs w:val="24"/>
                <w:lang w:eastAsia="zh-CN"/>
              </w:rPr>
            </w:pPr>
          </w:p>
        </w:tc>
        <w:tc>
          <w:tcPr>
            <w:tcW w:w="1129" w:type="dxa"/>
            <w:noWrap w:val="0"/>
            <w:vAlign w:val="center"/>
          </w:tcPr>
          <w:p w14:paraId="2ACC9FA6">
            <w:pPr>
              <w:widowControl w:val="0"/>
              <w:spacing w:line="440" w:lineRule="exact"/>
              <w:jc w:val="center"/>
              <w:rPr>
                <w:rFonts w:hint="eastAsia" w:ascii="仿宋" w:hAnsi="仿宋" w:eastAsia="仿宋" w:cs="仿宋"/>
                <w:color w:val="auto"/>
                <w:sz w:val="24"/>
                <w:szCs w:val="24"/>
                <w:lang w:val="en-US" w:eastAsia="zh-CN"/>
              </w:rPr>
            </w:pPr>
          </w:p>
        </w:tc>
        <w:tc>
          <w:tcPr>
            <w:tcW w:w="1287" w:type="dxa"/>
            <w:noWrap w:val="0"/>
            <w:vAlign w:val="center"/>
          </w:tcPr>
          <w:p w14:paraId="1E98CAA8">
            <w:pPr>
              <w:widowControl w:val="0"/>
              <w:spacing w:line="440" w:lineRule="exact"/>
              <w:jc w:val="center"/>
              <w:rPr>
                <w:rFonts w:hint="eastAsia" w:ascii="仿宋" w:hAnsi="仿宋" w:eastAsia="仿宋" w:cs="仿宋"/>
                <w:color w:val="auto"/>
                <w:sz w:val="24"/>
                <w:szCs w:val="24"/>
                <w:lang w:eastAsia="zh-CN"/>
              </w:rPr>
            </w:pPr>
          </w:p>
        </w:tc>
        <w:tc>
          <w:tcPr>
            <w:tcW w:w="815" w:type="dxa"/>
            <w:noWrap w:val="0"/>
            <w:vAlign w:val="center"/>
          </w:tcPr>
          <w:p w14:paraId="4B82760A">
            <w:pPr>
              <w:widowControl w:val="0"/>
              <w:spacing w:line="440" w:lineRule="exact"/>
              <w:jc w:val="center"/>
              <w:rPr>
                <w:rFonts w:hint="eastAsia" w:ascii="仿宋" w:hAnsi="仿宋" w:eastAsia="仿宋" w:cs="仿宋"/>
                <w:color w:val="auto"/>
                <w:sz w:val="24"/>
                <w:szCs w:val="24"/>
                <w:lang w:eastAsia="zh-CN"/>
              </w:rPr>
            </w:pPr>
          </w:p>
        </w:tc>
        <w:tc>
          <w:tcPr>
            <w:tcW w:w="1154" w:type="dxa"/>
            <w:noWrap w:val="0"/>
            <w:vAlign w:val="center"/>
          </w:tcPr>
          <w:p w14:paraId="6840DAA2">
            <w:pPr>
              <w:widowControl w:val="0"/>
              <w:spacing w:line="440" w:lineRule="exact"/>
              <w:jc w:val="center"/>
              <w:rPr>
                <w:rFonts w:hint="eastAsia" w:ascii="仿宋" w:hAnsi="仿宋" w:eastAsia="仿宋" w:cs="仿宋"/>
                <w:color w:val="auto"/>
                <w:sz w:val="24"/>
                <w:szCs w:val="24"/>
                <w:lang w:eastAsia="zh-CN"/>
              </w:rPr>
            </w:pPr>
          </w:p>
        </w:tc>
        <w:tc>
          <w:tcPr>
            <w:tcW w:w="1373" w:type="dxa"/>
            <w:noWrap w:val="0"/>
            <w:vAlign w:val="center"/>
          </w:tcPr>
          <w:p w14:paraId="5F195D11">
            <w:pPr>
              <w:widowControl w:val="0"/>
              <w:spacing w:line="440" w:lineRule="exact"/>
              <w:jc w:val="center"/>
              <w:rPr>
                <w:rFonts w:hint="eastAsia" w:ascii="仿宋" w:hAnsi="仿宋" w:eastAsia="仿宋" w:cs="仿宋"/>
                <w:color w:val="auto"/>
                <w:sz w:val="24"/>
                <w:szCs w:val="24"/>
                <w:lang w:eastAsia="zh-CN"/>
              </w:rPr>
            </w:pPr>
          </w:p>
        </w:tc>
        <w:tc>
          <w:tcPr>
            <w:tcW w:w="1702" w:type="dxa"/>
            <w:noWrap w:val="0"/>
            <w:vAlign w:val="center"/>
          </w:tcPr>
          <w:p w14:paraId="5272FB6A">
            <w:pPr>
              <w:widowControl w:val="0"/>
              <w:spacing w:line="440" w:lineRule="exact"/>
              <w:jc w:val="center"/>
              <w:rPr>
                <w:rFonts w:hint="eastAsia" w:ascii="仿宋" w:hAnsi="仿宋" w:eastAsia="仿宋" w:cs="仿宋"/>
                <w:color w:val="auto"/>
                <w:sz w:val="24"/>
                <w:szCs w:val="24"/>
                <w:lang w:eastAsia="zh-CN"/>
              </w:rPr>
            </w:pPr>
          </w:p>
        </w:tc>
      </w:tr>
      <w:tr w14:paraId="0BC6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6" w:hRule="atLeast"/>
        </w:trPr>
        <w:tc>
          <w:tcPr>
            <w:tcW w:w="699" w:type="dxa"/>
            <w:noWrap w:val="0"/>
            <w:vAlign w:val="center"/>
          </w:tcPr>
          <w:p w14:paraId="18BCCC13">
            <w:pPr>
              <w:widowControl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474" w:type="dxa"/>
            <w:noWrap w:val="0"/>
            <w:vAlign w:val="center"/>
          </w:tcPr>
          <w:p w14:paraId="5CECB027">
            <w:pPr>
              <w:widowControl w:val="0"/>
              <w:spacing w:line="440" w:lineRule="exact"/>
              <w:jc w:val="center"/>
              <w:rPr>
                <w:rFonts w:hint="eastAsia" w:ascii="仿宋" w:hAnsi="仿宋" w:eastAsia="仿宋" w:cs="仿宋"/>
                <w:color w:val="auto"/>
                <w:sz w:val="24"/>
                <w:szCs w:val="24"/>
                <w:lang w:eastAsia="zh-CN"/>
              </w:rPr>
            </w:pPr>
          </w:p>
        </w:tc>
        <w:tc>
          <w:tcPr>
            <w:tcW w:w="1129" w:type="dxa"/>
            <w:noWrap w:val="0"/>
            <w:vAlign w:val="center"/>
          </w:tcPr>
          <w:p w14:paraId="06E8E31A">
            <w:pPr>
              <w:widowControl w:val="0"/>
              <w:spacing w:line="440" w:lineRule="exact"/>
              <w:jc w:val="center"/>
              <w:rPr>
                <w:rFonts w:hint="eastAsia" w:ascii="仿宋" w:hAnsi="仿宋" w:eastAsia="仿宋" w:cs="仿宋"/>
                <w:color w:val="auto"/>
                <w:sz w:val="24"/>
                <w:szCs w:val="24"/>
                <w:lang w:val="en-US" w:eastAsia="zh-CN"/>
              </w:rPr>
            </w:pPr>
          </w:p>
        </w:tc>
        <w:tc>
          <w:tcPr>
            <w:tcW w:w="1287" w:type="dxa"/>
            <w:noWrap w:val="0"/>
            <w:vAlign w:val="center"/>
          </w:tcPr>
          <w:p w14:paraId="6C4A1F11">
            <w:pPr>
              <w:widowControl w:val="0"/>
              <w:spacing w:line="440" w:lineRule="exact"/>
              <w:jc w:val="center"/>
              <w:rPr>
                <w:rFonts w:hint="eastAsia" w:ascii="仿宋" w:hAnsi="仿宋" w:eastAsia="仿宋" w:cs="仿宋"/>
                <w:color w:val="auto"/>
                <w:sz w:val="24"/>
                <w:szCs w:val="24"/>
                <w:lang w:eastAsia="zh-CN"/>
              </w:rPr>
            </w:pPr>
          </w:p>
        </w:tc>
        <w:tc>
          <w:tcPr>
            <w:tcW w:w="815" w:type="dxa"/>
            <w:noWrap w:val="0"/>
            <w:vAlign w:val="center"/>
          </w:tcPr>
          <w:p w14:paraId="6DABCA17">
            <w:pPr>
              <w:widowControl w:val="0"/>
              <w:spacing w:line="440" w:lineRule="exact"/>
              <w:jc w:val="center"/>
              <w:rPr>
                <w:rFonts w:hint="eastAsia" w:ascii="仿宋" w:hAnsi="仿宋" w:eastAsia="仿宋" w:cs="仿宋"/>
                <w:color w:val="auto"/>
                <w:sz w:val="24"/>
                <w:szCs w:val="24"/>
                <w:lang w:eastAsia="zh-CN"/>
              </w:rPr>
            </w:pPr>
          </w:p>
        </w:tc>
        <w:tc>
          <w:tcPr>
            <w:tcW w:w="1154" w:type="dxa"/>
            <w:noWrap w:val="0"/>
            <w:vAlign w:val="center"/>
          </w:tcPr>
          <w:p w14:paraId="46EB9F77">
            <w:pPr>
              <w:widowControl w:val="0"/>
              <w:spacing w:line="440" w:lineRule="exact"/>
              <w:jc w:val="center"/>
              <w:rPr>
                <w:rFonts w:hint="eastAsia" w:ascii="仿宋" w:hAnsi="仿宋" w:eastAsia="仿宋" w:cs="仿宋"/>
                <w:color w:val="auto"/>
                <w:sz w:val="24"/>
                <w:szCs w:val="24"/>
                <w:lang w:eastAsia="zh-CN"/>
              </w:rPr>
            </w:pPr>
          </w:p>
        </w:tc>
        <w:tc>
          <w:tcPr>
            <w:tcW w:w="1373" w:type="dxa"/>
            <w:noWrap w:val="0"/>
            <w:vAlign w:val="center"/>
          </w:tcPr>
          <w:p w14:paraId="5DD58822">
            <w:pPr>
              <w:widowControl w:val="0"/>
              <w:spacing w:line="440" w:lineRule="exact"/>
              <w:jc w:val="center"/>
              <w:rPr>
                <w:rFonts w:hint="eastAsia" w:ascii="仿宋" w:hAnsi="仿宋" w:eastAsia="仿宋" w:cs="仿宋"/>
                <w:color w:val="auto"/>
                <w:sz w:val="24"/>
                <w:szCs w:val="24"/>
                <w:lang w:eastAsia="zh-CN"/>
              </w:rPr>
            </w:pPr>
          </w:p>
        </w:tc>
        <w:tc>
          <w:tcPr>
            <w:tcW w:w="1702" w:type="dxa"/>
            <w:noWrap w:val="0"/>
            <w:vAlign w:val="center"/>
          </w:tcPr>
          <w:p w14:paraId="75E9EBAD">
            <w:pPr>
              <w:widowControl w:val="0"/>
              <w:spacing w:line="440" w:lineRule="exact"/>
              <w:jc w:val="center"/>
              <w:rPr>
                <w:rFonts w:hint="eastAsia" w:ascii="仿宋" w:hAnsi="仿宋" w:eastAsia="仿宋" w:cs="仿宋"/>
                <w:color w:val="auto"/>
                <w:sz w:val="24"/>
                <w:szCs w:val="24"/>
                <w:lang w:eastAsia="zh-CN"/>
              </w:rPr>
            </w:pPr>
          </w:p>
        </w:tc>
      </w:tr>
      <w:tr w14:paraId="2FEF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6" w:hRule="atLeast"/>
        </w:trPr>
        <w:tc>
          <w:tcPr>
            <w:tcW w:w="699" w:type="dxa"/>
            <w:noWrap w:val="0"/>
            <w:vAlign w:val="center"/>
          </w:tcPr>
          <w:p w14:paraId="0B0678C3">
            <w:pPr>
              <w:widowControl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4" w:type="dxa"/>
            <w:noWrap w:val="0"/>
            <w:vAlign w:val="center"/>
          </w:tcPr>
          <w:p w14:paraId="187FCEF8">
            <w:pPr>
              <w:widowControl w:val="0"/>
              <w:spacing w:line="440" w:lineRule="exact"/>
              <w:jc w:val="center"/>
              <w:rPr>
                <w:rFonts w:hint="eastAsia" w:ascii="仿宋" w:hAnsi="仿宋" w:eastAsia="仿宋" w:cs="仿宋"/>
                <w:color w:val="auto"/>
                <w:sz w:val="24"/>
                <w:szCs w:val="24"/>
                <w:lang w:eastAsia="zh-CN"/>
              </w:rPr>
            </w:pPr>
          </w:p>
        </w:tc>
        <w:tc>
          <w:tcPr>
            <w:tcW w:w="1129" w:type="dxa"/>
            <w:noWrap w:val="0"/>
            <w:vAlign w:val="center"/>
          </w:tcPr>
          <w:p w14:paraId="302C4C91">
            <w:pPr>
              <w:widowControl w:val="0"/>
              <w:spacing w:line="440" w:lineRule="exact"/>
              <w:jc w:val="center"/>
              <w:rPr>
                <w:rFonts w:hint="eastAsia" w:ascii="仿宋" w:hAnsi="仿宋" w:eastAsia="仿宋" w:cs="仿宋"/>
                <w:color w:val="auto"/>
                <w:sz w:val="24"/>
                <w:szCs w:val="24"/>
                <w:lang w:val="en-US" w:eastAsia="zh-CN"/>
              </w:rPr>
            </w:pPr>
          </w:p>
        </w:tc>
        <w:tc>
          <w:tcPr>
            <w:tcW w:w="1287" w:type="dxa"/>
            <w:noWrap w:val="0"/>
            <w:vAlign w:val="center"/>
          </w:tcPr>
          <w:p w14:paraId="0CDA3DB9">
            <w:pPr>
              <w:widowControl w:val="0"/>
              <w:spacing w:line="440" w:lineRule="exact"/>
              <w:jc w:val="center"/>
              <w:rPr>
                <w:rFonts w:hint="eastAsia" w:ascii="仿宋" w:hAnsi="仿宋" w:eastAsia="仿宋" w:cs="仿宋"/>
                <w:color w:val="auto"/>
                <w:sz w:val="24"/>
                <w:szCs w:val="24"/>
                <w:lang w:eastAsia="zh-CN"/>
              </w:rPr>
            </w:pPr>
          </w:p>
        </w:tc>
        <w:tc>
          <w:tcPr>
            <w:tcW w:w="815" w:type="dxa"/>
            <w:noWrap w:val="0"/>
            <w:vAlign w:val="center"/>
          </w:tcPr>
          <w:p w14:paraId="04F567A7">
            <w:pPr>
              <w:widowControl w:val="0"/>
              <w:spacing w:line="440" w:lineRule="exact"/>
              <w:jc w:val="center"/>
              <w:rPr>
                <w:rFonts w:hint="eastAsia" w:ascii="仿宋" w:hAnsi="仿宋" w:eastAsia="仿宋" w:cs="仿宋"/>
                <w:color w:val="auto"/>
                <w:sz w:val="24"/>
                <w:szCs w:val="24"/>
                <w:lang w:eastAsia="zh-CN"/>
              </w:rPr>
            </w:pPr>
          </w:p>
        </w:tc>
        <w:tc>
          <w:tcPr>
            <w:tcW w:w="1154" w:type="dxa"/>
            <w:noWrap w:val="0"/>
            <w:vAlign w:val="center"/>
          </w:tcPr>
          <w:p w14:paraId="715C10F9">
            <w:pPr>
              <w:widowControl w:val="0"/>
              <w:spacing w:line="440" w:lineRule="exact"/>
              <w:jc w:val="center"/>
              <w:rPr>
                <w:rFonts w:hint="eastAsia" w:ascii="仿宋" w:hAnsi="仿宋" w:eastAsia="仿宋" w:cs="仿宋"/>
                <w:color w:val="auto"/>
                <w:sz w:val="24"/>
                <w:szCs w:val="24"/>
                <w:lang w:eastAsia="zh-CN"/>
              </w:rPr>
            </w:pPr>
          </w:p>
        </w:tc>
        <w:tc>
          <w:tcPr>
            <w:tcW w:w="1373" w:type="dxa"/>
            <w:noWrap w:val="0"/>
            <w:vAlign w:val="center"/>
          </w:tcPr>
          <w:p w14:paraId="668638A3">
            <w:pPr>
              <w:widowControl w:val="0"/>
              <w:spacing w:line="440" w:lineRule="exact"/>
              <w:jc w:val="center"/>
              <w:rPr>
                <w:rFonts w:hint="eastAsia" w:ascii="仿宋" w:hAnsi="仿宋" w:eastAsia="仿宋" w:cs="仿宋"/>
                <w:color w:val="auto"/>
                <w:sz w:val="24"/>
                <w:szCs w:val="24"/>
                <w:lang w:eastAsia="zh-CN"/>
              </w:rPr>
            </w:pPr>
          </w:p>
        </w:tc>
        <w:tc>
          <w:tcPr>
            <w:tcW w:w="1702" w:type="dxa"/>
            <w:noWrap w:val="0"/>
            <w:vAlign w:val="center"/>
          </w:tcPr>
          <w:p w14:paraId="2F886D78">
            <w:pPr>
              <w:widowControl w:val="0"/>
              <w:spacing w:line="440" w:lineRule="exact"/>
              <w:jc w:val="center"/>
              <w:rPr>
                <w:rFonts w:hint="eastAsia" w:ascii="仿宋" w:hAnsi="仿宋" w:eastAsia="仿宋" w:cs="仿宋"/>
                <w:color w:val="auto"/>
                <w:sz w:val="24"/>
                <w:szCs w:val="24"/>
                <w:lang w:eastAsia="zh-CN"/>
              </w:rPr>
            </w:pPr>
          </w:p>
        </w:tc>
      </w:tr>
      <w:tr w14:paraId="1AEB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732" w:hRule="atLeast"/>
        </w:trPr>
        <w:tc>
          <w:tcPr>
            <w:tcW w:w="699" w:type="dxa"/>
            <w:noWrap w:val="0"/>
            <w:vAlign w:val="center"/>
          </w:tcPr>
          <w:p w14:paraId="38A2AB04">
            <w:pPr>
              <w:widowControl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474" w:type="dxa"/>
            <w:noWrap w:val="0"/>
            <w:vAlign w:val="center"/>
          </w:tcPr>
          <w:p w14:paraId="084EF755">
            <w:pPr>
              <w:widowControl w:val="0"/>
              <w:spacing w:line="440" w:lineRule="exact"/>
              <w:jc w:val="center"/>
              <w:rPr>
                <w:rFonts w:hint="eastAsia" w:ascii="仿宋" w:hAnsi="仿宋" w:eastAsia="仿宋" w:cs="仿宋"/>
                <w:color w:val="auto"/>
                <w:sz w:val="24"/>
                <w:szCs w:val="24"/>
                <w:lang w:eastAsia="zh-CN"/>
              </w:rPr>
            </w:pPr>
          </w:p>
        </w:tc>
        <w:tc>
          <w:tcPr>
            <w:tcW w:w="1129" w:type="dxa"/>
            <w:noWrap w:val="0"/>
            <w:vAlign w:val="center"/>
          </w:tcPr>
          <w:p w14:paraId="5AF1B645">
            <w:pPr>
              <w:widowControl w:val="0"/>
              <w:spacing w:line="440" w:lineRule="exact"/>
              <w:jc w:val="center"/>
              <w:rPr>
                <w:rFonts w:hint="eastAsia" w:ascii="仿宋" w:hAnsi="仿宋" w:eastAsia="仿宋" w:cs="仿宋"/>
                <w:color w:val="auto"/>
                <w:sz w:val="24"/>
                <w:szCs w:val="24"/>
                <w:lang w:val="en-US" w:eastAsia="zh-CN"/>
              </w:rPr>
            </w:pPr>
          </w:p>
        </w:tc>
        <w:tc>
          <w:tcPr>
            <w:tcW w:w="1287" w:type="dxa"/>
            <w:noWrap w:val="0"/>
            <w:vAlign w:val="center"/>
          </w:tcPr>
          <w:p w14:paraId="50F03B2C">
            <w:pPr>
              <w:widowControl w:val="0"/>
              <w:spacing w:line="440" w:lineRule="exact"/>
              <w:jc w:val="center"/>
              <w:rPr>
                <w:rFonts w:hint="eastAsia" w:ascii="仿宋" w:hAnsi="仿宋" w:eastAsia="仿宋" w:cs="仿宋"/>
                <w:color w:val="auto"/>
                <w:sz w:val="24"/>
                <w:szCs w:val="24"/>
                <w:lang w:eastAsia="zh-CN"/>
              </w:rPr>
            </w:pPr>
          </w:p>
        </w:tc>
        <w:tc>
          <w:tcPr>
            <w:tcW w:w="815" w:type="dxa"/>
            <w:noWrap w:val="0"/>
            <w:vAlign w:val="center"/>
          </w:tcPr>
          <w:p w14:paraId="30A99D8B">
            <w:pPr>
              <w:widowControl w:val="0"/>
              <w:spacing w:line="440" w:lineRule="exact"/>
              <w:jc w:val="center"/>
              <w:rPr>
                <w:rFonts w:hint="eastAsia" w:ascii="仿宋" w:hAnsi="仿宋" w:eastAsia="仿宋" w:cs="仿宋"/>
                <w:color w:val="auto"/>
                <w:sz w:val="24"/>
                <w:szCs w:val="24"/>
                <w:lang w:eastAsia="zh-CN"/>
              </w:rPr>
            </w:pPr>
          </w:p>
        </w:tc>
        <w:tc>
          <w:tcPr>
            <w:tcW w:w="1154" w:type="dxa"/>
            <w:noWrap w:val="0"/>
            <w:vAlign w:val="center"/>
          </w:tcPr>
          <w:p w14:paraId="7E4DF013">
            <w:pPr>
              <w:widowControl w:val="0"/>
              <w:spacing w:line="440" w:lineRule="exact"/>
              <w:jc w:val="center"/>
              <w:rPr>
                <w:rFonts w:hint="eastAsia" w:ascii="仿宋" w:hAnsi="仿宋" w:eastAsia="仿宋" w:cs="仿宋"/>
                <w:color w:val="auto"/>
                <w:sz w:val="24"/>
                <w:szCs w:val="24"/>
                <w:lang w:eastAsia="zh-CN"/>
              </w:rPr>
            </w:pPr>
          </w:p>
        </w:tc>
        <w:tc>
          <w:tcPr>
            <w:tcW w:w="1373" w:type="dxa"/>
            <w:noWrap w:val="0"/>
            <w:vAlign w:val="center"/>
          </w:tcPr>
          <w:p w14:paraId="7B8A9918">
            <w:pPr>
              <w:widowControl w:val="0"/>
              <w:spacing w:line="440" w:lineRule="exact"/>
              <w:jc w:val="center"/>
              <w:rPr>
                <w:rFonts w:hint="eastAsia" w:ascii="仿宋" w:hAnsi="仿宋" w:eastAsia="仿宋" w:cs="仿宋"/>
                <w:color w:val="auto"/>
                <w:sz w:val="24"/>
                <w:szCs w:val="24"/>
                <w:lang w:eastAsia="zh-CN"/>
              </w:rPr>
            </w:pPr>
          </w:p>
        </w:tc>
        <w:tc>
          <w:tcPr>
            <w:tcW w:w="1702" w:type="dxa"/>
            <w:noWrap w:val="0"/>
            <w:vAlign w:val="center"/>
          </w:tcPr>
          <w:p w14:paraId="70AF7262">
            <w:pPr>
              <w:widowControl w:val="0"/>
              <w:spacing w:line="440" w:lineRule="exact"/>
              <w:jc w:val="center"/>
              <w:rPr>
                <w:rFonts w:hint="eastAsia" w:ascii="仿宋" w:hAnsi="仿宋" w:eastAsia="仿宋" w:cs="仿宋"/>
                <w:color w:val="auto"/>
                <w:sz w:val="24"/>
                <w:szCs w:val="24"/>
                <w:lang w:eastAsia="zh-CN"/>
              </w:rPr>
            </w:pPr>
          </w:p>
        </w:tc>
      </w:tr>
      <w:tr w14:paraId="0408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73" w:type="dxa"/>
            <w:gridSpan w:val="2"/>
            <w:noWrap w:val="0"/>
            <w:vAlign w:val="center"/>
          </w:tcPr>
          <w:p w14:paraId="5E72DF1F">
            <w:pPr>
              <w:widowControl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总报价（元）</w:t>
            </w:r>
          </w:p>
        </w:tc>
        <w:tc>
          <w:tcPr>
            <w:tcW w:w="7464" w:type="dxa"/>
            <w:gridSpan w:val="7"/>
            <w:noWrap w:val="0"/>
            <w:vAlign w:val="center"/>
          </w:tcPr>
          <w:p w14:paraId="0F983261">
            <w:pPr>
              <w:widowControl w:val="0"/>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小写：</w:t>
            </w:r>
          </w:p>
          <w:p w14:paraId="6B2E0641">
            <w:pPr>
              <w:widowControl w:val="0"/>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大写：</w:t>
            </w:r>
          </w:p>
        </w:tc>
      </w:tr>
      <w:tr w14:paraId="2A58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37" w:type="dxa"/>
            <w:gridSpan w:val="9"/>
            <w:noWrap w:val="0"/>
            <w:vAlign w:val="center"/>
          </w:tcPr>
          <w:p w14:paraId="53AAABA4">
            <w:pPr>
              <w:widowControl w:val="0"/>
              <w:autoSpaceDE w:val="0"/>
              <w:autoSpaceDN w:val="0"/>
              <w:adjustRightIn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备注：含运输安装费及税金。</w:t>
            </w:r>
          </w:p>
        </w:tc>
      </w:tr>
    </w:tbl>
    <w:p w14:paraId="3B0E83B5">
      <w:pPr>
        <w:pStyle w:val="36"/>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highlight w:val="none"/>
          <w:lang w:val="zh-CN"/>
        </w:rPr>
      </w:pPr>
    </w:p>
    <w:p w14:paraId="5452789B">
      <w:pPr>
        <w:spacing w:line="440" w:lineRule="exact"/>
        <w:rPr>
          <w:rFonts w:hint="eastAsia" w:ascii="仿宋" w:hAnsi="仿宋" w:eastAsia="仿宋" w:cs="仿宋"/>
          <w:sz w:val="24"/>
          <w:szCs w:val="24"/>
          <w:highlight w:val="yellow"/>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val="en-US" w:eastAsia="zh-CN"/>
        </w:rPr>
        <w:t>投标报价应包括：货物本身价格、保险费用、包装费、运输 费用、二次搬运费、损耗、税金费用、检疫费、管理费、随产品资料费、自检费及验收合格前和质保期内发生的一切费用、应当提供的伴随服务/售后服务费用</w:t>
      </w:r>
    </w:p>
    <w:p w14:paraId="10FF1D06">
      <w:pPr>
        <w:spacing w:line="440" w:lineRule="exact"/>
        <w:ind w:firstLine="4108" w:firstLineChars="1712"/>
        <w:rPr>
          <w:rFonts w:hint="eastAsia" w:ascii="仿宋" w:hAnsi="仿宋" w:eastAsia="仿宋" w:cs="仿宋"/>
          <w:sz w:val="24"/>
          <w:szCs w:val="24"/>
          <w:highlight w:val="none"/>
        </w:rPr>
      </w:pPr>
    </w:p>
    <w:p w14:paraId="10208871">
      <w:pPr>
        <w:spacing w:line="440" w:lineRule="exact"/>
        <w:ind w:firstLine="4108" w:firstLineChars="1712"/>
        <w:rPr>
          <w:rFonts w:hint="eastAsia" w:ascii="仿宋" w:hAnsi="仿宋" w:eastAsia="仿宋" w:cs="仿宋"/>
          <w:sz w:val="24"/>
          <w:szCs w:val="24"/>
          <w:highlight w:val="none"/>
        </w:rPr>
      </w:pPr>
    </w:p>
    <w:p w14:paraId="156E3B46">
      <w:pPr>
        <w:spacing w:line="360" w:lineRule="auto"/>
        <w:rPr>
          <w:rFonts w:hint="eastAsia" w:ascii="仿宋" w:hAnsi="仿宋" w:eastAsia="仿宋" w:cs="仿宋"/>
          <w:sz w:val="24"/>
          <w:szCs w:val="24"/>
          <w:highlight w:val="none"/>
        </w:rPr>
      </w:pPr>
    </w:p>
    <w:p w14:paraId="73B4F387">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7DA9EB50">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60671D61">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3AF153EC">
      <w:pPr>
        <w:numPr>
          <w:ilvl w:val="0"/>
          <w:numId w:val="3"/>
        </w:numPr>
        <w:spacing w:before="100" w:beforeAutospacing="1" w:after="100" w:afterAutospacing="1" w:line="440" w:lineRule="exact"/>
        <w:jc w:val="center"/>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br w:type="page"/>
      </w:r>
    </w:p>
    <w:p w14:paraId="467C0261">
      <w:pPr>
        <w:widowControl/>
        <w:autoSpaceDE w:val="0"/>
        <w:autoSpaceDN w:val="0"/>
        <w:adjustRightInd w:val="0"/>
        <w:spacing w:line="440" w:lineRule="exact"/>
        <w:ind w:firstLine="630"/>
        <w:jc w:val="center"/>
        <w:rPr>
          <w:rFonts w:hint="eastAsia" w:ascii="仿宋" w:hAnsi="仿宋" w:eastAsia="仿宋" w:cs="仿宋"/>
          <w:b/>
          <w:bCs/>
          <w:kern w:val="1"/>
          <w:sz w:val="28"/>
          <w:szCs w:val="28"/>
          <w:highlight w:val="none"/>
        </w:rPr>
      </w:pPr>
      <w:r>
        <w:rPr>
          <w:rFonts w:hint="eastAsia" w:ascii="仿宋" w:hAnsi="仿宋" w:eastAsia="仿宋" w:cs="仿宋"/>
          <w:b/>
          <w:bCs/>
          <w:kern w:val="1"/>
          <w:sz w:val="28"/>
          <w:szCs w:val="28"/>
          <w:highlight w:val="none"/>
        </w:rPr>
        <w:t>四、联合投标协议书（本次不接受联合体投标）</w:t>
      </w:r>
    </w:p>
    <w:p w14:paraId="4AEA43B3">
      <w:pPr>
        <w:widowControl/>
        <w:autoSpaceDE w:val="0"/>
        <w:autoSpaceDN w:val="0"/>
        <w:adjustRightInd w:val="0"/>
        <w:spacing w:line="440" w:lineRule="exact"/>
        <w:ind w:firstLine="514"/>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甲方：</w:t>
      </w:r>
    </w:p>
    <w:p w14:paraId="53807E72">
      <w:pPr>
        <w:widowControl/>
        <w:autoSpaceDE w:val="0"/>
        <w:autoSpaceDN w:val="0"/>
        <w:adjustRightInd w:val="0"/>
        <w:spacing w:line="440" w:lineRule="exact"/>
        <w:ind w:firstLine="514"/>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乙方：</w:t>
      </w:r>
    </w:p>
    <w:p w14:paraId="6A8DBCB4">
      <w:pPr>
        <w:widowControl/>
        <w:autoSpaceDE w:val="0"/>
        <w:autoSpaceDN w:val="0"/>
        <w:adjustRightInd w:val="0"/>
        <w:spacing w:line="440" w:lineRule="exact"/>
        <w:ind w:firstLine="514"/>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（如果有的话，可按照甲、乙、丙、丁…序列增加）</w:t>
      </w:r>
    </w:p>
    <w:p w14:paraId="22742600">
      <w:pPr>
        <w:widowControl/>
        <w:autoSpaceDE w:val="0"/>
        <w:autoSpaceDN w:val="0"/>
        <w:adjustRightInd w:val="0"/>
        <w:spacing w:line="440" w:lineRule="exact"/>
        <w:ind w:firstLine="514"/>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 xml:space="preserve">联合体各方经协商，就响应 </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组织实施的编号为</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号的招标活动联合进行投标之事宜，达成如下协议：</w:t>
      </w:r>
    </w:p>
    <w:p w14:paraId="7EC88867">
      <w:pPr>
        <w:widowControl/>
        <w:autoSpaceDE w:val="0"/>
        <w:autoSpaceDN w:val="0"/>
        <w:adjustRightInd w:val="0"/>
        <w:spacing w:line="440" w:lineRule="exact"/>
        <w:ind w:firstLine="514"/>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 xml:space="preserve">一、联合体各方一致决定，以 </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 xml:space="preserve"> 为主办人进行投标，并按照招标文件的规定分别提交资格文件。</w:t>
      </w:r>
    </w:p>
    <w:p w14:paraId="7701E719">
      <w:pPr>
        <w:widowControl/>
        <w:autoSpaceDE w:val="0"/>
        <w:autoSpaceDN w:val="0"/>
        <w:adjustRightInd w:val="0"/>
        <w:spacing w:line="440" w:lineRule="exact"/>
        <w:ind w:firstLine="514"/>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二、在本次投标过程中，主办人的法定代表人或者授权代理人根据招标文件规定以及投标内容对</w:t>
      </w:r>
      <w:r>
        <w:rPr>
          <w:rStyle w:val="35"/>
          <w:rFonts w:hint="eastAsia" w:ascii="仿宋" w:hAnsi="仿宋" w:eastAsia="仿宋" w:cs="仿宋"/>
          <w:sz w:val="24"/>
          <w:szCs w:val="24"/>
          <w:highlight w:val="none"/>
          <w:lang w:eastAsia="zh-CN"/>
        </w:rPr>
        <w:t>招标人</w:t>
      </w:r>
      <w:r>
        <w:rPr>
          <w:rStyle w:val="35"/>
          <w:rFonts w:hint="eastAsia" w:ascii="仿宋" w:hAnsi="仿宋" w:eastAsia="仿宋" w:cs="仿宋"/>
          <w:sz w:val="24"/>
          <w:szCs w:val="24"/>
          <w:highlight w:val="none"/>
        </w:rPr>
        <w:t>所作的任何合法承诺，包括书面澄清以及响应等对联合体各方均有约束力。如果中标并签订合同，则联合体各方将共同履行对</w:t>
      </w:r>
      <w:r>
        <w:rPr>
          <w:rStyle w:val="35"/>
          <w:rFonts w:hint="eastAsia" w:ascii="仿宋" w:hAnsi="仿宋" w:eastAsia="仿宋" w:cs="仿宋"/>
          <w:sz w:val="24"/>
          <w:szCs w:val="24"/>
          <w:highlight w:val="none"/>
          <w:lang w:eastAsia="zh-CN"/>
        </w:rPr>
        <w:t>招标人</w:t>
      </w:r>
      <w:r>
        <w:rPr>
          <w:rStyle w:val="35"/>
          <w:rFonts w:hint="eastAsia" w:ascii="仿宋" w:hAnsi="仿宋" w:eastAsia="仿宋" w:cs="仿宋"/>
          <w:sz w:val="24"/>
          <w:szCs w:val="24"/>
          <w:highlight w:val="none"/>
        </w:rPr>
        <w:t>或者采购代理机构所负有的全部义务，并就采购合同约定的事项对</w:t>
      </w:r>
      <w:r>
        <w:rPr>
          <w:rStyle w:val="35"/>
          <w:rFonts w:hint="eastAsia" w:ascii="仿宋" w:hAnsi="仿宋" w:eastAsia="仿宋" w:cs="仿宋"/>
          <w:sz w:val="24"/>
          <w:szCs w:val="24"/>
          <w:highlight w:val="none"/>
          <w:lang w:eastAsia="zh-CN"/>
        </w:rPr>
        <w:t>招标人</w:t>
      </w:r>
      <w:r>
        <w:rPr>
          <w:rStyle w:val="35"/>
          <w:rFonts w:hint="eastAsia" w:ascii="仿宋" w:hAnsi="仿宋" w:eastAsia="仿宋" w:cs="仿宋"/>
          <w:sz w:val="24"/>
          <w:szCs w:val="24"/>
          <w:highlight w:val="none"/>
        </w:rPr>
        <w:t>承担连带责任。</w:t>
      </w:r>
    </w:p>
    <w:p w14:paraId="5660760D">
      <w:pPr>
        <w:widowControl/>
        <w:autoSpaceDE w:val="0"/>
        <w:autoSpaceDN w:val="0"/>
        <w:adjustRightInd w:val="0"/>
        <w:spacing w:line="440" w:lineRule="exact"/>
        <w:ind w:firstLine="514"/>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三、联合体各方保证对主办人为响应本次招标而提供的产品和服务提供全部质量保证以及售后服务支持。</w:t>
      </w:r>
    </w:p>
    <w:p w14:paraId="29C1D10C">
      <w:pPr>
        <w:widowControl/>
        <w:autoSpaceDE w:val="0"/>
        <w:autoSpaceDN w:val="0"/>
        <w:adjustRightInd w:val="0"/>
        <w:spacing w:line="440" w:lineRule="exact"/>
        <w:ind w:firstLine="514"/>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四、本次联合投标中，联合体各方承担的工作和义务：</w:t>
      </w:r>
    </w:p>
    <w:p w14:paraId="023AB832">
      <w:pPr>
        <w:widowControl/>
        <w:autoSpaceDE w:val="0"/>
        <w:autoSpaceDN w:val="0"/>
        <w:adjustRightInd w:val="0"/>
        <w:spacing w:line="440" w:lineRule="exact"/>
        <w:ind w:firstLine="514"/>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rPr>
        <w:t>甲方承担的工作和义务为：</w:t>
      </w:r>
    </w:p>
    <w:p w14:paraId="30ED06D3">
      <w:pPr>
        <w:widowControl/>
        <w:autoSpaceDE w:val="0"/>
        <w:autoSpaceDN w:val="0"/>
        <w:adjustRightInd w:val="0"/>
        <w:spacing w:line="440" w:lineRule="exact"/>
        <w:ind w:firstLine="514"/>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乙方承担的工作和义务为：</w:t>
      </w:r>
    </w:p>
    <w:p w14:paraId="7F6A52D8">
      <w:pPr>
        <w:widowControl/>
        <w:autoSpaceDE w:val="0"/>
        <w:autoSpaceDN w:val="0"/>
        <w:adjustRightInd w:val="0"/>
        <w:spacing w:line="440" w:lineRule="exact"/>
        <w:ind w:firstLine="514"/>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五、有关本次联合投标的其他事宜：</w:t>
      </w:r>
    </w:p>
    <w:p w14:paraId="59EDA7BB">
      <w:pPr>
        <w:widowControl/>
        <w:autoSpaceDE w:val="0"/>
        <w:autoSpaceDN w:val="0"/>
        <w:adjustRightInd w:val="0"/>
        <w:spacing w:line="440" w:lineRule="exact"/>
        <w:ind w:firstLine="514"/>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六、本协议提交</w:t>
      </w:r>
      <w:r>
        <w:rPr>
          <w:rStyle w:val="35"/>
          <w:rFonts w:hint="eastAsia" w:ascii="仿宋" w:hAnsi="仿宋" w:eastAsia="仿宋" w:cs="仿宋"/>
          <w:sz w:val="24"/>
          <w:szCs w:val="24"/>
          <w:highlight w:val="none"/>
          <w:lang w:eastAsia="zh-CN"/>
        </w:rPr>
        <w:t>招标人</w:t>
      </w:r>
      <w:r>
        <w:rPr>
          <w:rStyle w:val="35"/>
          <w:rFonts w:hint="eastAsia" w:ascii="仿宋" w:hAnsi="仿宋" w:eastAsia="仿宋" w:cs="仿宋"/>
          <w:sz w:val="24"/>
          <w:szCs w:val="24"/>
          <w:highlight w:val="none"/>
        </w:rPr>
        <w:t>或者采购代理机构后，联合体各方不得以任何形式对上述实质内容进行修改或者撤销。</w:t>
      </w:r>
    </w:p>
    <w:p w14:paraId="23B20AE3">
      <w:pPr>
        <w:widowControl/>
        <w:autoSpaceDE w:val="0"/>
        <w:autoSpaceDN w:val="0"/>
        <w:adjustRightInd w:val="0"/>
        <w:spacing w:line="440" w:lineRule="exact"/>
        <w:ind w:firstLine="514"/>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七、本协议共</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份，联合体各方各持一份，并作为投标文件的一部分。</w:t>
      </w:r>
    </w:p>
    <w:p w14:paraId="0E33847B">
      <w:pPr>
        <w:widowControl/>
        <w:autoSpaceDE w:val="0"/>
        <w:autoSpaceDN w:val="0"/>
        <w:adjustRightInd w:val="0"/>
        <w:spacing w:line="440" w:lineRule="exact"/>
        <w:ind w:firstLine="514"/>
        <w:rPr>
          <w:rFonts w:hint="eastAsia" w:ascii="仿宋" w:hAnsi="仿宋" w:eastAsia="仿宋" w:cs="仿宋"/>
          <w:kern w:val="1"/>
          <w:sz w:val="24"/>
          <w:szCs w:val="24"/>
          <w:highlight w:val="none"/>
        </w:rPr>
      </w:pPr>
    </w:p>
    <w:p w14:paraId="662445B8">
      <w:pPr>
        <w:widowControl/>
        <w:autoSpaceDE w:val="0"/>
        <w:autoSpaceDN w:val="0"/>
        <w:adjustRightInd w:val="0"/>
        <w:spacing w:line="440" w:lineRule="exact"/>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甲方单位：       （公章）                    乙方单位：       （公章）</w:t>
      </w:r>
    </w:p>
    <w:p w14:paraId="6E283E92">
      <w:pPr>
        <w:widowControl/>
        <w:autoSpaceDE w:val="0"/>
        <w:autoSpaceDN w:val="0"/>
        <w:adjustRightInd w:val="0"/>
        <w:spacing w:line="440" w:lineRule="exact"/>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法定代表人：     （签章）                    法定代表人：     （签章）</w:t>
      </w:r>
    </w:p>
    <w:p w14:paraId="522A8978">
      <w:pPr>
        <w:widowControl/>
        <w:autoSpaceDE w:val="0"/>
        <w:autoSpaceDN w:val="0"/>
        <w:adjustRightInd w:val="0"/>
        <w:spacing w:line="440" w:lineRule="exact"/>
        <w:ind w:firstLine="480"/>
        <w:rPr>
          <w:rFonts w:hint="eastAsia" w:ascii="仿宋" w:hAnsi="仿宋" w:eastAsia="仿宋" w:cs="仿宋"/>
          <w:kern w:val="1"/>
          <w:sz w:val="24"/>
          <w:szCs w:val="24"/>
          <w:highlight w:val="none"/>
        </w:rPr>
      </w:pPr>
    </w:p>
    <w:p w14:paraId="52DD3E9F">
      <w:pPr>
        <w:widowControl/>
        <w:autoSpaceDE w:val="0"/>
        <w:autoSpaceDN w:val="0"/>
        <w:adjustRightInd w:val="0"/>
        <w:spacing w:line="440" w:lineRule="exact"/>
        <w:ind w:firstLine="514"/>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日期：  年  月   日                          日期：  年  月   日</w:t>
      </w:r>
    </w:p>
    <w:p w14:paraId="1BA28DB7">
      <w:pPr>
        <w:spacing w:line="440" w:lineRule="exact"/>
        <w:rPr>
          <w:rFonts w:hint="eastAsia" w:ascii="仿宋" w:hAnsi="仿宋" w:eastAsia="仿宋" w:cs="仿宋"/>
          <w:sz w:val="24"/>
          <w:szCs w:val="24"/>
          <w:highlight w:val="none"/>
        </w:rPr>
      </w:pPr>
    </w:p>
    <w:p w14:paraId="3E86D33B">
      <w:pPr>
        <w:spacing w:before="100" w:beforeAutospacing="1" w:after="100" w:afterAutospacing="1" w:line="440" w:lineRule="exact"/>
        <w:jc w:val="left"/>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br w:type="page"/>
      </w:r>
    </w:p>
    <w:p w14:paraId="1C549949">
      <w:pPr>
        <w:widowControl/>
        <w:autoSpaceDE w:val="0"/>
        <w:autoSpaceDN w:val="0"/>
        <w:adjustRightInd w:val="0"/>
        <w:spacing w:line="440" w:lineRule="exact"/>
        <w:ind w:firstLine="630"/>
        <w:jc w:val="center"/>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eastAsia="zh-CN"/>
        </w:rPr>
        <w:t>五、</w:t>
      </w:r>
      <w:r>
        <w:rPr>
          <w:rFonts w:hint="eastAsia" w:ascii="仿宋" w:hAnsi="仿宋" w:eastAsia="仿宋" w:cs="仿宋"/>
          <w:b/>
          <w:bCs/>
          <w:kern w:val="1"/>
          <w:sz w:val="28"/>
          <w:szCs w:val="28"/>
          <w:highlight w:val="none"/>
        </w:rPr>
        <w:t>法定代表人身份证明</w:t>
      </w:r>
      <w:r>
        <w:rPr>
          <w:rFonts w:hint="eastAsia" w:ascii="仿宋" w:hAnsi="仿宋" w:eastAsia="仿宋" w:cs="仿宋"/>
          <w:b/>
          <w:bCs/>
          <w:kern w:val="1"/>
          <w:sz w:val="28"/>
          <w:szCs w:val="28"/>
          <w:highlight w:val="none"/>
          <w:lang w:val="en-US" w:eastAsia="zh-CN"/>
        </w:rPr>
        <w:t>书</w:t>
      </w:r>
    </w:p>
    <w:p w14:paraId="13651114">
      <w:pPr>
        <w:spacing w:line="440" w:lineRule="exact"/>
        <w:rPr>
          <w:rFonts w:hint="eastAsia" w:ascii="仿宋" w:hAnsi="仿宋" w:eastAsia="仿宋" w:cs="仿宋"/>
          <w:color w:val="auto"/>
          <w:sz w:val="20"/>
        </w:rPr>
      </w:pPr>
    </w:p>
    <w:p w14:paraId="205A6AC7">
      <w:pPr>
        <w:spacing w:line="440" w:lineRule="exact"/>
        <w:rPr>
          <w:rFonts w:hint="eastAsia" w:ascii="仿宋" w:hAnsi="仿宋" w:eastAsia="仿宋" w:cs="仿宋"/>
          <w:color w:val="auto"/>
          <w:sz w:val="24"/>
          <w:szCs w:val="24"/>
        </w:rPr>
      </w:pPr>
    </w:p>
    <w:p w14:paraId="7CED3FD1">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CD93FF1">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E7E9A5D">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14:paraId="6601E554">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7DBBDBAE">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20E388E6">
      <w:pPr>
        <w:spacing w:line="440" w:lineRule="exact"/>
        <w:rPr>
          <w:rFonts w:hint="eastAsia" w:ascii="仿宋" w:hAnsi="仿宋" w:eastAsia="仿宋" w:cs="仿宋"/>
          <w:color w:val="auto"/>
          <w:sz w:val="24"/>
          <w:szCs w:val="24"/>
        </w:rPr>
      </w:pPr>
    </w:p>
    <w:p w14:paraId="175836F3">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14:paraId="4B3C7FDF">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（供应商名称）的法定代表人。</w:t>
      </w:r>
    </w:p>
    <w:p w14:paraId="46A73EF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2C9DB283">
      <w:pPr>
        <w:spacing w:line="440" w:lineRule="exact"/>
        <w:rPr>
          <w:rFonts w:hint="eastAsia" w:ascii="仿宋" w:hAnsi="仿宋" w:eastAsia="仿宋" w:cs="仿宋"/>
          <w:color w:val="auto"/>
          <w:sz w:val="24"/>
          <w:szCs w:val="24"/>
        </w:rPr>
      </w:pPr>
    </w:p>
    <w:p w14:paraId="77508F56">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p w14:paraId="0F23CAA6">
      <w:pPr>
        <w:spacing w:line="440" w:lineRule="exact"/>
        <w:rPr>
          <w:rFonts w:hint="eastAsia" w:ascii="仿宋" w:hAnsi="仿宋" w:eastAsia="仿宋" w:cs="仿宋"/>
          <w:color w:val="auto"/>
          <w:sz w:val="24"/>
          <w:szCs w:val="24"/>
        </w:rPr>
      </w:pPr>
    </w:p>
    <w:p w14:paraId="4842358A">
      <w:pPr>
        <w:spacing w:line="440" w:lineRule="exact"/>
        <w:rPr>
          <w:rFonts w:hint="eastAsia" w:ascii="仿宋" w:hAnsi="仿宋" w:eastAsia="仿宋" w:cs="仿宋"/>
          <w:color w:val="auto"/>
          <w:sz w:val="24"/>
          <w:szCs w:val="24"/>
        </w:rPr>
      </w:pPr>
    </w:p>
    <w:p w14:paraId="763DF8EA">
      <w:pPr>
        <w:spacing w:line="440" w:lineRule="exact"/>
        <w:rPr>
          <w:rFonts w:hint="eastAsia" w:ascii="仿宋" w:hAnsi="仿宋" w:eastAsia="仿宋" w:cs="仿宋"/>
          <w:color w:val="auto"/>
          <w:sz w:val="24"/>
          <w:szCs w:val="24"/>
        </w:rPr>
      </w:pPr>
    </w:p>
    <w:p w14:paraId="00465A48">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注：1、法定代表人参加本次投标的应签署本文件并附本人身份证复印件；</w:t>
      </w:r>
    </w:p>
    <w:p w14:paraId="56794E91">
      <w:pPr>
        <w:spacing w:line="440" w:lineRule="exact"/>
        <w:rPr>
          <w:rFonts w:hint="eastAsia" w:ascii="仿宋" w:hAnsi="仿宋" w:eastAsia="仿宋" w:cs="仿宋"/>
          <w:color w:val="auto"/>
          <w:sz w:val="24"/>
          <w:szCs w:val="24"/>
        </w:rPr>
      </w:pPr>
      <w:r>
        <w:rPr>
          <w:rFonts w:hint="eastAsia" w:ascii="仿宋" w:hAnsi="仿宋" w:eastAsia="仿宋" w:cs="仿宋"/>
          <w:b/>
          <w:bCs/>
          <w:color w:val="auto"/>
          <w:szCs w:val="21"/>
        </w:rPr>
        <w:t>2、如法定代表人不参加本次投标，应签署《法定代表人授权委托书》。</w:t>
      </w:r>
    </w:p>
    <w:p w14:paraId="78DF67CA">
      <w:pPr>
        <w:spacing w:line="440" w:lineRule="exact"/>
        <w:rPr>
          <w:rFonts w:hint="eastAsia" w:ascii="仿宋" w:hAnsi="仿宋" w:eastAsia="仿宋" w:cs="仿宋"/>
          <w:color w:val="auto"/>
          <w:sz w:val="24"/>
          <w:szCs w:val="24"/>
        </w:rPr>
      </w:pPr>
    </w:p>
    <w:p w14:paraId="139B4132">
      <w:pPr>
        <w:spacing w:line="440" w:lineRule="exact"/>
        <w:rPr>
          <w:rFonts w:hint="eastAsia" w:ascii="仿宋" w:hAnsi="仿宋" w:eastAsia="仿宋" w:cs="仿宋"/>
          <w:color w:val="auto"/>
          <w:sz w:val="24"/>
          <w:szCs w:val="24"/>
        </w:rPr>
      </w:pPr>
    </w:p>
    <w:p w14:paraId="09F83EFC">
      <w:pPr>
        <w:spacing w:line="440" w:lineRule="exact"/>
        <w:rPr>
          <w:rFonts w:hint="eastAsia" w:ascii="仿宋" w:hAnsi="仿宋" w:eastAsia="仿宋" w:cs="仿宋"/>
          <w:color w:val="auto"/>
          <w:sz w:val="24"/>
          <w:szCs w:val="24"/>
        </w:rPr>
      </w:pPr>
    </w:p>
    <w:p w14:paraId="05ECF9DF">
      <w:pPr>
        <w:spacing w:line="440" w:lineRule="exact"/>
        <w:rPr>
          <w:rFonts w:hint="eastAsia" w:ascii="仿宋" w:hAnsi="仿宋" w:eastAsia="仿宋" w:cs="仿宋"/>
          <w:color w:val="auto"/>
          <w:sz w:val="24"/>
          <w:szCs w:val="24"/>
        </w:rPr>
      </w:pPr>
    </w:p>
    <w:p w14:paraId="3F0E170F">
      <w:pPr>
        <w:spacing w:line="440" w:lineRule="exact"/>
        <w:rPr>
          <w:rFonts w:hint="eastAsia" w:ascii="仿宋" w:hAnsi="仿宋" w:eastAsia="仿宋" w:cs="仿宋"/>
          <w:color w:val="auto"/>
          <w:sz w:val="24"/>
          <w:szCs w:val="24"/>
        </w:rPr>
      </w:pPr>
    </w:p>
    <w:p w14:paraId="1928182D">
      <w:pPr>
        <w:spacing w:line="44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（公章）</w:t>
      </w:r>
    </w:p>
    <w:p w14:paraId="6A56D66E">
      <w:pPr>
        <w:widowControl/>
        <w:autoSpaceDE w:val="0"/>
        <w:autoSpaceDN w:val="0"/>
        <w:adjustRightInd w:val="0"/>
        <w:spacing w:line="460" w:lineRule="exact"/>
        <w:jc w:val="right"/>
        <w:rPr>
          <w:rFonts w:hint="eastAsia" w:ascii="仿宋" w:hAnsi="仿宋" w:eastAsia="仿宋" w:cs="仿宋"/>
          <w:color w:val="auto"/>
          <w:kern w:val="1"/>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14:paraId="419F8214">
      <w:pPr>
        <w:widowControl/>
        <w:autoSpaceDE w:val="0"/>
        <w:autoSpaceDN w:val="0"/>
        <w:adjustRightInd w:val="0"/>
        <w:spacing w:line="460" w:lineRule="exact"/>
        <w:rPr>
          <w:rFonts w:hint="eastAsia" w:ascii="仿宋" w:hAnsi="仿宋" w:eastAsia="仿宋" w:cs="仿宋"/>
          <w:color w:val="auto"/>
          <w:kern w:val="1"/>
          <w:sz w:val="24"/>
          <w:szCs w:val="24"/>
        </w:rPr>
      </w:pPr>
    </w:p>
    <w:p w14:paraId="612DF008">
      <w:pPr>
        <w:spacing w:before="100" w:beforeAutospacing="1" w:after="100" w:afterAutospacing="1" w:line="440" w:lineRule="exact"/>
        <w:jc w:val="left"/>
        <w:rPr>
          <w:rFonts w:hint="eastAsia" w:ascii="仿宋" w:hAnsi="仿宋" w:eastAsia="仿宋" w:cs="仿宋"/>
          <w:kern w:val="1"/>
          <w:sz w:val="24"/>
          <w:szCs w:val="24"/>
          <w:highlight w:val="none"/>
        </w:rPr>
      </w:pPr>
    </w:p>
    <w:p w14:paraId="11610096">
      <w:pPr>
        <w:widowControl/>
        <w:autoSpaceDE w:val="0"/>
        <w:autoSpaceDN w:val="0"/>
        <w:adjustRightInd w:val="0"/>
        <w:spacing w:line="440" w:lineRule="exact"/>
        <w:jc w:val="center"/>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p>
    <w:p w14:paraId="66525783">
      <w:pPr>
        <w:widowControl/>
        <w:autoSpaceDE w:val="0"/>
        <w:autoSpaceDN w:val="0"/>
        <w:adjustRightInd w:val="0"/>
        <w:spacing w:line="440" w:lineRule="exact"/>
        <w:jc w:val="center"/>
        <w:rPr>
          <w:rFonts w:hint="eastAsia" w:ascii="仿宋" w:hAnsi="仿宋" w:eastAsia="仿宋" w:cs="仿宋"/>
          <w:b/>
          <w:bCs/>
          <w:kern w:val="1"/>
          <w:sz w:val="28"/>
          <w:szCs w:val="28"/>
          <w:highlight w:val="none"/>
        </w:rPr>
      </w:pPr>
      <w:r>
        <w:rPr>
          <w:rFonts w:hint="eastAsia" w:ascii="仿宋" w:hAnsi="仿宋" w:eastAsia="仿宋" w:cs="仿宋"/>
          <w:b/>
          <w:bCs/>
          <w:kern w:val="1"/>
          <w:sz w:val="28"/>
          <w:szCs w:val="28"/>
          <w:highlight w:val="none"/>
        </w:rPr>
        <w:t>法定代表人授权委托书</w:t>
      </w:r>
    </w:p>
    <w:p w14:paraId="3AAC4B51">
      <w:pPr>
        <w:widowControl/>
        <w:autoSpaceDE w:val="0"/>
        <w:autoSpaceDN w:val="0"/>
        <w:adjustRightInd w:val="0"/>
        <w:spacing w:line="440" w:lineRule="exact"/>
        <w:rPr>
          <w:rFonts w:hint="eastAsia" w:ascii="仿宋" w:hAnsi="仿宋" w:eastAsia="仿宋" w:cs="仿宋"/>
          <w:kern w:val="1"/>
          <w:sz w:val="24"/>
          <w:szCs w:val="24"/>
          <w:highlight w:val="none"/>
        </w:rPr>
      </w:pPr>
    </w:p>
    <w:p w14:paraId="6C71B441">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lang w:eastAsia="zh-CN"/>
        </w:rPr>
        <w:t>招标人</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w:t>
      </w:r>
    </w:p>
    <w:p w14:paraId="483E80AA">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我</w:t>
      </w:r>
      <w:r>
        <w:rPr>
          <w:rFonts w:hint="eastAsia" w:ascii="仿宋" w:hAnsi="仿宋" w:eastAsia="仿宋" w:cs="仿宋"/>
          <w:kern w:val="1"/>
          <w:sz w:val="24"/>
          <w:szCs w:val="24"/>
          <w:highlight w:val="none"/>
          <w:u w:val="single"/>
        </w:rPr>
        <w:t xml:space="preserve">   （姓名） </w:t>
      </w:r>
      <w:r>
        <w:rPr>
          <w:rStyle w:val="35"/>
          <w:rFonts w:hint="eastAsia" w:ascii="仿宋" w:hAnsi="仿宋" w:eastAsia="仿宋" w:cs="仿宋"/>
          <w:sz w:val="24"/>
          <w:szCs w:val="24"/>
          <w:highlight w:val="none"/>
        </w:rPr>
        <w:t>系</w:t>
      </w:r>
      <w:r>
        <w:rPr>
          <w:rFonts w:hint="eastAsia" w:ascii="仿宋" w:hAnsi="仿宋" w:eastAsia="仿宋" w:cs="仿宋"/>
          <w:kern w:val="1"/>
          <w:sz w:val="24"/>
          <w:szCs w:val="24"/>
          <w:highlight w:val="none"/>
          <w:u w:val="single"/>
        </w:rPr>
        <w:t xml:space="preserve">    （投标人名称）</w:t>
      </w:r>
      <w:r>
        <w:rPr>
          <w:rStyle w:val="35"/>
          <w:rFonts w:hint="eastAsia" w:ascii="仿宋" w:hAnsi="仿宋" w:eastAsia="仿宋" w:cs="仿宋"/>
          <w:sz w:val="24"/>
          <w:szCs w:val="24"/>
          <w:highlight w:val="none"/>
        </w:rPr>
        <w:t>法定代表人，现授权委托我公司的</w:t>
      </w:r>
      <w:r>
        <w:rPr>
          <w:rFonts w:hint="eastAsia" w:ascii="仿宋" w:hAnsi="仿宋" w:eastAsia="仿宋" w:cs="仿宋"/>
          <w:kern w:val="1"/>
          <w:sz w:val="24"/>
          <w:szCs w:val="24"/>
          <w:highlight w:val="none"/>
          <w:u w:val="single"/>
        </w:rPr>
        <w:t xml:space="preserve">  （姓名、职务或者职称）</w:t>
      </w:r>
      <w:r>
        <w:rPr>
          <w:rStyle w:val="35"/>
          <w:rFonts w:hint="eastAsia" w:ascii="仿宋" w:hAnsi="仿宋" w:eastAsia="仿宋" w:cs="仿宋"/>
          <w:sz w:val="24"/>
          <w:szCs w:val="24"/>
          <w:highlight w:val="none"/>
        </w:rPr>
        <w:t>为我公司本次</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项目的授权代表，代表我方办理本次投标、签约等相关事宜，签署全部有关的文件、协议、合同并具有法律效力。</w:t>
      </w:r>
    </w:p>
    <w:p w14:paraId="6BB40AFC">
      <w:pPr>
        <w:widowControl/>
        <w:autoSpaceDE w:val="0"/>
        <w:autoSpaceDN w:val="0"/>
        <w:adjustRightInd w:val="0"/>
        <w:spacing w:line="440" w:lineRule="exact"/>
        <w:ind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在我方未发出撤销授权委托书的书面通知以前，本授权委托书一直有效。被授权人签署的所有文件（在授权书有效期内签署的）不因授权撤销而失效。</w:t>
      </w:r>
    </w:p>
    <w:p w14:paraId="64F605F4">
      <w:pPr>
        <w:widowControl/>
        <w:autoSpaceDE w:val="0"/>
        <w:autoSpaceDN w:val="0"/>
        <w:adjustRightInd w:val="0"/>
        <w:spacing w:line="440" w:lineRule="exact"/>
        <w:ind w:firstLine="480"/>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被授权代表无权转让委托权。特此授权。</w:t>
      </w:r>
    </w:p>
    <w:p w14:paraId="24068B78">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5"/>
          <w:rFonts w:hint="eastAsia" w:ascii="仿宋" w:hAnsi="仿宋" w:eastAsia="仿宋" w:cs="仿宋"/>
          <w:sz w:val="24"/>
          <w:szCs w:val="24"/>
          <w:highlight w:val="none"/>
        </w:rPr>
        <w:t>本授权委托书于</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年</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月</w:t>
      </w:r>
      <w:r>
        <w:rPr>
          <w:rFonts w:hint="eastAsia" w:ascii="仿宋" w:hAnsi="仿宋" w:eastAsia="仿宋" w:cs="仿宋"/>
          <w:kern w:val="1"/>
          <w:sz w:val="24"/>
          <w:szCs w:val="24"/>
          <w:highlight w:val="none"/>
          <w:u w:val="single"/>
        </w:rPr>
        <w:t xml:space="preserve">        </w:t>
      </w:r>
      <w:r>
        <w:rPr>
          <w:rStyle w:val="35"/>
          <w:rFonts w:hint="eastAsia" w:ascii="仿宋" w:hAnsi="仿宋" w:eastAsia="仿宋" w:cs="仿宋"/>
          <w:sz w:val="24"/>
          <w:szCs w:val="24"/>
          <w:highlight w:val="none"/>
        </w:rPr>
        <w:t>日签字生效,特此声明。</w:t>
      </w:r>
    </w:p>
    <w:p w14:paraId="6F02BD9A">
      <w:pPr>
        <w:widowControl/>
        <w:autoSpaceDE w:val="0"/>
        <w:autoSpaceDN w:val="0"/>
        <w:adjustRightInd w:val="0"/>
        <w:spacing w:line="440" w:lineRule="exact"/>
        <w:rPr>
          <w:rFonts w:hint="eastAsia" w:ascii="仿宋" w:hAnsi="仿宋" w:eastAsia="仿宋" w:cs="仿宋"/>
          <w:kern w:val="1"/>
          <w:sz w:val="24"/>
          <w:szCs w:val="24"/>
          <w:highlight w:val="none"/>
        </w:rPr>
      </w:pPr>
    </w:p>
    <w:p w14:paraId="017B1577">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(附法人代表身份证以及被授权代表身份证复印件)</w:t>
      </w:r>
    </w:p>
    <w:p w14:paraId="038C6CBD">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0A058AE6">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14114008">
      <w:pPr>
        <w:widowControl/>
        <w:autoSpaceDE w:val="0"/>
        <w:autoSpaceDN w:val="0"/>
        <w:adjustRightInd w:val="0"/>
        <w:spacing w:line="440" w:lineRule="exact"/>
        <w:ind w:right="-481"/>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被授权代表姓名：             性 别：              年 龄：</w:t>
      </w:r>
    </w:p>
    <w:p w14:paraId="5CE253ED">
      <w:pPr>
        <w:widowControl/>
        <w:autoSpaceDE w:val="0"/>
        <w:autoSpaceDN w:val="0"/>
        <w:adjustRightInd w:val="0"/>
        <w:spacing w:line="440" w:lineRule="exact"/>
        <w:ind w:right="-481"/>
        <w:rPr>
          <w:rFonts w:hint="eastAsia" w:ascii="仿宋" w:hAnsi="仿宋" w:eastAsia="仿宋" w:cs="仿宋"/>
          <w:sz w:val="24"/>
          <w:szCs w:val="24"/>
          <w:highlight w:val="none"/>
        </w:rPr>
      </w:pPr>
      <w:r>
        <w:rPr>
          <w:rStyle w:val="35"/>
          <w:rFonts w:hint="eastAsia" w:ascii="仿宋" w:hAnsi="仿宋" w:eastAsia="仿宋" w:cs="仿宋"/>
          <w:sz w:val="24"/>
          <w:szCs w:val="24"/>
          <w:highlight w:val="none"/>
        </w:rPr>
        <w:t>单  位：                     部 门：              职 务：</w:t>
      </w:r>
    </w:p>
    <w:p w14:paraId="40250621">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50A0A5D2">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135F6F00">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7AF37C6C">
      <w:pPr>
        <w:spacing w:before="100" w:beforeAutospacing="1" w:after="100" w:afterAutospacing="1" w:line="440" w:lineRule="exact"/>
        <w:ind w:firstLine="4080" w:firstLineChars="17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34F260F7">
      <w:pPr>
        <w:spacing w:before="100" w:beforeAutospacing="1" w:after="100" w:afterAutospacing="1" w:line="440" w:lineRule="exact"/>
        <w:ind w:firstLine="4080" w:firstLineChars="1700"/>
        <w:jc w:val="left"/>
        <w:rPr>
          <w:rFonts w:hint="eastAsia" w:ascii="仿宋" w:hAnsi="仿宋" w:eastAsia="仿宋" w:cs="仿宋"/>
          <w:kern w:val="1"/>
          <w:sz w:val="24"/>
          <w:szCs w:val="24"/>
          <w:highlight w:val="none"/>
        </w:rPr>
      </w:pPr>
    </w:p>
    <w:p w14:paraId="3EC50785">
      <w:pPr>
        <w:spacing w:before="100" w:beforeAutospacing="1" w:after="100" w:afterAutospacing="1" w:line="440" w:lineRule="exact"/>
        <w:ind w:firstLine="4080" w:firstLineChars="1700"/>
        <w:jc w:val="left"/>
        <w:rPr>
          <w:rFonts w:hint="eastAsia" w:ascii="仿宋" w:hAnsi="仿宋" w:eastAsia="仿宋" w:cs="仿宋"/>
          <w:kern w:val="1"/>
          <w:sz w:val="24"/>
          <w:szCs w:val="24"/>
          <w:highlight w:val="none"/>
        </w:rPr>
      </w:pPr>
    </w:p>
    <w:p w14:paraId="45DE52FA">
      <w:pPr>
        <w:spacing w:before="100" w:beforeAutospacing="1" w:after="100" w:afterAutospacing="1" w:line="440" w:lineRule="exact"/>
        <w:ind w:firstLine="4080" w:firstLineChars="1700"/>
        <w:jc w:val="left"/>
        <w:rPr>
          <w:rFonts w:hint="eastAsia" w:ascii="仿宋" w:hAnsi="仿宋" w:eastAsia="仿宋" w:cs="仿宋"/>
          <w:kern w:val="1"/>
          <w:sz w:val="24"/>
          <w:szCs w:val="24"/>
          <w:highlight w:val="none"/>
        </w:rPr>
      </w:pPr>
    </w:p>
    <w:p w14:paraId="2A1D11CD">
      <w:pPr>
        <w:spacing w:before="100" w:beforeAutospacing="1" w:after="100" w:afterAutospacing="1" w:line="440" w:lineRule="exact"/>
        <w:ind w:firstLine="4080" w:firstLineChars="1700"/>
        <w:jc w:val="left"/>
        <w:rPr>
          <w:rFonts w:hint="eastAsia" w:ascii="仿宋" w:hAnsi="仿宋" w:eastAsia="仿宋" w:cs="仿宋"/>
          <w:kern w:val="1"/>
          <w:sz w:val="24"/>
          <w:szCs w:val="24"/>
          <w:highlight w:val="none"/>
        </w:rPr>
      </w:pPr>
    </w:p>
    <w:p w14:paraId="1FC66069">
      <w:pPr>
        <w:spacing w:before="100" w:beforeAutospacing="1" w:after="100" w:afterAutospacing="1" w:line="440" w:lineRule="exact"/>
        <w:ind w:firstLine="4080" w:firstLineChars="1700"/>
        <w:jc w:val="left"/>
        <w:rPr>
          <w:rFonts w:hint="eastAsia" w:ascii="仿宋" w:hAnsi="仿宋" w:eastAsia="仿宋" w:cs="仿宋"/>
          <w:kern w:val="1"/>
          <w:sz w:val="24"/>
          <w:szCs w:val="24"/>
          <w:highlight w:val="none"/>
        </w:rPr>
      </w:pPr>
    </w:p>
    <w:p w14:paraId="7BB7B935">
      <w:pPr>
        <w:spacing w:before="100" w:beforeAutospacing="1" w:after="100" w:afterAutospacing="1" w:line="440" w:lineRule="exact"/>
        <w:ind w:firstLine="4080" w:firstLineChars="1700"/>
        <w:jc w:val="left"/>
        <w:rPr>
          <w:rFonts w:hint="eastAsia" w:ascii="仿宋" w:hAnsi="仿宋" w:eastAsia="仿宋" w:cs="仿宋"/>
          <w:kern w:val="1"/>
          <w:sz w:val="24"/>
          <w:szCs w:val="24"/>
          <w:highlight w:val="none"/>
        </w:rPr>
      </w:pPr>
    </w:p>
    <w:p w14:paraId="3FE4EA9D">
      <w:pPr>
        <w:spacing w:afterLines="100" w:line="360" w:lineRule="auto"/>
        <w:jc w:val="center"/>
        <w:rPr>
          <w:rFonts w:hint="eastAsia" w:ascii="仿宋" w:hAnsi="仿宋" w:eastAsia="仿宋" w:cs="仿宋"/>
          <w:b/>
          <w:bCs/>
          <w:sz w:val="24"/>
          <w:szCs w:val="24"/>
          <w:highlight w:val="none"/>
        </w:rPr>
      </w:pPr>
      <w:r>
        <w:rPr>
          <w:rFonts w:hint="eastAsia" w:ascii="仿宋" w:hAnsi="仿宋" w:eastAsia="仿宋" w:cs="仿宋"/>
          <w:b/>
          <w:bCs/>
          <w:kern w:val="1"/>
          <w:sz w:val="28"/>
          <w:szCs w:val="28"/>
          <w:highlight w:val="none"/>
          <w:lang w:val="en-US" w:eastAsia="zh-CN"/>
        </w:rPr>
        <w:t>六</w:t>
      </w:r>
      <w:r>
        <w:rPr>
          <w:rFonts w:hint="eastAsia" w:ascii="仿宋" w:hAnsi="仿宋" w:eastAsia="仿宋" w:cs="仿宋"/>
          <w:b/>
          <w:bCs/>
          <w:kern w:val="1"/>
          <w:sz w:val="28"/>
          <w:szCs w:val="28"/>
          <w:highlight w:val="none"/>
        </w:rPr>
        <w:t>、</w:t>
      </w:r>
      <w:r>
        <w:rPr>
          <w:rFonts w:hint="eastAsia" w:ascii="仿宋" w:hAnsi="仿宋" w:eastAsia="仿宋" w:cs="仿宋"/>
          <w:b/>
          <w:bCs/>
          <w:sz w:val="28"/>
          <w:szCs w:val="28"/>
          <w:highlight w:val="none"/>
        </w:rPr>
        <w:t>投标人基本情况表（附营业执照等）</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23A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F97532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947" w:type="dxa"/>
            <w:gridSpan w:val="6"/>
            <w:vAlign w:val="center"/>
          </w:tcPr>
          <w:p w14:paraId="0C38E5F2">
            <w:pPr>
              <w:jc w:val="center"/>
              <w:rPr>
                <w:rFonts w:hint="eastAsia" w:ascii="仿宋" w:hAnsi="仿宋" w:eastAsia="仿宋" w:cs="仿宋"/>
                <w:sz w:val="24"/>
                <w:szCs w:val="24"/>
                <w:highlight w:val="none"/>
              </w:rPr>
            </w:pPr>
          </w:p>
        </w:tc>
      </w:tr>
      <w:tr w14:paraId="1831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D9569A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894" w:type="dxa"/>
            <w:gridSpan w:val="3"/>
            <w:vAlign w:val="center"/>
          </w:tcPr>
          <w:p w14:paraId="66E22DB6">
            <w:pPr>
              <w:jc w:val="center"/>
              <w:rPr>
                <w:rFonts w:hint="eastAsia" w:ascii="仿宋" w:hAnsi="仿宋" w:eastAsia="仿宋" w:cs="仿宋"/>
                <w:sz w:val="24"/>
                <w:szCs w:val="24"/>
                <w:highlight w:val="none"/>
              </w:rPr>
            </w:pPr>
          </w:p>
        </w:tc>
        <w:tc>
          <w:tcPr>
            <w:tcW w:w="1426" w:type="dxa"/>
            <w:vAlign w:val="center"/>
          </w:tcPr>
          <w:p w14:paraId="5A3CAA9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27" w:type="dxa"/>
            <w:gridSpan w:val="2"/>
            <w:vAlign w:val="center"/>
          </w:tcPr>
          <w:p w14:paraId="1F32BC99">
            <w:pPr>
              <w:jc w:val="center"/>
              <w:rPr>
                <w:rFonts w:hint="eastAsia" w:ascii="仿宋" w:hAnsi="仿宋" w:eastAsia="仿宋" w:cs="仿宋"/>
                <w:sz w:val="24"/>
                <w:szCs w:val="24"/>
                <w:highlight w:val="none"/>
              </w:rPr>
            </w:pPr>
          </w:p>
        </w:tc>
      </w:tr>
      <w:tr w14:paraId="710A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2E417DB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350" w:type="dxa"/>
            <w:vAlign w:val="center"/>
          </w:tcPr>
          <w:p w14:paraId="7D2618F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544" w:type="dxa"/>
            <w:gridSpan w:val="2"/>
            <w:vAlign w:val="center"/>
          </w:tcPr>
          <w:p w14:paraId="0A00C340">
            <w:pPr>
              <w:jc w:val="center"/>
              <w:rPr>
                <w:rFonts w:hint="eastAsia" w:ascii="仿宋" w:hAnsi="仿宋" w:eastAsia="仿宋" w:cs="仿宋"/>
                <w:sz w:val="24"/>
                <w:szCs w:val="24"/>
                <w:highlight w:val="none"/>
              </w:rPr>
            </w:pPr>
          </w:p>
        </w:tc>
        <w:tc>
          <w:tcPr>
            <w:tcW w:w="1426" w:type="dxa"/>
            <w:vAlign w:val="center"/>
          </w:tcPr>
          <w:p w14:paraId="01ABF0B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p>
        </w:tc>
        <w:tc>
          <w:tcPr>
            <w:tcW w:w="2627" w:type="dxa"/>
            <w:gridSpan w:val="2"/>
            <w:vAlign w:val="center"/>
          </w:tcPr>
          <w:p w14:paraId="59F7DD96">
            <w:pPr>
              <w:jc w:val="center"/>
              <w:rPr>
                <w:rFonts w:hint="eastAsia" w:ascii="仿宋" w:hAnsi="仿宋" w:eastAsia="仿宋" w:cs="仿宋"/>
                <w:sz w:val="24"/>
                <w:szCs w:val="24"/>
                <w:highlight w:val="none"/>
              </w:rPr>
            </w:pPr>
          </w:p>
        </w:tc>
      </w:tr>
      <w:tr w14:paraId="70BC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15F11ED6">
            <w:pPr>
              <w:jc w:val="center"/>
              <w:rPr>
                <w:rFonts w:hint="eastAsia" w:ascii="仿宋" w:hAnsi="仿宋" w:eastAsia="仿宋" w:cs="仿宋"/>
                <w:sz w:val="24"/>
                <w:szCs w:val="24"/>
                <w:highlight w:val="none"/>
              </w:rPr>
            </w:pPr>
          </w:p>
        </w:tc>
        <w:tc>
          <w:tcPr>
            <w:tcW w:w="1350" w:type="dxa"/>
            <w:vAlign w:val="center"/>
          </w:tcPr>
          <w:p w14:paraId="290091A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p>
        </w:tc>
        <w:tc>
          <w:tcPr>
            <w:tcW w:w="2544" w:type="dxa"/>
            <w:gridSpan w:val="2"/>
            <w:vAlign w:val="center"/>
          </w:tcPr>
          <w:p w14:paraId="6874A159">
            <w:pPr>
              <w:jc w:val="center"/>
              <w:rPr>
                <w:rFonts w:hint="eastAsia" w:ascii="仿宋" w:hAnsi="仿宋" w:eastAsia="仿宋" w:cs="仿宋"/>
                <w:sz w:val="24"/>
                <w:szCs w:val="24"/>
                <w:highlight w:val="none"/>
              </w:rPr>
            </w:pPr>
          </w:p>
        </w:tc>
        <w:tc>
          <w:tcPr>
            <w:tcW w:w="1426" w:type="dxa"/>
            <w:vAlign w:val="center"/>
          </w:tcPr>
          <w:p w14:paraId="4BC09E2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网  址</w:t>
            </w:r>
          </w:p>
        </w:tc>
        <w:tc>
          <w:tcPr>
            <w:tcW w:w="2627" w:type="dxa"/>
            <w:gridSpan w:val="2"/>
            <w:vAlign w:val="center"/>
          </w:tcPr>
          <w:p w14:paraId="730E1BCD">
            <w:pPr>
              <w:jc w:val="center"/>
              <w:rPr>
                <w:rFonts w:hint="eastAsia" w:ascii="仿宋" w:hAnsi="仿宋" w:eastAsia="仿宋" w:cs="仿宋"/>
                <w:sz w:val="24"/>
                <w:szCs w:val="24"/>
                <w:highlight w:val="none"/>
              </w:rPr>
            </w:pPr>
          </w:p>
        </w:tc>
      </w:tr>
      <w:tr w14:paraId="23E4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466FD8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350" w:type="dxa"/>
            <w:vAlign w:val="center"/>
          </w:tcPr>
          <w:p w14:paraId="26F2D00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1138" w:type="dxa"/>
            <w:vAlign w:val="center"/>
          </w:tcPr>
          <w:p w14:paraId="7EBF04D7">
            <w:pPr>
              <w:jc w:val="center"/>
              <w:rPr>
                <w:rFonts w:hint="eastAsia" w:ascii="仿宋" w:hAnsi="仿宋" w:eastAsia="仿宋" w:cs="仿宋"/>
                <w:sz w:val="24"/>
                <w:szCs w:val="24"/>
                <w:highlight w:val="none"/>
              </w:rPr>
            </w:pPr>
          </w:p>
        </w:tc>
        <w:tc>
          <w:tcPr>
            <w:tcW w:w="1406" w:type="dxa"/>
            <w:vAlign w:val="center"/>
          </w:tcPr>
          <w:p w14:paraId="0A03FCC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1426" w:type="dxa"/>
            <w:vAlign w:val="center"/>
          </w:tcPr>
          <w:p w14:paraId="1E9BB89D">
            <w:pPr>
              <w:jc w:val="center"/>
              <w:rPr>
                <w:rFonts w:hint="eastAsia" w:ascii="仿宋" w:hAnsi="仿宋" w:eastAsia="仿宋" w:cs="仿宋"/>
                <w:sz w:val="24"/>
                <w:szCs w:val="24"/>
                <w:highlight w:val="none"/>
              </w:rPr>
            </w:pPr>
          </w:p>
        </w:tc>
        <w:tc>
          <w:tcPr>
            <w:tcW w:w="1059" w:type="dxa"/>
            <w:vAlign w:val="center"/>
          </w:tcPr>
          <w:p w14:paraId="05D28CA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1568" w:type="dxa"/>
            <w:vAlign w:val="center"/>
          </w:tcPr>
          <w:p w14:paraId="286D7ECF">
            <w:pPr>
              <w:jc w:val="center"/>
              <w:rPr>
                <w:rFonts w:hint="eastAsia" w:ascii="仿宋" w:hAnsi="仿宋" w:eastAsia="仿宋" w:cs="仿宋"/>
                <w:sz w:val="24"/>
                <w:szCs w:val="24"/>
                <w:highlight w:val="none"/>
              </w:rPr>
            </w:pPr>
          </w:p>
        </w:tc>
      </w:tr>
      <w:tr w14:paraId="7D3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3FB12E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7947" w:type="dxa"/>
            <w:gridSpan w:val="6"/>
            <w:vAlign w:val="center"/>
          </w:tcPr>
          <w:p w14:paraId="33FDCCC8">
            <w:pPr>
              <w:jc w:val="center"/>
              <w:rPr>
                <w:rFonts w:hint="eastAsia" w:ascii="仿宋" w:hAnsi="仿宋" w:eastAsia="仿宋" w:cs="仿宋"/>
                <w:sz w:val="24"/>
                <w:szCs w:val="24"/>
                <w:highlight w:val="none"/>
              </w:rPr>
            </w:pPr>
          </w:p>
        </w:tc>
      </w:tr>
      <w:tr w14:paraId="2949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B14F37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488" w:type="dxa"/>
            <w:gridSpan w:val="2"/>
            <w:vAlign w:val="center"/>
          </w:tcPr>
          <w:p w14:paraId="386AD121">
            <w:pPr>
              <w:jc w:val="center"/>
              <w:rPr>
                <w:rFonts w:hint="eastAsia" w:ascii="仿宋" w:hAnsi="仿宋" w:eastAsia="仿宋" w:cs="仿宋"/>
                <w:sz w:val="24"/>
                <w:szCs w:val="24"/>
                <w:highlight w:val="none"/>
              </w:rPr>
            </w:pPr>
          </w:p>
        </w:tc>
        <w:tc>
          <w:tcPr>
            <w:tcW w:w="1406" w:type="dxa"/>
            <w:vMerge w:val="restart"/>
            <w:vAlign w:val="center"/>
          </w:tcPr>
          <w:p w14:paraId="06C6C7A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企业人员</w:t>
            </w:r>
          </w:p>
        </w:tc>
        <w:tc>
          <w:tcPr>
            <w:tcW w:w="1426" w:type="dxa"/>
            <w:vAlign w:val="center"/>
          </w:tcPr>
          <w:p w14:paraId="6528F5FC">
            <w:pPr>
              <w:jc w:val="center"/>
              <w:rPr>
                <w:rFonts w:hint="eastAsia" w:ascii="仿宋" w:hAnsi="仿宋" w:eastAsia="仿宋" w:cs="仿宋"/>
                <w:sz w:val="24"/>
                <w:szCs w:val="24"/>
                <w:highlight w:val="none"/>
              </w:rPr>
            </w:pPr>
          </w:p>
        </w:tc>
        <w:tc>
          <w:tcPr>
            <w:tcW w:w="2627" w:type="dxa"/>
            <w:gridSpan w:val="2"/>
            <w:vAlign w:val="center"/>
          </w:tcPr>
          <w:p w14:paraId="149BFD9C">
            <w:pPr>
              <w:jc w:val="center"/>
              <w:rPr>
                <w:rFonts w:hint="eastAsia" w:ascii="仿宋" w:hAnsi="仿宋" w:eastAsia="仿宋" w:cs="仿宋"/>
                <w:sz w:val="24"/>
                <w:szCs w:val="24"/>
                <w:highlight w:val="none"/>
              </w:rPr>
            </w:pPr>
          </w:p>
        </w:tc>
      </w:tr>
      <w:tr w14:paraId="0355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564A80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488" w:type="dxa"/>
            <w:gridSpan w:val="2"/>
            <w:vAlign w:val="center"/>
          </w:tcPr>
          <w:p w14:paraId="29981A44">
            <w:pPr>
              <w:jc w:val="center"/>
              <w:rPr>
                <w:rFonts w:hint="eastAsia" w:ascii="仿宋" w:hAnsi="仿宋" w:eastAsia="仿宋" w:cs="仿宋"/>
                <w:sz w:val="24"/>
                <w:szCs w:val="24"/>
                <w:highlight w:val="none"/>
              </w:rPr>
            </w:pPr>
          </w:p>
        </w:tc>
        <w:tc>
          <w:tcPr>
            <w:tcW w:w="1406" w:type="dxa"/>
            <w:vMerge w:val="continue"/>
            <w:vAlign w:val="center"/>
          </w:tcPr>
          <w:p w14:paraId="47C93B76">
            <w:pPr>
              <w:jc w:val="center"/>
              <w:rPr>
                <w:rFonts w:hint="eastAsia" w:ascii="仿宋" w:hAnsi="仿宋" w:eastAsia="仿宋" w:cs="仿宋"/>
                <w:sz w:val="24"/>
                <w:szCs w:val="24"/>
                <w:highlight w:val="none"/>
              </w:rPr>
            </w:pPr>
          </w:p>
        </w:tc>
        <w:tc>
          <w:tcPr>
            <w:tcW w:w="1426" w:type="dxa"/>
            <w:vAlign w:val="center"/>
          </w:tcPr>
          <w:p w14:paraId="527C1C73">
            <w:pPr>
              <w:jc w:val="center"/>
              <w:rPr>
                <w:rFonts w:hint="eastAsia" w:ascii="仿宋" w:hAnsi="仿宋" w:eastAsia="仿宋" w:cs="仿宋"/>
                <w:sz w:val="24"/>
                <w:szCs w:val="24"/>
                <w:highlight w:val="none"/>
              </w:rPr>
            </w:pPr>
          </w:p>
        </w:tc>
        <w:tc>
          <w:tcPr>
            <w:tcW w:w="2627" w:type="dxa"/>
            <w:gridSpan w:val="2"/>
            <w:vAlign w:val="center"/>
          </w:tcPr>
          <w:p w14:paraId="2F8977A8">
            <w:pPr>
              <w:jc w:val="center"/>
              <w:rPr>
                <w:rFonts w:hint="eastAsia" w:ascii="仿宋" w:hAnsi="仿宋" w:eastAsia="仿宋" w:cs="仿宋"/>
                <w:sz w:val="24"/>
                <w:szCs w:val="24"/>
                <w:highlight w:val="none"/>
              </w:rPr>
            </w:pPr>
          </w:p>
        </w:tc>
      </w:tr>
      <w:tr w14:paraId="5FC5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0F0640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2488" w:type="dxa"/>
            <w:gridSpan w:val="2"/>
            <w:vAlign w:val="center"/>
          </w:tcPr>
          <w:p w14:paraId="03A03247">
            <w:pPr>
              <w:jc w:val="center"/>
              <w:rPr>
                <w:rFonts w:hint="eastAsia" w:ascii="仿宋" w:hAnsi="仿宋" w:eastAsia="仿宋" w:cs="仿宋"/>
                <w:sz w:val="24"/>
                <w:szCs w:val="24"/>
                <w:highlight w:val="none"/>
              </w:rPr>
            </w:pPr>
          </w:p>
        </w:tc>
        <w:tc>
          <w:tcPr>
            <w:tcW w:w="1406" w:type="dxa"/>
            <w:vMerge w:val="continue"/>
            <w:vAlign w:val="center"/>
          </w:tcPr>
          <w:p w14:paraId="50EDC2A2">
            <w:pPr>
              <w:jc w:val="center"/>
              <w:rPr>
                <w:rFonts w:hint="eastAsia" w:ascii="仿宋" w:hAnsi="仿宋" w:eastAsia="仿宋" w:cs="仿宋"/>
                <w:sz w:val="24"/>
                <w:szCs w:val="24"/>
                <w:highlight w:val="none"/>
              </w:rPr>
            </w:pPr>
          </w:p>
        </w:tc>
        <w:tc>
          <w:tcPr>
            <w:tcW w:w="1426" w:type="dxa"/>
            <w:vAlign w:val="center"/>
          </w:tcPr>
          <w:p w14:paraId="661A0EEF">
            <w:pPr>
              <w:jc w:val="center"/>
              <w:rPr>
                <w:rFonts w:hint="eastAsia" w:ascii="仿宋" w:hAnsi="仿宋" w:eastAsia="仿宋" w:cs="仿宋"/>
                <w:sz w:val="24"/>
                <w:szCs w:val="24"/>
                <w:highlight w:val="none"/>
              </w:rPr>
            </w:pPr>
          </w:p>
        </w:tc>
        <w:tc>
          <w:tcPr>
            <w:tcW w:w="2627" w:type="dxa"/>
            <w:gridSpan w:val="2"/>
            <w:vAlign w:val="center"/>
          </w:tcPr>
          <w:p w14:paraId="2B2B14CF">
            <w:pPr>
              <w:jc w:val="center"/>
              <w:rPr>
                <w:rFonts w:hint="eastAsia" w:ascii="仿宋" w:hAnsi="仿宋" w:eastAsia="仿宋" w:cs="仿宋"/>
                <w:sz w:val="24"/>
                <w:szCs w:val="24"/>
                <w:highlight w:val="none"/>
              </w:rPr>
            </w:pPr>
          </w:p>
        </w:tc>
      </w:tr>
      <w:tr w14:paraId="40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79B21A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p>
        </w:tc>
        <w:tc>
          <w:tcPr>
            <w:tcW w:w="2488" w:type="dxa"/>
            <w:gridSpan w:val="2"/>
            <w:vAlign w:val="center"/>
          </w:tcPr>
          <w:p w14:paraId="0FA9069D">
            <w:pPr>
              <w:jc w:val="center"/>
              <w:rPr>
                <w:rFonts w:hint="eastAsia" w:ascii="仿宋" w:hAnsi="仿宋" w:eastAsia="仿宋" w:cs="仿宋"/>
                <w:sz w:val="24"/>
                <w:szCs w:val="24"/>
                <w:highlight w:val="none"/>
              </w:rPr>
            </w:pPr>
          </w:p>
        </w:tc>
        <w:tc>
          <w:tcPr>
            <w:tcW w:w="1406" w:type="dxa"/>
            <w:vMerge w:val="continue"/>
            <w:vAlign w:val="center"/>
          </w:tcPr>
          <w:p w14:paraId="5F0D2C78">
            <w:pPr>
              <w:jc w:val="center"/>
              <w:rPr>
                <w:rFonts w:hint="eastAsia" w:ascii="仿宋" w:hAnsi="仿宋" w:eastAsia="仿宋" w:cs="仿宋"/>
                <w:sz w:val="24"/>
                <w:szCs w:val="24"/>
                <w:highlight w:val="none"/>
              </w:rPr>
            </w:pPr>
          </w:p>
        </w:tc>
        <w:tc>
          <w:tcPr>
            <w:tcW w:w="1426" w:type="dxa"/>
            <w:vAlign w:val="center"/>
          </w:tcPr>
          <w:p w14:paraId="3037ABC5">
            <w:pPr>
              <w:jc w:val="center"/>
              <w:rPr>
                <w:rFonts w:hint="eastAsia" w:ascii="仿宋" w:hAnsi="仿宋" w:eastAsia="仿宋" w:cs="仿宋"/>
                <w:sz w:val="24"/>
                <w:szCs w:val="24"/>
                <w:highlight w:val="none"/>
              </w:rPr>
            </w:pPr>
          </w:p>
        </w:tc>
        <w:tc>
          <w:tcPr>
            <w:tcW w:w="2627" w:type="dxa"/>
            <w:gridSpan w:val="2"/>
            <w:vAlign w:val="center"/>
          </w:tcPr>
          <w:p w14:paraId="03175999">
            <w:pPr>
              <w:jc w:val="center"/>
              <w:rPr>
                <w:rFonts w:hint="eastAsia" w:ascii="仿宋" w:hAnsi="仿宋" w:eastAsia="仿宋" w:cs="仿宋"/>
                <w:sz w:val="24"/>
                <w:szCs w:val="24"/>
                <w:highlight w:val="none"/>
              </w:rPr>
            </w:pPr>
          </w:p>
        </w:tc>
      </w:tr>
      <w:tr w14:paraId="7FB8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14C197E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947" w:type="dxa"/>
            <w:gridSpan w:val="6"/>
            <w:vAlign w:val="center"/>
          </w:tcPr>
          <w:p w14:paraId="054F53F2">
            <w:pPr>
              <w:rPr>
                <w:rFonts w:hint="eastAsia" w:ascii="仿宋" w:hAnsi="仿宋" w:eastAsia="仿宋" w:cs="仿宋"/>
                <w:sz w:val="24"/>
                <w:szCs w:val="24"/>
                <w:highlight w:val="none"/>
              </w:rPr>
            </w:pPr>
          </w:p>
        </w:tc>
      </w:tr>
      <w:tr w14:paraId="704D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4148516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947" w:type="dxa"/>
            <w:gridSpan w:val="6"/>
            <w:vAlign w:val="center"/>
          </w:tcPr>
          <w:p w14:paraId="567E0BF9">
            <w:pPr>
              <w:rPr>
                <w:rFonts w:hint="eastAsia" w:ascii="仿宋" w:hAnsi="仿宋" w:eastAsia="仿宋" w:cs="仿宋"/>
                <w:sz w:val="24"/>
                <w:szCs w:val="24"/>
                <w:highlight w:val="none"/>
              </w:rPr>
            </w:pPr>
          </w:p>
        </w:tc>
      </w:tr>
    </w:tbl>
    <w:p w14:paraId="6B28D9B1">
      <w:pPr>
        <w:spacing w:beforeLines="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注：本表后应附企业法人营业执照副本、开户许可证等相关材料的复印件。（投标人可根据本表自行编制）</w:t>
      </w:r>
    </w:p>
    <w:p w14:paraId="288E3AE5">
      <w:pPr>
        <w:spacing w:before="100" w:beforeAutospacing="1" w:after="100" w:afterAutospacing="1" w:line="440" w:lineRule="exact"/>
        <w:jc w:val="both"/>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br w:type="page"/>
      </w:r>
    </w:p>
    <w:p w14:paraId="1B0D1970">
      <w:pPr>
        <w:spacing w:before="100" w:beforeAutospacing="1" w:after="100" w:afterAutospacing="1" w:line="440" w:lineRule="exact"/>
        <w:jc w:val="center"/>
        <w:outlineLvl w:val="9"/>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t>七</w:t>
      </w:r>
      <w:r>
        <w:rPr>
          <w:rFonts w:hint="eastAsia" w:ascii="仿宋" w:hAnsi="仿宋" w:eastAsia="仿宋" w:cs="仿宋"/>
          <w:b/>
          <w:bCs/>
          <w:kern w:val="1"/>
          <w:sz w:val="28"/>
          <w:szCs w:val="28"/>
          <w:highlight w:val="none"/>
        </w:rPr>
        <w:t>、</w:t>
      </w:r>
      <w:r>
        <w:rPr>
          <w:rFonts w:hint="eastAsia" w:ascii="仿宋" w:hAnsi="仿宋" w:eastAsia="仿宋" w:cs="仿宋"/>
          <w:b/>
          <w:bCs/>
          <w:kern w:val="1"/>
          <w:sz w:val="28"/>
          <w:szCs w:val="28"/>
          <w:highlight w:val="none"/>
          <w:lang w:val="en-US" w:eastAsia="zh-CN"/>
        </w:rPr>
        <w:t>完税证明和社保缴纳证明</w:t>
      </w:r>
    </w:p>
    <w:p w14:paraId="40905AD7">
      <w:pPr>
        <w:spacing w:before="100" w:beforeAutospacing="1" w:after="100" w:afterAutospacing="1" w:line="440" w:lineRule="exact"/>
        <w:jc w:val="center"/>
        <w:rPr>
          <w:rFonts w:hint="eastAsia" w:ascii="仿宋" w:hAnsi="仿宋" w:eastAsia="仿宋" w:cs="仿宋"/>
          <w:kern w:val="1"/>
          <w:sz w:val="28"/>
          <w:szCs w:val="28"/>
          <w:highlight w:val="none"/>
        </w:rPr>
      </w:pPr>
    </w:p>
    <w:p w14:paraId="49F99916">
      <w:pPr>
        <w:spacing w:before="100" w:beforeAutospacing="1" w:after="100" w:afterAutospacing="1" w:line="440" w:lineRule="exact"/>
        <w:jc w:val="center"/>
        <w:rPr>
          <w:rFonts w:hint="eastAsia" w:ascii="仿宋" w:hAnsi="仿宋" w:eastAsia="仿宋" w:cs="仿宋"/>
          <w:kern w:val="1"/>
          <w:sz w:val="28"/>
          <w:szCs w:val="28"/>
          <w:highlight w:val="none"/>
        </w:rPr>
      </w:pPr>
    </w:p>
    <w:p w14:paraId="6F1088DA">
      <w:pPr>
        <w:spacing w:before="100" w:beforeAutospacing="1" w:after="100" w:afterAutospacing="1" w:line="440" w:lineRule="exact"/>
        <w:jc w:val="center"/>
        <w:rPr>
          <w:rFonts w:hint="eastAsia" w:ascii="仿宋" w:hAnsi="仿宋" w:eastAsia="仿宋" w:cs="仿宋"/>
          <w:kern w:val="1"/>
          <w:sz w:val="28"/>
          <w:szCs w:val="28"/>
          <w:highlight w:val="none"/>
        </w:rPr>
      </w:pPr>
    </w:p>
    <w:p w14:paraId="3959705D">
      <w:pPr>
        <w:spacing w:before="100" w:beforeAutospacing="1" w:after="100" w:afterAutospacing="1" w:line="440" w:lineRule="exact"/>
        <w:jc w:val="center"/>
        <w:rPr>
          <w:rFonts w:hint="eastAsia" w:ascii="仿宋" w:hAnsi="仿宋" w:eastAsia="仿宋" w:cs="仿宋"/>
          <w:kern w:val="1"/>
          <w:sz w:val="28"/>
          <w:szCs w:val="28"/>
          <w:highlight w:val="none"/>
        </w:rPr>
      </w:pPr>
    </w:p>
    <w:p w14:paraId="319C64EE">
      <w:pPr>
        <w:spacing w:before="100" w:beforeAutospacing="1" w:after="100" w:afterAutospacing="1" w:line="440" w:lineRule="exact"/>
        <w:jc w:val="center"/>
        <w:rPr>
          <w:rFonts w:hint="eastAsia" w:ascii="仿宋" w:hAnsi="仿宋" w:eastAsia="仿宋" w:cs="仿宋"/>
          <w:kern w:val="1"/>
          <w:sz w:val="28"/>
          <w:szCs w:val="28"/>
          <w:highlight w:val="none"/>
        </w:rPr>
      </w:pPr>
    </w:p>
    <w:p w14:paraId="0D070663">
      <w:pPr>
        <w:spacing w:before="100" w:beforeAutospacing="1" w:after="100" w:afterAutospacing="1" w:line="440" w:lineRule="exact"/>
        <w:jc w:val="center"/>
        <w:rPr>
          <w:rFonts w:hint="eastAsia" w:ascii="仿宋" w:hAnsi="仿宋" w:eastAsia="仿宋" w:cs="仿宋"/>
          <w:kern w:val="1"/>
          <w:sz w:val="28"/>
          <w:szCs w:val="28"/>
          <w:highlight w:val="none"/>
        </w:rPr>
      </w:pPr>
    </w:p>
    <w:p w14:paraId="531B7918">
      <w:pPr>
        <w:spacing w:before="100" w:beforeAutospacing="1" w:after="100" w:afterAutospacing="1" w:line="440" w:lineRule="exact"/>
        <w:jc w:val="center"/>
        <w:rPr>
          <w:rFonts w:hint="eastAsia" w:ascii="仿宋" w:hAnsi="仿宋" w:eastAsia="仿宋" w:cs="仿宋"/>
          <w:kern w:val="1"/>
          <w:sz w:val="28"/>
          <w:szCs w:val="28"/>
          <w:highlight w:val="none"/>
        </w:rPr>
      </w:pPr>
    </w:p>
    <w:p w14:paraId="2C54830E">
      <w:pPr>
        <w:spacing w:before="100" w:beforeAutospacing="1" w:after="100" w:afterAutospacing="1" w:line="440" w:lineRule="exact"/>
        <w:jc w:val="center"/>
        <w:rPr>
          <w:rFonts w:hint="eastAsia" w:ascii="仿宋" w:hAnsi="仿宋" w:eastAsia="仿宋" w:cs="仿宋"/>
          <w:kern w:val="1"/>
          <w:sz w:val="28"/>
          <w:szCs w:val="28"/>
          <w:highlight w:val="none"/>
        </w:rPr>
      </w:pPr>
    </w:p>
    <w:p w14:paraId="7AF3CB88">
      <w:pPr>
        <w:spacing w:before="100" w:beforeAutospacing="1" w:after="100" w:afterAutospacing="1" w:line="440" w:lineRule="exact"/>
        <w:jc w:val="center"/>
        <w:rPr>
          <w:rFonts w:hint="eastAsia" w:ascii="仿宋" w:hAnsi="仿宋" w:eastAsia="仿宋" w:cs="仿宋"/>
          <w:kern w:val="1"/>
          <w:sz w:val="28"/>
          <w:szCs w:val="28"/>
          <w:highlight w:val="none"/>
        </w:rPr>
      </w:pPr>
    </w:p>
    <w:p w14:paraId="1D1DFB27">
      <w:pPr>
        <w:spacing w:before="100" w:beforeAutospacing="1" w:after="100" w:afterAutospacing="1" w:line="440" w:lineRule="exact"/>
        <w:jc w:val="center"/>
        <w:rPr>
          <w:rFonts w:hint="eastAsia" w:ascii="仿宋" w:hAnsi="仿宋" w:eastAsia="仿宋" w:cs="仿宋"/>
          <w:kern w:val="1"/>
          <w:sz w:val="28"/>
          <w:szCs w:val="28"/>
          <w:highlight w:val="none"/>
        </w:rPr>
      </w:pPr>
    </w:p>
    <w:p w14:paraId="469B6C12">
      <w:pPr>
        <w:spacing w:before="100" w:beforeAutospacing="1" w:after="100" w:afterAutospacing="1" w:line="440" w:lineRule="exact"/>
        <w:jc w:val="center"/>
        <w:rPr>
          <w:rFonts w:hint="eastAsia" w:ascii="仿宋" w:hAnsi="仿宋" w:eastAsia="仿宋" w:cs="仿宋"/>
          <w:kern w:val="1"/>
          <w:sz w:val="28"/>
          <w:szCs w:val="28"/>
          <w:highlight w:val="none"/>
        </w:rPr>
      </w:pPr>
    </w:p>
    <w:p w14:paraId="3DA4A703">
      <w:pPr>
        <w:spacing w:before="100" w:beforeAutospacing="1" w:after="100" w:afterAutospacing="1" w:line="440" w:lineRule="exact"/>
        <w:jc w:val="center"/>
        <w:rPr>
          <w:rFonts w:hint="eastAsia" w:ascii="仿宋" w:hAnsi="仿宋" w:eastAsia="仿宋" w:cs="仿宋"/>
          <w:kern w:val="1"/>
          <w:sz w:val="28"/>
          <w:szCs w:val="28"/>
          <w:highlight w:val="none"/>
        </w:rPr>
      </w:pPr>
    </w:p>
    <w:p w14:paraId="403AC4B1">
      <w:pPr>
        <w:spacing w:before="100" w:beforeAutospacing="1" w:after="100" w:afterAutospacing="1" w:line="440" w:lineRule="exact"/>
        <w:jc w:val="center"/>
        <w:rPr>
          <w:rFonts w:hint="eastAsia" w:ascii="仿宋" w:hAnsi="仿宋" w:eastAsia="仿宋" w:cs="仿宋"/>
          <w:kern w:val="1"/>
          <w:sz w:val="28"/>
          <w:szCs w:val="28"/>
          <w:highlight w:val="none"/>
        </w:rPr>
      </w:pPr>
    </w:p>
    <w:p w14:paraId="236C8539">
      <w:pPr>
        <w:spacing w:before="100" w:beforeAutospacing="1" w:after="100" w:afterAutospacing="1" w:line="440" w:lineRule="exact"/>
        <w:jc w:val="center"/>
        <w:rPr>
          <w:rFonts w:hint="eastAsia" w:ascii="仿宋" w:hAnsi="仿宋" w:eastAsia="仿宋" w:cs="仿宋"/>
          <w:kern w:val="1"/>
          <w:sz w:val="28"/>
          <w:szCs w:val="28"/>
          <w:highlight w:val="none"/>
        </w:rPr>
      </w:pPr>
    </w:p>
    <w:p w14:paraId="59AB4DEB">
      <w:pPr>
        <w:spacing w:before="100" w:beforeAutospacing="1" w:after="100" w:afterAutospacing="1" w:line="440" w:lineRule="exact"/>
        <w:jc w:val="center"/>
        <w:rPr>
          <w:rFonts w:hint="eastAsia" w:ascii="仿宋" w:hAnsi="仿宋" w:eastAsia="仿宋" w:cs="仿宋"/>
          <w:kern w:val="1"/>
          <w:sz w:val="28"/>
          <w:szCs w:val="28"/>
          <w:highlight w:val="none"/>
        </w:rPr>
      </w:pPr>
    </w:p>
    <w:p w14:paraId="643AF4EF">
      <w:pPr>
        <w:spacing w:before="100" w:beforeAutospacing="1" w:after="100" w:afterAutospacing="1" w:line="440" w:lineRule="exact"/>
        <w:jc w:val="center"/>
        <w:rPr>
          <w:rFonts w:hint="eastAsia" w:ascii="仿宋" w:hAnsi="仿宋" w:eastAsia="仿宋" w:cs="仿宋"/>
          <w:kern w:val="1"/>
          <w:sz w:val="28"/>
          <w:szCs w:val="28"/>
          <w:highlight w:val="none"/>
        </w:rPr>
      </w:pPr>
    </w:p>
    <w:p w14:paraId="52568E29">
      <w:pPr>
        <w:spacing w:before="100" w:beforeAutospacing="1" w:after="100" w:afterAutospacing="1" w:line="440" w:lineRule="exact"/>
        <w:jc w:val="center"/>
        <w:rPr>
          <w:rFonts w:hint="eastAsia" w:ascii="仿宋" w:hAnsi="仿宋" w:eastAsia="仿宋" w:cs="仿宋"/>
          <w:kern w:val="1"/>
          <w:sz w:val="28"/>
          <w:szCs w:val="28"/>
          <w:highlight w:val="none"/>
        </w:rPr>
      </w:pPr>
    </w:p>
    <w:p w14:paraId="305164D7">
      <w:pPr>
        <w:spacing w:before="100" w:beforeAutospacing="1" w:after="100" w:afterAutospacing="1" w:line="440" w:lineRule="exact"/>
        <w:jc w:val="center"/>
        <w:rPr>
          <w:rFonts w:hint="eastAsia" w:ascii="仿宋" w:hAnsi="仿宋" w:eastAsia="仿宋" w:cs="仿宋"/>
          <w:kern w:val="1"/>
          <w:sz w:val="28"/>
          <w:szCs w:val="28"/>
          <w:highlight w:val="none"/>
        </w:rPr>
      </w:pPr>
    </w:p>
    <w:p w14:paraId="4782540D">
      <w:pPr>
        <w:spacing w:before="100" w:beforeAutospacing="1" w:after="100" w:afterAutospacing="1" w:line="440" w:lineRule="exact"/>
        <w:jc w:val="center"/>
        <w:rPr>
          <w:rFonts w:hint="eastAsia" w:ascii="仿宋" w:hAnsi="仿宋" w:eastAsia="仿宋" w:cs="仿宋"/>
          <w:b/>
          <w:bCs/>
          <w:kern w:val="1"/>
          <w:sz w:val="24"/>
          <w:szCs w:val="24"/>
          <w:highlight w:val="none"/>
        </w:rPr>
      </w:pPr>
      <w:r>
        <w:rPr>
          <w:rFonts w:hint="eastAsia" w:ascii="仿宋" w:hAnsi="仿宋" w:eastAsia="仿宋" w:cs="仿宋"/>
          <w:b/>
          <w:bCs/>
          <w:kern w:val="1"/>
          <w:sz w:val="28"/>
          <w:szCs w:val="28"/>
          <w:highlight w:val="none"/>
          <w:lang w:val="en-US" w:eastAsia="zh-CN"/>
        </w:rPr>
        <w:t>八</w:t>
      </w:r>
      <w:r>
        <w:rPr>
          <w:rFonts w:hint="eastAsia" w:ascii="仿宋" w:hAnsi="仿宋" w:eastAsia="仿宋" w:cs="仿宋"/>
          <w:b/>
          <w:bCs/>
          <w:kern w:val="1"/>
          <w:sz w:val="28"/>
          <w:szCs w:val="28"/>
          <w:highlight w:val="none"/>
        </w:rPr>
        <w:t>、财务状况</w:t>
      </w:r>
    </w:p>
    <w:p w14:paraId="35A9BEC7">
      <w:pPr>
        <w:spacing w:before="100" w:beforeAutospacing="1" w:after="100" w:afterAutospacing="1" w:line="440" w:lineRule="exact"/>
        <w:rPr>
          <w:rFonts w:hint="eastAsia" w:ascii="仿宋" w:hAnsi="仿宋" w:eastAsia="仿宋" w:cs="仿宋"/>
          <w:lang w:val="en-US" w:eastAsia="zh-CN"/>
        </w:rPr>
      </w:pPr>
    </w:p>
    <w:p w14:paraId="2F5E89E5">
      <w:pPr>
        <w:pStyle w:val="6"/>
        <w:rPr>
          <w:rFonts w:hint="eastAsia" w:ascii="仿宋" w:hAnsi="仿宋" w:eastAsia="仿宋" w:cs="仿宋"/>
          <w:lang w:val="en-US" w:eastAsia="zh-CN"/>
        </w:rPr>
      </w:pPr>
    </w:p>
    <w:p w14:paraId="33E628F2">
      <w:pPr>
        <w:rPr>
          <w:rFonts w:hint="eastAsia" w:ascii="仿宋" w:hAnsi="仿宋" w:eastAsia="仿宋" w:cs="仿宋"/>
          <w:lang w:val="en-US" w:eastAsia="zh-CN"/>
        </w:rPr>
      </w:pPr>
    </w:p>
    <w:p w14:paraId="1C45CCF8">
      <w:pPr>
        <w:pStyle w:val="6"/>
        <w:rPr>
          <w:rFonts w:hint="eastAsia" w:ascii="仿宋" w:hAnsi="仿宋" w:eastAsia="仿宋" w:cs="仿宋"/>
          <w:lang w:val="en-US" w:eastAsia="zh-CN"/>
        </w:rPr>
      </w:pPr>
    </w:p>
    <w:p w14:paraId="1A04899B">
      <w:pPr>
        <w:rPr>
          <w:rFonts w:hint="eastAsia"/>
          <w:lang w:val="en-US" w:eastAsia="zh-CN"/>
        </w:rPr>
      </w:pPr>
    </w:p>
    <w:p w14:paraId="1DD78731">
      <w:pPr>
        <w:pStyle w:val="14"/>
        <w:rPr>
          <w:rFonts w:hint="eastAsia" w:ascii="仿宋" w:hAnsi="仿宋" w:eastAsia="仿宋" w:cs="仿宋"/>
          <w:lang w:val="en-US" w:eastAsia="zh-CN"/>
        </w:rPr>
      </w:pPr>
    </w:p>
    <w:p w14:paraId="1EBB9854">
      <w:pPr>
        <w:rPr>
          <w:rFonts w:hint="eastAsia" w:ascii="仿宋" w:hAnsi="仿宋" w:eastAsia="仿宋" w:cs="仿宋"/>
          <w:lang w:val="en-US" w:eastAsia="zh-CN"/>
        </w:rPr>
      </w:pPr>
    </w:p>
    <w:p w14:paraId="605BFCF7">
      <w:pPr>
        <w:pStyle w:val="18"/>
        <w:rPr>
          <w:rFonts w:hint="eastAsia" w:ascii="仿宋" w:hAnsi="仿宋" w:eastAsia="仿宋" w:cs="仿宋"/>
          <w:lang w:val="en-US" w:eastAsia="zh-CN"/>
        </w:rPr>
      </w:pPr>
    </w:p>
    <w:p w14:paraId="5CEE300D">
      <w:pPr>
        <w:pStyle w:val="17"/>
        <w:rPr>
          <w:rFonts w:hint="eastAsia" w:ascii="仿宋" w:hAnsi="仿宋" w:eastAsia="仿宋" w:cs="仿宋"/>
          <w:lang w:val="en-US" w:eastAsia="zh-CN"/>
        </w:rPr>
      </w:pPr>
    </w:p>
    <w:p w14:paraId="365EAE60">
      <w:pPr>
        <w:pStyle w:val="14"/>
        <w:rPr>
          <w:rFonts w:hint="eastAsia" w:ascii="仿宋" w:hAnsi="仿宋" w:eastAsia="仿宋" w:cs="仿宋"/>
          <w:lang w:val="en-US" w:eastAsia="zh-CN"/>
        </w:rPr>
      </w:pPr>
    </w:p>
    <w:p w14:paraId="570A38FA">
      <w:pPr>
        <w:rPr>
          <w:rFonts w:hint="eastAsia" w:ascii="仿宋" w:hAnsi="仿宋" w:eastAsia="仿宋" w:cs="仿宋"/>
          <w:lang w:val="en-US" w:eastAsia="zh-CN"/>
        </w:rPr>
      </w:pPr>
    </w:p>
    <w:p w14:paraId="587DB9AF">
      <w:pPr>
        <w:pStyle w:val="18"/>
        <w:rPr>
          <w:rFonts w:hint="eastAsia" w:ascii="仿宋" w:hAnsi="仿宋" w:eastAsia="仿宋" w:cs="仿宋"/>
          <w:lang w:val="en-US" w:eastAsia="zh-CN"/>
        </w:rPr>
      </w:pPr>
    </w:p>
    <w:p w14:paraId="44B9E05B">
      <w:pPr>
        <w:pStyle w:val="17"/>
        <w:rPr>
          <w:rFonts w:hint="eastAsia" w:ascii="仿宋" w:hAnsi="仿宋" w:eastAsia="仿宋" w:cs="仿宋"/>
          <w:lang w:val="en-US" w:eastAsia="zh-CN"/>
        </w:rPr>
      </w:pPr>
    </w:p>
    <w:p w14:paraId="49B0C7BE">
      <w:pPr>
        <w:pStyle w:val="14"/>
        <w:rPr>
          <w:rFonts w:hint="eastAsia" w:ascii="仿宋" w:hAnsi="仿宋" w:eastAsia="仿宋" w:cs="仿宋"/>
          <w:lang w:val="en-US" w:eastAsia="zh-CN"/>
        </w:rPr>
      </w:pPr>
    </w:p>
    <w:p w14:paraId="7BB19AF4">
      <w:pPr>
        <w:rPr>
          <w:rFonts w:hint="eastAsia" w:ascii="仿宋" w:hAnsi="仿宋" w:eastAsia="仿宋" w:cs="仿宋"/>
          <w:lang w:val="en-US" w:eastAsia="zh-CN"/>
        </w:rPr>
      </w:pPr>
    </w:p>
    <w:p w14:paraId="690F67D5">
      <w:pPr>
        <w:pStyle w:val="18"/>
        <w:rPr>
          <w:rFonts w:hint="eastAsia" w:ascii="仿宋" w:hAnsi="仿宋" w:eastAsia="仿宋" w:cs="仿宋"/>
          <w:lang w:val="en-US" w:eastAsia="zh-CN"/>
        </w:rPr>
      </w:pPr>
    </w:p>
    <w:p w14:paraId="10BEA2AA">
      <w:pPr>
        <w:pStyle w:val="17"/>
        <w:rPr>
          <w:rFonts w:hint="eastAsia" w:ascii="仿宋" w:hAnsi="仿宋" w:eastAsia="仿宋" w:cs="仿宋"/>
          <w:lang w:val="en-US" w:eastAsia="zh-CN"/>
        </w:rPr>
      </w:pPr>
    </w:p>
    <w:p w14:paraId="34881AAB">
      <w:pPr>
        <w:pStyle w:val="14"/>
        <w:rPr>
          <w:rFonts w:hint="eastAsia" w:ascii="仿宋" w:hAnsi="仿宋" w:eastAsia="仿宋" w:cs="仿宋"/>
          <w:lang w:val="en-US" w:eastAsia="zh-CN"/>
        </w:rPr>
      </w:pPr>
    </w:p>
    <w:p w14:paraId="7F431A6B">
      <w:pPr>
        <w:rPr>
          <w:rFonts w:hint="eastAsia" w:ascii="仿宋" w:hAnsi="仿宋" w:eastAsia="仿宋" w:cs="仿宋"/>
          <w:lang w:val="en-US" w:eastAsia="zh-CN"/>
        </w:rPr>
      </w:pPr>
    </w:p>
    <w:p w14:paraId="0C7C921F">
      <w:pPr>
        <w:pStyle w:val="18"/>
        <w:rPr>
          <w:rFonts w:hint="eastAsia" w:ascii="仿宋" w:hAnsi="仿宋" w:eastAsia="仿宋" w:cs="仿宋"/>
          <w:lang w:val="en-US" w:eastAsia="zh-CN"/>
        </w:rPr>
      </w:pPr>
    </w:p>
    <w:p w14:paraId="1028B494">
      <w:pPr>
        <w:pStyle w:val="17"/>
        <w:rPr>
          <w:rFonts w:hint="eastAsia" w:ascii="仿宋" w:hAnsi="仿宋" w:eastAsia="仿宋" w:cs="仿宋"/>
          <w:lang w:val="en-US" w:eastAsia="zh-CN"/>
        </w:rPr>
      </w:pPr>
    </w:p>
    <w:p w14:paraId="421555E2">
      <w:pPr>
        <w:pStyle w:val="14"/>
        <w:rPr>
          <w:rFonts w:hint="eastAsia" w:ascii="仿宋" w:hAnsi="仿宋" w:eastAsia="仿宋" w:cs="仿宋"/>
          <w:lang w:val="en-US" w:eastAsia="zh-CN"/>
        </w:rPr>
      </w:pPr>
    </w:p>
    <w:p w14:paraId="459310DB">
      <w:pPr>
        <w:rPr>
          <w:rFonts w:hint="eastAsia" w:ascii="仿宋" w:hAnsi="仿宋" w:eastAsia="仿宋" w:cs="仿宋"/>
          <w:lang w:val="en-US" w:eastAsia="zh-CN"/>
        </w:rPr>
      </w:pPr>
    </w:p>
    <w:p w14:paraId="2228AA31">
      <w:pPr>
        <w:pStyle w:val="18"/>
        <w:rPr>
          <w:rFonts w:hint="eastAsia" w:ascii="仿宋" w:hAnsi="仿宋" w:eastAsia="仿宋" w:cs="仿宋"/>
          <w:lang w:val="en-US" w:eastAsia="zh-CN"/>
        </w:rPr>
      </w:pPr>
    </w:p>
    <w:p w14:paraId="6BFC03AC">
      <w:pPr>
        <w:pStyle w:val="17"/>
        <w:rPr>
          <w:rFonts w:hint="eastAsia" w:ascii="仿宋" w:hAnsi="仿宋" w:eastAsia="仿宋" w:cs="仿宋"/>
          <w:lang w:val="en-US" w:eastAsia="zh-CN"/>
        </w:rPr>
      </w:pPr>
    </w:p>
    <w:p w14:paraId="6346C407">
      <w:pPr>
        <w:pStyle w:val="14"/>
        <w:rPr>
          <w:rFonts w:hint="eastAsia" w:ascii="仿宋" w:hAnsi="仿宋" w:eastAsia="仿宋" w:cs="仿宋"/>
          <w:lang w:val="en-US" w:eastAsia="zh-CN"/>
        </w:rPr>
      </w:pPr>
    </w:p>
    <w:p w14:paraId="60D05E0E">
      <w:pPr>
        <w:rPr>
          <w:rFonts w:hint="eastAsia" w:ascii="仿宋" w:hAnsi="仿宋" w:eastAsia="仿宋" w:cs="仿宋"/>
          <w:lang w:val="en-US" w:eastAsia="zh-CN"/>
        </w:rPr>
      </w:pPr>
    </w:p>
    <w:p w14:paraId="67A8D6CF">
      <w:pPr>
        <w:pStyle w:val="18"/>
        <w:rPr>
          <w:rFonts w:hint="eastAsia" w:ascii="仿宋" w:hAnsi="仿宋" w:eastAsia="仿宋" w:cs="仿宋"/>
          <w:lang w:val="en-US" w:eastAsia="zh-CN"/>
        </w:rPr>
      </w:pPr>
    </w:p>
    <w:p w14:paraId="78F65113">
      <w:pPr>
        <w:pStyle w:val="17"/>
        <w:rPr>
          <w:rFonts w:hint="eastAsia" w:ascii="仿宋" w:hAnsi="仿宋" w:eastAsia="仿宋" w:cs="仿宋"/>
          <w:lang w:val="en-US" w:eastAsia="zh-CN"/>
        </w:rPr>
      </w:pPr>
    </w:p>
    <w:p w14:paraId="60A8CB4F">
      <w:pPr>
        <w:pStyle w:val="14"/>
        <w:rPr>
          <w:rFonts w:hint="eastAsia" w:ascii="仿宋" w:hAnsi="仿宋" w:eastAsia="仿宋" w:cs="仿宋"/>
          <w:lang w:val="en-US" w:eastAsia="zh-CN"/>
        </w:rPr>
      </w:pPr>
    </w:p>
    <w:p w14:paraId="3623CE3E">
      <w:pPr>
        <w:rPr>
          <w:rFonts w:hint="eastAsia" w:ascii="仿宋" w:hAnsi="仿宋" w:eastAsia="仿宋" w:cs="仿宋"/>
          <w:lang w:val="en-US" w:eastAsia="zh-CN"/>
        </w:rPr>
      </w:pPr>
    </w:p>
    <w:p w14:paraId="5EA88268">
      <w:pPr>
        <w:pStyle w:val="18"/>
        <w:rPr>
          <w:rFonts w:hint="eastAsia" w:ascii="仿宋" w:hAnsi="仿宋" w:eastAsia="仿宋" w:cs="仿宋"/>
          <w:lang w:val="en-US" w:eastAsia="zh-CN"/>
        </w:rPr>
      </w:pPr>
    </w:p>
    <w:p w14:paraId="5000AB96">
      <w:pPr>
        <w:pStyle w:val="17"/>
        <w:rPr>
          <w:rFonts w:hint="eastAsia" w:ascii="仿宋" w:hAnsi="仿宋" w:eastAsia="仿宋" w:cs="仿宋"/>
          <w:lang w:val="en-US" w:eastAsia="zh-CN"/>
        </w:rPr>
      </w:pPr>
    </w:p>
    <w:p w14:paraId="7F79284E">
      <w:pPr>
        <w:pStyle w:val="14"/>
        <w:rPr>
          <w:rFonts w:hint="eastAsia" w:ascii="仿宋" w:hAnsi="仿宋" w:eastAsia="仿宋" w:cs="仿宋"/>
          <w:lang w:val="en-US" w:eastAsia="zh-CN"/>
        </w:rPr>
      </w:pPr>
    </w:p>
    <w:p w14:paraId="6EEB53A0">
      <w:pPr>
        <w:rPr>
          <w:rFonts w:hint="eastAsia" w:ascii="仿宋" w:hAnsi="仿宋" w:eastAsia="仿宋" w:cs="仿宋"/>
          <w:lang w:val="en-US" w:eastAsia="zh-CN"/>
        </w:rPr>
      </w:pPr>
    </w:p>
    <w:p w14:paraId="56D0D824">
      <w:pPr>
        <w:spacing w:before="100" w:beforeAutospacing="1" w:after="100" w:afterAutospacing="1" w:line="44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、在经营活动中没有重大违法记录的书面声明</w:t>
      </w:r>
    </w:p>
    <w:p w14:paraId="35C67027">
      <w:pPr>
        <w:spacing w:line="440" w:lineRule="exact"/>
        <w:jc w:val="center"/>
        <w:rPr>
          <w:rFonts w:hint="eastAsia" w:ascii="仿宋" w:hAnsi="仿宋" w:eastAsia="仿宋" w:cs="仿宋"/>
          <w:sz w:val="24"/>
          <w:szCs w:val="24"/>
          <w:highlight w:val="none"/>
        </w:rPr>
      </w:pPr>
    </w:p>
    <w:p w14:paraId="379D345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我方在参加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（项目名称）政府采购活动前3年内，我方被公开披露或查处的违法违规行为有：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，但在经营活动中没有重大违法记录（重大违法记录指</w:t>
      </w:r>
      <w:r>
        <w:rPr>
          <w:rFonts w:hint="eastAsia" w:ascii="仿宋" w:hAnsi="仿宋" w:eastAsia="仿宋" w:cs="仿宋"/>
          <w:kern w:val="0"/>
          <w:sz w:val="24"/>
          <w:szCs w:val="24"/>
          <w:highlight w:val="none"/>
        </w:rPr>
        <w:t>投标人因违法经营受到刑事处罚或者责令停产停业、吊销许可证或者执照、较大数额罚款等行政处罚）</w:t>
      </w:r>
      <w:r>
        <w:rPr>
          <w:rFonts w:hint="eastAsia" w:ascii="仿宋" w:hAnsi="仿宋" w:eastAsia="仿宋" w:cs="仿宋"/>
          <w:sz w:val="24"/>
          <w:szCs w:val="24"/>
          <w:highlight w:val="none"/>
        </w:rPr>
        <w:t>。</w:t>
      </w:r>
    </w:p>
    <w:p w14:paraId="1A03DC22">
      <w:pPr>
        <w:spacing w:line="440" w:lineRule="exact"/>
        <w:ind w:firstLine="480" w:firstLineChars="200"/>
        <w:rPr>
          <w:rFonts w:hint="eastAsia" w:ascii="仿宋" w:hAnsi="仿宋" w:eastAsia="仿宋" w:cs="仿宋"/>
          <w:sz w:val="24"/>
          <w:szCs w:val="24"/>
          <w:highlight w:val="none"/>
        </w:rPr>
      </w:pPr>
    </w:p>
    <w:p w14:paraId="2192482E">
      <w:pPr>
        <w:spacing w:line="440" w:lineRule="exact"/>
        <w:ind w:firstLine="480" w:firstLineChars="200"/>
        <w:rPr>
          <w:rFonts w:hint="eastAsia" w:ascii="仿宋" w:hAnsi="仿宋" w:eastAsia="仿宋" w:cs="仿宋"/>
          <w:sz w:val="24"/>
          <w:szCs w:val="24"/>
          <w:highlight w:val="none"/>
        </w:rPr>
      </w:pPr>
    </w:p>
    <w:p w14:paraId="61101B7F">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443B4DD8">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293DF171">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81B10A6">
      <w:pPr>
        <w:spacing w:line="440" w:lineRule="exact"/>
        <w:ind w:firstLine="480" w:firstLineChars="200"/>
        <w:rPr>
          <w:rFonts w:hint="eastAsia" w:ascii="仿宋" w:hAnsi="仿宋" w:eastAsia="仿宋" w:cs="仿宋"/>
          <w:sz w:val="24"/>
          <w:szCs w:val="24"/>
          <w:highlight w:val="none"/>
        </w:rPr>
      </w:pPr>
    </w:p>
    <w:p w14:paraId="4F9F0886">
      <w:pPr>
        <w:spacing w:line="440" w:lineRule="exact"/>
        <w:ind w:firstLine="480" w:firstLineChars="200"/>
        <w:rPr>
          <w:rFonts w:hint="eastAsia" w:ascii="仿宋" w:hAnsi="仿宋" w:eastAsia="仿宋" w:cs="仿宋"/>
          <w:sz w:val="24"/>
          <w:szCs w:val="24"/>
          <w:highlight w:val="none"/>
        </w:rPr>
      </w:pPr>
    </w:p>
    <w:p w14:paraId="3D0724BA">
      <w:pPr>
        <w:spacing w:line="440" w:lineRule="exact"/>
        <w:ind w:firstLine="480" w:firstLineChars="200"/>
        <w:rPr>
          <w:rFonts w:hint="eastAsia" w:ascii="仿宋" w:hAnsi="仿宋" w:eastAsia="仿宋" w:cs="仿宋"/>
          <w:sz w:val="24"/>
          <w:szCs w:val="24"/>
          <w:highlight w:val="none"/>
        </w:rPr>
      </w:pPr>
    </w:p>
    <w:p w14:paraId="6EBA0CA1">
      <w:pPr>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备注：投标人没有被公开披露或查处违法违规行为的，注明“无”即可。</w:t>
      </w:r>
    </w:p>
    <w:p w14:paraId="11BB9E7D">
      <w:pPr>
        <w:widowControl/>
        <w:autoSpaceDE w:val="0"/>
        <w:autoSpaceDN w:val="0"/>
        <w:adjustRightInd w:val="0"/>
        <w:spacing w:line="440" w:lineRule="exact"/>
        <w:ind w:right="-481"/>
        <w:jc w:val="left"/>
        <w:rPr>
          <w:rFonts w:hint="eastAsia" w:ascii="仿宋" w:hAnsi="仿宋" w:eastAsia="仿宋" w:cs="仿宋"/>
          <w:sz w:val="24"/>
          <w:szCs w:val="24"/>
          <w:highlight w:val="none"/>
        </w:rPr>
      </w:pPr>
    </w:p>
    <w:p w14:paraId="4F2B06A2">
      <w:pPr>
        <w:widowControl/>
        <w:autoSpaceDE w:val="0"/>
        <w:autoSpaceDN w:val="0"/>
        <w:adjustRightInd w:val="0"/>
        <w:spacing w:line="440" w:lineRule="exact"/>
        <w:rPr>
          <w:rFonts w:hint="eastAsia" w:ascii="仿宋" w:hAnsi="仿宋" w:eastAsia="仿宋" w:cs="仿宋"/>
          <w:sz w:val="24"/>
          <w:szCs w:val="24"/>
          <w:highlight w:val="none"/>
        </w:rPr>
      </w:pPr>
      <w:r>
        <w:rPr>
          <w:rFonts w:hint="eastAsia" w:ascii="仿宋" w:hAnsi="仿宋" w:eastAsia="仿宋" w:cs="仿宋"/>
          <w:kern w:val="1"/>
          <w:sz w:val="24"/>
          <w:szCs w:val="24"/>
          <w:highlight w:val="none"/>
        </w:rPr>
        <w:br w:type="page"/>
      </w:r>
    </w:p>
    <w:p w14:paraId="70C23985">
      <w:pPr>
        <w:widowControl/>
        <w:autoSpaceDE w:val="0"/>
        <w:autoSpaceDN w:val="0"/>
        <w:adjustRightInd w:val="0"/>
        <w:spacing w:line="440" w:lineRule="exact"/>
        <w:jc w:val="center"/>
        <w:rPr>
          <w:rFonts w:hint="eastAsia" w:ascii="仿宋" w:hAnsi="仿宋" w:eastAsia="仿宋" w:cs="仿宋"/>
          <w:b/>
          <w:bCs/>
          <w:color w:val="auto"/>
          <w:kern w:val="1"/>
          <w:sz w:val="28"/>
          <w:szCs w:val="28"/>
          <w:highlight w:val="none"/>
        </w:rPr>
      </w:pPr>
      <w:r>
        <w:rPr>
          <w:rFonts w:hint="eastAsia" w:ascii="仿宋" w:hAnsi="仿宋" w:eastAsia="仿宋" w:cs="仿宋"/>
          <w:b/>
          <w:bCs/>
          <w:color w:val="auto"/>
          <w:kern w:val="1"/>
          <w:sz w:val="28"/>
          <w:szCs w:val="28"/>
          <w:highlight w:val="none"/>
        </w:rPr>
        <w:t>十、</w:t>
      </w:r>
      <w:r>
        <w:rPr>
          <w:rFonts w:hint="eastAsia" w:ascii="仿宋" w:hAnsi="仿宋" w:eastAsia="仿宋" w:cs="仿宋"/>
          <w:b/>
          <w:bCs/>
          <w:color w:val="auto"/>
          <w:kern w:val="1"/>
          <w:sz w:val="28"/>
          <w:szCs w:val="28"/>
          <w:highlight w:val="none"/>
          <w:lang w:val="en-US" w:eastAsia="zh-CN"/>
        </w:rPr>
        <w:t>政府采购诚信承诺书（1）</w:t>
      </w:r>
    </w:p>
    <w:p w14:paraId="58BC3BCB">
      <w:pPr>
        <w:widowControl/>
        <w:autoSpaceDE w:val="0"/>
        <w:autoSpaceDN w:val="0"/>
        <w:adjustRightInd w:val="0"/>
        <w:spacing w:line="440" w:lineRule="exact"/>
        <w:rPr>
          <w:rFonts w:hint="eastAsia" w:ascii="仿宋" w:hAnsi="仿宋" w:eastAsia="仿宋" w:cs="仿宋"/>
          <w:b/>
          <w:bCs/>
          <w:color w:val="auto"/>
          <w:kern w:val="1"/>
          <w:sz w:val="24"/>
          <w:szCs w:val="24"/>
          <w:highlight w:val="none"/>
        </w:rPr>
      </w:pPr>
    </w:p>
    <w:p w14:paraId="7D0FB6F3">
      <w:pPr>
        <w:widowControl/>
        <w:autoSpaceDE w:val="0"/>
        <w:autoSpaceDN w:val="0"/>
        <w:adjustRightInd w:val="0"/>
        <w:spacing w:line="44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eastAsia="zh-CN"/>
        </w:rPr>
        <w:t>招标人</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5460A166">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35"/>
          <w:rFonts w:hint="eastAsia" w:ascii="仿宋" w:hAnsi="仿宋" w:eastAsia="仿宋" w:cs="仿宋"/>
          <w:color w:val="auto"/>
          <w:sz w:val="24"/>
          <w:szCs w:val="24"/>
          <w:highlight w:val="none"/>
        </w:rPr>
        <w:t>我公司</w:t>
      </w:r>
      <w:r>
        <w:rPr>
          <w:rFonts w:hint="eastAsia" w:ascii="仿宋" w:hAnsi="仿宋" w:eastAsia="仿宋" w:cs="仿宋"/>
          <w:color w:val="auto"/>
          <w:kern w:val="1"/>
          <w:sz w:val="24"/>
          <w:szCs w:val="24"/>
          <w:highlight w:val="none"/>
          <w:u w:val="single"/>
        </w:rPr>
        <w:t xml:space="preserve">               </w:t>
      </w:r>
      <w:r>
        <w:rPr>
          <w:rStyle w:val="35"/>
          <w:rFonts w:hint="eastAsia" w:ascii="仿宋" w:hAnsi="仿宋" w:eastAsia="仿宋" w:cs="仿宋"/>
          <w:color w:val="auto"/>
          <w:sz w:val="24"/>
          <w:szCs w:val="24"/>
          <w:highlight w:val="none"/>
        </w:rPr>
        <w:t>（投标人名称）已详细阅读了</w:t>
      </w:r>
      <w:r>
        <w:rPr>
          <w:rFonts w:hint="eastAsia" w:ascii="仿宋" w:hAnsi="仿宋" w:eastAsia="仿宋" w:cs="仿宋"/>
          <w:color w:val="auto"/>
          <w:kern w:val="1"/>
          <w:sz w:val="24"/>
          <w:szCs w:val="24"/>
          <w:highlight w:val="none"/>
          <w:u w:val="single"/>
        </w:rPr>
        <w:t xml:space="preserve">             </w:t>
      </w:r>
      <w:r>
        <w:rPr>
          <w:rStyle w:val="35"/>
          <w:rFonts w:hint="eastAsia" w:ascii="仿宋" w:hAnsi="仿宋" w:eastAsia="仿宋" w:cs="仿宋"/>
          <w:color w:val="auto"/>
          <w:sz w:val="24"/>
          <w:szCs w:val="24"/>
          <w:highlight w:val="none"/>
        </w:rPr>
        <w:t>项目（项目编号：</w:t>
      </w:r>
      <w:r>
        <w:rPr>
          <w:rFonts w:hint="eastAsia" w:ascii="仿宋" w:hAnsi="仿宋" w:eastAsia="仿宋" w:cs="仿宋"/>
          <w:color w:val="auto"/>
          <w:kern w:val="1"/>
          <w:sz w:val="24"/>
          <w:szCs w:val="24"/>
          <w:highlight w:val="none"/>
          <w:u w:val="single"/>
        </w:rPr>
        <w:t xml:space="preserve">          </w:t>
      </w:r>
      <w:r>
        <w:rPr>
          <w:rStyle w:val="35"/>
          <w:rFonts w:hint="eastAsia" w:ascii="仿宋" w:hAnsi="仿宋" w:eastAsia="仿宋" w:cs="仿宋"/>
          <w:color w:val="auto"/>
          <w:sz w:val="24"/>
          <w:szCs w:val="24"/>
          <w:highlight w:val="none"/>
        </w:rPr>
        <w:t>）招标文件，自愿参加本次投标，现就有关事项做出郑重承诺如下：</w:t>
      </w:r>
    </w:p>
    <w:p w14:paraId="5722950B">
      <w:pPr>
        <w:widowControl/>
        <w:autoSpaceDE w:val="0"/>
        <w:autoSpaceDN w:val="0"/>
        <w:adjustRightInd w:val="0"/>
        <w:spacing w:line="440" w:lineRule="exact"/>
        <w:ind w:firstLine="480"/>
        <w:rPr>
          <w:rFonts w:hint="eastAsia" w:ascii="仿宋" w:hAnsi="仿宋" w:eastAsia="仿宋" w:cs="仿宋"/>
          <w:color w:val="auto"/>
          <w:sz w:val="24"/>
          <w:szCs w:val="24"/>
          <w:highlight w:val="none"/>
        </w:rPr>
      </w:pPr>
      <w:r>
        <w:rPr>
          <w:rStyle w:val="35"/>
          <w:rFonts w:hint="eastAsia" w:ascii="仿宋" w:hAnsi="仿宋" w:eastAsia="仿宋" w:cs="仿宋"/>
          <w:color w:val="auto"/>
          <w:sz w:val="24"/>
          <w:szCs w:val="24"/>
          <w:highlight w:val="none"/>
        </w:rPr>
        <w:t>一、诚信投标，材料真实。我公司保证所提供的全部材料、投标内容均真实、合法、有效，保证不出借或者借用其他企业资质，不以他人名义投标，不弄虚作假；</w:t>
      </w:r>
    </w:p>
    <w:p w14:paraId="40248627">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35"/>
          <w:rFonts w:hint="eastAsia" w:ascii="仿宋" w:hAnsi="仿宋" w:eastAsia="仿宋" w:cs="仿宋"/>
          <w:color w:val="auto"/>
          <w:sz w:val="24"/>
          <w:szCs w:val="24"/>
          <w:highlight w:val="none"/>
        </w:rPr>
        <w:t>二、遵纪守法，公平竞争。不与其他投标人相互串通、</w:t>
      </w:r>
      <w:r>
        <w:rPr>
          <w:rFonts w:hint="eastAsia" w:ascii="仿宋" w:hAnsi="仿宋" w:eastAsia="仿宋" w:cs="仿宋"/>
          <w:color w:val="auto"/>
          <w:kern w:val="0"/>
          <w:sz w:val="24"/>
          <w:szCs w:val="24"/>
          <w:highlight w:val="none"/>
        </w:rPr>
        <w:t>哄抬价格，</w:t>
      </w:r>
      <w:r>
        <w:rPr>
          <w:rStyle w:val="35"/>
          <w:rFonts w:hint="eastAsia" w:ascii="仿宋" w:hAnsi="仿宋" w:eastAsia="仿宋" w:cs="仿宋"/>
          <w:color w:val="auto"/>
          <w:sz w:val="24"/>
          <w:szCs w:val="24"/>
          <w:highlight w:val="none"/>
        </w:rPr>
        <w:t>不排挤其他投标人，不损害</w:t>
      </w:r>
      <w:r>
        <w:rPr>
          <w:rStyle w:val="35"/>
          <w:rFonts w:hint="eastAsia" w:ascii="仿宋" w:hAnsi="仿宋" w:eastAsia="仿宋" w:cs="仿宋"/>
          <w:color w:val="auto"/>
          <w:sz w:val="24"/>
          <w:szCs w:val="24"/>
          <w:highlight w:val="none"/>
          <w:lang w:eastAsia="zh-CN"/>
        </w:rPr>
        <w:t>招标人</w:t>
      </w:r>
      <w:r>
        <w:rPr>
          <w:rStyle w:val="35"/>
          <w:rFonts w:hint="eastAsia" w:ascii="仿宋" w:hAnsi="仿宋" w:eastAsia="仿宋" w:cs="仿宋"/>
          <w:color w:val="auto"/>
          <w:sz w:val="24"/>
          <w:szCs w:val="24"/>
          <w:highlight w:val="none"/>
        </w:rPr>
        <w:t>的合法权益；不向评标委员会、</w:t>
      </w:r>
      <w:r>
        <w:rPr>
          <w:rStyle w:val="35"/>
          <w:rFonts w:hint="eastAsia" w:ascii="仿宋" w:hAnsi="仿宋" w:eastAsia="仿宋" w:cs="仿宋"/>
          <w:color w:val="auto"/>
          <w:sz w:val="24"/>
          <w:szCs w:val="24"/>
          <w:highlight w:val="none"/>
          <w:lang w:eastAsia="zh-CN"/>
        </w:rPr>
        <w:t>招标人</w:t>
      </w:r>
      <w:r>
        <w:rPr>
          <w:rStyle w:val="35"/>
          <w:rFonts w:hint="eastAsia" w:ascii="仿宋" w:hAnsi="仿宋" w:eastAsia="仿宋" w:cs="仿宋"/>
          <w:color w:val="auto"/>
          <w:sz w:val="24"/>
          <w:szCs w:val="24"/>
          <w:highlight w:val="none"/>
        </w:rPr>
        <w:t>提供利益以牟取中标。</w:t>
      </w:r>
    </w:p>
    <w:p w14:paraId="1BBF9772">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Fonts w:hint="eastAsia" w:ascii="仿宋" w:hAnsi="仿宋" w:eastAsia="仿宋" w:cs="仿宋"/>
          <w:color w:val="auto"/>
          <w:kern w:val="0"/>
          <w:sz w:val="24"/>
          <w:szCs w:val="24"/>
          <w:highlight w:val="none"/>
        </w:rPr>
        <w:t>三、若中标后，将按照规定及时与</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签订政府采购合同，不与</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订立有悖于采购结果的合同或协议；严格履行政府采购合同，不降低合同约定的产品质量和服务，不擅自变更、中止、终止合同，或者拒绝履行合同义务；</w:t>
      </w:r>
    </w:p>
    <w:p w14:paraId="39B921EC">
      <w:pPr>
        <w:widowControl/>
        <w:autoSpaceDE w:val="0"/>
        <w:autoSpaceDN w:val="0"/>
        <w:adjustRightInd w:val="0"/>
        <w:spacing w:line="440" w:lineRule="exact"/>
        <w:ind w:firstLine="480"/>
        <w:rPr>
          <w:rFonts w:hint="eastAsia" w:ascii="仿宋" w:hAnsi="仿宋" w:eastAsia="仿宋" w:cs="仿宋"/>
          <w:color w:val="auto"/>
          <w:sz w:val="24"/>
          <w:szCs w:val="24"/>
          <w:highlight w:val="none"/>
        </w:rPr>
      </w:pPr>
      <w:r>
        <w:rPr>
          <w:rStyle w:val="35"/>
          <w:rFonts w:hint="eastAsia" w:ascii="仿宋" w:hAnsi="仿宋" w:eastAsia="仿宋" w:cs="仿宋"/>
          <w:color w:val="auto"/>
          <w:sz w:val="24"/>
          <w:szCs w:val="24"/>
          <w:highlight w:val="none"/>
        </w:rPr>
        <w:t>若有违反以上承诺内容的行为，我公司自愿接受取消投标资格、记入信用档案、没收投标保证金、媒体通报、1-3年内禁止参与政府采购等处罚；如已中标的，自动放弃中标资格，并承担全部法律责任；给</w:t>
      </w:r>
      <w:r>
        <w:rPr>
          <w:rStyle w:val="35"/>
          <w:rFonts w:hint="eastAsia" w:ascii="仿宋" w:hAnsi="仿宋" w:eastAsia="仿宋" w:cs="仿宋"/>
          <w:color w:val="auto"/>
          <w:sz w:val="24"/>
          <w:szCs w:val="24"/>
          <w:highlight w:val="none"/>
          <w:lang w:eastAsia="zh-CN"/>
        </w:rPr>
        <w:t>招标人</w:t>
      </w:r>
      <w:r>
        <w:rPr>
          <w:rStyle w:val="35"/>
          <w:rFonts w:hint="eastAsia" w:ascii="仿宋" w:hAnsi="仿宋" w:eastAsia="仿宋" w:cs="仿宋"/>
          <w:color w:val="auto"/>
          <w:sz w:val="24"/>
          <w:szCs w:val="24"/>
          <w:highlight w:val="none"/>
        </w:rPr>
        <w:t>造成损失的，依法承担赔偿责任。</w:t>
      </w:r>
    </w:p>
    <w:p w14:paraId="0455579E">
      <w:pPr>
        <w:widowControl/>
        <w:autoSpaceDE w:val="0"/>
        <w:autoSpaceDN w:val="0"/>
        <w:adjustRightInd w:val="0"/>
        <w:spacing w:line="440" w:lineRule="exact"/>
        <w:ind w:right="-481" w:firstLine="420"/>
        <w:rPr>
          <w:rFonts w:hint="eastAsia" w:ascii="仿宋" w:hAnsi="仿宋" w:eastAsia="仿宋" w:cs="仿宋"/>
          <w:color w:val="auto"/>
          <w:kern w:val="1"/>
          <w:sz w:val="24"/>
          <w:szCs w:val="24"/>
          <w:highlight w:val="none"/>
        </w:rPr>
      </w:pPr>
    </w:p>
    <w:p w14:paraId="683B324E">
      <w:pPr>
        <w:widowControl/>
        <w:autoSpaceDE w:val="0"/>
        <w:autoSpaceDN w:val="0"/>
        <w:adjustRightInd w:val="0"/>
        <w:spacing w:line="440" w:lineRule="exact"/>
        <w:ind w:right="-481"/>
        <w:rPr>
          <w:rFonts w:hint="eastAsia" w:ascii="仿宋" w:hAnsi="仿宋" w:eastAsia="仿宋" w:cs="仿宋"/>
          <w:color w:val="auto"/>
          <w:kern w:val="1"/>
          <w:sz w:val="24"/>
          <w:szCs w:val="24"/>
          <w:highlight w:val="none"/>
        </w:rPr>
      </w:pPr>
    </w:p>
    <w:p w14:paraId="4C5D86E9">
      <w:pPr>
        <w:widowControl/>
        <w:autoSpaceDE w:val="0"/>
        <w:autoSpaceDN w:val="0"/>
        <w:adjustRightInd w:val="0"/>
        <w:spacing w:line="440" w:lineRule="exact"/>
        <w:ind w:right="-481"/>
        <w:rPr>
          <w:rFonts w:hint="eastAsia" w:ascii="仿宋" w:hAnsi="仿宋" w:eastAsia="仿宋" w:cs="仿宋"/>
          <w:color w:val="auto"/>
          <w:kern w:val="1"/>
          <w:sz w:val="24"/>
          <w:szCs w:val="24"/>
          <w:highlight w:val="none"/>
        </w:rPr>
      </w:pPr>
    </w:p>
    <w:p w14:paraId="1C0A6AE5">
      <w:pPr>
        <w:spacing w:line="440" w:lineRule="exact"/>
        <w:ind w:firstLine="4108" w:firstLineChars="17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14:paraId="266B98EE">
      <w:pPr>
        <w:spacing w:line="440" w:lineRule="exact"/>
        <w:ind w:firstLine="4108" w:firstLineChars="17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17CE3048">
      <w:pPr>
        <w:spacing w:line="440" w:lineRule="exact"/>
        <w:ind w:firstLine="4108" w:firstLineChars="17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8054BBB">
      <w:pPr>
        <w:widowControl/>
        <w:autoSpaceDE w:val="0"/>
        <w:autoSpaceDN w:val="0"/>
        <w:adjustRightInd w:val="0"/>
        <w:spacing w:line="440" w:lineRule="exact"/>
        <w:rPr>
          <w:rFonts w:hint="eastAsia" w:ascii="仿宋" w:hAnsi="仿宋" w:eastAsia="仿宋" w:cs="仿宋"/>
          <w:color w:val="auto"/>
          <w:sz w:val="24"/>
          <w:szCs w:val="24"/>
          <w:highlight w:val="none"/>
        </w:rPr>
      </w:pPr>
    </w:p>
    <w:p w14:paraId="47541B5D">
      <w:pPr>
        <w:spacing w:afterLines="100" w:line="360" w:lineRule="auto"/>
        <w:jc w:val="center"/>
        <w:rPr>
          <w:rFonts w:hint="eastAsia" w:ascii="仿宋" w:hAnsi="仿宋" w:eastAsia="仿宋" w:cs="仿宋"/>
          <w:b/>
          <w:bCs/>
          <w:color w:val="auto"/>
          <w:sz w:val="28"/>
          <w:szCs w:val="28"/>
          <w:highlight w:val="none"/>
          <w:lang w:val="en-US" w:eastAsia="zh-CN"/>
        </w:rPr>
      </w:pPr>
    </w:p>
    <w:p w14:paraId="5AC239FB">
      <w:pPr>
        <w:spacing w:afterLines="100" w:line="360" w:lineRule="auto"/>
        <w:jc w:val="center"/>
        <w:rPr>
          <w:rFonts w:hint="eastAsia" w:ascii="仿宋" w:hAnsi="仿宋" w:eastAsia="仿宋" w:cs="仿宋"/>
          <w:b/>
          <w:bCs/>
          <w:color w:val="auto"/>
          <w:sz w:val="28"/>
          <w:szCs w:val="28"/>
          <w:highlight w:val="none"/>
          <w:lang w:val="en-US" w:eastAsia="zh-CN"/>
        </w:rPr>
      </w:pPr>
    </w:p>
    <w:p w14:paraId="6107FA6C">
      <w:pPr>
        <w:spacing w:afterLines="100" w:line="360" w:lineRule="auto"/>
        <w:jc w:val="center"/>
        <w:rPr>
          <w:rFonts w:hint="eastAsia" w:ascii="仿宋" w:hAnsi="仿宋" w:eastAsia="仿宋" w:cs="仿宋"/>
          <w:b/>
          <w:bCs/>
          <w:color w:val="auto"/>
          <w:sz w:val="28"/>
          <w:szCs w:val="28"/>
          <w:highlight w:val="none"/>
          <w:lang w:val="en-US" w:eastAsia="zh-CN"/>
        </w:rPr>
      </w:pPr>
    </w:p>
    <w:p w14:paraId="77F4934C">
      <w:pPr>
        <w:spacing w:afterLines="100" w:line="360" w:lineRule="auto"/>
        <w:jc w:val="center"/>
        <w:rPr>
          <w:rFonts w:hint="eastAsia" w:ascii="仿宋" w:hAnsi="仿宋" w:eastAsia="仿宋" w:cs="仿宋"/>
          <w:b/>
          <w:bCs/>
          <w:color w:val="auto"/>
          <w:sz w:val="28"/>
          <w:szCs w:val="28"/>
          <w:highlight w:val="none"/>
          <w:lang w:val="en-US" w:eastAsia="zh-CN"/>
        </w:rPr>
      </w:pPr>
    </w:p>
    <w:p w14:paraId="286AEC10">
      <w:pPr>
        <w:spacing w:afterLines="100" w:line="360" w:lineRule="auto"/>
        <w:jc w:val="center"/>
        <w:rPr>
          <w:rFonts w:hint="eastAsia" w:ascii="仿宋" w:hAnsi="仿宋" w:eastAsia="仿宋" w:cs="仿宋"/>
          <w:b/>
          <w:bCs/>
          <w:color w:val="auto"/>
          <w:sz w:val="28"/>
          <w:szCs w:val="28"/>
          <w:highlight w:val="none"/>
          <w:lang w:val="en-US" w:eastAsia="zh-CN"/>
        </w:rPr>
      </w:pPr>
    </w:p>
    <w:p w14:paraId="4DA0BD00">
      <w:pPr>
        <w:keepNext w:val="0"/>
        <w:keepLines w:val="0"/>
        <w:pageBreakBefore w:val="0"/>
        <w:widowControl/>
        <w:suppressLineNumbers w:val="0"/>
        <w:kinsoku w:val="0"/>
        <w:overflowPunct/>
        <w:topLinePunct w:val="0"/>
        <w:bidi w:val="0"/>
        <w:adjustRightInd w:val="0"/>
        <w:snapToGrid w:val="0"/>
        <w:ind w:left="0" w:leftChars="0" w:right="0" w:rightChars="0" w:firstLine="0" w:firstLineChars="0"/>
        <w:jc w:val="center"/>
        <w:textAlignment w:val="baseline"/>
        <w:outlineLvl w:val="9"/>
        <w:rPr>
          <w:rFonts w:hint="eastAsia" w:ascii="仿宋" w:hAnsi="仿宋" w:eastAsia="仿宋" w:cs="仿宋"/>
          <w:b/>
          <w:bCs/>
          <w:snapToGrid w:val="0"/>
          <w:color w:val="auto"/>
          <w:kern w:val="2"/>
          <w:sz w:val="28"/>
          <w:szCs w:val="28"/>
          <w:lang w:val="en-US" w:eastAsia="zh-CN" w:bidi="ar-SA"/>
        </w:rPr>
      </w:pPr>
      <w:r>
        <w:rPr>
          <w:rFonts w:hint="eastAsia" w:ascii="仿宋" w:hAnsi="仿宋" w:eastAsia="仿宋" w:cs="仿宋"/>
          <w:b/>
          <w:bCs/>
          <w:snapToGrid w:val="0"/>
          <w:color w:val="auto"/>
          <w:kern w:val="2"/>
          <w:sz w:val="28"/>
          <w:szCs w:val="28"/>
          <w:lang w:val="en-US" w:eastAsia="zh-CN" w:bidi="ar-SA"/>
        </w:rPr>
        <w:t>“重法纪、讲诚信”承诺书（2）</w:t>
      </w:r>
    </w:p>
    <w:p w14:paraId="7D4F90B3">
      <w:pPr>
        <w:keepNext w:val="0"/>
        <w:keepLines w:val="0"/>
        <w:pageBreakBefore w:val="0"/>
        <w:widowControl/>
        <w:suppressLineNumbers w:val="0"/>
        <w:kinsoku w:val="0"/>
        <w:overflowPunct/>
        <w:topLinePunct w:val="0"/>
        <w:bidi w:val="0"/>
        <w:adjustRightInd w:val="0"/>
        <w:snapToGrid w:val="0"/>
        <w:jc w:val="left"/>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（采购人名称）： </w:t>
      </w:r>
    </w:p>
    <w:p w14:paraId="2047B059">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为积极配合防范和遏制招投标活动中不公平竞争和违规违纪行为的 发生，确保招标工作公平、公正、公开、有序进行，我公司在参与贵公司</w:t>
      </w:r>
      <w:r>
        <w:rPr>
          <w:rFonts w:hint="eastAsia" w:ascii="仿宋" w:hAnsi="仿宋" w:eastAsia="仿宋" w:cs="仿宋"/>
          <w:snapToGrid w:val="0"/>
          <w:color w:val="auto"/>
          <w:kern w:val="0"/>
          <w:sz w:val="24"/>
          <w:szCs w:val="24"/>
          <w:u w:val="single"/>
          <w:lang w:val="en-US" w:eastAsia="zh-CN"/>
        </w:rPr>
        <w:t xml:space="preserve">（项目名称、项目编号） </w:t>
      </w:r>
      <w:r>
        <w:rPr>
          <w:rFonts w:hint="eastAsia" w:ascii="仿宋" w:hAnsi="仿宋" w:eastAsia="仿宋" w:cs="仿宋"/>
          <w:snapToGrid w:val="0"/>
          <w:color w:val="auto"/>
          <w:kern w:val="0"/>
          <w:sz w:val="24"/>
          <w:szCs w:val="24"/>
          <w:lang w:val="en-US" w:eastAsia="zh-CN"/>
        </w:rPr>
        <w:t xml:space="preserve">采购活动中，保证自觉遵守《中华人民共和国政府采购法》、《中华人民共和国政府采购法实施条例》等国家法律法规以及廉洁自律有关规章制度，并向贵公司承诺如下事项： </w:t>
      </w:r>
    </w:p>
    <w:p w14:paraId="3AF6441C">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1.不以任何形式通过社会上的“代理”、“中介”、“掮客”等采取不正当手段谋取中标； </w:t>
      </w:r>
    </w:p>
    <w:p w14:paraId="2DEFD311">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2.不以任何形式打着领导及其亲友旗号或冒充领导及其亲友等采取不正当手段谋取中标； </w:t>
      </w:r>
    </w:p>
    <w:p w14:paraId="4D4B92BA">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3.不以任何名义向参与采购活动、评标工作的有关人员赠送回扣、红包、礼金、购物卡、有价证券、贵重物品和好处费、感谢费等；不以任何名义向参与采购活动、评标工作的有关人员提供高消费宴请及娱乐活动； </w:t>
      </w:r>
    </w:p>
    <w:p w14:paraId="5E6E28DB">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4.不以任何名义为参与采购活动、评标工作的有关人员报销应由参与采购活动、评标工作的有关人员支付的任何费用； </w:t>
      </w:r>
    </w:p>
    <w:p w14:paraId="185F679F">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5.不以谋取非正当利益为目的，与参与采购活动、评标工作的有关人员就业务问题进行私下商谈或者达成利益默契； </w:t>
      </w:r>
    </w:p>
    <w:p w14:paraId="62E110A6">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6.不以任何名义接受或暗示为参与采购活动、评标工作的有关人员装修住房、婚丧嫁娶以及境内外旅游等提供方便； </w:t>
      </w:r>
    </w:p>
    <w:p w14:paraId="6A5C73D2">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7.不与采购人、采购代理机构工作人员串通投标，损害国家利益、企业利益以及他人的合法利益； </w:t>
      </w:r>
    </w:p>
    <w:p w14:paraId="7D1666E0">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8.不以任何方式与其他供应商相互串通投标，不排挤其他供应商，不损害采购人或其他供应商的合法权益； </w:t>
      </w:r>
    </w:p>
    <w:p w14:paraId="21AEB748">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9.不采取捏造事实或者提供虚假投诉材料，恶意投诉、诋毁、排挤其他供应商； </w:t>
      </w:r>
    </w:p>
    <w:p w14:paraId="7CF47B7D">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10.参与采购活动时不以任何形式提供任何虚假信息或证明文件。 </w:t>
      </w:r>
    </w:p>
    <w:p w14:paraId="630AB2FD">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 </w:t>
      </w:r>
    </w:p>
    <w:p w14:paraId="67B9D2EF">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本承诺函为我公司应答此次采购项目正式文件的附件，与其他投标文件具有同等法律效力，经我公司盖章后立即生效。 </w:t>
      </w:r>
    </w:p>
    <w:p w14:paraId="3E37DBF6">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snapToGrid w:val="0"/>
          <w:color w:val="auto"/>
          <w:kern w:val="0"/>
          <w:sz w:val="24"/>
          <w:szCs w:val="24"/>
          <w:lang w:val="en-US" w:eastAsia="zh-CN"/>
        </w:rPr>
      </w:pPr>
    </w:p>
    <w:p w14:paraId="19A01275">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供应商名称（盖章）： </w:t>
      </w:r>
    </w:p>
    <w:p w14:paraId="687910E6">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法定代表人或委托代理人（签字或盖章）： </w:t>
      </w:r>
    </w:p>
    <w:p w14:paraId="0A332053">
      <w:pPr>
        <w:keepNext w:val="0"/>
        <w:keepLines w:val="0"/>
        <w:pageBreakBefore w:val="0"/>
        <w:widowControl w:val="0"/>
        <w:suppressLineNumbers w:val="0"/>
        <w:kinsoku w:val="0"/>
        <w:wordWrap w:val="0"/>
        <w:overflowPunct/>
        <w:topLinePunct w:val="0"/>
        <w:autoSpaceDE/>
        <w:autoSpaceDN/>
        <w:bidi w:val="0"/>
        <w:adjustRightInd w:val="0"/>
        <w:snapToGrid w:val="0"/>
        <w:spacing w:line="560" w:lineRule="exact"/>
        <w:ind w:firstLine="480" w:firstLineChars="200"/>
        <w:jc w:val="both"/>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rPr>
        <w:t xml:space="preserve">日期： </w:t>
      </w:r>
    </w:p>
    <w:p w14:paraId="2942C613">
      <w:pPr>
        <w:keepNext w:val="0"/>
        <w:keepLines w:val="0"/>
        <w:pageBreakBefore w:val="0"/>
        <w:kinsoku w:val="0"/>
        <w:overflowPunct/>
        <w:topLinePunct w:val="0"/>
        <w:bidi w:val="0"/>
        <w:adjustRightInd w:val="0"/>
        <w:snapToGrid w:val="0"/>
        <w:spacing w:before="92" w:line="223" w:lineRule="auto"/>
        <w:textAlignment w:val="baseline"/>
        <w:outlineLvl w:val="9"/>
        <w:rPr>
          <w:rFonts w:hint="eastAsia" w:ascii="仿宋" w:hAnsi="仿宋" w:eastAsia="仿宋" w:cs="仿宋"/>
          <w:color w:val="auto"/>
          <w:spacing w:val="-10"/>
          <w:sz w:val="24"/>
          <w:szCs w:val="24"/>
        </w:rPr>
      </w:pPr>
    </w:p>
    <w:p w14:paraId="1E6CA585">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444FD104">
      <w:pPr>
        <w:spacing w:afterLines="10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8"/>
          <w:szCs w:val="28"/>
          <w:highlight w:val="none"/>
          <w:lang w:val="en-US" w:eastAsia="zh-CN"/>
        </w:rPr>
        <w:t>十一</w:t>
      </w:r>
      <w:r>
        <w:rPr>
          <w:rFonts w:hint="eastAsia" w:ascii="仿宋" w:hAnsi="仿宋" w:eastAsia="仿宋" w:cs="仿宋"/>
          <w:b/>
          <w:bCs/>
          <w:sz w:val="28"/>
          <w:szCs w:val="28"/>
          <w:highlight w:val="none"/>
        </w:rPr>
        <w:t>、商务偏离表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14:paraId="1F9A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6BF2094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248" w:type="dxa"/>
            <w:vAlign w:val="center"/>
          </w:tcPr>
          <w:p w14:paraId="328DE1D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招标文件条款</w:t>
            </w:r>
          </w:p>
        </w:tc>
        <w:tc>
          <w:tcPr>
            <w:tcW w:w="3087" w:type="dxa"/>
            <w:vAlign w:val="center"/>
          </w:tcPr>
          <w:p w14:paraId="4568007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投标文件条款</w:t>
            </w:r>
          </w:p>
        </w:tc>
        <w:tc>
          <w:tcPr>
            <w:tcW w:w="2013" w:type="dxa"/>
            <w:vAlign w:val="center"/>
          </w:tcPr>
          <w:p w14:paraId="47E1105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偏离情况</w:t>
            </w:r>
          </w:p>
        </w:tc>
      </w:tr>
      <w:tr w14:paraId="17EA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66D9AD2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248" w:type="dxa"/>
            <w:vAlign w:val="center"/>
          </w:tcPr>
          <w:p w14:paraId="5C7191B7">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vAlign w:val="center"/>
          </w:tcPr>
          <w:p w14:paraId="6D4EB1CD">
            <w:pPr>
              <w:spacing w:line="360" w:lineRule="auto"/>
              <w:jc w:val="center"/>
              <w:rPr>
                <w:rFonts w:hint="eastAsia" w:ascii="仿宋" w:hAnsi="仿宋" w:eastAsia="仿宋" w:cs="仿宋"/>
                <w:sz w:val="24"/>
                <w:szCs w:val="24"/>
                <w:highlight w:val="none"/>
              </w:rPr>
            </w:pPr>
          </w:p>
        </w:tc>
        <w:tc>
          <w:tcPr>
            <w:tcW w:w="2013" w:type="dxa"/>
            <w:vAlign w:val="center"/>
          </w:tcPr>
          <w:p w14:paraId="5A8FFFC1">
            <w:pPr>
              <w:spacing w:line="360" w:lineRule="auto"/>
              <w:jc w:val="center"/>
              <w:rPr>
                <w:rFonts w:hint="eastAsia" w:ascii="仿宋" w:hAnsi="仿宋" w:eastAsia="仿宋" w:cs="仿宋"/>
                <w:sz w:val="24"/>
                <w:szCs w:val="24"/>
                <w:highlight w:val="none"/>
              </w:rPr>
            </w:pPr>
          </w:p>
        </w:tc>
      </w:tr>
      <w:tr w14:paraId="48C9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0A265EA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w:t>
            </w:r>
          </w:p>
        </w:tc>
        <w:tc>
          <w:tcPr>
            <w:tcW w:w="3248" w:type="dxa"/>
            <w:vAlign w:val="center"/>
          </w:tcPr>
          <w:p w14:paraId="7AD8BA2D">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vAlign w:val="center"/>
          </w:tcPr>
          <w:p w14:paraId="52EACE46">
            <w:pPr>
              <w:spacing w:line="360" w:lineRule="auto"/>
              <w:jc w:val="center"/>
              <w:rPr>
                <w:rFonts w:hint="eastAsia" w:ascii="仿宋" w:hAnsi="仿宋" w:eastAsia="仿宋" w:cs="仿宋"/>
                <w:sz w:val="24"/>
                <w:szCs w:val="24"/>
                <w:highlight w:val="none"/>
              </w:rPr>
            </w:pPr>
          </w:p>
        </w:tc>
        <w:tc>
          <w:tcPr>
            <w:tcW w:w="2013" w:type="dxa"/>
            <w:vAlign w:val="center"/>
          </w:tcPr>
          <w:p w14:paraId="2FF9535F">
            <w:pPr>
              <w:spacing w:line="360" w:lineRule="auto"/>
              <w:jc w:val="center"/>
              <w:rPr>
                <w:rFonts w:hint="eastAsia" w:ascii="仿宋" w:hAnsi="仿宋" w:eastAsia="仿宋" w:cs="仿宋"/>
                <w:sz w:val="24"/>
                <w:szCs w:val="24"/>
                <w:highlight w:val="none"/>
              </w:rPr>
            </w:pPr>
          </w:p>
        </w:tc>
      </w:tr>
      <w:tr w14:paraId="078C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2263400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248" w:type="dxa"/>
            <w:vAlign w:val="center"/>
          </w:tcPr>
          <w:p w14:paraId="574177DA">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vAlign w:val="center"/>
          </w:tcPr>
          <w:p w14:paraId="35DFAD5D">
            <w:pPr>
              <w:spacing w:line="360" w:lineRule="auto"/>
              <w:jc w:val="center"/>
              <w:rPr>
                <w:rFonts w:hint="eastAsia" w:ascii="仿宋" w:hAnsi="仿宋" w:eastAsia="仿宋" w:cs="仿宋"/>
                <w:sz w:val="24"/>
                <w:szCs w:val="24"/>
                <w:highlight w:val="none"/>
              </w:rPr>
            </w:pPr>
          </w:p>
        </w:tc>
        <w:tc>
          <w:tcPr>
            <w:tcW w:w="2013" w:type="dxa"/>
            <w:vAlign w:val="center"/>
          </w:tcPr>
          <w:p w14:paraId="124E57D2">
            <w:pPr>
              <w:spacing w:line="360" w:lineRule="auto"/>
              <w:jc w:val="center"/>
              <w:rPr>
                <w:rFonts w:hint="eastAsia" w:ascii="仿宋" w:hAnsi="仿宋" w:eastAsia="仿宋" w:cs="仿宋"/>
                <w:sz w:val="24"/>
                <w:szCs w:val="24"/>
                <w:highlight w:val="none"/>
              </w:rPr>
            </w:pPr>
          </w:p>
        </w:tc>
      </w:tr>
      <w:tr w14:paraId="382D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51726EF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3248" w:type="dxa"/>
            <w:vAlign w:val="center"/>
          </w:tcPr>
          <w:p w14:paraId="126F6C51">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vAlign w:val="center"/>
          </w:tcPr>
          <w:p w14:paraId="139358DF">
            <w:pPr>
              <w:spacing w:line="360" w:lineRule="auto"/>
              <w:jc w:val="center"/>
              <w:rPr>
                <w:rFonts w:hint="eastAsia" w:ascii="仿宋" w:hAnsi="仿宋" w:eastAsia="仿宋" w:cs="仿宋"/>
                <w:sz w:val="24"/>
                <w:szCs w:val="24"/>
                <w:highlight w:val="none"/>
              </w:rPr>
            </w:pPr>
          </w:p>
        </w:tc>
        <w:tc>
          <w:tcPr>
            <w:tcW w:w="2013" w:type="dxa"/>
            <w:vAlign w:val="center"/>
          </w:tcPr>
          <w:p w14:paraId="7C6D1E49">
            <w:pPr>
              <w:spacing w:line="360" w:lineRule="auto"/>
              <w:jc w:val="center"/>
              <w:rPr>
                <w:rFonts w:hint="eastAsia" w:ascii="仿宋" w:hAnsi="仿宋" w:eastAsia="仿宋" w:cs="仿宋"/>
                <w:sz w:val="24"/>
                <w:szCs w:val="24"/>
                <w:highlight w:val="none"/>
              </w:rPr>
            </w:pPr>
          </w:p>
        </w:tc>
      </w:tr>
      <w:tr w14:paraId="3478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38E5CE9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3248" w:type="dxa"/>
            <w:vAlign w:val="center"/>
          </w:tcPr>
          <w:p w14:paraId="3B78345A">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vAlign w:val="center"/>
          </w:tcPr>
          <w:p w14:paraId="780B530F">
            <w:pPr>
              <w:spacing w:line="360" w:lineRule="auto"/>
              <w:jc w:val="center"/>
              <w:rPr>
                <w:rFonts w:hint="eastAsia" w:ascii="仿宋" w:hAnsi="仿宋" w:eastAsia="仿宋" w:cs="仿宋"/>
                <w:sz w:val="24"/>
                <w:szCs w:val="24"/>
                <w:highlight w:val="none"/>
              </w:rPr>
            </w:pPr>
          </w:p>
        </w:tc>
        <w:tc>
          <w:tcPr>
            <w:tcW w:w="2013" w:type="dxa"/>
            <w:vAlign w:val="center"/>
          </w:tcPr>
          <w:p w14:paraId="0B95F9E3">
            <w:pPr>
              <w:spacing w:line="360" w:lineRule="auto"/>
              <w:jc w:val="center"/>
              <w:rPr>
                <w:rFonts w:hint="eastAsia" w:ascii="仿宋" w:hAnsi="仿宋" w:eastAsia="仿宋" w:cs="仿宋"/>
                <w:sz w:val="24"/>
                <w:szCs w:val="24"/>
                <w:highlight w:val="none"/>
              </w:rPr>
            </w:pPr>
          </w:p>
        </w:tc>
      </w:tr>
      <w:tr w14:paraId="4573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225609C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3248" w:type="dxa"/>
            <w:vAlign w:val="center"/>
          </w:tcPr>
          <w:p w14:paraId="657FD6F6">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tcPr>
          <w:p w14:paraId="68893C42">
            <w:pPr>
              <w:spacing w:line="360" w:lineRule="auto"/>
              <w:jc w:val="center"/>
              <w:rPr>
                <w:rFonts w:hint="eastAsia" w:ascii="仿宋" w:hAnsi="仿宋" w:eastAsia="仿宋" w:cs="仿宋"/>
                <w:sz w:val="24"/>
                <w:szCs w:val="24"/>
                <w:highlight w:val="none"/>
              </w:rPr>
            </w:pPr>
          </w:p>
        </w:tc>
        <w:tc>
          <w:tcPr>
            <w:tcW w:w="2013" w:type="dxa"/>
          </w:tcPr>
          <w:p w14:paraId="3B861CA3">
            <w:pPr>
              <w:spacing w:line="360" w:lineRule="auto"/>
              <w:jc w:val="center"/>
              <w:rPr>
                <w:rFonts w:hint="eastAsia" w:ascii="仿宋" w:hAnsi="仿宋" w:eastAsia="仿宋" w:cs="仿宋"/>
                <w:sz w:val="24"/>
                <w:szCs w:val="24"/>
                <w:highlight w:val="none"/>
              </w:rPr>
            </w:pPr>
          </w:p>
        </w:tc>
      </w:tr>
      <w:tr w14:paraId="44DA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4EE0B5AC">
            <w:pPr>
              <w:spacing w:line="360" w:lineRule="auto"/>
              <w:jc w:val="center"/>
              <w:rPr>
                <w:rFonts w:hint="eastAsia" w:ascii="仿宋" w:hAnsi="仿宋" w:eastAsia="仿宋" w:cs="仿宋"/>
                <w:sz w:val="24"/>
                <w:szCs w:val="24"/>
                <w:highlight w:val="none"/>
              </w:rPr>
            </w:pPr>
          </w:p>
        </w:tc>
        <w:tc>
          <w:tcPr>
            <w:tcW w:w="3248" w:type="dxa"/>
            <w:vAlign w:val="center"/>
          </w:tcPr>
          <w:p w14:paraId="278256F1">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tcPr>
          <w:p w14:paraId="1114D81B">
            <w:pPr>
              <w:spacing w:line="360" w:lineRule="auto"/>
              <w:jc w:val="center"/>
              <w:rPr>
                <w:rFonts w:hint="eastAsia" w:ascii="仿宋" w:hAnsi="仿宋" w:eastAsia="仿宋" w:cs="仿宋"/>
                <w:sz w:val="24"/>
                <w:szCs w:val="24"/>
                <w:highlight w:val="none"/>
              </w:rPr>
            </w:pPr>
          </w:p>
        </w:tc>
        <w:tc>
          <w:tcPr>
            <w:tcW w:w="2013" w:type="dxa"/>
          </w:tcPr>
          <w:p w14:paraId="4780628D">
            <w:pPr>
              <w:spacing w:line="360" w:lineRule="auto"/>
              <w:jc w:val="center"/>
              <w:rPr>
                <w:rFonts w:hint="eastAsia" w:ascii="仿宋" w:hAnsi="仿宋" w:eastAsia="仿宋" w:cs="仿宋"/>
                <w:sz w:val="24"/>
                <w:szCs w:val="24"/>
                <w:highlight w:val="none"/>
              </w:rPr>
            </w:pPr>
          </w:p>
        </w:tc>
      </w:tr>
      <w:tr w14:paraId="59DE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163EB9E9">
            <w:pPr>
              <w:spacing w:line="360" w:lineRule="auto"/>
              <w:jc w:val="center"/>
              <w:rPr>
                <w:rFonts w:hint="eastAsia" w:ascii="仿宋" w:hAnsi="仿宋" w:eastAsia="仿宋" w:cs="仿宋"/>
                <w:sz w:val="24"/>
                <w:szCs w:val="24"/>
                <w:highlight w:val="none"/>
              </w:rPr>
            </w:pPr>
          </w:p>
        </w:tc>
        <w:tc>
          <w:tcPr>
            <w:tcW w:w="3248" w:type="dxa"/>
            <w:vAlign w:val="center"/>
          </w:tcPr>
          <w:p w14:paraId="136C25EE">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tcPr>
          <w:p w14:paraId="1A68BB3B">
            <w:pPr>
              <w:spacing w:line="360" w:lineRule="auto"/>
              <w:jc w:val="center"/>
              <w:rPr>
                <w:rFonts w:hint="eastAsia" w:ascii="仿宋" w:hAnsi="仿宋" w:eastAsia="仿宋" w:cs="仿宋"/>
                <w:sz w:val="24"/>
                <w:szCs w:val="24"/>
                <w:highlight w:val="none"/>
              </w:rPr>
            </w:pPr>
          </w:p>
        </w:tc>
        <w:tc>
          <w:tcPr>
            <w:tcW w:w="2013" w:type="dxa"/>
          </w:tcPr>
          <w:p w14:paraId="72758DAF">
            <w:pPr>
              <w:spacing w:line="360" w:lineRule="auto"/>
              <w:jc w:val="center"/>
              <w:rPr>
                <w:rFonts w:hint="eastAsia" w:ascii="仿宋" w:hAnsi="仿宋" w:eastAsia="仿宋" w:cs="仿宋"/>
                <w:sz w:val="24"/>
                <w:szCs w:val="24"/>
                <w:highlight w:val="none"/>
              </w:rPr>
            </w:pPr>
          </w:p>
        </w:tc>
      </w:tr>
      <w:tr w14:paraId="6619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04AAFE25">
            <w:pPr>
              <w:spacing w:line="360" w:lineRule="auto"/>
              <w:jc w:val="center"/>
              <w:rPr>
                <w:rFonts w:hint="eastAsia" w:ascii="仿宋" w:hAnsi="仿宋" w:eastAsia="仿宋" w:cs="仿宋"/>
                <w:sz w:val="24"/>
                <w:szCs w:val="24"/>
                <w:highlight w:val="none"/>
              </w:rPr>
            </w:pPr>
          </w:p>
        </w:tc>
        <w:tc>
          <w:tcPr>
            <w:tcW w:w="3248" w:type="dxa"/>
            <w:vAlign w:val="center"/>
          </w:tcPr>
          <w:p w14:paraId="2A0FF5D6">
            <w:pPr>
              <w:widowControl/>
              <w:autoSpaceDE w:val="0"/>
              <w:autoSpaceDN w:val="0"/>
              <w:adjustRightInd w:val="0"/>
              <w:spacing w:line="440" w:lineRule="exact"/>
              <w:rPr>
                <w:rFonts w:hint="eastAsia" w:ascii="仿宋" w:hAnsi="仿宋" w:eastAsia="仿宋" w:cs="仿宋"/>
                <w:sz w:val="24"/>
                <w:szCs w:val="24"/>
                <w:highlight w:val="none"/>
              </w:rPr>
            </w:pPr>
          </w:p>
        </w:tc>
        <w:tc>
          <w:tcPr>
            <w:tcW w:w="3087" w:type="dxa"/>
          </w:tcPr>
          <w:p w14:paraId="48EF81F5">
            <w:pPr>
              <w:spacing w:line="360" w:lineRule="auto"/>
              <w:jc w:val="center"/>
              <w:rPr>
                <w:rFonts w:hint="eastAsia" w:ascii="仿宋" w:hAnsi="仿宋" w:eastAsia="仿宋" w:cs="仿宋"/>
                <w:sz w:val="24"/>
                <w:szCs w:val="24"/>
                <w:highlight w:val="none"/>
              </w:rPr>
            </w:pPr>
          </w:p>
        </w:tc>
        <w:tc>
          <w:tcPr>
            <w:tcW w:w="2013" w:type="dxa"/>
          </w:tcPr>
          <w:p w14:paraId="19D5690E">
            <w:pPr>
              <w:spacing w:line="360" w:lineRule="auto"/>
              <w:jc w:val="center"/>
              <w:rPr>
                <w:rFonts w:hint="eastAsia" w:ascii="仿宋" w:hAnsi="仿宋" w:eastAsia="仿宋" w:cs="仿宋"/>
                <w:sz w:val="24"/>
                <w:szCs w:val="24"/>
                <w:highlight w:val="none"/>
              </w:rPr>
            </w:pPr>
          </w:p>
        </w:tc>
      </w:tr>
    </w:tbl>
    <w:p w14:paraId="76147D1C">
      <w:pPr>
        <w:spacing w:before="100" w:beforeAutospacing="1" w:after="100" w:afterAutospacing="1" w:line="440" w:lineRule="exact"/>
        <w:rPr>
          <w:rFonts w:hint="eastAsia" w:ascii="仿宋" w:hAnsi="仿宋" w:eastAsia="仿宋" w:cs="仿宋"/>
          <w:kern w:val="1"/>
          <w:sz w:val="24"/>
          <w:szCs w:val="24"/>
          <w:highlight w:val="none"/>
        </w:rPr>
      </w:pPr>
      <w:r>
        <w:rPr>
          <w:rFonts w:hint="eastAsia" w:ascii="仿宋" w:hAnsi="仿宋" w:eastAsia="仿宋" w:cs="仿宋"/>
          <w:sz w:val="24"/>
          <w:szCs w:val="24"/>
          <w:highlight w:val="none"/>
        </w:rPr>
        <w:t>注：偏离情况填写为正偏离、负偏离、无偏离。</w:t>
      </w:r>
    </w:p>
    <w:p w14:paraId="048E57DA">
      <w:pPr>
        <w:spacing w:line="440" w:lineRule="exact"/>
        <w:rPr>
          <w:rFonts w:hint="eastAsia" w:ascii="仿宋" w:hAnsi="仿宋" w:eastAsia="仿宋" w:cs="仿宋"/>
          <w:sz w:val="24"/>
          <w:szCs w:val="24"/>
          <w:highlight w:val="none"/>
        </w:rPr>
      </w:pPr>
    </w:p>
    <w:p w14:paraId="3E049B1C">
      <w:pPr>
        <w:spacing w:line="440" w:lineRule="exact"/>
        <w:rPr>
          <w:rFonts w:hint="eastAsia" w:ascii="仿宋" w:hAnsi="仿宋" w:eastAsia="仿宋" w:cs="仿宋"/>
          <w:sz w:val="24"/>
          <w:szCs w:val="24"/>
          <w:highlight w:val="none"/>
        </w:rPr>
      </w:pPr>
    </w:p>
    <w:p w14:paraId="79C4C301">
      <w:pPr>
        <w:spacing w:line="44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18AF8DD1">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6B90B5CA">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76200FE">
      <w:pPr>
        <w:widowControl/>
        <w:autoSpaceDE w:val="0"/>
        <w:autoSpaceDN w:val="0"/>
        <w:adjustRightInd w:val="0"/>
        <w:spacing w:line="440" w:lineRule="exact"/>
        <w:jc w:val="center"/>
        <w:rPr>
          <w:rFonts w:hint="eastAsia" w:ascii="仿宋" w:hAnsi="仿宋" w:eastAsia="仿宋" w:cs="仿宋"/>
          <w:sz w:val="24"/>
          <w:szCs w:val="24"/>
          <w:highlight w:val="none"/>
        </w:rPr>
      </w:pPr>
      <w:r>
        <w:rPr>
          <w:rFonts w:hint="eastAsia" w:ascii="仿宋" w:hAnsi="仿宋" w:eastAsia="仿宋" w:cs="仿宋"/>
          <w:kern w:val="1"/>
          <w:sz w:val="28"/>
          <w:szCs w:val="28"/>
          <w:highlight w:val="none"/>
        </w:rPr>
        <w:br w:type="page"/>
      </w:r>
      <w:r>
        <w:rPr>
          <w:rStyle w:val="35"/>
          <w:rFonts w:hint="eastAsia" w:ascii="仿宋" w:hAnsi="仿宋" w:eastAsia="仿宋" w:cs="仿宋"/>
          <w:b/>
          <w:bCs/>
          <w:sz w:val="28"/>
          <w:szCs w:val="28"/>
          <w:highlight w:val="none"/>
          <w:lang w:val="en-US" w:eastAsia="zh-CN"/>
        </w:rPr>
        <w:t>十二</w:t>
      </w:r>
      <w:r>
        <w:rPr>
          <w:rStyle w:val="35"/>
          <w:rFonts w:hint="eastAsia" w:ascii="仿宋" w:hAnsi="仿宋" w:eastAsia="仿宋" w:cs="仿宋"/>
          <w:b/>
          <w:bCs/>
          <w:sz w:val="28"/>
          <w:szCs w:val="28"/>
          <w:highlight w:val="none"/>
        </w:rPr>
        <w:t>、技术偏离表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55"/>
        <w:gridCol w:w="1666"/>
        <w:gridCol w:w="1712"/>
        <w:gridCol w:w="1182"/>
        <w:gridCol w:w="1354"/>
        <w:gridCol w:w="1579"/>
      </w:tblGrid>
      <w:tr w14:paraId="4017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8" w:type="dxa"/>
            <w:vAlign w:val="center"/>
          </w:tcPr>
          <w:p w14:paraId="652ED95D">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25" w:type="dxa"/>
            <w:vAlign w:val="center"/>
          </w:tcPr>
          <w:p w14:paraId="3F4D5AE5">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货物名称</w:t>
            </w:r>
          </w:p>
        </w:tc>
        <w:tc>
          <w:tcPr>
            <w:tcW w:w="1741" w:type="dxa"/>
            <w:vAlign w:val="center"/>
          </w:tcPr>
          <w:p w14:paraId="38F03748">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招标</w:t>
            </w:r>
            <w:r>
              <w:rPr>
                <w:rFonts w:hint="eastAsia" w:ascii="仿宋" w:hAnsi="仿宋" w:eastAsia="仿宋" w:cs="仿宋"/>
                <w:sz w:val="24"/>
                <w:szCs w:val="24"/>
                <w:highlight w:val="none"/>
                <w:lang w:val="en-US" w:eastAsia="zh-CN"/>
              </w:rPr>
              <w:t>货物参数</w:t>
            </w:r>
          </w:p>
        </w:tc>
        <w:tc>
          <w:tcPr>
            <w:tcW w:w="1712" w:type="dxa"/>
            <w:vAlign w:val="center"/>
          </w:tcPr>
          <w:p w14:paraId="5650F376">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en-US" w:eastAsia="zh-CN"/>
              </w:rPr>
              <w:t>货物参数</w:t>
            </w:r>
          </w:p>
        </w:tc>
        <w:tc>
          <w:tcPr>
            <w:tcW w:w="1262" w:type="dxa"/>
            <w:vAlign w:val="center"/>
          </w:tcPr>
          <w:p w14:paraId="564B2E38">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偏离情况</w:t>
            </w:r>
          </w:p>
        </w:tc>
        <w:tc>
          <w:tcPr>
            <w:tcW w:w="1274" w:type="dxa"/>
            <w:vAlign w:val="center"/>
          </w:tcPr>
          <w:p w14:paraId="70095F1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w:t>
            </w:r>
            <w:r>
              <w:rPr>
                <w:rFonts w:hint="eastAsia" w:ascii="仿宋" w:hAnsi="仿宋" w:eastAsia="仿宋" w:cs="仿宋"/>
                <w:sz w:val="24"/>
                <w:szCs w:val="24"/>
                <w:highlight w:val="none"/>
                <w:lang w:val="en-US" w:eastAsia="zh-CN"/>
              </w:rPr>
              <w:t>说明</w:t>
            </w:r>
          </w:p>
        </w:tc>
        <w:tc>
          <w:tcPr>
            <w:tcW w:w="1579" w:type="dxa"/>
            <w:vAlign w:val="center"/>
          </w:tcPr>
          <w:p w14:paraId="7E17B29A">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偏离对应投标文件页码</w:t>
            </w:r>
          </w:p>
        </w:tc>
      </w:tr>
      <w:tr w14:paraId="5690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8" w:type="dxa"/>
            <w:vMerge w:val="restart"/>
            <w:vAlign w:val="center"/>
          </w:tcPr>
          <w:p w14:paraId="36D92E63">
            <w:pPr>
              <w:spacing w:line="360" w:lineRule="auto"/>
              <w:jc w:val="center"/>
              <w:rPr>
                <w:rFonts w:hint="eastAsia" w:ascii="仿宋" w:hAnsi="仿宋" w:eastAsia="仿宋" w:cs="仿宋"/>
                <w:sz w:val="24"/>
                <w:szCs w:val="24"/>
                <w:highlight w:val="none"/>
                <w:lang w:val="en-US" w:eastAsia="zh-CN"/>
              </w:rPr>
            </w:pPr>
          </w:p>
          <w:p w14:paraId="71FC3C6D">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p w14:paraId="1716110D">
            <w:pPr>
              <w:spacing w:line="360" w:lineRule="auto"/>
              <w:jc w:val="center"/>
              <w:rPr>
                <w:rFonts w:hint="eastAsia" w:ascii="仿宋" w:hAnsi="仿宋" w:eastAsia="仿宋" w:cs="仿宋"/>
                <w:sz w:val="24"/>
                <w:szCs w:val="24"/>
                <w:highlight w:val="none"/>
                <w:lang w:val="en-US" w:eastAsia="zh-CN"/>
              </w:rPr>
            </w:pPr>
          </w:p>
        </w:tc>
        <w:tc>
          <w:tcPr>
            <w:tcW w:w="1225" w:type="dxa"/>
            <w:vMerge w:val="restart"/>
            <w:vAlign w:val="center"/>
          </w:tcPr>
          <w:p w14:paraId="3082E7DA">
            <w:pPr>
              <w:spacing w:line="360" w:lineRule="auto"/>
              <w:jc w:val="center"/>
              <w:rPr>
                <w:rFonts w:hint="eastAsia" w:ascii="仿宋" w:hAnsi="仿宋" w:eastAsia="仿宋" w:cs="仿宋"/>
                <w:sz w:val="24"/>
                <w:szCs w:val="24"/>
                <w:highlight w:val="none"/>
              </w:rPr>
            </w:pPr>
          </w:p>
        </w:tc>
        <w:tc>
          <w:tcPr>
            <w:tcW w:w="1741" w:type="dxa"/>
            <w:vAlign w:val="center"/>
          </w:tcPr>
          <w:p w14:paraId="14347553">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vAlign w:val="center"/>
          </w:tcPr>
          <w:p w14:paraId="3276580B">
            <w:pPr>
              <w:spacing w:line="360" w:lineRule="auto"/>
              <w:jc w:val="center"/>
              <w:rPr>
                <w:rFonts w:hint="eastAsia" w:ascii="仿宋" w:hAnsi="仿宋" w:eastAsia="仿宋" w:cs="仿宋"/>
                <w:sz w:val="24"/>
                <w:szCs w:val="24"/>
                <w:highlight w:val="none"/>
              </w:rPr>
            </w:pPr>
          </w:p>
        </w:tc>
        <w:tc>
          <w:tcPr>
            <w:tcW w:w="1262" w:type="dxa"/>
            <w:vAlign w:val="center"/>
          </w:tcPr>
          <w:p w14:paraId="1B2DCECD">
            <w:pPr>
              <w:spacing w:line="360" w:lineRule="auto"/>
              <w:jc w:val="center"/>
              <w:rPr>
                <w:rFonts w:hint="eastAsia" w:ascii="仿宋" w:hAnsi="仿宋" w:eastAsia="仿宋" w:cs="仿宋"/>
                <w:sz w:val="24"/>
                <w:szCs w:val="24"/>
                <w:highlight w:val="none"/>
              </w:rPr>
            </w:pPr>
          </w:p>
        </w:tc>
        <w:tc>
          <w:tcPr>
            <w:tcW w:w="1274" w:type="dxa"/>
            <w:vAlign w:val="center"/>
          </w:tcPr>
          <w:p w14:paraId="11402795">
            <w:pPr>
              <w:spacing w:line="360" w:lineRule="auto"/>
              <w:jc w:val="center"/>
              <w:rPr>
                <w:rFonts w:hint="eastAsia" w:ascii="仿宋" w:hAnsi="仿宋" w:eastAsia="仿宋" w:cs="仿宋"/>
                <w:sz w:val="24"/>
                <w:szCs w:val="24"/>
                <w:highlight w:val="none"/>
              </w:rPr>
            </w:pPr>
          </w:p>
        </w:tc>
        <w:tc>
          <w:tcPr>
            <w:tcW w:w="1579" w:type="dxa"/>
            <w:vAlign w:val="center"/>
          </w:tcPr>
          <w:p w14:paraId="0A3D4E82">
            <w:pPr>
              <w:spacing w:line="360" w:lineRule="auto"/>
              <w:jc w:val="center"/>
              <w:rPr>
                <w:rFonts w:hint="eastAsia" w:ascii="仿宋" w:hAnsi="仿宋" w:eastAsia="仿宋" w:cs="仿宋"/>
                <w:sz w:val="24"/>
                <w:szCs w:val="24"/>
                <w:highlight w:val="none"/>
              </w:rPr>
            </w:pPr>
          </w:p>
        </w:tc>
      </w:tr>
      <w:tr w14:paraId="5004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8" w:type="dxa"/>
            <w:vMerge w:val="continue"/>
            <w:vAlign w:val="center"/>
          </w:tcPr>
          <w:p w14:paraId="00EF348E">
            <w:pPr>
              <w:spacing w:line="360" w:lineRule="auto"/>
              <w:jc w:val="center"/>
              <w:rPr>
                <w:rFonts w:hint="eastAsia" w:ascii="仿宋" w:hAnsi="仿宋" w:eastAsia="仿宋" w:cs="仿宋"/>
                <w:sz w:val="24"/>
                <w:szCs w:val="24"/>
                <w:highlight w:val="none"/>
              </w:rPr>
            </w:pPr>
          </w:p>
        </w:tc>
        <w:tc>
          <w:tcPr>
            <w:tcW w:w="1225" w:type="dxa"/>
            <w:vMerge w:val="continue"/>
            <w:vAlign w:val="center"/>
          </w:tcPr>
          <w:p w14:paraId="48F9B896">
            <w:pPr>
              <w:spacing w:line="360" w:lineRule="auto"/>
              <w:jc w:val="center"/>
              <w:rPr>
                <w:rFonts w:hint="eastAsia" w:ascii="仿宋" w:hAnsi="仿宋" w:eastAsia="仿宋" w:cs="仿宋"/>
                <w:sz w:val="24"/>
                <w:szCs w:val="24"/>
                <w:highlight w:val="none"/>
              </w:rPr>
            </w:pPr>
          </w:p>
        </w:tc>
        <w:tc>
          <w:tcPr>
            <w:tcW w:w="1741" w:type="dxa"/>
            <w:vAlign w:val="center"/>
          </w:tcPr>
          <w:p w14:paraId="6F1FA007">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vAlign w:val="center"/>
          </w:tcPr>
          <w:p w14:paraId="76FE5394">
            <w:pPr>
              <w:spacing w:line="360" w:lineRule="auto"/>
              <w:jc w:val="center"/>
              <w:rPr>
                <w:rFonts w:hint="eastAsia" w:ascii="仿宋" w:hAnsi="仿宋" w:eastAsia="仿宋" w:cs="仿宋"/>
                <w:sz w:val="24"/>
                <w:szCs w:val="24"/>
                <w:highlight w:val="none"/>
              </w:rPr>
            </w:pPr>
          </w:p>
        </w:tc>
        <w:tc>
          <w:tcPr>
            <w:tcW w:w="1262" w:type="dxa"/>
            <w:vAlign w:val="center"/>
          </w:tcPr>
          <w:p w14:paraId="060B28DD">
            <w:pPr>
              <w:spacing w:line="360" w:lineRule="auto"/>
              <w:jc w:val="center"/>
              <w:rPr>
                <w:rFonts w:hint="eastAsia" w:ascii="仿宋" w:hAnsi="仿宋" w:eastAsia="仿宋" w:cs="仿宋"/>
                <w:sz w:val="24"/>
                <w:szCs w:val="24"/>
                <w:highlight w:val="none"/>
              </w:rPr>
            </w:pPr>
          </w:p>
        </w:tc>
        <w:tc>
          <w:tcPr>
            <w:tcW w:w="1274" w:type="dxa"/>
            <w:vAlign w:val="center"/>
          </w:tcPr>
          <w:p w14:paraId="356D2A57">
            <w:pPr>
              <w:spacing w:line="360" w:lineRule="auto"/>
              <w:jc w:val="center"/>
              <w:rPr>
                <w:rFonts w:hint="eastAsia" w:ascii="仿宋" w:hAnsi="仿宋" w:eastAsia="仿宋" w:cs="仿宋"/>
                <w:sz w:val="24"/>
                <w:szCs w:val="24"/>
                <w:highlight w:val="none"/>
              </w:rPr>
            </w:pPr>
          </w:p>
        </w:tc>
        <w:tc>
          <w:tcPr>
            <w:tcW w:w="1579" w:type="dxa"/>
            <w:vAlign w:val="center"/>
          </w:tcPr>
          <w:p w14:paraId="26DDF84B">
            <w:pPr>
              <w:spacing w:line="360" w:lineRule="auto"/>
              <w:jc w:val="center"/>
              <w:rPr>
                <w:rFonts w:hint="eastAsia" w:ascii="仿宋" w:hAnsi="仿宋" w:eastAsia="仿宋" w:cs="仿宋"/>
                <w:sz w:val="24"/>
                <w:szCs w:val="24"/>
                <w:highlight w:val="none"/>
              </w:rPr>
            </w:pPr>
          </w:p>
        </w:tc>
      </w:tr>
      <w:tr w14:paraId="1ECB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8" w:type="dxa"/>
            <w:vMerge w:val="continue"/>
            <w:vAlign w:val="center"/>
          </w:tcPr>
          <w:p w14:paraId="228E3327">
            <w:pPr>
              <w:spacing w:line="360" w:lineRule="auto"/>
              <w:jc w:val="center"/>
              <w:rPr>
                <w:rFonts w:hint="eastAsia" w:ascii="仿宋" w:hAnsi="仿宋" w:eastAsia="仿宋" w:cs="仿宋"/>
                <w:sz w:val="24"/>
                <w:szCs w:val="24"/>
                <w:highlight w:val="none"/>
              </w:rPr>
            </w:pPr>
          </w:p>
        </w:tc>
        <w:tc>
          <w:tcPr>
            <w:tcW w:w="1225" w:type="dxa"/>
            <w:vMerge w:val="continue"/>
            <w:vAlign w:val="center"/>
          </w:tcPr>
          <w:p w14:paraId="376F9481">
            <w:pPr>
              <w:spacing w:line="360" w:lineRule="auto"/>
              <w:jc w:val="center"/>
              <w:rPr>
                <w:rFonts w:hint="eastAsia" w:ascii="仿宋" w:hAnsi="仿宋" w:eastAsia="仿宋" w:cs="仿宋"/>
                <w:sz w:val="24"/>
                <w:szCs w:val="24"/>
                <w:highlight w:val="none"/>
              </w:rPr>
            </w:pPr>
          </w:p>
        </w:tc>
        <w:tc>
          <w:tcPr>
            <w:tcW w:w="1741" w:type="dxa"/>
            <w:vAlign w:val="center"/>
          </w:tcPr>
          <w:p w14:paraId="45818E06">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vAlign w:val="center"/>
          </w:tcPr>
          <w:p w14:paraId="0E15137C">
            <w:pPr>
              <w:spacing w:line="360" w:lineRule="auto"/>
              <w:jc w:val="center"/>
              <w:rPr>
                <w:rFonts w:hint="eastAsia" w:ascii="仿宋" w:hAnsi="仿宋" w:eastAsia="仿宋" w:cs="仿宋"/>
                <w:sz w:val="24"/>
                <w:szCs w:val="24"/>
                <w:highlight w:val="none"/>
              </w:rPr>
            </w:pPr>
          </w:p>
        </w:tc>
        <w:tc>
          <w:tcPr>
            <w:tcW w:w="1262" w:type="dxa"/>
            <w:vAlign w:val="center"/>
          </w:tcPr>
          <w:p w14:paraId="48B27C68">
            <w:pPr>
              <w:spacing w:line="360" w:lineRule="auto"/>
              <w:jc w:val="center"/>
              <w:rPr>
                <w:rFonts w:hint="eastAsia" w:ascii="仿宋" w:hAnsi="仿宋" w:eastAsia="仿宋" w:cs="仿宋"/>
                <w:sz w:val="24"/>
                <w:szCs w:val="24"/>
                <w:highlight w:val="none"/>
              </w:rPr>
            </w:pPr>
          </w:p>
        </w:tc>
        <w:tc>
          <w:tcPr>
            <w:tcW w:w="1274" w:type="dxa"/>
            <w:vAlign w:val="center"/>
          </w:tcPr>
          <w:p w14:paraId="5267830A">
            <w:pPr>
              <w:spacing w:line="360" w:lineRule="auto"/>
              <w:jc w:val="center"/>
              <w:rPr>
                <w:rFonts w:hint="eastAsia" w:ascii="仿宋" w:hAnsi="仿宋" w:eastAsia="仿宋" w:cs="仿宋"/>
                <w:sz w:val="24"/>
                <w:szCs w:val="24"/>
                <w:highlight w:val="none"/>
              </w:rPr>
            </w:pPr>
          </w:p>
        </w:tc>
        <w:tc>
          <w:tcPr>
            <w:tcW w:w="1579" w:type="dxa"/>
            <w:vAlign w:val="center"/>
          </w:tcPr>
          <w:p w14:paraId="20A9506A">
            <w:pPr>
              <w:spacing w:line="360" w:lineRule="auto"/>
              <w:jc w:val="center"/>
              <w:rPr>
                <w:rFonts w:hint="eastAsia" w:ascii="仿宋" w:hAnsi="仿宋" w:eastAsia="仿宋" w:cs="仿宋"/>
                <w:sz w:val="24"/>
                <w:szCs w:val="24"/>
                <w:highlight w:val="none"/>
              </w:rPr>
            </w:pPr>
          </w:p>
        </w:tc>
      </w:tr>
      <w:tr w14:paraId="54C0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8" w:type="dxa"/>
            <w:vMerge w:val="restart"/>
            <w:vAlign w:val="center"/>
          </w:tcPr>
          <w:p w14:paraId="07E4E943">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25" w:type="dxa"/>
            <w:vMerge w:val="restart"/>
            <w:vAlign w:val="center"/>
          </w:tcPr>
          <w:p w14:paraId="233BBFC8">
            <w:pPr>
              <w:spacing w:line="360" w:lineRule="auto"/>
              <w:jc w:val="center"/>
              <w:rPr>
                <w:rFonts w:hint="eastAsia" w:ascii="仿宋" w:hAnsi="仿宋" w:eastAsia="仿宋" w:cs="仿宋"/>
                <w:sz w:val="24"/>
                <w:szCs w:val="24"/>
                <w:highlight w:val="none"/>
              </w:rPr>
            </w:pPr>
          </w:p>
        </w:tc>
        <w:tc>
          <w:tcPr>
            <w:tcW w:w="1741" w:type="dxa"/>
            <w:vAlign w:val="center"/>
          </w:tcPr>
          <w:p w14:paraId="2943AE59">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vAlign w:val="center"/>
          </w:tcPr>
          <w:p w14:paraId="7476CECB">
            <w:pPr>
              <w:spacing w:line="360" w:lineRule="auto"/>
              <w:jc w:val="center"/>
              <w:rPr>
                <w:rFonts w:hint="eastAsia" w:ascii="仿宋" w:hAnsi="仿宋" w:eastAsia="仿宋" w:cs="仿宋"/>
                <w:sz w:val="24"/>
                <w:szCs w:val="24"/>
                <w:highlight w:val="none"/>
              </w:rPr>
            </w:pPr>
          </w:p>
        </w:tc>
        <w:tc>
          <w:tcPr>
            <w:tcW w:w="1262" w:type="dxa"/>
            <w:vAlign w:val="center"/>
          </w:tcPr>
          <w:p w14:paraId="77A6C978">
            <w:pPr>
              <w:spacing w:line="360" w:lineRule="auto"/>
              <w:jc w:val="center"/>
              <w:rPr>
                <w:rFonts w:hint="eastAsia" w:ascii="仿宋" w:hAnsi="仿宋" w:eastAsia="仿宋" w:cs="仿宋"/>
                <w:sz w:val="24"/>
                <w:szCs w:val="24"/>
                <w:highlight w:val="none"/>
              </w:rPr>
            </w:pPr>
          </w:p>
        </w:tc>
        <w:tc>
          <w:tcPr>
            <w:tcW w:w="1274" w:type="dxa"/>
            <w:vAlign w:val="center"/>
          </w:tcPr>
          <w:p w14:paraId="536ADF17">
            <w:pPr>
              <w:spacing w:line="360" w:lineRule="auto"/>
              <w:jc w:val="center"/>
              <w:rPr>
                <w:rFonts w:hint="eastAsia" w:ascii="仿宋" w:hAnsi="仿宋" w:eastAsia="仿宋" w:cs="仿宋"/>
                <w:sz w:val="24"/>
                <w:szCs w:val="24"/>
                <w:highlight w:val="none"/>
              </w:rPr>
            </w:pPr>
          </w:p>
        </w:tc>
        <w:tc>
          <w:tcPr>
            <w:tcW w:w="1579" w:type="dxa"/>
            <w:vAlign w:val="center"/>
          </w:tcPr>
          <w:p w14:paraId="67F2BD2E">
            <w:pPr>
              <w:spacing w:line="360" w:lineRule="auto"/>
              <w:jc w:val="center"/>
              <w:rPr>
                <w:rFonts w:hint="eastAsia" w:ascii="仿宋" w:hAnsi="仿宋" w:eastAsia="仿宋" w:cs="仿宋"/>
                <w:sz w:val="24"/>
                <w:szCs w:val="24"/>
                <w:highlight w:val="none"/>
              </w:rPr>
            </w:pPr>
          </w:p>
        </w:tc>
      </w:tr>
      <w:tr w14:paraId="7A87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8" w:type="dxa"/>
            <w:vMerge w:val="continue"/>
            <w:vAlign w:val="center"/>
          </w:tcPr>
          <w:p w14:paraId="0DAC7643">
            <w:pPr>
              <w:spacing w:line="360" w:lineRule="auto"/>
              <w:jc w:val="center"/>
              <w:rPr>
                <w:rFonts w:hint="eastAsia" w:ascii="仿宋" w:hAnsi="仿宋" w:eastAsia="仿宋" w:cs="仿宋"/>
                <w:sz w:val="24"/>
                <w:szCs w:val="24"/>
                <w:highlight w:val="none"/>
              </w:rPr>
            </w:pPr>
          </w:p>
        </w:tc>
        <w:tc>
          <w:tcPr>
            <w:tcW w:w="1225" w:type="dxa"/>
            <w:vMerge w:val="continue"/>
            <w:vAlign w:val="center"/>
          </w:tcPr>
          <w:p w14:paraId="16C6A1D4">
            <w:pPr>
              <w:spacing w:line="360" w:lineRule="auto"/>
              <w:jc w:val="center"/>
              <w:rPr>
                <w:rFonts w:hint="eastAsia" w:ascii="仿宋" w:hAnsi="仿宋" w:eastAsia="仿宋" w:cs="仿宋"/>
                <w:sz w:val="24"/>
                <w:szCs w:val="24"/>
                <w:highlight w:val="none"/>
              </w:rPr>
            </w:pPr>
          </w:p>
        </w:tc>
        <w:tc>
          <w:tcPr>
            <w:tcW w:w="1741" w:type="dxa"/>
            <w:vAlign w:val="center"/>
          </w:tcPr>
          <w:p w14:paraId="168D8ACE">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vAlign w:val="center"/>
          </w:tcPr>
          <w:p w14:paraId="43C36476">
            <w:pPr>
              <w:spacing w:line="360" w:lineRule="auto"/>
              <w:jc w:val="center"/>
              <w:rPr>
                <w:rFonts w:hint="eastAsia" w:ascii="仿宋" w:hAnsi="仿宋" w:eastAsia="仿宋" w:cs="仿宋"/>
                <w:sz w:val="24"/>
                <w:szCs w:val="24"/>
                <w:highlight w:val="none"/>
              </w:rPr>
            </w:pPr>
          </w:p>
        </w:tc>
        <w:tc>
          <w:tcPr>
            <w:tcW w:w="1262" w:type="dxa"/>
            <w:vAlign w:val="center"/>
          </w:tcPr>
          <w:p w14:paraId="1DB1FD39">
            <w:pPr>
              <w:spacing w:line="360" w:lineRule="auto"/>
              <w:jc w:val="center"/>
              <w:rPr>
                <w:rFonts w:hint="eastAsia" w:ascii="仿宋" w:hAnsi="仿宋" w:eastAsia="仿宋" w:cs="仿宋"/>
                <w:sz w:val="24"/>
                <w:szCs w:val="24"/>
                <w:highlight w:val="none"/>
              </w:rPr>
            </w:pPr>
          </w:p>
        </w:tc>
        <w:tc>
          <w:tcPr>
            <w:tcW w:w="1274" w:type="dxa"/>
            <w:vAlign w:val="center"/>
          </w:tcPr>
          <w:p w14:paraId="0DCF3044">
            <w:pPr>
              <w:spacing w:line="360" w:lineRule="auto"/>
              <w:jc w:val="center"/>
              <w:rPr>
                <w:rFonts w:hint="eastAsia" w:ascii="仿宋" w:hAnsi="仿宋" w:eastAsia="仿宋" w:cs="仿宋"/>
                <w:sz w:val="24"/>
                <w:szCs w:val="24"/>
                <w:highlight w:val="none"/>
              </w:rPr>
            </w:pPr>
          </w:p>
        </w:tc>
        <w:tc>
          <w:tcPr>
            <w:tcW w:w="1579" w:type="dxa"/>
            <w:vAlign w:val="center"/>
          </w:tcPr>
          <w:p w14:paraId="0EF97C94">
            <w:pPr>
              <w:spacing w:line="360" w:lineRule="auto"/>
              <w:jc w:val="center"/>
              <w:rPr>
                <w:rFonts w:hint="eastAsia" w:ascii="仿宋" w:hAnsi="仿宋" w:eastAsia="仿宋" w:cs="仿宋"/>
                <w:sz w:val="24"/>
                <w:szCs w:val="24"/>
                <w:highlight w:val="none"/>
              </w:rPr>
            </w:pPr>
          </w:p>
        </w:tc>
      </w:tr>
      <w:tr w14:paraId="4697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48" w:type="dxa"/>
            <w:vMerge w:val="continue"/>
          </w:tcPr>
          <w:p w14:paraId="23C83E64">
            <w:pPr>
              <w:spacing w:line="360" w:lineRule="auto"/>
              <w:jc w:val="center"/>
              <w:rPr>
                <w:rFonts w:hint="eastAsia" w:ascii="仿宋" w:hAnsi="仿宋" w:eastAsia="仿宋" w:cs="仿宋"/>
                <w:sz w:val="24"/>
                <w:szCs w:val="24"/>
                <w:highlight w:val="none"/>
              </w:rPr>
            </w:pPr>
          </w:p>
        </w:tc>
        <w:tc>
          <w:tcPr>
            <w:tcW w:w="1225" w:type="dxa"/>
            <w:vMerge w:val="continue"/>
            <w:vAlign w:val="center"/>
          </w:tcPr>
          <w:p w14:paraId="6E2458FE">
            <w:pPr>
              <w:spacing w:line="360" w:lineRule="auto"/>
              <w:jc w:val="center"/>
              <w:rPr>
                <w:rFonts w:hint="eastAsia" w:ascii="仿宋" w:hAnsi="仿宋" w:eastAsia="仿宋" w:cs="仿宋"/>
                <w:sz w:val="24"/>
                <w:szCs w:val="24"/>
                <w:highlight w:val="none"/>
              </w:rPr>
            </w:pPr>
          </w:p>
        </w:tc>
        <w:tc>
          <w:tcPr>
            <w:tcW w:w="1741" w:type="dxa"/>
            <w:vAlign w:val="center"/>
          </w:tcPr>
          <w:p w14:paraId="657C088D">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tcPr>
          <w:p w14:paraId="6BA4E044">
            <w:pPr>
              <w:spacing w:line="360" w:lineRule="auto"/>
              <w:jc w:val="center"/>
              <w:rPr>
                <w:rFonts w:hint="eastAsia" w:ascii="仿宋" w:hAnsi="仿宋" w:eastAsia="仿宋" w:cs="仿宋"/>
                <w:sz w:val="24"/>
                <w:szCs w:val="24"/>
                <w:highlight w:val="none"/>
              </w:rPr>
            </w:pPr>
          </w:p>
        </w:tc>
        <w:tc>
          <w:tcPr>
            <w:tcW w:w="1262" w:type="dxa"/>
          </w:tcPr>
          <w:p w14:paraId="3FFCF44E">
            <w:pPr>
              <w:spacing w:line="360" w:lineRule="auto"/>
              <w:jc w:val="center"/>
              <w:rPr>
                <w:rFonts w:hint="eastAsia" w:ascii="仿宋" w:hAnsi="仿宋" w:eastAsia="仿宋" w:cs="仿宋"/>
                <w:sz w:val="24"/>
                <w:szCs w:val="24"/>
                <w:highlight w:val="none"/>
              </w:rPr>
            </w:pPr>
          </w:p>
        </w:tc>
        <w:tc>
          <w:tcPr>
            <w:tcW w:w="1274" w:type="dxa"/>
          </w:tcPr>
          <w:p w14:paraId="4B839732">
            <w:pPr>
              <w:spacing w:line="360" w:lineRule="auto"/>
              <w:jc w:val="center"/>
              <w:rPr>
                <w:rFonts w:hint="eastAsia" w:ascii="仿宋" w:hAnsi="仿宋" w:eastAsia="仿宋" w:cs="仿宋"/>
                <w:sz w:val="24"/>
                <w:szCs w:val="24"/>
                <w:highlight w:val="none"/>
              </w:rPr>
            </w:pPr>
          </w:p>
        </w:tc>
        <w:tc>
          <w:tcPr>
            <w:tcW w:w="1579" w:type="dxa"/>
          </w:tcPr>
          <w:p w14:paraId="2652F03C">
            <w:pPr>
              <w:spacing w:line="360" w:lineRule="auto"/>
              <w:jc w:val="center"/>
              <w:rPr>
                <w:rFonts w:hint="eastAsia" w:ascii="仿宋" w:hAnsi="仿宋" w:eastAsia="仿宋" w:cs="仿宋"/>
                <w:sz w:val="24"/>
                <w:szCs w:val="24"/>
                <w:highlight w:val="none"/>
              </w:rPr>
            </w:pPr>
          </w:p>
        </w:tc>
      </w:tr>
      <w:tr w14:paraId="06D9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48" w:type="dxa"/>
          </w:tcPr>
          <w:p w14:paraId="496E580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225" w:type="dxa"/>
            <w:vAlign w:val="center"/>
          </w:tcPr>
          <w:p w14:paraId="6CD82447">
            <w:pPr>
              <w:spacing w:line="360" w:lineRule="auto"/>
              <w:jc w:val="center"/>
              <w:rPr>
                <w:rFonts w:hint="eastAsia" w:ascii="仿宋" w:hAnsi="仿宋" w:eastAsia="仿宋" w:cs="仿宋"/>
                <w:sz w:val="24"/>
                <w:szCs w:val="24"/>
                <w:highlight w:val="none"/>
              </w:rPr>
            </w:pPr>
          </w:p>
        </w:tc>
        <w:tc>
          <w:tcPr>
            <w:tcW w:w="1741" w:type="dxa"/>
            <w:vAlign w:val="center"/>
          </w:tcPr>
          <w:p w14:paraId="724C40F9">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tcPr>
          <w:p w14:paraId="26E7F19E">
            <w:pPr>
              <w:spacing w:line="360" w:lineRule="auto"/>
              <w:jc w:val="center"/>
              <w:rPr>
                <w:rFonts w:hint="eastAsia" w:ascii="仿宋" w:hAnsi="仿宋" w:eastAsia="仿宋" w:cs="仿宋"/>
                <w:sz w:val="24"/>
                <w:szCs w:val="24"/>
                <w:highlight w:val="none"/>
              </w:rPr>
            </w:pPr>
          </w:p>
        </w:tc>
        <w:tc>
          <w:tcPr>
            <w:tcW w:w="1262" w:type="dxa"/>
          </w:tcPr>
          <w:p w14:paraId="4884559B">
            <w:pPr>
              <w:spacing w:line="360" w:lineRule="auto"/>
              <w:jc w:val="center"/>
              <w:rPr>
                <w:rFonts w:hint="eastAsia" w:ascii="仿宋" w:hAnsi="仿宋" w:eastAsia="仿宋" w:cs="仿宋"/>
                <w:sz w:val="24"/>
                <w:szCs w:val="24"/>
                <w:highlight w:val="none"/>
              </w:rPr>
            </w:pPr>
          </w:p>
        </w:tc>
        <w:tc>
          <w:tcPr>
            <w:tcW w:w="1274" w:type="dxa"/>
          </w:tcPr>
          <w:p w14:paraId="170C91AE">
            <w:pPr>
              <w:spacing w:line="360" w:lineRule="auto"/>
              <w:jc w:val="center"/>
              <w:rPr>
                <w:rFonts w:hint="eastAsia" w:ascii="仿宋" w:hAnsi="仿宋" w:eastAsia="仿宋" w:cs="仿宋"/>
                <w:sz w:val="24"/>
                <w:szCs w:val="24"/>
                <w:highlight w:val="none"/>
              </w:rPr>
            </w:pPr>
          </w:p>
        </w:tc>
        <w:tc>
          <w:tcPr>
            <w:tcW w:w="1579" w:type="dxa"/>
          </w:tcPr>
          <w:p w14:paraId="7BD50A8C">
            <w:pPr>
              <w:spacing w:line="360" w:lineRule="auto"/>
              <w:jc w:val="center"/>
              <w:rPr>
                <w:rFonts w:hint="eastAsia" w:ascii="仿宋" w:hAnsi="仿宋" w:eastAsia="仿宋" w:cs="仿宋"/>
                <w:sz w:val="24"/>
                <w:szCs w:val="24"/>
                <w:highlight w:val="none"/>
              </w:rPr>
            </w:pPr>
          </w:p>
        </w:tc>
      </w:tr>
      <w:tr w14:paraId="2307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48" w:type="dxa"/>
          </w:tcPr>
          <w:p w14:paraId="10295032">
            <w:pPr>
              <w:spacing w:line="360" w:lineRule="auto"/>
              <w:jc w:val="center"/>
              <w:rPr>
                <w:rFonts w:hint="eastAsia" w:ascii="仿宋" w:hAnsi="仿宋" w:eastAsia="仿宋" w:cs="仿宋"/>
                <w:sz w:val="24"/>
                <w:szCs w:val="24"/>
                <w:highlight w:val="none"/>
              </w:rPr>
            </w:pPr>
          </w:p>
        </w:tc>
        <w:tc>
          <w:tcPr>
            <w:tcW w:w="1225" w:type="dxa"/>
            <w:vAlign w:val="center"/>
          </w:tcPr>
          <w:p w14:paraId="630C70D8">
            <w:pPr>
              <w:spacing w:line="360" w:lineRule="auto"/>
              <w:jc w:val="center"/>
              <w:rPr>
                <w:rFonts w:hint="eastAsia" w:ascii="仿宋" w:hAnsi="仿宋" w:eastAsia="仿宋" w:cs="仿宋"/>
                <w:sz w:val="24"/>
                <w:szCs w:val="24"/>
                <w:highlight w:val="none"/>
              </w:rPr>
            </w:pPr>
          </w:p>
        </w:tc>
        <w:tc>
          <w:tcPr>
            <w:tcW w:w="1741" w:type="dxa"/>
            <w:vAlign w:val="center"/>
          </w:tcPr>
          <w:p w14:paraId="260C7F57">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tcPr>
          <w:p w14:paraId="00AFC4BC">
            <w:pPr>
              <w:spacing w:line="360" w:lineRule="auto"/>
              <w:jc w:val="center"/>
              <w:rPr>
                <w:rFonts w:hint="eastAsia" w:ascii="仿宋" w:hAnsi="仿宋" w:eastAsia="仿宋" w:cs="仿宋"/>
                <w:sz w:val="24"/>
                <w:szCs w:val="24"/>
                <w:highlight w:val="none"/>
              </w:rPr>
            </w:pPr>
          </w:p>
        </w:tc>
        <w:tc>
          <w:tcPr>
            <w:tcW w:w="1262" w:type="dxa"/>
          </w:tcPr>
          <w:p w14:paraId="38EC2F10">
            <w:pPr>
              <w:spacing w:line="360" w:lineRule="auto"/>
              <w:jc w:val="center"/>
              <w:rPr>
                <w:rFonts w:hint="eastAsia" w:ascii="仿宋" w:hAnsi="仿宋" w:eastAsia="仿宋" w:cs="仿宋"/>
                <w:sz w:val="24"/>
                <w:szCs w:val="24"/>
                <w:highlight w:val="none"/>
              </w:rPr>
            </w:pPr>
          </w:p>
        </w:tc>
        <w:tc>
          <w:tcPr>
            <w:tcW w:w="1274" w:type="dxa"/>
          </w:tcPr>
          <w:p w14:paraId="0CF21C47">
            <w:pPr>
              <w:spacing w:line="360" w:lineRule="auto"/>
              <w:jc w:val="center"/>
              <w:rPr>
                <w:rFonts w:hint="eastAsia" w:ascii="仿宋" w:hAnsi="仿宋" w:eastAsia="仿宋" w:cs="仿宋"/>
                <w:sz w:val="24"/>
                <w:szCs w:val="24"/>
                <w:highlight w:val="none"/>
              </w:rPr>
            </w:pPr>
          </w:p>
        </w:tc>
        <w:tc>
          <w:tcPr>
            <w:tcW w:w="1579" w:type="dxa"/>
          </w:tcPr>
          <w:p w14:paraId="34765765">
            <w:pPr>
              <w:spacing w:line="360" w:lineRule="auto"/>
              <w:jc w:val="center"/>
              <w:rPr>
                <w:rFonts w:hint="eastAsia" w:ascii="仿宋" w:hAnsi="仿宋" w:eastAsia="仿宋" w:cs="仿宋"/>
                <w:sz w:val="24"/>
                <w:szCs w:val="24"/>
                <w:highlight w:val="none"/>
              </w:rPr>
            </w:pPr>
          </w:p>
        </w:tc>
      </w:tr>
      <w:tr w14:paraId="758D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48" w:type="dxa"/>
          </w:tcPr>
          <w:p w14:paraId="27F6EF46">
            <w:pPr>
              <w:spacing w:line="360" w:lineRule="auto"/>
              <w:jc w:val="center"/>
              <w:rPr>
                <w:rFonts w:hint="eastAsia" w:ascii="仿宋" w:hAnsi="仿宋" w:eastAsia="仿宋" w:cs="仿宋"/>
                <w:sz w:val="24"/>
                <w:szCs w:val="24"/>
                <w:highlight w:val="none"/>
              </w:rPr>
            </w:pPr>
          </w:p>
        </w:tc>
        <w:tc>
          <w:tcPr>
            <w:tcW w:w="1225" w:type="dxa"/>
            <w:vAlign w:val="center"/>
          </w:tcPr>
          <w:p w14:paraId="152530B5">
            <w:pPr>
              <w:spacing w:line="360" w:lineRule="auto"/>
              <w:jc w:val="center"/>
              <w:rPr>
                <w:rFonts w:hint="eastAsia" w:ascii="仿宋" w:hAnsi="仿宋" w:eastAsia="仿宋" w:cs="仿宋"/>
                <w:sz w:val="24"/>
                <w:szCs w:val="24"/>
                <w:highlight w:val="none"/>
              </w:rPr>
            </w:pPr>
          </w:p>
        </w:tc>
        <w:tc>
          <w:tcPr>
            <w:tcW w:w="1741" w:type="dxa"/>
            <w:vAlign w:val="center"/>
          </w:tcPr>
          <w:p w14:paraId="3F654B1C">
            <w:pPr>
              <w:widowControl/>
              <w:autoSpaceDE w:val="0"/>
              <w:autoSpaceDN w:val="0"/>
              <w:adjustRightInd w:val="0"/>
              <w:spacing w:line="440" w:lineRule="exact"/>
              <w:rPr>
                <w:rFonts w:hint="eastAsia" w:ascii="仿宋" w:hAnsi="仿宋" w:eastAsia="仿宋" w:cs="仿宋"/>
                <w:sz w:val="24"/>
                <w:szCs w:val="24"/>
                <w:highlight w:val="none"/>
              </w:rPr>
            </w:pPr>
          </w:p>
        </w:tc>
        <w:tc>
          <w:tcPr>
            <w:tcW w:w="1712" w:type="dxa"/>
          </w:tcPr>
          <w:p w14:paraId="0943E8C1">
            <w:pPr>
              <w:spacing w:line="360" w:lineRule="auto"/>
              <w:jc w:val="center"/>
              <w:rPr>
                <w:rFonts w:hint="eastAsia" w:ascii="仿宋" w:hAnsi="仿宋" w:eastAsia="仿宋" w:cs="仿宋"/>
                <w:sz w:val="24"/>
                <w:szCs w:val="24"/>
                <w:highlight w:val="none"/>
              </w:rPr>
            </w:pPr>
          </w:p>
        </w:tc>
        <w:tc>
          <w:tcPr>
            <w:tcW w:w="1262" w:type="dxa"/>
          </w:tcPr>
          <w:p w14:paraId="0BC858E5">
            <w:pPr>
              <w:spacing w:line="360" w:lineRule="auto"/>
              <w:jc w:val="center"/>
              <w:rPr>
                <w:rFonts w:hint="eastAsia" w:ascii="仿宋" w:hAnsi="仿宋" w:eastAsia="仿宋" w:cs="仿宋"/>
                <w:sz w:val="24"/>
                <w:szCs w:val="24"/>
                <w:highlight w:val="none"/>
              </w:rPr>
            </w:pPr>
          </w:p>
        </w:tc>
        <w:tc>
          <w:tcPr>
            <w:tcW w:w="1274" w:type="dxa"/>
          </w:tcPr>
          <w:p w14:paraId="7F6C9CB0">
            <w:pPr>
              <w:spacing w:line="360" w:lineRule="auto"/>
              <w:jc w:val="center"/>
              <w:rPr>
                <w:rFonts w:hint="eastAsia" w:ascii="仿宋" w:hAnsi="仿宋" w:eastAsia="仿宋" w:cs="仿宋"/>
                <w:sz w:val="24"/>
                <w:szCs w:val="24"/>
                <w:highlight w:val="none"/>
              </w:rPr>
            </w:pPr>
          </w:p>
        </w:tc>
        <w:tc>
          <w:tcPr>
            <w:tcW w:w="1579" w:type="dxa"/>
          </w:tcPr>
          <w:p w14:paraId="0ED20763">
            <w:pPr>
              <w:spacing w:line="360" w:lineRule="auto"/>
              <w:jc w:val="center"/>
              <w:rPr>
                <w:rFonts w:hint="eastAsia" w:ascii="仿宋" w:hAnsi="仿宋" w:eastAsia="仿宋" w:cs="仿宋"/>
                <w:sz w:val="24"/>
                <w:szCs w:val="24"/>
                <w:highlight w:val="none"/>
              </w:rPr>
            </w:pPr>
          </w:p>
        </w:tc>
      </w:tr>
    </w:tbl>
    <w:p w14:paraId="49FCDC7D">
      <w:pPr>
        <w:spacing w:beforeAutospacing="0" w:afterAutospacing="0" w:line="240" w:lineRule="auto"/>
        <w:rPr>
          <w:rFonts w:hint="eastAsia" w:ascii="仿宋" w:hAnsi="仿宋" w:eastAsia="仿宋" w:cs="仿宋"/>
          <w:b/>
          <w:bCs/>
          <w:sz w:val="24"/>
          <w:szCs w:val="24"/>
          <w:highlight w:val="none"/>
        </w:rPr>
      </w:pPr>
    </w:p>
    <w:p w14:paraId="353A9E6A">
      <w:pPr>
        <w:spacing w:beforeAutospacing="0" w:afterAutospacing="0"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注：偏离情况填写为正偏离、负偏离、无偏离</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偏离</w:t>
      </w:r>
      <w:r>
        <w:rPr>
          <w:rFonts w:hint="eastAsia" w:ascii="仿宋" w:hAnsi="仿宋" w:eastAsia="仿宋" w:cs="仿宋"/>
          <w:b/>
          <w:bCs/>
          <w:sz w:val="24"/>
          <w:szCs w:val="24"/>
          <w:highlight w:val="none"/>
          <w:lang w:val="en-US" w:eastAsia="zh-CN"/>
        </w:rPr>
        <w:t>说明</w:t>
      </w:r>
      <w:r>
        <w:rPr>
          <w:rFonts w:hint="eastAsia" w:ascii="仿宋" w:hAnsi="仿宋" w:eastAsia="仿宋" w:cs="仿宋"/>
          <w:b/>
          <w:bCs/>
          <w:sz w:val="24"/>
          <w:szCs w:val="24"/>
          <w:highlight w:val="none"/>
        </w:rPr>
        <w:t>填写为正偏离、负偏离</w:t>
      </w:r>
      <w:r>
        <w:rPr>
          <w:rFonts w:hint="eastAsia" w:ascii="仿宋" w:hAnsi="仿宋" w:eastAsia="仿宋" w:cs="仿宋"/>
          <w:b/>
          <w:bCs/>
          <w:sz w:val="24"/>
          <w:szCs w:val="24"/>
          <w:highlight w:val="none"/>
          <w:lang w:val="en-US" w:eastAsia="zh-CN"/>
        </w:rPr>
        <w:t>的原因</w:t>
      </w:r>
      <w:r>
        <w:rPr>
          <w:rFonts w:hint="eastAsia" w:ascii="仿宋" w:hAnsi="仿宋" w:eastAsia="仿宋" w:cs="仿宋"/>
          <w:b/>
          <w:bCs/>
          <w:sz w:val="24"/>
          <w:szCs w:val="24"/>
          <w:highlight w:val="none"/>
        </w:rPr>
        <w:t>。</w:t>
      </w:r>
    </w:p>
    <w:p w14:paraId="1B60BEB7">
      <w:pPr>
        <w:widowControl/>
        <w:autoSpaceDE w:val="0"/>
        <w:autoSpaceDN w:val="0"/>
        <w:adjustRightInd w:val="0"/>
        <w:spacing w:line="440" w:lineRule="exact"/>
        <w:ind w:firstLine="480" w:firstLineChars="200"/>
        <w:rPr>
          <w:rFonts w:hint="eastAsia" w:ascii="仿宋" w:hAnsi="仿宋" w:eastAsia="仿宋" w:cs="仿宋"/>
          <w:sz w:val="24"/>
          <w:szCs w:val="24"/>
          <w:highlight w:val="none"/>
        </w:rPr>
      </w:pPr>
    </w:p>
    <w:p w14:paraId="3FF486C1">
      <w:pPr>
        <w:widowControl/>
        <w:autoSpaceDE w:val="0"/>
        <w:autoSpaceDN w:val="0"/>
        <w:adjustRightInd w:val="0"/>
        <w:spacing w:line="440" w:lineRule="exact"/>
        <w:ind w:firstLine="480" w:firstLineChars="200"/>
        <w:rPr>
          <w:rFonts w:hint="eastAsia" w:ascii="仿宋" w:hAnsi="仿宋" w:eastAsia="仿宋" w:cs="仿宋"/>
          <w:sz w:val="24"/>
          <w:szCs w:val="24"/>
          <w:highlight w:val="none"/>
        </w:rPr>
      </w:pPr>
    </w:p>
    <w:p w14:paraId="4366DFA8">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35A3ACF7">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0CFD13FB">
      <w:pPr>
        <w:widowControl/>
        <w:autoSpaceDE w:val="0"/>
        <w:autoSpaceDN w:val="0"/>
        <w:adjustRightInd w:val="0"/>
        <w:spacing w:line="440" w:lineRule="exact"/>
        <w:ind w:firstLine="4080" w:firstLineChars="17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2BDDE81">
      <w:pPr>
        <w:widowControl/>
        <w:autoSpaceDE w:val="0"/>
        <w:autoSpaceDN w:val="0"/>
        <w:adjustRightInd w:val="0"/>
        <w:spacing w:line="440" w:lineRule="exact"/>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p>
    <w:p w14:paraId="7AB90EAD">
      <w:pPr>
        <w:widowControl/>
        <w:autoSpaceDE w:val="0"/>
        <w:autoSpaceDN w:val="0"/>
        <w:adjustRightInd w:val="0"/>
        <w:spacing w:line="440" w:lineRule="exact"/>
        <w:jc w:val="center"/>
        <w:rPr>
          <w:rStyle w:val="35"/>
          <w:rFonts w:hint="eastAsia" w:ascii="仿宋" w:hAnsi="仿宋" w:eastAsia="仿宋" w:cs="仿宋"/>
          <w:b/>
          <w:bCs/>
          <w:sz w:val="28"/>
          <w:szCs w:val="28"/>
          <w:highlight w:val="none"/>
          <w:lang w:val="en-US" w:eastAsia="zh-CN"/>
        </w:rPr>
      </w:pPr>
      <w:r>
        <w:rPr>
          <w:rStyle w:val="35"/>
          <w:rFonts w:hint="eastAsia" w:ascii="仿宋" w:hAnsi="仿宋" w:eastAsia="仿宋" w:cs="仿宋"/>
          <w:b/>
          <w:bCs/>
          <w:sz w:val="28"/>
          <w:szCs w:val="28"/>
          <w:highlight w:val="none"/>
          <w:lang w:val="en-US" w:eastAsia="zh-CN"/>
        </w:rPr>
        <w:t>十三</w:t>
      </w:r>
      <w:r>
        <w:rPr>
          <w:rStyle w:val="35"/>
          <w:rFonts w:hint="eastAsia" w:ascii="仿宋" w:hAnsi="仿宋" w:eastAsia="仿宋" w:cs="仿宋"/>
          <w:b/>
          <w:bCs/>
          <w:sz w:val="28"/>
          <w:szCs w:val="28"/>
          <w:highlight w:val="none"/>
        </w:rPr>
        <w:t>、供货方案、货物参数、业绩、售后服务保障、安装验收方案、培训方案</w:t>
      </w:r>
    </w:p>
    <w:p w14:paraId="6F3A5595">
      <w:pPr>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hint="eastAsia" w:ascii="仿宋" w:hAnsi="仿宋" w:eastAsia="仿宋" w:cs="仿宋"/>
          <w:kern w:val="1"/>
          <w:sz w:val="28"/>
          <w:szCs w:val="28"/>
          <w:highlight w:val="none"/>
          <w:lang w:val="en-US" w:eastAsia="zh-CN"/>
        </w:rPr>
      </w:pPr>
    </w:p>
    <w:p w14:paraId="66A28E66">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2A77B758">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5D92A5C9">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3A6D4DCC">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7BC097AF">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0DF82684">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4F347A63">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1CA4D03A">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756303B1">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43C2CEA6">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kern w:val="1"/>
          <w:sz w:val="28"/>
          <w:szCs w:val="28"/>
          <w:highlight w:val="none"/>
          <w:lang w:val="en-US" w:eastAsia="zh-CN"/>
        </w:rPr>
      </w:pPr>
    </w:p>
    <w:p w14:paraId="49429C20">
      <w:pPr>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lang w:val="en-US" w:eastAsia="zh-CN"/>
        </w:rPr>
      </w:pPr>
    </w:p>
    <w:p w14:paraId="33A0404D">
      <w:pPr>
        <w:pStyle w:val="8"/>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仿宋" w:hAnsi="仿宋" w:eastAsia="仿宋" w:cs="仿宋"/>
        </w:rPr>
      </w:pPr>
    </w:p>
    <w:p w14:paraId="6315C834">
      <w:pPr>
        <w:pageBreakBefore w:val="0"/>
        <w:widowControl/>
        <w:kinsoku w:val="0"/>
        <w:wordWrap/>
        <w:overflowPunct/>
        <w:topLinePunct w:val="0"/>
        <w:autoSpaceDE w:val="0"/>
        <w:autoSpaceDN w:val="0"/>
        <w:bidi w:val="0"/>
        <w:adjustRightInd w:val="0"/>
        <w:snapToGrid w:val="0"/>
        <w:spacing w:line="440" w:lineRule="exact"/>
        <w:textAlignment w:val="baseline"/>
        <w:outlineLvl w:val="9"/>
        <w:rPr>
          <w:rFonts w:hint="eastAsia" w:ascii="仿宋" w:hAnsi="仿宋" w:eastAsia="仿宋" w:cs="仿宋"/>
          <w:kern w:val="1"/>
          <w:highlight w:val="none"/>
        </w:rPr>
      </w:pPr>
    </w:p>
    <w:p w14:paraId="4CB59288">
      <w:pPr>
        <w:widowControl/>
        <w:autoSpaceDE w:val="0"/>
        <w:autoSpaceDN w:val="0"/>
        <w:adjustRightInd w:val="0"/>
        <w:spacing w:before="120" w:after="120" w:line="440" w:lineRule="exact"/>
        <w:ind w:right="-481"/>
        <w:jc w:val="center"/>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p>
    <w:p w14:paraId="3FD9ED6F">
      <w:pPr>
        <w:widowControl/>
        <w:autoSpaceDE w:val="0"/>
        <w:autoSpaceDN w:val="0"/>
        <w:adjustRightInd w:val="0"/>
        <w:spacing w:line="440" w:lineRule="exact"/>
        <w:jc w:val="center"/>
        <w:rPr>
          <w:rStyle w:val="35"/>
          <w:rFonts w:hint="eastAsia" w:ascii="仿宋" w:hAnsi="仿宋" w:eastAsia="仿宋" w:cs="仿宋"/>
          <w:b/>
          <w:bCs/>
          <w:color w:val="auto"/>
          <w:sz w:val="28"/>
          <w:szCs w:val="28"/>
          <w:highlight w:val="none"/>
        </w:rPr>
      </w:pPr>
      <w:r>
        <w:rPr>
          <w:rStyle w:val="35"/>
          <w:rFonts w:hint="eastAsia" w:ascii="仿宋" w:hAnsi="仿宋" w:eastAsia="仿宋" w:cs="仿宋"/>
          <w:b/>
          <w:bCs/>
          <w:color w:val="auto"/>
          <w:sz w:val="28"/>
          <w:szCs w:val="28"/>
          <w:highlight w:val="none"/>
          <w:lang w:val="en-US" w:eastAsia="zh-CN"/>
        </w:rPr>
        <w:t>十四</w:t>
      </w:r>
      <w:r>
        <w:rPr>
          <w:rStyle w:val="35"/>
          <w:rFonts w:hint="eastAsia" w:ascii="仿宋" w:hAnsi="仿宋" w:eastAsia="仿宋" w:cs="仿宋"/>
          <w:b/>
          <w:bCs/>
          <w:color w:val="auto"/>
          <w:sz w:val="28"/>
          <w:szCs w:val="28"/>
          <w:highlight w:val="none"/>
        </w:rPr>
        <w:t>、关于符合本国产品标准的声明函</w:t>
      </w:r>
    </w:p>
    <w:p w14:paraId="031796F7">
      <w:pPr>
        <w:rPr>
          <w:rStyle w:val="35"/>
          <w:rFonts w:hint="eastAsia" w:ascii="仿宋" w:hAnsi="仿宋" w:eastAsia="仿宋" w:cs="仿宋"/>
          <w:b/>
          <w:bCs/>
          <w:color w:val="auto"/>
          <w:sz w:val="28"/>
          <w:szCs w:val="28"/>
          <w:highlight w:val="none"/>
        </w:rPr>
      </w:pPr>
    </w:p>
    <w:p w14:paraId="60902EBE">
      <w:pPr>
        <w:rPr>
          <w:rStyle w:val="35"/>
          <w:rFonts w:hint="eastAsia" w:ascii="仿宋" w:hAnsi="仿宋" w:eastAsia="仿宋" w:cs="仿宋"/>
          <w:b/>
          <w:bCs/>
          <w:color w:val="auto"/>
          <w:sz w:val="28"/>
          <w:szCs w:val="28"/>
          <w:highlight w:val="none"/>
        </w:rPr>
      </w:pPr>
    </w:p>
    <w:p w14:paraId="027FA6DF">
      <w:pPr>
        <w:ind w:firstLine="480" w:firstLineChars="200"/>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2992620">
      <w:pPr>
        <w:rPr>
          <w:rStyle w:val="35"/>
          <w:rFonts w:hint="eastAsia" w:ascii="仿宋" w:hAnsi="仿宋" w:eastAsia="仿宋" w:cs="仿宋"/>
          <w:b w:val="0"/>
          <w:bCs w:val="0"/>
          <w:color w:val="auto"/>
          <w:sz w:val="24"/>
          <w:szCs w:val="24"/>
          <w:highlight w:val="none"/>
        </w:rPr>
      </w:pPr>
    </w:p>
    <w:p w14:paraId="03914AF2">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59CBB899">
      <w:pPr>
        <w:rPr>
          <w:rStyle w:val="35"/>
          <w:rFonts w:hint="eastAsia" w:ascii="仿宋" w:hAnsi="仿宋" w:eastAsia="仿宋" w:cs="仿宋"/>
          <w:b w:val="0"/>
          <w:bCs w:val="0"/>
          <w:color w:val="auto"/>
          <w:sz w:val="24"/>
          <w:szCs w:val="24"/>
          <w:highlight w:val="none"/>
        </w:rPr>
      </w:pPr>
    </w:p>
    <w:p w14:paraId="54117D52">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16CF847C">
      <w:pPr>
        <w:rPr>
          <w:rStyle w:val="35"/>
          <w:rFonts w:hint="eastAsia" w:ascii="仿宋" w:hAnsi="仿宋" w:eastAsia="仿宋" w:cs="仿宋"/>
          <w:b w:val="0"/>
          <w:bCs w:val="0"/>
          <w:color w:val="auto"/>
          <w:sz w:val="24"/>
          <w:szCs w:val="24"/>
          <w:highlight w:val="none"/>
        </w:rPr>
      </w:pPr>
    </w:p>
    <w:p w14:paraId="35F52F74">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w:t>
      </w:r>
    </w:p>
    <w:p w14:paraId="38E2A073">
      <w:pPr>
        <w:rPr>
          <w:rStyle w:val="35"/>
          <w:rFonts w:hint="eastAsia" w:ascii="仿宋" w:hAnsi="仿宋" w:eastAsia="仿宋" w:cs="仿宋"/>
          <w:b w:val="0"/>
          <w:bCs w:val="0"/>
          <w:color w:val="auto"/>
          <w:sz w:val="24"/>
          <w:szCs w:val="24"/>
          <w:highlight w:val="none"/>
        </w:rPr>
      </w:pPr>
    </w:p>
    <w:p w14:paraId="17B76E87">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本公司（单位）对上述声明内容的真实性负责。如有虚假，愿承担相应法律责任。</w:t>
      </w:r>
    </w:p>
    <w:p w14:paraId="628F0A51">
      <w:pPr>
        <w:rPr>
          <w:rStyle w:val="35"/>
          <w:rFonts w:hint="eastAsia" w:ascii="仿宋" w:hAnsi="仿宋" w:eastAsia="仿宋" w:cs="仿宋"/>
          <w:b w:val="0"/>
          <w:bCs w:val="0"/>
          <w:color w:val="auto"/>
          <w:sz w:val="24"/>
          <w:szCs w:val="24"/>
          <w:highlight w:val="none"/>
        </w:rPr>
      </w:pPr>
    </w:p>
    <w:p w14:paraId="2AEB7803">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 xml:space="preserve"> </w:t>
      </w:r>
    </w:p>
    <w:p w14:paraId="0076C80D">
      <w:pPr>
        <w:rPr>
          <w:rStyle w:val="35"/>
          <w:rFonts w:hint="eastAsia" w:ascii="仿宋" w:hAnsi="仿宋" w:eastAsia="仿宋" w:cs="仿宋"/>
          <w:b w:val="0"/>
          <w:bCs w:val="0"/>
          <w:color w:val="auto"/>
          <w:sz w:val="24"/>
          <w:szCs w:val="24"/>
          <w:highlight w:val="none"/>
        </w:rPr>
      </w:pPr>
    </w:p>
    <w:p w14:paraId="74B2E5E2">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公司（单位）名称（盖章）：　        </w:t>
      </w:r>
    </w:p>
    <w:p w14:paraId="4F71E5C0">
      <w:pPr>
        <w:rPr>
          <w:rStyle w:val="35"/>
          <w:rFonts w:hint="eastAsia" w:ascii="仿宋" w:hAnsi="仿宋" w:eastAsia="仿宋" w:cs="仿宋"/>
          <w:b w:val="0"/>
          <w:bCs w:val="0"/>
          <w:color w:val="auto"/>
          <w:sz w:val="24"/>
          <w:szCs w:val="24"/>
          <w:highlight w:val="none"/>
        </w:rPr>
      </w:pPr>
    </w:p>
    <w:p w14:paraId="0500C242">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日期：　     年　  月　  日         </w:t>
      </w:r>
    </w:p>
    <w:p w14:paraId="35F62CCF">
      <w:pPr>
        <w:rPr>
          <w:rStyle w:val="35"/>
          <w:rFonts w:hint="eastAsia" w:ascii="仿宋" w:hAnsi="仿宋" w:eastAsia="仿宋" w:cs="仿宋"/>
          <w:b w:val="0"/>
          <w:bCs w:val="0"/>
          <w:color w:val="auto"/>
          <w:sz w:val="24"/>
          <w:szCs w:val="24"/>
          <w:highlight w:val="none"/>
        </w:rPr>
      </w:pPr>
    </w:p>
    <w:p w14:paraId="355E3FE2">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__________________</w:t>
      </w:r>
    </w:p>
    <w:p w14:paraId="0F728AD6">
      <w:pPr>
        <w:rPr>
          <w:rStyle w:val="35"/>
          <w:rFonts w:hint="eastAsia" w:ascii="仿宋" w:hAnsi="仿宋" w:eastAsia="仿宋" w:cs="仿宋"/>
          <w:b w:val="0"/>
          <w:bCs w:val="0"/>
          <w:color w:val="auto"/>
          <w:sz w:val="24"/>
          <w:szCs w:val="24"/>
          <w:highlight w:val="none"/>
        </w:rPr>
      </w:pPr>
    </w:p>
    <w:p w14:paraId="3391F38C">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1.产品如有型号，请在“产品名称”栏一并填写。</w:t>
      </w:r>
    </w:p>
    <w:p w14:paraId="0B9C7423">
      <w:pPr>
        <w:rPr>
          <w:rStyle w:val="35"/>
          <w:rFonts w:hint="eastAsia" w:ascii="仿宋" w:hAnsi="仿宋" w:eastAsia="仿宋" w:cs="仿宋"/>
          <w:b w:val="0"/>
          <w:bCs w:val="0"/>
          <w:color w:val="auto"/>
          <w:sz w:val="24"/>
          <w:szCs w:val="24"/>
          <w:highlight w:val="none"/>
        </w:rPr>
      </w:pPr>
    </w:p>
    <w:p w14:paraId="67F030A7">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2.生产厂名与厂址应与生产厂营业执照载明的相关信息保持一致。</w:t>
      </w:r>
    </w:p>
    <w:p w14:paraId="330BBF48">
      <w:pPr>
        <w:rPr>
          <w:rStyle w:val="35"/>
          <w:rFonts w:hint="eastAsia" w:ascii="仿宋" w:hAnsi="仿宋" w:eastAsia="仿宋" w:cs="仿宋"/>
          <w:b w:val="0"/>
          <w:bCs w:val="0"/>
          <w:color w:val="auto"/>
          <w:sz w:val="24"/>
          <w:szCs w:val="24"/>
          <w:highlight w:val="none"/>
        </w:rPr>
      </w:pPr>
    </w:p>
    <w:p w14:paraId="35652C6A">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3.该产品的中国境内生产的组件成本占比相关要求实施前，“规定比例”栏可不填，下同。</w:t>
      </w:r>
    </w:p>
    <w:p w14:paraId="142F7F1D">
      <w:pPr>
        <w:rPr>
          <w:rStyle w:val="35"/>
          <w:rFonts w:hint="eastAsia" w:ascii="仿宋" w:hAnsi="仿宋" w:eastAsia="仿宋" w:cs="仿宋"/>
          <w:b w:val="0"/>
          <w:bCs w:val="0"/>
          <w:color w:val="auto"/>
          <w:sz w:val="24"/>
          <w:szCs w:val="24"/>
          <w:highlight w:val="none"/>
        </w:rPr>
      </w:pPr>
    </w:p>
    <w:p w14:paraId="7F6FB1BD">
      <w:pPr>
        <w:rPr>
          <w:rStyle w:val="35"/>
          <w:rFonts w:hint="eastAsia" w:ascii="仿宋" w:hAnsi="仿宋" w:eastAsia="仿宋" w:cs="仿宋"/>
          <w:b w:val="0"/>
          <w:bCs w:val="0"/>
          <w:color w:val="auto"/>
          <w:sz w:val="24"/>
          <w:szCs w:val="24"/>
          <w:highlight w:val="none"/>
        </w:rPr>
      </w:pPr>
      <w:r>
        <w:rPr>
          <w:rStyle w:val="35"/>
          <w:rFonts w:hint="eastAsia" w:ascii="仿宋" w:hAnsi="仿宋" w:eastAsia="仿宋" w:cs="仿宋"/>
          <w:b w:val="0"/>
          <w:bCs w:val="0"/>
          <w:color w:val="auto"/>
          <w:sz w:val="24"/>
          <w:szCs w:val="24"/>
          <w:highlight w:val="none"/>
        </w:rPr>
        <w:t>4.该产品的关键组件要求实施前，“关键组件”栏可不填，下同。</w:t>
      </w:r>
    </w:p>
    <w:p w14:paraId="751225B7">
      <w:pPr>
        <w:rPr>
          <w:rStyle w:val="35"/>
          <w:rFonts w:hint="eastAsia" w:ascii="仿宋" w:hAnsi="仿宋" w:eastAsia="仿宋" w:cs="仿宋"/>
          <w:b w:val="0"/>
          <w:bCs w:val="0"/>
          <w:color w:val="auto"/>
          <w:sz w:val="24"/>
          <w:szCs w:val="24"/>
          <w:highlight w:val="none"/>
        </w:rPr>
      </w:pPr>
    </w:p>
    <w:p w14:paraId="1F9F6593">
      <w:pPr>
        <w:pStyle w:val="8"/>
        <w:rPr>
          <w:rFonts w:hint="eastAsia" w:ascii="仿宋" w:hAnsi="仿宋" w:eastAsia="仿宋" w:cs="仿宋"/>
          <w:sz w:val="24"/>
          <w:szCs w:val="24"/>
          <w:highlight w:val="none"/>
        </w:rPr>
      </w:pPr>
    </w:p>
    <w:p w14:paraId="4706D84C">
      <w:pPr>
        <w:pStyle w:val="8"/>
        <w:rPr>
          <w:rFonts w:hint="eastAsia" w:ascii="仿宋" w:hAnsi="仿宋" w:eastAsia="仿宋" w:cs="仿宋"/>
          <w:sz w:val="24"/>
          <w:szCs w:val="24"/>
          <w:highlight w:val="none"/>
        </w:rPr>
      </w:pPr>
    </w:p>
    <w:p w14:paraId="00C6D1E2">
      <w:pPr>
        <w:pStyle w:val="8"/>
        <w:rPr>
          <w:rFonts w:hint="eastAsia" w:ascii="仿宋" w:hAnsi="仿宋" w:eastAsia="仿宋" w:cs="仿宋"/>
          <w:sz w:val="24"/>
          <w:szCs w:val="24"/>
          <w:highlight w:val="none"/>
        </w:rPr>
      </w:pPr>
    </w:p>
    <w:p w14:paraId="0066F485">
      <w:pPr>
        <w:pStyle w:val="8"/>
        <w:rPr>
          <w:rFonts w:hint="eastAsia" w:ascii="仿宋" w:hAnsi="仿宋" w:eastAsia="仿宋" w:cs="仿宋"/>
          <w:sz w:val="24"/>
          <w:szCs w:val="24"/>
          <w:highlight w:val="none"/>
        </w:rPr>
      </w:pPr>
    </w:p>
    <w:p w14:paraId="2DB6F1D6">
      <w:pPr>
        <w:pStyle w:val="8"/>
        <w:rPr>
          <w:rFonts w:hint="eastAsia" w:ascii="仿宋" w:hAnsi="仿宋" w:eastAsia="仿宋" w:cs="仿宋"/>
          <w:sz w:val="24"/>
          <w:szCs w:val="24"/>
          <w:highlight w:val="none"/>
        </w:rPr>
      </w:pPr>
    </w:p>
    <w:p w14:paraId="58D3DE25">
      <w:pPr>
        <w:pStyle w:val="8"/>
        <w:rPr>
          <w:rFonts w:hint="eastAsia" w:ascii="仿宋" w:hAnsi="仿宋" w:eastAsia="仿宋" w:cs="仿宋"/>
          <w:sz w:val="24"/>
          <w:szCs w:val="24"/>
          <w:highlight w:val="none"/>
        </w:rPr>
      </w:pPr>
    </w:p>
    <w:p w14:paraId="26A19B2A">
      <w:pPr>
        <w:pStyle w:val="8"/>
        <w:rPr>
          <w:rFonts w:hint="eastAsia" w:ascii="仿宋" w:hAnsi="仿宋" w:eastAsia="仿宋" w:cs="仿宋"/>
          <w:sz w:val="24"/>
          <w:szCs w:val="24"/>
          <w:highlight w:val="none"/>
        </w:rPr>
      </w:pPr>
    </w:p>
    <w:p w14:paraId="4C6A75E6">
      <w:pPr>
        <w:pStyle w:val="8"/>
        <w:rPr>
          <w:rFonts w:hint="eastAsia" w:ascii="仿宋" w:hAnsi="仿宋" w:eastAsia="仿宋" w:cs="仿宋"/>
          <w:sz w:val="24"/>
          <w:szCs w:val="24"/>
          <w:highlight w:val="none"/>
        </w:rPr>
      </w:pPr>
    </w:p>
    <w:p w14:paraId="553B4F25">
      <w:pPr>
        <w:pStyle w:val="8"/>
        <w:rPr>
          <w:rFonts w:hint="eastAsia" w:ascii="仿宋" w:hAnsi="仿宋" w:eastAsia="仿宋" w:cs="仿宋"/>
          <w:sz w:val="24"/>
          <w:szCs w:val="24"/>
          <w:highlight w:val="none"/>
        </w:rPr>
      </w:pPr>
    </w:p>
    <w:p w14:paraId="02CB2248">
      <w:pPr>
        <w:spacing w:before="177" w:line="219" w:lineRule="auto"/>
        <w:jc w:val="center"/>
        <w:rPr>
          <w:rFonts w:hint="eastAsia" w:ascii="仿宋" w:hAnsi="仿宋" w:eastAsia="仿宋" w:cs="仿宋"/>
          <w:b/>
          <w:bCs/>
          <w:sz w:val="32"/>
          <w:szCs w:val="32"/>
        </w:rPr>
      </w:pPr>
      <w:r>
        <w:rPr>
          <w:rFonts w:hint="eastAsia" w:ascii="仿宋" w:hAnsi="仿宋" w:eastAsia="仿宋" w:cs="仿宋"/>
          <w:b/>
          <w:bCs/>
          <w:spacing w:val="7"/>
          <w:sz w:val="32"/>
          <w:szCs w:val="32"/>
          <w:lang w:val="en-US" w:eastAsia="zh-CN"/>
        </w:rPr>
        <w:t>十五、</w:t>
      </w:r>
      <w:r>
        <w:rPr>
          <w:rFonts w:hint="eastAsia" w:ascii="仿宋" w:hAnsi="仿宋" w:eastAsia="仿宋" w:cs="仿宋"/>
          <w:b/>
          <w:bCs/>
          <w:spacing w:val="7"/>
          <w:sz w:val="32"/>
          <w:szCs w:val="32"/>
        </w:rPr>
        <w:t>中小企业声明函（货物）</w:t>
      </w:r>
    </w:p>
    <w:p w14:paraId="73A744A1">
      <w:pPr>
        <w:pStyle w:val="8"/>
        <w:spacing w:line="285" w:lineRule="auto"/>
        <w:ind w:left="0" w:leftChars="0" w:firstLine="0" w:firstLineChars="0"/>
        <w:rPr>
          <w:rFonts w:hint="eastAsia" w:ascii="仿宋" w:hAnsi="仿宋" w:eastAsia="仿宋" w:cs="仿宋"/>
        </w:rPr>
      </w:pPr>
    </w:p>
    <w:p w14:paraId="5BF81D3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u w:val="single"/>
          <w:lang w:val="en-US" w:eastAsia="zh-CN"/>
        </w:rPr>
        <w:t>本公司（联合体）</w:t>
      </w:r>
      <w:r>
        <w:rPr>
          <w:rFonts w:hint="eastAsia" w:ascii="仿宋" w:hAnsi="仿宋" w:eastAsia="仿宋" w:cs="仿宋"/>
          <w:color w:val="auto"/>
          <w:sz w:val="28"/>
          <w:szCs w:val="28"/>
          <w:lang w:val="en-US" w:eastAsia="zh-CN"/>
        </w:rPr>
        <w:t>郑重声明，根据《政府采购促进中小企业发展管理办法》（财库﹝2020﹞46 号）的规定，</w:t>
      </w:r>
      <w:r>
        <w:rPr>
          <w:rFonts w:hint="eastAsia" w:ascii="仿宋" w:hAnsi="仿宋" w:eastAsia="仿宋" w:cs="仿宋"/>
          <w:color w:val="auto"/>
          <w:sz w:val="28"/>
          <w:szCs w:val="28"/>
          <w:u w:val="single"/>
          <w:lang w:val="en-US" w:eastAsia="zh-CN"/>
        </w:rPr>
        <w:t>本公司（联合体）</w:t>
      </w:r>
      <w:r>
        <w:rPr>
          <w:rFonts w:hint="eastAsia" w:ascii="仿宋" w:hAnsi="仿宋" w:eastAsia="仿宋" w:cs="仿宋"/>
          <w:color w:val="auto"/>
          <w:sz w:val="28"/>
          <w:szCs w:val="28"/>
          <w:lang w:val="en-US" w:eastAsia="zh-CN"/>
        </w:rPr>
        <w:t>参加</w:t>
      </w:r>
      <w:r>
        <w:rPr>
          <w:rFonts w:hint="eastAsia" w:ascii="仿宋" w:hAnsi="仿宋" w:eastAsia="仿宋" w:cs="仿宋"/>
          <w:color w:val="auto"/>
          <w:sz w:val="28"/>
          <w:szCs w:val="28"/>
          <w:u w:val="single"/>
          <w:lang w:val="en-US" w:eastAsia="zh-CN"/>
        </w:rPr>
        <w:t>（单位名称）</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u w:val="single"/>
          <w:lang w:val="en-US" w:eastAsia="zh-CN"/>
        </w:rPr>
        <w:t>（项目名称）</w:t>
      </w:r>
      <w:r>
        <w:rPr>
          <w:rFonts w:hint="eastAsia" w:ascii="仿宋" w:hAnsi="仿宋" w:eastAsia="仿宋" w:cs="仿宋"/>
          <w:color w:val="auto"/>
          <w:sz w:val="28"/>
          <w:szCs w:val="28"/>
          <w:lang w:val="en-US" w:eastAsia="zh-CN"/>
        </w:rPr>
        <w:t>采购活动，提供的货物全部由符合政策要求的中小企业制造。相关企业（含联合体中的中小企业、签订分包意向协议的中小企业）的具体情况如下： </w:t>
      </w:r>
    </w:p>
    <w:p w14:paraId="3764524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 </w:t>
      </w:r>
      <w:r>
        <w:rPr>
          <w:rFonts w:hint="eastAsia" w:ascii="仿宋" w:hAnsi="仿宋" w:eastAsia="仿宋" w:cs="仿宋"/>
          <w:color w:val="auto"/>
          <w:sz w:val="28"/>
          <w:szCs w:val="28"/>
          <w:u w:val="single"/>
          <w:lang w:val="en-US" w:eastAsia="zh-CN"/>
        </w:rPr>
        <w:t>（标的名称）</w:t>
      </w:r>
      <w:r>
        <w:rPr>
          <w:rFonts w:hint="eastAsia" w:ascii="仿宋" w:hAnsi="仿宋" w:eastAsia="仿宋" w:cs="仿宋"/>
          <w:color w:val="auto"/>
          <w:sz w:val="28"/>
          <w:szCs w:val="28"/>
          <w:lang w:val="en-US" w:eastAsia="zh-CN"/>
        </w:rPr>
        <w:t xml:space="preserve"> ，属于</w:t>
      </w:r>
      <w:r>
        <w:rPr>
          <w:rFonts w:hint="eastAsia" w:ascii="仿宋" w:hAnsi="仿宋" w:eastAsia="仿宋" w:cs="仿宋"/>
          <w:color w:val="auto"/>
          <w:sz w:val="28"/>
          <w:szCs w:val="28"/>
          <w:u w:val="single"/>
          <w:lang w:val="en-US" w:eastAsia="zh-CN"/>
        </w:rPr>
        <w:t>（采购文件中明确的所属行业）</w:t>
      </w:r>
      <w:r>
        <w:rPr>
          <w:rFonts w:hint="eastAsia" w:ascii="仿宋" w:hAnsi="仿宋" w:eastAsia="仿宋" w:cs="仿宋"/>
          <w:color w:val="auto"/>
          <w:sz w:val="28"/>
          <w:szCs w:val="28"/>
          <w:lang w:val="en-US" w:eastAsia="zh-CN"/>
        </w:rPr>
        <w:t>行业；制造商为</w:t>
      </w:r>
      <w:r>
        <w:rPr>
          <w:rFonts w:hint="eastAsia" w:ascii="仿宋" w:hAnsi="仿宋" w:eastAsia="仿宋" w:cs="仿宋"/>
          <w:color w:val="auto"/>
          <w:sz w:val="28"/>
          <w:szCs w:val="28"/>
          <w:u w:val="single"/>
          <w:lang w:val="en-US" w:eastAsia="zh-CN"/>
        </w:rPr>
        <w:t>（企业名称）</w:t>
      </w:r>
      <w:r>
        <w:rPr>
          <w:rFonts w:hint="eastAsia" w:ascii="仿宋" w:hAnsi="仿宋" w:eastAsia="仿宋" w:cs="仿宋"/>
          <w:color w:val="auto"/>
          <w:sz w:val="28"/>
          <w:szCs w:val="28"/>
          <w:lang w:val="en-US" w:eastAsia="zh-CN"/>
        </w:rPr>
        <w:t>，从业人员</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人，营业收入为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万元，资产总额为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万元，属于</w:t>
      </w:r>
      <w:r>
        <w:rPr>
          <w:rFonts w:hint="eastAsia" w:ascii="仿宋" w:hAnsi="仿宋" w:eastAsia="仿宋" w:cs="仿宋"/>
          <w:color w:val="auto"/>
          <w:sz w:val="28"/>
          <w:szCs w:val="28"/>
          <w:u w:val="single"/>
          <w:lang w:val="en-US" w:eastAsia="zh-CN"/>
        </w:rPr>
        <w:t>（中型企业、小型企业、微型企业）</w:t>
      </w:r>
      <w:r>
        <w:rPr>
          <w:rFonts w:hint="eastAsia" w:ascii="仿宋" w:hAnsi="仿宋" w:eastAsia="仿宋" w:cs="仿宋"/>
          <w:color w:val="auto"/>
          <w:sz w:val="28"/>
          <w:szCs w:val="28"/>
          <w:lang w:val="en-US" w:eastAsia="zh-CN"/>
        </w:rPr>
        <w:t>； </w:t>
      </w:r>
    </w:p>
    <w:p w14:paraId="7EC28C9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u w:val="single"/>
          <w:lang w:val="en-US" w:eastAsia="zh-CN"/>
        </w:rPr>
        <w:t xml:space="preserve">（标的名称） </w:t>
      </w:r>
      <w:r>
        <w:rPr>
          <w:rFonts w:hint="eastAsia" w:ascii="仿宋" w:hAnsi="仿宋" w:eastAsia="仿宋" w:cs="仿宋"/>
          <w:color w:val="auto"/>
          <w:sz w:val="28"/>
          <w:szCs w:val="28"/>
          <w:lang w:val="en-US" w:eastAsia="zh-CN"/>
        </w:rPr>
        <w:t>，属于</w:t>
      </w:r>
      <w:r>
        <w:rPr>
          <w:rFonts w:hint="eastAsia" w:ascii="仿宋" w:hAnsi="仿宋" w:eastAsia="仿宋" w:cs="仿宋"/>
          <w:color w:val="auto"/>
          <w:sz w:val="28"/>
          <w:szCs w:val="28"/>
          <w:u w:val="single"/>
          <w:lang w:val="en-US" w:eastAsia="zh-CN"/>
        </w:rPr>
        <w:t>（采购文件中明确的所属行业）</w:t>
      </w:r>
      <w:r>
        <w:rPr>
          <w:rFonts w:hint="eastAsia" w:ascii="仿宋" w:hAnsi="仿宋" w:eastAsia="仿宋" w:cs="仿宋"/>
          <w:color w:val="auto"/>
          <w:sz w:val="28"/>
          <w:szCs w:val="28"/>
          <w:lang w:val="en-US" w:eastAsia="zh-CN"/>
        </w:rPr>
        <w:t>行业；制造商为</w:t>
      </w:r>
      <w:r>
        <w:rPr>
          <w:rFonts w:hint="eastAsia" w:ascii="仿宋" w:hAnsi="仿宋" w:eastAsia="仿宋" w:cs="仿宋"/>
          <w:color w:val="auto"/>
          <w:sz w:val="28"/>
          <w:szCs w:val="28"/>
          <w:u w:val="single"/>
          <w:lang w:val="en-US" w:eastAsia="zh-CN"/>
        </w:rPr>
        <w:t>（企业名称）</w:t>
      </w:r>
      <w:r>
        <w:rPr>
          <w:rFonts w:hint="eastAsia" w:ascii="仿宋" w:hAnsi="仿宋" w:eastAsia="仿宋" w:cs="仿宋"/>
          <w:color w:val="auto"/>
          <w:sz w:val="28"/>
          <w:szCs w:val="28"/>
          <w:lang w:val="en-US" w:eastAsia="zh-CN"/>
        </w:rPr>
        <w:t>，从业人员</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人，营业收入为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万元，资产总额为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万元，属于</w:t>
      </w:r>
      <w:r>
        <w:rPr>
          <w:rFonts w:hint="eastAsia" w:ascii="仿宋" w:hAnsi="仿宋" w:eastAsia="仿宋" w:cs="仿宋"/>
          <w:color w:val="auto"/>
          <w:sz w:val="28"/>
          <w:szCs w:val="28"/>
          <w:u w:val="single"/>
          <w:lang w:val="en-US" w:eastAsia="zh-CN"/>
        </w:rPr>
        <w:t>（中型企业、小型企业、微型企业）</w:t>
      </w:r>
      <w:r>
        <w:rPr>
          <w:rFonts w:hint="eastAsia" w:ascii="仿宋" w:hAnsi="仿宋" w:eastAsia="仿宋" w:cs="仿宋"/>
          <w:color w:val="auto"/>
          <w:sz w:val="28"/>
          <w:szCs w:val="28"/>
          <w:lang w:val="en-US" w:eastAsia="zh-CN"/>
        </w:rPr>
        <w:t>；</w:t>
      </w:r>
    </w:p>
    <w:p w14:paraId="7F0BF3E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p>
    <w:p w14:paraId="6F3B2D6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以上企业，不属于大企业的分支机构，不存在控股股东为大企业的情形，也不存在与大企业的负责人为同一人的情形。 </w:t>
      </w:r>
    </w:p>
    <w:p w14:paraId="04CEB6A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本企业对上述声明内容的真实性负责。如有虚假，将依法承担相应责任。 </w:t>
      </w:r>
    </w:p>
    <w:p w14:paraId="28251BDB">
      <w:pPr>
        <w:pStyle w:val="8"/>
        <w:spacing w:line="265" w:lineRule="auto"/>
        <w:rPr>
          <w:rFonts w:hint="eastAsia" w:ascii="仿宋" w:hAnsi="仿宋" w:eastAsia="仿宋" w:cs="仿宋"/>
        </w:rPr>
      </w:pPr>
    </w:p>
    <w:p w14:paraId="4CC83175">
      <w:pPr>
        <w:pStyle w:val="8"/>
        <w:spacing w:line="265" w:lineRule="auto"/>
        <w:rPr>
          <w:rFonts w:hint="eastAsia" w:ascii="仿宋" w:hAnsi="仿宋" w:eastAsia="仿宋" w:cs="仿宋"/>
        </w:rPr>
      </w:pPr>
    </w:p>
    <w:p w14:paraId="0E323DED">
      <w:pPr>
        <w:pStyle w:val="8"/>
        <w:spacing w:line="265" w:lineRule="auto"/>
        <w:rPr>
          <w:rFonts w:hint="eastAsia" w:ascii="仿宋" w:hAnsi="仿宋" w:eastAsia="仿宋" w:cs="仿宋"/>
        </w:rPr>
      </w:pPr>
    </w:p>
    <w:p w14:paraId="3D8BE375">
      <w:pPr>
        <w:pStyle w:val="8"/>
        <w:spacing w:line="265" w:lineRule="auto"/>
        <w:rPr>
          <w:rFonts w:hint="eastAsia" w:ascii="仿宋" w:hAnsi="仿宋" w:eastAsia="仿宋" w:cs="仿宋"/>
        </w:rPr>
      </w:pPr>
    </w:p>
    <w:p w14:paraId="73BC27AF">
      <w:pPr>
        <w:pStyle w:val="8"/>
        <w:spacing w:line="265" w:lineRule="auto"/>
        <w:rPr>
          <w:rFonts w:hint="eastAsia" w:ascii="仿宋" w:hAnsi="仿宋" w:eastAsia="仿宋" w:cs="仿宋"/>
        </w:rPr>
      </w:pPr>
    </w:p>
    <w:p w14:paraId="1C3F25D2">
      <w:pPr>
        <w:pStyle w:val="8"/>
        <w:spacing w:line="265" w:lineRule="auto"/>
        <w:rPr>
          <w:rFonts w:hint="eastAsia" w:ascii="仿宋" w:hAnsi="仿宋" w:eastAsia="仿宋" w:cs="仿宋"/>
          <w:snapToGrid w:val="0"/>
          <w:color w:val="auto"/>
          <w:kern w:val="0"/>
          <w:sz w:val="28"/>
          <w:szCs w:val="28"/>
          <w:lang w:val="en-US" w:eastAsia="zh-CN" w:bidi="ar-SA"/>
        </w:rPr>
      </w:pPr>
    </w:p>
    <w:p w14:paraId="12776950">
      <w:pPr>
        <w:spacing w:before="79" w:line="219" w:lineRule="auto"/>
        <w:ind w:left="5368"/>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 xml:space="preserve">企业名称（盖章）：           </w:t>
      </w:r>
    </w:p>
    <w:p w14:paraId="36EEF2F9">
      <w:pPr>
        <w:pStyle w:val="8"/>
        <w:spacing w:line="305" w:lineRule="auto"/>
        <w:rPr>
          <w:rFonts w:hint="eastAsia" w:ascii="仿宋" w:hAnsi="仿宋" w:eastAsia="仿宋" w:cs="仿宋"/>
          <w:snapToGrid w:val="0"/>
          <w:color w:val="auto"/>
          <w:kern w:val="0"/>
          <w:sz w:val="28"/>
          <w:szCs w:val="28"/>
          <w:lang w:val="en-US" w:eastAsia="zh-CN" w:bidi="ar-SA"/>
        </w:rPr>
      </w:pPr>
    </w:p>
    <w:p w14:paraId="71A53357">
      <w:pPr>
        <w:keepNext w:val="0"/>
        <w:keepLines w:val="0"/>
        <w:pageBreakBefore w:val="0"/>
        <w:widowControl/>
        <w:kinsoku w:val="0"/>
        <w:wordWrap/>
        <w:overflowPunct/>
        <w:topLinePunct w:val="0"/>
        <w:autoSpaceDE w:val="0"/>
        <w:autoSpaceDN w:val="0"/>
        <w:bidi w:val="0"/>
        <w:adjustRightInd w:val="0"/>
        <w:snapToGrid w:val="0"/>
        <w:spacing w:before="79" w:line="221" w:lineRule="auto"/>
        <w:ind w:left="5562"/>
        <w:textAlignment w:val="baseline"/>
        <w:outlineLvl w:val="9"/>
        <w:rPr>
          <w:rFonts w:hint="eastAsia" w:ascii="仿宋" w:hAnsi="仿宋" w:eastAsia="仿宋" w:cs="仿宋"/>
          <w:snapToGrid w:val="0"/>
          <w:color w:val="auto"/>
          <w:kern w:val="0"/>
          <w:sz w:val="28"/>
          <w:szCs w:val="28"/>
          <w:lang w:val="en-US" w:eastAsia="zh-CN" w:bidi="ar-SA"/>
        </w:rPr>
      </w:pPr>
      <w:bookmarkStart w:id="133" w:name="_Toc26587"/>
      <w:bookmarkStart w:id="134" w:name="_Toc24189"/>
      <w:bookmarkStart w:id="135" w:name="_Toc8626"/>
      <w:bookmarkStart w:id="136" w:name="_Toc8285"/>
      <w:r>
        <w:rPr>
          <w:rFonts w:hint="eastAsia" w:ascii="仿宋" w:hAnsi="仿宋" w:eastAsia="仿宋" w:cs="仿宋"/>
          <w:snapToGrid w:val="0"/>
          <w:color w:val="auto"/>
          <w:kern w:val="0"/>
          <w:sz w:val="28"/>
          <w:szCs w:val="28"/>
          <w:lang w:val="en-US" w:eastAsia="zh-CN" w:bidi="ar-SA"/>
        </w:rPr>
        <w:t>日  期 ：</w:t>
      </w:r>
      <w:bookmarkEnd w:id="133"/>
      <w:bookmarkEnd w:id="134"/>
      <w:bookmarkEnd w:id="135"/>
      <w:r>
        <w:rPr>
          <w:rFonts w:hint="eastAsia" w:ascii="仿宋" w:hAnsi="仿宋" w:eastAsia="仿宋" w:cs="仿宋"/>
          <w:snapToGrid w:val="0"/>
          <w:color w:val="auto"/>
          <w:kern w:val="0"/>
          <w:sz w:val="28"/>
          <w:szCs w:val="28"/>
          <w:lang w:val="en-US" w:eastAsia="zh-CN" w:bidi="ar-SA"/>
        </w:rPr>
        <w:t xml:space="preserve">                    </w:t>
      </w:r>
      <w:bookmarkEnd w:id="136"/>
    </w:p>
    <w:p w14:paraId="743C9566">
      <w:pPr>
        <w:keepNext/>
        <w:keepLines/>
        <w:pageBreakBefore w:val="0"/>
        <w:widowControl/>
        <w:numPr>
          <w:ilvl w:val="0"/>
          <w:numId w:val="0"/>
        </w:numPr>
        <w:tabs>
          <w:tab w:val="left" w:pos="719"/>
        </w:tabs>
        <w:kinsoku w:val="0"/>
        <w:wordWrap/>
        <w:overflowPunct/>
        <w:topLinePunct w:val="0"/>
        <w:autoSpaceDE w:val="0"/>
        <w:autoSpaceDN w:val="0"/>
        <w:bidi w:val="0"/>
        <w:adjustRightInd w:val="0"/>
        <w:snapToGrid w:val="0"/>
        <w:textAlignment w:val="baseline"/>
        <w:outlineLvl w:val="9"/>
        <w:rPr>
          <w:rFonts w:hint="eastAsia" w:ascii="仿宋" w:hAnsi="仿宋" w:eastAsia="仿宋" w:cs="仿宋"/>
          <w:sz w:val="24"/>
          <w:szCs w:val="24"/>
          <w:lang w:eastAsia="zh-CN"/>
        </w:rPr>
      </w:pPr>
      <w:bookmarkStart w:id="137" w:name="_Toc19102"/>
      <w:bookmarkStart w:id="138" w:name="_Toc31168"/>
      <w:bookmarkStart w:id="139" w:name="_Toc7398"/>
      <w:bookmarkStart w:id="140" w:name="_Toc713"/>
      <w:r>
        <w:rPr>
          <w:rFonts w:hint="eastAsia" w:ascii="仿宋" w:hAnsi="仿宋" w:eastAsia="仿宋" w:cs="仿宋"/>
          <w:sz w:val="24"/>
          <w:szCs w:val="24"/>
          <w:lang w:eastAsia="zh-CN"/>
        </w:rPr>
        <w:t>从业人员、营业收入、资产总额填报上一年度数据，无上一年度数据的新成立企业可不填报。</w:t>
      </w:r>
      <w:bookmarkEnd w:id="137"/>
      <w:bookmarkEnd w:id="138"/>
      <w:bookmarkEnd w:id="139"/>
      <w:bookmarkEnd w:id="140"/>
    </w:p>
    <w:p w14:paraId="1BD9EFEE">
      <w:pPr>
        <w:pStyle w:val="8"/>
        <w:ind w:left="0" w:leftChars="0" w:firstLine="0" w:firstLineChars="0"/>
        <w:rPr>
          <w:rFonts w:hint="eastAsia" w:ascii="仿宋" w:hAnsi="仿宋" w:eastAsia="仿宋" w:cs="仿宋"/>
          <w:sz w:val="24"/>
          <w:szCs w:val="24"/>
          <w:highlight w:val="none"/>
        </w:rPr>
      </w:pPr>
    </w:p>
    <w:p w14:paraId="772632E0">
      <w:pPr>
        <w:pStyle w:val="8"/>
        <w:ind w:left="0" w:leftChars="0" w:firstLine="0" w:firstLineChars="0"/>
        <w:rPr>
          <w:rFonts w:hint="eastAsia" w:ascii="仿宋" w:hAnsi="仿宋" w:eastAsia="仿宋" w:cs="仿宋"/>
          <w:sz w:val="24"/>
          <w:szCs w:val="24"/>
          <w:highlight w:val="none"/>
        </w:rPr>
      </w:pPr>
    </w:p>
    <w:p w14:paraId="03DAE8E1">
      <w:pPr>
        <w:pStyle w:val="8"/>
        <w:ind w:left="0" w:leftChars="0" w:firstLine="0" w:firstLineChars="0"/>
        <w:rPr>
          <w:rFonts w:hint="eastAsia" w:ascii="仿宋" w:hAnsi="仿宋" w:eastAsia="仿宋" w:cs="仿宋"/>
          <w:sz w:val="24"/>
          <w:szCs w:val="24"/>
          <w:highlight w:val="none"/>
        </w:rPr>
      </w:pPr>
    </w:p>
    <w:p w14:paraId="5440484F">
      <w:pPr>
        <w:pStyle w:val="8"/>
        <w:ind w:left="0" w:leftChars="0" w:firstLine="0" w:firstLineChars="0"/>
        <w:rPr>
          <w:rFonts w:hint="eastAsia" w:ascii="仿宋" w:hAnsi="仿宋" w:eastAsia="仿宋" w:cs="仿宋"/>
          <w:sz w:val="24"/>
          <w:szCs w:val="24"/>
          <w:highlight w:val="none"/>
        </w:rPr>
      </w:pPr>
    </w:p>
    <w:p w14:paraId="66C983CB">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B8FDC9E">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附：中小企业划型标准（工信部联企业〔2011〕300号）</w:t>
      </w:r>
    </w:p>
    <w:p w14:paraId="641BC2F7">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6DA9013">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3DD03864">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579CE9">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A82AAC">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D202E4">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9095673">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AE27D09">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9C3F3D9">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6B5DD3">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148E42">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ACA447">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FDF29F">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7301FE">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E3EA98">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BA058D">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0B0CCB">
      <w:pPr>
        <w:pStyle w:val="8"/>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37698D09">
      <w:pPr>
        <w:pStyle w:val="8"/>
        <w:ind w:left="0" w:leftChars="0" w:firstLine="0" w:firstLineChars="0"/>
        <w:rPr>
          <w:rFonts w:hint="eastAsia" w:ascii="仿宋" w:hAnsi="仿宋" w:eastAsia="仿宋" w:cs="仿宋"/>
          <w:sz w:val="24"/>
          <w:szCs w:val="24"/>
          <w:highlight w:val="none"/>
        </w:rPr>
      </w:pPr>
    </w:p>
    <w:p w14:paraId="4432AAF1">
      <w:pPr>
        <w:pStyle w:val="8"/>
        <w:ind w:left="0" w:leftChars="0" w:firstLine="0" w:firstLineChars="0"/>
        <w:rPr>
          <w:rFonts w:hint="eastAsia" w:ascii="仿宋" w:hAnsi="仿宋" w:eastAsia="仿宋" w:cs="仿宋"/>
          <w:sz w:val="24"/>
          <w:szCs w:val="24"/>
          <w:highlight w:val="none"/>
        </w:rPr>
      </w:pPr>
    </w:p>
    <w:p w14:paraId="350DD993">
      <w:pPr>
        <w:pStyle w:val="8"/>
        <w:ind w:left="0" w:leftChars="0" w:firstLine="0" w:firstLineChars="0"/>
        <w:rPr>
          <w:rFonts w:hint="eastAsia" w:ascii="仿宋" w:hAnsi="仿宋" w:eastAsia="仿宋" w:cs="仿宋"/>
          <w:sz w:val="24"/>
          <w:szCs w:val="24"/>
          <w:highlight w:val="none"/>
        </w:rPr>
      </w:pPr>
    </w:p>
    <w:p w14:paraId="09F05E11">
      <w:pPr>
        <w:pStyle w:val="8"/>
        <w:ind w:left="0" w:leftChars="0" w:firstLine="0" w:firstLineChars="0"/>
        <w:rPr>
          <w:rFonts w:hint="eastAsia" w:ascii="仿宋" w:hAnsi="仿宋" w:eastAsia="仿宋" w:cs="仿宋"/>
          <w:sz w:val="24"/>
          <w:szCs w:val="24"/>
          <w:highlight w:val="none"/>
        </w:rPr>
      </w:pPr>
    </w:p>
    <w:p w14:paraId="378A5E67">
      <w:pPr>
        <w:keepNext w:val="0"/>
        <w:keepLines w:val="0"/>
        <w:pageBreakBefore w:val="0"/>
        <w:kinsoku w:val="0"/>
        <w:overflowPunct/>
        <w:topLinePunct w:val="0"/>
        <w:bidi w:val="0"/>
        <w:adjustRightInd w:val="0"/>
        <w:snapToGrid w:val="0"/>
        <w:spacing w:before="92" w:line="223" w:lineRule="auto"/>
        <w:textAlignment w:val="baseline"/>
        <w:outlineLvl w:val="9"/>
        <w:rPr>
          <w:rFonts w:hint="eastAsia" w:ascii="仿宋" w:hAnsi="仿宋" w:eastAsia="仿宋" w:cs="仿宋"/>
          <w:spacing w:val="-10"/>
          <w:sz w:val="28"/>
          <w:szCs w:val="28"/>
        </w:rPr>
      </w:pPr>
    </w:p>
    <w:sectPr>
      <w:headerReference r:id="rId7" w:type="default"/>
      <w:footerReference r:id="rId8" w:type="default"/>
      <w:pgSz w:w="11906" w:h="16839"/>
      <w:pgMar w:top="1440" w:right="1080" w:bottom="1440" w:left="1080" w:header="0" w:footer="992"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C03FC">
    <w:pPr>
      <w:pStyle w:val="11"/>
      <w:tabs>
        <w:tab w:val="center" w:pos="451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98D2">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C598D2">
                    <w:pPr>
                      <w:pStyle w:val="11"/>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484F">
    <w:pPr>
      <w:spacing w:line="172" w:lineRule="auto"/>
      <w:ind w:left="449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9B994">
                          <w:pPr>
                            <w:pStyle w:val="11"/>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19B994">
                    <w:pPr>
                      <w:pStyle w:val="11"/>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C6CA">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0443">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EDB40"/>
    <w:multiLevelType w:val="singleLevel"/>
    <w:tmpl w:val="9EDEDB40"/>
    <w:lvl w:ilvl="0" w:tentative="0">
      <w:start w:val="2"/>
      <w:numFmt w:val="decimal"/>
      <w:suff w:val="nothing"/>
      <w:lvlText w:val="%1、"/>
      <w:lvlJc w:val="left"/>
    </w:lvl>
  </w:abstractNum>
  <w:abstractNum w:abstractNumId="1">
    <w:nsid w:val="F167B430"/>
    <w:multiLevelType w:val="singleLevel"/>
    <w:tmpl w:val="F167B430"/>
    <w:lvl w:ilvl="0" w:tentative="0">
      <w:start w:val="1"/>
      <w:numFmt w:val="chineseCounting"/>
      <w:suff w:val="nothing"/>
      <w:lvlText w:val="（%1）"/>
      <w:lvlJc w:val="left"/>
      <w:rPr>
        <w:rFonts w:hint="eastAsia"/>
      </w:rPr>
    </w:lvl>
  </w:abstractNum>
  <w:abstractNum w:abstractNumId="2">
    <w:nsid w:val="1224D179"/>
    <w:multiLevelType w:val="singleLevel"/>
    <w:tmpl w:val="1224D179"/>
    <w:lvl w:ilvl="0" w:tentative="0">
      <w:start w:val="3"/>
      <w:numFmt w:val="chineseCounting"/>
      <w:suff w:val="nothing"/>
      <w:lvlText w:val="%1、"/>
      <w:lvlJc w:val="left"/>
      <w:rPr>
        <w:rFonts w:hint="eastAsia"/>
      </w:rPr>
    </w:lvl>
  </w:abstractNum>
  <w:abstractNum w:abstractNumId="3">
    <w:nsid w:val="1A585B28"/>
    <w:multiLevelType w:val="singleLevel"/>
    <w:tmpl w:val="1A585B28"/>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M4ZDdiYjk5ODM0MmU4ZTI2M2Q5YjA1NGJhZDNhOWEifQ=="/>
  </w:docVars>
  <w:rsids>
    <w:rsidRoot w:val="00000000"/>
    <w:rsid w:val="00A067C3"/>
    <w:rsid w:val="02D50DC8"/>
    <w:rsid w:val="038F6CD9"/>
    <w:rsid w:val="03FB03BA"/>
    <w:rsid w:val="041A22CB"/>
    <w:rsid w:val="04A46CA4"/>
    <w:rsid w:val="070B4DB8"/>
    <w:rsid w:val="09F61AD0"/>
    <w:rsid w:val="0AE222D4"/>
    <w:rsid w:val="0B835337"/>
    <w:rsid w:val="0BF57DE5"/>
    <w:rsid w:val="0CFB767D"/>
    <w:rsid w:val="0DB976B2"/>
    <w:rsid w:val="10FD39C4"/>
    <w:rsid w:val="126E4812"/>
    <w:rsid w:val="131C632A"/>
    <w:rsid w:val="1334692D"/>
    <w:rsid w:val="13741F37"/>
    <w:rsid w:val="137E7AD4"/>
    <w:rsid w:val="144068BA"/>
    <w:rsid w:val="14726477"/>
    <w:rsid w:val="14B37F9A"/>
    <w:rsid w:val="166B1F09"/>
    <w:rsid w:val="17591B70"/>
    <w:rsid w:val="17AC6144"/>
    <w:rsid w:val="17BD4037"/>
    <w:rsid w:val="18025D64"/>
    <w:rsid w:val="18291542"/>
    <w:rsid w:val="183D3240"/>
    <w:rsid w:val="18EF0F60"/>
    <w:rsid w:val="1A6C5716"/>
    <w:rsid w:val="1A901A09"/>
    <w:rsid w:val="1B6D1746"/>
    <w:rsid w:val="1C8127F7"/>
    <w:rsid w:val="1CB00DE8"/>
    <w:rsid w:val="1D0A6E29"/>
    <w:rsid w:val="1EEC5078"/>
    <w:rsid w:val="20B147CB"/>
    <w:rsid w:val="2164183D"/>
    <w:rsid w:val="24D575AB"/>
    <w:rsid w:val="28D06DF0"/>
    <w:rsid w:val="29325D7D"/>
    <w:rsid w:val="2BA95E0A"/>
    <w:rsid w:val="2C280CA7"/>
    <w:rsid w:val="2EBB50D5"/>
    <w:rsid w:val="2FB15379"/>
    <w:rsid w:val="31196BF6"/>
    <w:rsid w:val="312811AB"/>
    <w:rsid w:val="314E571E"/>
    <w:rsid w:val="323A6D7D"/>
    <w:rsid w:val="335975FF"/>
    <w:rsid w:val="34A05209"/>
    <w:rsid w:val="353C13FB"/>
    <w:rsid w:val="3545714D"/>
    <w:rsid w:val="37105893"/>
    <w:rsid w:val="381011A8"/>
    <w:rsid w:val="39383C24"/>
    <w:rsid w:val="39691347"/>
    <w:rsid w:val="397B107A"/>
    <w:rsid w:val="3B7F30A4"/>
    <w:rsid w:val="3DC06414"/>
    <w:rsid w:val="3DD00B61"/>
    <w:rsid w:val="3F3323CD"/>
    <w:rsid w:val="3F850EA5"/>
    <w:rsid w:val="3FB35A12"/>
    <w:rsid w:val="42442951"/>
    <w:rsid w:val="429107C7"/>
    <w:rsid w:val="42BD2703"/>
    <w:rsid w:val="46F506BE"/>
    <w:rsid w:val="475A49C5"/>
    <w:rsid w:val="4ADB5E1D"/>
    <w:rsid w:val="4F4D3A59"/>
    <w:rsid w:val="505B25F9"/>
    <w:rsid w:val="513544C2"/>
    <w:rsid w:val="528256EC"/>
    <w:rsid w:val="53841086"/>
    <w:rsid w:val="585711D8"/>
    <w:rsid w:val="59965D30"/>
    <w:rsid w:val="5A7D47FA"/>
    <w:rsid w:val="5A8E0A57"/>
    <w:rsid w:val="5AC95C92"/>
    <w:rsid w:val="5C5A7B17"/>
    <w:rsid w:val="5C7779C1"/>
    <w:rsid w:val="5DCE691C"/>
    <w:rsid w:val="5DE024D5"/>
    <w:rsid w:val="5F717BC2"/>
    <w:rsid w:val="62D75962"/>
    <w:rsid w:val="63414F5F"/>
    <w:rsid w:val="651614FC"/>
    <w:rsid w:val="655B1BDC"/>
    <w:rsid w:val="65646CE3"/>
    <w:rsid w:val="658B24C1"/>
    <w:rsid w:val="65DC7A89"/>
    <w:rsid w:val="669A48EB"/>
    <w:rsid w:val="68103BD3"/>
    <w:rsid w:val="68183DB4"/>
    <w:rsid w:val="68466B73"/>
    <w:rsid w:val="6D6E3D52"/>
    <w:rsid w:val="6E8C28B7"/>
    <w:rsid w:val="6E992355"/>
    <w:rsid w:val="6FB73689"/>
    <w:rsid w:val="6FE160CC"/>
    <w:rsid w:val="711F07C0"/>
    <w:rsid w:val="72450ADE"/>
    <w:rsid w:val="732C6249"/>
    <w:rsid w:val="73AB01D2"/>
    <w:rsid w:val="73B1118E"/>
    <w:rsid w:val="73D74B24"/>
    <w:rsid w:val="75852A82"/>
    <w:rsid w:val="77536C56"/>
    <w:rsid w:val="77D86750"/>
    <w:rsid w:val="78E07F57"/>
    <w:rsid w:val="7B670E83"/>
    <w:rsid w:val="7B762E74"/>
    <w:rsid w:val="7CBE0597"/>
    <w:rsid w:val="7D2A2168"/>
    <w:rsid w:val="7DA24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qFormat/>
    <w:uiPriority w:val="9"/>
    <w:pPr>
      <w:keepNext/>
      <w:keepLines/>
      <w:spacing w:before="100" w:after="100" w:line="360" w:lineRule="auto"/>
      <w:outlineLvl w:val="2"/>
    </w:pPr>
    <w:rPr>
      <w:rFonts w:eastAsia="宋体"/>
      <w:b/>
      <w:bCs/>
      <w:szCs w:val="32"/>
    </w:rPr>
  </w:style>
  <w:style w:type="character" w:default="1" w:styleId="21">
    <w:name w:val="Default Paragraph Font"/>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spacing w:before="240" w:after="60"/>
      <w:jc w:val="center"/>
      <w:outlineLvl w:val="0"/>
    </w:pPr>
    <w:rPr>
      <w:rFonts w:ascii="宋体" w:hAnsi="Times New Roman" w:eastAsia="宋体" w:cs="Times New Roman"/>
      <w:b/>
      <w:bCs/>
      <w:color w:val="000000"/>
      <w:kern w:val="2"/>
      <w:sz w:val="24"/>
      <w:szCs w:val="32"/>
      <w:lang w:val="en-US" w:eastAsia="zh-CN" w:bidi="ar-SA"/>
    </w:rPr>
  </w:style>
  <w:style w:type="paragraph" w:styleId="6">
    <w:name w:val="Normal Indent"/>
    <w:basedOn w:val="1"/>
    <w:next w:val="1"/>
    <w:qFormat/>
    <w:uiPriority w:val="0"/>
    <w:pPr>
      <w:ind w:firstLine="420" w:firstLineChars="200"/>
    </w:pPr>
    <w:rPr>
      <w:snapToGrid w:val="0"/>
      <w:kern w:val="0"/>
      <w:sz w:val="28"/>
      <w:szCs w:val="20"/>
    </w:rPr>
  </w:style>
  <w:style w:type="paragraph" w:styleId="7">
    <w:name w:val="annotation text"/>
    <w:basedOn w:val="1"/>
    <w:qFormat/>
    <w:uiPriority w:val="0"/>
    <w:pPr>
      <w:jc w:val="left"/>
    </w:pPr>
  </w:style>
  <w:style w:type="paragraph" w:styleId="8">
    <w:name w:val="Body Text"/>
    <w:basedOn w:val="1"/>
    <w:autoRedefine/>
    <w:semiHidden/>
    <w:qFormat/>
    <w:uiPriority w:val="0"/>
    <w:rPr>
      <w:rFonts w:ascii="Arial" w:hAnsi="Arial" w:eastAsia="Arial" w:cs="Arial"/>
      <w:sz w:val="21"/>
      <w:szCs w:val="21"/>
      <w:lang w:val="en-US" w:eastAsia="en-US" w:bidi="ar-SA"/>
    </w:rPr>
  </w:style>
  <w:style w:type="paragraph" w:styleId="9">
    <w:name w:val="Body Text Indent"/>
    <w:basedOn w:val="1"/>
    <w:qFormat/>
    <w:uiPriority w:val="99"/>
    <w:pPr>
      <w:overflowPunct w:val="0"/>
      <w:autoSpaceDE w:val="0"/>
      <w:autoSpaceDN w:val="0"/>
      <w:adjustRightInd w:val="0"/>
      <w:spacing w:line="360" w:lineRule="auto"/>
      <w:ind w:firstLine="540"/>
      <w:jc w:val="both"/>
      <w:textAlignment w:val="baseline"/>
    </w:pPr>
    <w:rPr>
      <w:rFonts w:ascii="宋体" w:hAnsi="MS Sans Serif"/>
      <w:spacing w:val="12"/>
      <w:sz w:val="24"/>
      <w:lang w:eastAsia="zh-CN"/>
    </w:rPr>
  </w:style>
  <w:style w:type="paragraph" w:styleId="10">
    <w:name w:val="Plain Text"/>
    <w:basedOn w:val="1"/>
    <w:next w:val="11"/>
    <w:qFormat/>
    <w:uiPriority w:val="0"/>
    <w:rPr>
      <w:rFonts w:ascii="宋体" w:hAnsi="Courier New" w:cs="宋体"/>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3">
    <w:name w:val="toc 1"/>
    <w:basedOn w:val="1"/>
    <w:next w:val="1"/>
    <w:qFormat/>
    <w:uiPriority w:val="0"/>
  </w:style>
  <w:style w:type="paragraph" w:styleId="14">
    <w:name w:val="toc 6"/>
    <w:basedOn w:val="1"/>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15">
    <w:name w:val="Normal (Web)"/>
    <w:basedOn w:val="1"/>
    <w:qFormat/>
    <w:uiPriority w:val="0"/>
    <w:rPr>
      <w:sz w:val="24"/>
    </w:rPr>
  </w:style>
  <w:style w:type="paragraph" w:styleId="16">
    <w:name w:val="Title"/>
    <w:next w:val="1"/>
    <w:qFormat/>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styleId="17">
    <w:name w:val="Body Text First Indent"/>
    <w:basedOn w:val="8"/>
    <w:next w:val="14"/>
    <w:unhideWhenUsed/>
    <w:qFormat/>
    <w:uiPriority w:val="0"/>
    <w:pPr>
      <w:spacing w:before="0" w:beforeLines="0" w:after="120" w:afterLines="0" w:line="312" w:lineRule="atLeast"/>
      <w:ind w:firstLine="420" w:firstLineChars="100"/>
    </w:pPr>
    <w:rPr>
      <w:sz w:val="21"/>
    </w:rPr>
  </w:style>
  <w:style w:type="paragraph" w:styleId="18">
    <w:name w:val="Body Text First Indent 2"/>
    <w:basedOn w:val="9"/>
    <w:qFormat/>
    <w:uiPriority w:val="0"/>
    <w:pPr>
      <w:ind w:firstLine="420" w:firstLineChars="200"/>
    </w:pPr>
    <w:rPr>
      <w:kern w:val="2"/>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宋体" w:hAnsi="宋体" w:eastAsia="宋体" w:cs="宋体"/>
      <w:sz w:val="28"/>
      <w:szCs w:val="28"/>
      <w:lang w:val="en-US" w:eastAsia="en-US" w:bidi="ar-SA"/>
    </w:rPr>
  </w:style>
  <w:style w:type="paragraph" w:customStyle="1" w:styleId="25">
    <w:name w:val="BodyText1I2"/>
    <w:basedOn w:val="26"/>
    <w:qFormat/>
    <w:uiPriority w:val="0"/>
    <w:pPr>
      <w:spacing w:after="0"/>
      <w:ind w:left="0" w:leftChars="0" w:firstLine="200" w:firstLineChars="200"/>
      <w:jc w:val="both"/>
      <w:textAlignment w:val="baseline"/>
    </w:pPr>
    <w:rPr>
      <w:rFonts w:ascii="Times New Roman" w:hAnsi="Times New Roman" w:eastAsia="宋体" w:cs="Times New Roman"/>
      <w:sz w:val="28"/>
    </w:rPr>
  </w:style>
  <w:style w:type="paragraph" w:customStyle="1" w:styleId="26">
    <w:name w:val="BodyTextIndent"/>
    <w:basedOn w:val="1"/>
    <w:qFormat/>
    <w:uiPriority w:val="0"/>
    <w:pPr>
      <w:spacing w:after="120"/>
      <w:ind w:left="420" w:leftChars="200"/>
      <w:jc w:val="both"/>
      <w:textAlignment w:val="baseline"/>
    </w:pPr>
    <w:rPr>
      <w:rFonts w:ascii="Times New Roman" w:hAnsi="Times New Roman" w:eastAsia="宋体" w:cs="Times New Roman"/>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纯文本1"/>
    <w:basedOn w:val="1"/>
    <w:qFormat/>
    <w:uiPriority w:val="0"/>
    <w:rPr>
      <w:rFonts w:ascii="宋体" w:hAnsi="Courier New" w:eastAsia="宋体" w:cs="Times New Roman"/>
      <w:szCs w:val="22"/>
    </w:rPr>
  </w:style>
  <w:style w:type="paragraph" w:styleId="30">
    <w:name w:val="No Spacing"/>
    <w:basedOn w:val="1"/>
    <w:qFormat/>
    <w:uiPriority w:val="0"/>
    <w:rPr>
      <w:szCs w:val="22"/>
    </w:rPr>
  </w:style>
  <w:style w:type="character" w:customStyle="1" w:styleId="31">
    <w:name w:val="font21"/>
    <w:basedOn w:val="21"/>
    <w:qFormat/>
    <w:uiPriority w:val="0"/>
    <w:rPr>
      <w:rFonts w:ascii="宋体" w:hAnsi="宋体" w:eastAsia="宋体" w:cs="宋体"/>
      <w:color w:val="000000"/>
      <w:sz w:val="46"/>
      <w:szCs w:val="46"/>
      <w:u w:val="none"/>
    </w:rPr>
  </w:style>
  <w:style w:type="character" w:customStyle="1" w:styleId="32">
    <w:name w:val="font31"/>
    <w:basedOn w:val="21"/>
    <w:qFormat/>
    <w:uiPriority w:val="0"/>
    <w:rPr>
      <w:rFonts w:ascii="Arial" w:hAnsi="Arial" w:cs="Arial"/>
      <w:color w:val="000000"/>
      <w:sz w:val="6"/>
      <w:szCs w:val="6"/>
      <w:u w:val="none"/>
    </w:rPr>
  </w:style>
  <w:style w:type="character" w:customStyle="1" w:styleId="33">
    <w:name w:val="font41"/>
    <w:basedOn w:val="21"/>
    <w:qFormat/>
    <w:uiPriority w:val="0"/>
    <w:rPr>
      <w:rFonts w:hint="default" w:ascii="Arial" w:hAnsi="Arial" w:cs="Arial"/>
      <w:color w:val="000000"/>
      <w:sz w:val="13"/>
      <w:szCs w:val="13"/>
      <w:u w:val="none"/>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character" w:customStyle="1" w:styleId="35">
    <w:name w:val="样式 仿宋"/>
    <w:qFormat/>
    <w:uiPriority w:val="0"/>
    <w:rPr>
      <w:rFonts w:ascii="仿宋" w:hAnsi="仿宋" w:eastAsia="仿宋"/>
      <w:kern w:val="1"/>
    </w:rPr>
  </w:style>
  <w:style w:type="paragraph" w:customStyle="1" w:styleId="36">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37">
    <w:name w:val="大标题"/>
    <w:basedOn w:val="1"/>
    <w:next w:val="18"/>
    <w:qFormat/>
    <w:uiPriority w:val="0"/>
    <w:pPr>
      <w:jc w:val="center"/>
    </w:pPr>
    <w:rPr>
      <w:rFonts w:ascii="Arial" w:hAnsi="Arial" w:eastAsia="宋体" w:cs="Times New Roman"/>
      <w:b/>
      <w:sz w:val="28"/>
      <w:szCs w:val="24"/>
    </w:rPr>
  </w:style>
  <w:style w:type="character" w:customStyle="1" w:styleId="38">
    <w:name w:val="font11"/>
    <w:basedOn w:val="21"/>
    <w:qFormat/>
    <w:uiPriority w:val="0"/>
    <w:rPr>
      <w:rFonts w:hint="eastAsia" w:ascii="宋体" w:hAnsi="宋体" w:eastAsia="宋体" w:cs="宋体"/>
      <w:color w:val="000000"/>
      <w:sz w:val="16"/>
      <w:szCs w:val="16"/>
      <w:u w:val="none"/>
    </w:rPr>
  </w:style>
  <w:style w:type="character" w:customStyle="1" w:styleId="39">
    <w:name w:val="font51"/>
    <w:basedOn w:val="21"/>
    <w:qFormat/>
    <w:uiPriority w:val="0"/>
    <w:rPr>
      <w:rFonts w:hint="eastAsia" w:ascii="宋体" w:hAnsi="宋体" w:eastAsia="宋体" w:cs="宋体"/>
      <w:color w:val="FF0000"/>
      <w:sz w:val="16"/>
      <w:szCs w:val="16"/>
      <w:u w:val="none"/>
    </w:rPr>
  </w:style>
  <w:style w:type="character" w:customStyle="1" w:styleId="40">
    <w:name w:val="font61"/>
    <w:basedOn w:val="2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113</Pages>
  <Words>2842</Words>
  <Characters>3275</Characters>
  <TotalTime>25</TotalTime>
  <ScaleCrop>false</ScaleCrop>
  <LinksUpToDate>false</LinksUpToDate>
  <CharactersWithSpaces>3454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2024-03-21T23:02:00Z</dcterms:created>
  <dc:creator>Administrator</dc:creator>
  <cp:lastModifiedBy>Administrator</cp:lastModifiedBy>
  <cp:lastPrinted>2026-04-16T12:57:00Z</cp:lastPrinted>
  <dcterms:modified xsi:type="dcterms:W3CDTF">2026-05-07T09:16:27Z</dcterms:modified>
  <dc:title>建设工程施工招标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2024-03-29T12:59:48Z</vt:filetime>
  </property>
  <property fmtid="{D5CDD505-2E9C-101B-9397-08002B2CF9AE}" pid="4" name="KSOProductBuildVer">
    <vt:lpwstr>2052-12.1.0.25225</vt:lpwstr>
  </property>
  <property fmtid="{D5CDD505-2E9C-101B-9397-08002B2CF9AE}" pid="5" name="ICV">
    <vt:lpwstr>65E06193C6854ECDBBE66061729A701B_13</vt:lpwstr>
  </property>
  <property fmtid="{D5CDD505-2E9C-101B-9397-08002B2CF9AE}" pid="6" name="KSOTemplateDocerSaveRecord">
    <vt:lpwstr>eyJoZGlkIjoiNTVhNGE2ODI0ZjBhNTVjNWZhMjhiYjgzYTkzZmM4ZjMiLCJ1c2VySWQiOiIzMzk0ODA4MjEifQ==</vt:lpwstr>
  </property>
</Properties>
</file>