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60DAF">
      <w:pPr>
        <w:pStyle w:val="29"/>
        <w:spacing w:line="760" w:lineRule="exact"/>
        <w:jc w:val="center"/>
        <w:rPr>
          <w:rFonts w:hint="eastAsia" w:ascii="仿宋" w:hAnsi="仿宋" w:eastAsia="仿宋" w:cs="仿宋"/>
          <w:b/>
          <w:bCs/>
          <w:color w:val="auto"/>
          <w:sz w:val="32"/>
          <w:szCs w:val="32"/>
          <w:lang w:val="en-US" w:eastAsia="zh-CN"/>
        </w:rPr>
      </w:pPr>
    </w:p>
    <w:p w14:paraId="68136265">
      <w:pPr>
        <w:pStyle w:val="29"/>
        <w:spacing w:line="760" w:lineRule="exact"/>
        <w:jc w:val="center"/>
        <w:rPr>
          <w:rFonts w:hint="eastAsia" w:ascii="仿宋" w:hAnsi="仿宋" w:eastAsia="仿宋" w:cs="仿宋"/>
          <w:b/>
          <w:bCs/>
          <w:color w:val="auto"/>
          <w:sz w:val="40"/>
          <w:szCs w:val="40"/>
          <w:lang w:val="en-US" w:eastAsia="zh-CN"/>
        </w:rPr>
      </w:pPr>
      <w:r>
        <w:rPr>
          <w:rFonts w:hint="eastAsia" w:ascii="仿宋" w:hAnsi="仿宋" w:eastAsia="仿宋" w:cs="仿宋"/>
          <w:b/>
          <w:bCs/>
          <w:color w:val="auto"/>
          <w:sz w:val="40"/>
          <w:szCs w:val="40"/>
          <w:lang w:val="en-US" w:eastAsia="zh-CN"/>
        </w:rPr>
        <w:t>克州GAJ无人机FZ设备采购项目（二次）</w:t>
      </w:r>
    </w:p>
    <w:p w14:paraId="71A3CA30">
      <w:pPr>
        <w:pStyle w:val="29"/>
        <w:spacing w:line="760" w:lineRule="exact"/>
        <w:jc w:val="center"/>
        <w:rPr>
          <w:rFonts w:hint="default" w:ascii="仿宋" w:hAnsi="仿宋" w:eastAsia="仿宋" w:cs="仿宋"/>
          <w:b/>
          <w:color w:val="auto"/>
          <w:sz w:val="36"/>
          <w:szCs w:val="36"/>
          <w:lang w:val="en-US" w:eastAsia="zh-CN"/>
        </w:rPr>
      </w:pPr>
      <w:r>
        <w:rPr>
          <w:rFonts w:hint="eastAsia" w:ascii="仿宋" w:hAnsi="仿宋" w:eastAsia="仿宋" w:cs="仿宋"/>
          <w:b/>
          <w:bCs/>
          <w:color w:val="auto"/>
          <w:sz w:val="36"/>
          <w:szCs w:val="36"/>
        </w:rPr>
        <w:t>项目编号：</w:t>
      </w:r>
      <w:r>
        <w:rPr>
          <w:rFonts w:hint="eastAsia" w:ascii="仿宋" w:hAnsi="仿宋" w:eastAsia="仿宋" w:cs="仿宋"/>
          <w:b/>
          <w:bCs/>
          <w:color w:val="auto"/>
          <w:sz w:val="36"/>
          <w:szCs w:val="36"/>
          <w:lang w:val="en-US" w:eastAsia="zh-CN"/>
        </w:rPr>
        <w:t>KZZB-2026053-01</w:t>
      </w:r>
    </w:p>
    <w:p w14:paraId="172B7760">
      <w:pPr>
        <w:pStyle w:val="29"/>
        <w:spacing w:line="760" w:lineRule="exact"/>
        <w:rPr>
          <w:rFonts w:ascii="仿宋" w:hAnsi="仿宋" w:eastAsia="仿宋" w:cs="仿宋"/>
          <w:color w:val="auto"/>
        </w:rPr>
      </w:pPr>
    </w:p>
    <w:p w14:paraId="1BC05169">
      <w:pPr>
        <w:pStyle w:val="29"/>
        <w:rPr>
          <w:rFonts w:ascii="仿宋" w:hAnsi="仿宋" w:eastAsia="仿宋" w:cs="仿宋"/>
          <w:color w:val="auto"/>
        </w:rPr>
      </w:pPr>
    </w:p>
    <w:p w14:paraId="3F3798B5">
      <w:pPr>
        <w:pStyle w:val="29"/>
        <w:jc w:val="center"/>
        <w:rPr>
          <w:rFonts w:hint="eastAsia" w:ascii="仿宋" w:hAnsi="仿宋" w:eastAsia="仿宋" w:cs="仿宋"/>
          <w:b/>
          <w:bCs/>
          <w:color w:val="auto"/>
          <w:sz w:val="96"/>
          <w:szCs w:val="96"/>
          <w:lang w:eastAsia="zh-CN"/>
        </w:rPr>
      </w:pPr>
      <w:r>
        <w:rPr>
          <w:rFonts w:hint="eastAsia" w:ascii="仿宋" w:hAnsi="仿宋" w:eastAsia="仿宋" w:cs="仿宋"/>
          <w:b/>
          <w:color w:val="auto"/>
          <w:sz w:val="96"/>
          <w:szCs w:val="96"/>
          <w:lang w:eastAsia="zh-CN"/>
        </w:rPr>
        <w:t>谈</w:t>
      </w:r>
    </w:p>
    <w:p w14:paraId="108AFC79">
      <w:pPr>
        <w:pStyle w:val="29"/>
        <w:jc w:val="center"/>
        <w:rPr>
          <w:rFonts w:hint="eastAsia" w:ascii="仿宋" w:hAnsi="仿宋" w:eastAsia="仿宋" w:cs="仿宋"/>
          <w:b/>
          <w:bCs/>
          <w:color w:val="auto"/>
          <w:sz w:val="96"/>
          <w:szCs w:val="96"/>
          <w:lang w:eastAsia="zh-CN"/>
        </w:rPr>
      </w:pPr>
      <w:r>
        <w:rPr>
          <w:rFonts w:hint="eastAsia" w:ascii="仿宋" w:hAnsi="仿宋" w:eastAsia="仿宋" w:cs="仿宋"/>
          <w:b/>
          <w:bCs/>
          <w:color w:val="auto"/>
          <w:sz w:val="96"/>
          <w:szCs w:val="96"/>
          <w:lang w:eastAsia="zh-CN"/>
        </w:rPr>
        <w:t>判</w:t>
      </w:r>
    </w:p>
    <w:p w14:paraId="25322556">
      <w:pPr>
        <w:pStyle w:val="29"/>
        <w:jc w:val="center"/>
        <w:rPr>
          <w:rFonts w:ascii="仿宋" w:hAnsi="仿宋" w:eastAsia="仿宋" w:cs="仿宋"/>
          <w:b/>
          <w:bCs/>
          <w:color w:val="auto"/>
          <w:sz w:val="96"/>
          <w:szCs w:val="96"/>
        </w:rPr>
      </w:pPr>
      <w:r>
        <w:rPr>
          <w:rFonts w:hint="eastAsia" w:ascii="仿宋" w:hAnsi="仿宋" w:eastAsia="仿宋" w:cs="仿宋"/>
          <w:b/>
          <w:bCs/>
          <w:color w:val="auto"/>
          <w:sz w:val="96"/>
          <w:szCs w:val="96"/>
        </w:rPr>
        <w:t>文</w:t>
      </w:r>
    </w:p>
    <w:p w14:paraId="5F367E76">
      <w:pPr>
        <w:pStyle w:val="29"/>
        <w:jc w:val="center"/>
        <w:rPr>
          <w:rFonts w:ascii="仿宋" w:hAnsi="仿宋" w:eastAsia="仿宋" w:cs="仿宋"/>
          <w:color w:val="auto"/>
          <w:sz w:val="84"/>
          <w:szCs w:val="84"/>
        </w:rPr>
      </w:pPr>
      <w:r>
        <w:rPr>
          <w:rFonts w:hint="eastAsia" w:ascii="仿宋" w:hAnsi="仿宋" w:eastAsia="仿宋" w:cs="仿宋"/>
          <w:b/>
          <w:bCs/>
          <w:color w:val="auto"/>
          <w:sz w:val="96"/>
          <w:szCs w:val="96"/>
        </w:rPr>
        <w:t>件</w:t>
      </w:r>
    </w:p>
    <w:p w14:paraId="160EA89D">
      <w:pPr>
        <w:pStyle w:val="29"/>
        <w:rPr>
          <w:rFonts w:ascii="仿宋" w:hAnsi="仿宋" w:eastAsia="仿宋" w:cs="仿宋"/>
          <w:color w:val="auto"/>
        </w:rPr>
      </w:pPr>
    </w:p>
    <w:p w14:paraId="64CE491E">
      <w:pPr>
        <w:pStyle w:val="29"/>
        <w:rPr>
          <w:rFonts w:ascii="仿宋" w:hAnsi="仿宋" w:eastAsia="仿宋" w:cs="仿宋"/>
          <w:color w:val="auto"/>
        </w:rPr>
      </w:pPr>
    </w:p>
    <w:p w14:paraId="6ADF2665">
      <w:pPr>
        <w:spacing w:line="700" w:lineRule="exact"/>
        <w:ind w:firstLine="646"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克孜勒苏柯尔克孜自治州GAJ</w:t>
      </w:r>
    </w:p>
    <w:p w14:paraId="13DB5EE8">
      <w:pPr>
        <w:spacing w:line="700" w:lineRule="exact"/>
        <w:ind w:firstLine="646"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法定代表人或授权委托人签字：</w:t>
      </w:r>
    </w:p>
    <w:p w14:paraId="28F40485">
      <w:pPr>
        <w:spacing w:line="700" w:lineRule="exact"/>
        <w:ind w:firstLine="646" w:firstLineChars="200"/>
        <w:rPr>
          <w:rFonts w:hint="eastAsia" w:ascii="仿宋" w:hAnsi="仿宋" w:eastAsia="仿宋" w:cs="仿宋"/>
          <w:color w:val="auto"/>
          <w:sz w:val="32"/>
          <w:szCs w:val="32"/>
        </w:rPr>
      </w:pPr>
    </w:p>
    <w:p w14:paraId="5A410E6C">
      <w:pPr>
        <w:spacing w:line="700" w:lineRule="exact"/>
        <w:ind w:firstLine="646" w:firstLineChars="200"/>
        <w:rPr>
          <w:rFonts w:ascii="仿宋" w:hAnsi="仿宋" w:eastAsia="仿宋" w:cs="仿宋"/>
          <w:color w:val="auto"/>
          <w:sz w:val="32"/>
          <w:szCs w:val="32"/>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新疆飞耀项目管理有限公司</w:t>
      </w:r>
    </w:p>
    <w:p w14:paraId="16864FD7">
      <w:pPr>
        <w:ind w:firstLine="646" w:firstLineChars="200"/>
        <w:jc w:val="left"/>
        <w:rPr>
          <w:rFonts w:ascii="仿宋" w:hAnsi="仿宋" w:eastAsia="仿宋" w:cs="仿宋"/>
          <w:b/>
          <w:color w:val="auto"/>
          <w:sz w:val="36"/>
          <w:szCs w:val="36"/>
        </w:rPr>
      </w:pPr>
      <w:r>
        <w:rPr>
          <w:rFonts w:hint="eastAsia" w:ascii="仿宋" w:hAnsi="仿宋" w:eastAsia="仿宋" w:cs="仿宋"/>
          <w:color w:val="auto"/>
          <w:sz w:val="32"/>
          <w:szCs w:val="32"/>
          <w:lang w:val="en-US" w:eastAsia="zh-CN"/>
        </w:rPr>
        <w:t>法定代表人或授权委托人签字：</w:t>
      </w:r>
    </w:p>
    <w:p w14:paraId="2A4F99BF">
      <w:pPr>
        <w:jc w:val="center"/>
        <w:rPr>
          <w:rFonts w:hint="eastAsia" w:ascii="仿宋" w:hAnsi="仿宋" w:eastAsia="仿宋" w:cs="仿宋"/>
          <w:b/>
          <w:color w:val="auto"/>
          <w:sz w:val="36"/>
          <w:szCs w:val="36"/>
        </w:rPr>
      </w:pPr>
    </w:p>
    <w:p w14:paraId="1BBCAD39">
      <w:pPr>
        <w:jc w:val="center"/>
        <w:rPr>
          <w:rFonts w:hint="eastAsia" w:ascii="仿宋" w:hAnsi="仿宋" w:eastAsia="仿宋" w:cs="仿宋"/>
          <w:b/>
          <w:color w:val="auto"/>
          <w:sz w:val="36"/>
          <w:szCs w:val="36"/>
        </w:rPr>
      </w:pPr>
    </w:p>
    <w:p w14:paraId="39F0E64D">
      <w:pPr>
        <w:jc w:val="center"/>
        <w:rPr>
          <w:rFonts w:hint="eastAsia" w:ascii="仿宋" w:hAnsi="仿宋" w:eastAsia="仿宋" w:cs="仿宋"/>
          <w:b/>
          <w:color w:val="auto"/>
          <w:sz w:val="36"/>
          <w:szCs w:val="36"/>
        </w:rPr>
      </w:pPr>
    </w:p>
    <w:p w14:paraId="0F2D0FB8">
      <w:pPr>
        <w:jc w:val="center"/>
        <w:rPr>
          <w:rFonts w:ascii="仿宋" w:hAnsi="仿宋" w:eastAsia="仿宋" w:cs="仿宋"/>
          <w:b/>
          <w:color w:val="auto"/>
          <w:sz w:val="36"/>
          <w:szCs w:val="36"/>
        </w:rPr>
      </w:pPr>
      <w:r>
        <w:rPr>
          <w:rFonts w:hint="eastAsia" w:ascii="仿宋" w:hAnsi="仿宋" w:eastAsia="仿宋" w:cs="仿宋"/>
          <w:b/>
          <w:color w:val="auto"/>
          <w:sz w:val="36"/>
          <w:szCs w:val="36"/>
        </w:rPr>
        <w:t>招投标监督管理机构备案登记栏</w:t>
      </w:r>
    </w:p>
    <w:tbl>
      <w:tblPr>
        <w:tblStyle w:val="2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8"/>
      </w:tblGrid>
      <w:tr w14:paraId="2589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9588" w:type="dxa"/>
          </w:tcPr>
          <w:p w14:paraId="12A411DD">
            <w:pPr>
              <w:spacing w:line="500" w:lineRule="exact"/>
              <w:jc w:val="both"/>
              <w:rPr>
                <w:rFonts w:ascii="仿宋" w:hAnsi="仿宋" w:eastAsia="仿宋" w:cs="仿宋"/>
                <w:color w:val="auto"/>
              </w:rPr>
            </w:pPr>
          </w:p>
          <w:p w14:paraId="5B4FC860">
            <w:pPr>
              <w:spacing w:line="500" w:lineRule="exact"/>
              <w:jc w:val="both"/>
              <w:rPr>
                <w:rFonts w:ascii="仿宋" w:hAnsi="仿宋" w:eastAsia="仿宋" w:cs="仿宋"/>
                <w:color w:val="auto"/>
              </w:rPr>
            </w:pPr>
          </w:p>
          <w:p w14:paraId="39DF5E5A">
            <w:pPr>
              <w:spacing w:line="500" w:lineRule="exact"/>
              <w:jc w:val="both"/>
              <w:rPr>
                <w:rFonts w:ascii="仿宋" w:hAnsi="仿宋" w:eastAsia="仿宋" w:cs="仿宋"/>
                <w:color w:val="auto"/>
                <w:w w:val="95"/>
                <w:sz w:val="28"/>
                <w:szCs w:val="28"/>
                <w:lang w:eastAsia="zh-CN"/>
              </w:rPr>
            </w:pPr>
            <w:r>
              <w:rPr>
                <w:rFonts w:hint="eastAsia" w:ascii="仿宋" w:hAnsi="仿宋" w:eastAsia="仿宋" w:cs="仿宋"/>
                <w:color w:val="auto"/>
                <w:sz w:val="28"/>
                <w:szCs w:val="28"/>
              </w:rPr>
              <w:t>采购单位：</w:t>
            </w:r>
            <w:r>
              <w:rPr>
                <w:rFonts w:hint="eastAsia" w:ascii="仿宋" w:hAnsi="仿宋" w:eastAsia="仿宋" w:cs="仿宋"/>
                <w:color w:val="auto"/>
                <w:sz w:val="28"/>
                <w:szCs w:val="28"/>
                <w:lang w:eastAsia="zh-CN"/>
              </w:rPr>
              <w:t>克孜勒苏柯尔克孜自治州GAJ</w:t>
            </w:r>
            <w:r>
              <w:rPr>
                <w:rFonts w:hint="eastAsia" w:ascii="仿宋" w:hAnsi="仿宋" w:eastAsia="仿宋" w:cs="仿宋"/>
                <w:color w:val="auto"/>
                <w:sz w:val="28"/>
                <w:szCs w:val="28"/>
              </w:rPr>
              <w:t> </w:t>
            </w:r>
            <w:r>
              <w:rPr>
                <w:rFonts w:hint="eastAsia" w:ascii="仿宋" w:hAnsi="仿宋" w:eastAsia="仿宋" w:cs="仿宋"/>
                <w:color w:val="auto"/>
                <w:w w:val="95"/>
                <w:sz w:val="28"/>
                <w:szCs w:val="28"/>
                <w:lang w:eastAsia="zh-CN"/>
              </w:rPr>
              <w:t>（盖章）</w:t>
            </w:r>
          </w:p>
          <w:p w14:paraId="5D067BDE">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6044D530">
            <w:pPr>
              <w:spacing w:line="500" w:lineRule="exact"/>
              <w:jc w:val="both"/>
              <w:rPr>
                <w:rFonts w:ascii="仿宋" w:hAnsi="仿宋" w:eastAsia="仿宋" w:cs="仿宋"/>
                <w:color w:val="auto"/>
                <w:sz w:val="32"/>
                <w:szCs w:val="32"/>
              </w:rPr>
            </w:pPr>
          </w:p>
          <w:p w14:paraId="153FBAEF">
            <w:pPr>
              <w:spacing w:line="500" w:lineRule="exact"/>
              <w:jc w:val="both"/>
              <w:rPr>
                <w:rFonts w:ascii="仿宋" w:hAnsi="仿宋" w:eastAsia="仿宋" w:cs="仿宋"/>
                <w:color w:val="auto"/>
                <w:sz w:val="32"/>
                <w:szCs w:val="32"/>
              </w:rPr>
            </w:pPr>
          </w:p>
          <w:p w14:paraId="54F63466">
            <w:pPr>
              <w:spacing w:line="500" w:lineRule="exact"/>
              <w:ind w:left="3554" w:hanging="3553" w:hangingChars="1100"/>
              <w:jc w:val="both"/>
              <w:rPr>
                <w:rFonts w:ascii="仿宋" w:hAnsi="仿宋" w:eastAsia="仿宋" w:cs="仿宋"/>
                <w:color w:val="auto"/>
                <w:sz w:val="32"/>
                <w:szCs w:val="32"/>
              </w:rPr>
            </w:pPr>
          </w:p>
          <w:p w14:paraId="47FA82CE">
            <w:pPr>
              <w:spacing w:line="500" w:lineRule="exact"/>
              <w:ind w:left="3554" w:hanging="3113" w:hangingChars="1100"/>
              <w:jc w:val="both"/>
              <w:rPr>
                <w:rFonts w:ascii="仿宋" w:hAnsi="仿宋" w:eastAsia="仿宋" w:cs="仿宋"/>
                <w:color w:val="auto"/>
                <w:sz w:val="32"/>
                <w:szCs w:val="32"/>
                <w:lang w:eastAsia="zh-CN"/>
              </w:rPr>
            </w:pPr>
            <w:r>
              <w:rPr>
                <w:rFonts w:hint="eastAsia" w:ascii="仿宋" w:hAnsi="仿宋" w:eastAsia="仿宋" w:cs="仿宋"/>
                <w:color w:val="auto"/>
                <w:sz w:val="28"/>
                <w:szCs w:val="28"/>
              </w:rPr>
              <w:t>采购项目名称：</w:t>
            </w:r>
            <w:r>
              <w:rPr>
                <w:rFonts w:hint="eastAsia" w:ascii="仿宋" w:hAnsi="仿宋" w:eastAsia="仿宋" w:cs="仿宋"/>
                <w:color w:val="auto"/>
                <w:sz w:val="28"/>
                <w:szCs w:val="28"/>
                <w:lang w:eastAsia="zh-CN"/>
              </w:rPr>
              <w:t>克州GAJ无人机FZ设备采购项目（二次）</w:t>
            </w:r>
          </w:p>
          <w:p w14:paraId="2F62A725">
            <w:pPr>
              <w:pStyle w:val="4"/>
              <w:spacing w:line="500" w:lineRule="exact"/>
              <w:jc w:val="both"/>
              <w:outlineLvl w:val="2"/>
              <w:rPr>
                <w:rFonts w:ascii="仿宋" w:hAnsi="仿宋" w:eastAsia="仿宋" w:cs="仿宋"/>
                <w:color w:val="auto"/>
              </w:rPr>
            </w:pPr>
          </w:p>
          <w:p w14:paraId="116B29A0">
            <w:pPr>
              <w:spacing w:line="500" w:lineRule="exact"/>
              <w:jc w:val="both"/>
              <w:rPr>
                <w:rFonts w:ascii="仿宋" w:hAnsi="仿宋" w:eastAsia="仿宋" w:cs="仿宋"/>
                <w:color w:val="auto"/>
                <w:sz w:val="32"/>
                <w:szCs w:val="32"/>
              </w:rPr>
            </w:pPr>
          </w:p>
          <w:p w14:paraId="5A5AEF9C">
            <w:pPr>
              <w:spacing w:line="500" w:lineRule="exact"/>
              <w:jc w:val="both"/>
              <w:rPr>
                <w:rFonts w:ascii="仿宋" w:hAnsi="仿宋" w:eastAsia="仿宋" w:cs="仿宋"/>
                <w:color w:val="auto"/>
                <w:sz w:val="32"/>
                <w:szCs w:val="32"/>
              </w:rPr>
            </w:pPr>
          </w:p>
          <w:p w14:paraId="5707AAA4">
            <w:pPr>
              <w:spacing w:line="500" w:lineRule="exact"/>
              <w:jc w:val="both"/>
              <w:rPr>
                <w:rFonts w:ascii="仿宋" w:hAnsi="仿宋" w:eastAsia="仿宋" w:cs="仿宋"/>
                <w:color w:val="auto"/>
                <w:sz w:val="32"/>
                <w:szCs w:val="32"/>
              </w:rPr>
            </w:pPr>
          </w:p>
          <w:p w14:paraId="052C4616">
            <w:pPr>
              <w:shd w:val="clear" w:color="040000" w:fill="auto"/>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新疆飞耀项目管理有限公司（盖章）</w:t>
            </w:r>
          </w:p>
          <w:p w14:paraId="74C966B3">
            <w:pPr>
              <w:pStyle w:val="4"/>
              <w:jc w:val="center"/>
              <w:outlineLvl w:val="2"/>
              <w:rPr>
                <w:rFonts w:ascii="仿宋" w:hAnsi="仿宋" w:eastAsia="仿宋" w:cs="仿宋"/>
                <w:color w:val="auto"/>
              </w:rPr>
            </w:pPr>
          </w:p>
          <w:p w14:paraId="544F00D9">
            <w:pPr>
              <w:pStyle w:val="4"/>
              <w:jc w:val="center"/>
              <w:outlineLvl w:val="2"/>
              <w:rPr>
                <w:rFonts w:ascii="仿宋" w:hAnsi="仿宋" w:eastAsia="仿宋" w:cs="仿宋"/>
                <w:color w:val="auto"/>
              </w:rPr>
            </w:pPr>
          </w:p>
          <w:p w14:paraId="776FA4AD">
            <w:pPr>
              <w:autoSpaceDE w:val="0"/>
              <w:autoSpaceDN w:val="0"/>
              <w:adjustRightInd w:val="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本采购</w:t>
            </w:r>
            <w:r>
              <w:rPr>
                <w:rFonts w:hint="eastAsia" w:ascii="仿宋" w:hAnsi="仿宋" w:eastAsia="仿宋" w:cs="仿宋"/>
                <w:b/>
                <w:color w:val="auto"/>
                <w:kern w:val="0"/>
                <w:sz w:val="32"/>
                <w:szCs w:val="32"/>
                <w:lang w:val="en-US" w:eastAsia="zh-CN"/>
              </w:rPr>
              <w:t>谈判文件</w:t>
            </w:r>
            <w:r>
              <w:rPr>
                <w:rFonts w:hint="eastAsia" w:ascii="仿宋" w:hAnsi="仿宋" w:eastAsia="仿宋" w:cs="仿宋"/>
                <w:b/>
                <w:color w:val="auto"/>
                <w:kern w:val="0"/>
                <w:sz w:val="32"/>
                <w:szCs w:val="32"/>
              </w:rPr>
              <w:t>已报备</w:t>
            </w:r>
          </w:p>
          <w:p w14:paraId="03506531">
            <w:pPr>
              <w:pStyle w:val="4"/>
              <w:jc w:val="both"/>
              <w:outlineLvl w:val="2"/>
              <w:rPr>
                <w:rFonts w:ascii="仿宋" w:hAnsi="仿宋" w:eastAsia="仿宋" w:cs="仿宋"/>
                <w:color w:val="auto"/>
              </w:rPr>
            </w:pPr>
          </w:p>
        </w:tc>
      </w:tr>
    </w:tbl>
    <w:p w14:paraId="59FE9B0C">
      <w:pPr>
        <w:spacing w:line="240" w:lineRule="exact"/>
        <w:rPr>
          <w:rFonts w:ascii="仿宋" w:hAnsi="仿宋" w:eastAsia="仿宋" w:cs="仿宋"/>
          <w:color w:val="auto"/>
          <w:sz w:val="44"/>
          <w:szCs w:val="44"/>
        </w:rPr>
      </w:pPr>
    </w:p>
    <w:p w14:paraId="0890BCD2">
      <w:pPr>
        <w:spacing w:line="240" w:lineRule="exact"/>
        <w:rPr>
          <w:rFonts w:ascii="仿宋" w:hAnsi="仿宋" w:eastAsia="仿宋" w:cs="仿宋"/>
          <w:color w:val="auto"/>
          <w:sz w:val="44"/>
          <w:szCs w:val="44"/>
        </w:rPr>
      </w:pPr>
    </w:p>
    <w:p w14:paraId="2B1FD544">
      <w:pPr>
        <w:pStyle w:val="30"/>
        <w:spacing w:before="0" w:line="360" w:lineRule="auto"/>
        <w:jc w:val="center"/>
        <w:rPr>
          <w:rFonts w:ascii="仿宋" w:hAnsi="仿宋" w:eastAsia="仿宋" w:cs="仿宋"/>
          <w:color w:val="auto"/>
          <w:sz w:val="44"/>
          <w:szCs w:val="44"/>
          <w:lang w:val="zh-CN"/>
        </w:rPr>
        <w:sectPr>
          <w:footerReference r:id="rId3" w:type="default"/>
          <w:pgSz w:w="11905" w:h="16838"/>
          <w:pgMar w:top="1440" w:right="1417" w:bottom="1440" w:left="1417" w:header="850" w:footer="992" w:gutter="0"/>
          <w:cols w:space="720" w:num="1"/>
          <w:docGrid w:type="linesAndChars" w:linePitch="325" w:charSpace="635"/>
        </w:sectPr>
      </w:pPr>
    </w:p>
    <w:p w14:paraId="172F12CE">
      <w:pPr>
        <w:rPr>
          <w:rFonts w:ascii="仿宋" w:hAnsi="仿宋" w:eastAsia="仿宋" w:cs="仿宋"/>
          <w:color w:val="auto"/>
          <w:lang w:val="zh-CN"/>
        </w:rPr>
      </w:pPr>
    </w:p>
    <w:p w14:paraId="5BDCF1A6">
      <w:pPr>
        <w:pStyle w:val="30"/>
        <w:spacing w:before="0" w:line="360" w:lineRule="auto"/>
        <w:jc w:val="center"/>
        <w:rPr>
          <w:rFonts w:ascii="仿宋" w:hAnsi="仿宋" w:eastAsia="仿宋" w:cs="仿宋"/>
          <w:color w:val="auto"/>
          <w:sz w:val="44"/>
          <w:szCs w:val="44"/>
          <w:lang w:val="zh-CN"/>
        </w:rPr>
      </w:pPr>
    </w:p>
    <w:p w14:paraId="3F7067CD">
      <w:pPr>
        <w:pStyle w:val="30"/>
        <w:spacing w:before="0" w:line="360" w:lineRule="auto"/>
        <w:jc w:val="center"/>
        <w:rPr>
          <w:rFonts w:ascii="仿宋" w:hAnsi="仿宋" w:eastAsia="仿宋" w:cs="仿宋"/>
          <w:color w:val="auto"/>
          <w:sz w:val="44"/>
          <w:szCs w:val="44"/>
          <w:lang w:val="zh-CN"/>
        </w:rPr>
      </w:pPr>
      <w:r>
        <w:rPr>
          <w:rFonts w:hint="eastAsia" w:ascii="仿宋" w:hAnsi="仿宋" w:eastAsia="仿宋" w:cs="仿宋"/>
          <w:color w:val="auto"/>
          <w:sz w:val="44"/>
          <w:szCs w:val="44"/>
          <w:lang w:val="zh-CN"/>
        </w:rPr>
        <w:t>目    录</w:t>
      </w:r>
    </w:p>
    <w:p w14:paraId="0B1E7A17">
      <w:pPr>
        <w:rPr>
          <w:rFonts w:ascii="仿宋" w:hAnsi="仿宋" w:eastAsia="仿宋" w:cs="仿宋"/>
          <w:color w:val="auto"/>
          <w:sz w:val="30"/>
          <w:szCs w:val="30"/>
          <w:lang w:val="zh-CN"/>
        </w:rPr>
      </w:pPr>
    </w:p>
    <w:p w14:paraId="3D71AC61">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第一部分      竞争性</w:t>
      </w:r>
      <w:r>
        <w:rPr>
          <w:rFonts w:hint="eastAsia" w:ascii="仿宋" w:hAnsi="仿宋" w:eastAsia="仿宋" w:cs="仿宋"/>
          <w:b/>
          <w:color w:val="auto"/>
          <w:sz w:val="30"/>
          <w:szCs w:val="30"/>
          <w:lang w:eastAsia="zh-CN"/>
        </w:rPr>
        <w:t>谈判</w:t>
      </w:r>
      <w:r>
        <w:rPr>
          <w:rFonts w:hint="eastAsia" w:ascii="仿宋" w:hAnsi="仿宋" w:eastAsia="仿宋" w:cs="仿宋"/>
          <w:b/>
          <w:color w:val="auto"/>
          <w:sz w:val="30"/>
          <w:szCs w:val="30"/>
        </w:rPr>
        <w:t>公告</w:t>
      </w:r>
    </w:p>
    <w:p w14:paraId="4834BAB9">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第二部分      供应商须知</w:t>
      </w:r>
    </w:p>
    <w:p w14:paraId="37945D8F">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 xml:space="preserve">第三部分      </w:t>
      </w:r>
      <w:r>
        <w:rPr>
          <w:rFonts w:hint="eastAsia" w:ascii="仿宋" w:hAnsi="仿宋" w:eastAsia="仿宋" w:cs="仿宋"/>
          <w:b/>
          <w:color w:val="auto"/>
          <w:sz w:val="30"/>
          <w:szCs w:val="30"/>
          <w:lang w:eastAsia="zh-CN"/>
        </w:rPr>
        <w:t>技术要</w:t>
      </w:r>
      <w:r>
        <w:rPr>
          <w:rFonts w:hint="eastAsia" w:ascii="仿宋" w:hAnsi="仿宋" w:eastAsia="仿宋" w:cs="仿宋"/>
          <w:b/>
          <w:color w:val="auto"/>
          <w:sz w:val="30"/>
          <w:szCs w:val="30"/>
        </w:rPr>
        <w:t>求</w:t>
      </w:r>
    </w:p>
    <w:p w14:paraId="6D20101C">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第四部分      合同文本（参考）</w:t>
      </w:r>
    </w:p>
    <w:p w14:paraId="10509908">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第五部分      响应文件格式</w:t>
      </w:r>
    </w:p>
    <w:p w14:paraId="2F911598">
      <w:pPr>
        <w:pStyle w:val="7"/>
        <w:numPr>
          <w:ilvl w:val="0"/>
          <w:numId w:val="0"/>
        </w:numPr>
        <w:tabs>
          <w:tab w:val="clear" w:pos="780"/>
        </w:tabs>
        <w:rPr>
          <w:rFonts w:ascii="仿宋" w:hAnsi="仿宋" w:eastAsia="仿宋" w:cs="仿宋"/>
          <w:color w:val="auto"/>
        </w:rPr>
      </w:pPr>
    </w:p>
    <w:p w14:paraId="64B596C4">
      <w:pPr>
        <w:rPr>
          <w:rFonts w:ascii="仿宋" w:hAnsi="仿宋" w:eastAsia="仿宋" w:cs="仿宋"/>
          <w:color w:val="auto"/>
        </w:rPr>
      </w:pPr>
    </w:p>
    <w:p w14:paraId="0A88400C">
      <w:pPr>
        <w:pStyle w:val="4"/>
        <w:rPr>
          <w:rFonts w:ascii="仿宋" w:hAnsi="仿宋" w:eastAsia="仿宋" w:cs="仿宋"/>
          <w:color w:val="auto"/>
          <w:lang w:eastAsia="zh-CN"/>
        </w:rPr>
      </w:pPr>
    </w:p>
    <w:p w14:paraId="6E1EC26B">
      <w:pPr>
        <w:rPr>
          <w:rFonts w:ascii="仿宋" w:hAnsi="仿宋" w:eastAsia="仿宋" w:cs="仿宋"/>
          <w:color w:val="auto"/>
        </w:rPr>
      </w:pPr>
    </w:p>
    <w:p w14:paraId="72171BC4">
      <w:pPr>
        <w:rPr>
          <w:rFonts w:ascii="仿宋" w:hAnsi="仿宋" w:eastAsia="仿宋" w:cs="仿宋"/>
          <w:color w:val="auto"/>
        </w:rPr>
      </w:pPr>
    </w:p>
    <w:p w14:paraId="56F4A7C9">
      <w:pPr>
        <w:pStyle w:val="4"/>
        <w:rPr>
          <w:rFonts w:ascii="仿宋" w:hAnsi="仿宋" w:eastAsia="仿宋" w:cs="仿宋"/>
          <w:color w:val="auto"/>
        </w:rPr>
      </w:pPr>
    </w:p>
    <w:p w14:paraId="68816A09">
      <w:pPr>
        <w:rPr>
          <w:rFonts w:ascii="仿宋" w:hAnsi="仿宋" w:eastAsia="仿宋" w:cs="仿宋"/>
          <w:color w:val="auto"/>
        </w:rPr>
      </w:pPr>
    </w:p>
    <w:p w14:paraId="1390B3D8">
      <w:pPr>
        <w:pStyle w:val="4"/>
        <w:rPr>
          <w:rFonts w:ascii="仿宋" w:hAnsi="仿宋" w:eastAsia="仿宋" w:cs="仿宋"/>
          <w:color w:val="auto"/>
        </w:rPr>
      </w:pPr>
    </w:p>
    <w:p w14:paraId="6995A2A7"/>
    <w:p w14:paraId="20E0A7C9">
      <w:pPr>
        <w:rPr>
          <w:rFonts w:ascii="仿宋" w:hAnsi="仿宋" w:eastAsia="仿宋" w:cs="仿宋"/>
          <w:color w:val="auto"/>
        </w:rPr>
      </w:pPr>
    </w:p>
    <w:p w14:paraId="2F87244B">
      <w:pPr>
        <w:pStyle w:val="31"/>
        <w:keepNext/>
        <w:keepLines/>
        <w:pageBreakBefore w:val="0"/>
        <w:widowControl w:val="0"/>
        <w:numPr>
          <w:ilvl w:val="0"/>
          <w:numId w:val="0"/>
        </w:numPr>
        <w:kinsoku/>
        <w:wordWrap/>
        <w:overflowPunct/>
        <w:topLinePunct w:val="0"/>
        <w:autoSpaceDE/>
        <w:autoSpaceDN/>
        <w:bidi w:val="0"/>
        <w:adjustRightInd/>
        <w:snapToGrid/>
        <w:spacing w:before="120" w:after="300" w:line="440" w:lineRule="exact"/>
        <w:jc w:val="center"/>
        <w:textAlignment w:val="auto"/>
        <w:rPr>
          <w:rFonts w:hint="eastAsia" w:ascii="仿宋" w:hAnsi="仿宋" w:eastAsia="仿宋" w:cs="仿宋"/>
          <w:b/>
          <w:bCs/>
          <w:color w:val="auto"/>
          <w:lang w:eastAsia="zh-CN"/>
        </w:rPr>
      </w:pPr>
    </w:p>
    <w:p w14:paraId="1F187E7F">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330D4DD">
      <w:pPr>
        <w:pStyle w:val="31"/>
        <w:keepNext/>
        <w:keepLines/>
        <w:pageBreakBefore w:val="0"/>
        <w:widowControl w:val="0"/>
        <w:numPr>
          <w:ilvl w:val="0"/>
          <w:numId w:val="0"/>
        </w:numPr>
        <w:kinsoku/>
        <w:wordWrap/>
        <w:overflowPunct/>
        <w:topLinePunct w:val="0"/>
        <w:autoSpaceDE/>
        <w:autoSpaceDN/>
        <w:bidi w:val="0"/>
        <w:adjustRightInd/>
        <w:snapToGrid/>
        <w:spacing w:before="120" w:after="300" w:line="440" w:lineRule="exact"/>
        <w:jc w:val="center"/>
        <w:textAlignment w:val="auto"/>
        <w:rPr>
          <w:rFonts w:hint="eastAsia" w:ascii="仿宋" w:hAnsi="仿宋" w:eastAsia="仿宋" w:cs="仿宋"/>
          <w:b/>
          <w:bCs/>
          <w:color w:val="auto"/>
          <w:lang w:eastAsia="zh-CN"/>
        </w:rPr>
      </w:pPr>
      <w:r>
        <w:rPr>
          <w:rFonts w:hint="eastAsia" w:ascii="仿宋" w:hAnsi="仿宋" w:eastAsia="仿宋" w:cs="仿宋"/>
          <w:b/>
          <w:bCs/>
          <w:color w:val="auto"/>
          <w:lang w:eastAsia="zh-CN"/>
        </w:rPr>
        <w:t>第一部分</w:t>
      </w:r>
      <w:r>
        <w:rPr>
          <w:rFonts w:hint="eastAsia" w:ascii="仿宋" w:hAnsi="仿宋" w:eastAsia="仿宋" w:cs="仿宋"/>
          <w:b/>
          <w:bCs/>
          <w:color w:val="auto"/>
          <w:lang w:val="en-US" w:eastAsia="zh-CN"/>
        </w:rPr>
        <w:t xml:space="preserve"> </w:t>
      </w:r>
      <w:r>
        <w:rPr>
          <w:rFonts w:hint="eastAsia" w:ascii="仿宋" w:hAnsi="仿宋" w:eastAsia="仿宋" w:cs="仿宋"/>
          <w:b/>
          <w:bCs/>
          <w:color w:val="auto"/>
          <w:lang w:eastAsia="zh-CN"/>
        </w:rPr>
        <w:t>竞争性谈判公告</w:t>
      </w:r>
      <w:bookmarkStart w:id="0" w:name="_Toc28359001"/>
      <w:bookmarkStart w:id="1" w:name="_Toc35393789"/>
      <w:bookmarkStart w:id="89" w:name="_GoBack"/>
      <w:bookmarkEnd w:id="89"/>
    </w:p>
    <w:bookmarkEnd w:id="0"/>
    <w:bookmarkEnd w:id="1"/>
    <w:p w14:paraId="5DA11953">
      <w:pPr>
        <w:pStyle w:val="28"/>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baseline"/>
        <w:rPr>
          <w:rFonts w:hint="eastAsia" w:ascii="仿宋" w:hAnsi="仿宋" w:eastAsia="仿宋" w:cs="仿宋"/>
          <w:b/>
          <w:color w:val="000000"/>
          <w:sz w:val="28"/>
          <w:szCs w:val="28"/>
          <w:shd w:val="clear" w:color="auto" w:fill="FFFFFF"/>
          <w:lang w:eastAsia="zh-CN"/>
        </w:rPr>
      </w:pPr>
      <w:r>
        <w:rPr>
          <w:rFonts w:hint="eastAsia" w:ascii="仿宋" w:hAnsi="仿宋" w:eastAsia="仿宋" w:cs="仿宋"/>
          <w:b/>
          <w:color w:val="000000"/>
          <w:sz w:val="28"/>
          <w:szCs w:val="28"/>
          <w:shd w:val="clear" w:color="auto" w:fill="FFFFFF"/>
          <w:lang w:eastAsia="zh-CN"/>
        </w:rPr>
        <w:t>克州GAJ无人机FZ设备采购项目（二次）竞争性谈判公告</w:t>
      </w:r>
    </w:p>
    <w:p w14:paraId="747F75C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ascii="仿宋" w:hAnsi="仿宋" w:eastAsia="仿宋" w:cs="仿宋"/>
          <w:color w:val="000000"/>
          <w:sz w:val="24"/>
          <w:szCs w:val="24"/>
        </w:rPr>
      </w:pPr>
      <w:r>
        <w:rPr>
          <w:rFonts w:hint="eastAsia" w:ascii="仿宋" w:hAnsi="仿宋" w:eastAsia="仿宋" w:cs="仿宋"/>
          <w:color w:val="000000"/>
          <w:sz w:val="24"/>
          <w:szCs w:val="24"/>
        </w:rPr>
        <w:t>项目概况</w:t>
      </w:r>
    </w:p>
    <w:p w14:paraId="27F7AF8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000000"/>
          <w:sz w:val="24"/>
          <w:szCs w:val="24"/>
          <w:lang w:eastAsia="zh-CN"/>
        </w:rPr>
      </w:pPr>
      <w:r>
        <w:rPr>
          <w:rFonts w:hint="eastAsia" w:ascii="仿宋" w:hAnsi="仿宋" w:eastAsia="仿宋" w:cs="仿宋"/>
          <w:b w:val="0"/>
          <w:bCs w:val="0"/>
          <w:i w:val="0"/>
          <w:iCs w:val="0"/>
          <w:caps w:val="0"/>
          <w:color w:val="auto"/>
          <w:spacing w:val="0"/>
          <w:sz w:val="24"/>
          <w:szCs w:val="24"/>
          <w:highlight w:val="none"/>
          <w:lang w:eastAsia="zh-CN"/>
        </w:rPr>
        <w:t>克州GAJ无人机FZ设备采购项目（二次）的潜在投标人应在政采云平台线上获取采购文件，并于</w:t>
      </w:r>
      <w:r>
        <w:rPr>
          <w:rFonts w:hint="eastAsia" w:ascii="仿宋" w:hAnsi="仿宋" w:eastAsia="仿宋" w:cs="仿宋"/>
          <w:b w:val="0"/>
          <w:bCs w:val="0"/>
          <w:i w:val="0"/>
          <w:iCs w:val="0"/>
          <w:caps w:val="0"/>
          <w:color w:val="auto"/>
          <w:spacing w:val="0"/>
          <w:sz w:val="24"/>
          <w:szCs w:val="24"/>
          <w:highlight w:val="none"/>
          <w:u w:val="single"/>
          <w:lang w:eastAsia="zh-CN"/>
        </w:rPr>
        <w:t>202</w:t>
      </w:r>
      <w:r>
        <w:rPr>
          <w:rFonts w:hint="eastAsia" w:ascii="仿宋" w:hAnsi="仿宋" w:eastAsia="仿宋" w:cs="仿宋"/>
          <w:b w:val="0"/>
          <w:bCs w:val="0"/>
          <w:i w:val="0"/>
          <w:iCs w:val="0"/>
          <w:caps w:val="0"/>
          <w:color w:val="auto"/>
          <w:spacing w:val="0"/>
          <w:sz w:val="24"/>
          <w:szCs w:val="24"/>
          <w:highlight w:val="none"/>
          <w:u w:val="single"/>
          <w:lang w:val="en-US" w:eastAsia="zh-CN"/>
        </w:rPr>
        <w:t>6</w:t>
      </w:r>
      <w:r>
        <w:rPr>
          <w:rFonts w:hint="eastAsia" w:ascii="仿宋" w:hAnsi="仿宋" w:eastAsia="仿宋" w:cs="仿宋"/>
          <w:b w:val="0"/>
          <w:bCs w:val="0"/>
          <w:i w:val="0"/>
          <w:iCs w:val="0"/>
          <w:caps w:val="0"/>
          <w:color w:val="auto"/>
          <w:spacing w:val="0"/>
          <w:sz w:val="24"/>
          <w:szCs w:val="24"/>
          <w:highlight w:val="none"/>
          <w:u w:val="single"/>
          <w:lang w:eastAsia="zh-CN"/>
        </w:rPr>
        <w:t>年</w:t>
      </w:r>
      <w:r>
        <w:rPr>
          <w:rFonts w:hint="eastAsia" w:ascii="仿宋" w:hAnsi="仿宋" w:eastAsia="仿宋" w:cs="仿宋"/>
          <w:b w:val="0"/>
          <w:bCs w:val="0"/>
          <w:i w:val="0"/>
          <w:iCs w:val="0"/>
          <w:caps w:val="0"/>
          <w:color w:val="auto"/>
          <w:spacing w:val="0"/>
          <w:sz w:val="24"/>
          <w:szCs w:val="24"/>
          <w:highlight w:val="none"/>
          <w:u w:val="single"/>
          <w:lang w:val="en-US" w:eastAsia="zh-CN"/>
        </w:rPr>
        <w:t>5</w:t>
      </w:r>
      <w:r>
        <w:rPr>
          <w:rFonts w:hint="eastAsia" w:ascii="仿宋" w:hAnsi="仿宋" w:eastAsia="仿宋" w:cs="仿宋"/>
          <w:b w:val="0"/>
          <w:bCs w:val="0"/>
          <w:i w:val="0"/>
          <w:iCs w:val="0"/>
          <w:caps w:val="0"/>
          <w:color w:val="auto"/>
          <w:spacing w:val="0"/>
          <w:sz w:val="24"/>
          <w:szCs w:val="24"/>
          <w:highlight w:val="none"/>
          <w:u w:val="single"/>
          <w:lang w:eastAsia="zh-CN"/>
        </w:rPr>
        <w:t>月</w:t>
      </w:r>
      <w:r>
        <w:rPr>
          <w:rFonts w:hint="eastAsia" w:ascii="仿宋" w:hAnsi="仿宋" w:eastAsia="仿宋" w:cs="仿宋"/>
          <w:b w:val="0"/>
          <w:bCs w:val="0"/>
          <w:i w:val="0"/>
          <w:iCs w:val="0"/>
          <w:caps w:val="0"/>
          <w:color w:val="auto"/>
          <w:spacing w:val="0"/>
          <w:sz w:val="24"/>
          <w:szCs w:val="24"/>
          <w:highlight w:val="none"/>
          <w:u w:val="single"/>
          <w:lang w:val="en-US" w:eastAsia="zh-CN"/>
        </w:rPr>
        <w:t>25</w:t>
      </w:r>
      <w:r>
        <w:rPr>
          <w:rFonts w:hint="eastAsia" w:ascii="仿宋" w:hAnsi="仿宋" w:eastAsia="仿宋" w:cs="仿宋"/>
          <w:b w:val="0"/>
          <w:bCs w:val="0"/>
          <w:i w:val="0"/>
          <w:iCs w:val="0"/>
          <w:caps w:val="0"/>
          <w:color w:val="auto"/>
          <w:spacing w:val="0"/>
          <w:sz w:val="24"/>
          <w:szCs w:val="24"/>
          <w:highlight w:val="none"/>
          <w:u w:val="single"/>
          <w:lang w:eastAsia="zh-CN"/>
        </w:rPr>
        <w:t>日10:</w:t>
      </w:r>
      <w:r>
        <w:rPr>
          <w:rFonts w:hint="eastAsia" w:ascii="仿宋" w:hAnsi="仿宋" w:eastAsia="仿宋" w:cs="仿宋"/>
          <w:b w:val="0"/>
          <w:bCs w:val="0"/>
          <w:i w:val="0"/>
          <w:iCs w:val="0"/>
          <w:caps w:val="0"/>
          <w:color w:val="auto"/>
          <w:spacing w:val="0"/>
          <w:sz w:val="24"/>
          <w:szCs w:val="24"/>
          <w:highlight w:val="none"/>
          <w:u w:val="single"/>
          <w:lang w:val="en-US" w:eastAsia="zh-CN"/>
        </w:rPr>
        <w:t>30</w:t>
      </w:r>
      <w:r>
        <w:rPr>
          <w:rFonts w:hint="eastAsia" w:ascii="仿宋" w:hAnsi="仿宋" w:eastAsia="仿宋" w:cs="仿宋"/>
          <w:b w:val="0"/>
          <w:bCs w:val="0"/>
          <w:i w:val="0"/>
          <w:iCs w:val="0"/>
          <w:caps w:val="0"/>
          <w:color w:val="auto"/>
          <w:spacing w:val="0"/>
          <w:sz w:val="24"/>
          <w:szCs w:val="24"/>
          <w:highlight w:val="none"/>
          <w:lang w:eastAsia="zh-CN"/>
        </w:rPr>
        <w:t>（北京时间）前递交响应文件。</w:t>
      </w:r>
    </w:p>
    <w:p w14:paraId="25F7ECC9">
      <w:pPr>
        <w:pStyle w:val="3"/>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仿宋"/>
          <w:b/>
          <w:bCs/>
          <w:color w:val="000000"/>
          <w:sz w:val="24"/>
          <w:szCs w:val="24"/>
        </w:rPr>
      </w:pPr>
      <w:bookmarkStart w:id="2" w:name="_Toc35393621"/>
      <w:bookmarkStart w:id="3" w:name="_Toc28359002"/>
      <w:bookmarkStart w:id="4" w:name="_Toc28359079"/>
      <w:bookmarkStart w:id="5" w:name="_Toc35393790"/>
      <w:bookmarkStart w:id="6" w:name="_Hlk24379207"/>
      <w:r>
        <w:rPr>
          <w:rFonts w:hint="eastAsia" w:ascii="仿宋" w:hAnsi="仿宋" w:eastAsia="仿宋" w:cs="仿宋"/>
          <w:b/>
          <w:bCs/>
          <w:color w:val="000000"/>
          <w:sz w:val="24"/>
          <w:szCs w:val="24"/>
        </w:rPr>
        <w:t>一、项目基本情况</w:t>
      </w:r>
      <w:bookmarkEnd w:id="2"/>
      <w:bookmarkEnd w:id="3"/>
      <w:bookmarkEnd w:id="4"/>
      <w:bookmarkEnd w:id="5"/>
    </w:p>
    <w:bookmarkEnd w:id="6"/>
    <w:p w14:paraId="70D93149">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项目编号：</w:t>
      </w:r>
      <w:r>
        <w:rPr>
          <w:rFonts w:hint="eastAsia" w:ascii="仿宋" w:hAnsi="仿宋" w:eastAsia="仿宋" w:cs="仿宋"/>
          <w:color w:val="000000"/>
          <w:sz w:val="24"/>
          <w:szCs w:val="24"/>
          <w:lang w:val="en-US" w:eastAsia="zh-CN"/>
        </w:rPr>
        <w:t>KZZB-2026053-01</w:t>
      </w:r>
    </w:p>
    <w:p w14:paraId="568DA48B">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克州GAJ无人机FZ设备采购项目（二次）</w:t>
      </w:r>
    </w:p>
    <w:p w14:paraId="35604E64">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采购方式：竞争性谈判</w:t>
      </w:r>
    </w:p>
    <w:p w14:paraId="4E699297">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预算金额</w:t>
      </w:r>
      <w:r>
        <w:rPr>
          <w:rFonts w:hint="eastAsia" w:ascii="仿宋" w:hAnsi="仿宋" w:eastAsia="仿宋" w:cs="仿宋"/>
          <w:color w:val="000000"/>
          <w:sz w:val="24"/>
          <w:szCs w:val="24"/>
          <w:lang w:eastAsia="zh-CN"/>
        </w:rPr>
        <w:t>（元）</w:t>
      </w:r>
      <w:r>
        <w:rPr>
          <w:rFonts w:hint="eastAsia" w:ascii="仿宋" w:hAnsi="仿宋" w:eastAsia="仿宋" w:cs="仿宋"/>
          <w:color w:val="000000"/>
          <w:kern w:val="2"/>
          <w:sz w:val="24"/>
          <w:szCs w:val="24"/>
          <w:lang w:eastAsia="zh-CN" w:bidi="ar-SA"/>
        </w:rPr>
        <w:t>：</w:t>
      </w:r>
      <w:r>
        <w:rPr>
          <w:rFonts w:hint="eastAsia" w:ascii="仿宋" w:hAnsi="仿宋" w:eastAsia="仿宋" w:cs="仿宋"/>
          <w:color w:val="000000"/>
          <w:sz w:val="24"/>
          <w:szCs w:val="24"/>
          <w:lang w:val="en-US" w:eastAsia="zh-CN"/>
        </w:rPr>
        <w:t>700000.00</w:t>
      </w:r>
    </w:p>
    <w:p w14:paraId="5A000DFF">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eastAsia="zh-CN" w:bidi="ar-SA"/>
        </w:rPr>
        <w:t>最高限价（元）：</w:t>
      </w:r>
      <w:r>
        <w:rPr>
          <w:rFonts w:hint="eastAsia" w:ascii="仿宋" w:hAnsi="仿宋" w:eastAsia="仿宋" w:cs="仿宋"/>
          <w:color w:val="000000"/>
          <w:sz w:val="24"/>
          <w:szCs w:val="24"/>
          <w:lang w:val="en-US" w:eastAsia="zh-CN"/>
        </w:rPr>
        <w:t>700000.00</w:t>
      </w:r>
    </w:p>
    <w:p w14:paraId="10267D2B">
      <w:pPr>
        <w:pageBreakBefore w:val="0"/>
        <w:widowControl w:val="0"/>
        <w:kinsoku/>
        <w:wordWrap/>
        <w:overflowPunct/>
        <w:topLinePunct w:val="0"/>
        <w:autoSpaceDE/>
        <w:autoSpaceDN/>
        <w:bidi w:val="0"/>
        <w:adjustRightInd/>
        <w:snapToGrid/>
        <w:spacing w:line="400" w:lineRule="exact"/>
        <w:ind w:firstLine="490" w:firstLineChars="200"/>
        <w:textAlignment w:val="auto"/>
        <w:rPr>
          <w:color w:val="000000"/>
          <w:sz w:val="24"/>
          <w:szCs w:val="24"/>
          <w:lang w:eastAsia="zh-CN"/>
        </w:rPr>
      </w:pPr>
      <w:r>
        <w:rPr>
          <w:rFonts w:hint="eastAsia" w:ascii="仿宋" w:hAnsi="仿宋" w:eastAsia="仿宋" w:cs="仿宋"/>
          <w:color w:val="000000"/>
          <w:kern w:val="2"/>
          <w:sz w:val="24"/>
          <w:szCs w:val="24"/>
          <w:lang w:eastAsia="zh-CN" w:bidi="ar-SA"/>
        </w:rPr>
        <w:t>采购需求：</w:t>
      </w:r>
    </w:p>
    <w:p w14:paraId="6695C51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90" w:leftChars="200"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rPr>
        <w:t>标项名称:</w:t>
      </w:r>
      <w:r>
        <w:rPr>
          <w:rFonts w:hint="eastAsia" w:ascii="仿宋" w:hAnsi="仿宋" w:eastAsia="仿宋" w:cs="仿宋"/>
          <w:color w:val="000000"/>
          <w:sz w:val="24"/>
          <w:szCs w:val="24"/>
          <w:lang w:eastAsia="zh-CN"/>
        </w:rPr>
        <w:t>克州GAJ无人机FZ设备采购项目（二次）</w:t>
      </w:r>
      <w:r>
        <w:rPr>
          <w:rFonts w:hint="eastAsia" w:ascii="仿宋" w:hAnsi="仿宋" w:eastAsia="仿宋" w:cs="仿宋"/>
          <w:color w:val="auto"/>
        </w:rPr>
        <w:br w:type="textWrapping"/>
      </w:r>
      <w:r>
        <w:rPr>
          <w:rFonts w:hint="eastAsia" w:ascii="仿宋" w:hAnsi="仿宋" w:eastAsia="仿宋" w:cs="仿宋"/>
          <w:color w:val="auto"/>
        </w:rPr>
        <w:t>数量:</w:t>
      </w:r>
      <w:r>
        <w:rPr>
          <w:rFonts w:hint="eastAsia" w:ascii="仿宋" w:hAnsi="仿宋" w:eastAsia="仿宋" w:cs="仿宋"/>
          <w:color w:val="auto"/>
          <w:lang w:val="en-US" w:eastAsia="zh-CN"/>
        </w:rPr>
        <w:t>1</w:t>
      </w:r>
    </w:p>
    <w:p w14:paraId="7472748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90" w:firstLineChars="200"/>
        <w:jc w:val="left"/>
        <w:textAlignment w:val="auto"/>
        <w:rPr>
          <w:rFonts w:hint="default" w:ascii="仿宋" w:hAnsi="仿宋" w:eastAsia="仿宋" w:cs="仿宋"/>
          <w:color w:val="auto"/>
          <w:lang w:val="en-US" w:eastAsia="zh-CN"/>
        </w:rPr>
      </w:pPr>
      <w:r>
        <w:rPr>
          <w:rFonts w:hint="eastAsia" w:ascii="仿宋" w:hAnsi="仿宋" w:eastAsia="仿宋" w:cs="仿宋"/>
          <w:color w:val="auto"/>
        </w:rPr>
        <w:t>预算金额（元）:</w:t>
      </w:r>
      <w:r>
        <w:rPr>
          <w:rFonts w:hint="eastAsia" w:ascii="仿宋" w:hAnsi="仿宋" w:eastAsia="仿宋" w:cs="仿宋"/>
          <w:color w:val="000000"/>
          <w:sz w:val="24"/>
          <w:szCs w:val="24"/>
          <w:lang w:val="en-US" w:eastAsia="zh-CN"/>
        </w:rPr>
        <w:t>700000.00</w:t>
      </w:r>
    </w:p>
    <w:p w14:paraId="44F5A3B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单位：</w:t>
      </w:r>
      <w:r>
        <w:rPr>
          <w:rFonts w:hint="eastAsia" w:ascii="仿宋" w:hAnsi="仿宋" w:eastAsia="仿宋" w:cs="仿宋"/>
          <w:color w:val="auto"/>
          <w:lang w:val="en-US" w:eastAsia="zh-CN"/>
        </w:rPr>
        <w:t>套</w:t>
      </w:r>
    </w:p>
    <w:p w14:paraId="6A1EB61C">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auto"/>
          <w:lang w:val="en-US" w:eastAsia="zh-CN"/>
        </w:rPr>
      </w:pPr>
      <w:r>
        <w:rPr>
          <w:rFonts w:hint="eastAsia" w:ascii="仿宋" w:hAnsi="仿宋" w:eastAsia="仿宋" w:cs="仿宋"/>
          <w:color w:val="auto"/>
        </w:rPr>
        <w:t>简要规格描述：</w:t>
      </w:r>
      <w:r>
        <w:rPr>
          <w:rFonts w:hint="eastAsia" w:ascii="仿宋" w:hAnsi="仿宋" w:eastAsia="仿宋" w:cs="仿宋"/>
          <w:color w:val="auto"/>
          <w:lang w:eastAsia="zh-CN"/>
        </w:rPr>
        <w:t>无人机FZ设备</w:t>
      </w:r>
      <w:r>
        <w:rPr>
          <w:rFonts w:hint="eastAsia" w:ascii="仿宋" w:hAnsi="仿宋" w:eastAsia="仿宋" w:cs="仿宋"/>
          <w:color w:val="auto"/>
          <w:lang w:val="en-US" w:eastAsia="zh-CN"/>
        </w:rPr>
        <w:t>一套；（具体采购内容详见采购清单）</w:t>
      </w:r>
    </w:p>
    <w:p w14:paraId="58098A53">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备注：</w:t>
      </w:r>
    </w:p>
    <w:p w14:paraId="01D92305">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合同履约期限：</w:t>
      </w:r>
      <w:r>
        <w:rPr>
          <w:rFonts w:hint="eastAsia" w:ascii="仿宋" w:hAnsi="仿宋" w:eastAsia="仿宋" w:cs="仿宋"/>
          <w:color w:val="000000"/>
          <w:sz w:val="24"/>
          <w:szCs w:val="24"/>
          <w:lang w:eastAsia="zh-CN"/>
        </w:rPr>
        <w:t>具体详见谈判文件。</w:t>
      </w:r>
    </w:p>
    <w:p w14:paraId="46594C39">
      <w:pPr>
        <w:pageBreakBefore w:val="0"/>
        <w:widowControl w:val="0"/>
        <w:kinsoku/>
        <w:wordWrap/>
        <w:overflowPunct/>
        <w:topLinePunct w:val="0"/>
        <w:autoSpaceDE/>
        <w:autoSpaceDN/>
        <w:bidi w:val="0"/>
        <w:adjustRightInd/>
        <w:snapToGrid/>
        <w:spacing w:line="400" w:lineRule="exact"/>
        <w:ind w:firstLine="490" w:firstLineChars="200"/>
        <w:textAlignment w:val="auto"/>
        <w:rPr>
          <w:rFonts w:ascii="仿宋" w:hAnsi="仿宋" w:eastAsia="仿宋" w:cs="仿宋"/>
          <w:color w:val="000000"/>
          <w:sz w:val="24"/>
          <w:szCs w:val="24"/>
        </w:rPr>
      </w:pPr>
      <w:r>
        <w:rPr>
          <w:rFonts w:hint="eastAsia" w:ascii="仿宋" w:hAnsi="仿宋" w:eastAsia="仿宋" w:cs="仿宋"/>
          <w:color w:val="000000"/>
          <w:sz w:val="24"/>
          <w:szCs w:val="24"/>
        </w:rPr>
        <w:t>本项目</w:t>
      </w:r>
      <w:r>
        <w:rPr>
          <w:rFonts w:hint="eastAsia" w:ascii="仿宋" w:hAnsi="仿宋" w:eastAsia="仿宋" w:cs="仿宋"/>
          <w:color w:val="000000"/>
          <w:sz w:val="24"/>
          <w:szCs w:val="24"/>
          <w:lang w:eastAsia="zh-CN"/>
        </w:rPr>
        <w:t>不</w:t>
      </w:r>
      <w:r>
        <w:rPr>
          <w:rFonts w:hint="eastAsia" w:ascii="仿宋" w:hAnsi="仿宋" w:eastAsia="仿宋" w:cs="仿宋"/>
          <w:color w:val="000000"/>
          <w:sz w:val="24"/>
          <w:szCs w:val="24"/>
        </w:rPr>
        <w:t>接受联合体投标。</w:t>
      </w:r>
    </w:p>
    <w:p w14:paraId="2DAFB233">
      <w:pPr>
        <w:pStyle w:val="3"/>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ascii="仿宋" w:hAnsi="仿宋" w:eastAsia="仿宋" w:cs="仿宋"/>
          <w:color w:val="000000"/>
          <w:sz w:val="24"/>
          <w:szCs w:val="24"/>
        </w:rPr>
      </w:pPr>
      <w:bookmarkStart w:id="7" w:name="_Toc35393622"/>
      <w:bookmarkStart w:id="8" w:name="_Toc28359003"/>
      <w:bookmarkStart w:id="9" w:name="_Toc28359080"/>
      <w:bookmarkStart w:id="10" w:name="_Toc35393791"/>
      <w:r>
        <w:rPr>
          <w:rFonts w:hint="eastAsia" w:ascii="仿宋" w:hAnsi="仿宋" w:eastAsia="仿宋" w:cs="仿宋"/>
          <w:color w:val="000000"/>
          <w:sz w:val="24"/>
          <w:szCs w:val="24"/>
        </w:rPr>
        <w:t>申请人的资格要求：</w:t>
      </w:r>
      <w:bookmarkEnd w:id="7"/>
      <w:bookmarkEnd w:id="8"/>
      <w:bookmarkEnd w:id="9"/>
      <w:bookmarkEnd w:id="10"/>
    </w:p>
    <w:p w14:paraId="3064CF94">
      <w:pPr>
        <w:pageBreakBefore w:val="0"/>
        <w:widowControl w:val="0"/>
        <w:kinsoku/>
        <w:wordWrap/>
        <w:overflowPunct/>
        <w:topLinePunct w:val="0"/>
        <w:autoSpaceDE/>
        <w:autoSpaceDN/>
        <w:bidi w:val="0"/>
        <w:adjustRightInd/>
        <w:snapToGrid/>
        <w:spacing w:line="400" w:lineRule="exact"/>
        <w:ind w:firstLine="245" w:firstLineChars="100"/>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 xml:space="preserve"> 1.满足《中华人民共和国政府采购法》第二十二条规定；</w:t>
      </w:r>
    </w:p>
    <w:p w14:paraId="33B51A42">
      <w:pPr>
        <w:keepNext w:val="0"/>
        <w:keepLines w:val="0"/>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 xml:space="preserve">  2.落实政府采购政策需满足的资格要求：</w:t>
      </w:r>
      <w:r>
        <w:rPr>
          <w:rFonts w:hint="eastAsia" w:ascii="仿宋" w:hAnsi="仿宋" w:eastAsia="仿宋" w:cs="仿宋"/>
          <w:i w:val="0"/>
          <w:caps w:val="0"/>
          <w:color w:val="auto"/>
          <w:spacing w:val="0"/>
          <w:sz w:val="24"/>
          <w:szCs w:val="24"/>
          <w:highlight w:val="none"/>
          <w:lang w:val="en-US" w:eastAsia="zh-CN"/>
        </w:rPr>
        <w:t>标项1：供应商为中小企业</w:t>
      </w:r>
    </w:p>
    <w:p w14:paraId="6A64CFB8">
      <w:pPr>
        <w:pageBreakBefore w:val="0"/>
        <w:widowControl w:val="0"/>
        <w:kinsoku/>
        <w:wordWrap/>
        <w:overflowPunct/>
        <w:topLinePunct w:val="0"/>
        <w:autoSpaceDE/>
        <w:autoSpaceDN/>
        <w:bidi w:val="0"/>
        <w:adjustRightInd/>
        <w:snapToGrid/>
        <w:spacing w:line="400" w:lineRule="exact"/>
        <w:ind w:firstLine="245" w:firstLineChars="1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3.本项目的特定资格要求：</w:t>
      </w:r>
      <w:bookmarkStart w:id="11" w:name="_Toc35393623"/>
      <w:bookmarkStart w:id="12" w:name="_Toc28359004"/>
      <w:bookmarkStart w:id="13" w:name="_Toc35393792"/>
      <w:bookmarkStart w:id="14" w:name="_Toc28359081"/>
    </w:p>
    <w:p w14:paraId="102E721E">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（1）具备三证合一营业执照；</w:t>
      </w:r>
    </w:p>
    <w:p w14:paraId="3074C8FD">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（2）法定代表人投标须提供法定代表人资格证明书，委托代理人投标须提供法定代表人授权委托书；</w:t>
      </w:r>
    </w:p>
    <w:p w14:paraId="51726F96">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（3）投标企业须提供投标人（被授权在职人员）近6个月内任意一个月有效的社保证明；</w:t>
      </w:r>
    </w:p>
    <w:p w14:paraId="4E8A42AA">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4）参加政府采购活动前三年内，在经营活动中没有重大违法记录；未被“信用中国”（www.creditchina.gov.cn）、中国政府采购网（www.ccgp.gov.cn）列入失信被执行人、税收违法黑名单、政府采购严重违法失信行为记录名单；</w:t>
      </w:r>
    </w:p>
    <w:p w14:paraId="797A949A">
      <w:pPr>
        <w:pStyle w:val="3"/>
        <w:keepNext/>
        <w:keepLines/>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rPr>
        <w:t>三、</w:t>
      </w:r>
      <w:bookmarkEnd w:id="11"/>
      <w:bookmarkEnd w:id="12"/>
      <w:bookmarkEnd w:id="13"/>
      <w:bookmarkEnd w:id="14"/>
      <w:r>
        <w:rPr>
          <w:rFonts w:hint="eastAsia" w:ascii="仿宋" w:hAnsi="仿宋" w:eastAsia="仿宋" w:cs="仿宋"/>
          <w:color w:val="000000"/>
          <w:sz w:val="24"/>
          <w:szCs w:val="24"/>
        </w:rPr>
        <w:t>获取采购文件</w:t>
      </w:r>
    </w:p>
    <w:p w14:paraId="03DA2BEC">
      <w:pPr>
        <w:pageBreakBefore w:val="0"/>
        <w:widowControl w:val="0"/>
        <w:kinsoku/>
        <w:wordWrap/>
        <w:overflowPunct/>
        <w:topLinePunct w:val="0"/>
        <w:autoSpaceDE/>
        <w:autoSpaceDN/>
        <w:bidi w:val="0"/>
        <w:adjustRightInd/>
        <w:snapToGrid/>
        <w:spacing w:line="400" w:lineRule="exact"/>
        <w:ind w:firstLine="490" w:firstLineChars="200"/>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时间：</w:t>
      </w:r>
      <w:r>
        <w:rPr>
          <w:rFonts w:hint="eastAsia" w:ascii="仿宋" w:hAnsi="仿宋" w:eastAsia="仿宋" w:cs="仿宋"/>
          <w:color w:val="auto"/>
          <w:sz w:val="24"/>
          <w:szCs w:val="24"/>
          <w:lang w:eastAsia="zh-CN"/>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lang w:eastAsia="zh-CN"/>
        </w:rPr>
        <w:t>日至202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18</w:t>
      </w:r>
      <w:r>
        <w:rPr>
          <w:rFonts w:hint="eastAsia" w:ascii="仿宋" w:hAnsi="仿宋" w:eastAsia="仿宋" w:cs="仿宋"/>
          <w:color w:val="auto"/>
          <w:sz w:val="24"/>
          <w:szCs w:val="24"/>
          <w:lang w:eastAsia="zh-CN"/>
        </w:rPr>
        <w:t>日，</w:t>
      </w:r>
      <w:r>
        <w:rPr>
          <w:rFonts w:hint="eastAsia" w:ascii="仿宋" w:hAnsi="仿宋" w:eastAsia="仿宋" w:cs="仿宋"/>
          <w:color w:val="000000"/>
          <w:sz w:val="24"/>
          <w:szCs w:val="24"/>
          <w:lang w:eastAsia="zh-CN"/>
        </w:rPr>
        <w:t>每天上午10:00至</w:t>
      </w:r>
      <w:r>
        <w:rPr>
          <w:rFonts w:hint="eastAsia" w:ascii="仿宋" w:hAnsi="仿宋" w:eastAsia="仿宋" w:cs="仿宋"/>
          <w:color w:val="000000"/>
          <w:sz w:val="24"/>
          <w:szCs w:val="24"/>
          <w:lang w:val="en-US" w:eastAsia="zh-CN"/>
        </w:rPr>
        <w:t>14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lang w:eastAsia="zh-CN"/>
        </w:rPr>
        <w:t>，下午16:</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lang w:eastAsia="zh-CN"/>
        </w:rPr>
        <w:t>至</w:t>
      </w:r>
      <w:r>
        <w:rPr>
          <w:rFonts w:hint="eastAsia" w:ascii="仿宋" w:hAnsi="仿宋" w:eastAsia="仿宋" w:cs="仿宋"/>
          <w:color w:val="000000"/>
          <w:sz w:val="24"/>
          <w:szCs w:val="24"/>
          <w:lang w:val="en-US" w:eastAsia="zh-CN"/>
        </w:rPr>
        <w:t>19</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lang w:eastAsia="zh-CN"/>
        </w:rPr>
        <w:t>（北京时间，节假日除外）</w:t>
      </w:r>
    </w:p>
    <w:p w14:paraId="0F089A09">
      <w:pPr>
        <w:pageBreakBefore w:val="0"/>
        <w:widowControl w:val="0"/>
        <w:kinsoku/>
        <w:wordWrap/>
        <w:overflowPunct/>
        <w:topLinePunct w:val="0"/>
        <w:autoSpaceDE/>
        <w:autoSpaceDN/>
        <w:bidi w:val="0"/>
        <w:adjustRightInd/>
        <w:snapToGrid/>
        <w:spacing w:line="400" w:lineRule="exact"/>
        <w:ind w:firstLine="490" w:firstLineChars="200"/>
        <w:textAlignment w:val="auto"/>
        <w:rPr>
          <w:rFonts w:ascii="仿宋" w:hAnsi="仿宋" w:eastAsia="仿宋" w:cs="仿宋"/>
          <w:color w:val="000000"/>
          <w:sz w:val="24"/>
          <w:szCs w:val="24"/>
          <w:lang w:eastAsia="zh-CN"/>
        </w:rPr>
      </w:pPr>
      <w:bookmarkStart w:id="15" w:name="_Toc35393793"/>
      <w:bookmarkStart w:id="16" w:name="_Toc28359082"/>
      <w:bookmarkStart w:id="17" w:name="_Toc35393624"/>
      <w:bookmarkStart w:id="18" w:name="_Toc28359005"/>
      <w:r>
        <w:rPr>
          <w:rFonts w:hint="eastAsia" w:ascii="仿宋" w:hAnsi="仿宋" w:eastAsia="仿宋" w:cs="仿宋"/>
          <w:color w:val="000000"/>
          <w:sz w:val="24"/>
          <w:szCs w:val="24"/>
          <w:lang w:eastAsia="zh-CN"/>
        </w:rPr>
        <w:t>地点：政采云平台线上</w:t>
      </w:r>
    </w:p>
    <w:p w14:paraId="27EC011F">
      <w:pPr>
        <w:pageBreakBefore w:val="0"/>
        <w:widowControl w:val="0"/>
        <w:tabs>
          <w:tab w:val="left" w:pos="366"/>
        </w:tabs>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09006675">
      <w:pPr>
        <w:pageBreakBefore w:val="0"/>
        <w:widowControl w:val="0"/>
        <w:tabs>
          <w:tab w:val="left" w:pos="366"/>
        </w:tabs>
        <w:kinsoku/>
        <w:wordWrap/>
        <w:overflowPunct/>
        <w:topLinePunct w:val="0"/>
        <w:autoSpaceDE/>
        <w:autoSpaceDN/>
        <w:bidi w:val="0"/>
        <w:adjustRightInd/>
        <w:snapToGrid/>
        <w:spacing w:line="400" w:lineRule="exact"/>
        <w:ind w:firstLine="490" w:firstLineChars="200"/>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售价（元）：0</w:t>
      </w:r>
    </w:p>
    <w:p w14:paraId="5B9B8D99">
      <w:pPr>
        <w:pStyle w:val="3"/>
        <w:keepNext/>
        <w:keepLines/>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四、</w:t>
      </w:r>
      <w:bookmarkEnd w:id="15"/>
      <w:bookmarkEnd w:id="16"/>
      <w:bookmarkEnd w:id="17"/>
      <w:bookmarkEnd w:id="18"/>
      <w:r>
        <w:rPr>
          <w:rFonts w:hint="eastAsia" w:ascii="仿宋" w:hAnsi="仿宋" w:eastAsia="仿宋" w:cs="仿宋"/>
          <w:color w:val="000000"/>
          <w:sz w:val="24"/>
          <w:szCs w:val="24"/>
        </w:rPr>
        <w:t xml:space="preserve">响应文件提交 </w:t>
      </w:r>
    </w:p>
    <w:p w14:paraId="56689845">
      <w:pPr>
        <w:pStyle w:val="3"/>
        <w:keepNext/>
        <w:keepLines/>
        <w:pageBreakBefore w:val="0"/>
        <w:widowControl w:val="0"/>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b w:val="0"/>
          <w:bCs w:val="0"/>
          <w:color w:val="000000"/>
          <w:sz w:val="24"/>
          <w:szCs w:val="24"/>
          <w:lang w:val="en-US" w:eastAsia="zh-CN" w:bidi="en-US"/>
        </w:rPr>
      </w:pPr>
      <w:r>
        <w:rPr>
          <w:rFonts w:hint="eastAsia" w:ascii="仿宋" w:hAnsi="仿宋" w:eastAsia="仿宋" w:cs="仿宋"/>
          <w:b w:val="0"/>
          <w:bCs w:val="0"/>
          <w:color w:val="000000"/>
          <w:sz w:val="24"/>
          <w:szCs w:val="24"/>
          <w:lang w:val="en-US" w:eastAsia="zh-CN" w:bidi="en-US"/>
        </w:rPr>
        <w:t>截止时间：</w:t>
      </w:r>
      <w:r>
        <w:rPr>
          <w:rFonts w:hint="eastAsia" w:ascii="仿宋" w:hAnsi="仿宋" w:eastAsia="仿宋" w:cs="仿宋"/>
          <w:b w:val="0"/>
          <w:bCs w:val="0"/>
          <w:color w:val="auto"/>
          <w:sz w:val="24"/>
          <w:szCs w:val="24"/>
          <w:lang w:val="en-US" w:eastAsia="zh-CN" w:bidi="en-US"/>
        </w:rPr>
        <w:t>2026年 5月25日 10:30（北京时间）</w:t>
      </w:r>
    </w:p>
    <w:p w14:paraId="6C305706">
      <w:pPr>
        <w:pStyle w:val="3"/>
        <w:keepNext/>
        <w:keepLines/>
        <w:pageBreakBefore w:val="0"/>
        <w:widowControl w:val="0"/>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b w:val="0"/>
          <w:bCs w:val="0"/>
          <w:color w:val="000000"/>
          <w:sz w:val="24"/>
          <w:szCs w:val="24"/>
          <w:lang w:val="en-US" w:eastAsia="zh-CN" w:bidi="en-US"/>
        </w:rPr>
      </w:pPr>
      <w:r>
        <w:rPr>
          <w:rFonts w:hint="eastAsia" w:ascii="仿宋" w:hAnsi="仿宋" w:eastAsia="仿宋" w:cs="仿宋"/>
          <w:b w:val="0"/>
          <w:bCs w:val="0"/>
          <w:color w:val="000000"/>
          <w:sz w:val="24"/>
          <w:szCs w:val="24"/>
          <w:lang w:val="en-US" w:eastAsia="zh-CN" w:bidi="en-US"/>
        </w:rPr>
        <w:t>地点：政府采购云平台（www.zcygov.cn）供应商应于递交投标文件截止时间之前将电子投标文件上传到“政采云”平台。</w:t>
      </w:r>
    </w:p>
    <w:p w14:paraId="374341A1">
      <w:pPr>
        <w:pStyle w:val="3"/>
        <w:keepNext/>
        <w:keepLines/>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五、响应文件开启</w:t>
      </w:r>
    </w:p>
    <w:p w14:paraId="6C854F40">
      <w:pPr>
        <w:pStyle w:val="3"/>
        <w:keepNext/>
        <w:keepLines/>
        <w:pageBreakBefore w:val="0"/>
        <w:widowControl w:val="0"/>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b w:val="0"/>
          <w:bCs w:val="0"/>
          <w:color w:val="000000"/>
          <w:sz w:val="24"/>
          <w:szCs w:val="24"/>
          <w:lang w:val="en-US" w:eastAsia="zh-CN" w:bidi="en-US"/>
        </w:rPr>
      </w:pPr>
      <w:r>
        <w:rPr>
          <w:rFonts w:hint="eastAsia" w:ascii="仿宋" w:hAnsi="仿宋" w:eastAsia="仿宋" w:cs="仿宋"/>
          <w:b w:val="0"/>
          <w:bCs w:val="0"/>
          <w:color w:val="000000"/>
          <w:sz w:val="24"/>
          <w:szCs w:val="24"/>
          <w:lang w:val="en-US" w:eastAsia="zh-CN" w:bidi="en-US"/>
        </w:rPr>
        <w:t>开</w:t>
      </w:r>
      <w:r>
        <w:rPr>
          <w:rFonts w:hint="eastAsia" w:ascii="仿宋" w:hAnsi="仿宋" w:eastAsia="仿宋" w:cs="仿宋"/>
          <w:b w:val="0"/>
          <w:bCs w:val="0"/>
          <w:color w:val="auto"/>
          <w:sz w:val="24"/>
          <w:szCs w:val="24"/>
          <w:lang w:val="en-US" w:eastAsia="zh-CN" w:bidi="en-US"/>
        </w:rPr>
        <w:t>启时间：2026年5月25日 10：30（北京时间）</w:t>
      </w:r>
    </w:p>
    <w:p w14:paraId="5FBDAA76">
      <w:pPr>
        <w:pStyle w:val="3"/>
        <w:keepNext/>
        <w:keepLines/>
        <w:pageBreakBefore w:val="0"/>
        <w:widowControl w:val="0"/>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b w:val="0"/>
          <w:bCs w:val="0"/>
          <w:color w:val="000000"/>
          <w:sz w:val="24"/>
          <w:szCs w:val="24"/>
          <w:lang w:val="en-US" w:eastAsia="zh-CN" w:bidi="en-US"/>
        </w:rPr>
      </w:pPr>
      <w:r>
        <w:rPr>
          <w:rFonts w:hint="eastAsia" w:ascii="仿宋" w:hAnsi="仿宋" w:eastAsia="仿宋" w:cs="仿宋"/>
          <w:b w:val="0"/>
          <w:bCs w:val="0"/>
          <w:color w:val="000000"/>
          <w:sz w:val="24"/>
          <w:szCs w:val="24"/>
          <w:lang w:val="en-US" w:eastAsia="zh-CN" w:bidi="en-US"/>
        </w:rPr>
        <w:t>地    点：</w:t>
      </w:r>
      <w:bookmarkStart w:id="19" w:name="_Toc28359084"/>
      <w:bookmarkStart w:id="20" w:name="_Toc35393625"/>
      <w:bookmarkStart w:id="21" w:name="_Toc28359007"/>
      <w:bookmarkStart w:id="22" w:name="_Toc35393794"/>
    </w:p>
    <w:p w14:paraId="01E34899">
      <w:pPr>
        <w:pStyle w:val="3"/>
        <w:keepNext/>
        <w:keepLines/>
        <w:pageBreakBefore w:val="0"/>
        <w:widowControl w:val="0"/>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b w:val="0"/>
          <w:bCs w:val="0"/>
          <w:color w:val="000000"/>
          <w:sz w:val="24"/>
          <w:szCs w:val="24"/>
          <w:lang w:val="en-US" w:eastAsia="zh-CN" w:bidi="en-US"/>
        </w:rPr>
      </w:pPr>
      <w:r>
        <w:rPr>
          <w:rFonts w:hint="eastAsia" w:ascii="仿宋" w:hAnsi="仿宋" w:eastAsia="仿宋" w:cs="仿宋"/>
          <w:b w:val="0"/>
          <w:bCs w:val="0"/>
          <w:color w:val="000000"/>
          <w:sz w:val="24"/>
          <w:szCs w:val="24"/>
          <w:lang w:val="en-US" w:eastAsia="zh-CN" w:bidi="en-US"/>
        </w:rPr>
        <w:t>投标人登录政采云平台https://www.zcygov.cn/，进入“项目采购-开标评标-右边选择对应项目点击“进入项目”进入开标大厅。</w:t>
      </w:r>
    </w:p>
    <w:p w14:paraId="66BF4736">
      <w:pPr>
        <w:pStyle w:val="3"/>
        <w:keepNext/>
        <w:keepLines/>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仿宋"/>
          <w:color w:val="000000"/>
          <w:sz w:val="24"/>
          <w:szCs w:val="24"/>
        </w:rPr>
      </w:pPr>
      <w:r>
        <w:rPr>
          <w:rFonts w:hint="eastAsia" w:ascii="仿宋" w:hAnsi="仿宋" w:eastAsia="仿宋" w:cs="仿宋"/>
          <w:color w:val="000000"/>
          <w:sz w:val="24"/>
          <w:szCs w:val="24"/>
          <w:lang w:eastAsia="zh-CN"/>
        </w:rPr>
        <w:t>六</w:t>
      </w:r>
      <w:r>
        <w:rPr>
          <w:rFonts w:hint="eastAsia" w:ascii="仿宋" w:hAnsi="仿宋" w:eastAsia="仿宋" w:cs="仿宋"/>
          <w:color w:val="000000"/>
          <w:sz w:val="24"/>
          <w:szCs w:val="24"/>
        </w:rPr>
        <w:t>、公告期限</w:t>
      </w:r>
      <w:bookmarkEnd w:id="19"/>
      <w:bookmarkEnd w:id="20"/>
      <w:bookmarkEnd w:id="21"/>
      <w:bookmarkEnd w:id="22"/>
    </w:p>
    <w:p w14:paraId="15F7CCE3">
      <w:pPr>
        <w:pageBreakBefore w:val="0"/>
        <w:widowControl w:val="0"/>
        <w:kinsoku/>
        <w:wordWrap/>
        <w:overflowPunct/>
        <w:topLinePunct w:val="0"/>
        <w:autoSpaceDE/>
        <w:autoSpaceDN/>
        <w:bidi w:val="0"/>
        <w:adjustRightInd/>
        <w:snapToGrid/>
        <w:spacing w:line="400" w:lineRule="exact"/>
        <w:ind w:firstLine="490" w:firstLineChars="200"/>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自本公告发布之日起</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个工作日</w:t>
      </w:r>
    </w:p>
    <w:p w14:paraId="33AC5CC4">
      <w:pPr>
        <w:pStyle w:val="3"/>
        <w:keepNext/>
        <w:keepLines/>
        <w:pageBreakBefore w:val="0"/>
        <w:widowControl w:val="0"/>
        <w:kinsoku/>
        <w:wordWrap/>
        <w:overflowPunct/>
        <w:topLinePunct w:val="0"/>
        <w:autoSpaceDE/>
        <w:autoSpaceDN/>
        <w:bidi w:val="0"/>
        <w:adjustRightInd/>
        <w:snapToGrid/>
        <w:spacing w:line="400" w:lineRule="exact"/>
        <w:ind w:right="-926" w:rightChars="-378"/>
        <w:jc w:val="left"/>
        <w:textAlignment w:val="auto"/>
        <w:rPr>
          <w:rFonts w:ascii="仿宋" w:hAnsi="仿宋" w:eastAsia="仿宋" w:cs="仿宋"/>
          <w:color w:val="000000"/>
          <w:sz w:val="24"/>
          <w:szCs w:val="24"/>
        </w:rPr>
      </w:pPr>
      <w:bookmarkStart w:id="23" w:name="_Toc35393626"/>
      <w:bookmarkStart w:id="24" w:name="_Toc35393795"/>
      <w:r>
        <w:rPr>
          <w:rFonts w:hint="eastAsia" w:ascii="仿宋" w:hAnsi="仿宋" w:eastAsia="仿宋" w:cs="仿宋"/>
          <w:color w:val="000000"/>
          <w:sz w:val="24"/>
          <w:szCs w:val="24"/>
          <w:lang w:eastAsia="zh-CN"/>
        </w:rPr>
        <w:t>七、</w:t>
      </w:r>
      <w:r>
        <w:rPr>
          <w:rFonts w:hint="eastAsia" w:ascii="仿宋" w:hAnsi="仿宋" w:eastAsia="仿宋" w:cs="仿宋"/>
          <w:color w:val="000000"/>
          <w:sz w:val="24"/>
          <w:szCs w:val="24"/>
        </w:rPr>
        <w:t>其他补充事宜</w:t>
      </w:r>
      <w:bookmarkEnd w:id="23"/>
      <w:bookmarkEnd w:id="24"/>
      <w:bookmarkStart w:id="25" w:name="_Toc35393796"/>
      <w:bookmarkStart w:id="26" w:name="_Toc28359008"/>
      <w:bookmarkStart w:id="27" w:name="_Toc35393627"/>
      <w:bookmarkStart w:id="28" w:name="_Toc28359085"/>
    </w:p>
    <w:p w14:paraId="0C070F95">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1、本项目实行网上投标，采用电子投标文件。</w:t>
      </w:r>
    </w:p>
    <w:p w14:paraId="2F0F7B91">
      <w:pPr>
        <w:pageBreakBefore w:val="0"/>
        <w:widowControl w:val="0"/>
        <w:kinsoku/>
        <w:wordWrap/>
        <w:overflowPunct/>
        <w:topLinePunct w:val="0"/>
        <w:autoSpaceDE/>
        <w:autoSpaceDN/>
        <w:bidi w:val="0"/>
        <w:adjustRightInd/>
        <w:snapToGrid/>
        <w:spacing w:line="400" w:lineRule="exact"/>
        <w:ind w:firstLine="49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 xml:space="preserve">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    </w:t>
      </w:r>
    </w:p>
    <w:p w14:paraId="358BD610">
      <w:pPr>
        <w:pageBreakBefore w:val="0"/>
        <w:widowControl w:val="0"/>
        <w:kinsoku/>
        <w:wordWrap/>
        <w:overflowPunct/>
        <w:topLinePunct w:val="0"/>
        <w:autoSpaceDE/>
        <w:autoSpaceDN/>
        <w:bidi w:val="0"/>
        <w:adjustRightInd/>
        <w:snapToGrid/>
        <w:spacing w:line="400" w:lineRule="exact"/>
        <w:ind w:firstLine="49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3、供应商将政采云电子交易客户端下载、安装完成后，可通过账号密码或CA登录客户端进行投标文件的制作。在使用政采云投标客户端时，建议使用WIN7及以上操作系统。</w:t>
      </w:r>
    </w:p>
    <w:p w14:paraId="0381C458">
      <w:pPr>
        <w:pageBreakBefore w:val="0"/>
        <w:widowControl w:val="0"/>
        <w:kinsoku/>
        <w:wordWrap/>
        <w:overflowPunct/>
        <w:topLinePunct w:val="0"/>
        <w:autoSpaceDE/>
        <w:autoSpaceDN/>
        <w:bidi w:val="0"/>
        <w:adjustRightInd/>
        <w:snapToGrid/>
        <w:spacing w:line="400" w:lineRule="exact"/>
        <w:ind w:firstLine="480"/>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eastAsia="zh-CN"/>
        </w:rPr>
        <w:t>4、其他事项：</w:t>
      </w:r>
      <w:r>
        <w:rPr>
          <w:rFonts w:hint="eastAsia" w:ascii="仿宋" w:hAnsi="仿宋" w:eastAsia="仿宋" w:cs="仿宋"/>
          <w:b w:val="0"/>
          <w:bCs/>
          <w:color w:val="000000"/>
          <w:sz w:val="24"/>
          <w:szCs w:val="24"/>
          <w:lang w:val="en-US" w:eastAsia="zh-CN"/>
        </w:rPr>
        <w:t>/</w:t>
      </w:r>
    </w:p>
    <w:p w14:paraId="676E5B00">
      <w:pPr>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b/>
          <w:bCs w:val="0"/>
          <w:color w:val="000000"/>
          <w:sz w:val="24"/>
          <w:szCs w:val="24"/>
        </w:rPr>
      </w:pPr>
      <w:r>
        <w:rPr>
          <w:rFonts w:hint="eastAsia" w:ascii="仿宋" w:hAnsi="仿宋" w:eastAsia="仿宋" w:cs="仿宋"/>
          <w:b/>
          <w:bCs w:val="0"/>
          <w:color w:val="000000"/>
          <w:sz w:val="24"/>
          <w:szCs w:val="24"/>
          <w:lang w:eastAsia="zh-CN"/>
        </w:rPr>
        <w:t>八</w:t>
      </w:r>
      <w:r>
        <w:rPr>
          <w:rFonts w:hint="eastAsia" w:ascii="仿宋" w:hAnsi="仿宋" w:eastAsia="仿宋" w:cs="仿宋"/>
          <w:b/>
          <w:bCs w:val="0"/>
          <w:color w:val="000000"/>
          <w:sz w:val="24"/>
          <w:szCs w:val="24"/>
        </w:rPr>
        <w:t>、对本次招标提出询问，请按以下方式联系</w:t>
      </w:r>
      <w:bookmarkEnd w:id="25"/>
      <w:bookmarkEnd w:id="26"/>
      <w:bookmarkEnd w:id="27"/>
      <w:bookmarkEnd w:id="28"/>
    </w:p>
    <w:p w14:paraId="481E9CFE">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1.采购人信息</w:t>
      </w:r>
    </w:p>
    <w:p w14:paraId="0C6B523E">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名 称：克孜勒苏柯尔克孜自治州GAJ</w:t>
      </w:r>
    </w:p>
    <w:p w14:paraId="7D3A122A">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地 址：阿图什市</w:t>
      </w:r>
    </w:p>
    <w:p w14:paraId="4E1997F7">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联系方式：18099083275</w:t>
      </w:r>
    </w:p>
    <w:p w14:paraId="60201A00">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2.采购代理机构信息</w:t>
      </w:r>
    </w:p>
    <w:p w14:paraId="42491290">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2.采购代理机构信息</w:t>
      </w:r>
    </w:p>
    <w:p w14:paraId="50757565">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名 称：新疆飞耀项目管理有限公司　　　　　　　　   　</w:t>
      </w:r>
    </w:p>
    <w:p w14:paraId="24ADB276">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地 址：新疆克州阿图什市松他克镇亚克瓦克村肖鲁克路10-1号5楼大厅　  　</w:t>
      </w:r>
    </w:p>
    <w:p w14:paraId="1C84FA33">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项目联系人：段女士 15349977680</w:t>
      </w:r>
    </w:p>
    <w:p w14:paraId="1DFC555D">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7974181F">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09D8681C">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71F66394">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192BA5FE">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651C78D">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C06A5CC">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37547B0B">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00EA5079">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751A1673">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EC285CD">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388CEBB6">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7FDF2BB">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65D68DFF">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1B1E5822">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A8B8D59">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5C0BBEDB">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3C319426">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3CE5AC1B">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388D18F6">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30E9551B">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6DE8070B">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14455E6C">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748B65A3">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30939ECF">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7125AEEF">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5039283C">
      <w:pPr>
        <w:pageBreakBefore w:val="0"/>
        <w:kinsoku/>
        <w:wordWrap/>
        <w:overflowPunct/>
        <w:topLinePunct w:val="0"/>
        <w:autoSpaceDE/>
        <w:autoSpaceDN/>
        <w:bidi w:val="0"/>
        <w:spacing w:line="440" w:lineRule="exact"/>
        <w:ind w:firstLine="365" w:firstLineChars="100"/>
        <w:jc w:val="center"/>
        <w:rPr>
          <w:rFonts w:ascii="仿宋" w:hAnsi="仿宋" w:eastAsia="仿宋" w:cs="仿宋"/>
          <w:color w:val="auto"/>
          <w:sz w:val="36"/>
          <w:szCs w:val="36"/>
        </w:rPr>
      </w:pPr>
      <w:r>
        <w:rPr>
          <w:rFonts w:hint="eastAsia" w:ascii="仿宋" w:hAnsi="仿宋" w:eastAsia="仿宋" w:cs="仿宋"/>
          <w:b/>
          <w:bCs/>
          <w:color w:val="auto"/>
          <w:sz w:val="36"/>
          <w:szCs w:val="36"/>
        </w:rPr>
        <w:t>第二部分供应商须知</w:t>
      </w:r>
    </w:p>
    <w:p w14:paraId="1ADD8BEE">
      <w:pPr>
        <w:pStyle w:val="32"/>
        <w:spacing w:after="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须知前附表</w:t>
      </w:r>
    </w:p>
    <w:tbl>
      <w:tblPr>
        <w:tblStyle w:val="21"/>
        <w:tblW w:w="9769" w:type="dxa"/>
        <w:jc w:val="center"/>
        <w:tblLayout w:type="fixed"/>
        <w:tblCellMar>
          <w:top w:w="0" w:type="dxa"/>
          <w:left w:w="108" w:type="dxa"/>
          <w:bottom w:w="0" w:type="dxa"/>
          <w:right w:w="108" w:type="dxa"/>
        </w:tblCellMar>
      </w:tblPr>
      <w:tblGrid>
        <w:gridCol w:w="494"/>
        <w:gridCol w:w="1691"/>
        <w:gridCol w:w="7584"/>
      </w:tblGrid>
      <w:tr w14:paraId="391DA7D9">
        <w:tblPrEx>
          <w:tblCellMar>
            <w:top w:w="0" w:type="dxa"/>
            <w:left w:w="108" w:type="dxa"/>
            <w:bottom w:w="0" w:type="dxa"/>
            <w:right w:w="108" w:type="dxa"/>
          </w:tblCellMar>
        </w:tblPrEx>
        <w:trPr>
          <w:trHeight w:val="54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B7C95FE">
            <w:pPr>
              <w:widowControl/>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序 号</w:t>
            </w:r>
          </w:p>
        </w:tc>
        <w:tc>
          <w:tcPr>
            <w:tcW w:w="1691" w:type="dxa"/>
            <w:tcBorders>
              <w:top w:val="single" w:color="auto" w:sz="4" w:space="0"/>
              <w:left w:val="single" w:color="auto" w:sz="4" w:space="0"/>
              <w:bottom w:val="single" w:color="auto" w:sz="4" w:space="0"/>
              <w:right w:val="single" w:color="auto" w:sz="4" w:space="0"/>
            </w:tcBorders>
            <w:vAlign w:val="center"/>
          </w:tcPr>
          <w:p w14:paraId="19413A65">
            <w:pPr>
              <w:widowControl/>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名  称</w:t>
            </w:r>
          </w:p>
        </w:tc>
        <w:tc>
          <w:tcPr>
            <w:tcW w:w="7584" w:type="dxa"/>
            <w:tcBorders>
              <w:top w:val="single" w:color="auto" w:sz="4" w:space="0"/>
              <w:left w:val="single" w:color="auto" w:sz="4" w:space="0"/>
              <w:bottom w:val="single" w:color="auto" w:sz="4" w:space="0"/>
              <w:right w:val="single" w:color="auto" w:sz="4" w:space="0"/>
            </w:tcBorders>
            <w:vAlign w:val="center"/>
          </w:tcPr>
          <w:p w14:paraId="6115D9BF">
            <w:pPr>
              <w:widowControl/>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编  列  内  容</w:t>
            </w:r>
          </w:p>
        </w:tc>
      </w:tr>
      <w:tr w14:paraId="7CFB865E">
        <w:tblPrEx>
          <w:tblCellMar>
            <w:top w:w="0" w:type="dxa"/>
            <w:left w:w="108" w:type="dxa"/>
            <w:bottom w:w="0" w:type="dxa"/>
            <w:right w:w="108" w:type="dxa"/>
          </w:tblCellMar>
        </w:tblPrEx>
        <w:trPr>
          <w:trHeight w:val="9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38321BB">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p>
        </w:tc>
        <w:tc>
          <w:tcPr>
            <w:tcW w:w="1691" w:type="dxa"/>
            <w:tcBorders>
              <w:top w:val="single" w:color="auto" w:sz="4" w:space="0"/>
              <w:left w:val="single" w:color="auto" w:sz="4" w:space="0"/>
              <w:bottom w:val="single" w:color="auto" w:sz="4" w:space="0"/>
              <w:right w:val="single" w:color="auto" w:sz="4" w:space="0"/>
            </w:tcBorders>
            <w:vAlign w:val="center"/>
          </w:tcPr>
          <w:p w14:paraId="60F51637">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项目名称</w:t>
            </w:r>
          </w:p>
          <w:p w14:paraId="1404286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项目编号</w:t>
            </w:r>
          </w:p>
          <w:p w14:paraId="23F8E261">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采购内容</w:t>
            </w:r>
          </w:p>
          <w:p w14:paraId="277081AD">
            <w:pPr>
              <w:spacing w:line="360" w:lineRule="auto"/>
              <w:jc w:val="center"/>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3BE844C5">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项目名称：克州GAJ无人机FZ设备采购项目（二次）</w:t>
            </w:r>
          </w:p>
          <w:p w14:paraId="6A6D23F3">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项目编号：</w:t>
            </w:r>
            <w:r>
              <w:rPr>
                <w:rFonts w:hint="eastAsia" w:ascii="仿宋" w:hAnsi="仿宋" w:eastAsia="仿宋" w:cs="仿宋"/>
                <w:color w:val="auto"/>
                <w:sz w:val="24"/>
                <w:szCs w:val="24"/>
                <w:lang w:val="en-US" w:eastAsia="zh-CN"/>
              </w:rPr>
              <w:t>KZZB-2026053-01</w:t>
            </w:r>
          </w:p>
          <w:p w14:paraId="37AF7648">
            <w:pPr>
              <w:shd w:val="clear" w:color="auto" w:fill="auto"/>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采购内容：无人机FZ设备</w:t>
            </w:r>
            <w:r>
              <w:rPr>
                <w:rFonts w:hint="eastAsia" w:ascii="仿宋" w:hAnsi="仿宋" w:eastAsia="仿宋" w:cs="仿宋"/>
                <w:color w:val="auto"/>
                <w:sz w:val="24"/>
                <w:szCs w:val="24"/>
                <w:lang w:val="en-US" w:eastAsia="zh-CN"/>
              </w:rPr>
              <w:t>一套；（具体采购内容详见技术参数）</w:t>
            </w:r>
          </w:p>
        </w:tc>
      </w:tr>
      <w:tr w14:paraId="39182581">
        <w:tblPrEx>
          <w:tblCellMar>
            <w:top w:w="0" w:type="dxa"/>
            <w:left w:w="108" w:type="dxa"/>
            <w:bottom w:w="0" w:type="dxa"/>
            <w:right w:w="108" w:type="dxa"/>
          </w:tblCellMar>
        </w:tblPrEx>
        <w:trPr>
          <w:trHeight w:val="9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653959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p>
        </w:tc>
        <w:tc>
          <w:tcPr>
            <w:tcW w:w="1691" w:type="dxa"/>
            <w:tcBorders>
              <w:top w:val="single" w:color="auto" w:sz="4" w:space="0"/>
              <w:left w:val="single" w:color="auto" w:sz="4" w:space="0"/>
              <w:bottom w:val="single" w:color="auto" w:sz="4" w:space="0"/>
              <w:right w:val="single" w:color="auto" w:sz="4" w:space="0"/>
            </w:tcBorders>
            <w:vAlign w:val="center"/>
          </w:tcPr>
          <w:p w14:paraId="41A2C899">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采购人信息</w:t>
            </w:r>
          </w:p>
        </w:tc>
        <w:tc>
          <w:tcPr>
            <w:tcW w:w="7584" w:type="dxa"/>
            <w:tcBorders>
              <w:top w:val="single" w:color="auto" w:sz="4" w:space="0"/>
              <w:left w:val="single" w:color="auto" w:sz="4" w:space="0"/>
              <w:bottom w:val="single" w:color="auto" w:sz="4" w:space="0"/>
              <w:right w:val="single" w:color="auto" w:sz="4" w:space="0"/>
            </w:tcBorders>
            <w:vAlign w:val="center"/>
          </w:tcPr>
          <w:p w14:paraId="116D8E5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名  称：克孜勒苏柯尔克孜自治州GAJ</w:t>
            </w:r>
          </w:p>
          <w:p w14:paraId="3712523A">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木先生</w:t>
            </w:r>
            <w:r>
              <w:rPr>
                <w:rFonts w:hint="eastAsia" w:ascii="仿宋" w:hAnsi="仿宋" w:eastAsia="仿宋" w:cs="仿宋"/>
                <w:color w:val="auto"/>
                <w:sz w:val="24"/>
                <w:szCs w:val="24"/>
                <w:lang w:eastAsia="zh-CN"/>
              </w:rPr>
              <w:t xml:space="preserve">      电  话：</w:t>
            </w:r>
            <w:r>
              <w:rPr>
                <w:rFonts w:hint="eastAsia" w:ascii="仿宋" w:hAnsi="仿宋" w:eastAsia="仿宋" w:cs="仿宋"/>
                <w:color w:val="auto"/>
                <w:sz w:val="24"/>
                <w:szCs w:val="24"/>
                <w:lang w:val="en-US" w:eastAsia="zh-CN"/>
              </w:rPr>
              <w:t>18099083275</w:t>
            </w:r>
          </w:p>
        </w:tc>
      </w:tr>
      <w:tr w14:paraId="15841001">
        <w:tblPrEx>
          <w:tblCellMar>
            <w:top w:w="0" w:type="dxa"/>
            <w:left w:w="108" w:type="dxa"/>
            <w:bottom w:w="0" w:type="dxa"/>
            <w:right w:w="108" w:type="dxa"/>
          </w:tblCellMar>
        </w:tblPrEx>
        <w:trPr>
          <w:trHeight w:val="87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049D3CC">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p>
        </w:tc>
        <w:tc>
          <w:tcPr>
            <w:tcW w:w="1691" w:type="dxa"/>
            <w:tcBorders>
              <w:top w:val="single" w:color="auto" w:sz="4" w:space="0"/>
              <w:left w:val="single" w:color="auto" w:sz="4" w:space="0"/>
              <w:bottom w:val="single" w:color="auto" w:sz="4" w:space="0"/>
              <w:right w:val="single" w:color="auto" w:sz="4" w:space="0"/>
            </w:tcBorders>
            <w:vAlign w:val="center"/>
          </w:tcPr>
          <w:p w14:paraId="5764A031">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采购代理机构</w:t>
            </w:r>
          </w:p>
        </w:tc>
        <w:tc>
          <w:tcPr>
            <w:tcW w:w="7584" w:type="dxa"/>
            <w:tcBorders>
              <w:top w:val="single" w:color="auto" w:sz="4" w:space="0"/>
              <w:left w:val="single" w:color="auto" w:sz="4" w:space="0"/>
              <w:bottom w:val="single" w:color="auto" w:sz="4" w:space="0"/>
              <w:right w:val="single" w:color="auto" w:sz="4" w:space="0"/>
            </w:tcBorders>
            <w:vAlign w:val="center"/>
          </w:tcPr>
          <w:p w14:paraId="014611B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名  称：新疆飞耀项目管理有限公司</w:t>
            </w:r>
          </w:p>
          <w:p w14:paraId="4EB3F5F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地  址：新疆克州阿图什市松他克镇亚克瓦克村肖鲁克路10-1号5楼大厅</w:t>
            </w:r>
          </w:p>
          <w:p w14:paraId="72B6434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联系人：段女士       电  话：15349977680</w:t>
            </w:r>
          </w:p>
        </w:tc>
      </w:tr>
      <w:tr w14:paraId="461BA075">
        <w:tblPrEx>
          <w:tblCellMar>
            <w:top w:w="0" w:type="dxa"/>
            <w:left w:w="108" w:type="dxa"/>
            <w:bottom w:w="0" w:type="dxa"/>
            <w:right w:w="108" w:type="dxa"/>
          </w:tblCellMar>
        </w:tblPrEx>
        <w:trPr>
          <w:trHeight w:val="1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D7AC3DC">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w:t>
            </w:r>
          </w:p>
        </w:tc>
        <w:tc>
          <w:tcPr>
            <w:tcW w:w="1691" w:type="dxa"/>
            <w:tcBorders>
              <w:top w:val="single" w:color="auto" w:sz="4" w:space="0"/>
              <w:left w:val="single" w:color="auto" w:sz="4" w:space="0"/>
              <w:bottom w:val="single" w:color="auto" w:sz="4" w:space="0"/>
              <w:right w:val="single" w:color="auto" w:sz="4" w:space="0"/>
            </w:tcBorders>
            <w:vAlign w:val="center"/>
          </w:tcPr>
          <w:p w14:paraId="5741B93A">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最终交货地点</w:t>
            </w:r>
          </w:p>
        </w:tc>
        <w:tc>
          <w:tcPr>
            <w:tcW w:w="7584" w:type="dxa"/>
            <w:tcBorders>
              <w:top w:val="single" w:color="auto" w:sz="4" w:space="0"/>
              <w:left w:val="single" w:color="auto" w:sz="4" w:space="0"/>
              <w:bottom w:val="single" w:color="auto" w:sz="4" w:space="0"/>
              <w:right w:val="single" w:color="auto" w:sz="4" w:space="0"/>
            </w:tcBorders>
            <w:vAlign w:val="center"/>
          </w:tcPr>
          <w:p w14:paraId="152A282D">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克孜勒苏柯尔克孜自治州GAJ</w:t>
            </w:r>
          </w:p>
        </w:tc>
      </w:tr>
      <w:tr w14:paraId="25CC989D">
        <w:tblPrEx>
          <w:tblCellMar>
            <w:top w:w="0" w:type="dxa"/>
            <w:left w:w="108" w:type="dxa"/>
            <w:bottom w:w="0" w:type="dxa"/>
            <w:right w:w="108" w:type="dxa"/>
          </w:tblCellMar>
        </w:tblPrEx>
        <w:trPr>
          <w:trHeight w:val="9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27F479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w:t>
            </w:r>
          </w:p>
        </w:tc>
        <w:tc>
          <w:tcPr>
            <w:tcW w:w="1691" w:type="dxa"/>
            <w:tcBorders>
              <w:top w:val="single" w:color="auto" w:sz="4" w:space="0"/>
              <w:left w:val="single" w:color="auto" w:sz="4" w:space="0"/>
              <w:bottom w:val="single" w:color="auto" w:sz="4" w:space="0"/>
              <w:right w:val="single" w:color="auto" w:sz="4" w:space="0"/>
            </w:tcBorders>
            <w:vAlign w:val="center"/>
          </w:tcPr>
          <w:p w14:paraId="4BF20BEB">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资格要求</w:t>
            </w:r>
          </w:p>
        </w:tc>
        <w:tc>
          <w:tcPr>
            <w:tcW w:w="7584" w:type="dxa"/>
            <w:tcBorders>
              <w:top w:val="single" w:color="auto" w:sz="4" w:space="0"/>
              <w:left w:val="single" w:color="auto" w:sz="4" w:space="0"/>
              <w:bottom w:val="single" w:color="auto" w:sz="4" w:space="0"/>
              <w:right w:val="single" w:color="auto" w:sz="4" w:space="0"/>
            </w:tcBorders>
            <w:vAlign w:val="center"/>
          </w:tcPr>
          <w:p w14:paraId="45327F2E">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1.满足《中华人民共和国政府采购法》第二十二条规定；</w:t>
            </w:r>
          </w:p>
          <w:p w14:paraId="2F2FFEB2">
            <w:pPr>
              <w:spacing w:line="360" w:lineRule="auto"/>
              <w:rPr>
                <w:rFonts w:hint="eastAsia" w:ascii="仿宋" w:hAnsi="仿宋" w:eastAsia="仿宋" w:cs="仿宋"/>
                <w:color w:val="auto"/>
                <w:sz w:val="22"/>
                <w:szCs w:val="22"/>
                <w:lang w:val="en-US" w:eastAsia="zh-CN"/>
              </w:rPr>
            </w:pPr>
            <w:r>
              <w:rPr>
                <w:rFonts w:hint="eastAsia" w:ascii="仿宋" w:hAnsi="仿宋" w:eastAsia="仿宋" w:cs="仿宋"/>
                <w:color w:val="auto"/>
                <w:sz w:val="24"/>
                <w:szCs w:val="24"/>
                <w:lang w:eastAsia="zh-CN"/>
              </w:rPr>
              <w:t>2.落实政府采购政策需满足的资格要求：</w:t>
            </w:r>
            <w:r>
              <w:rPr>
                <w:rFonts w:hint="eastAsia" w:ascii="仿宋" w:hAnsi="仿宋" w:eastAsia="仿宋" w:cs="仿宋"/>
                <w:i w:val="0"/>
                <w:caps w:val="0"/>
                <w:color w:val="auto"/>
                <w:spacing w:val="0"/>
                <w:sz w:val="24"/>
                <w:szCs w:val="24"/>
                <w:highlight w:val="none"/>
                <w:lang w:val="en-US" w:eastAsia="zh-CN"/>
              </w:rPr>
              <w:t>标项1：供应商为中小企业</w:t>
            </w:r>
          </w:p>
          <w:p w14:paraId="1CE971A0">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3.本项目的特定资格要求：</w:t>
            </w:r>
          </w:p>
          <w:p w14:paraId="61C1BF57">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（1）具备三证合一营业执照；</w:t>
            </w:r>
          </w:p>
          <w:p w14:paraId="5DFDB755">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（2）法定代表人投标须提供法定代表人资格证明书，委托代理人投标须提供法定代表人授权委托书；</w:t>
            </w:r>
          </w:p>
          <w:p w14:paraId="7F5050B4">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（3）投标企业须提供投标人（被授权在职人员）近6个月内任意一个月有效的社保证明；</w:t>
            </w:r>
          </w:p>
          <w:p w14:paraId="42C149D4">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参加政府采购活动前三年内，在经营活动中没有重大违法记录；未被“信用中国”（www.creditchina.gov.cn）、中国政府采购网（www.ccgp.gov.cn）列入失信被执行人、税收违法黑名单、政府采购严重违法失信行为记录名单；</w:t>
            </w:r>
          </w:p>
          <w:p w14:paraId="2EB87927">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4.本项目不接受联合体投标。</w:t>
            </w:r>
          </w:p>
        </w:tc>
      </w:tr>
      <w:tr w14:paraId="004FBEEF">
        <w:tblPrEx>
          <w:tblCellMar>
            <w:top w:w="0" w:type="dxa"/>
            <w:left w:w="108" w:type="dxa"/>
            <w:bottom w:w="0" w:type="dxa"/>
            <w:right w:w="108" w:type="dxa"/>
          </w:tblCellMar>
        </w:tblPrEx>
        <w:trPr>
          <w:trHeight w:val="638"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4CA4A6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w:t>
            </w:r>
          </w:p>
        </w:tc>
        <w:tc>
          <w:tcPr>
            <w:tcW w:w="1691" w:type="dxa"/>
            <w:tcBorders>
              <w:top w:val="single" w:color="auto" w:sz="4" w:space="0"/>
              <w:left w:val="single" w:color="auto" w:sz="4" w:space="0"/>
              <w:bottom w:val="single" w:color="auto" w:sz="4" w:space="0"/>
              <w:right w:val="single" w:color="auto" w:sz="4" w:space="0"/>
            </w:tcBorders>
            <w:vAlign w:val="center"/>
          </w:tcPr>
          <w:p w14:paraId="587A57E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资金来源</w:t>
            </w:r>
          </w:p>
        </w:tc>
        <w:tc>
          <w:tcPr>
            <w:tcW w:w="7584" w:type="dxa"/>
            <w:tcBorders>
              <w:top w:val="single" w:color="auto" w:sz="4" w:space="0"/>
              <w:left w:val="single" w:color="auto" w:sz="4" w:space="0"/>
              <w:bottom w:val="single" w:color="auto" w:sz="4" w:space="0"/>
              <w:right w:val="single" w:color="auto" w:sz="4" w:space="0"/>
            </w:tcBorders>
            <w:vAlign w:val="center"/>
          </w:tcPr>
          <w:p w14:paraId="63E0E4EB">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专项资金</w:t>
            </w:r>
          </w:p>
        </w:tc>
      </w:tr>
      <w:tr w14:paraId="3B23C930">
        <w:tblPrEx>
          <w:tblCellMar>
            <w:top w:w="0" w:type="dxa"/>
            <w:left w:w="108" w:type="dxa"/>
            <w:bottom w:w="0" w:type="dxa"/>
            <w:right w:w="108" w:type="dxa"/>
          </w:tblCellMar>
        </w:tblPrEx>
        <w:trPr>
          <w:trHeight w:val="638"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957AC5D">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691" w:type="dxa"/>
            <w:tcBorders>
              <w:top w:val="single" w:color="auto" w:sz="4" w:space="0"/>
              <w:left w:val="single" w:color="auto" w:sz="4" w:space="0"/>
              <w:bottom w:val="single" w:color="auto" w:sz="4" w:space="0"/>
              <w:right w:val="single" w:color="auto" w:sz="4" w:space="0"/>
            </w:tcBorders>
            <w:vAlign w:val="center"/>
          </w:tcPr>
          <w:p w14:paraId="699111FA">
            <w:pPr>
              <w:widowControl/>
              <w:kinsoku/>
              <w:bidi w:val="0"/>
              <w:spacing w:line="334"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highlight w:val="none"/>
              </w:rPr>
              <w:t>付款方式</w:t>
            </w:r>
          </w:p>
        </w:tc>
        <w:tc>
          <w:tcPr>
            <w:tcW w:w="7584" w:type="dxa"/>
            <w:tcBorders>
              <w:top w:val="single" w:color="auto" w:sz="4" w:space="0"/>
              <w:left w:val="single" w:color="auto" w:sz="4" w:space="0"/>
              <w:bottom w:val="single" w:color="auto" w:sz="4" w:space="0"/>
              <w:right w:val="single" w:color="auto" w:sz="4" w:space="0"/>
            </w:tcBorders>
            <w:vAlign w:val="center"/>
          </w:tcPr>
          <w:p w14:paraId="09F43911">
            <w:pPr>
              <w:keepNext w:val="0"/>
              <w:keepLines w:val="0"/>
              <w:pageBreakBefore w:val="0"/>
              <w:widowControl w:val="0"/>
              <w:kinsoku/>
              <w:wordWrap/>
              <w:overflowPunct/>
              <w:topLinePunct w:val="0"/>
              <w:bidi w:val="0"/>
              <w:snapToGrid/>
              <w:spacing w:line="400" w:lineRule="exact"/>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20个工作日内提供</w:t>
            </w:r>
            <w:r>
              <w:rPr>
                <w:rFonts w:hint="eastAsia" w:ascii="仿宋" w:hAnsi="仿宋" w:eastAsia="仿宋" w:cs="仿宋"/>
                <w:color w:val="auto"/>
                <w:sz w:val="24"/>
                <w:highlight w:val="none"/>
              </w:rPr>
              <w:t>设备安装、调试、验收合格后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30日内一次性</w:t>
            </w:r>
            <w:r>
              <w:rPr>
                <w:rFonts w:hint="eastAsia" w:ascii="仿宋" w:hAnsi="仿宋" w:eastAsia="仿宋" w:cs="仿宋"/>
                <w:color w:val="auto"/>
                <w:sz w:val="24"/>
                <w:highlight w:val="none"/>
              </w:rPr>
              <w:t>支付</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0%。（具体以甲乙双方签订的合同为准）</w:t>
            </w:r>
          </w:p>
        </w:tc>
      </w:tr>
      <w:tr w14:paraId="5151077B">
        <w:tblPrEx>
          <w:tblCellMar>
            <w:top w:w="0" w:type="dxa"/>
            <w:left w:w="108" w:type="dxa"/>
            <w:bottom w:w="0" w:type="dxa"/>
            <w:right w:w="108" w:type="dxa"/>
          </w:tblCellMar>
        </w:tblPrEx>
        <w:trPr>
          <w:trHeight w:val="638"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8E96D8A">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247D4E26">
            <w:pPr>
              <w:pStyle w:val="7"/>
              <w:keepNext w:val="0"/>
              <w:keepLines w:val="0"/>
              <w:pageBreakBefore w:val="0"/>
              <w:widowControl w:val="0"/>
              <w:numPr>
                <w:ilvl w:val="0"/>
                <w:numId w:val="0"/>
              </w:numPr>
              <w:kinsoku/>
              <w:wordWrap/>
              <w:overflowPunct/>
              <w:topLinePunct w:val="0"/>
              <w:autoSpaceDE/>
              <w:autoSpaceDN/>
              <w:bidi w:val="0"/>
              <w:adjustRightInd/>
              <w:spacing w:after="0"/>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供货期</w:t>
            </w:r>
          </w:p>
          <w:p w14:paraId="20AE1692">
            <w:pPr>
              <w:pStyle w:val="7"/>
              <w:keepNext w:val="0"/>
              <w:keepLines w:val="0"/>
              <w:pageBreakBefore w:val="0"/>
              <w:widowControl w:val="0"/>
              <w:numPr>
                <w:ilvl w:val="0"/>
                <w:numId w:val="0"/>
              </w:numPr>
              <w:kinsoku/>
              <w:wordWrap/>
              <w:overflowPunct/>
              <w:topLinePunct w:val="0"/>
              <w:autoSpaceDE/>
              <w:autoSpaceDN/>
              <w:bidi w:val="0"/>
              <w:adjustRightInd/>
              <w:spacing w:after="0"/>
              <w:jc w:val="both"/>
              <w:textAlignment w:val="auto"/>
              <w:rPr>
                <w:rFonts w:hint="eastAsia"/>
                <w:color w:val="auto"/>
                <w:highlight w:val="none"/>
                <w:lang w:val="en-US" w:eastAsia="zh-CN"/>
              </w:rPr>
            </w:pPr>
            <w:r>
              <w:rPr>
                <w:rFonts w:hint="eastAsia" w:ascii="仿宋" w:hAnsi="仿宋" w:eastAsia="仿宋" w:cs="仿宋"/>
                <w:color w:val="auto"/>
                <w:sz w:val="24"/>
                <w:highlight w:val="none"/>
                <w:lang w:val="en-US" w:eastAsia="zh-CN"/>
              </w:rPr>
              <w:t>质保期限</w:t>
            </w:r>
          </w:p>
          <w:p w14:paraId="76EA4C5D">
            <w:pPr>
              <w:widowControl/>
              <w:spacing w:line="360" w:lineRule="auto"/>
              <w:jc w:val="both"/>
              <w:rPr>
                <w:rFonts w:hint="eastAsia" w:ascii="仿宋" w:hAnsi="仿宋" w:eastAsia="仿宋" w:cs="仿宋"/>
                <w:b/>
                <w:bCs/>
                <w:color w:val="auto"/>
                <w:sz w:val="24"/>
                <w:szCs w:val="24"/>
                <w:lang w:val="en-US" w:eastAsia="zh-CN" w:bidi="en-US"/>
              </w:rPr>
            </w:pPr>
            <w:r>
              <w:rPr>
                <w:rFonts w:hint="eastAsia" w:ascii="仿宋" w:hAnsi="仿宋" w:eastAsia="仿宋" w:cs="仿宋"/>
                <w:color w:val="auto"/>
                <w:sz w:val="24"/>
                <w:highlight w:val="none"/>
                <w:lang w:val="en-US" w:eastAsia="zh-CN"/>
              </w:rPr>
              <w:t>履约担保</w:t>
            </w:r>
          </w:p>
        </w:tc>
        <w:tc>
          <w:tcPr>
            <w:tcW w:w="7584" w:type="dxa"/>
            <w:tcBorders>
              <w:top w:val="single" w:color="auto" w:sz="4" w:space="0"/>
              <w:left w:val="single" w:color="auto" w:sz="4" w:space="0"/>
              <w:bottom w:val="single" w:color="auto" w:sz="4" w:space="0"/>
              <w:right w:val="single" w:color="auto" w:sz="4" w:space="0"/>
            </w:tcBorders>
            <w:shd w:val="clear" w:color="auto" w:fill="auto"/>
            <w:vAlign w:val="center"/>
          </w:tcPr>
          <w:p w14:paraId="17C38D7B">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_GB2312" w:hAnsi="仿宋_GB2312" w:eastAsia="仿宋_GB2312" w:cs="仿宋_GB2312"/>
                <w:color w:val="auto"/>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val="en-US" w:eastAsia="zh-CN"/>
              </w:rPr>
              <w:t>供货期：自合同签订之日起20工作日内，完成供货并调试安装完成投入使用。</w:t>
            </w:r>
            <w:r>
              <w:rPr>
                <w:rFonts w:hint="eastAsia" w:ascii="仿宋" w:hAnsi="仿宋" w:eastAsia="仿宋" w:cs="仿宋"/>
                <w:color w:val="auto"/>
                <w:highlight w:val="none"/>
                <w:lang w:val="en-US" w:eastAsia="zh-CN"/>
              </w:rPr>
              <w:t>（具体以甲乙双方签订合同为准）</w:t>
            </w:r>
          </w:p>
          <w:p w14:paraId="735603D9">
            <w:pPr>
              <w:pStyle w:val="7"/>
              <w:keepNext w:val="0"/>
              <w:keepLines w:val="0"/>
              <w:pageBreakBefore w:val="0"/>
              <w:widowControl w:val="0"/>
              <w:numPr>
                <w:ilvl w:val="0"/>
                <w:numId w:val="0"/>
              </w:numPr>
              <w:kinsoku/>
              <w:wordWrap/>
              <w:overflowPunct/>
              <w:topLinePunct w:val="0"/>
              <w:autoSpaceDE/>
              <w:autoSpaceDN/>
              <w:bidi w:val="0"/>
              <w:adjustRightInd/>
              <w:spacing w:after="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质保期：2年（技术参数中有特殊要求的以技术参数为准)</w:t>
            </w:r>
          </w:p>
          <w:p w14:paraId="44D02A15">
            <w:pPr>
              <w:widowControl/>
              <w:spacing w:line="360" w:lineRule="auto"/>
              <w:rPr>
                <w:rFonts w:hint="eastAsia" w:ascii="仿宋" w:hAnsi="仿宋" w:eastAsia="仿宋" w:cs="仿宋"/>
                <w:b/>
                <w:bCs/>
                <w:color w:val="auto"/>
                <w:sz w:val="24"/>
                <w:szCs w:val="24"/>
                <w:lang w:val="en-US" w:eastAsia="zh-CN" w:bidi="en-US"/>
              </w:rPr>
            </w:pPr>
            <w:r>
              <w:rPr>
                <w:rFonts w:hint="eastAsia" w:ascii="仿宋" w:hAnsi="仿宋" w:eastAsia="仿宋" w:cs="仿宋"/>
                <w:color w:val="auto"/>
                <w:sz w:val="24"/>
                <w:highlight w:val="none"/>
                <w:lang w:val="en-US" w:eastAsia="zh-CN"/>
              </w:rPr>
              <w:t>履约担保：无</w:t>
            </w:r>
          </w:p>
        </w:tc>
      </w:tr>
      <w:tr w14:paraId="5D5C3027">
        <w:tblPrEx>
          <w:tblCellMar>
            <w:top w:w="0" w:type="dxa"/>
            <w:left w:w="108" w:type="dxa"/>
            <w:bottom w:w="0" w:type="dxa"/>
            <w:right w:w="108" w:type="dxa"/>
          </w:tblCellMar>
        </w:tblPrEx>
        <w:trPr>
          <w:trHeight w:val="638" w:hRule="atLeast"/>
          <w:jc w:val="center"/>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3D225B21">
            <w:pPr>
              <w:spacing w:line="360" w:lineRule="auto"/>
              <w:jc w:val="center"/>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rPr>
              <w:t>9</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531DA74C">
            <w:pPr>
              <w:spacing w:line="360" w:lineRule="auto"/>
              <w:jc w:val="center"/>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招标方式</w:t>
            </w:r>
          </w:p>
        </w:tc>
        <w:tc>
          <w:tcPr>
            <w:tcW w:w="7584" w:type="dxa"/>
            <w:tcBorders>
              <w:top w:val="single" w:color="auto" w:sz="4" w:space="0"/>
              <w:left w:val="single" w:color="auto" w:sz="4" w:space="0"/>
              <w:bottom w:val="single" w:color="auto" w:sz="4" w:space="0"/>
              <w:right w:val="single" w:color="auto" w:sz="4" w:space="0"/>
            </w:tcBorders>
            <w:shd w:val="clear" w:color="auto" w:fill="auto"/>
            <w:vAlign w:val="center"/>
          </w:tcPr>
          <w:p w14:paraId="17D4A734">
            <w:pPr>
              <w:spacing w:line="360" w:lineRule="auto"/>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 xml:space="preserve">竞争性谈判(本项目采用网上电子招投标)  </w:t>
            </w:r>
          </w:p>
        </w:tc>
      </w:tr>
      <w:tr w14:paraId="0B6BCBF5">
        <w:tblPrEx>
          <w:tblCellMar>
            <w:top w:w="0" w:type="dxa"/>
            <w:left w:w="108" w:type="dxa"/>
            <w:bottom w:w="0" w:type="dxa"/>
            <w:right w:w="108" w:type="dxa"/>
          </w:tblCellMar>
        </w:tblPrEx>
        <w:trPr>
          <w:trHeight w:val="763" w:hRule="atLeast"/>
          <w:jc w:val="center"/>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06316A2F">
            <w:pPr>
              <w:spacing w:line="360" w:lineRule="auto"/>
              <w:jc w:val="center"/>
              <w:rPr>
                <w:rFonts w:hint="default"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10</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217352B4">
            <w:pPr>
              <w:spacing w:line="360" w:lineRule="auto"/>
              <w:jc w:val="center"/>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供应商信用查询</w:t>
            </w:r>
          </w:p>
        </w:tc>
        <w:tc>
          <w:tcPr>
            <w:tcW w:w="7584" w:type="dxa"/>
            <w:tcBorders>
              <w:top w:val="single" w:color="auto" w:sz="4" w:space="0"/>
              <w:left w:val="single" w:color="auto" w:sz="4" w:space="0"/>
              <w:bottom w:val="single" w:color="auto" w:sz="4" w:space="0"/>
              <w:right w:val="single" w:color="auto" w:sz="4" w:space="0"/>
            </w:tcBorders>
            <w:shd w:val="clear" w:color="auto" w:fill="auto"/>
            <w:vAlign w:val="center"/>
          </w:tcPr>
          <w:p w14:paraId="572B78C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1、查询渠道：信用中国（网址：http://www.creditchina.gov.cn）、中国政府采购网(网址：http://www.ccgp.gov.cn）。</w:t>
            </w:r>
          </w:p>
          <w:p w14:paraId="632EE83D">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2、截止时点：开标后评标前。</w:t>
            </w:r>
          </w:p>
          <w:p w14:paraId="1FD637A9">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3、信用信息查询记录和证据留存的具体方式：由采购组织机构在规定查询时间内打印信用信息查询记录并归入项目档案。</w:t>
            </w:r>
          </w:p>
          <w:p w14:paraId="3FC302F1">
            <w:pPr>
              <w:spacing w:line="360" w:lineRule="auto"/>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67298688">
        <w:tblPrEx>
          <w:tblCellMar>
            <w:top w:w="0" w:type="dxa"/>
            <w:left w:w="108" w:type="dxa"/>
            <w:bottom w:w="0" w:type="dxa"/>
            <w:right w:w="108" w:type="dxa"/>
          </w:tblCellMar>
        </w:tblPrEx>
        <w:trPr>
          <w:trHeight w:val="90" w:hRule="atLeast"/>
          <w:jc w:val="center"/>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1B2A2A03">
            <w:pPr>
              <w:spacing w:line="360" w:lineRule="auto"/>
              <w:jc w:val="center"/>
              <w:rPr>
                <w:rFonts w:hint="default"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rPr>
              <w:t>11</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4E22CF81">
            <w:pPr>
              <w:widowControl/>
              <w:kinsoku/>
              <w:bidi w:val="0"/>
              <w:spacing w:line="3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签字和盖章</w:t>
            </w:r>
          </w:p>
          <w:p w14:paraId="152F9E7F">
            <w:pPr>
              <w:widowControl/>
              <w:kinsoku/>
              <w:bidi w:val="0"/>
              <w:spacing w:line="360" w:lineRule="exact"/>
              <w:jc w:val="center"/>
              <w:rPr>
                <w:rFonts w:ascii="仿宋" w:hAnsi="仿宋" w:eastAsia="仿宋" w:cs="仿宋"/>
                <w:color w:val="auto"/>
                <w:sz w:val="24"/>
                <w:szCs w:val="24"/>
                <w:lang w:val="en-US" w:eastAsia="zh-CN" w:bidi="en-US"/>
              </w:rPr>
            </w:pPr>
            <w:r>
              <w:rPr>
                <w:rFonts w:hint="eastAsia" w:ascii="仿宋" w:hAnsi="仿宋" w:eastAsia="仿宋" w:cs="仿宋"/>
                <w:color w:val="auto"/>
                <w:sz w:val="24"/>
                <w:highlight w:val="none"/>
              </w:rPr>
              <w:t>要求</w:t>
            </w:r>
          </w:p>
        </w:tc>
        <w:tc>
          <w:tcPr>
            <w:tcW w:w="7584" w:type="dxa"/>
            <w:tcBorders>
              <w:top w:val="single" w:color="auto" w:sz="4" w:space="0"/>
              <w:left w:val="single" w:color="auto" w:sz="4" w:space="0"/>
              <w:bottom w:val="single" w:color="auto" w:sz="4" w:space="0"/>
              <w:right w:val="single" w:color="auto" w:sz="4" w:space="0"/>
            </w:tcBorders>
            <w:shd w:val="clear" w:color="auto" w:fill="auto"/>
            <w:vAlign w:val="center"/>
          </w:tcPr>
          <w:p w14:paraId="77F8FB68">
            <w:pPr>
              <w:widowControl/>
              <w:kinsoku/>
              <w:bidi w:val="0"/>
              <w:spacing w:line="3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企业公章</w:t>
            </w:r>
          </w:p>
          <w:p w14:paraId="3D9E8AA7">
            <w:pPr>
              <w:widowControl/>
              <w:kinsoku/>
              <w:bidi w:val="0"/>
              <w:spacing w:line="340" w:lineRule="exact"/>
              <w:rPr>
                <w:rFonts w:ascii="仿宋" w:hAnsi="仿宋" w:eastAsia="仿宋" w:cs="仿宋"/>
                <w:color w:val="auto"/>
                <w:sz w:val="24"/>
                <w:szCs w:val="24"/>
                <w:lang w:val="en-US" w:eastAsia="zh-CN" w:bidi="en-US"/>
              </w:rPr>
            </w:pPr>
            <w:r>
              <w:rPr>
                <w:rFonts w:hint="eastAsia" w:ascii="仿宋" w:hAnsi="仿宋" w:eastAsia="仿宋" w:cs="仿宋"/>
                <w:color w:val="auto"/>
                <w:sz w:val="24"/>
                <w:highlight w:val="none"/>
              </w:rPr>
              <w:t>法定代表人或授权委托人（签字或盖章）</w:t>
            </w:r>
          </w:p>
        </w:tc>
      </w:tr>
      <w:tr w14:paraId="54361A4B">
        <w:tblPrEx>
          <w:tblCellMar>
            <w:top w:w="0" w:type="dxa"/>
            <w:left w:w="108" w:type="dxa"/>
            <w:bottom w:w="0" w:type="dxa"/>
            <w:right w:w="108" w:type="dxa"/>
          </w:tblCellMar>
        </w:tblPrEx>
        <w:trPr>
          <w:trHeight w:val="1198" w:hRule="atLeast"/>
          <w:jc w:val="center"/>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63619696">
            <w:pPr>
              <w:spacing w:line="360" w:lineRule="auto"/>
              <w:jc w:val="center"/>
              <w:rPr>
                <w:rFonts w:hint="default"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rPr>
              <w:t>12</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747308CD">
            <w:pPr>
              <w:spacing w:line="360" w:lineRule="auto"/>
              <w:jc w:val="center"/>
              <w:rPr>
                <w:rFonts w:hint="eastAsia" w:ascii="仿宋" w:hAnsi="仿宋" w:eastAsia="仿宋" w:cs="仿宋"/>
                <w:b/>
                <w:bCs/>
                <w:color w:val="auto"/>
                <w:sz w:val="24"/>
                <w:szCs w:val="24"/>
                <w:lang w:val="en-US" w:eastAsia="zh-CN" w:bidi="en-US"/>
              </w:rPr>
            </w:pPr>
            <w:r>
              <w:rPr>
                <w:rFonts w:hint="eastAsia" w:ascii="仿宋" w:hAnsi="仿宋" w:eastAsia="仿宋" w:cs="仿宋"/>
                <w:b w:val="0"/>
                <w:bCs w:val="0"/>
                <w:color w:val="auto"/>
                <w:sz w:val="24"/>
                <w:szCs w:val="24"/>
                <w:highlight w:val="none"/>
                <w:lang w:eastAsia="zh-CN"/>
              </w:rPr>
              <w:t>踏勘现场</w:t>
            </w:r>
          </w:p>
        </w:tc>
        <w:tc>
          <w:tcPr>
            <w:tcW w:w="7584" w:type="dxa"/>
            <w:tcBorders>
              <w:top w:val="single" w:color="auto" w:sz="4" w:space="0"/>
              <w:left w:val="single" w:color="auto" w:sz="4" w:space="0"/>
              <w:bottom w:val="single" w:color="auto" w:sz="4" w:space="0"/>
              <w:right w:val="single" w:color="auto" w:sz="4" w:space="0"/>
            </w:tcBorders>
            <w:shd w:val="clear" w:color="auto" w:fill="auto"/>
            <w:vAlign w:val="center"/>
          </w:tcPr>
          <w:p w14:paraId="757531B7">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□是</w:t>
            </w:r>
          </w:p>
          <w:p w14:paraId="3B142B66">
            <w:pPr>
              <w:spacing w:line="360" w:lineRule="auto"/>
              <w:jc w:val="left"/>
              <w:rPr>
                <w:rFonts w:hint="eastAsia" w:ascii="仿宋" w:hAnsi="仿宋" w:eastAsia="仿宋" w:cs="仿宋"/>
                <w:b/>
                <w:bCs/>
                <w:color w:val="auto"/>
                <w:sz w:val="24"/>
                <w:szCs w:val="24"/>
                <w:lang w:val="en-US" w:eastAsia="zh-CN" w:bidi="en-US"/>
              </w:rPr>
            </w:pP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tc>
      </w:tr>
      <w:tr w14:paraId="5B6DD9EB">
        <w:tblPrEx>
          <w:tblCellMar>
            <w:top w:w="0" w:type="dxa"/>
            <w:left w:w="108" w:type="dxa"/>
            <w:bottom w:w="0" w:type="dxa"/>
            <w:right w:w="108" w:type="dxa"/>
          </w:tblCellMar>
        </w:tblPrEx>
        <w:trPr>
          <w:trHeight w:val="665" w:hRule="atLeast"/>
          <w:jc w:val="center"/>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2E1BCA29">
            <w:pPr>
              <w:spacing w:line="360" w:lineRule="auto"/>
              <w:jc w:val="center"/>
              <w:rPr>
                <w:rFonts w:hint="default"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3</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0A454E29">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投标截止时间 </w:t>
            </w:r>
          </w:p>
          <w:p w14:paraId="55EB4898">
            <w:pPr>
              <w:spacing w:line="360" w:lineRule="auto"/>
              <w:jc w:val="both"/>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（开标时间）</w:t>
            </w:r>
          </w:p>
        </w:tc>
        <w:tc>
          <w:tcPr>
            <w:tcW w:w="7584" w:type="dxa"/>
            <w:tcBorders>
              <w:top w:val="single" w:color="auto" w:sz="4" w:space="0"/>
              <w:left w:val="single" w:color="auto" w:sz="4" w:space="0"/>
              <w:bottom w:val="single" w:color="auto" w:sz="4" w:space="0"/>
              <w:right w:val="single" w:color="auto" w:sz="4" w:space="0"/>
            </w:tcBorders>
            <w:vAlign w:val="center"/>
          </w:tcPr>
          <w:p w14:paraId="5AE0E416">
            <w:pPr>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color w:val="auto"/>
                <w:sz w:val="24"/>
                <w:szCs w:val="24"/>
                <w:lang w:eastAsia="zh-CN"/>
              </w:rPr>
              <w:t>截止时间：202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u w:val="none"/>
                <w:lang w:eastAsia="zh-CN"/>
              </w:rPr>
              <w:t>月</w:t>
            </w:r>
            <w:r>
              <w:rPr>
                <w:rFonts w:hint="eastAsia" w:ascii="仿宋" w:hAnsi="仿宋" w:eastAsia="仿宋" w:cs="仿宋"/>
                <w:color w:val="auto"/>
                <w:sz w:val="24"/>
                <w:szCs w:val="24"/>
                <w:u w:val="none"/>
                <w:lang w:val="en-US" w:eastAsia="zh-CN"/>
              </w:rPr>
              <w:t>25</w:t>
            </w:r>
            <w:r>
              <w:rPr>
                <w:rFonts w:hint="eastAsia" w:ascii="仿宋" w:hAnsi="仿宋" w:eastAsia="仿宋" w:cs="仿宋"/>
                <w:color w:val="auto"/>
                <w:sz w:val="24"/>
                <w:szCs w:val="24"/>
                <w:lang w:eastAsia="zh-CN"/>
              </w:rPr>
              <w:t>日上午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eastAsia="zh-CN"/>
              </w:rPr>
              <w:t>分（北京时间）</w:t>
            </w:r>
          </w:p>
        </w:tc>
      </w:tr>
      <w:tr w14:paraId="1A087C5B">
        <w:tblPrEx>
          <w:tblCellMar>
            <w:top w:w="0" w:type="dxa"/>
            <w:left w:w="108" w:type="dxa"/>
            <w:bottom w:w="0" w:type="dxa"/>
            <w:right w:w="108" w:type="dxa"/>
          </w:tblCellMar>
        </w:tblPrEx>
        <w:trPr>
          <w:trHeight w:val="791" w:hRule="atLeast"/>
          <w:jc w:val="center"/>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261A0C72">
            <w:pPr>
              <w:spacing w:line="360" w:lineRule="auto"/>
              <w:jc w:val="center"/>
              <w:rPr>
                <w:rFonts w:hint="default"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4</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75356516">
            <w:pPr>
              <w:spacing w:line="360" w:lineRule="auto"/>
              <w:jc w:val="center"/>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投标有效期</w:t>
            </w:r>
          </w:p>
        </w:tc>
        <w:tc>
          <w:tcPr>
            <w:tcW w:w="7584" w:type="dxa"/>
            <w:tcBorders>
              <w:top w:val="single" w:color="auto" w:sz="4" w:space="0"/>
              <w:left w:val="single" w:color="auto" w:sz="4" w:space="0"/>
              <w:bottom w:val="single" w:color="auto" w:sz="4" w:space="0"/>
              <w:right w:val="single" w:color="auto" w:sz="4" w:space="0"/>
            </w:tcBorders>
            <w:shd w:val="clear" w:color="auto" w:fill="auto"/>
            <w:vAlign w:val="center"/>
          </w:tcPr>
          <w:p w14:paraId="077A68EA">
            <w:pPr>
              <w:spacing w:line="360" w:lineRule="auto"/>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投标有效期为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60</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日历天（从投标截止之日算起）。在此期限内，凡符合本谈判文件要求的响应文件均保持有效。</w:t>
            </w:r>
          </w:p>
        </w:tc>
      </w:tr>
      <w:tr w14:paraId="7023D361">
        <w:tblPrEx>
          <w:tblCellMar>
            <w:top w:w="0" w:type="dxa"/>
            <w:left w:w="108" w:type="dxa"/>
            <w:bottom w:w="0" w:type="dxa"/>
            <w:right w:w="108" w:type="dxa"/>
          </w:tblCellMar>
        </w:tblPrEx>
        <w:trPr>
          <w:trHeight w:val="1173" w:hRule="atLeast"/>
          <w:jc w:val="center"/>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29297A1D">
            <w:pPr>
              <w:spacing w:line="360" w:lineRule="auto"/>
              <w:jc w:val="center"/>
              <w:rPr>
                <w:rFonts w:hint="default"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5</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26740680">
            <w:pPr>
              <w:spacing w:line="360" w:lineRule="auto"/>
              <w:jc w:val="center"/>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投标保证金</w:t>
            </w:r>
          </w:p>
        </w:tc>
        <w:tc>
          <w:tcPr>
            <w:tcW w:w="7584" w:type="dxa"/>
            <w:tcBorders>
              <w:top w:val="single" w:color="auto" w:sz="4" w:space="0"/>
              <w:left w:val="single" w:color="auto" w:sz="4" w:space="0"/>
              <w:bottom w:val="single" w:color="auto" w:sz="4" w:space="0"/>
              <w:right w:val="single" w:color="auto" w:sz="4" w:space="0"/>
            </w:tcBorders>
            <w:shd w:val="clear" w:color="auto" w:fill="auto"/>
            <w:vAlign w:val="center"/>
          </w:tcPr>
          <w:p w14:paraId="707B6C12">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一、投标保证金交纳要求：</w:t>
            </w:r>
          </w:p>
          <w:p w14:paraId="610C1CF1">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投标保证金应当以支票、汇票、本票、网上银行支付或者金融机构、担保机构出具的保函等非现金形式缴纳。</w:t>
            </w:r>
          </w:p>
          <w:p w14:paraId="734DB0D3">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default"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投标保证金金额：</w:t>
            </w:r>
            <w:r>
              <w:rPr>
                <w:rFonts w:hint="eastAsia" w:ascii="仿宋" w:hAnsi="仿宋" w:eastAsia="仿宋" w:cs="仿宋"/>
                <w:b/>
                <w:bCs/>
                <w:color w:val="auto"/>
                <w:sz w:val="24"/>
                <w:szCs w:val="24"/>
                <w:highlight w:val="none"/>
                <w:lang w:val="en-US" w:eastAsia="zh-CN"/>
              </w:rPr>
              <w:t>10000.00元     大写：壹万元整</w:t>
            </w:r>
          </w:p>
          <w:p w14:paraId="39E4AAB0">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1、投标保证金以电汇、网银形式提交的，应在投标截止前以总公司的基本账户一次性汇入指定账户（以到账时间为准），不接受现金及任何个人汇款。汇款凭证作为该项目投标保证金的缴纳依据。</w:t>
            </w:r>
          </w:p>
          <w:p w14:paraId="0DB8E6FC">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2、其他特殊情况处理：有效投标保证金成功交纳后，截止开标时间，供应商无正当理由不参加该项目投标且不递交弃标函，投标保证金不予退还。</w:t>
            </w:r>
          </w:p>
          <w:p w14:paraId="6A88F97E">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户名：克孜勒苏柯尔克孜自治州公共资源交易中心</w:t>
            </w:r>
          </w:p>
          <w:p w14:paraId="21A10234">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账号：30456301040005069</w:t>
            </w:r>
          </w:p>
          <w:p w14:paraId="267A2E8C">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行名：中国农业银行阿图什市天山分理处</w:t>
            </w:r>
          </w:p>
          <w:p w14:paraId="7E318EDC">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行号：103893045636</w:t>
            </w:r>
          </w:p>
          <w:p w14:paraId="5002CB0F">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联系人：孙先生</w:t>
            </w:r>
          </w:p>
          <w:p w14:paraId="0B5FED46">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电话：0908-4220265 </w:t>
            </w:r>
          </w:p>
          <w:p w14:paraId="54BFA19E">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（备注：必须写清楚xx公司xx项目保证金）</w:t>
            </w:r>
          </w:p>
          <w:p w14:paraId="2857C146">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二、申请退还投标保证金资料（招投标结束中标结果公示后）：</w:t>
            </w:r>
          </w:p>
          <w:p w14:paraId="492543B8">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1、投标企业：待开标完成后，未中标企业3个工作日内政资中心将收取的项目投标保证金按投标企业基本户退回。</w:t>
            </w:r>
          </w:p>
          <w:p w14:paraId="3A213DC0">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2、中标企业：需提供已签订合同复印件一份，复印件每页需加盖企业鲜章（并携带合同原件，由中心工作人员核对后退还）。</w:t>
            </w:r>
          </w:p>
          <w:p w14:paraId="18E6CA2D">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三、其他特殊情况处理：</w:t>
            </w:r>
          </w:p>
          <w:p w14:paraId="263B8AAC">
            <w:pPr>
              <w:spacing w:line="360" w:lineRule="auto"/>
              <w:rPr>
                <w:rFonts w:hint="eastAsia" w:ascii="仿宋" w:hAnsi="仿宋" w:eastAsia="仿宋" w:cs="仿宋"/>
                <w:b w:val="0"/>
                <w:bCs w:val="0"/>
                <w:color w:val="auto"/>
                <w:sz w:val="24"/>
                <w:szCs w:val="24"/>
                <w:lang w:val="en-US" w:eastAsia="zh-CN" w:bidi="en-US"/>
              </w:rPr>
            </w:pPr>
            <w:r>
              <w:rPr>
                <w:rFonts w:hint="eastAsia" w:ascii="仿宋" w:hAnsi="仿宋" w:eastAsia="仿宋" w:cs="仿宋"/>
                <w:b w:val="0"/>
                <w:bCs w:val="0"/>
                <w:color w:val="auto"/>
                <w:sz w:val="24"/>
                <w:szCs w:val="24"/>
                <w:highlight w:val="none"/>
                <w:lang w:val="en-US" w:eastAsia="zh-CN"/>
              </w:rPr>
              <w:t>1、按照招标文件要求规定：投标企业无正当理由不参加该项目投标且在规定开标时间前不递交弃标函，投标保证金不予退还。</w:t>
            </w:r>
            <w:r>
              <w:rPr>
                <w:rFonts w:hint="eastAsia" w:ascii="仿宋" w:hAnsi="仿宋" w:eastAsia="仿宋" w:cs="仿宋"/>
                <w:color w:val="auto"/>
                <w:sz w:val="24"/>
                <w:szCs w:val="24"/>
                <w:lang w:eastAsia="zh-CN"/>
              </w:rPr>
              <w:t xml:space="preserve"> </w:t>
            </w:r>
            <w:r>
              <w:rPr>
                <w:rFonts w:hint="eastAsia" w:ascii="仿宋" w:hAnsi="仿宋" w:eastAsia="仿宋" w:cs="仿宋"/>
                <w:color w:val="auto"/>
                <w:highlight w:val="none"/>
                <w:lang w:val="en-US" w:eastAsia="zh-CN"/>
              </w:rPr>
              <w:t xml:space="preserve"> </w:t>
            </w:r>
          </w:p>
        </w:tc>
      </w:tr>
      <w:tr w14:paraId="7687C77F">
        <w:tblPrEx>
          <w:tblCellMar>
            <w:top w:w="0" w:type="dxa"/>
            <w:left w:w="108" w:type="dxa"/>
            <w:bottom w:w="0" w:type="dxa"/>
            <w:right w:w="108" w:type="dxa"/>
          </w:tblCellMar>
        </w:tblPrEx>
        <w:trPr>
          <w:trHeight w:val="638" w:hRule="atLeast"/>
          <w:jc w:val="center"/>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2E4BA5BC">
            <w:pPr>
              <w:spacing w:line="360" w:lineRule="auto"/>
              <w:jc w:val="center"/>
              <w:rPr>
                <w:rFonts w:hint="default"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6</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0726E934">
            <w:pPr>
              <w:spacing w:line="360" w:lineRule="auto"/>
              <w:jc w:val="center"/>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是否允许递交备选  投标方案</w:t>
            </w:r>
          </w:p>
        </w:tc>
        <w:tc>
          <w:tcPr>
            <w:tcW w:w="7584" w:type="dxa"/>
            <w:tcBorders>
              <w:top w:val="single" w:color="auto" w:sz="4" w:space="0"/>
              <w:left w:val="single" w:color="auto" w:sz="4" w:space="0"/>
              <w:bottom w:val="single" w:color="auto" w:sz="4" w:space="0"/>
              <w:right w:val="single" w:color="auto" w:sz="4" w:space="0"/>
            </w:tcBorders>
            <w:shd w:val="clear" w:color="auto" w:fill="auto"/>
            <w:vAlign w:val="center"/>
          </w:tcPr>
          <w:p w14:paraId="4E2BBFE1">
            <w:pPr>
              <w:spacing w:line="360" w:lineRule="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eastAsia="zh-CN"/>
              </w:rPr>
              <w:t>不允许</w:t>
            </w:r>
          </w:p>
          <w:p w14:paraId="249CD659">
            <w:pPr>
              <w:spacing w:line="360" w:lineRule="auto"/>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□允  许</w:t>
            </w:r>
          </w:p>
        </w:tc>
      </w:tr>
      <w:tr w14:paraId="386B4EFB">
        <w:tblPrEx>
          <w:tblCellMar>
            <w:top w:w="0" w:type="dxa"/>
            <w:left w:w="108" w:type="dxa"/>
            <w:bottom w:w="0" w:type="dxa"/>
            <w:right w:w="108" w:type="dxa"/>
          </w:tblCellMar>
        </w:tblPrEx>
        <w:trPr>
          <w:trHeight w:val="904" w:hRule="atLeast"/>
          <w:jc w:val="center"/>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7F8C96C5">
            <w:pPr>
              <w:spacing w:line="360" w:lineRule="auto"/>
              <w:jc w:val="center"/>
              <w:rPr>
                <w:rFonts w:hint="default"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7</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02941E14">
            <w:pPr>
              <w:spacing w:line="360" w:lineRule="auto"/>
              <w:jc w:val="center"/>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谈判文件领取</w:t>
            </w:r>
          </w:p>
        </w:tc>
        <w:tc>
          <w:tcPr>
            <w:tcW w:w="7584" w:type="dxa"/>
            <w:tcBorders>
              <w:top w:val="single" w:color="auto" w:sz="4" w:space="0"/>
              <w:left w:val="single" w:color="auto" w:sz="4" w:space="0"/>
              <w:bottom w:val="single" w:color="auto" w:sz="4" w:space="0"/>
              <w:right w:val="single" w:color="auto" w:sz="4" w:space="0"/>
            </w:tcBorders>
            <w:shd w:val="clear" w:color="auto" w:fill="auto"/>
            <w:vAlign w:val="center"/>
          </w:tcPr>
          <w:p w14:paraId="22FE52A9">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时间：</w:t>
            </w:r>
            <w:r>
              <w:rPr>
                <w:rFonts w:hint="eastAsia" w:ascii="仿宋" w:hAnsi="仿宋" w:eastAsia="仿宋" w:cs="仿宋"/>
                <w:color w:val="auto"/>
                <w:sz w:val="24"/>
                <w:szCs w:val="24"/>
                <w:u w:val="none"/>
                <w:lang w:eastAsia="zh-CN"/>
              </w:rPr>
              <w:t>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w:t>
            </w:r>
            <w:r>
              <w:rPr>
                <w:rFonts w:hint="eastAsia" w:ascii="仿宋" w:hAnsi="仿宋" w:eastAsia="仿宋" w:cs="仿宋"/>
                <w:color w:val="auto"/>
                <w:sz w:val="24"/>
                <w:szCs w:val="24"/>
                <w:u w:val="none"/>
                <w:lang w:val="en-US" w:eastAsia="zh-CN"/>
              </w:rPr>
              <w:t>5</w:t>
            </w:r>
            <w:r>
              <w:rPr>
                <w:rFonts w:hint="eastAsia" w:ascii="仿宋" w:hAnsi="仿宋" w:eastAsia="仿宋" w:cs="仿宋"/>
                <w:color w:val="auto"/>
                <w:sz w:val="24"/>
                <w:szCs w:val="24"/>
                <w:u w:val="none"/>
                <w:lang w:eastAsia="zh-CN"/>
              </w:rPr>
              <w:t>月</w:t>
            </w:r>
            <w:r>
              <w:rPr>
                <w:rFonts w:hint="eastAsia" w:ascii="仿宋" w:hAnsi="仿宋" w:eastAsia="仿宋" w:cs="仿宋"/>
                <w:color w:val="auto"/>
                <w:sz w:val="24"/>
                <w:szCs w:val="24"/>
                <w:u w:val="none"/>
                <w:lang w:val="en-US" w:eastAsia="zh-CN"/>
              </w:rPr>
              <w:t>14</w:t>
            </w:r>
            <w:r>
              <w:rPr>
                <w:rFonts w:hint="eastAsia" w:ascii="仿宋" w:hAnsi="仿宋" w:eastAsia="仿宋" w:cs="仿宋"/>
                <w:color w:val="auto"/>
                <w:sz w:val="24"/>
                <w:szCs w:val="24"/>
                <w:u w:val="none"/>
                <w:lang w:eastAsia="zh-CN"/>
              </w:rPr>
              <w:t>日至202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w:t>
            </w:r>
            <w:r>
              <w:rPr>
                <w:rFonts w:hint="eastAsia" w:ascii="仿宋" w:hAnsi="仿宋" w:eastAsia="仿宋" w:cs="仿宋"/>
                <w:color w:val="auto"/>
                <w:sz w:val="24"/>
                <w:szCs w:val="24"/>
                <w:u w:val="none"/>
                <w:lang w:val="en-US" w:eastAsia="zh-CN"/>
              </w:rPr>
              <w:t>5</w:t>
            </w:r>
            <w:r>
              <w:rPr>
                <w:rFonts w:hint="eastAsia" w:ascii="仿宋" w:hAnsi="仿宋" w:eastAsia="仿宋" w:cs="仿宋"/>
                <w:color w:val="auto"/>
                <w:sz w:val="24"/>
                <w:szCs w:val="24"/>
                <w:u w:val="none"/>
                <w:lang w:eastAsia="zh-CN"/>
              </w:rPr>
              <w:t>月</w:t>
            </w:r>
            <w:r>
              <w:rPr>
                <w:rFonts w:hint="eastAsia" w:ascii="仿宋" w:hAnsi="仿宋" w:eastAsia="仿宋" w:cs="仿宋"/>
                <w:color w:val="auto"/>
                <w:sz w:val="24"/>
                <w:szCs w:val="24"/>
                <w:u w:val="none"/>
                <w:lang w:val="en-US" w:eastAsia="zh-CN"/>
              </w:rPr>
              <w:t>18</w:t>
            </w:r>
            <w:r>
              <w:rPr>
                <w:rFonts w:hint="eastAsia" w:ascii="仿宋" w:hAnsi="仿宋" w:eastAsia="仿宋" w:cs="仿宋"/>
                <w:color w:val="auto"/>
                <w:sz w:val="24"/>
                <w:szCs w:val="24"/>
                <w:u w:val="none"/>
                <w:lang w:eastAsia="zh-CN"/>
              </w:rPr>
              <w:t>日，每天上午10:00至</w:t>
            </w:r>
            <w:r>
              <w:rPr>
                <w:rFonts w:hint="eastAsia" w:ascii="仿宋" w:hAnsi="仿宋" w:eastAsia="仿宋" w:cs="仿宋"/>
                <w:color w:val="auto"/>
                <w:sz w:val="24"/>
                <w:szCs w:val="24"/>
                <w:u w:val="none"/>
                <w:lang w:val="en-US" w:eastAsia="zh-CN"/>
              </w:rPr>
              <w:t>14</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00</w:t>
            </w:r>
            <w:r>
              <w:rPr>
                <w:rFonts w:hint="eastAsia" w:ascii="仿宋" w:hAnsi="仿宋" w:eastAsia="仿宋" w:cs="仿宋"/>
                <w:color w:val="auto"/>
                <w:sz w:val="24"/>
                <w:szCs w:val="24"/>
                <w:u w:val="none"/>
                <w:lang w:eastAsia="zh-CN"/>
              </w:rPr>
              <w:t>，下午16:</w:t>
            </w:r>
            <w:r>
              <w:rPr>
                <w:rFonts w:hint="eastAsia" w:ascii="仿宋" w:hAnsi="仿宋" w:eastAsia="仿宋" w:cs="仿宋"/>
                <w:color w:val="auto"/>
                <w:sz w:val="24"/>
                <w:szCs w:val="24"/>
                <w:u w:val="none"/>
                <w:lang w:val="en-US" w:eastAsia="zh-CN"/>
              </w:rPr>
              <w:t>00</w:t>
            </w:r>
            <w:r>
              <w:rPr>
                <w:rFonts w:hint="eastAsia" w:ascii="仿宋" w:hAnsi="仿宋" w:eastAsia="仿宋" w:cs="仿宋"/>
                <w:color w:val="auto"/>
                <w:sz w:val="24"/>
                <w:szCs w:val="24"/>
                <w:u w:val="none"/>
                <w:lang w:eastAsia="zh-CN"/>
              </w:rPr>
              <w:t>至</w:t>
            </w:r>
            <w:r>
              <w:rPr>
                <w:rFonts w:hint="eastAsia" w:ascii="仿宋" w:hAnsi="仿宋" w:eastAsia="仿宋" w:cs="仿宋"/>
                <w:color w:val="auto"/>
                <w:sz w:val="24"/>
                <w:szCs w:val="24"/>
                <w:u w:val="none"/>
                <w:lang w:val="en-US" w:eastAsia="zh-CN"/>
              </w:rPr>
              <w:t>19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30</w:t>
            </w:r>
            <w:r>
              <w:rPr>
                <w:rFonts w:hint="eastAsia" w:ascii="仿宋" w:hAnsi="仿宋" w:eastAsia="仿宋" w:cs="仿宋"/>
                <w:color w:val="auto"/>
                <w:sz w:val="24"/>
                <w:szCs w:val="24"/>
                <w:lang w:eastAsia="zh-CN"/>
              </w:rPr>
              <w:t>（北京时间，节假日除外）</w:t>
            </w:r>
          </w:p>
          <w:p w14:paraId="67AA54C1">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地点：政采云平台线上</w:t>
            </w:r>
          </w:p>
          <w:p w14:paraId="578BCB97">
            <w:pPr>
              <w:spacing w:line="360" w:lineRule="auto"/>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方式：供应商登录政采云平台https://www.zcygov.cn/在线申请获取采购文件（进入“项目采购”应用，在获取采购文件菜单中选择项目，申请获取采购文件）</w:t>
            </w:r>
          </w:p>
        </w:tc>
      </w:tr>
      <w:tr w14:paraId="3C3E9EC8">
        <w:tblPrEx>
          <w:tblCellMar>
            <w:top w:w="0" w:type="dxa"/>
            <w:left w:w="108" w:type="dxa"/>
            <w:bottom w:w="0" w:type="dxa"/>
            <w:right w:w="108" w:type="dxa"/>
          </w:tblCellMar>
        </w:tblPrEx>
        <w:trPr>
          <w:trHeight w:val="90" w:hRule="atLeast"/>
          <w:jc w:val="center"/>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3840F48D">
            <w:pPr>
              <w:spacing w:line="360" w:lineRule="auto"/>
              <w:jc w:val="center"/>
              <w:rPr>
                <w:rFonts w:hint="default"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8</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52E013B5">
            <w:pPr>
              <w:spacing w:line="360" w:lineRule="auto"/>
              <w:jc w:val="center"/>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响应文件形式</w:t>
            </w:r>
          </w:p>
        </w:tc>
        <w:tc>
          <w:tcPr>
            <w:tcW w:w="7584" w:type="dxa"/>
            <w:tcBorders>
              <w:top w:val="single" w:color="auto" w:sz="4" w:space="0"/>
              <w:left w:val="single" w:color="auto" w:sz="4" w:space="0"/>
              <w:bottom w:val="single" w:color="auto" w:sz="4" w:space="0"/>
              <w:right w:val="single" w:color="auto" w:sz="4" w:space="0"/>
            </w:tcBorders>
            <w:shd w:val="clear" w:color="auto" w:fill="auto"/>
            <w:vAlign w:val="center"/>
          </w:tcPr>
          <w:p w14:paraId="2924D8E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电子响应文件包括“电子加密响应文件”和“备份响应文件”，在响应文件编制完成后同时生成。</w:t>
            </w:r>
          </w:p>
          <w:p w14:paraId="38FF21AB">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1、“电子加密响应文件”是指通过“政采云电子交易客户端”完成响应文件编制后生成并加密的数据电文形式的响应文件。</w:t>
            </w:r>
          </w:p>
          <w:p w14:paraId="19464DD6">
            <w:pPr>
              <w:spacing w:line="360" w:lineRule="auto"/>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2、“备份响应文件”是指与“电子加密响应文件”同时生成的数据电文形式的电子文件（备份标书，用于供应商标书解密异常时应急使用），其他方式编制的备份响应文件视为无效备份响应文件。</w:t>
            </w:r>
          </w:p>
        </w:tc>
      </w:tr>
      <w:tr w14:paraId="44DAB0BC">
        <w:tblPrEx>
          <w:tblCellMar>
            <w:top w:w="0" w:type="dxa"/>
            <w:left w:w="108" w:type="dxa"/>
            <w:bottom w:w="0" w:type="dxa"/>
            <w:right w:w="108" w:type="dxa"/>
          </w:tblCellMar>
        </w:tblPrEx>
        <w:trPr>
          <w:trHeight w:val="1576" w:hRule="atLeast"/>
          <w:jc w:val="center"/>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1903D416">
            <w:pPr>
              <w:spacing w:line="360" w:lineRule="auto"/>
              <w:jc w:val="center"/>
              <w:rPr>
                <w:rFonts w:hint="default"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9</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3D3BC2B4">
            <w:pPr>
              <w:spacing w:line="360" w:lineRule="auto"/>
              <w:jc w:val="center"/>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响应文件份数及要求</w:t>
            </w:r>
          </w:p>
        </w:tc>
        <w:tc>
          <w:tcPr>
            <w:tcW w:w="7584" w:type="dxa"/>
            <w:tcBorders>
              <w:top w:val="single" w:color="auto" w:sz="4" w:space="0"/>
              <w:left w:val="single" w:color="auto" w:sz="4" w:space="0"/>
              <w:bottom w:val="single" w:color="auto" w:sz="4" w:space="0"/>
              <w:right w:val="single" w:color="auto" w:sz="4" w:space="0"/>
            </w:tcBorders>
            <w:shd w:val="clear" w:color="auto" w:fill="auto"/>
            <w:vAlign w:val="center"/>
          </w:tcPr>
          <w:p w14:paraId="46B689E3">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1、一份电子加密标书（“.jmbs”格式），一份备份标书文件（“.bfbs”格式）。</w:t>
            </w:r>
          </w:p>
          <w:p w14:paraId="78149CE8">
            <w:pPr>
              <w:spacing w:line="360" w:lineRule="auto"/>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2、每份电子响应文件应包括资格证明文件和商务及技术文件两部分。</w:t>
            </w:r>
          </w:p>
        </w:tc>
      </w:tr>
      <w:tr w14:paraId="42EF5EF5">
        <w:tblPrEx>
          <w:tblCellMar>
            <w:top w:w="0" w:type="dxa"/>
            <w:left w:w="108" w:type="dxa"/>
            <w:bottom w:w="0" w:type="dxa"/>
            <w:right w:w="108" w:type="dxa"/>
          </w:tblCellMar>
        </w:tblPrEx>
        <w:trPr>
          <w:trHeight w:val="1528" w:hRule="atLeast"/>
          <w:jc w:val="center"/>
        </w:trPr>
        <w:tc>
          <w:tcPr>
            <w:tcW w:w="494" w:type="dxa"/>
            <w:vMerge w:val="restart"/>
            <w:tcBorders>
              <w:top w:val="single" w:color="auto" w:sz="4" w:space="0"/>
              <w:left w:val="single" w:color="auto" w:sz="4" w:space="0"/>
              <w:right w:val="single" w:color="auto" w:sz="4" w:space="0"/>
            </w:tcBorders>
            <w:shd w:val="clear" w:color="auto" w:fill="auto"/>
            <w:vAlign w:val="center"/>
          </w:tcPr>
          <w:p w14:paraId="5846CC72">
            <w:pPr>
              <w:spacing w:line="360" w:lineRule="auto"/>
              <w:jc w:val="center"/>
              <w:rPr>
                <w:rFonts w:hint="default"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20</w:t>
            </w:r>
          </w:p>
        </w:tc>
        <w:tc>
          <w:tcPr>
            <w:tcW w:w="1691" w:type="dxa"/>
            <w:vMerge w:val="restart"/>
            <w:tcBorders>
              <w:top w:val="single" w:color="auto" w:sz="4" w:space="0"/>
              <w:left w:val="single" w:color="auto" w:sz="4" w:space="0"/>
              <w:right w:val="single" w:color="auto" w:sz="4" w:space="0"/>
            </w:tcBorders>
            <w:shd w:val="clear" w:color="auto" w:fill="auto"/>
            <w:vAlign w:val="center"/>
          </w:tcPr>
          <w:p w14:paraId="5A08C7D3">
            <w:pPr>
              <w:spacing w:line="360" w:lineRule="auto"/>
              <w:jc w:val="center"/>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响应文件的上传和递交</w:t>
            </w:r>
          </w:p>
        </w:tc>
        <w:tc>
          <w:tcPr>
            <w:tcW w:w="7584" w:type="dxa"/>
            <w:tcBorders>
              <w:top w:val="single" w:color="auto" w:sz="4" w:space="0"/>
              <w:left w:val="single" w:color="auto" w:sz="4" w:space="0"/>
              <w:bottom w:val="single" w:color="auto" w:sz="4" w:space="0"/>
              <w:right w:val="single" w:color="auto" w:sz="4" w:space="0"/>
            </w:tcBorders>
            <w:shd w:val="clear" w:color="auto" w:fill="auto"/>
            <w:vAlign w:val="center"/>
          </w:tcPr>
          <w:p w14:paraId="036BEA26">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1.电子加密响应文件：响应文件制作完成并生成加密标书，在投标截止时间前，供应商需将加密的响应文件上传至政采云平台，在开标时间开始后，待采购组织机构发出解密通知后30分钟内解密响应文件。</w:t>
            </w:r>
          </w:p>
          <w:p w14:paraId="6BC3C531">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a.供应商未能在投标截止时间前成功上传电子加密响应文件的投标无效。</w:t>
            </w:r>
          </w:p>
          <w:p w14:paraId="49E15C2F">
            <w:pPr>
              <w:spacing w:line="360" w:lineRule="auto"/>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b.供应商成功上传电子加密响应文件后，可自行打印响应文件接收回执。</w:t>
            </w:r>
          </w:p>
        </w:tc>
      </w:tr>
      <w:tr w14:paraId="170834AF">
        <w:tblPrEx>
          <w:tblCellMar>
            <w:top w:w="0" w:type="dxa"/>
            <w:left w:w="108" w:type="dxa"/>
            <w:bottom w:w="0" w:type="dxa"/>
            <w:right w:w="108" w:type="dxa"/>
          </w:tblCellMar>
        </w:tblPrEx>
        <w:trPr>
          <w:trHeight w:val="731" w:hRule="atLeast"/>
          <w:jc w:val="center"/>
        </w:trPr>
        <w:tc>
          <w:tcPr>
            <w:tcW w:w="494" w:type="dxa"/>
            <w:vMerge w:val="continue"/>
            <w:tcBorders>
              <w:left w:val="single" w:color="auto" w:sz="4" w:space="0"/>
              <w:right w:val="single" w:color="auto" w:sz="4" w:space="0"/>
            </w:tcBorders>
            <w:vAlign w:val="center"/>
          </w:tcPr>
          <w:p w14:paraId="727AF519">
            <w:pPr>
              <w:spacing w:line="360" w:lineRule="auto"/>
              <w:jc w:val="center"/>
              <w:rPr>
                <w:rFonts w:ascii="仿宋" w:hAnsi="仿宋" w:eastAsia="仿宋" w:cs="仿宋"/>
                <w:color w:val="auto"/>
                <w:sz w:val="24"/>
                <w:szCs w:val="24"/>
                <w:lang w:eastAsia="zh-CN"/>
              </w:rPr>
            </w:pPr>
          </w:p>
        </w:tc>
        <w:tc>
          <w:tcPr>
            <w:tcW w:w="1691" w:type="dxa"/>
            <w:vMerge w:val="continue"/>
            <w:tcBorders>
              <w:left w:val="single" w:color="auto" w:sz="4" w:space="0"/>
              <w:right w:val="single" w:color="auto" w:sz="4" w:space="0"/>
            </w:tcBorders>
            <w:vAlign w:val="center"/>
          </w:tcPr>
          <w:p w14:paraId="08E9FF51">
            <w:pPr>
              <w:spacing w:line="360" w:lineRule="auto"/>
              <w:jc w:val="center"/>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20F90AB3">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2.备份响应文件：供应商在投标截止时间前将加密的响应文件上传至政府采购云平台，还可以在投标截止时间前以电子邮件方式提供备份响应文件1份（接收人邮箱：</w:t>
            </w:r>
            <w:r>
              <w:rPr>
                <w:rFonts w:hint="eastAsia" w:ascii="仿宋" w:hAnsi="仿宋" w:eastAsia="仿宋" w:cs="仿宋"/>
                <w:color w:val="auto"/>
                <w:sz w:val="24"/>
                <w:szCs w:val="24"/>
                <w:lang w:val="en-US" w:eastAsia="zh-CN"/>
              </w:rPr>
              <w:t>923150488</w:t>
            </w:r>
            <w:r>
              <w:rPr>
                <w:rFonts w:hint="eastAsia" w:ascii="仿宋" w:hAnsi="仿宋" w:eastAsia="仿宋" w:cs="仿宋"/>
                <w:color w:val="auto"/>
                <w:sz w:val="24"/>
                <w:szCs w:val="24"/>
                <w:lang w:eastAsia="zh-CN"/>
              </w:rPr>
              <w:t>@qq.com，接收人：段女士，电话：15349977680），“备份响应文件”由供应商自愿提供，谈判文件 不作强制性要求；如不提供或未按要求提供的，当电子响应文件无法解密时，将导致无备份响应文件而失去投标资格。</w:t>
            </w:r>
          </w:p>
          <w:p w14:paraId="397BA94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a.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p w14:paraId="5DA2ABB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b.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14:paraId="02B10A0F">
        <w:tblPrEx>
          <w:tblCellMar>
            <w:top w:w="0" w:type="dxa"/>
            <w:left w:w="108" w:type="dxa"/>
            <w:bottom w:w="0" w:type="dxa"/>
            <w:right w:w="108" w:type="dxa"/>
          </w:tblCellMar>
        </w:tblPrEx>
        <w:trPr>
          <w:trHeight w:val="156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B405BD7">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1691" w:type="dxa"/>
            <w:tcBorders>
              <w:top w:val="single" w:color="auto" w:sz="4" w:space="0"/>
              <w:left w:val="single" w:color="auto" w:sz="4" w:space="0"/>
              <w:bottom w:val="single" w:color="auto" w:sz="4" w:space="0"/>
              <w:right w:val="single" w:color="auto" w:sz="4" w:space="0"/>
            </w:tcBorders>
            <w:vAlign w:val="center"/>
          </w:tcPr>
          <w:p w14:paraId="0CD4845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评标委员会的组建</w:t>
            </w:r>
          </w:p>
        </w:tc>
        <w:tc>
          <w:tcPr>
            <w:tcW w:w="7584" w:type="dxa"/>
            <w:tcBorders>
              <w:top w:val="single" w:color="auto" w:sz="4" w:space="0"/>
              <w:left w:val="single" w:color="auto" w:sz="4" w:space="0"/>
              <w:bottom w:val="single" w:color="auto" w:sz="4" w:space="0"/>
              <w:right w:val="single" w:color="auto" w:sz="4" w:space="0"/>
            </w:tcBorders>
            <w:vAlign w:val="center"/>
          </w:tcPr>
          <w:p w14:paraId="0D7362AE">
            <w:pPr>
              <w:spacing w:line="360" w:lineRule="auto"/>
              <w:rPr>
                <w:rFonts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评标委员会由招标人依法组建；</w:t>
            </w:r>
          </w:p>
          <w:p w14:paraId="0DD6FD32">
            <w:pPr>
              <w:spacing w:line="360" w:lineRule="auto"/>
              <w:rPr>
                <w:rFonts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评标专家确定方式：专家评委由招标人（采购代理机构）在开标前</w:t>
            </w:r>
            <w:r>
              <w:rPr>
                <w:rFonts w:hint="eastAsia" w:ascii="仿宋" w:hAnsi="仿宋" w:eastAsia="仿宋" w:cs="仿宋"/>
                <w:color w:val="auto"/>
                <w:sz w:val="24"/>
                <w:szCs w:val="24"/>
                <w:lang w:val="en-US" w:eastAsia="zh-CN"/>
              </w:rPr>
              <w:t>48小时内</w:t>
            </w:r>
            <w:r>
              <w:rPr>
                <w:rFonts w:hint="eastAsia" w:ascii="仿宋" w:hAnsi="仿宋" w:eastAsia="仿宋" w:cs="仿宋"/>
                <w:color w:val="auto"/>
                <w:sz w:val="24"/>
                <w:szCs w:val="24"/>
                <w:lang w:val="zh-CN" w:eastAsia="zh-CN"/>
              </w:rPr>
              <w:t>从政采云专家库中随机抽取。</w:t>
            </w:r>
          </w:p>
        </w:tc>
      </w:tr>
      <w:tr w14:paraId="488C1744">
        <w:tblPrEx>
          <w:tblCellMar>
            <w:top w:w="0" w:type="dxa"/>
            <w:left w:w="108" w:type="dxa"/>
            <w:bottom w:w="0" w:type="dxa"/>
            <w:right w:w="108" w:type="dxa"/>
          </w:tblCellMar>
        </w:tblPrEx>
        <w:trPr>
          <w:trHeight w:val="7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7C652F6">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6DD3EFA2">
            <w:pPr>
              <w:spacing w:line="360" w:lineRule="auto"/>
              <w:jc w:val="center"/>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递交响应文件地点</w:t>
            </w:r>
          </w:p>
        </w:tc>
        <w:tc>
          <w:tcPr>
            <w:tcW w:w="7584" w:type="dxa"/>
            <w:tcBorders>
              <w:top w:val="single" w:color="auto" w:sz="4" w:space="0"/>
              <w:left w:val="single" w:color="auto" w:sz="4" w:space="0"/>
              <w:bottom w:val="single" w:color="auto" w:sz="4" w:space="0"/>
              <w:right w:val="single" w:color="auto" w:sz="4" w:space="0"/>
            </w:tcBorders>
            <w:shd w:val="clear" w:color="auto" w:fill="auto"/>
            <w:vAlign w:val="center"/>
          </w:tcPr>
          <w:p w14:paraId="2E0B2E0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u w:val="none"/>
                <w:lang w:eastAsia="zh-CN"/>
              </w:rPr>
              <w:t>月</w:t>
            </w:r>
            <w:r>
              <w:rPr>
                <w:rFonts w:hint="eastAsia" w:ascii="仿宋" w:hAnsi="仿宋" w:eastAsia="仿宋" w:cs="仿宋"/>
                <w:color w:val="auto"/>
                <w:sz w:val="24"/>
                <w:szCs w:val="24"/>
                <w:u w:val="none"/>
                <w:lang w:val="en-US" w:eastAsia="zh-CN"/>
              </w:rPr>
              <w:t>25</w:t>
            </w:r>
            <w:r>
              <w:rPr>
                <w:rFonts w:hint="eastAsia" w:ascii="仿宋" w:hAnsi="仿宋" w:eastAsia="仿宋" w:cs="仿宋"/>
                <w:color w:val="auto"/>
                <w:sz w:val="24"/>
                <w:szCs w:val="24"/>
                <w:lang w:eastAsia="zh-CN"/>
              </w:rPr>
              <w:t>日上午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eastAsia="zh-CN"/>
              </w:rPr>
              <w:t>分（北京时间）</w:t>
            </w:r>
          </w:p>
          <w:p w14:paraId="32A3AE86">
            <w:pPr>
              <w:spacing w:line="360" w:lineRule="auto"/>
              <w:rPr>
                <w:rFonts w:ascii="仿宋" w:hAnsi="仿宋" w:eastAsia="仿宋" w:cs="仿宋"/>
                <w:color w:val="auto"/>
                <w:sz w:val="24"/>
                <w:szCs w:val="24"/>
                <w:lang w:val="zh-CN" w:eastAsia="zh-CN" w:bidi="en-US"/>
              </w:rPr>
            </w:pPr>
            <w:r>
              <w:rPr>
                <w:rFonts w:hint="eastAsia" w:ascii="仿宋" w:hAnsi="仿宋" w:eastAsia="仿宋" w:cs="仿宋"/>
                <w:color w:val="auto"/>
                <w:sz w:val="24"/>
                <w:szCs w:val="24"/>
                <w:lang w:eastAsia="zh-CN"/>
              </w:rPr>
              <w:t>投标地点：新疆政府采购云平台（www.zcygov.cn）</w:t>
            </w:r>
          </w:p>
        </w:tc>
      </w:tr>
      <w:tr w14:paraId="4C466BA3">
        <w:tblPrEx>
          <w:tblCellMar>
            <w:top w:w="0" w:type="dxa"/>
            <w:left w:w="108" w:type="dxa"/>
            <w:bottom w:w="0" w:type="dxa"/>
            <w:right w:w="108" w:type="dxa"/>
          </w:tblCellMar>
        </w:tblPrEx>
        <w:trPr>
          <w:trHeight w:val="117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ABD27A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3</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0B56FF51">
            <w:pPr>
              <w:spacing w:line="360" w:lineRule="auto"/>
              <w:jc w:val="center"/>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开标时间和地点</w:t>
            </w:r>
          </w:p>
        </w:tc>
        <w:tc>
          <w:tcPr>
            <w:tcW w:w="7584" w:type="dxa"/>
            <w:tcBorders>
              <w:top w:val="single" w:color="auto" w:sz="4" w:space="0"/>
              <w:left w:val="single" w:color="auto" w:sz="4" w:space="0"/>
              <w:bottom w:val="single" w:color="auto" w:sz="4" w:space="0"/>
              <w:right w:val="single" w:color="auto" w:sz="4" w:space="0"/>
            </w:tcBorders>
            <w:shd w:val="clear" w:color="auto" w:fill="auto"/>
            <w:vAlign w:val="center"/>
          </w:tcPr>
          <w:p w14:paraId="2339BF61">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开标时间：202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u w:val="none"/>
                <w:lang w:val="en-US" w:eastAsia="zh-CN"/>
              </w:rPr>
              <w:t>5</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lang w:eastAsia="zh-CN"/>
              </w:rPr>
              <w:t>日上午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eastAsia="zh-CN"/>
              </w:rPr>
              <w:t>分（北京时间）</w:t>
            </w:r>
          </w:p>
          <w:p w14:paraId="5C0B8D0B">
            <w:pPr>
              <w:spacing w:line="360" w:lineRule="auto"/>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 xml:space="preserve">开标地点：新疆政府采购云平台（www.zcygov.cn）         </w:t>
            </w:r>
          </w:p>
        </w:tc>
      </w:tr>
      <w:tr w14:paraId="1187359A">
        <w:tblPrEx>
          <w:tblCellMar>
            <w:top w:w="0" w:type="dxa"/>
            <w:left w:w="108" w:type="dxa"/>
            <w:bottom w:w="0" w:type="dxa"/>
            <w:right w:w="108" w:type="dxa"/>
          </w:tblCellMar>
        </w:tblPrEx>
        <w:trPr>
          <w:trHeight w:val="38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EF5A2B9">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p>
        </w:tc>
        <w:tc>
          <w:tcPr>
            <w:tcW w:w="1691" w:type="dxa"/>
            <w:tcBorders>
              <w:top w:val="single" w:color="auto" w:sz="4" w:space="0"/>
              <w:left w:val="single" w:color="auto" w:sz="4" w:space="0"/>
              <w:bottom w:val="single" w:color="auto" w:sz="4" w:space="0"/>
              <w:right w:val="single" w:color="auto" w:sz="4" w:space="0"/>
            </w:tcBorders>
            <w:shd w:val="clear" w:color="auto" w:fill="auto"/>
            <w:vAlign w:val="center"/>
          </w:tcPr>
          <w:p w14:paraId="4BD95314">
            <w:pPr>
              <w:spacing w:line="360" w:lineRule="auto"/>
              <w:jc w:val="center"/>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重要说明</w:t>
            </w:r>
          </w:p>
        </w:tc>
        <w:tc>
          <w:tcPr>
            <w:tcW w:w="7584" w:type="dxa"/>
            <w:tcBorders>
              <w:top w:val="single" w:color="auto" w:sz="4" w:space="0"/>
              <w:left w:val="single" w:color="auto" w:sz="4" w:space="0"/>
              <w:bottom w:val="single" w:color="auto" w:sz="4" w:space="0"/>
              <w:right w:val="single" w:color="auto" w:sz="4" w:space="0"/>
            </w:tcBorders>
            <w:shd w:val="clear" w:color="auto" w:fill="auto"/>
            <w:vAlign w:val="center"/>
          </w:tcPr>
          <w:p w14:paraId="6F70A155">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1.本项目采用全流程不见面电子开评标，投标供应商需要使用CA加密设备，供应商可通过新疆数字证书认证中心官网（https://www.xjca.com.cn/）或下载“新疆政务通”APP自行进行申领。</w:t>
            </w:r>
          </w:p>
          <w:p w14:paraId="1F60B6E0">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2.本项目实行网上投标，采用加密电子响应文件(供应商须使用CA加密设备通过政采云电子投标客户端制作响应文件)。若供应商参与投标，自行承担投标一切费用。</w:t>
            </w:r>
          </w:p>
          <w:p w14:paraId="140E7FB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3.各供应商在开标前应确保成为新疆维吾尔自治区政府采购网正式注册入库供应商，</w:t>
            </w:r>
            <w:r>
              <w:rPr>
                <w:rFonts w:hint="eastAsia" w:ascii="仿宋" w:hAnsi="仿宋" w:eastAsia="仿宋" w:cs="仿宋"/>
                <w:color w:val="auto"/>
                <w:sz w:val="24"/>
                <w:szCs w:val="24"/>
                <w:lang w:val="en-US" w:eastAsia="zh-CN"/>
              </w:rPr>
              <w:t>(已在政采云平台其他省份入驻的供应商无须重复注册），</w:t>
            </w:r>
            <w:r>
              <w:rPr>
                <w:rFonts w:hint="eastAsia" w:ascii="仿宋" w:hAnsi="仿宋" w:eastAsia="仿宋" w:cs="仿宋"/>
                <w:color w:val="auto"/>
                <w:sz w:val="24"/>
                <w:szCs w:val="24"/>
                <w:lang w:eastAsia="zh-CN"/>
              </w:rPr>
              <w:t>并完成CA数字证书申领。因未注册入库、未办理CA数字证书等原因造成无法投标或投标失败等后果由供应商自行承担。</w:t>
            </w:r>
          </w:p>
          <w:p w14:paraId="1208897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14:paraId="59A32DB6">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5.供应商在开标时须使用制作加密电子响应文件所使用的CA锁及电脑，电脑须提前配置好浏览器（建议使用谷歌浏览器），以便开标时解锁。</w:t>
            </w:r>
          </w:p>
          <w:p w14:paraId="3767936E">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4F7149F5">
            <w:pPr>
              <w:spacing w:line="360" w:lineRule="auto"/>
              <w:rPr>
                <w:rFonts w:ascii="仿宋" w:hAnsi="仿宋" w:eastAsia="仿宋" w:cs="仿宋"/>
                <w:color w:val="auto"/>
                <w:sz w:val="24"/>
                <w:szCs w:val="24"/>
                <w:lang w:val="en-US" w:eastAsia="zh-CN" w:bidi="en-US"/>
              </w:rPr>
            </w:pPr>
            <w:r>
              <w:rPr>
                <w:rFonts w:hint="eastAsia" w:ascii="仿宋" w:hAnsi="仿宋" w:eastAsia="仿宋" w:cs="仿宋"/>
                <w:color w:val="auto"/>
                <w:sz w:val="24"/>
                <w:szCs w:val="24"/>
                <w:lang w:eastAsia="zh-CN"/>
              </w:rPr>
              <w:t>7.为了保证开评标顺利进行，政采云线上开标功能完全实现，供应商开标所使用的电脑设备须具有视频及语音功能。</w:t>
            </w:r>
          </w:p>
        </w:tc>
      </w:tr>
      <w:tr w14:paraId="4F0DB3C6">
        <w:tblPrEx>
          <w:tblCellMar>
            <w:top w:w="0" w:type="dxa"/>
            <w:left w:w="108" w:type="dxa"/>
            <w:bottom w:w="0" w:type="dxa"/>
            <w:right w:w="108" w:type="dxa"/>
          </w:tblCellMar>
        </w:tblPrEx>
        <w:trPr>
          <w:trHeight w:val="710" w:hRule="atLeast"/>
          <w:jc w:val="center"/>
        </w:trPr>
        <w:tc>
          <w:tcPr>
            <w:tcW w:w="494" w:type="dxa"/>
            <w:tcBorders>
              <w:left w:val="single" w:color="auto" w:sz="4" w:space="0"/>
              <w:bottom w:val="single" w:color="auto" w:sz="4" w:space="0"/>
              <w:right w:val="single" w:color="auto" w:sz="4" w:space="0"/>
            </w:tcBorders>
            <w:vAlign w:val="center"/>
          </w:tcPr>
          <w:p w14:paraId="7743484A">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1691" w:type="dxa"/>
            <w:tcBorders>
              <w:left w:val="single" w:color="auto" w:sz="4" w:space="0"/>
              <w:bottom w:val="single" w:color="auto" w:sz="4" w:space="0"/>
              <w:right w:val="single" w:color="auto" w:sz="4" w:space="0"/>
            </w:tcBorders>
            <w:vAlign w:val="center"/>
          </w:tcPr>
          <w:p w14:paraId="09D42EF2">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4662286B">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1、电子招投标情况说明：</w:t>
            </w:r>
          </w:p>
          <w:p w14:paraId="74995ACC">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（1）电子招投标：本项目以数据电文形式，依托“政府采购云平台（www.zcygov.cn）”进行招投标活动。</w:t>
            </w:r>
          </w:p>
          <w:p w14:paraId="03B9F7F5">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3E36B580">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（3）谈判文件的获取：使用账号登录或者短信验证码或者使用CA登录政采云平台；进入“项目采购”应用，在获取谈判文件 菜单中选择项目，获取谈判文件 。</w:t>
            </w:r>
          </w:p>
          <w:p w14:paraId="79837B61">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（4）响应文件的制作：在“政采云电子交易客户端”中完成“填写基本信息”、“导入响应文件”、“标书关联”、“标书检查”、“电子签名”、“生成电子标书”等操作。</w:t>
            </w:r>
          </w:p>
          <w:p w14:paraId="2860CD65">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（5）响应文件的解密：供应商按照平台提示和谈判文件 的规定在半小时内完成在线解密。通过“政府采购云平台”上传递交的响应文件无法按时解密，投标供应商提供了备份响应文件的，以备份响应文件为依据，否则视为响应文件撤回。通过“政府采购云平台”上传递交的响应文件已按时解密的，备份响应文件自动失效。供应商仅提供备份响应文件，没有在电子交易平台传输递交响应文件的，投标无效。</w:t>
            </w:r>
          </w:p>
          <w:p w14:paraId="3389C52C">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）具体操作指南：详见政采云平台“服务中心-帮助文档-项目采购-操作流程-电子招投标-政府采购项目电子交易管理操作指南-供应商”。</w:t>
            </w:r>
          </w:p>
          <w:p w14:paraId="2A2F190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）供应商在进行上述操作时，如遇技术问题可登录政采云（https://</w:t>
            </w:r>
            <w:r>
              <w:rPr>
                <w:color w:val="auto"/>
                <w:sz w:val="24"/>
                <w:szCs w:val="24"/>
              </w:rPr>
              <w:fldChar w:fldCharType="begin"/>
            </w:r>
            <w:r>
              <w:rPr>
                <w:color w:val="auto"/>
                <w:sz w:val="24"/>
                <w:szCs w:val="24"/>
              </w:rPr>
              <w:instrText xml:space="preserve"> HYPERLINK "http://www.zcygov.cn/" \h </w:instrText>
            </w:r>
            <w:r>
              <w:rPr>
                <w:color w:val="auto"/>
                <w:sz w:val="24"/>
                <w:szCs w:val="24"/>
              </w:rPr>
              <w:fldChar w:fldCharType="separate"/>
            </w:r>
            <w:r>
              <w:rPr>
                <w:rFonts w:hint="eastAsia" w:ascii="仿宋" w:hAnsi="仿宋" w:eastAsia="仿宋" w:cs="仿宋"/>
                <w:color w:val="auto"/>
                <w:sz w:val="24"/>
                <w:szCs w:val="24"/>
                <w:lang w:eastAsia="zh-CN"/>
              </w:rPr>
              <w:t>www.zcygov.cn/</w:t>
            </w:r>
            <w:r>
              <w:rPr>
                <w:rFonts w:hint="eastAsia" w:ascii="仿宋" w:hAnsi="仿宋" w:eastAsia="仿宋" w:cs="仿宋"/>
                <w:color w:val="auto"/>
                <w:sz w:val="24"/>
                <w:szCs w:val="24"/>
                <w:lang w:eastAsia="zh-CN"/>
              </w:rPr>
              <w:fldChar w:fldCharType="end"/>
            </w:r>
            <w:r>
              <w:rPr>
                <w:rFonts w:hint="eastAsia" w:ascii="仿宋" w:hAnsi="仿宋" w:eastAsia="仿宋" w:cs="仿宋"/>
                <w:color w:val="auto"/>
                <w:sz w:val="24"/>
                <w:szCs w:val="24"/>
                <w:lang w:eastAsia="zh-CN"/>
              </w:rPr>
              <w:t>），点击右侧咨询小采，获取采小蜜智能服务管家帮助，或拨打政采云服务热线 95763 获取热线服务帮助。</w:t>
            </w:r>
          </w:p>
          <w:p w14:paraId="7B935CE3">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温馨提醒：供应商应提前上传，以便在上传时遇到技术问题，有充足的时间请教平台的技术人员。</w:t>
            </w:r>
          </w:p>
          <w:p w14:paraId="796FFE7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2、供应商认为谈判文件使自己的权益受到损害的，可以自收到谈判文件之日（谈判文件公告期限届满之前收到谈判文件的，以完成获取谈判文件 申请后下载谈判文件的时间为准）或者谈判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谈判文件 或逾期提出的不予受理、答复。</w:t>
            </w:r>
          </w:p>
        </w:tc>
      </w:tr>
      <w:tr w14:paraId="571E2671">
        <w:tblPrEx>
          <w:tblCellMar>
            <w:top w:w="0" w:type="dxa"/>
            <w:left w:w="108" w:type="dxa"/>
            <w:bottom w:w="0" w:type="dxa"/>
            <w:right w:w="108" w:type="dxa"/>
          </w:tblCellMar>
        </w:tblPrEx>
        <w:trPr>
          <w:trHeight w:val="71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318EC16">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p>
        </w:tc>
        <w:tc>
          <w:tcPr>
            <w:tcW w:w="1691" w:type="dxa"/>
            <w:tcBorders>
              <w:top w:val="single" w:color="auto" w:sz="4" w:space="0"/>
              <w:left w:val="single" w:color="auto" w:sz="4" w:space="0"/>
              <w:bottom w:val="single" w:color="auto" w:sz="4" w:space="0"/>
              <w:right w:val="single" w:color="auto" w:sz="4" w:space="0"/>
            </w:tcBorders>
            <w:vAlign w:val="center"/>
          </w:tcPr>
          <w:p w14:paraId="2F1DC71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中标候选人公示媒介</w:t>
            </w:r>
          </w:p>
        </w:tc>
        <w:tc>
          <w:tcPr>
            <w:tcW w:w="7584" w:type="dxa"/>
            <w:tcBorders>
              <w:top w:val="single" w:color="auto" w:sz="4" w:space="0"/>
              <w:left w:val="single" w:color="auto" w:sz="4" w:space="0"/>
              <w:bottom w:val="single" w:color="auto" w:sz="4" w:space="0"/>
              <w:right w:val="single" w:color="auto" w:sz="4" w:space="0"/>
            </w:tcBorders>
            <w:vAlign w:val="center"/>
          </w:tcPr>
          <w:p w14:paraId="391ACA9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新疆政府采购网、克州公共资源交易网，公示期为一个工作日。</w:t>
            </w:r>
          </w:p>
        </w:tc>
      </w:tr>
      <w:tr w14:paraId="03D6811F">
        <w:tblPrEx>
          <w:tblCellMar>
            <w:top w:w="0" w:type="dxa"/>
            <w:left w:w="108" w:type="dxa"/>
            <w:bottom w:w="0" w:type="dxa"/>
            <w:right w:w="108" w:type="dxa"/>
          </w:tblCellMar>
        </w:tblPrEx>
        <w:trPr>
          <w:trHeight w:val="41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18C4E20">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4BF271AB">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招标代理服务费</w:t>
            </w:r>
          </w:p>
        </w:tc>
      </w:tr>
      <w:tr w14:paraId="6A6A1365">
        <w:tblPrEx>
          <w:tblCellMar>
            <w:top w:w="0" w:type="dxa"/>
            <w:left w:w="108" w:type="dxa"/>
            <w:bottom w:w="0" w:type="dxa"/>
            <w:right w:w="108" w:type="dxa"/>
          </w:tblCellMar>
        </w:tblPrEx>
        <w:trPr>
          <w:trHeight w:val="65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DC4FAF7">
            <w:pPr>
              <w:spacing w:line="360" w:lineRule="auto"/>
              <w:rPr>
                <w:rFonts w:ascii="仿宋" w:hAnsi="仿宋" w:eastAsia="仿宋" w:cs="仿宋"/>
                <w:color w:val="auto"/>
                <w:sz w:val="24"/>
                <w:szCs w:val="24"/>
                <w:lang w:eastAsia="zh-CN"/>
              </w:rPr>
            </w:pP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42FFF1BE">
            <w:pPr>
              <w:spacing w:line="360" w:lineRule="auto"/>
              <w:rPr>
                <w:rFonts w:ascii="仿宋" w:hAnsi="仿宋" w:eastAsia="仿宋" w:cs="仿宋"/>
                <w:color w:val="auto"/>
                <w:sz w:val="24"/>
                <w:szCs w:val="24"/>
                <w:lang w:eastAsia="zh-CN"/>
              </w:rPr>
            </w:pPr>
            <w:r>
              <w:rPr>
                <w:rFonts w:hint="eastAsia" w:ascii="仿宋" w:hAnsi="仿宋" w:eastAsia="仿宋" w:cs="仿宋"/>
                <w:color w:val="auto"/>
                <w:spacing w:val="0"/>
                <w:sz w:val="24"/>
                <w:szCs w:val="24"/>
                <w:highlight w:val="none"/>
                <w:lang w:eastAsia="zh-CN"/>
              </w:rPr>
              <w:t>采购代理服务费由</w:t>
            </w:r>
            <w:r>
              <w:rPr>
                <w:rFonts w:hint="eastAsia" w:ascii="仿宋" w:hAnsi="仿宋" w:eastAsia="仿宋" w:cs="仿宋"/>
                <w:color w:val="auto"/>
                <w:spacing w:val="0"/>
                <w:sz w:val="24"/>
                <w:szCs w:val="24"/>
                <w:highlight w:val="none"/>
                <w:lang w:val="en-US" w:eastAsia="zh-CN"/>
              </w:rPr>
              <w:t>成交供应商在领取中标通知书时</w:t>
            </w:r>
            <w:r>
              <w:rPr>
                <w:rFonts w:hint="eastAsia" w:ascii="仿宋" w:hAnsi="仿宋" w:eastAsia="仿宋" w:cs="仿宋"/>
                <w:color w:val="auto"/>
                <w:spacing w:val="0"/>
                <w:sz w:val="24"/>
                <w:szCs w:val="24"/>
                <w:highlight w:val="none"/>
                <w:lang w:eastAsia="zh-CN"/>
              </w:rPr>
              <w:t>向采购代理机构支付，按新建招协【</w:t>
            </w:r>
            <w:r>
              <w:rPr>
                <w:rFonts w:hint="eastAsia" w:ascii="仿宋" w:hAnsi="仿宋" w:eastAsia="仿宋" w:cs="仿宋"/>
                <w:color w:val="auto"/>
                <w:spacing w:val="0"/>
                <w:sz w:val="24"/>
                <w:szCs w:val="24"/>
                <w:highlight w:val="none"/>
                <w:lang w:val="en-US" w:eastAsia="zh-CN"/>
              </w:rPr>
              <w:t>2024】4号</w:t>
            </w:r>
            <w:r>
              <w:rPr>
                <w:rFonts w:hint="eastAsia" w:ascii="仿宋" w:hAnsi="仿宋" w:eastAsia="仿宋" w:cs="仿宋"/>
                <w:color w:val="auto"/>
                <w:spacing w:val="0"/>
                <w:sz w:val="24"/>
                <w:szCs w:val="24"/>
                <w:highlight w:val="none"/>
                <w:lang w:eastAsia="zh-CN"/>
              </w:rPr>
              <w:t>计算的招标代理服务收费标准，由成交供应商向采购代理机构缴纳。</w:t>
            </w:r>
            <w:r>
              <w:rPr>
                <w:rFonts w:hint="eastAsia" w:ascii="仿宋" w:hAnsi="仿宋" w:eastAsia="仿宋" w:cs="仿宋"/>
                <w:color w:val="auto"/>
                <w:sz w:val="24"/>
                <w:szCs w:val="24"/>
                <w:highlight w:val="none"/>
                <w:lang w:eastAsia="zh-CN"/>
              </w:rPr>
              <w:t>招标代理费在成交通知书发放之日前由成交人缴纳。</w:t>
            </w:r>
          </w:p>
        </w:tc>
      </w:tr>
      <w:tr w14:paraId="1FE2FE41">
        <w:tblPrEx>
          <w:tblCellMar>
            <w:top w:w="0" w:type="dxa"/>
            <w:left w:w="108" w:type="dxa"/>
            <w:bottom w:w="0" w:type="dxa"/>
            <w:right w:w="108" w:type="dxa"/>
          </w:tblCellMar>
        </w:tblPrEx>
        <w:trPr>
          <w:trHeight w:val="84" w:hRule="atLeast"/>
          <w:jc w:val="center"/>
        </w:trPr>
        <w:tc>
          <w:tcPr>
            <w:tcW w:w="494" w:type="dxa"/>
            <w:vMerge w:val="restart"/>
            <w:tcBorders>
              <w:top w:val="single" w:color="auto" w:sz="4" w:space="0"/>
              <w:left w:val="single" w:color="auto" w:sz="4" w:space="0"/>
              <w:right w:val="single" w:color="auto" w:sz="4" w:space="0"/>
            </w:tcBorders>
            <w:vAlign w:val="center"/>
          </w:tcPr>
          <w:p w14:paraId="7E27440A">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7</w:t>
            </w: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4D01B5F9">
            <w:pPr>
              <w:spacing w:line="360" w:lineRule="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评标办法：本项目采用最低评标价法</w:t>
            </w:r>
          </w:p>
        </w:tc>
      </w:tr>
      <w:tr w14:paraId="219398CE">
        <w:tblPrEx>
          <w:tblCellMar>
            <w:top w:w="0" w:type="dxa"/>
            <w:left w:w="108" w:type="dxa"/>
            <w:bottom w:w="0" w:type="dxa"/>
            <w:right w:w="108" w:type="dxa"/>
          </w:tblCellMar>
        </w:tblPrEx>
        <w:trPr>
          <w:trHeight w:val="84" w:hRule="atLeast"/>
          <w:jc w:val="center"/>
        </w:trPr>
        <w:tc>
          <w:tcPr>
            <w:tcW w:w="494" w:type="dxa"/>
            <w:vMerge w:val="continue"/>
            <w:tcBorders>
              <w:left w:val="single" w:color="auto" w:sz="4" w:space="0"/>
              <w:bottom w:val="single" w:color="auto" w:sz="4" w:space="0"/>
              <w:right w:val="single" w:color="auto" w:sz="4" w:space="0"/>
            </w:tcBorders>
            <w:vAlign w:val="center"/>
          </w:tcPr>
          <w:p w14:paraId="440DD97E">
            <w:pPr>
              <w:spacing w:line="360" w:lineRule="auto"/>
              <w:jc w:val="center"/>
              <w:rPr>
                <w:rFonts w:hint="eastAsia" w:ascii="仿宋" w:hAnsi="仿宋" w:eastAsia="仿宋" w:cs="仿宋"/>
                <w:color w:val="auto"/>
                <w:sz w:val="24"/>
                <w:szCs w:val="24"/>
                <w:lang w:eastAsia="zh-CN"/>
              </w:rPr>
            </w:pP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15FD390A">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依据财库〔2026〕2号《关于推动解决政府采购异常低价问题的通知》</w:t>
            </w:r>
          </w:p>
          <w:p w14:paraId="2F9ECD00">
            <w:pPr>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为强化政府采购异常低价审查，在此次政府采购评审中出现下列情形之一的，评审委员会应当启动异常低价投标（响应）审查程序：</w:t>
            </w:r>
          </w:p>
          <w:p w14:paraId="6A433065">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1.投标（响应）报价低于全部通过符合性审查供应商投标（响应）报价平均值50%的，即投标（响应）报价&lt;全部通过符合性审查供应商投标（响应）报价平均值×50%；</w:t>
            </w:r>
          </w:p>
          <w:p w14:paraId="5A9E873D">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2.投标（响应）报价低于通过符合性审查的次低报价供应商投标（响应）报价50%的，即投标（响应）报价&lt;通过符合性审查的次低报价供应商投标（响应）报价×50%；</w:t>
            </w:r>
          </w:p>
          <w:p w14:paraId="24EB717F">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3.投标（响应）报价低于采购项目最高限价45%的，即投标（响应）报价&lt;采购项目最高限价×45%；</w:t>
            </w:r>
          </w:p>
          <w:p w14:paraId="46F074A7">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4.评审委员会基于专业判断，认为供应商报价过低，有可能影响产品质量或者不能诚信履约的其他情形。</w:t>
            </w:r>
          </w:p>
        </w:tc>
      </w:tr>
      <w:tr w14:paraId="12236FD9">
        <w:tblPrEx>
          <w:tblCellMar>
            <w:top w:w="0" w:type="dxa"/>
            <w:left w:w="108" w:type="dxa"/>
            <w:bottom w:w="0" w:type="dxa"/>
            <w:right w:w="108" w:type="dxa"/>
          </w:tblCellMar>
        </w:tblPrEx>
        <w:trPr>
          <w:trHeight w:val="8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7837273">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8</w:t>
            </w: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0F4B734C">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不管投标结果如何，投标人均应承担自己投标所需一切费用。</w:t>
            </w:r>
          </w:p>
        </w:tc>
      </w:tr>
      <w:tr w14:paraId="2127F185">
        <w:tblPrEx>
          <w:tblCellMar>
            <w:top w:w="0" w:type="dxa"/>
            <w:left w:w="108" w:type="dxa"/>
            <w:bottom w:w="0" w:type="dxa"/>
            <w:right w:w="108" w:type="dxa"/>
          </w:tblCellMar>
        </w:tblPrEx>
        <w:trPr>
          <w:trHeight w:val="8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2CAB3AA">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9</w:t>
            </w: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079A6788">
            <w:pPr>
              <w:spacing w:line="360" w:lineRule="auto"/>
              <w:rPr>
                <w:rFonts w:hint="default" w:ascii="仿宋" w:hAnsi="仿宋" w:eastAsia="仿宋" w:cs="仿宋"/>
                <w:color w:val="auto"/>
                <w:sz w:val="24"/>
                <w:szCs w:val="24"/>
                <w:lang w:val="en-US" w:eastAsia="zh-CN"/>
              </w:rPr>
            </w:pPr>
            <w:r>
              <w:rPr>
                <w:rFonts w:hint="eastAsia" w:ascii="仿宋" w:hAnsi="仿宋" w:eastAsia="仿宋" w:cs="仿宋"/>
                <w:b/>
                <w:bCs/>
                <w:color w:val="auto"/>
                <w:highlight w:val="none"/>
                <w:lang w:eastAsia="zh-CN"/>
              </w:rPr>
              <w:t>本次招标最高限价：</w:t>
            </w:r>
            <w:r>
              <w:rPr>
                <w:rFonts w:hint="eastAsia" w:ascii="仿宋" w:hAnsi="仿宋" w:eastAsia="仿宋" w:cs="仿宋"/>
                <w:b/>
                <w:bCs/>
                <w:color w:val="auto"/>
                <w:highlight w:val="none"/>
                <w:u w:val="single"/>
                <w:lang w:val="en-US" w:eastAsia="zh-CN"/>
              </w:rPr>
              <w:t>700000.00元</w:t>
            </w:r>
            <w:r>
              <w:rPr>
                <w:rFonts w:hint="eastAsia" w:ascii="仿宋" w:hAnsi="仿宋" w:eastAsia="仿宋" w:cs="仿宋"/>
                <w:b/>
                <w:bCs/>
                <w:color w:val="auto"/>
                <w:highlight w:val="none"/>
                <w:u w:val="none"/>
                <w:lang w:val="en-US" w:eastAsia="zh-CN"/>
              </w:rPr>
              <w:t>，</w:t>
            </w:r>
            <w:r>
              <w:rPr>
                <w:rFonts w:hint="eastAsia" w:ascii="仿宋" w:hAnsi="仿宋" w:eastAsia="仿宋" w:cs="仿宋"/>
                <w:b/>
                <w:bCs/>
                <w:color w:val="auto"/>
                <w:highlight w:val="none"/>
                <w:lang w:eastAsia="zh-CN"/>
              </w:rPr>
              <w:t>投标总报价超过最高限价的按无效标处理。</w:t>
            </w:r>
          </w:p>
        </w:tc>
      </w:tr>
      <w:tr w14:paraId="6160899F">
        <w:tblPrEx>
          <w:tblCellMar>
            <w:top w:w="0" w:type="dxa"/>
            <w:left w:w="108" w:type="dxa"/>
            <w:bottom w:w="0" w:type="dxa"/>
            <w:right w:w="108" w:type="dxa"/>
          </w:tblCellMar>
        </w:tblPrEx>
        <w:trPr>
          <w:trHeight w:val="90" w:hRule="atLeast"/>
          <w:jc w:val="center"/>
        </w:trPr>
        <w:tc>
          <w:tcPr>
            <w:tcW w:w="494" w:type="dxa"/>
            <w:vMerge w:val="restart"/>
            <w:tcBorders>
              <w:top w:val="single" w:color="auto" w:sz="4" w:space="0"/>
              <w:left w:val="single" w:color="auto" w:sz="4" w:space="0"/>
              <w:right w:val="single" w:color="auto" w:sz="4" w:space="0"/>
            </w:tcBorders>
            <w:vAlign w:val="center"/>
          </w:tcPr>
          <w:p w14:paraId="6A73A0E4">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1691" w:type="dxa"/>
            <w:vMerge w:val="restart"/>
            <w:tcBorders>
              <w:top w:val="single" w:color="auto" w:sz="4" w:space="0"/>
              <w:left w:val="single" w:color="auto" w:sz="4" w:space="0"/>
              <w:right w:val="single" w:color="auto" w:sz="4" w:space="0"/>
            </w:tcBorders>
            <w:vAlign w:val="center"/>
          </w:tcPr>
          <w:p w14:paraId="346A3316">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rPr>
              <w:t>中小微企业政策文件</w:t>
            </w:r>
          </w:p>
        </w:tc>
        <w:tc>
          <w:tcPr>
            <w:tcW w:w="7584" w:type="dxa"/>
            <w:tcBorders>
              <w:top w:val="single" w:color="auto" w:sz="4" w:space="0"/>
              <w:left w:val="single" w:color="auto" w:sz="4" w:space="0"/>
              <w:bottom w:val="single" w:color="auto" w:sz="4" w:space="0"/>
              <w:right w:val="single" w:color="auto" w:sz="4" w:space="0"/>
            </w:tcBorders>
            <w:vAlign w:val="center"/>
          </w:tcPr>
          <w:p w14:paraId="0E7100A2">
            <w:pPr>
              <w:spacing w:line="360" w:lineRule="auto"/>
              <w:rPr>
                <w:rFonts w:ascii="仿宋" w:hAnsi="仿宋" w:eastAsia="仿宋" w:cs="仿宋"/>
                <w:color w:val="auto"/>
                <w:sz w:val="24"/>
                <w:szCs w:val="24"/>
                <w:lang w:eastAsia="zh-CN"/>
              </w:rPr>
            </w:pPr>
            <w:r>
              <w:rPr>
                <w:rFonts w:hint="eastAsia" w:ascii="仿宋" w:hAnsi="仿宋" w:eastAsia="仿宋" w:cs="仿宋"/>
                <w:color w:val="auto"/>
                <w:highlight w:val="none"/>
                <w:lang w:eastAsia="zh-CN"/>
              </w:rPr>
              <w:t>（1）根据财政部、工业和信息化部关于印发《政府采购促进中小企业发展管理办法》的通知（财库[2020]46号）和（财库[2022]19号），</w:t>
            </w:r>
            <w:r>
              <w:rPr>
                <w:rFonts w:hint="eastAsia" w:ascii="仿宋" w:hAnsi="仿宋" w:eastAsia="仿宋" w:cs="仿宋"/>
                <w:b/>
                <w:bCs/>
                <w:color w:val="auto"/>
                <w:highlight w:val="none"/>
                <w:lang w:eastAsia="zh-CN"/>
              </w:rPr>
              <w:t>供应商所投产品的制造商属于《工业和信息化部、国家统计局、国家发展和改革委员会、财政部关于印发中小企业划型标准规定的通知》（工信部联企业[2011]300号）中规定的小型、微型企业标准的，按</w:t>
            </w:r>
            <w:r>
              <w:rPr>
                <w:rFonts w:hint="eastAsia" w:ascii="仿宋" w:hAnsi="仿宋" w:eastAsia="仿宋" w:cs="仿宋"/>
                <w:b/>
                <w:bCs/>
                <w:color w:val="auto"/>
                <w:highlight w:val="none"/>
                <w:lang w:val="en-US" w:eastAsia="zh-CN"/>
              </w:rPr>
              <w:t>谈判</w:t>
            </w:r>
            <w:r>
              <w:rPr>
                <w:rFonts w:hint="eastAsia" w:ascii="仿宋" w:hAnsi="仿宋" w:eastAsia="仿宋" w:cs="仿宋"/>
                <w:b/>
                <w:bCs/>
                <w:color w:val="auto"/>
                <w:highlight w:val="none"/>
                <w:lang w:eastAsia="zh-CN"/>
              </w:rPr>
              <w:t>文件格式提供《中小企业声明函》</w:t>
            </w:r>
            <w:r>
              <w:rPr>
                <w:rFonts w:hint="eastAsia" w:ascii="仿宋" w:hAnsi="仿宋" w:eastAsia="仿宋" w:cs="仿宋"/>
                <w:color w:val="auto"/>
                <w:highlight w:val="none"/>
                <w:lang w:eastAsia="zh-CN"/>
              </w:rPr>
              <w:t>。</w:t>
            </w:r>
          </w:p>
        </w:tc>
      </w:tr>
      <w:tr w14:paraId="78F59C41">
        <w:tblPrEx>
          <w:tblCellMar>
            <w:top w:w="0" w:type="dxa"/>
            <w:left w:w="108" w:type="dxa"/>
            <w:bottom w:w="0" w:type="dxa"/>
            <w:right w:w="108" w:type="dxa"/>
          </w:tblCellMar>
        </w:tblPrEx>
        <w:trPr>
          <w:trHeight w:val="84" w:hRule="atLeast"/>
          <w:jc w:val="center"/>
        </w:trPr>
        <w:tc>
          <w:tcPr>
            <w:tcW w:w="494" w:type="dxa"/>
            <w:vMerge w:val="continue"/>
            <w:tcBorders>
              <w:left w:val="single" w:color="auto" w:sz="4" w:space="0"/>
              <w:right w:val="single" w:color="auto" w:sz="4" w:space="0"/>
            </w:tcBorders>
            <w:vAlign w:val="center"/>
          </w:tcPr>
          <w:p w14:paraId="15D7599C">
            <w:pPr>
              <w:spacing w:line="360" w:lineRule="auto"/>
              <w:jc w:val="center"/>
              <w:rPr>
                <w:rFonts w:ascii="仿宋" w:hAnsi="仿宋" w:eastAsia="仿宋" w:cs="仿宋"/>
                <w:color w:val="auto"/>
                <w:sz w:val="24"/>
                <w:szCs w:val="24"/>
                <w:lang w:eastAsia="zh-CN"/>
              </w:rPr>
            </w:pPr>
          </w:p>
        </w:tc>
        <w:tc>
          <w:tcPr>
            <w:tcW w:w="1691" w:type="dxa"/>
            <w:vMerge w:val="continue"/>
            <w:tcBorders>
              <w:left w:val="single" w:color="auto" w:sz="4" w:space="0"/>
              <w:right w:val="single" w:color="auto" w:sz="4" w:space="0"/>
            </w:tcBorders>
            <w:vAlign w:val="center"/>
          </w:tcPr>
          <w:p w14:paraId="0924A1EE">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7FFF2B2B">
            <w:pPr>
              <w:spacing w:line="360" w:lineRule="auto"/>
              <w:rPr>
                <w:rFonts w:ascii="仿宋" w:hAnsi="仿宋" w:eastAsia="仿宋" w:cs="仿宋"/>
                <w:color w:val="auto"/>
                <w:sz w:val="24"/>
                <w:szCs w:val="24"/>
                <w:lang w:eastAsia="zh-CN"/>
              </w:rPr>
            </w:pPr>
            <w:r>
              <w:rPr>
                <w:rFonts w:hint="eastAsia" w:ascii="仿宋" w:hAnsi="仿宋" w:eastAsia="仿宋" w:cs="仿宋"/>
                <w:color w:val="auto"/>
                <w:highlight w:val="none"/>
                <w:lang w:eastAsia="zh-CN"/>
              </w:rPr>
              <w:t>（2）根据财政部、司令部《关于政府采购支持监狱企业发展有关问题》的通知财库[2014]68号，监狱企业参加本项目投标时，应当提供由省级以上监狱管理局、戒毒管理局（新疆生产建设兵团）出具的属于</w:t>
            </w:r>
            <w:r>
              <w:rPr>
                <w:rFonts w:hint="eastAsia" w:ascii="仿宋" w:hAnsi="仿宋" w:eastAsia="仿宋" w:cs="仿宋"/>
                <w:b w:val="0"/>
                <w:bCs w:val="0"/>
                <w:color w:val="auto"/>
                <w:highlight w:val="none"/>
                <w:lang w:eastAsia="zh-CN"/>
              </w:rPr>
              <w:t>监狱企业的证明文件。</w:t>
            </w:r>
            <w:r>
              <w:rPr>
                <w:rFonts w:hint="eastAsia" w:ascii="仿宋" w:hAnsi="仿宋" w:eastAsia="仿宋" w:cs="仿宋"/>
                <w:color w:val="auto"/>
                <w:highlight w:val="none"/>
                <w:lang w:eastAsia="zh-CN"/>
              </w:rPr>
              <w:t>监狱企业视同小型、微型企业。</w:t>
            </w:r>
          </w:p>
        </w:tc>
      </w:tr>
      <w:tr w14:paraId="7C057B93">
        <w:tblPrEx>
          <w:tblCellMar>
            <w:top w:w="0" w:type="dxa"/>
            <w:left w:w="108" w:type="dxa"/>
            <w:bottom w:w="0" w:type="dxa"/>
            <w:right w:w="108" w:type="dxa"/>
          </w:tblCellMar>
        </w:tblPrEx>
        <w:trPr>
          <w:trHeight w:val="84" w:hRule="atLeast"/>
          <w:jc w:val="center"/>
        </w:trPr>
        <w:tc>
          <w:tcPr>
            <w:tcW w:w="494" w:type="dxa"/>
            <w:vMerge w:val="continue"/>
            <w:tcBorders>
              <w:left w:val="single" w:color="auto" w:sz="4" w:space="0"/>
              <w:right w:val="single" w:color="auto" w:sz="4" w:space="0"/>
            </w:tcBorders>
            <w:vAlign w:val="center"/>
          </w:tcPr>
          <w:p w14:paraId="3ECAECAE">
            <w:pPr>
              <w:spacing w:line="360" w:lineRule="auto"/>
              <w:jc w:val="center"/>
              <w:rPr>
                <w:rFonts w:ascii="仿宋" w:hAnsi="仿宋" w:eastAsia="仿宋" w:cs="仿宋"/>
                <w:color w:val="auto"/>
                <w:sz w:val="24"/>
                <w:szCs w:val="24"/>
                <w:lang w:eastAsia="zh-CN"/>
              </w:rPr>
            </w:pPr>
          </w:p>
        </w:tc>
        <w:tc>
          <w:tcPr>
            <w:tcW w:w="1691" w:type="dxa"/>
            <w:vMerge w:val="continue"/>
            <w:tcBorders>
              <w:left w:val="single" w:color="auto" w:sz="4" w:space="0"/>
              <w:bottom w:val="single" w:color="auto" w:sz="4" w:space="0"/>
              <w:right w:val="single" w:color="auto" w:sz="4" w:space="0"/>
            </w:tcBorders>
            <w:vAlign w:val="center"/>
          </w:tcPr>
          <w:p w14:paraId="71A2C74D">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0382B9CD">
            <w:pPr>
              <w:spacing w:line="360" w:lineRule="auto"/>
              <w:rPr>
                <w:rFonts w:ascii="仿宋" w:hAnsi="仿宋" w:eastAsia="仿宋" w:cs="仿宋"/>
                <w:color w:val="auto"/>
                <w:sz w:val="24"/>
                <w:szCs w:val="24"/>
              </w:rPr>
            </w:pPr>
            <w:r>
              <w:rPr>
                <w:rFonts w:hint="eastAsia" w:ascii="仿宋" w:hAnsi="仿宋" w:eastAsia="仿宋" w:cs="仿宋"/>
                <w:color w:val="auto"/>
                <w:highlight w:val="none"/>
                <w:lang w:eastAsia="zh-CN"/>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14:paraId="44BC30E5">
        <w:tblPrEx>
          <w:tblCellMar>
            <w:top w:w="0" w:type="dxa"/>
            <w:left w:w="108" w:type="dxa"/>
            <w:bottom w:w="0" w:type="dxa"/>
            <w:right w:w="108" w:type="dxa"/>
          </w:tblCellMar>
        </w:tblPrEx>
        <w:trPr>
          <w:trHeight w:val="452" w:hRule="atLeast"/>
          <w:jc w:val="center"/>
        </w:trPr>
        <w:tc>
          <w:tcPr>
            <w:tcW w:w="494" w:type="dxa"/>
            <w:vMerge w:val="continue"/>
            <w:tcBorders>
              <w:left w:val="single" w:color="auto" w:sz="4" w:space="0"/>
              <w:right w:val="single" w:color="auto" w:sz="4" w:space="0"/>
            </w:tcBorders>
            <w:vAlign w:val="center"/>
          </w:tcPr>
          <w:p w14:paraId="3A91DFBB">
            <w:pPr>
              <w:spacing w:line="360" w:lineRule="auto"/>
              <w:jc w:val="center"/>
              <w:rPr>
                <w:rFonts w:ascii="仿宋" w:hAnsi="仿宋" w:eastAsia="仿宋" w:cs="仿宋"/>
                <w:color w:val="auto"/>
                <w:sz w:val="24"/>
                <w:szCs w:val="24"/>
                <w:lang w:eastAsia="zh-CN"/>
              </w:rPr>
            </w:pPr>
          </w:p>
        </w:tc>
        <w:tc>
          <w:tcPr>
            <w:tcW w:w="1691" w:type="dxa"/>
            <w:vMerge w:val="restart"/>
            <w:tcBorders>
              <w:left w:val="single" w:color="auto" w:sz="4" w:space="0"/>
              <w:right w:val="single" w:color="auto" w:sz="4" w:space="0"/>
            </w:tcBorders>
            <w:vAlign w:val="center"/>
          </w:tcPr>
          <w:p w14:paraId="5B96C0CF">
            <w:pPr>
              <w:spacing w:line="360" w:lineRule="auto"/>
              <w:jc w:val="center"/>
              <w:rPr>
                <w:rFonts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中小微企业政策文件说明</w:t>
            </w:r>
          </w:p>
        </w:tc>
        <w:tc>
          <w:tcPr>
            <w:tcW w:w="7584" w:type="dxa"/>
            <w:tcBorders>
              <w:top w:val="single" w:color="auto" w:sz="4" w:space="0"/>
              <w:left w:val="single" w:color="auto" w:sz="4" w:space="0"/>
              <w:bottom w:val="single" w:color="auto" w:sz="4" w:space="0"/>
              <w:right w:val="single" w:color="auto" w:sz="4" w:space="0"/>
            </w:tcBorders>
            <w:vAlign w:val="center"/>
          </w:tcPr>
          <w:p w14:paraId="097A41A9">
            <w:pPr>
              <w:numPr>
                <w:ilvl w:val="0"/>
                <w:numId w:val="0"/>
              </w:numPr>
              <w:kinsoku/>
              <w:bidi w:val="0"/>
              <w:spacing w:line="400" w:lineRule="exact"/>
              <w:rPr>
                <w:rFonts w:hint="eastAsia" w:ascii="仿宋" w:hAnsi="仿宋" w:eastAsia="仿宋" w:cs="仿宋"/>
                <w:color w:val="auto"/>
                <w:sz w:val="24"/>
                <w:szCs w:val="24"/>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）本项目为专门面向中小企业采购的项目，不再执行价格评审优惠的扶持政策。</w:t>
            </w:r>
          </w:p>
        </w:tc>
      </w:tr>
      <w:tr w14:paraId="44F7BFE8">
        <w:tblPrEx>
          <w:tblCellMar>
            <w:top w:w="0" w:type="dxa"/>
            <w:left w:w="108" w:type="dxa"/>
            <w:bottom w:w="0" w:type="dxa"/>
            <w:right w:w="108" w:type="dxa"/>
          </w:tblCellMar>
        </w:tblPrEx>
        <w:trPr>
          <w:trHeight w:val="525" w:hRule="atLeast"/>
          <w:jc w:val="center"/>
        </w:trPr>
        <w:tc>
          <w:tcPr>
            <w:tcW w:w="494" w:type="dxa"/>
            <w:vMerge w:val="continue"/>
            <w:tcBorders>
              <w:left w:val="single" w:color="auto" w:sz="4" w:space="0"/>
              <w:right w:val="single" w:color="auto" w:sz="4" w:space="0"/>
            </w:tcBorders>
            <w:vAlign w:val="center"/>
          </w:tcPr>
          <w:p w14:paraId="6500CE60">
            <w:pPr>
              <w:spacing w:line="360" w:lineRule="auto"/>
              <w:jc w:val="center"/>
              <w:rPr>
                <w:rFonts w:hint="default" w:ascii="仿宋" w:hAnsi="仿宋" w:eastAsia="仿宋" w:cs="仿宋"/>
                <w:color w:val="auto"/>
                <w:sz w:val="24"/>
                <w:szCs w:val="24"/>
                <w:lang w:val="en-US" w:eastAsia="zh-CN"/>
              </w:rPr>
            </w:pPr>
          </w:p>
        </w:tc>
        <w:tc>
          <w:tcPr>
            <w:tcW w:w="1691" w:type="dxa"/>
            <w:vMerge w:val="continue"/>
            <w:tcBorders>
              <w:left w:val="single" w:color="auto" w:sz="4" w:space="0"/>
              <w:right w:val="single" w:color="auto" w:sz="4" w:space="0"/>
            </w:tcBorders>
            <w:vAlign w:val="center"/>
          </w:tcPr>
          <w:p w14:paraId="4D8EE2F2">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20169632">
            <w:pPr>
              <w:spacing w:line="360" w:lineRule="auto"/>
              <w:rPr>
                <w:rFonts w:hint="eastAsia" w:ascii="仿宋" w:hAnsi="仿宋" w:eastAsia="仿宋" w:cs="仿宋"/>
                <w:b/>
                <w:bCs/>
                <w:color w:val="auto"/>
                <w:sz w:val="24"/>
                <w:szCs w:val="24"/>
              </w:rPr>
            </w:pPr>
            <w:r>
              <w:rPr>
                <w:rFonts w:hint="eastAsia" w:ascii="仿宋" w:hAnsi="仿宋" w:eastAsia="仿宋" w:cs="仿宋"/>
                <w:color w:val="auto"/>
                <w:highlight w:val="none"/>
                <w:lang w:val="en-US" w:eastAsia="zh-CN"/>
              </w:rPr>
              <w:t>（2）不符合上述适用情形的供应商无需提供上述声明函件。</w:t>
            </w:r>
          </w:p>
        </w:tc>
      </w:tr>
      <w:tr w14:paraId="14839977">
        <w:tblPrEx>
          <w:tblCellMar>
            <w:top w:w="0" w:type="dxa"/>
            <w:left w:w="108" w:type="dxa"/>
            <w:bottom w:w="0" w:type="dxa"/>
            <w:right w:w="108" w:type="dxa"/>
          </w:tblCellMar>
        </w:tblPrEx>
        <w:trPr>
          <w:trHeight w:val="507" w:hRule="atLeast"/>
          <w:jc w:val="center"/>
        </w:trPr>
        <w:tc>
          <w:tcPr>
            <w:tcW w:w="494" w:type="dxa"/>
            <w:vMerge w:val="continue"/>
            <w:tcBorders>
              <w:left w:val="single" w:color="auto" w:sz="4" w:space="0"/>
              <w:right w:val="single" w:color="auto" w:sz="4" w:space="0"/>
            </w:tcBorders>
            <w:vAlign w:val="center"/>
          </w:tcPr>
          <w:p w14:paraId="45490EC4">
            <w:pPr>
              <w:spacing w:line="360" w:lineRule="auto"/>
              <w:jc w:val="center"/>
              <w:rPr>
                <w:rFonts w:ascii="仿宋" w:hAnsi="仿宋" w:eastAsia="仿宋" w:cs="仿宋"/>
                <w:color w:val="auto"/>
                <w:sz w:val="24"/>
                <w:szCs w:val="24"/>
                <w:lang w:eastAsia="zh-CN"/>
              </w:rPr>
            </w:pPr>
          </w:p>
        </w:tc>
        <w:tc>
          <w:tcPr>
            <w:tcW w:w="1691" w:type="dxa"/>
            <w:vMerge w:val="continue"/>
            <w:tcBorders>
              <w:left w:val="single" w:color="auto" w:sz="4" w:space="0"/>
              <w:right w:val="single" w:color="auto" w:sz="4" w:space="0"/>
            </w:tcBorders>
            <w:vAlign w:val="center"/>
          </w:tcPr>
          <w:p w14:paraId="2FFEB2CE">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46B8DEC5">
            <w:pPr>
              <w:spacing w:line="360" w:lineRule="auto"/>
              <w:rPr>
                <w:rFonts w:hint="eastAsia" w:ascii="仿宋" w:hAnsi="仿宋" w:eastAsia="仿宋" w:cs="仿宋"/>
                <w:b/>
                <w:bCs/>
                <w:color w:val="auto"/>
                <w:sz w:val="24"/>
                <w:szCs w:val="24"/>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）本项目所属行业：</w:t>
            </w:r>
            <w:r>
              <w:rPr>
                <w:rFonts w:hint="eastAsia" w:ascii="仿宋" w:hAnsi="仿宋" w:eastAsia="仿宋" w:cs="仿宋"/>
                <w:b/>
                <w:bCs/>
                <w:color w:val="auto"/>
                <w:highlight w:val="none"/>
                <w:u w:val="single"/>
                <w:lang w:val="en-US" w:eastAsia="zh-CN"/>
              </w:rPr>
              <w:t>工业</w:t>
            </w:r>
            <w:r>
              <w:rPr>
                <w:rFonts w:hint="eastAsia" w:ascii="仿宋" w:hAnsi="仿宋" w:eastAsia="仿宋" w:cs="仿宋"/>
                <w:b/>
                <w:bCs/>
                <w:color w:val="auto"/>
                <w:highlight w:val="none"/>
                <w:lang w:val="en-US" w:eastAsia="zh-CN"/>
              </w:rPr>
              <w:t>。</w:t>
            </w:r>
          </w:p>
        </w:tc>
      </w:tr>
      <w:tr w14:paraId="4BE97ED4">
        <w:tblPrEx>
          <w:tblCellMar>
            <w:top w:w="0" w:type="dxa"/>
            <w:left w:w="108" w:type="dxa"/>
            <w:bottom w:w="0" w:type="dxa"/>
            <w:right w:w="108" w:type="dxa"/>
          </w:tblCellMar>
        </w:tblPrEx>
        <w:trPr>
          <w:trHeight w:val="740" w:hRule="atLeast"/>
          <w:jc w:val="center"/>
        </w:trPr>
        <w:tc>
          <w:tcPr>
            <w:tcW w:w="494" w:type="dxa"/>
            <w:vMerge w:val="continue"/>
            <w:tcBorders>
              <w:left w:val="single" w:color="auto" w:sz="4" w:space="0"/>
              <w:right w:val="single" w:color="auto" w:sz="4" w:space="0"/>
            </w:tcBorders>
            <w:vAlign w:val="center"/>
          </w:tcPr>
          <w:p w14:paraId="18EE050F">
            <w:pPr>
              <w:spacing w:line="360" w:lineRule="auto"/>
              <w:jc w:val="center"/>
              <w:rPr>
                <w:rFonts w:ascii="仿宋" w:hAnsi="仿宋" w:eastAsia="仿宋" w:cs="仿宋"/>
                <w:color w:val="auto"/>
                <w:sz w:val="24"/>
                <w:szCs w:val="24"/>
                <w:lang w:eastAsia="zh-CN"/>
              </w:rPr>
            </w:pPr>
          </w:p>
        </w:tc>
        <w:tc>
          <w:tcPr>
            <w:tcW w:w="1691" w:type="dxa"/>
            <w:vMerge w:val="continue"/>
            <w:tcBorders>
              <w:left w:val="single" w:color="auto" w:sz="4" w:space="0"/>
              <w:bottom w:val="single" w:color="auto" w:sz="4" w:space="0"/>
              <w:right w:val="single" w:color="auto" w:sz="4" w:space="0"/>
            </w:tcBorders>
            <w:vAlign w:val="center"/>
          </w:tcPr>
          <w:p w14:paraId="15F6D982">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4A0F6A66">
            <w:pPr>
              <w:spacing w:line="360" w:lineRule="auto"/>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着重提醒：投标供应商在提供《中小企业声明函》时，必须将谈判文件采购标的物全部列入《中小企业声明函》内，否则不专门面向的不享受中小企业优惠政策，专门面向中小企业的作废标处理。</w:t>
            </w:r>
          </w:p>
        </w:tc>
      </w:tr>
      <w:tr w14:paraId="5FCC3086">
        <w:tblPrEx>
          <w:tblCellMar>
            <w:top w:w="0" w:type="dxa"/>
            <w:left w:w="108" w:type="dxa"/>
            <w:bottom w:w="0" w:type="dxa"/>
            <w:right w:w="108" w:type="dxa"/>
          </w:tblCellMar>
        </w:tblPrEx>
        <w:trPr>
          <w:trHeight w:val="740" w:hRule="atLeast"/>
          <w:jc w:val="center"/>
        </w:trPr>
        <w:tc>
          <w:tcPr>
            <w:tcW w:w="494" w:type="dxa"/>
            <w:vMerge w:val="continue"/>
            <w:tcBorders>
              <w:left w:val="single" w:color="auto" w:sz="4" w:space="0"/>
              <w:bottom w:val="single" w:color="auto" w:sz="4" w:space="0"/>
              <w:right w:val="single" w:color="auto" w:sz="4" w:space="0"/>
            </w:tcBorders>
            <w:vAlign w:val="center"/>
          </w:tcPr>
          <w:p w14:paraId="08C3B2B4">
            <w:pPr>
              <w:spacing w:line="360" w:lineRule="auto"/>
              <w:jc w:val="center"/>
              <w:rPr>
                <w:rFonts w:ascii="仿宋" w:hAnsi="仿宋" w:eastAsia="仿宋" w:cs="仿宋"/>
                <w:color w:val="auto"/>
                <w:sz w:val="24"/>
                <w:szCs w:val="24"/>
                <w:lang w:eastAsia="zh-CN"/>
              </w:rPr>
            </w:pPr>
          </w:p>
        </w:tc>
        <w:tc>
          <w:tcPr>
            <w:tcW w:w="1691" w:type="dxa"/>
            <w:tcBorders>
              <w:left w:val="single" w:color="auto" w:sz="4" w:space="0"/>
              <w:bottom w:val="single" w:color="auto" w:sz="4" w:space="0"/>
              <w:right w:val="single" w:color="auto" w:sz="4" w:space="0"/>
            </w:tcBorders>
            <w:vAlign w:val="center"/>
          </w:tcPr>
          <w:p w14:paraId="5186CAE2">
            <w:pPr>
              <w:spacing w:line="360" w:lineRule="auto"/>
              <w:rPr>
                <w:rFonts w:ascii="仿宋" w:hAnsi="仿宋" w:eastAsia="仿宋" w:cs="仿宋"/>
                <w:color w:val="auto"/>
                <w:sz w:val="24"/>
                <w:szCs w:val="24"/>
                <w:lang w:eastAsia="zh-CN"/>
              </w:rPr>
            </w:pPr>
            <w:r>
              <w:rPr>
                <w:rFonts w:ascii="仿宋" w:hAnsi="仿宋" w:eastAsia="仿宋" w:cs="仿宋"/>
                <w:color w:val="auto"/>
                <w:sz w:val="24"/>
                <w:szCs w:val="24"/>
                <w:lang w:eastAsia="zh-CN"/>
              </w:rPr>
              <w:t>政府采购中实施本国产品标准及相关政策</w:t>
            </w:r>
          </w:p>
        </w:tc>
        <w:tc>
          <w:tcPr>
            <w:tcW w:w="7584" w:type="dxa"/>
            <w:tcBorders>
              <w:top w:val="single" w:color="auto" w:sz="4" w:space="0"/>
              <w:left w:val="single" w:color="auto" w:sz="4" w:space="0"/>
              <w:bottom w:val="single" w:color="auto" w:sz="4" w:space="0"/>
              <w:right w:val="single" w:color="auto" w:sz="4" w:space="0"/>
            </w:tcBorders>
            <w:vAlign w:val="center"/>
          </w:tcPr>
          <w:p w14:paraId="7FC85E9D">
            <w:pPr>
              <w:spacing w:line="360" w:lineRule="auto"/>
              <w:rPr>
                <w:rFonts w:hint="eastAsia" w:ascii="仿宋" w:hAnsi="仿宋" w:eastAsia="仿宋" w:cs="仿宋"/>
                <w:b/>
                <w:bCs/>
                <w:color w:val="auto"/>
                <w:highlight w:val="none"/>
                <w:lang w:eastAsia="zh-CN"/>
              </w:rPr>
            </w:pPr>
            <w:r>
              <w:rPr>
                <w:rFonts w:hint="eastAsia" w:ascii="仿宋" w:hAnsi="仿宋" w:eastAsia="仿宋" w:cs="仿宋"/>
                <w:color w:val="auto"/>
                <w:highlight w:val="none"/>
                <w:lang w:val="en-US" w:eastAsia="zh-CN"/>
              </w:rPr>
              <w:t>（1）</w:t>
            </w:r>
            <w:r>
              <w:rPr>
                <w:rFonts w:hint="eastAsia" w:ascii="仿宋" w:hAnsi="仿宋" w:eastAsia="仿宋" w:cs="仿宋"/>
                <w:b w:val="0"/>
                <w:bCs w:val="0"/>
                <w:color w:val="auto"/>
                <w:highlight w:val="none"/>
                <w:lang w:val="en-US" w:eastAsia="zh-CN"/>
              </w:rPr>
              <w:t>根据国务院办公厅国办发〔2025〕34号《国务院办公厅关于在政府采购中实施本国产品标准及相关政策的通知》相关要求，</w:t>
            </w:r>
            <w:r>
              <w:rPr>
                <w:rFonts w:hint="eastAsia" w:ascii="仿宋" w:hAnsi="仿宋" w:eastAsia="仿宋" w:cs="仿宋"/>
                <w:b/>
                <w:bCs/>
                <w:color w:val="auto"/>
                <w:highlight w:val="none"/>
                <w:lang w:eastAsia="zh-CN"/>
              </w:rPr>
              <w:t>按招标文件格式提供《关于符合本国产品标准的声明函》；</w:t>
            </w:r>
          </w:p>
          <w:p w14:paraId="6264069F">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5C8FCC2">
            <w:pPr>
              <w:spacing w:line="360" w:lineRule="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着重提醒：投标供应商必须将招标文件采购标的物全部列入《</w:t>
            </w:r>
            <w:r>
              <w:rPr>
                <w:rFonts w:hint="eastAsia" w:ascii="仿宋" w:hAnsi="仿宋" w:eastAsia="仿宋" w:cs="仿宋"/>
                <w:b/>
                <w:bCs/>
                <w:color w:val="auto"/>
                <w:highlight w:val="none"/>
                <w:lang w:eastAsia="zh-CN"/>
              </w:rPr>
              <w:t>关于符合本国产品标准的声明函</w:t>
            </w:r>
            <w:r>
              <w:rPr>
                <w:rFonts w:hint="eastAsia" w:ascii="仿宋" w:hAnsi="仿宋" w:eastAsia="仿宋" w:cs="仿宋"/>
                <w:b/>
                <w:bCs/>
                <w:color w:val="auto"/>
                <w:highlight w:val="none"/>
                <w:lang w:val="en-US" w:eastAsia="zh-CN"/>
              </w:rPr>
              <w:t>》，否则不享受对本国产品的政府采购支持政策。</w:t>
            </w:r>
          </w:p>
        </w:tc>
      </w:tr>
      <w:tr w14:paraId="384292A3">
        <w:tblPrEx>
          <w:tblCellMar>
            <w:top w:w="0" w:type="dxa"/>
            <w:left w:w="108" w:type="dxa"/>
            <w:bottom w:w="0" w:type="dxa"/>
            <w:right w:w="108" w:type="dxa"/>
          </w:tblCellMar>
        </w:tblPrEx>
        <w:trPr>
          <w:trHeight w:val="558"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AC6E74C">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1691" w:type="dxa"/>
            <w:tcBorders>
              <w:top w:val="single" w:color="auto" w:sz="4" w:space="0"/>
              <w:left w:val="single" w:color="auto" w:sz="4" w:space="0"/>
              <w:bottom w:val="single" w:color="auto" w:sz="4" w:space="0"/>
              <w:right w:val="single" w:color="auto" w:sz="4" w:space="0"/>
            </w:tcBorders>
            <w:vAlign w:val="center"/>
          </w:tcPr>
          <w:p w14:paraId="441428C5">
            <w:pPr>
              <w:widowControl/>
              <w:spacing w:line="360" w:lineRule="auto"/>
              <w:jc w:val="both"/>
              <w:rPr>
                <w:rFonts w:ascii="仿宋" w:hAnsi="仿宋" w:eastAsia="仿宋" w:cs="仿宋"/>
                <w:b/>
                <w:bCs/>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24D446F6">
            <w:pPr>
              <w:widowControl/>
              <w:spacing w:line="360" w:lineRule="auto"/>
              <w:rPr>
                <w:rFonts w:hint="default" w:ascii="仿宋" w:hAnsi="仿宋" w:eastAsia="仿宋" w:cs="仿宋"/>
                <w:b/>
                <w:bCs/>
                <w:color w:val="auto"/>
                <w:sz w:val="24"/>
                <w:szCs w:val="24"/>
                <w:lang w:val="en-US" w:eastAsia="zh-CN"/>
              </w:rPr>
            </w:pPr>
          </w:p>
        </w:tc>
      </w:tr>
      <w:tr w14:paraId="2032FAC4">
        <w:tblPrEx>
          <w:tblCellMar>
            <w:top w:w="0" w:type="dxa"/>
            <w:left w:w="108" w:type="dxa"/>
            <w:bottom w:w="0" w:type="dxa"/>
            <w:right w:w="108" w:type="dxa"/>
          </w:tblCellMar>
        </w:tblPrEx>
        <w:trPr>
          <w:trHeight w:val="84" w:hRule="atLeast"/>
          <w:jc w:val="center"/>
        </w:trPr>
        <w:tc>
          <w:tcPr>
            <w:tcW w:w="2185" w:type="dxa"/>
            <w:gridSpan w:val="2"/>
            <w:tcBorders>
              <w:top w:val="single" w:color="auto" w:sz="4" w:space="0"/>
              <w:left w:val="single" w:color="auto" w:sz="4" w:space="0"/>
              <w:bottom w:val="single" w:color="auto" w:sz="4" w:space="0"/>
              <w:right w:val="single" w:color="auto" w:sz="4" w:space="0"/>
            </w:tcBorders>
            <w:vAlign w:val="center"/>
          </w:tcPr>
          <w:p w14:paraId="67FE00E1">
            <w:pPr>
              <w:spacing w:line="360" w:lineRule="auto"/>
              <w:jc w:val="center"/>
              <w:rPr>
                <w:rFonts w:ascii="仿宋" w:hAnsi="仿宋" w:eastAsia="仿宋" w:cs="仿宋"/>
                <w:color w:val="auto"/>
                <w:sz w:val="24"/>
                <w:szCs w:val="24"/>
                <w:lang w:eastAsia="zh-CN"/>
              </w:rPr>
            </w:pPr>
            <w:r>
              <w:rPr>
                <w:rFonts w:hint="eastAsia" w:ascii="仿宋" w:hAnsi="仿宋" w:eastAsia="仿宋" w:cs="仿宋"/>
                <w:b/>
                <w:bCs/>
                <w:color w:val="auto"/>
                <w:sz w:val="24"/>
                <w:szCs w:val="24"/>
              </w:rPr>
              <w:t>备注</w:t>
            </w:r>
          </w:p>
        </w:tc>
        <w:tc>
          <w:tcPr>
            <w:tcW w:w="7584" w:type="dxa"/>
            <w:tcBorders>
              <w:top w:val="single" w:color="auto" w:sz="4" w:space="0"/>
              <w:left w:val="single" w:color="auto" w:sz="4" w:space="0"/>
              <w:bottom w:val="single" w:color="auto" w:sz="4" w:space="0"/>
              <w:right w:val="single" w:color="auto" w:sz="4" w:space="0"/>
            </w:tcBorders>
            <w:vAlign w:val="center"/>
          </w:tcPr>
          <w:p w14:paraId="05C338D9">
            <w:pPr>
              <w:spacing w:line="360" w:lineRule="auto"/>
              <w:rPr>
                <w:rFonts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着重提醒各投标人注意，并认真查看</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中的每一个条款及要求，因误读</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而造成的后果，招标人概不负责。</w:t>
            </w:r>
          </w:p>
          <w:p w14:paraId="32A5B670">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2、投标人使用相同IP地址的，一经发现，相关部门将进一步核实，查实后按串通投标处理。</w:t>
            </w:r>
          </w:p>
          <w:p w14:paraId="2C05E2AE">
            <w:pPr>
              <w:spacing w:line="360" w:lineRule="auto"/>
              <w:rPr>
                <w:rFonts w:ascii="仿宋" w:hAnsi="仿宋" w:eastAsia="仿宋" w:cs="仿宋"/>
                <w:color w:val="auto"/>
                <w:sz w:val="24"/>
                <w:szCs w:val="24"/>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rPr>
              <w:t>采购人若发现成交候选供应商在投标过程中提供虚假证明文件，故意隐瞒公司不良信誉和财务状况，以及其他可能对合同圆满履行造成风险的因素等，则按规定取消其成交资格，监管部门依法进行处理。</w:t>
            </w:r>
          </w:p>
          <w:p w14:paraId="130732D8">
            <w:pPr>
              <w:spacing w:line="360" w:lineRule="auto"/>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其它：</w:t>
            </w:r>
          </w:p>
          <w:p w14:paraId="720FAA1D">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（1）投标企业严格遵守国家的法律法规及招标纪律，无违法违纪及商业贿赂行为。</w:t>
            </w:r>
          </w:p>
          <w:p w14:paraId="3B289831">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（2）不管投标结果如何，供应商均应自行承担投标所需一切费用。</w:t>
            </w:r>
          </w:p>
          <w:p w14:paraId="1335B5DB">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（3）投标供应商应以书面形式保证中标后由本公司组织实施，不得以任何理由将项目转包给其他机构。</w:t>
            </w:r>
          </w:p>
          <w:p w14:paraId="028C7B29">
            <w:pPr>
              <w:spacing w:line="360" w:lineRule="auto"/>
              <w:rPr>
                <w:rFonts w:ascii="仿宋" w:hAnsi="仿宋" w:eastAsia="仿宋" w:cs="仿宋"/>
                <w:color w:val="auto"/>
                <w:sz w:val="24"/>
                <w:szCs w:val="24"/>
              </w:rPr>
            </w:pPr>
            <w:r>
              <w:rPr>
                <w:rFonts w:hint="eastAsia" w:ascii="仿宋" w:hAnsi="仿宋" w:eastAsia="仿宋" w:cs="仿宋"/>
                <w:color w:val="auto"/>
                <w:highlight w:val="none"/>
                <w:lang w:val="en-US" w:eastAsia="zh-CN"/>
              </w:rPr>
              <w:t>（4）注：谈判文件中如出现内容前后不一致，以供应商须知前附表内容为准。</w:t>
            </w:r>
          </w:p>
        </w:tc>
      </w:tr>
    </w:tbl>
    <w:p w14:paraId="23147CD0">
      <w:pPr>
        <w:pStyle w:val="27"/>
        <w:ind w:left="0" w:leftChars="0" w:firstLine="0" w:firstLineChars="0"/>
        <w:rPr>
          <w:rFonts w:hint="eastAsia"/>
          <w:color w:val="auto"/>
        </w:rPr>
      </w:pPr>
    </w:p>
    <w:p w14:paraId="25254B84">
      <w:pPr>
        <w:pStyle w:val="27"/>
        <w:ind w:left="0" w:leftChars="0" w:firstLine="0" w:firstLineChars="0"/>
        <w:rPr>
          <w:rFonts w:hint="eastAsia"/>
          <w:color w:val="auto"/>
        </w:rPr>
      </w:pPr>
    </w:p>
    <w:p w14:paraId="764C8ACD">
      <w:pPr>
        <w:pStyle w:val="27"/>
        <w:ind w:left="0" w:leftChars="0" w:firstLine="0" w:firstLineChars="0"/>
        <w:rPr>
          <w:rFonts w:hint="eastAsia"/>
          <w:color w:val="auto"/>
        </w:rPr>
      </w:pPr>
    </w:p>
    <w:p w14:paraId="1D3432EE">
      <w:pPr>
        <w:pStyle w:val="27"/>
        <w:ind w:left="0" w:leftChars="0" w:firstLine="0" w:firstLineChars="0"/>
        <w:rPr>
          <w:rFonts w:hint="eastAsia"/>
          <w:color w:val="auto"/>
        </w:rPr>
      </w:pPr>
    </w:p>
    <w:p w14:paraId="58458087">
      <w:pPr>
        <w:pStyle w:val="3"/>
        <w:rPr>
          <w:rFonts w:hint="eastAsia" w:ascii="仿宋" w:hAnsi="仿宋" w:eastAsia="仿宋" w:cs="仿宋"/>
          <w:color w:val="auto"/>
          <w:sz w:val="28"/>
          <w:szCs w:val="28"/>
        </w:rPr>
      </w:pPr>
    </w:p>
    <w:p w14:paraId="7378FF5C">
      <w:pPr>
        <w:pStyle w:val="3"/>
        <w:rPr>
          <w:rFonts w:hint="eastAsia" w:ascii="仿宋" w:hAnsi="仿宋" w:eastAsia="仿宋" w:cs="仿宋"/>
          <w:color w:val="auto"/>
          <w:sz w:val="28"/>
          <w:szCs w:val="28"/>
        </w:rPr>
      </w:pPr>
    </w:p>
    <w:p w14:paraId="1B322C26">
      <w:pPr>
        <w:pStyle w:val="3"/>
        <w:rPr>
          <w:rFonts w:hint="eastAsia" w:ascii="仿宋" w:hAnsi="仿宋" w:eastAsia="仿宋" w:cs="仿宋"/>
          <w:color w:val="auto"/>
          <w:sz w:val="28"/>
          <w:szCs w:val="28"/>
        </w:rPr>
      </w:pPr>
    </w:p>
    <w:p w14:paraId="3E56D03E">
      <w:pPr>
        <w:pStyle w:val="3"/>
        <w:rPr>
          <w:rFonts w:hint="eastAsia" w:ascii="仿宋" w:hAnsi="仿宋" w:eastAsia="仿宋" w:cs="仿宋"/>
          <w:color w:val="auto"/>
          <w:sz w:val="28"/>
          <w:szCs w:val="28"/>
        </w:rPr>
      </w:pPr>
    </w:p>
    <w:p w14:paraId="5B5D8E17">
      <w:pPr>
        <w:pStyle w:val="3"/>
        <w:rPr>
          <w:rFonts w:hint="eastAsia" w:ascii="仿宋" w:hAnsi="仿宋" w:eastAsia="仿宋" w:cs="仿宋"/>
          <w:color w:val="auto"/>
          <w:sz w:val="28"/>
          <w:szCs w:val="28"/>
        </w:rPr>
      </w:pPr>
    </w:p>
    <w:p w14:paraId="1DC9921A">
      <w:pPr>
        <w:pStyle w:val="3"/>
        <w:rPr>
          <w:rFonts w:hint="eastAsia" w:ascii="仿宋" w:hAnsi="仿宋" w:eastAsia="仿宋" w:cs="仿宋"/>
          <w:color w:val="auto"/>
          <w:sz w:val="28"/>
          <w:szCs w:val="28"/>
        </w:rPr>
      </w:pPr>
    </w:p>
    <w:p w14:paraId="6609A1FB">
      <w:pPr>
        <w:pStyle w:val="3"/>
        <w:rPr>
          <w:rFonts w:hint="eastAsia" w:ascii="仿宋" w:hAnsi="仿宋" w:eastAsia="仿宋" w:cs="仿宋"/>
          <w:color w:val="auto"/>
          <w:sz w:val="28"/>
          <w:szCs w:val="28"/>
        </w:rPr>
      </w:pPr>
    </w:p>
    <w:p w14:paraId="24D68956">
      <w:pPr>
        <w:pStyle w:val="3"/>
        <w:rPr>
          <w:rFonts w:hint="eastAsia" w:ascii="仿宋" w:hAnsi="仿宋" w:eastAsia="仿宋" w:cs="仿宋"/>
          <w:color w:val="auto"/>
          <w:sz w:val="28"/>
          <w:szCs w:val="28"/>
        </w:rPr>
      </w:pPr>
    </w:p>
    <w:p w14:paraId="003D06DB">
      <w:pPr>
        <w:pStyle w:val="3"/>
        <w:rPr>
          <w:rFonts w:hint="eastAsia" w:ascii="仿宋" w:hAnsi="仿宋" w:eastAsia="仿宋" w:cs="仿宋"/>
          <w:color w:val="auto"/>
          <w:sz w:val="28"/>
          <w:szCs w:val="28"/>
        </w:rPr>
      </w:pPr>
    </w:p>
    <w:p w14:paraId="3CEC1258">
      <w:pPr>
        <w:pStyle w:val="3"/>
        <w:rPr>
          <w:rFonts w:hint="eastAsia" w:ascii="仿宋" w:hAnsi="仿宋" w:eastAsia="仿宋" w:cs="仿宋"/>
          <w:color w:val="auto"/>
          <w:sz w:val="28"/>
          <w:szCs w:val="28"/>
        </w:rPr>
      </w:pPr>
    </w:p>
    <w:p w14:paraId="0E0749CC">
      <w:pPr>
        <w:pStyle w:val="3"/>
        <w:rPr>
          <w:rFonts w:hint="eastAsia" w:ascii="仿宋" w:hAnsi="仿宋" w:eastAsia="仿宋" w:cs="仿宋"/>
          <w:color w:val="auto"/>
          <w:sz w:val="28"/>
          <w:szCs w:val="28"/>
        </w:rPr>
      </w:pPr>
    </w:p>
    <w:p w14:paraId="326EC1FC">
      <w:pPr>
        <w:pStyle w:val="3"/>
        <w:rPr>
          <w:rFonts w:hint="eastAsia" w:ascii="仿宋" w:hAnsi="仿宋" w:eastAsia="仿宋" w:cs="仿宋"/>
          <w:color w:val="auto"/>
          <w:sz w:val="28"/>
          <w:szCs w:val="28"/>
        </w:rPr>
      </w:pPr>
      <w:r>
        <w:rPr>
          <w:rFonts w:hint="eastAsia" w:ascii="仿宋" w:hAnsi="仿宋" w:eastAsia="仿宋" w:cs="仿宋"/>
          <w:color w:val="auto"/>
          <w:sz w:val="28"/>
          <w:szCs w:val="28"/>
        </w:rPr>
        <w:t>一、总则</w:t>
      </w:r>
    </w:p>
    <w:p w14:paraId="3753B575">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1.项目概况</w:t>
      </w:r>
    </w:p>
    <w:p w14:paraId="481DD366">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1.1本次招标采购项目名称：见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2CF8114F">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项目编号：见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04B15F21">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招标人：见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11E3BAAE">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供货期（服务周期）：见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3FBB04AD">
      <w:p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供货地点：见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214C4E76">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1.2招标人及联系人:见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370835E5">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代理机构及联系人:见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136CA5DE">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1.3资金来源：见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2DEBB61D">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1.4本项目预算：见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265A838A">
      <w:p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1.5本项目</w:t>
      </w:r>
      <w:r>
        <w:rPr>
          <w:rFonts w:hint="eastAsia" w:ascii="仿宋" w:hAnsi="仿宋" w:eastAsia="仿宋" w:cs="仿宋"/>
          <w:color w:val="auto"/>
          <w:sz w:val="24"/>
          <w:szCs w:val="24"/>
          <w:lang w:val="en-US" w:eastAsia="zh-CN"/>
        </w:rPr>
        <w:t>最高限价</w:t>
      </w:r>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65FEF202">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2.招标范围：</w:t>
      </w:r>
    </w:p>
    <w:p w14:paraId="0CE52AE8">
      <w:p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2.1 采购内容：详见谈判采购文件</w:t>
      </w:r>
      <w:r>
        <w:rPr>
          <w:rFonts w:hint="eastAsia" w:ascii="仿宋" w:hAnsi="仿宋" w:eastAsia="仿宋" w:cs="仿宋"/>
          <w:color w:val="auto"/>
          <w:sz w:val="24"/>
          <w:szCs w:val="24"/>
          <w:lang w:eastAsia="zh-CN"/>
        </w:rPr>
        <w:t>第三章 采购需求及技术参数</w:t>
      </w:r>
    </w:p>
    <w:p w14:paraId="46F8B700">
      <w:p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2.2 技术要求：详见谈判采购文件</w:t>
      </w:r>
      <w:r>
        <w:rPr>
          <w:rFonts w:hint="eastAsia" w:ascii="仿宋" w:hAnsi="仿宋" w:eastAsia="仿宋" w:cs="仿宋"/>
          <w:color w:val="auto"/>
          <w:sz w:val="24"/>
          <w:szCs w:val="24"/>
          <w:lang w:eastAsia="zh-CN"/>
        </w:rPr>
        <w:t>第三章 采购需求及技术参数</w:t>
      </w:r>
    </w:p>
    <w:p w14:paraId="7177F856">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3.标包划分：</w:t>
      </w:r>
    </w:p>
    <w:p w14:paraId="0D6F4F1C">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3.1本项目划分：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个标包。</w:t>
      </w:r>
    </w:p>
    <w:p w14:paraId="6002CEA7">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4.招标方式：</w:t>
      </w:r>
    </w:p>
    <w:p w14:paraId="7F79B2A5">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4.1本项目招标方式：见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072AD983">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5.计价方式：</w:t>
      </w:r>
    </w:p>
    <w:p w14:paraId="7D1C2D5B">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5.1本次招标项目合同采用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具体以签订合同为准</w:t>
      </w:r>
      <w:r>
        <w:rPr>
          <w:rFonts w:hint="eastAsia" w:ascii="仿宋" w:hAnsi="仿宋" w:eastAsia="仿宋" w:cs="仿宋"/>
          <w:color w:val="auto"/>
          <w:sz w:val="24"/>
          <w:szCs w:val="24"/>
        </w:rPr>
        <w:t xml:space="preserve"> 。</w:t>
      </w:r>
    </w:p>
    <w:p w14:paraId="587BF749">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6.评标办法：</w:t>
      </w:r>
    </w:p>
    <w:p w14:paraId="289897A5">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6.1本次招标评标采用 </w:t>
      </w:r>
      <w:r>
        <w:rPr>
          <w:rFonts w:hint="eastAsia" w:ascii="仿宋" w:hAnsi="仿宋" w:eastAsia="仿宋" w:cs="仿宋"/>
          <w:color w:val="auto"/>
          <w:sz w:val="24"/>
          <w:szCs w:val="24"/>
          <w:u w:val="single"/>
        </w:rPr>
        <w:t xml:space="preserve"> 最低评标价法（竞争性谈判）</w:t>
      </w:r>
      <w:r>
        <w:rPr>
          <w:rFonts w:hint="eastAsia" w:ascii="仿宋" w:hAnsi="仿宋" w:eastAsia="仿宋" w:cs="仿宋"/>
          <w:color w:val="auto"/>
          <w:sz w:val="24"/>
          <w:szCs w:val="24"/>
        </w:rPr>
        <w:t xml:space="preserve"> （详见</w:t>
      </w:r>
      <w:r>
        <w:rPr>
          <w:rFonts w:hint="eastAsia" w:ascii="仿宋" w:hAnsi="仿宋" w:eastAsia="仿宋" w:cs="仿宋"/>
          <w:color w:val="auto"/>
          <w:sz w:val="24"/>
          <w:szCs w:val="24"/>
          <w:lang w:val="en-US" w:eastAsia="zh-CN"/>
        </w:rPr>
        <w:t>谈判文件</w:t>
      </w:r>
      <w:r>
        <w:rPr>
          <w:rFonts w:hint="eastAsia" w:ascii="仿宋" w:hAnsi="仿宋" w:eastAsia="仿宋" w:cs="仿宋"/>
          <w:color w:val="auto"/>
          <w:sz w:val="24"/>
          <w:szCs w:val="24"/>
        </w:rPr>
        <w:t>评标办法）</w:t>
      </w:r>
    </w:p>
    <w:p w14:paraId="475CA7CF">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资格：</w:t>
      </w:r>
    </w:p>
    <w:p w14:paraId="6D4F679E">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7.1参与采购活动的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必须是满足《中华人民共和国政府采购法》规定条件的法人、其他组织或者自然人：</w:t>
      </w:r>
    </w:p>
    <w:p w14:paraId="25A67EE3">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7.2由于政府采购项目的差异性，</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在参与具体政府采购项目活动时，应仔细阅读该项目的资质要求,具体见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14:paraId="24639271">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7.3根据电子化政府采购的特点，因未注册入库、未办理CA数字证书等原因造成无法投标或投标失败等后果由供应商自行承担。</w:t>
      </w:r>
    </w:p>
    <w:p w14:paraId="13C0AB70">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7.4</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必须确保自己在信息库中注册的信息真实、准确，并保证</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中的有关信息与库中的信息相一致。否则，</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因此蒙受损失，招标人概不负责。</w:t>
      </w:r>
    </w:p>
    <w:p w14:paraId="24E86403">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 投标费用</w:t>
      </w:r>
    </w:p>
    <w:p w14:paraId="4DA4DA7E">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准备和参加投标活动发生的费用自理。</w:t>
      </w:r>
    </w:p>
    <w:p w14:paraId="264B7036">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w:t>
      </w:r>
      <w:bookmarkStart w:id="29" w:name="_Toc247513962"/>
      <w:bookmarkEnd w:id="29"/>
      <w:bookmarkStart w:id="30" w:name="_Toc152045539"/>
      <w:bookmarkEnd w:id="30"/>
      <w:bookmarkStart w:id="31" w:name="_Toc296602429"/>
      <w:bookmarkEnd w:id="31"/>
      <w:bookmarkStart w:id="32" w:name="_Toc247527563"/>
      <w:bookmarkEnd w:id="32"/>
      <w:bookmarkStart w:id="33" w:name="_Toc152042315"/>
      <w:bookmarkEnd w:id="33"/>
      <w:bookmarkStart w:id="34" w:name="_Toc144974507"/>
      <w:bookmarkEnd w:id="34"/>
      <w:bookmarkStart w:id="35" w:name="_Toc247592876"/>
      <w:r>
        <w:rPr>
          <w:rFonts w:hint="eastAsia" w:ascii="仿宋" w:hAnsi="仿宋" w:eastAsia="仿宋" w:cs="仿宋"/>
          <w:color w:val="auto"/>
          <w:sz w:val="24"/>
          <w:szCs w:val="24"/>
        </w:rPr>
        <w:t xml:space="preserve"> 踏勘现场</w:t>
      </w:r>
      <w:bookmarkEnd w:id="35"/>
    </w:p>
    <w:p w14:paraId="11CB6C3A">
      <w:pPr>
        <w:snapToGrid w:val="0"/>
        <w:spacing w:line="360" w:lineRule="auto"/>
        <w:ind w:firstLine="490" w:firstLineChars="200"/>
        <w:rPr>
          <w:rFonts w:hint="eastAsia" w:ascii="仿宋" w:hAnsi="仿宋" w:eastAsia="仿宋" w:cs="仿宋"/>
          <w:color w:val="auto"/>
          <w:sz w:val="24"/>
          <w:szCs w:val="24"/>
          <w:lang w:eastAsia="zh-CN"/>
        </w:rPr>
      </w:pPr>
      <w:bookmarkStart w:id="36" w:name="_Toc144974508"/>
      <w:bookmarkEnd w:id="36"/>
      <w:bookmarkStart w:id="37" w:name="_Toc247592877"/>
      <w:bookmarkEnd w:id="37"/>
      <w:bookmarkStart w:id="38" w:name="_Toc152045540"/>
      <w:bookmarkEnd w:id="38"/>
      <w:bookmarkStart w:id="39" w:name="_Toc296602430"/>
      <w:bookmarkEnd w:id="39"/>
      <w:bookmarkStart w:id="40" w:name="_Toc247513963"/>
      <w:bookmarkEnd w:id="40"/>
      <w:bookmarkStart w:id="41" w:name="_Toc247527564"/>
      <w:bookmarkEnd w:id="41"/>
      <w:bookmarkStart w:id="42" w:name="_Toc152042316"/>
      <w:r>
        <w:rPr>
          <w:rFonts w:hint="eastAsia" w:ascii="仿宋" w:hAnsi="仿宋" w:eastAsia="仿宋" w:cs="仿宋"/>
          <w:color w:val="auto"/>
          <w:sz w:val="24"/>
          <w:szCs w:val="24"/>
        </w:rPr>
        <w:t>不组织踏勘现场</w:t>
      </w:r>
      <w:bookmarkEnd w:id="42"/>
      <w:r>
        <w:rPr>
          <w:rFonts w:hint="eastAsia" w:ascii="仿宋" w:hAnsi="仿宋" w:eastAsia="仿宋" w:cs="仿宋"/>
          <w:color w:val="auto"/>
          <w:sz w:val="24"/>
          <w:szCs w:val="24"/>
          <w:lang w:eastAsia="zh-CN"/>
        </w:rPr>
        <w:t>。</w:t>
      </w:r>
    </w:p>
    <w:p w14:paraId="39DEE8E9">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 投标预备会</w:t>
      </w:r>
    </w:p>
    <w:p w14:paraId="148E8C34">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须知前附表规定召开投标预备会的，招标人按</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须知前附表规定的时间和地点召开投标预备会，澄清</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提出的问题。</w:t>
      </w:r>
    </w:p>
    <w:p w14:paraId="372B7FD9">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须知前附表规定的时间前，将提出的问题送达招标人，以便招标人澄清。</w:t>
      </w:r>
    </w:p>
    <w:p w14:paraId="6DFB2903">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10.3招标人在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须知前附表规定的时间，将对</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所提的问题进行澄清。该澄清内容为采购文件的组成部分。</w:t>
      </w:r>
    </w:p>
    <w:p w14:paraId="0AFC460E">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 联合投标</w:t>
      </w:r>
    </w:p>
    <w:p w14:paraId="6A83AB32">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11.1 两个以上</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可以组成一个投标联合体，以一个</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的身份投标。以联合体形式参加投标的，联合体各方均应当符合《政府采购法》第二十二条规定的条件。招标人根据采购项目的特殊要求规定</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特定条件的，联合体各方中至少应当有一方符合招标人规定的特定条件。</w:t>
      </w:r>
    </w:p>
    <w:p w14:paraId="7B9D69DF">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11.2联合体各方之间应当签订共同投标协议，明确约定联合体各方承担的工作和相应的责任，并将共同投标协议连同</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一并提交招标人。联合体各方签订共同投标协议后，不得再以自己名义单独在同一项目中投标，也不得组成新的联合体参加同一项目投标。</w:t>
      </w:r>
    </w:p>
    <w:p w14:paraId="750A194A">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11.3 联合体应当确定其中一个单位为投标的全权代表，负责参加投标的一切事务，并承担投标及履约中应承担的全部责任与义务。</w:t>
      </w:r>
    </w:p>
    <w:p w14:paraId="578A7E31">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11.4 联合体各方应当共同与招标人签订采购合同，就采购合同约定的事项对招标人承担连带责任。</w:t>
      </w:r>
    </w:p>
    <w:p w14:paraId="7FFE5D37">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12.招标代理费</w:t>
      </w:r>
    </w:p>
    <w:p w14:paraId="24D89A91">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12.1</w:t>
      </w:r>
      <w:r>
        <w:rPr>
          <w:rFonts w:hint="eastAsia" w:ascii="仿宋" w:hAnsi="仿宋" w:eastAsia="仿宋" w:cs="仿宋"/>
          <w:color w:val="auto"/>
          <w:sz w:val="24"/>
          <w:szCs w:val="24"/>
          <w:lang w:val="en-US" w:eastAsia="zh-CN"/>
        </w:rPr>
        <w:t>详见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 xml:space="preserve">须知资料表 </w:t>
      </w:r>
    </w:p>
    <w:p w14:paraId="3A0176F1">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应注意的事项</w:t>
      </w:r>
    </w:p>
    <w:p w14:paraId="5C1F5945">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一旦按规定缴纳了投标保证金并参加投标，即被认为接受了本采购文件中的所有条件和规定。</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必须严格按采购文件的要求编制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宜编制页码和目录，以便评委审核。否则，由此产生的一切后果由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承担。</w:t>
      </w:r>
    </w:p>
    <w:p w14:paraId="106EFD73">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13.2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对采购内容中规定的技术参数、规格等要求必须完全响应或优于采购文件中的要求。</w:t>
      </w:r>
    </w:p>
    <w:p w14:paraId="61C71CDB">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13.3所有</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的投标保证金都应在采购文件规定的投标保证金缴纳截止日期前缴纳。</w:t>
      </w:r>
    </w:p>
    <w:p w14:paraId="06CB2F58">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3DD83EEB">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13.5本项目因未注册入库、未办理CA数字证书等原因造成无法投标或投标失败等后果由供应商自行承担。</w:t>
      </w:r>
    </w:p>
    <w:p w14:paraId="3ADF2556">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13.6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被视为充分熟悉本招标项目所在地的与履行合同有关的各种情况，包括但不限于：</w:t>
      </w:r>
    </w:p>
    <w:p w14:paraId="52E2BA05">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（1）国家对本次投标货物和服务的生产、安装调试、验收、维修等有关法律、法规及行业管理标准；</w:t>
      </w:r>
    </w:p>
    <w:p w14:paraId="2565073A">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（2）本地区有关管理部门的相关规定；</w:t>
      </w:r>
    </w:p>
    <w:p w14:paraId="41071BD3">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（3）招标人的相关场地情况、基础建设、电力供应情况及相关设计标准。</w:t>
      </w:r>
    </w:p>
    <w:p w14:paraId="4C304205">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本采购文件不再对上述情况进行描述。</w:t>
      </w:r>
      <w:bookmarkStart w:id="43" w:name="_Toc469495725"/>
      <w:bookmarkEnd w:id="43"/>
    </w:p>
    <w:p w14:paraId="3CC71B74">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定。</w:t>
      </w:r>
    </w:p>
    <w:p w14:paraId="07787713">
      <w:pPr>
        <w:pStyle w:val="3"/>
        <w:rPr>
          <w:rFonts w:hint="eastAsia" w:ascii="仿宋" w:hAnsi="仿宋" w:eastAsia="仿宋" w:cs="仿宋"/>
          <w:color w:val="auto"/>
          <w:sz w:val="28"/>
          <w:szCs w:val="28"/>
        </w:rPr>
      </w:pPr>
      <w:bookmarkStart w:id="44" w:name="_Toc452657552"/>
      <w:bookmarkStart w:id="45" w:name="_Toc497129137"/>
      <w:r>
        <w:rPr>
          <w:rFonts w:hint="eastAsia" w:ascii="仿宋" w:hAnsi="仿宋" w:eastAsia="仿宋" w:cs="仿宋"/>
          <w:color w:val="auto"/>
          <w:sz w:val="28"/>
          <w:szCs w:val="28"/>
        </w:rPr>
        <w:t>二、</w:t>
      </w:r>
      <w:bookmarkEnd w:id="44"/>
      <w:bookmarkEnd w:id="45"/>
      <w:r>
        <w:rPr>
          <w:rFonts w:hint="eastAsia" w:ascii="仿宋" w:hAnsi="仿宋" w:eastAsia="仿宋" w:cs="仿宋"/>
          <w:color w:val="auto"/>
          <w:sz w:val="28"/>
          <w:szCs w:val="28"/>
          <w:lang w:eastAsia="zh-CN"/>
        </w:rPr>
        <w:t>谈判文件</w:t>
      </w:r>
    </w:p>
    <w:p w14:paraId="276D729C">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谈判文件</w:t>
      </w:r>
      <w:r>
        <w:rPr>
          <w:rFonts w:hint="eastAsia" w:ascii="仿宋" w:hAnsi="仿宋" w:eastAsia="仿宋" w:cs="仿宋"/>
          <w:b/>
          <w:bCs/>
          <w:color w:val="auto"/>
          <w:sz w:val="24"/>
          <w:szCs w:val="24"/>
        </w:rPr>
        <w:t>构成</w:t>
      </w:r>
    </w:p>
    <w:p w14:paraId="7C0642AC">
      <w:pPr>
        <w:snapToGrid w:val="0"/>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竞争性谈判</w:t>
      </w:r>
      <w:r>
        <w:rPr>
          <w:rFonts w:hint="eastAsia" w:ascii="仿宋" w:hAnsi="仿宋" w:eastAsia="仿宋" w:cs="仿宋"/>
          <w:color w:val="auto"/>
          <w:sz w:val="24"/>
          <w:szCs w:val="24"/>
        </w:rPr>
        <w:t>公</w:t>
      </w:r>
      <w:r>
        <w:rPr>
          <w:rFonts w:hint="eastAsia" w:ascii="仿宋" w:hAnsi="仿宋" w:eastAsia="仿宋" w:cs="仿宋"/>
          <w:color w:val="auto"/>
          <w:sz w:val="24"/>
          <w:szCs w:val="24"/>
          <w:lang w:eastAsia="zh-CN"/>
        </w:rPr>
        <w:t>告</w:t>
      </w:r>
    </w:p>
    <w:p w14:paraId="54713FEE">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2.供应商须知</w:t>
      </w:r>
    </w:p>
    <w:p w14:paraId="3B90DD31">
      <w:pPr>
        <w:adjustRightInd w:val="0"/>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技术规格、数量及质量要求</w:t>
      </w:r>
    </w:p>
    <w:p w14:paraId="3F2BFB44">
      <w:pPr>
        <w:adjustRightInd w:val="0"/>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4.合同文本（参考）</w:t>
      </w:r>
    </w:p>
    <w:p w14:paraId="022A1679">
      <w:p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5.响应文件格式</w:t>
      </w:r>
    </w:p>
    <w:p w14:paraId="6096F881">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供应商获取</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后，应仔细检查文件页数和附件数量，如发现有缺漏，请及时与采购代理机构联系补全。如果供应商不按上述要求操作而造成不良后果，采购代理机构不承担责任。</w:t>
      </w:r>
    </w:p>
    <w:p w14:paraId="2F096C06">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谈判文件</w:t>
      </w:r>
      <w:r>
        <w:rPr>
          <w:rFonts w:hint="eastAsia" w:ascii="仿宋" w:hAnsi="仿宋" w:eastAsia="仿宋" w:cs="仿宋"/>
          <w:b/>
          <w:bCs/>
          <w:color w:val="auto"/>
          <w:sz w:val="24"/>
          <w:szCs w:val="24"/>
        </w:rPr>
        <w:t>的澄清</w:t>
      </w:r>
    </w:p>
    <w:p w14:paraId="562C9472">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任何要求对</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澄清的供应商，均应在在响应文件接收截止时间5日之前，</w:t>
      </w:r>
      <w:r>
        <w:rPr>
          <w:rFonts w:hint="eastAsia" w:ascii="仿宋" w:hAnsi="仿宋" w:eastAsia="仿宋" w:cs="仿宋"/>
          <w:color w:val="auto"/>
          <w:sz w:val="24"/>
          <w:szCs w:val="24"/>
          <w:lang w:eastAsia="zh-CN"/>
        </w:rPr>
        <w:t>由澄清或质疑方的法定代表人或授权投标人（必须为法定代表人授权进行该项目投标的被授权人）以书面形式向采购人及招标代理公司递交澄清或质疑函(原件)，并登记备案。澄清或质疑函须有法定代表人亲笔签章。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w:t>
      </w:r>
      <w:r>
        <w:rPr>
          <w:rFonts w:hint="eastAsia" w:ascii="仿宋" w:hAnsi="仿宋" w:eastAsia="仿宋" w:cs="仿宋"/>
          <w:color w:val="auto"/>
          <w:sz w:val="24"/>
          <w:szCs w:val="24"/>
          <w:u w:val="single"/>
          <w:lang w:eastAsia="zh-CN"/>
        </w:rPr>
        <w:t>克州GAJ无人机FZ设备采购项目（二次）</w:t>
      </w:r>
      <w:r>
        <w:rPr>
          <w:rFonts w:hint="eastAsia" w:ascii="仿宋" w:hAnsi="仿宋" w:eastAsia="仿宋" w:cs="仿宋"/>
          <w:color w:val="auto"/>
          <w:sz w:val="24"/>
          <w:szCs w:val="24"/>
          <w:lang w:eastAsia="zh-CN"/>
        </w:rPr>
        <w:t>澄清或质疑使用”字样，并由身份证持有人签章确认。上述资料均须加盖公章。</w:t>
      </w:r>
      <w:r>
        <w:rPr>
          <w:rFonts w:hint="eastAsia" w:ascii="仿宋" w:hAnsi="仿宋" w:eastAsia="仿宋" w:cs="仿宋"/>
          <w:color w:val="auto"/>
          <w:sz w:val="24"/>
          <w:szCs w:val="24"/>
        </w:rPr>
        <w:t>采购代理机构对规定时间内收到的澄清要求以书面形式予以答复，答复不包括问题的来源。</w:t>
      </w:r>
    </w:p>
    <w:p w14:paraId="3536DCDA">
      <w:pPr>
        <w:snapToGrid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谈判文件</w:t>
      </w:r>
      <w:r>
        <w:rPr>
          <w:rFonts w:hint="eastAsia" w:ascii="仿宋" w:hAnsi="仿宋" w:eastAsia="仿宋" w:cs="仿宋"/>
          <w:b/>
          <w:bCs/>
          <w:color w:val="auto"/>
          <w:sz w:val="24"/>
          <w:szCs w:val="24"/>
        </w:rPr>
        <w:t>的修改</w:t>
      </w:r>
    </w:p>
    <w:p w14:paraId="1B837FF1">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1、在响应文件接收截止5日前，采购代理机构可以更正文件以补充文件的形式对</w:t>
      </w:r>
      <w:r>
        <w:rPr>
          <w:rFonts w:hint="eastAsia" w:ascii="仿宋" w:hAnsi="仿宋" w:eastAsia="仿宋" w:cs="仿宋"/>
          <w:bCs/>
          <w:color w:val="auto"/>
          <w:sz w:val="24"/>
          <w:szCs w:val="24"/>
          <w:lang w:eastAsia="zh-CN"/>
        </w:rPr>
        <w:t>竞争性谈判</w:t>
      </w:r>
      <w:r>
        <w:rPr>
          <w:rFonts w:hint="eastAsia" w:ascii="仿宋" w:hAnsi="仿宋" w:eastAsia="仿宋" w:cs="仿宋"/>
          <w:color w:val="auto"/>
          <w:sz w:val="24"/>
          <w:szCs w:val="24"/>
        </w:rPr>
        <w:t>进行修改。</w:t>
      </w:r>
    </w:p>
    <w:p w14:paraId="1A263095">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2、为使供应商有充分的时间对</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的修改部分进行分析、研究，采购代理机构有权推迟响应文件接收截止日期和招标时间，并将此变更在</w:t>
      </w:r>
      <w:r>
        <w:rPr>
          <w:rFonts w:hint="eastAsia" w:ascii="仿宋" w:hAnsi="仿宋" w:eastAsia="仿宋" w:cs="仿宋"/>
          <w:color w:val="auto"/>
          <w:sz w:val="24"/>
          <w:szCs w:val="24"/>
          <w:lang w:eastAsia="zh-CN"/>
        </w:rPr>
        <w:t>政采云平台</w:t>
      </w:r>
      <w:r>
        <w:rPr>
          <w:rFonts w:hint="eastAsia" w:ascii="仿宋" w:hAnsi="仿宋" w:eastAsia="仿宋" w:cs="仿宋"/>
          <w:color w:val="auto"/>
          <w:sz w:val="24"/>
          <w:szCs w:val="24"/>
        </w:rPr>
        <w:t>以变更通知的形式予以公布或以书面通知所有购买</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的供应商。</w:t>
      </w:r>
    </w:p>
    <w:p w14:paraId="22E5F660">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、采购代理机构发出的所有补充、修改和变更文件均作为</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的组成部分，与</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具有同等法律效力。</w:t>
      </w:r>
    </w:p>
    <w:p w14:paraId="642B7CC5">
      <w:pPr>
        <w:pStyle w:val="3"/>
        <w:rPr>
          <w:rFonts w:hint="eastAsia" w:ascii="仿宋" w:hAnsi="仿宋" w:eastAsia="仿宋" w:cs="仿宋"/>
          <w:color w:val="auto"/>
          <w:sz w:val="28"/>
          <w:szCs w:val="28"/>
        </w:rPr>
      </w:pPr>
      <w:bookmarkStart w:id="46" w:name="_Toc497129138"/>
      <w:bookmarkStart w:id="47" w:name="_Toc452657553"/>
      <w:r>
        <w:rPr>
          <w:rFonts w:hint="eastAsia" w:ascii="仿宋" w:hAnsi="仿宋" w:eastAsia="仿宋" w:cs="仿宋"/>
          <w:color w:val="auto"/>
          <w:sz w:val="28"/>
          <w:szCs w:val="28"/>
        </w:rPr>
        <w:t>三、响应文件的编制</w:t>
      </w:r>
      <w:bookmarkEnd w:id="46"/>
      <w:bookmarkEnd w:id="47"/>
    </w:p>
    <w:p w14:paraId="540B1380">
      <w:pPr>
        <w:keepNext w:val="0"/>
        <w:keepLines w:val="0"/>
        <w:pageBreakBefore w:val="0"/>
        <w:widowControl w:val="0"/>
        <w:kinsoku/>
        <w:wordWrap/>
        <w:overflowPunct/>
        <w:topLinePunct w:val="0"/>
        <w:autoSpaceDE/>
        <w:autoSpaceDN/>
        <w:bidi w:val="0"/>
        <w:adjustRightInd/>
        <w:snapToGrid w:val="0"/>
        <w:spacing w:line="360" w:lineRule="auto"/>
        <w:ind w:firstLine="245" w:firstLineChars="1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）响应文件的编制要求</w:t>
      </w:r>
    </w:p>
    <w:p w14:paraId="3D9BFD9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供应商应仔细阅读“</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”的所有内容，按“</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”的要求编制“响应文件”，并保证所提供的全部资料的真实性、完整性及有效性，以使其投标对“</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”做出</w:t>
      </w:r>
      <w:r>
        <w:rPr>
          <w:rFonts w:hint="eastAsia" w:ascii="仿宋" w:hAnsi="仿宋" w:eastAsia="仿宋" w:cs="仿宋"/>
          <w:b/>
          <w:color w:val="auto"/>
          <w:sz w:val="24"/>
          <w:szCs w:val="24"/>
        </w:rPr>
        <w:t>实质性响应</w:t>
      </w:r>
      <w:r>
        <w:rPr>
          <w:rFonts w:hint="eastAsia" w:ascii="仿宋" w:hAnsi="仿宋" w:eastAsia="仿宋" w:cs="仿宋"/>
          <w:color w:val="auto"/>
          <w:sz w:val="24"/>
          <w:szCs w:val="24"/>
        </w:rPr>
        <w:t>。否则，可能被拒绝。</w:t>
      </w:r>
    </w:p>
    <w:p w14:paraId="0ABB062C">
      <w:pPr>
        <w:keepNext w:val="0"/>
        <w:keepLines w:val="0"/>
        <w:pageBreakBefore w:val="0"/>
        <w:widowControl w:val="0"/>
        <w:kinsoku/>
        <w:wordWrap/>
        <w:overflowPunct/>
        <w:topLinePunct w:val="0"/>
        <w:autoSpaceDE/>
        <w:autoSpaceDN/>
        <w:bidi w:val="0"/>
        <w:adjustRightInd/>
        <w:snapToGrid w:val="0"/>
        <w:spacing w:line="360" w:lineRule="auto"/>
        <w:ind w:firstLine="245" w:firstLineChars="1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）响应文件构成</w:t>
      </w:r>
    </w:p>
    <w:p w14:paraId="68B4BA2B">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资格证明文件和商务及技术文件两部分</w:t>
      </w:r>
    </w:p>
    <w:p w14:paraId="5B19A209">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lang w:eastAsia="zh-CN"/>
        </w:rPr>
        <w:t>资格证明文件（包括但不限于）</w:t>
      </w:r>
    </w:p>
    <w:p w14:paraId="7D052E96">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资格证明文件是证明投标人有资格参加投标和中标后有能力履行合同的文件，这些文件应能满足招标的要求，否则作无效投标处理。</w:t>
      </w:r>
    </w:p>
    <w:p w14:paraId="5F073E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具备三证合一营业执照；</w:t>
      </w:r>
    </w:p>
    <w:p w14:paraId="33410EF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2、法定代表人资格证明书；</w:t>
      </w:r>
    </w:p>
    <w:p w14:paraId="75E00A56">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3、法定代表人授权委托书；</w:t>
      </w:r>
    </w:p>
    <w:p w14:paraId="0701207F">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4、投标保证金缴纳凭证或投标担保函；</w:t>
      </w:r>
    </w:p>
    <w:p w14:paraId="4F50051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5、投标企业须提供投标人（被授权在职人员）近6个月内任意一个月有效的社保证明；</w:t>
      </w:r>
    </w:p>
    <w:p w14:paraId="71137DB8">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val="0"/>
          <w:bCs/>
          <w:color w:val="auto"/>
          <w:sz w:val="24"/>
          <w:szCs w:val="24"/>
          <w:lang w:eastAsia="zh-CN"/>
        </w:rPr>
        <w:t>；</w:t>
      </w:r>
    </w:p>
    <w:p w14:paraId="06FB66AE">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7、</w:t>
      </w:r>
      <w:r>
        <w:rPr>
          <w:rFonts w:hint="eastAsia" w:ascii="仿宋" w:hAnsi="仿宋" w:eastAsia="仿宋" w:cs="仿宋"/>
          <w:b w:val="0"/>
          <w:bCs/>
          <w:color w:val="auto"/>
          <w:sz w:val="24"/>
          <w:szCs w:val="24"/>
          <w:lang w:eastAsia="zh-CN"/>
        </w:rPr>
        <w:t>投标人须知资料表要求的其他资格证明文件。</w:t>
      </w:r>
    </w:p>
    <w:p w14:paraId="2B36D1BF">
      <w:pPr>
        <w:keepNext w:val="0"/>
        <w:keepLines w:val="0"/>
        <w:pageBreakBefore w:val="0"/>
        <w:widowControl w:val="0"/>
        <w:kinsoku/>
        <w:wordWrap/>
        <w:overflowPunct/>
        <w:topLinePunct w:val="0"/>
        <w:autoSpaceDE/>
        <w:autoSpaceDN/>
        <w:bidi w:val="0"/>
        <w:adjustRightInd/>
        <w:snapToGrid w:val="0"/>
        <w:spacing w:line="360" w:lineRule="auto"/>
        <w:ind w:firstLine="245" w:firstLineChars="100"/>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（2）商务及技术文件（包括但不限于）</w:t>
      </w:r>
    </w:p>
    <w:p w14:paraId="6A3C9EC0">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1、投标函</w:t>
      </w:r>
    </w:p>
    <w:p w14:paraId="01AC7A0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2、开标一览表</w:t>
      </w:r>
    </w:p>
    <w:p w14:paraId="57DB3D59">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3、货物说明一览表</w:t>
      </w:r>
    </w:p>
    <w:p w14:paraId="784A281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4、投标分项报价明细表</w:t>
      </w:r>
    </w:p>
    <w:p w14:paraId="4F9427D6">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5、技术规格偏离表</w:t>
      </w:r>
    </w:p>
    <w:p w14:paraId="22940451">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6、商务条款偏离表</w:t>
      </w:r>
    </w:p>
    <w:p w14:paraId="34932C1A">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7、投标人基本情况表</w:t>
      </w:r>
    </w:p>
    <w:p w14:paraId="2304BDAA">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8、中标服务费支付承诺书</w:t>
      </w:r>
    </w:p>
    <w:p w14:paraId="10D0CABF">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9、中小企业声明函(货物)</w:t>
      </w:r>
    </w:p>
    <w:p w14:paraId="7AF7A1B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10、残疾人福利性单位声明函</w:t>
      </w:r>
    </w:p>
    <w:p w14:paraId="392BAA81">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11、关于符合本国产品标准的声明函</w:t>
      </w:r>
    </w:p>
    <w:p w14:paraId="5F1F2B5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12、质量保证及售后服务（格式自拟）</w:t>
      </w:r>
    </w:p>
    <w:p w14:paraId="788C1068">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0000FF"/>
          <w:sz w:val="24"/>
          <w:szCs w:val="24"/>
          <w:lang w:val="en-US" w:eastAsia="zh-CN"/>
        </w:rPr>
      </w:pPr>
      <w:r>
        <w:rPr>
          <w:rFonts w:hint="eastAsia" w:ascii="仿宋" w:hAnsi="仿宋" w:eastAsia="仿宋" w:cs="仿宋"/>
          <w:b w:val="0"/>
          <w:bCs w:val="0"/>
          <w:color w:val="0000FF"/>
          <w:sz w:val="24"/>
          <w:szCs w:val="24"/>
          <w:lang w:val="en-US" w:eastAsia="zh-CN"/>
        </w:rPr>
        <w:t>13、供应商需提供无线电发射设备核准证承诺函，由供应商负责人签字并加盖单位公章（格式自拟）</w:t>
      </w:r>
    </w:p>
    <w:p w14:paraId="7EFA556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14、投标产品的资料</w:t>
      </w:r>
    </w:p>
    <w:p w14:paraId="10CC0A0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注：</w:t>
      </w:r>
      <w:r>
        <w:rPr>
          <w:rFonts w:hint="eastAsia" w:ascii="仿宋" w:hAnsi="仿宋" w:eastAsia="仿宋" w:cs="仿宋"/>
          <w:b/>
          <w:bCs/>
          <w:color w:val="auto"/>
          <w:sz w:val="24"/>
          <w:szCs w:val="24"/>
          <w:u w:val="single"/>
          <w:lang w:val="en-US" w:eastAsia="zh-CN"/>
        </w:rPr>
        <w:t>1.为了便于查找，请按上述顺序编制内容，并在目录中标明每项内容的起始页码。</w:t>
      </w:r>
      <w:r>
        <w:rPr>
          <w:rFonts w:hint="eastAsia" w:ascii="仿宋" w:hAnsi="仿宋" w:eastAsia="仿宋" w:cs="仿宋"/>
          <w:b/>
          <w:bCs/>
          <w:color w:val="auto"/>
          <w:sz w:val="24"/>
          <w:szCs w:val="24"/>
          <w:lang w:val="en-US" w:eastAsia="zh-CN"/>
        </w:rPr>
        <w:t xml:space="preserve"> </w:t>
      </w:r>
    </w:p>
    <w:p w14:paraId="118F960B">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u w:val="single"/>
          <w:lang w:val="en-US" w:eastAsia="zh-CN"/>
        </w:rPr>
        <w:t>2.以上材料须加盖单位公章。</w:t>
      </w:r>
      <w:r>
        <w:rPr>
          <w:rFonts w:hint="eastAsia" w:ascii="仿宋" w:hAnsi="仿宋" w:eastAsia="仿宋" w:cs="仿宋"/>
          <w:b/>
          <w:bCs/>
          <w:color w:val="auto"/>
          <w:sz w:val="24"/>
          <w:szCs w:val="24"/>
          <w:lang w:val="en-US" w:eastAsia="zh-CN"/>
        </w:rPr>
        <w:t xml:space="preserve"> </w:t>
      </w:r>
    </w:p>
    <w:p w14:paraId="36D9D1A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u w:val="single"/>
          <w:lang w:val="en-US" w:eastAsia="zh-CN"/>
        </w:rPr>
        <w:t>3.请各投标供应商根据项目实际需求，并结合企业自身情况以及相关评标办法进行编制。</w:t>
      </w:r>
    </w:p>
    <w:p w14:paraId="1001DA60">
      <w:pPr>
        <w:keepNext w:val="0"/>
        <w:keepLines w:val="0"/>
        <w:pageBreakBefore w:val="0"/>
        <w:widowControl w:val="0"/>
        <w:kinsoku/>
        <w:wordWrap/>
        <w:overflowPunct/>
        <w:topLinePunct w:val="0"/>
        <w:autoSpaceDE/>
        <w:autoSpaceDN/>
        <w:bidi w:val="0"/>
        <w:adjustRightInd/>
        <w:snapToGrid w:val="0"/>
        <w:spacing w:line="360" w:lineRule="auto"/>
        <w:ind w:firstLine="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（十二）响应文件格式</w:t>
      </w:r>
    </w:p>
    <w:p w14:paraId="2B5369A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供应商应仔细阅读谈判文件的所有内容，按照谈判文件的要求详细编制响应文件，所提交的全部资料必须真实有效，并且要保证字迹清晰易于辨认。响应文件应对谈判文件实质性内容作出响应，否则按无效标处理。</w:t>
      </w:r>
    </w:p>
    <w:p w14:paraId="5CBA035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（2）响应文件格式应按本谈判文件第五章格式要求编制，不得对谈判文件格式进行增删更改，否则按无效标处理。</w:t>
      </w:r>
    </w:p>
    <w:p w14:paraId="2814CFD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（3）对谈判文件格式可更改的例外情况：谈判文件第五部分附件格式要求中明确规定表格中行数不够用时可按相同格式增加行数，其他一切内容和格式不得更改。 </w:t>
      </w:r>
    </w:p>
    <w:p w14:paraId="1EA5DBD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（4）响应文件为电子响应文件，电子响应文件按“政采云供应商项目采购-电子招投标操作指南”及本谈判文件要求制作、加密传输。</w:t>
      </w:r>
    </w:p>
    <w:p w14:paraId="3AD3F43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（5）响应文件未在投标截止时间前完成传输的，视为响应文件撤回；响应文件未按时解密也未提供备份响应文件的，亦视为响应文件撤回。</w:t>
      </w:r>
    </w:p>
    <w:p w14:paraId="78A663B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（十三）</w:t>
      </w:r>
      <w:r>
        <w:rPr>
          <w:rFonts w:hint="eastAsia" w:ascii="仿宋" w:hAnsi="仿宋" w:eastAsia="仿宋" w:cs="仿宋"/>
          <w:b/>
          <w:bCs/>
          <w:color w:val="auto"/>
          <w:sz w:val="24"/>
          <w:szCs w:val="24"/>
          <w:lang w:eastAsia="zh-CN"/>
        </w:rPr>
        <w:t>谈判</w:t>
      </w:r>
      <w:r>
        <w:rPr>
          <w:rFonts w:hint="eastAsia" w:ascii="仿宋" w:hAnsi="仿宋" w:eastAsia="仿宋" w:cs="仿宋"/>
          <w:b/>
          <w:bCs/>
          <w:color w:val="auto"/>
          <w:sz w:val="24"/>
          <w:szCs w:val="24"/>
        </w:rPr>
        <w:t>报价</w:t>
      </w:r>
    </w:p>
    <w:p w14:paraId="2E8A0751">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报价为“招标范围”内的总报价。</w:t>
      </w:r>
    </w:p>
    <w:p w14:paraId="6A889BBE">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2、凡要求供应商考虑在报价中的内容供应商在响应文件中没有考虑、没有计入的或未单独列出，采购人认为供应商已将此项费用涵盖在其它费用价格中。</w:t>
      </w:r>
    </w:p>
    <w:p w14:paraId="6409F789">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报价应包含项目实施过程中涉及到的一切费用。</w:t>
      </w:r>
    </w:p>
    <w:p w14:paraId="713B45A2">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4、报价注意事项：</w:t>
      </w:r>
    </w:p>
    <w:p w14:paraId="45C71DA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供应商报价时应充分考虑所有可能影响到报价的报价因素，一旦招标结束最终成交，总价将固定，不予调整。如发生漏、缺、少项，都将被认为是成交人的报价让利行为，损失自负。</w:t>
      </w:r>
    </w:p>
    <w:p w14:paraId="185B2C5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（十四）投标有效期</w:t>
      </w:r>
    </w:p>
    <w:p w14:paraId="7AAD41B8">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1、投标有效期为</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规定的供应商提交响应文件截止之日起</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lang w:eastAsia="zh-CN"/>
        </w:rPr>
        <w:t>0</w:t>
      </w:r>
      <w:r>
        <w:rPr>
          <w:rFonts w:hint="eastAsia" w:ascii="仿宋" w:hAnsi="仿宋" w:eastAsia="仿宋" w:cs="仿宋"/>
          <w:color w:val="auto"/>
          <w:sz w:val="24"/>
          <w:szCs w:val="24"/>
        </w:rPr>
        <w:t>天。投标有效期不满足</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要求的将视为非响应性文件而予以拒绝。</w:t>
      </w:r>
    </w:p>
    <w:p w14:paraId="796AEF0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在特殊情况下，采购人于原投标有效期满之前，可向供应商提出延长投标有效期的要求，这种要求与答复均应采用书面形式（如信件、传真或电报等），供应商可以拒绝采购人的这一要求而放弃参与投标；同意延长的供应商不允许修改其响应文件。</w:t>
      </w:r>
    </w:p>
    <w:p w14:paraId="3D784FAA">
      <w:pPr>
        <w:keepNext w:val="0"/>
        <w:keepLines w:val="0"/>
        <w:pageBreakBefore w:val="0"/>
        <w:widowControl w:val="0"/>
        <w:kinsoku/>
        <w:wordWrap/>
        <w:overflowPunct/>
        <w:topLinePunct w:val="0"/>
        <w:autoSpaceDE/>
        <w:autoSpaceDN/>
        <w:bidi w:val="0"/>
        <w:adjustRightInd/>
        <w:snapToGrid w:val="0"/>
        <w:spacing w:line="360" w:lineRule="auto"/>
        <w:ind w:firstLine="239" w:firstLineChars="98"/>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（十</w:t>
      </w:r>
      <w:r>
        <w:rPr>
          <w:rFonts w:hint="eastAsia" w:ascii="仿宋" w:hAnsi="仿宋" w:eastAsia="仿宋" w:cs="仿宋"/>
          <w:b/>
          <w:bCs/>
          <w:color w:val="auto"/>
          <w:sz w:val="24"/>
          <w:szCs w:val="24"/>
          <w:lang w:eastAsia="zh-CN"/>
        </w:rPr>
        <w:t>五</w:t>
      </w:r>
      <w:r>
        <w:rPr>
          <w:rFonts w:hint="eastAsia" w:ascii="仿宋" w:hAnsi="仿宋" w:eastAsia="仿宋" w:cs="仿宋"/>
          <w:b/>
          <w:bCs/>
          <w:color w:val="auto"/>
          <w:sz w:val="24"/>
          <w:szCs w:val="24"/>
        </w:rPr>
        <w:t>）响应文件</w:t>
      </w:r>
      <w:r>
        <w:rPr>
          <w:rFonts w:hint="eastAsia" w:ascii="仿宋" w:hAnsi="仿宋" w:eastAsia="仿宋" w:cs="仿宋"/>
          <w:b/>
          <w:bCs/>
          <w:color w:val="auto"/>
          <w:sz w:val="24"/>
          <w:szCs w:val="24"/>
          <w:lang w:eastAsia="zh-CN"/>
        </w:rPr>
        <w:t>的</w:t>
      </w:r>
      <w:r>
        <w:rPr>
          <w:rFonts w:hint="eastAsia" w:ascii="仿宋" w:hAnsi="仿宋" w:eastAsia="仿宋" w:cs="仿宋"/>
          <w:b/>
          <w:bCs/>
          <w:color w:val="auto"/>
          <w:sz w:val="24"/>
          <w:szCs w:val="24"/>
        </w:rPr>
        <w:t>签署</w:t>
      </w:r>
    </w:p>
    <w:p w14:paraId="42E20AAE">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1、除供应商对错处做必要修改外，响应文件不得行间插字、涂改或增删，必要的修改处必须有供应商法人代表或其被授权人</w:t>
      </w:r>
      <w:r>
        <w:rPr>
          <w:rFonts w:hint="eastAsia" w:ascii="仿宋" w:hAnsi="仿宋" w:eastAsia="仿宋" w:cs="仿宋"/>
          <w:color w:val="auto"/>
          <w:sz w:val="24"/>
          <w:szCs w:val="24"/>
          <w:lang w:eastAsia="zh-CN"/>
        </w:rPr>
        <w:t>签章</w:t>
      </w:r>
      <w:r>
        <w:rPr>
          <w:rFonts w:hint="eastAsia" w:ascii="仿宋" w:hAnsi="仿宋" w:eastAsia="仿宋" w:cs="仿宋"/>
          <w:color w:val="auto"/>
          <w:sz w:val="24"/>
          <w:szCs w:val="24"/>
        </w:rPr>
        <w:t>并加盖公章。</w:t>
      </w:r>
    </w:p>
    <w:p w14:paraId="55C2A387">
      <w:pPr>
        <w:snapToGrid w:val="0"/>
        <w:spacing w:line="360" w:lineRule="auto"/>
        <w:ind w:firstLine="490" w:firstLineChars="200"/>
        <w:rPr>
          <w:rFonts w:hint="eastAsia" w:ascii="仿宋" w:hAnsi="仿宋" w:eastAsia="仿宋" w:cs="仿宋"/>
          <w:color w:val="auto"/>
          <w:sz w:val="24"/>
          <w:szCs w:val="24"/>
        </w:rPr>
      </w:pPr>
    </w:p>
    <w:p w14:paraId="64F47255">
      <w:pPr>
        <w:pStyle w:val="3"/>
        <w:rPr>
          <w:rFonts w:hint="eastAsia" w:ascii="仿宋" w:hAnsi="仿宋" w:eastAsia="仿宋" w:cs="仿宋"/>
          <w:b/>
          <w:bCs/>
          <w:color w:val="auto"/>
          <w:sz w:val="24"/>
          <w:szCs w:val="24"/>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的制作、上传及递交要求</w:t>
      </w:r>
    </w:p>
    <w:p w14:paraId="4C33436A">
      <w:pPr>
        <w:keepNext w:val="0"/>
        <w:keepLines w:val="0"/>
        <w:pageBreakBefore w:val="0"/>
        <w:widowControl w:val="0"/>
        <w:kinsoku/>
        <w:wordWrap/>
        <w:overflowPunct/>
        <w:topLinePunct w:val="0"/>
        <w:bidi w:val="0"/>
        <w:snapToGrid w:val="0"/>
        <w:spacing w:line="360" w:lineRule="auto"/>
        <w:ind w:firstLine="490" w:firstLineChars="200"/>
        <w:textAlignment w:val="auto"/>
        <w:rPr>
          <w:rFonts w:hint="eastAsia" w:ascii="仿宋" w:hAnsi="仿宋" w:eastAsia="仿宋" w:cs="仿宋"/>
          <w:b/>
          <w:color w:val="auto"/>
          <w:sz w:val="24"/>
          <w:szCs w:val="24"/>
        </w:rPr>
      </w:pPr>
      <w:r>
        <w:rPr>
          <w:rFonts w:hint="eastAsia" w:ascii="仿宋" w:hAnsi="仿宋" w:eastAsia="仿宋" w:cs="仿宋"/>
          <w:b/>
          <w:bCs/>
          <w:color w:val="auto"/>
          <w:sz w:val="24"/>
          <w:szCs w:val="24"/>
          <w:lang w:eastAsia="zh-CN"/>
        </w:rPr>
        <w:t>（十六）响应文件</w:t>
      </w:r>
      <w:r>
        <w:rPr>
          <w:rFonts w:hint="eastAsia" w:ascii="仿宋" w:hAnsi="仿宋" w:eastAsia="仿宋" w:cs="仿宋"/>
          <w:b/>
          <w:bCs/>
          <w:color w:val="auto"/>
          <w:sz w:val="24"/>
          <w:szCs w:val="24"/>
        </w:rPr>
        <w:t>的制作要求</w:t>
      </w:r>
    </w:p>
    <w:p w14:paraId="4DED662F">
      <w:pPr>
        <w:pStyle w:val="5"/>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（1）供应商应按照</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组成内容及项目招标需求和</w:t>
      </w:r>
      <w:r>
        <w:rPr>
          <w:rFonts w:hint="eastAsia" w:ascii="仿宋" w:hAnsi="仿宋" w:eastAsia="仿宋" w:cs="仿宋"/>
          <w:color w:val="auto"/>
          <w:sz w:val="24"/>
          <w:szCs w:val="24"/>
          <w:lang w:eastAsia="zh-CN"/>
        </w:rPr>
        <w:t>新疆</w:t>
      </w:r>
      <w:r>
        <w:rPr>
          <w:rFonts w:hint="eastAsia" w:ascii="仿宋" w:hAnsi="仿宋" w:eastAsia="仿宋" w:cs="仿宋"/>
          <w:color w:val="auto"/>
          <w:sz w:val="24"/>
          <w:szCs w:val="24"/>
        </w:rPr>
        <w:t>政府采购云平台要求制作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，不按</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新疆</w:t>
      </w:r>
      <w:r>
        <w:rPr>
          <w:rFonts w:hint="eastAsia" w:ascii="仿宋" w:hAnsi="仿宋" w:eastAsia="仿宋" w:cs="仿宋"/>
          <w:color w:val="auto"/>
          <w:sz w:val="24"/>
          <w:szCs w:val="24"/>
        </w:rPr>
        <w:t>政府采购云平台要求制作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的将视情况处理（拒收等），由此产生的责任由供应商自行承担。</w:t>
      </w:r>
    </w:p>
    <w:p w14:paraId="6200E040">
      <w:pPr>
        <w:pStyle w:val="5"/>
        <w:keepNext w:val="0"/>
        <w:keepLines w:val="0"/>
        <w:pageBreakBefore w:val="0"/>
        <w:widowControl w:val="0"/>
        <w:kinsoku/>
        <w:wordWrap/>
        <w:overflowPunct/>
        <w:topLinePunct w:val="0"/>
        <w:bidi w:val="0"/>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部分：供应商应根据“政采云供应商项目采购-电子招投标操作指南”及本</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规定的格式和顺序编制电子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并进行关联定位。本文件《</w:t>
      </w:r>
      <w:r>
        <w:rPr>
          <w:rFonts w:hint="eastAsia" w:ascii="仿宋" w:hAnsi="仿宋" w:eastAsia="仿宋" w:cs="仿宋"/>
          <w:color w:val="auto"/>
          <w:sz w:val="24"/>
          <w:szCs w:val="24"/>
          <w:lang w:eastAsia="zh-CN"/>
        </w:rPr>
        <w:t>第五部分</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格式》中有提供格式的，供应商应按照格式进行编制（格式中要求提供相关证明材料的还需后附相关证明材料），并按格式要求在指定位置根据要求进行签章，否则视为未提供；本文件《</w:t>
      </w:r>
      <w:r>
        <w:rPr>
          <w:rFonts w:hint="eastAsia" w:ascii="仿宋" w:hAnsi="仿宋" w:eastAsia="仿宋" w:cs="仿宋"/>
          <w:color w:val="auto"/>
          <w:sz w:val="24"/>
          <w:szCs w:val="24"/>
          <w:lang w:eastAsia="zh-CN"/>
        </w:rPr>
        <w:t>第五部分响应文件</w:t>
      </w:r>
      <w:r>
        <w:rPr>
          <w:rFonts w:hint="eastAsia" w:ascii="仿宋" w:hAnsi="仿宋" w:eastAsia="仿宋" w:cs="仿宋"/>
          <w:color w:val="auto"/>
          <w:sz w:val="24"/>
          <w:szCs w:val="24"/>
        </w:rPr>
        <w:t>格式》未提供格式的，请供应商自行拟定格式，并加盖单位公章，否则视为未提供。</w:t>
      </w:r>
    </w:p>
    <w:p w14:paraId="3B02FF57">
      <w:pPr>
        <w:pStyle w:val="5"/>
        <w:keepNext w:val="0"/>
        <w:keepLines w:val="0"/>
        <w:pageBreakBefore w:val="0"/>
        <w:widowControl w:val="0"/>
        <w:kinsoku/>
        <w:wordWrap/>
        <w:overflowPunct/>
        <w:topLinePunct w:val="0"/>
        <w:bidi w:val="0"/>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备份电子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：通过“政采云”平台电子投标工具制作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所产生的备份文件。</w:t>
      </w:r>
    </w:p>
    <w:p w14:paraId="7FF46357">
      <w:pPr>
        <w:pStyle w:val="5"/>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（2）供应商应对所提供的全部资料的真实性、有效性承担法律责任，电子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中所须加盖公章部分均采用CA签章。</w:t>
      </w:r>
    </w:p>
    <w:p w14:paraId="100B4C85">
      <w:pPr>
        <w:pStyle w:val="5"/>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以及供应商与采购组织机构就有关投标事宜的所有来往函电，均应以中文汉语书写。除</w:t>
      </w:r>
      <w:r>
        <w:rPr>
          <w:rFonts w:hint="eastAsia" w:ascii="仿宋" w:hAnsi="仿宋" w:eastAsia="仿宋" w:cs="仿宋"/>
          <w:color w:val="auto"/>
          <w:sz w:val="24"/>
          <w:szCs w:val="24"/>
          <w:lang w:eastAsia="zh-CN"/>
        </w:rPr>
        <w:t>签章</w:t>
      </w:r>
      <w:r>
        <w:rPr>
          <w:rFonts w:hint="eastAsia" w:ascii="仿宋" w:hAnsi="仿宋" w:eastAsia="仿宋" w:cs="仿宋"/>
          <w:color w:val="auto"/>
          <w:sz w:val="24"/>
          <w:szCs w:val="24"/>
        </w:rPr>
        <w:t>、盖章、专用名称等特殊情形外，以中文汉语以外的文字表述的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视同未提供。</w:t>
      </w:r>
    </w:p>
    <w:p w14:paraId="3D69A6DE">
      <w:pPr>
        <w:pStyle w:val="5"/>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（4）投标计量单位，</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已有明确规定的，使用</w:t>
      </w:r>
      <w:r>
        <w:rPr>
          <w:rFonts w:hint="eastAsia" w:ascii="仿宋" w:hAnsi="仿宋" w:eastAsia="仿宋" w:cs="仿宋"/>
          <w:color w:val="auto"/>
          <w:sz w:val="24"/>
          <w:szCs w:val="24"/>
          <w:lang w:eastAsia="zh-CN"/>
        </w:rPr>
        <w:t xml:space="preserve">谈判文件 </w:t>
      </w:r>
      <w:r>
        <w:rPr>
          <w:rFonts w:hint="eastAsia" w:ascii="仿宋" w:hAnsi="仿宋" w:eastAsia="仿宋" w:cs="仿宋"/>
          <w:color w:val="auto"/>
          <w:sz w:val="24"/>
          <w:szCs w:val="24"/>
        </w:rPr>
        <w:t>规定的计量单位；</w:t>
      </w:r>
      <w:r>
        <w:rPr>
          <w:rFonts w:hint="eastAsia" w:ascii="仿宋" w:hAnsi="仿宋" w:eastAsia="仿宋" w:cs="仿宋"/>
          <w:color w:val="auto"/>
          <w:sz w:val="24"/>
          <w:szCs w:val="24"/>
          <w:lang w:eastAsia="zh-CN"/>
        </w:rPr>
        <w:t xml:space="preserve">谈判文件 </w:t>
      </w:r>
      <w:r>
        <w:rPr>
          <w:rFonts w:hint="eastAsia" w:ascii="仿宋" w:hAnsi="仿宋" w:eastAsia="仿宋" w:cs="仿宋"/>
          <w:color w:val="auto"/>
          <w:sz w:val="24"/>
          <w:szCs w:val="24"/>
        </w:rPr>
        <w:t>没有规定的，应采用中华人民共和国法定计量单位（货币单位：人民币元）。</w:t>
      </w:r>
    </w:p>
    <w:p w14:paraId="3EA88C40">
      <w:pPr>
        <w:pStyle w:val="5"/>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（5）若供应商不按</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的要求提供资格审查材料，其风险由供应商自行承担。</w:t>
      </w:r>
    </w:p>
    <w:p w14:paraId="146A2715">
      <w:pPr>
        <w:pStyle w:val="5"/>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bCs/>
          <w:color w:val="auto"/>
          <w:sz w:val="24"/>
          <w:szCs w:val="24"/>
          <w:lang w:eastAsia="zh-CN"/>
        </w:rPr>
      </w:pPr>
      <w:r>
        <w:rPr>
          <w:rFonts w:hint="eastAsia" w:ascii="仿宋" w:hAnsi="仿宋" w:eastAsia="仿宋" w:cs="仿宋"/>
          <w:color w:val="auto"/>
          <w:sz w:val="24"/>
          <w:szCs w:val="24"/>
        </w:rPr>
        <w:t>（6）与本次投标无关的内容请不要制作在内，确保</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有针对性、简洁明</w:t>
      </w:r>
      <w:r>
        <w:rPr>
          <w:rFonts w:hint="eastAsia" w:ascii="仿宋" w:hAnsi="仿宋" w:eastAsia="仿宋" w:cs="仿宋"/>
          <w:bCs/>
          <w:color w:val="auto"/>
          <w:sz w:val="24"/>
          <w:szCs w:val="24"/>
        </w:rPr>
        <w:t>了。</w:t>
      </w:r>
    </w:p>
    <w:p w14:paraId="6EB0F744">
      <w:pPr>
        <w:keepNext w:val="0"/>
        <w:keepLines w:val="0"/>
        <w:pageBreakBefore w:val="0"/>
        <w:widowControl w:val="0"/>
        <w:kinsoku/>
        <w:wordWrap/>
        <w:overflowPunct/>
        <w:topLinePunct w:val="0"/>
        <w:bidi w:val="0"/>
        <w:snapToGrid w:val="0"/>
        <w:spacing w:line="360" w:lineRule="auto"/>
        <w:ind w:firstLine="490" w:firstLineChars="200"/>
        <w:textAlignment w:val="auto"/>
        <w:rPr>
          <w:rFonts w:hint="eastAsia" w:ascii="仿宋" w:hAnsi="仿宋" w:eastAsia="仿宋" w:cs="仿宋"/>
          <w:b/>
          <w:color w:val="auto"/>
          <w:sz w:val="24"/>
          <w:szCs w:val="24"/>
        </w:rPr>
      </w:pPr>
      <w:r>
        <w:rPr>
          <w:rFonts w:hint="eastAsia" w:ascii="仿宋" w:hAnsi="仿宋" w:eastAsia="仿宋" w:cs="仿宋"/>
          <w:b/>
          <w:bCs/>
          <w:color w:val="auto"/>
          <w:sz w:val="24"/>
          <w:szCs w:val="24"/>
          <w:lang w:eastAsia="zh-CN"/>
        </w:rPr>
        <w:t>（十七）响应文件</w:t>
      </w:r>
      <w:r>
        <w:rPr>
          <w:rFonts w:hint="eastAsia" w:ascii="仿宋" w:hAnsi="仿宋" w:eastAsia="仿宋" w:cs="仿宋"/>
          <w:b/>
          <w:bCs/>
          <w:color w:val="auto"/>
          <w:sz w:val="24"/>
          <w:szCs w:val="24"/>
        </w:rPr>
        <w:t>的上传</w:t>
      </w:r>
    </w:p>
    <w:p w14:paraId="17407AF5">
      <w:pPr>
        <w:pStyle w:val="5"/>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（1）电子加密响应文件（“.jmbs”格式）：</w:t>
      </w:r>
    </w:p>
    <w:p w14:paraId="17BD915E">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a. 供应商应在投标截止时间前将电子加密响应文件成功上传递交至新疆政府采购云平台，否则投标无效；</w:t>
      </w:r>
    </w:p>
    <w:p w14:paraId="052EA59D">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b.供应商成功上传电子加密响应文件后，可自行打印响应文件接收回执。</w:t>
      </w:r>
    </w:p>
    <w:p w14:paraId="5D57C7D5">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（2）备份响应文件（“.bfbs”格式）：</w:t>
      </w:r>
    </w:p>
    <w:p w14:paraId="6FEA0CE6">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a.供应商可以将备份响应文件打包压缩并加密，压缩包命名为“XX单位备份响应文件”，加密密码由供应商自行保管；送达时间以采购代理机构实际接收时间为准。“备份响应文件”以投标截止时间前指定接收邮箱最终收到的文件为准，逾期或未按要求提供的视为未提供，建议供应商提前1日办理邮件提供事宜（接收人邮箱：</w:t>
      </w:r>
      <w:r>
        <w:rPr>
          <w:color w:val="auto"/>
          <w:sz w:val="24"/>
          <w:szCs w:val="24"/>
        </w:rPr>
        <w:fldChar w:fldCharType="begin"/>
      </w:r>
      <w:r>
        <w:rPr>
          <w:color w:val="auto"/>
          <w:sz w:val="24"/>
          <w:szCs w:val="24"/>
        </w:rPr>
        <w:instrText xml:space="preserve"> HYPERLINK "mailto:1207446769@qq.com，接收人：陈加轲，电话：15157655122" </w:instrText>
      </w:r>
      <w:r>
        <w:rPr>
          <w:color w:val="auto"/>
          <w:sz w:val="24"/>
          <w:szCs w:val="24"/>
        </w:rPr>
        <w:fldChar w:fldCharType="separate"/>
      </w:r>
      <w:r>
        <w:rPr>
          <w:rFonts w:hint="eastAsia" w:ascii="仿宋" w:hAnsi="仿宋" w:eastAsia="仿宋" w:cs="仿宋"/>
          <w:color w:val="auto"/>
          <w:sz w:val="24"/>
          <w:szCs w:val="24"/>
          <w:lang w:val="en-US" w:eastAsia="zh-CN"/>
        </w:rPr>
        <w:t>923150488</w:t>
      </w:r>
      <w:r>
        <w:rPr>
          <w:rFonts w:hint="eastAsia" w:ascii="仿宋" w:hAnsi="仿宋" w:eastAsia="仿宋" w:cs="仿宋"/>
          <w:color w:val="auto"/>
          <w:sz w:val="24"/>
          <w:szCs w:val="24"/>
        </w:rPr>
        <w:t>@qq.com，接收人：</w:t>
      </w:r>
      <w:r>
        <w:rPr>
          <w:rFonts w:hint="eastAsia" w:ascii="仿宋" w:hAnsi="仿宋" w:eastAsia="仿宋" w:cs="仿宋"/>
          <w:color w:val="auto"/>
          <w:sz w:val="24"/>
          <w:szCs w:val="24"/>
          <w:lang w:eastAsia="zh-CN"/>
        </w:rPr>
        <w:t>段女士</w:t>
      </w:r>
      <w:r>
        <w:rPr>
          <w:rFonts w:hint="eastAsia" w:ascii="仿宋" w:hAnsi="仿宋" w:eastAsia="仿宋" w:cs="仿宋"/>
          <w:color w:val="auto"/>
          <w:sz w:val="24"/>
          <w:szCs w:val="24"/>
        </w:rPr>
        <w:t>，电话：1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5349977680</w:t>
      </w:r>
      <w:r>
        <w:rPr>
          <w:rFonts w:hint="eastAsia" w:ascii="仿宋" w:hAnsi="仿宋" w:eastAsia="仿宋" w:cs="仿宋"/>
          <w:color w:val="auto"/>
          <w:sz w:val="24"/>
          <w:szCs w:val="24"/>
        </w:rPr>
        <w:t>）；</w:t>
      </w:r>
    </w:p>
    <w:p w14:paraId="11F3F2D7">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b.通过“新疆政府采购云平台”成功上传递交的“电子加密响应文件”已按时解密的，“备份响应文件”自动失效。投标截止时间前，投标供应商仅递交了“备份响应文件”而未将“电子加密响应文件”成功上传至“政府采购云平台”的，投标无效。</w:t>
      </w:r>
    </w:p>
    <w:p w14:paraId="2BDD3949">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b/>
          <w:bCs/>
          <w:color w:val="auto"/>
          <w:sz w:val="24"/>
          <w:szCs w:val="24"/>
        </w:rPr>
      </w:pPr>
      <w:r>
        <w:rPr>
          <w:rFonts w:hint="eastAsia" w:ascii="仿宋" w:hAnsi="仿宋" w:eastAsia="仿宋" w:cs="仿宋"/>
          <w:b/>
          <w:bCs/>
          <w:color w:val="auto"/>
          <w:sz w:val="24"/>
          <w:szCs w:val="24"/>
          <w:lang w:eastAsia="zh-CN"/>
        </w:rPr>
        <w:t>（十八）响应文件</w:t>
      </w:r>
      <w:r>
        <w:rPr>
          <w:rFonts w:hint="eastAsia" w:ascii="仿宋" w:hAnsi="仿宋" w:eastAsia="仿宋" w:cs="仿宋"/>
          <w:b/>
          <w:bCs/>
          <w:color w:val="auto"/>
          <w:sz w:val="24"/>
          <w:szCs w:val="24"/>
        </w:rPr>
        <w:t>的递交要求</w:t>
      </w:r>
    </w:p>
    <w:p w14:paraId="56672E58">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（1）供应商须按照</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和政采云平台的要求编制并加密</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递交截止时间以前完成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的传输递交，截止时间后递交的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，将被拒收。</w:t>
      </w:r>
    </w:p>
    <w:p w14:paraId="0C605A4D">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（2）备份电子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必须在投标截止时间前送达指定的投标地点。备份电子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在截止时间后提交，采购组织机构将拒绝接收。</w:t>
      </w:r>
    </w:p>
    <w:p w14:paraId="009FAC59">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（3）如有特殊情况，采购组织机构延长截止时间和开标时间，采购组织机构和供应商的权利和义务将受到新的截止时间和开标时间的约束。</w:t>
      </w:r>
    </w:p>
    <w:p w14:paraId="347F0647">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（十九）响应文件的补充、修改与撤回</w:t>
      </w:r>
    </w:p>
    <w:p w14:paraId="3192983C">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撤回。投标截止时间后传输递交的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，“政府采购云平台”将予以拒收。投标截止时间后，供应商不得修改（补充）或撤回其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w:t>
      </w:r>
    </w:p>
    <w:p w14:paraId="13F43312">
      <w:pPr>
        <w:pStyle w:val="3"/>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五、无效标、废标条款</w:t>
      </w:r>
      <w:bookmarkStart w:id="48" w:name="_Toc452657556"/>
      <w:bookmarkStart w:id="49" w:name="_Toc497129141"/>
    </w:p>
    <w:p w14:paraId="72D52031">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hint="eastAsia" w:ascii="仿宋" w:hAnsi="仿宋" w:eastAsia="仿宋" w:cs="仿宋"/>
          <w:b/>
          <w:bCs/>
          <w:color w:val="auto"/>
          <w:sz w:val="24"/>
          <w:szCs w:val="24"/>
          <w:lang w:val="en-US" w:eastAsia="zh-CN" w:bidi="en-US"/>
        </w:rPr>
      </w:pPr>
      <w:r>
        <w:rPr>
          <w:rFonts w:hint="eastAsia" w:ascii="仿宋" w:hAnsi="仿宋" w:eastAsia="仿宋" w:cs="仿宋"/>
          <w:b/>
          <w:bCs/>
          <w:color w:val="auto"/>
          <w:sz w:val="24"/>
          <w:szCs w:val="24"/>
          <w:lang w:val="en-US" w:eastAsia="zh-CN" w:bidi="en-US"/>
        </w:rPr>
        <w:t>（二十）无效标</w:t>
      </w:r>
    </w:p>
    <w:p w14:paraId="1BA72876">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有下列情形之一的，响应文件按无效标处理：</w:t>
      </w:r>
    </w:p>
    <w:p w14:paraId="430C950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报名的投标人与参加投标的投标人发生实质性变更的且未提供有效证明的；</w:t>
      </w:r>
    </w:p>
    <w:p w14:paraId="05E40D1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投标人提交两份或两份以上内容不同的响应文件，未声明哪一份有效的；</w:t>
      </w:r>
    </w:p>
    <w:p w14:paraId="1C02A418">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3、响应文件非投标人法定代表人签署的，未提供或提供无效的法定代表人授权书；</w:t>
      </w:r>
    </w:p>
    <w:p w14:paraId="583733D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4、响应文件内容未按谈判文件规定签章或盖章的；</w:t>
      </w:r>
    </w:p>
    <w:p w14:paraId="5E75C65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、响应文件组成漏项或未按规定的格式编制或响应文件正、副本份数不足或内容不全或内容字迹模糊辨认不清的等而导致评标活动无法正常进行；</w:t>
      </w:r>
    </w:p>
    <w:p w14:paraId="6B8C97F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、投标人未按谈判文件变更通知更改响应文件的；</w:t>
      </w:r>
    </w:p>
    <w:p w14:paraId="0E2ED30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、《开标一览表》和《投标分项报价表》内容不完整且不接受修正意见或字迹不能辨认的或未提供；</w:t>
      </w:r>
    </w:p>
    <w:p w14:paraId="7AEA745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、投标报价超过谈判文件规定的预算金额或最高限价；</w:t>
      </w:r>
    </w:p>
    <w:p w14:paraId="1D1B33B2">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因投标人原因编制错误造成经评标委员会修正后的报价达到或超过投标报价的0.5%；</w:t>
      </w:r>
    </w:p>
    <w:p w14:paraId="25309094">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、投标人的报价明显低于其他通过符合性审查投标人的报价，有可能影响产品质量或者不能诚信履约的，且在规定时间内不能合理说明原因并提供证明材料的；</w:t>
      </w:r>
    </w:p>
    <w:p w14:paraId="1A758B4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未实质性响应谈判文件中条款要求的响应文件；</w:t>
      </w:r>
    </w:p>
    <w:p w14:paraId="693686B5">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、不符合招标范围、技术规格、技术标准的要求无法满足采购人使用要求；</w:t>
      </w:r>
    </w:p>
    <w:p w14:paraId="51E0AB08">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lang w:eastAsia="zh-CN"/>
        </w:rPr>
        <w:t>、响应文件附有采购人不能接受的条款；</w:t>
      </w:r>
    </w:p>
    <w:p w14:paraId="0B5DDA4D">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lang w:eastAsia="zh-CN"/>
        </w:rPr>
        <w:t>、响应文件中提供了赠品或者与本项目采购无关的其他商品、服务；</w:t>
      </w:r>
    </w:p>
    <w:p w14:paraId="014C3A1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、响应文件中承诺的投标有效期少于谈判文件中载明的投标有效期；</w:t>
      </w:r>
    </w:p>
    <w:p w14:paraId="11C38552">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eastAsia="zh-CN"/>
        </w:rPr>
        <w:t>、投标人串通投标，妨碍其他投标人的竞争行为，损害采购人或者其他投标人的合法权益；</w:t>
      </w:r>
    </w:p>
    <w:p w14:paraId="6CC1CF7C">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lang w:eastAsia="zh-CN"/>
        </w:rPr>
        <w:t>、违反国家及政府部门相关法律、法规、文件规定或经评标委员会认定的其他属于重大偏离；</w:t>
      </w:r>
    </w:p>
    <w:p w14:paraId="6C2ED6EB">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hint="eastAsia" w:ascii="仿宋" w:hAnsi="仿宋" w:eastAsia="仿宋" w:cs="仿宋"/>
          <w:b/>
          <w:bCs/>
          <w:color w:val="auto"/>
          <w:sz w:val="24"/>
          <w:szCs w:val="24"/>
          <w:lang w:val="en-US" w:eastAsia="zh-CN" w:bidi="en-US"/>
        </w:rPr>
      </w:pPr>
      <w:r>
        <w:rPr>
          <w:rFonts w:hint="eastAsia" w:ascii="仿宋" w:hAnsi="仿宋" w:eastAsia="仿宋" w:cs="仿宋"/>
          <w:b/>
          <w:bCs/>
          <w:color w:val="auto"/>
          <w:sz w:val="24"/>
          <w:szCs w:val="24"/>
          <w:lang w:val="en-US" w:eastAsia="zh-CN" w:bidi="en-US"/>
        </w:rPr>
        <w:t>（二十一）废标</w:t>
      </w:r>
    </w:p>
    <w:p w14:paraId="05FD1A14">
      <w:pPr>
        <w:keepNext w:val="0"/>
        <w:keepLines w:val="0"/>
        <w:pageBreakBefore w:val="0"/>
        <w:widowControl w:val="0"/>
        <w:kinsoku/>
        <w:wordWrap/>
        <w:overflowPunct/>
        <w:topLinePunct w:val="0"/>
        <w:autoSpaceDE/>
        <w:autoSpaceDN/>
        <w:bidi w:val="0"/>
        <w:adjustRightInd/>
        <w:snapToGrid/>
        <w:spacing w:line="360" w:lineRule="auto"/>
        <w:ind w:firstLine="735" w:firstLineChars="3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符合谈判文件规定废标情形的；</w:t>
      </w:r>
    </w:p>
    <w:p w14:paraId="66AAB3EA">
      <w:pPr>
        <w:keepNext w:val="0"/>
        <w:keepLines w:val="0"/>
        <w:pageBreakBefore w:val="0"/>
        <w:widowControl w:val="0"/>
        <w:kinsoku/>
        <w:wordWrap/>
        <w:overflowPunct/>
        <w:topLinePunct w:val="0"/>
        <w:autoSpaceDE/>
        <w:autoSpaceDN/>
        <w:bidi w:val="0"/>
        <w:adjustRightInd/>
        <w:snapToGrid/>
        <w:spacing w:line="360" w:lineRule="auto"/>
        <w:ind w:firstLine="735" w:firstLineChars="3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出现影响采购公正的违法、违规行为的；</w:t>
      </w:r>
    </w:p>
    <w:p w14:paraId="5CB1B0A4">
      <w:pPr>
        <w:keepNext w:val="0"/>
        <w:keepLines w:val="0"/>
        <w:pageBreakBefore w:val="0"/>
        <w:widowControl w:val="0"/>
        <w:kinsoku/>
        <w:wordWrap/>
        <w:overflowPunct/>
        <w:topLinePunct w:val="0"/>
        <w:autoSpaceDE/>
        <w:autoSpaceDN/>
        <w:bidi w:val="0"/>
        <w:adjustRightInd/>
        <w:snapToGrid/>
        <w:spacing w:line="360" w:lineRule="auto"/>
        <w:ind w:firstLine="735" w:firstLineChars="3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供应商的报价均超过了采购预算（或最高限价），采购人不能支付的;</w:t>
      </w:r>
    </w:p>
    <w:p w14:paraId="14FA7EE5">
      <w:pPr>
        <w:keepNext w:val="0"/>
        <w:keepLines w:val="0"/>
        <w:pageBreakBefore w:val="0"/>
        <w:widowControl w:val="0"/>
        <w:kinsoku/>
        <w:wordWrap/>
        <w:overflowPunct/>
        <w:topLinePunct w:val="0"/>
        <w:autoSpaceDE/>
        <w:autoSpaceDN/>
        <w:bidi w:val="0"/>
        <w:adjustRightInd/>
        <w:snapToGrid/>
        <w:spacing w:line="360" w:lineRule="auto"/>
        <w:ind w:firstLine="735" w:firstLineChars="3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因重大变故，采购任务取消的。</w:t>
      </w:r>
    </w:p>
    <w:p w14:paraId="4D00BB87">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（二十二）突发情况处理</w:t>
      </w:r>
    </w:p>
    <w:p w14:paraId="1CB462E4">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采购过程中出现以下情形，导致电子交易平台无法正常运行，或者无法保证电子交易的公平、公正和安全时，采购组织机构可中止电子交易活动：</w:t>
      </w:r>
    </w:p>
    <w:p w14:paraId="7DE55315">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（1）电子交易平台发生故障而无法登录访问的； </w:t>
      </w:r>
    </w:p>
    <w:p w14:paraId="5DDD2660">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（2）电子交易平台应用或数据库出现错误，不能进行正常操作的；</w:t>
      </w:r>
    </w:p>
    <w:p w14:paraId="63FBF59F">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（3）电子交易平台发现严重安全漏洞，有潜在泄密危险的；</w:t>
      </w:r>
    </w:p>
    <w:p w14:paraId="0FDEE430">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（4）病毒发作导致不能进行正常操作的； </w:t>
      </w:r>
    </w:p>
    <w:p w14:paraId="4172A352">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（5）其他无法保证电子交易的公平、公正和安全的情况。</w:t>
      </w:r>
    </w:p>
    <w:p w14:paraId="0D588C9C">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76E8EAF2">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采购代理机构或评审小组因不可抗力（不可抗力包括但不限于自然灾害、断电、传播疫病等）原因造成电子交易活动无法正常运行的，将采取以下措施：</w:t>
      </w:r>
    </w:p>
    <w:p w14:paraId="01B1ECD4">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（1）短时间内能消除不可抗力因素的，采购代理机构或评审小组在消除不可抗力因素后继续组织电子交易活动； </w:t>
      </w:r>
    </w:p>
    <w:p w14:paraId="714F5FD3">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（2）长时间内无法消除不可抗力因素的，采购代理机构或评审小组将中止电子交易活动。中止电子交易活动的，采购人应当重新组织政府采购活动。</w:t>
      </w:r>
    </w:p>
    <w:p w14:paraId="4DB155D3">
      <w:pPr>
        <w:pStyle w:val="3"/>
        <w:jc w:val="center"/>
        <w:rPr>
          <w:rFonts w:hint="eastAsia" w:ascii="仿宋" w:hAnsi="仿宋" w:eastAsia="仿宋" w:cs="仿宋"/>
          <w:color w:val="auto"/>
          <w:sz w:val="28"/>
          <w:szCs w:val="28"/>
        </w:rPr>
      </w:pPr>
    </w:p>
    <w:p w14:paraId="0A32CD7C">
      <w:pPr>
        <w:pStyle w:val="3"/>
        <w:jc w:val="center"/>
        <w:rPr>
          <w:rFonts w:ascii="仿宋" w:hAnsi="仿宋" w:eastAsia="仿宋" w:cs="仿宋"/>
          <w:color w:val="auto"/>
          <w:sz w:val="28"/>
          <w:szCs w:val="28"/>
        </w:rPr>
      </w:pPr>
      <w:r>
        <w:rPr>
          <w:rFonts w:hint="eastAsia" w:ascii="仿宋" w:hAnsi="仿宋" w:eastAsia="仿宋" w:cs="仿宋"/>
          <w:color w:val="auto"/>
          <w:sz w:val="28"/>
          <w:szCs w:val="28"/>
        </w:rPr>
        <w:t>六、开标</w:t>
      </w:r>
      <w:r>
        <w:rPr>
          <w:rFonts w:hint="eastAsia" w:ascii="仿宋" w:hAnsi="仿宋" w:eastAsia="仿宋" w:cs="仿宋"/>
          <w:color w:val="auto"/>
          <w:sz w:val="28"/>
          <w:szCs w:val="28"/>
          <w:lang w:eastAsia="zh-CN"/>
        </w:rPr>
        <w:t>、评标和定标</w:t>
      </w:r>
      <w:bookmarkEnd w:id="48"/>
      <w:bookmarkEnd w:id="49"/>
    </w:p>
    <w:p w14:paraId="360CE1FB">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（二十</w:t>
      </w:r>
      <w:r>
        <w:rPr>
          <w:rFonts w:hint="eastAsia" w:ascii="仿宋" w:hAnsi="仿宋" w:eastAsia="仿宋" w:cs="仿宋"/>
          <w:b/>
          <w:bCs/>
          <w:color w:val="auto"/>
          <w:sz w:val="24"/>
          <w:szCs w:val="24"/>
          <w:lang w:eastAsia="zh-CN"/>
        </w:rPr>
        <w:t>三</w:t>
      </w:r>
      <w:r>
        <w:rPr>
          <w:rFonts w:hint="eastAsia" w:ascii="仿宋" w:hAnsi="仿宋" w:eastAsia="仿宋" w:cs="仿宋"/>
          <w:b/>
          <w:bCs/>
          <w:color w:val="auto"/>
          <w:sz w:val="24"/>
          <w:szCs w:val="24"/>
        </w:rPr>
        <w:t>）开标程序</w:t>
      </w:r>
    </w:p>
    <w:p w14:paraId="7B447430">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开标时间到后，主持人宣布开标会议开始。</w:t>
      </w:r>
    </w:p>
    <w:p w14:paraId="637E064F">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（2）响应文件</w:t>
      </w:r>
      <w:r>
        <w:rPr>
          <w:rFonts w:hint="eastAsia" w:ascii="仿宋" w:hAnsi="仿宋" w:eastAsia="仿宋" w:cs="仿宋"/>
          <w:color w:val="auto"/>
          <w:sz w:val="24"/>
          <w:szCs w:val="24"/>
        </w:rPr>
        <w:t>解密（</w:t>
      </w:r>
      <w:r>
        <w:rPr>
          <w:rFonts w:hint="eastAsia" w:ascii="仿宋" w:hAnsi="仿宋" w:eastAsia="仿宋" w:cs="仿宋"/>
          <w:b/>
          <w:color w:val="auto"/>
          <w:sz w:val="24"/>
          <w:szCs w:val="24"/>
        </w:rPr>
        <w:t>解密规定见《供应商须知前附表》</w:t>
      </w:r>
      <w:r>
        <w:rPr>
          <w:rFonts w:hint="eastAsia" w:ascii="仿宋" w:hAnsi="仿宋" w:eastAsia="仿宋" w:cs="仿宋"/>
          <w:color w:val="auto"/>
          <w:sz w:val="24"/>
          <w:szCs w:val="24"/>
        </w:rPr>
        <w:t>）。</w:t>
      </w:r>
    </w:p>
    <w:p w14:paraId="65D35D5B">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（3）响应文件</w:t>
      </w:r>
      <w:r>
        <w:rPr>
          <w:rFonts w:hint="eastAsia" w:ascii="仿宋" w:hAnsi="仿宋" w:eastAsia="仿宋" w:cs="仿宋"/>
          <w:color w:val="auto"/>
          <w:sz w:val="24"/>
          <w:szCs w:val="24"/>
        </w:rPr>
        <w:t>解密异常情况处理（</w:t>
      </w:r>
      <w:r>
        <w:rPr>
          <w:rFonts w:hint="eastAsia" w:ascii="仿宋" w:hAnsi="仿宋" w:eastAsia="仿宋" w:cs="仿宋"/>
          <w:b/>
          <w:color w:val="auto"/>
          <w:sz w:val="24"/>
          <w:szCs w:val="24"/>
        </w:rPr>
        <w:t>处理办法见《供应商须知前附表》</w:t>
      </w:r>
      <w:r>
        <w:rPr>
          <w:rFonts w:hint="eastAsia" w:ascii="仿宋" w:hAnsi="仿宋" w:eastAsia="仿宋" w:cs="仿宋"/>
          <w:color w:val="auto"/>
          <w:sz w:val="24"/>
          <w:szCs w:val="24"/>
        </w:rPr>
        <w:t>）。</w:t>
      </w:r>
    </w:p>
    <w:p w14:paraId="4D5D5AA9">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（4）</w:t>
      </w:r>
      <w:r>
        <w:rPr>
          <w:rFonts w:hint="eastAsia" w:ascii="仿宋" w:hAnsi="仿宋" w:eastAsia="仿宋" w:cs="仿宋"/>
          <w:color w:val="auto"/>
          <w:sz w:val="24"/>
          <w:szCs w:val="24"/>
        </w:rPr>
        <w:t>公布</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解密情况（</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成功解密的供应商名单等信息），组织签署</w:t>
      </w:r>
      <w:r>
        <w:rPr>
          <w:rFonts w:hint="eastAsia" w:ascii="仿宋" w:hAnsi="仿宋" w:eastAsia="仿宋" w:cs="仿宋"/>
          <w:b/>
          <w:bCs/>
          <w:color w:val="auto"/>
          <w:sz w:val="24"/>
          <w:szCs w:val="24"/>
        </w:rPr>
        <w:t>《政府采购活动现场确认声明书》，供应商应在20分钟内通过邮件形式将经签署的《政府采购活动现场确认声明书》发送至采购代理机构指定邮箱</w:t>
      </w:r>
      <w:r>
        <w:rPr>
          <w:rFonts w:hint="eastAsia" w:ascii="仿宋" w:hAnsi="仿宋" w:eastAsia="仿宋" w:cs="仿宋"/>
          <w:b/>
          <w:bCs/>
          <w:color w:val="auto"/>
          <w:sz w:val="24"/>
          <w:szCs w:val="24"/>
          <w:lang w:val="en-US" w:eastAsia="zh-CN"/>
        </w:rPr>
        <w:t>923150488</w:t>
      </w:r>
      <w:r>
        <w:rPr>
          <w:rFonts w:hint="eastAsia" w:ascii="仿宋" w:hAnsi="仿宋" w:eastAsia="仿宋" w:cs="仿宋"/>
          <w:b/>
          <w:bCs/>
          <w:color w:val="auto"/>
          <w:sz w:val="24"/>
          <w:szCs w:val="24"/>
          <w:lang w:eastAsia="zh-CN"/>
        </w:rPr>
        <w:t>@qq.com</w:t>
      </w:r>
      <w:r>
        <w:rPr>
          <w:rFonts w:hint="eastAsia" w:ascii="仿宋" w:hAnsi="仿宋" w:eastAsia="仿宋" w:cs="仿宋"/>
          <w:b/>
          <w:bCs/>
          <w:color w:val="auto"/>
          <w:sz w:val="24"/>
          <w:szCs w:val="24"/>
        </w:rPr>
        <w:t xml:space="preserve"> ，逾期发送或未发送的视为无异议</w:t>
      </w:r>
      <w:r>
        <w:rPr>
          <w:rFonts w:hint="eastAsia" w:ascii="仿宋" w:hAnsi="仿宋" w:eastAsia="仿宋" w:cs="仿宋"/>
          <w:color w:val="auto"/>
          <w:sz w:val="24"/>
          <w:szCs w:val="24"/>
        </w:rPr>
        <w:t>。</w:t>
      </w:r>
    </w:p>
    <w:p w14:paraId="7484CD0E">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（5）</w:t>
      </w:r>
      <w:r>
        <w:rPr>
          <w:rFonts w:hint="eastAsia" w:ascii="仿宋" w:hAnsi="仿宋" w:eastAsia="仿宋" w:cs="仿宋"/>
          <w:color w:val="auto"/>
          <w:sz w:val="24"/>
          <w:szCs w:val="24"/>
        </w:rPr>
        <w:t>开启标书信息（资格</w:t>
      </w:r>
      <w:r>
        <w:rPr>
          <w:rFonts w:hint="eastAsia" w:ascii="仿宋" w:hAnsi="仿宋" w:eastAsia="仿宋" w:cs="仿宋"/>
          <w:color w:val="auto"/>
          <w:sz w:val="24"/>
          <w:szCs w:val="24"/>
          <w:lang w:eastAsia="zh-CN"/>
        </w:rPr>
        <w:t>证明</w:t>
      </w:r>
      <w:r>
        <w:rPr>
          <w:rFonts w:hint="eastAsia" w:ascii="仿宋" w:hAnsi="仿宋" w:eastAsia="仿宋" w:cs="仿宋"/>
          <w:color w:val="auto"/>
          <w:sz w:val="24"/>
          <w:szCs w:val="24"/>
        </w:rPr>
        <w:t>文件、商务技术文件）。标书信息开启后，首先由采购人或采购代理机构</w:t>
      </w:r>
      <w:r>
        <w:rPr>
          <w:rFonts w:hint="eastAsia" w:ascii="仿宋" w:hAnsi="仿宋" w:eastAsia="仿宋" w:cs="仿宋"/>
          <w:color w:val="auto"/>
          <w:sz w:val="24"/>
          <w:szCs w:val="24"/>
          <w:lang w:eastAsia="zh-CN"/>
        </w:rPr>
        <w:t>或评审小组</w:t>
      </w:r>
      <w:r>
        <w:rPr>
          <w:rFonts w:hint="eastAsia" w:ascii="仿宋" w:hAnsi="仿宋" w:eastAsia="仿宋" w:cs="仿宋"/>
          <w:color w:val="auto"/>
          <w:sz w:val="24"/>
          <w:szCs w:val="24"/>
        </w:rPr>
        <w:t>依法对投标供应商的资格</w:t>
      </w:r>
      <w:r>
        <w:rPr>
          <w:rFonts w:hint="eastAsia" w:ascii="仿宋" w:hAnsi="仿宋" w:eastAsia="仿宋" w:cs="仿宋"/>
          <w:color w:val="auto"/>
          <w:sz w:val="24"/>
          <w:szCs w:val="24"/>
          <w:lang w:eastAsia="zh-CN"/>
        </w:rPr>
        <w:t>证明</w:t>
      </w:r>
      <w:r>
        <w:rPr>
          <w:rFonts w:hint="eastAsia" w:ascii="仿宋" w:hAnsi="仿宋" w:eastAsia="仿宋" w:cs="仿宋"/>
          <w:color w:val="auto"/>
          <w:sz w:val="24"/>
          <w:szCs w:val="24"/>
        </w:rPr>
        <w:t>文件进行审查（具体见资格性检查）， 审查结束公布投标供应商的资格符合情况。资格审查未获通过的供应商，其商务技术文件及报价文件不再进入评审。</w:t>
      </w:r>
    </w:p>
    <w:p w14:paraId="14DF5C63">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rPr>
        <w:t>开启有效投标供应商的报价，公布开标一览表有关内容，</w:t>
      </w:r>
      <w:r>
        <w:rPr>
          <w:rFonts w:hint="eastAsia" w:ascii="仿宋" w:hAnsi="仿宋" w:eastAsia="仿宋" w:cs="仿宋"/>
          <w:color w:val="auto"/>
          <w:sz w:val="24"/>
          <w:szCs w:val="24"/>
          <w:lang w:bidi="zh-CN"/>
        </w:rPr>
        <w:t>并【开启签章时段】，供应商对开标记录进行在线签章确认（不予确认的应说明理由，否则视为无异议）</w:t>
      </w:r>
      <w:r>
        <w:rPr>
          <w:rFonts w:hint="eastAsia" w:ascii="仿宋" w:hAnsi="仿宋" w:eastAsia="仿宋" w:cs="仿宋"/>
          <w:color w:val="auto"/>
          <w:sz w:val="24"/>
          <w:szCs w:val="24"/>
        </w:rPr>
        <w:t>。开标结束后，由评标委员会对报价的合理性、准确性等进行审查核实。</w:t>
      </w:r>
    </w:p>
    <w:p w14:paraId="6A9AD940">
      <w:pPr>
        <w:keepNext w:val="0"/>
        <w:keepLines w:val="0"/>
        <w:pageBreakBefore w:val="0"/>
        <w:widowControl w:val="0"/>
        <w:kinsoku/>
        <w:wordWrap/>
        <w:overflowPunct/>
        <w:topLinePunct w:val="0"/>
        <w:bidi w:val="0"/>
        <w:snapToGrid w:val="0"/>
        <w:spacing w:line="360" w:lineRule="auto"/>
        <w:ind w:firstLine="490" w:firstLineChars="200"/>
        <w:textAlignment w:val="auto"/>
        <w:rPr>
          <w:color w:val="auto"/>
          <w:sz w:val="24"/>
          <w:szCs w:val="24"/>
        </w:rPr>
      </w:pPr>
      <w:r>
        <w:rPr>
          <w:rFonts w:hint="eastAsia" w:ascii="仿宋" w:hAnsi="仿宋" w:eastAsia="仿宋" w:cs="仿宋"/>
          <w:color w:val="auto"/>
          <w:sz w:val="24"/>
          <w:szCs w:val="24"/>
          <w:lang w:eastAsia="zh-CN"/>
        </w:rPr>
        <w:t>（7）商务技术评审结束后，主持人公布商务技术评审无效投标供应商名单和商务技术评审有效投标供应商名单。商务技术评审无效的供应商，其报价不再进入评审。</w:t>
      </w:r>
    </w:p>
    <w:p w14:paraId="255D465A">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（8）</w:t>
      </w:r>
      <w:r>
        <w:rPr>
          <w:rFonts w:hint="eastAsia" w:ascii="仿宋" w:hAnsi="仿宋" w:eastAsia="仿宋" w:cs="仿宋"/>
          <w:color w:val="auto"/>
          <w:sz w:val="24"/>
          <w:szCs w:val="24"/>
        </w:rPr>
        <w:t>评审结束后，采购代理机构在系统上公布评审结果。</w:t>
      </w:r>
    </w:p>
    <w:p w14:paraId="45582E00">
      <w:pPr>
        <w:keepNext w:val="0"/>
        <w:keepLines w:val="0"/>
        <w:pageBreakBefore w:val="0"/>
        <w:widowControl w:val="0"/>
        <w:kinsoku/>
        <w:wordWrap/>
        <w:overflowPunct/>
        <w:topLinePunct w:val="0"/>
        <w:bidi w:val="0"/>
        <w:snapToGrid w:val="0"/>
        <w:spacing w:line="360" w:lineRule="auto"/>
        <w:ind w:left="480"/>
        <w:textAlignment w:val="auto"/>
        <w:rPr>
          <w:rFonts w:ascii="仿宋" w:hAnsi="仿宋" w:eastAsia="仿宋" w:cs="仿宋"/>
          <w:b/>
          <w:color w:val="auto"/>
          <w:sz w:val="24"/>
          <w:szCs w:val="24"/>
        </w:rPr>
      </w:pPr>
      <w:r>
        <w:rPr>
          <w:rFonts w:hint="eastAsia" w:ascii="仿宋" w:hAnsi="仿宋" w:eastAsia="仿宋" w:cs="仿宋"/>
          <w:b/>
          <w:color w:val="auto"/>
          <w:sz w:val="24"/>
          <w:szCs w:val="24"/>
        </w:rPr>
        <w:t>特别情况说明：</w:t>
      </w:r>
    </w:p>
    <w:p w14:paraId="0F286806">
      <w:pPr>
        <w:keepNext w:val="0"/>
        <w:keepLines w:val="0"/>
        <w:pageBreakBefore w:val="0"/>
        <w:widowControl w:val="0"/>
        <w:kinsoku/>
        <w:wordWrap/>
        <w:overflowPunct/>
        <w:topLinePunct w:val="0"/>
        <w:bidi w:val="0"/>
        <w:snapToGrid w:val="0"/>
        <w:spacing w:line="360" w:lineRule="auto"/>
        <w:ind w:firstLine="432" w:firstLineChars="177"/>
        <w:textAlignment w:val="auto"/>
        <w:rPr>
          <w:rFonts w:ascii="仿宋" w:hAnsi="仿宋" w:eastAsia="仿宋" w:cs="仿宋"/>
          <w:b/>
          <w:color w:val="auto"/>
          <w:sz w:val="24"/>
          <w:szCs w:val="24"/>
        </w:rPr>
      </w:pPr>
      <w:r>
        <w:rPr>
          <w:rFonts w:hint="eastAsia" w:ascii="仿宋" w:hAnsi="仿宋" w:eastAsia="仿宋" w:cs="仿宋"/>
          <w:b/>
          <w:color w:val="auto"/>
          <w:sz w:val="24"/>
          <w:szCs w:val="24"/>
        </w:rPr>
        <w:t>（1）本项目采用电子交易，如遇“</w:t>
      </w:r>
      <w:r>
        <w:rPr>
          <w:rFonts w:hint="eastAsia" w:ascii="仿宋" w:hAnsi="仿宋" w:eastAsia="仿宋" w:cs="仿宋"/>
          <w:b/>
          <w:color w:val="auto"/>
          <w:sz w:val="24"/>
          <w:szCs w:val="24"/>
          <w:lang w:eastAsia="zh-CN"/>
        </w:rPr>
        <w:t>新疆</w:t>
      </w:r>
      <w:r>
        <w:rPr>
          <w:rFonts w:hint="eastAsia" w:ascii="仿宋" w:hAnsi="仿宋" w:eastAsia="仿宋" w:cs="仿宋"/>
          <w:b/>
          <w:color w:val="auto"/>
          <w:sz w:val="24"/>
          <w:szCs w:val="24"/>
        </w:rPr>
        <w:t>政府采购云平台”电子化开标或评审程序调整的，按调整后程序执行。</w:t>
      </w:r>
    </w:p>
    <w:p w14:paraId="4BF7C5AF">
      <w:pPr>
        <w:keepNext w:val="0"/>
        <w:keepLines w:val="0"/>
        <w:pageBreakBefore w:val="0"/>
        <w:widowControl w:val="0"/>
        <w:kinsoku/>
        <w:wordWrap/>
        <w:overflowPunct/>
        <w:topLinePunct w:val="0"/>
        <w:bidi w:val="0"/>
        <w:snapToGrid w:val="0"/>
        <w:spacing w:line="360" w:lineRule="auto"/>
        <w:ind w:firstLine="432" w:firstLineChars="177"/>
        <w:textAlignment w:val="auto"/>
        <w:rPr>
          <w:rFonts w:ascii="仿宋" w:hAnsi="仿宋" w:eastAsia="仿宋" w:cs="仿宋"/>
          <w:b/>
          <w:color w:val="auto"/>
          <w:sz w:val="24"/>
          <w:szCs w:val="24"/>
        </w:rPr>
      </w:pPr>
      <w:r>
        <w:rPr>
          <w:rFonts w:hint="eastAsia" w:ascii="仿宋" w:hAnsi="仿宋" w:eastAsia="仿宋" w:cs="仿宋"/>
          <w:b/>
          <w:color w:val="auto"/>
          <w:sz w:val="24"/>
          <w:szCs w:val="24"/>
        </w:rPr>
        <w:t>（2）开标过程中需要相关当事人进行</w:t>
      </w:r>
      <w:r>
        <w:rPr>
          <w:rFonts w:hint="eastAsia" w:ascii="仿宋" w:hAnsi="仿宋" w:eastAsia="仿宋" w:cs="仿宋"/>
          <w:b/>
          <w:color w:val="auto"/>
          <w:sz w:val="24"/>
          <w:szCs w:val="24"/>
          <w:lang w:eastAsia="zh-CN"/>
        </w:rPr>
        <w:t>签章</w:t>
      </w:r>
      <w:r>
        <w:rPr>
          <w:rFonts w:hint="eastAsia" w:ascii="仿宋" w:hAnsi="仿宋" w:eastAsia="仿宋" w:cs="仿宋"/>
          <w:b/>
          <w:color w:val="auto"/>
          <w:sz w:val="24"/>
          <w:szCs w:val="24"/>
        </w:rPr>
        <w:t>或盖章确认的材料将通过“政府采购云平台”进行，若因“政府采购云平台”技术问题无法进行</w:t>
      </w:r>
      <w:r>
        <w:rPr>
          <w:rFonts w:hint="eastAsia" w:ascii="仿宋" w:hAnsi="仿宋" w:eastAsia="仿宋" w:cs="仿宋"/>
          <w:b/>
          <w:color w:val="auto"/>
          <w:sz w:val="24"/>
          <w:szCs w:val="24"/>
          <w:lang w:eastAsia="zh-CN"/>
        </w:rPr>
        <w:t>签章</w:t>
      </w:r>
      <w:r>
        <w:rPr>
          <w:rFonts w:hint="eastAsia" w:ascii="仿宋" w:hAnsi="仿宋" w:eastAsia="仿宋" w:cs="仿宋"/>
          <w:b/>
          <w:color w:val="auto"/>
          <w:sz w:val="24"/>
          <w:szCs w:val="24"/>
        </w:rPr>
        <w:t>或盖章确认的，采购组织机构将通过电子邮件等形式予以确认，</w:t>
      </w:r>
      <w:r>
        <w:rPr>
          <w:rFonts w:hint="eastAsia" w:ascii="仿宋" w:hAnsi="仿宋" w:eastAsia="仿宋" w:cs="仿宋"/>
          <w:b/>
          <w:color w:val="auto"/>
          <w:sz w:val="24"/>
          <w:szCs w:val="24"/>
          <w:u w:val="single"/>
        </w:rPr>
        <w:t>请供应商保证办理投标事宜人员电话畅通、网络在线，</w:t>
      </w:r>
      <w:r>
        <w:rPr>
          <w:rFonts w:hint="eastAsia" w:ascii="仿宋" w:hAnsi="仿宋" w:eastAsia="仿宋" w:cs="仿宋"/>
          <w:b/>
          <w:color w:val="auto"/>
          <w:sz w:val="24"/>
          <w:szCs w:val="24"/>
          <w:u w:val="single"/>
          <w:lang w:eastAsia="zh-CN"/>
        </w:rPr>
        <w:t>签章</w:t>
      </w:r>
      <w:r>
        <w:rPr>
          <w:rFonts w:hint="eastAsia" w:ascii="仿宋" w:hAnsi="仿宋" w:eastAsia="仿宋" w:cs="仿宋"/>
          <w:b/>
          <w:color w:val="auto"/>
          <w:sz w:val="24"/>
          <w:szCs w:val="24"/>
          <w:u w:val="single"/>
        </w:rPr>
        <w:t>或盖章确认的时间为20分钟。如未及时</w:t>
      </w:r>
      <w:r>
        <w:rPr>
          <w:rFonts w:hint="eastAsia" w:ascii="仿宋" w:hAnsi="仿宋" w:eastAsia="仿宋" w:cs="仿宋"/>
          <w:b/>
          <w:color w:val="auto"/>
          <w:sz w:val="24"/>
          <w:szCs w:val="24"/>
          <w:u w:val="single"/>
          <w:lang w:eastAsia="zh-CN"/>
        </w:rPr>
        <w:t>签章</w:t>
      </w:r>
      <w:r>
        <w:rPr>
          <w:rFonts w:hint="eastAsia" w:ascii="仿宋" w:hAnsi="仿宋" w:eastAsia="仿宋" w:cs="仿宋"/>
          <w:b/>
          <w:color w:val="auto"/>
          <w:sz w:val="24"/>
          <w:szCs w:val="24"/>
          <w:u w:val="single"/>
        </w:rPr>
        <w:t>或盖章确认的，视为无异议</w:t>
      </w:r>
      <w:r>
        <w:rPr>
          <w:rFonts w:hint="eastAsia" w:ascii="仿宋" w:hAnsi="仿宋" w:eastAsia="仿宋" w:cs="仿宋"/>
          <w:b/>
          <w:color w:val="auto"/>
          <w:sz w:val="24"/>
          <w:szCs w:val="24"/>
        </w:rPr>
        <w:t>。</w:t>
      </w:r>
    </w:p>
    <w:p w14:paraId="2CB7207C">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b/>
          <w:color w:val="auto"/>
          <w:sz w:val="24"/>
          <w:szCs w:val="24"/>
        </w:rPr>
      </w:pPr>
      <w:r>
        <w:rPr>
          <w:rFonts w:hint="eastAsia" w:ascii="仿宋" w:hAnsi="仿宋" w:eastAsia="仿宋" w:cs="仿宋"/>
          <w:b/>
          <w:color w:val="auto"/>
          <w:sz w:val="24"/>
          <w:szCs w:val="24"/>
          <w:lang w:eastAsia="zh-CN"/>
        </w:rPr>
        <w:t>3.</w:t>
      </w:r>
      <w:r>
        <w:rPr>
          <w:rFonts w:hint="eastAsia" w:ascii="仿宋" w:hAnsi="仿宋" w:eastAsia="仿宋" w:cs="仿宋"/>
          <w:b/>
          <w:color w:val="auto"/>
          <w:sz w:val="24"/>
          <w:szCs w:val="24"/>
        </w:rPr>
        <w:t>投标供应商资格审查：</w:t>
      </w:r>
    </w:p>
    <w:p w14:paraId="5D17A3A2">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bCs/>
          <w:color w:val="auto"/>
          <w:sz w:val="24"/>
          <w:szCs w:val="24"/>
        </w:rPr>
        <w:t>开标（标书信息开启）后，采购人或采购代理机构</w:t>
      </w:r>
      <w:r>
        <w:rPr>
          <w:rFonts w:hint="eastAsia" w:ascii="仿宋" w:hAnsi="仿宋" w:eastAsia="仿宋" w:cs="仿宋"/>
          <w:bCs/>
          <w:color w:val="auto"/>
          <w:sz w:val="24"/>
          <w:szCs w:val="24"/>
          <w:lang w:eastAsia="zh-CN"/>
        </w:rPr>
        <w:t>或</w:t>
      </w:r>
      <w:r>
        <w:rPr>
          <w:rFonts w:hint="eastAsia" w:ascii="仿宋" w:hAnsi="仿宋" w:eastAsia="仿宋" w:cs="仿宋"/>
          <w:color w:val="auto"/>
          <w:sz w:val="24"/>
          <w:szCs w:val="24"/>
          <w:lang w:eastAsia="zh-CN"/>
        </w:rPr>
        <w:t>评审小组</w:t>
      </w:r>
      <w:r>
        <w:rPr>
          <w:rFonts w:hint="eastAsia" w:ascii="仿宋" w:hAnsi="仿宋" w:eastAsia="仿宋" w:cs="仿宋"/>
          <w:bCs/>
          <w:color w:val="auto"/>
          <w:sz w:val="24"/>
          <w:szCs w:val="24"/>
        </w:rPr>
        <w:t>首先依法对投标供应商的资格文件进行审查，审查各投标供应商的资格符合情况。</w:t>
      </w:r>
      <w:r>
        <w:rPr>
          <w:rFonts w:hint="eastAsia" w:ascii="仿宋" w:hAnsi="仿宋" w:eastAsia="仿宋" w:cs="仿宋"/>
          <w:color w:val="auto"/>
          <w:sz w:val="24"/>
          <w:szCs w:val="24"/>
        </w:rPr>
        <w:t>采购人或采购代理机构</w:t>
      </w:r>
      <w:r>
        <w:rPr>
          <w:rFonts w:hint="eastAsia" w:ascii="仿宋" w:hAnsi="仿宋" w:eastAsia="仿宋" w:cs="仿宋"/>
          <w:bCs/>
          <w:color w:val="auto"/>
          <w:sz w:val="24"/>
          <w:szCs w:val="24"/>
          <w:lang w:eastAsia="zh-CN"/>
        </w:rPr>
        <w:t>或</w:t>
      </w:r>
      <w:r>
        <w:rPr>
          <w:rFonts w:hint="eastAsia" w:ascii="仿宋" w:hAnsi="仿宋" w:eastAsia="仿宋" w:cs="仿宋"/>
          <w:color w:val="auto"/>
          <w:sz w:val="24"/>
          <w:szCs w:val="24"/>
          <w:lang w:eastAsia="zh-CN"/>
        </w:rPr>
        <w:t>评审小组</w:t>
      </w:r>
      <w:r>
        <w:rPr>
          <w:rFonts w:hint="eastAsia" w:ascii="仿宋" w:hAnsi="仿宋" w:eastAsia="仿宋" w:cs="仿宋"/>
          <w:color w:val="auto"/>
          <w:sz w:val="24"/>
          <w:szCs w:val="24"/>
        </w:rPr>
        <w:t>对投标供应商所提交的资格证明材料仅负审核的责任。如发现投标供应商所提交的资格证明材料不合法或与事实不符，采购人可取消其中标资格并追究投标供应商的法律责任。</w:t>
      </w:r>
    </w:p>
    <w:p w14:paraId="5BD8F7A0">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bCs/>
          <w:color w:val="auto"/>
          <w:sz w:val="24"/>
          <w:szCs w:val="24"/>
        </w:rPr>
      </w:pPr>
      <w:r>
        <w:rPr>
          <w:rFonts w:hint="eastAsia" w:ascii="仿宋" w:hAnsi="仿宋" w:eastAsia="仿宋" w:cs="仿宋"/>
          <w:bCs/>
          <w:color w:val="auto"/>
          <w:sz w:val="24"/>
          <w:szCs w:val="24"/>
        </w:rPr>
        <w:t>（2）投标供应商提交的资格证明材料无法证明其符合</w:t>
      </w:r>
      <w:r>
        <w:rPr>
          <w:rFonts w:hint="eastAsia" w:ascii="仿宋" w:hAnsi="仿宋" w:eastAsia="仿宋" w:cs="仿宋"/>
          <w:bCs/>
          <w:color w:val="auto"/>
          <w:sz w:val="24"/>
          <w:szCs w:val="24"/>
          <w:lang w:eastAsia="zh-CN"/>
        </w:rPr>
        <w:t xml:space="preserve">谈判文件 </w:t>
      </w:r>
      <w:r>
        <w:rPr>
          <w:rFonts w:hint="eastAsia" w:ascii="仿宋" w:hAnsi="仿宋" w:eastAsia="仿宋" w:cs="仿宋"/>
          <w:bCs/>
          <w:color w:val="auto"/>
          <w:sz w:val="24"/>
          <w:szCs w:val="24"/>
        </w:rPr>
        <w:t>规定的“投标供应商资格要求”的，采购人或采购代理机构将对其作“资格审查不合格”处理（无效投标），并不再将其投标提交评标委员会进行后续评审。</w:t>
      </w:r>
    </w:p>
    <w:p w14:paraId="383D1E3B">
      <w:pPr>
        <w:pStyle w:val="5"/>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bCs/>
          <w:color w:val="auto"/>
          <w:sz w:val="24"/>
          <w:szCs w:val="24"/>
        </w:rPr>
      </w:pPr>
      <w:r>
        <w:rPr>
          <w:rFonts w:hint="eastAsia" w:ascii="仿宋" w:hAnsi="仿宋" w:eastAsia="仿宋" w:cs="仿宋"/>
          <w:bCs/>
          <w:color w:val="auto"/>
          <w:sz w:val="24"/>
          <w:szCs w:val="24"/>
        </w:rPr>
        <w:t>（3）供应商信用记录查询与使用：见《供应商须知前附表》。</w:t>
      </w:r>
    </w:p>
    <w:p w14:paraId="5EBE9493">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b/>
          <w:color w:val="auto"/>
          <w:sz w:val="24"/>
          <w:szCs w:val="24"/>
        </w:rPr>
      </w:pPr>
      <w:bookmarkStart w:id="50" w:name="_Toc213839741"/>
      <w:r>
        <w:rPr>
          <w:rFonts w:hint="eastAsia" w:ascii="仿宋" w:hAnsi="仿宋" w:eastAsia="仿宋" w:cs="仿宋"/>
          <w:b/>
          <w:color w:val="auto"/>
          <w:sz w:val="24"/>
          <w:szCs w:val="24"/>
        </w:rPr>
        <w:t>（二十</w:t>
      </w:r>
      <w:r>
        <w:rPr>
          <w:rFonts w:hint="eastAsia" w:ascii="仿宋" w:hAnsi="仿宋" w:eastAsia="仿宋" w:cs="仿宋"/>
          <w:b/>
          <w:color w:val="auto"/>
          <w:sz w:val="24"/>
          <w:szCs w:val="24"/>
          <w:lang w:eastAsia="zh-CN"/>
        </w:rPr>
        <w:t>四</w:t>
      </w:r>
      <w:r>
        <w:rPr>
          <w:rFonts w:hint="eastAsia" w:ascii="仿宋" w:hAnsi="仿宋" w:eastAsia="仿宋" w:cs="仿宋"/>
          <w:b/>
          <w:color w:val="auto"/>
          <w:sz w:val="24"/>
          <w:szCs w:val="24"/>
        </w:rPr>
        <w:t>）</w:t>
      </w:r>
      <w:r>
        <w:rPr>
          <w:rFonts w:hint="eastAsia" w:ascii="仿宋" w:hAnsi="仿宋" w:eastAsia="仿宋" w:cs="仿宋"/>
          <w:b/>
          <w:color w:val="auto"/>
          <w:sz w:val="24"/>
          <w:szCs w:val="24"/>
          <w:lang w:eastAsia="zh-CN"/>
        </w:rPr>
        <w:t>谈判</w:t>
      </w:r>
      <w:r>
        <w:rPr>
          <w:rFonts w:hint="eastAsia" w:ascii="仿宋" w:hAnsi="仿宋" w:eastAsia="仿宋" w:cs="仿宋"/>
          <w:b/>
          <w:color w:val="auto"/>
          <w:sz w:val="24"/>
          <w:szCs w:val="24"/>
        </w:rPr>
        <w:t>报价方式</w:t>
      </w:r>
    </w:p>
    <w:p w14:paraId="26C4C4CB">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color w:val="auto"/>
          <w:sz w:val="24"/>
          <w:szCs w:val="24"/>
        </w:rPr>
      </w:pPr>
      <w:r>
        <w:rPr>
          <w:rFonts w:hint="eastAsia" w:ascii="仿宋" w:hAnsi="仿宋" w:eastAsia="仿宋" w:cs="仿宋"/>
          <w:color w:val="auto"/>
          <w:sz w:val="24"/>
          <w:szCs w:val="24"/>
        </w:rPr>
        <w:t>1、供应商提交的响应性文件中的报价，该报价只允许有一个报价，任何有选择性的报价将不予接受。</w:t>
      </w:r>
    </w:p>
    <w:p w14:paraId="6B0D270D">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谈判小组</w:t>
      </w:r>
      <w:r>
        <w:rPr>
          <w:rFonts w:hint="eastAsia" w:ascii="仿宋" w:hAnsi="仿宋" w:eastAsia="仿宋" w:cs="仿宋"/>
          <w:color w:val="auto"/>
          <w:sz w:val="24"/>
          <w:szCs w:val="24"/>
        </w:rPr>
        <w:t>所有成员与供应商进行单独</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中，</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的任何一方不得透露与</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有关的其他供应商的技术资料、价格和其他信息。</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有实质性变动的，</w:t>
      </w:r>
      <w:r>
        <w:rPr>
          <w:rFonts w:hint="eastAsia" w:ascii="仿宋" w:hAnsi="仿宋" w:eastAsia="仿宋" w:cs="仿宋"/>
          <w:color w:val="auto"/>
          <w:sz w:val="24"/>
          <w:szCs w:val="24"/>
          <w:lang w:eastAsia="zh-CN"/>
        </w:rPr>
        <w:t>谈判小组</w:t>
      </w:r>
      <w:r>
        <w:rPr>
          <w:rFonts w:hint="eastAsia" w:ascii="仿宋" w:hAnsi="仿宋" w:eastAsia="仿宋" w:cs="仿宋"/>
          <w:color w:val="auto"/>
          <w:sz w:val="24"/>
          <w:szCs w:val="24"/>
        </w:rPr>
        <w:t>应以书面形式通知所有参加</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的供应商。</w:t>
      </w:r>
    </w:p>
    <w:p w14:paraId="209D5F14">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结束后，供应商可根据</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情况，进行第二次报价</w:t>
      </w:r>
      <w:r>
        <w:rPr>
          <w:rFonts w:hint="eastAsia" w:ascii="仿宋" w:hAnsi="仿宋" w:eastAsia="仿宋" w:cs="仿宋"/>
          <w:color w:val="auto"/>
          <w:sz w:val="24"/>
          <w:szCs w:val="24"/>
          <w:lang w:eastAsia="zh-CN"/>
        </w:rPr>
        <w:t>，采购人也可以根据谈判情况开启多轮报价，</w:t>
      </w:r>
      <w:r>
        <w:rPr>
          <w:rFonts w:hint="eastAsia" w:ascii="仿宋" w:hAnsi="仿宋" w:eastAsia="仿宋" w:cs="仿宋"/>
          <w:color w:val="auto"/>
          <w:sz w:val="24"/>
          <w:szCs w:val="24"/>
        </w:rPr>
        <w:t>该报价为</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的最终报价。</w:t>
      </w:r>
    </w:p>
    <w:p w14:paraId="3994A626">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rPr>
        <w:t>4、第二次报价</w:t>
      </w:r>
      <w:r>
        <w:rPr>
          <w:rFonts w:hint="eastAsia" w:ascii="仿宋" w:hAnsi="仿宋" w:eastAsia="仿宋" w:cs="仿宋"/>
          <w:color w:val="auto"/>
          <w:sz w:val="24"/>
          <w:szCs w:val="24"/>
          <w:lang w:eastAsia="zh-CN"/>
        </w:rPr>
        <w:t>在政采云不见面开评标系统</w:t>
      </w:r>
      <w:r>
        <w:rPr>
          <w:rFonts w:hint="eastAsia" w:ascii="仿宋" w:hAnsi="仿宋" w:eastAsia="仿宋" w:cs="仿宋"/>
          <w:color w:val="auto"/>
          <w:sz w:val="24"/>
          <w:szCs w:val="24"/>
        </w:rPr>
        <w:t>填写提交。所有供应商的二次报价收集齐全后，二次报价不进行公开唱标</w:t>
      </w:r>
      <w:r>
        <w:rPr>
          <w:rFonts w:hint="eastAsia" w:ascii="仿宋" w:hAnsi="仿宋" w:eastAsia="仿宋" w:cs="仿宋"/>
          <w:color w:val="auto"/>
          <w:sz w:val="24"/>
          <w:szCs w:val="24"/>
          <w:lang w:eastAsia="zh-CN"/>
        </w:rPr>
        <w:t>，依次类推。</w:t>
      </w:r>
    </w:p>
    <w:p w14:paraId="5A3059C4">
      <w:pPr>
        <w:keepNext w:val="0"/>
        <w:keepLines w:val="0"/>
        <w:pageBreakBefore w:val="0"/>
        <w:widowControl w:val="0"/>
        <w:kinsoku/>
        <w:wordWrap/>
        <w:overflowPunct/>
        <w:topLinePunct w:val="0"/>
        <w:bidi w:val="0"/>
        <w:snapToGrid w:val="0"/>
        <w:spacing w:line="360" w:lineRule="auto"/>
        <w:ind w:firstLine="359" w:firstLineChars="147"/>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w:t>
      </w:r>
      <w:bookmarkEnd w:id="50"/>
    </w:p>
    <w:p w14:paraId="7A5507D4">
      <w:pPr>
        <w:pStyle w:val="3"/>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七、评标</w:t>
      </w:r>
      <w:r>
        <w:rPr>
          <w:rFonts w:hint="eastAsia" w:ascii="仿宋" w:hAnsi="仿宋" w:eastAsia="仿宋" w:cs="仿宋"/>
          <w:color w:val="auto"/>
          <w:sz w:val="28"/>
          <w:szCs w:val="28"/>
          <w:lang w:eastAsia="zh-CN"/>
        </w:rPr>
        <w:t>程序</w:t>
      </w:r>
    </w:p>
    <w:p w14:paraId="07610A64">
      <w:pPr>
        <w:keepNext w:val="0"/>
        <w:keepLines w:val="0"/>
        <w:pageBreakBefore w:val="0"/>
        <w:kinsoku/>
        <w:wordWrap/>
        <w:overflowPunct/>
        <w:topLinePunct w:val="0"/>
        <w:autoSpaceDE/>
        <w:autoSpaceDN/>
        <w:bidi w:val="0"/>
        <w:snapToGrid w:val="0"/>
        <w:spacing w:line="360" w:lineRule="auto"/>
        <w:ind w:firstLine="479" w:firstLineChars="196"/>
        <w:rPr>
          <w:rFonts w:ascii="仿宋" w:hAnsi="仿宋" w:eastAsia="仿宋" w:cs="仿宋"/>
          <w:b/>
          <w:bCs/>
          <w:color w:val="auto"/>
          <w:sz w:val="24"/>
          <w:szCs w:val="24"/>
        </w:rPr>
      </w:pPr>
      <w:r>
        <w:rPr>
          <w:rFonts w:hint="eastAsia" w:ascii="仿宋" w:hAnsi="仿宋" w:eastAsia="仿宋" w:cs="仿宋"/>
          <w:b/>
          <w:bCs/>
          <w:color w:val="auto"/>
          <w:sz w:val="24"/>
          <w:szCs w:val="24"/>
        </w:rPr>
        <w:t>（二十</w:t>
      </w:r>
      <w:r>
        <w:rPr>
          <w:rFonts w:hint="eastAsia" w:ascii="仿宋" w:hAnsi="仿宋" w:eastAsia="仿宋" w:cs="仿宋"/>
          <w:b/>
          <w:bCs/>
          <w:color w:val="auto"/>
          <w:sz w:val="24"/>
          <w:szCs w:val="24"/>
          <w:lang w:eastAsia="zh-CN"/>
        </w:rPr>
        <w:t>五</w:t>
      </w:r>
      <w:r>
        <w:rPr>
          <w:rFonts w:hint="eastAsia" w:ascii="仿宋" w:hAnsi="仿宋" w:eastAsia="仿宋" w:cs="仿宋"/>
          <w:b/>
          <w:bCs/>
          <w:color w:val="auto"/>
          <w:sz w:val="24"/>
          <w:szCs w:val="24"/>
        </w:rPr>
        <w:t>）评标原则</w:t>
      </w:r>
    </w:p>
    <w:p w14:paraId="7E75C10F">
      <w:pPr>
        <w:keepNext w:val="0"/>
        <w:keepLines w:val="0"/>
        <w:pageBreakBefore w:val="0"/>
        <w:kinsoku/>
        <w:wordWrap/>
        <w:overflowPunct/>
        <w:topLinePunct w:val="0"/>
        <w:autoSpaceDE/>
        <w:autoSpaceDN/>
        <w:bidi w:val="0"/>
        <w:adjustRightInd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“公开、公平、公正、客观、择优”为评标的基本原则，</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小组将根据这一原则，公正、平等地对待各供应商。</w:t>
      </w:r>
    </w:p>
    <w:p w14:paraId="386751F8">
      <w:pPr>
        <w:keepNext w:val="0"/>
        <w:keepLines w:val="0"/>
        <w:pageBreakBefore w:val="0"/>
        <w:kinsoku/>
        <w:wordWrap/>
        <w:overflowPunct/>
        <w:topLinePunct w:val="0"/>
        <w:autoSpaceDE/>
        <w:autoSpaceDN/>
        <w:bidi w:val="0"/>
        <w:adjustRightInd w:val="0"/>
        <w:snapToGrid w:val="0"/>
        <w:spacing w:line="360" w:lineRule="auto"/>
        <w:ind w:firstLine="359" w:firstLineChars="147"/>
        <w:rPr>
          <w:rFonts w:ascii="仿宋" w:hAnsi="仿宋" w:eastAsia="仿宋" w:cs="仿宋"/>
          <w:b/>
          <w:color w:val="auto"/>
          <w:sz w:val="24"/>
          <w:szCs w:val="24"/>
        </w:rPr>
      </w:pPr>
      <w:r>
        <w:rPr>
          <w:rFonts w:hint="eastAsia" w:ascii="仿宋" w:hAnsi="仿宋" w:eastAsia="仿宋" w:cs="仿宋"/>
          <w:b/>
          <w:bCs/>
          <w:color w:val="auto"/>
          <w:sz w:val="24"/>
          <w:szCs w:val="24"/>
        </w:rPr>
        <w:t>（二十</w:t>
      </w:r>
      <w:r>
        <w:rPr>
          <w:rFonts w:hint="eastAsia" w:ascii="仿宋" w:hAnsi="仿宋" w:eastAsia="仿宋" w:cs="仿宋"/>
          <w:b/>
          <w:bCs/>
          <w:color w:val="auto"/>
          <w:sz w:val="24"/>
          <w:szCs w:val="24"/>
          <w:lang w:eastAsia="zh-CN"/>
        </w:rPr>
        <w:t>六</w:t>
      </w:r>
      <w:r>
        <w:rPr>
          <w:rFonts w:hint="eastAsia" w:ascii="仿宋" w:hAnsi="仿宋" w:eastAsia="仿宋" w:cs="仿宋"/>
          <w:b/>
          <w:bCs/>
          <w:color w:val="auto"/>
          <w:sz w:val="24"/>
          <w:szCs w:val="24"/>
        </w:rPr>
        <w:t>）</w:t>
      </w:r>
      <w:r>
        <w:rPr>
          <w:rFonts w:hint="eastAsia" w:ascii="仿宋" w:hAnsi="仿宋" w:eastAsia="仿宋" w:cs="仿宋"/>
          <w:b/>
          <w:color w:val="auto"/>
          <w:sz w:val="24"/>
          <w:szCs w:val="24"/>
          <w:lang w:eastAsia="zh-CN"/>
        </w:rPr>
        <w:t>谈判</w:t>
      </w:r>
      <w:r>
        <w:rPr>
          <w:rFonts w:hint="eastAsia" w:ascii="仿宋" w:hAnsi="仿宋" w:eastAsia="仿宋" w:cs="仿宋"/>
          <w:b/>
          <w:color w:val="auto"/>
          <w:sz w:val="24"/>
          <w:szCs w:val="24"/>
        </w:rPr>
        <w:t>小组</w:t>
      </w:r>
    </w:p>
    <w:p w14:paraId="79CA2A81">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评标委员会成员由招标人的代表1名和随机抽取的有关方面的专家</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名组成，成员共为</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人，评标委员会的成员在评标过程中必须严格遵守政府采购的有关规定。专家从</w:t>
      </w:r>
      <w:r>
        <w:rPr>
          <w:rFonts w:hint="eastAsia" w:ascii="仿宋" w:hAnsi="仿宋" w:eastAsia="仿宋" w:cs="仿宋"/>
          <w:color w:val="auto"/>
          <w:sz w:val="24"/>
          <w:szCs w:val="24"/>
          <w:lang w:eastAsia="zh-CN"/>
        </w:rPr>
        <w:t>政采云</w:t>
      </w:r>
      <w:r>
        <w:rPr>
          <w:rFonts w:hint="eastAsia" w:ascii="仿宋" w:hAnsi="仿宋" w:eastAsia="仿宋" w:cs="仿宋"/>
          <w:color w:val="auto"/>
          <w:sz w:val="24"/>
          <w:szCs w:val="24"/>
        </w:rPr>
        <w:t>专家库中随机抽取产生，负责对响应文件进行审查、质询、评审、推选中标候选人。</w:t>
      </w:r>
    </w:p>
    <w:p w14:paraId="3D6C5DF1">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1、评标事务由</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小组负责，并独立履行下列职责：</w:t>
      </w:r>
    </w:p>
    <w:p w14:paraId="3BCEA7CB">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（a）审查响应文件是否符合本文件要求，并做出评价；</w:t>
      </w:r>
    </w:p>
    <w:p w14:paraId="3991FED0">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（b）要求供应商对响应文件有关事项做出澄清或答复；</w:t>
      </w:r>
    </w:p>
    <w:p w14:paraId="217D6565">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（c）推荐中标候选人名单，或者直接确定</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w:t>
      </w:r>
    </w:p>
    <w:p w14:paraId="58E98E70">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（d）向招标采购单位或者有关部门报告非法干预评标工作的行为。</w:t>
      </w:r>
    </w:p>
    <w:p w14:paraId="162AF4BE">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小组成员的义务</w:t>
      </w:r>
    </w:p>
    <w:p w14:paraId="17E01247">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（a）遵纪守法，客观、公正、廉洁地履行职责；</w:t>
      </w:r>
    </w:p>
    <w:p w14:paraId="594533B7">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（b）按照</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规定的评标方法和标准进行评标，对评审意见承担个人责任；</w:t>
      </w:r>
    </w:p>
    <w:p w14:paraId="0FC1CE76">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（c）对评标过程和结果，以及供应商的商业秘密保密；</w:t>
      </w:r>
    </w:p>
    <w:p w14:paraId="41959AFC">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（d）参与评标报告的起草；</w:t>
      </w:r>
    </w:p>
    <w:p w14:paraId="5D7D1CE3">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（e）配合财政部门的投诉处理工作；</w:t>
      </w:r>
    </w:p>
    <w:p w14:paraId="7E113BA0">
      <w:pPr>
        <w:keepNext w:val="0"/>
        <w:keepLines w:val="0"/>
        <w:pageBreakBefore w:val="0"/>
        <w:kinsoku/>
        <w:wordWrap/>
        <w:overflowPunct/>
        <w:topLinePunct w:val="0"/>
        <w:autoSpaceDE/>
        <w:autoSpaceDN/>
        <w:bidi w:val="0"/>
        <w:snapToGrid w:val="0"/>
        <w:spacing w:line="360" w:lineRule="auto"/>
        <w:ind w:firstLine="359" w:firstLineChars="147"/>
        <w:rPr>
          <w:rFonts w:hint="eastAsia" w:ascii="仿宋" w:hAnsi="仿宋" w:eastAsia="仿宋" w:cs="仿宋"/>
          <w:color w:val="auto"/>
          <w:sz w:val="24"/>
          <w:szCs w:val="24"/>
        </w:rPr>
      </w:pPr>
      <w:r>
        <w:rPr>
          <w:rFonts w:hint="eastAsia" w:ascii="仿宋" w:hAnsi="仿宋" w:eastAsia="仿宋" w:cs="仿宋"/>
          <w:color w:val="auto"/>
          <w:sz w:val="24"/>
          <w:szCs w:val="24"/>
        </w:rPr>
        <w:t>（f）配合招标采购单位答复供应商提出的质疑。</w:t>
      </w:r>
    </w:p>
    <w:p w14:paraId="12303477">
      <w:pPr>
        <w:pStyle w:val="28"/>
        <w:keepNext w:val="0"/>
        <w:keepLines w:val="0"/>
        <w:pageBreakBefore w:val="0"/>
        <w:kinsoku/>
        <w:wordWrap/>
        <w:overflowPunct/>
        <w:topLinePunct w:val="0"/>
        <w:autoSpaceDE/>
        <w:autoSpaceDN/>
        <w:bidi w:val="0"/>
        <w:snapToGrid w:val="0"/>
        <w:spacing w:line="360" w:lineRule="auto"/>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3.评标程序</w:t>
      </w:r>
    </w:p>
    <w:p w14:paraId="4C991F4A">
      <w:pPr>
        <w:pStyle w:val="28"/>
        <w:keepNext w:val="0"/>
        <w:keepLines w:val="0"/>
        <w:pageBreakBefore w:val="0"/>
        <w:kinsoku/>
        <w:wordWrap/>
        <w:overflowPunct/>
        <w:topLinePunct w:val="0"/>
        <w:autoSpaceDE/>
        <w:autoSpaceDN/>
        <w:bidi w:val="0"/>
        <w:snapToGrid w:val="0"/>
        <w:spacing w:line="360" w:lineRule="auto"/>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本次评标首先由评标委员会对投标人的响应文件进行初审，对未能通过初审的响应文件作无效标处理；</w:t>
      </w:r>
    </w:p>
    <w:p w14:paraId="3449CCEC">
      <w:pPr>
        <w:pStyle w:val="28"/>
        <w:keepNext w:val="0"/>
        <w:keepLines w:val="0"/>
        <w:pageBreakBefore w:val="0"/>
        <w:kinsoku/>
        <w:wordWrap/>
        <w:overflowPunct/>
        <w:topLinePunct w:val="0"/>
        <w:autoSpaceDE/>
        <w:autoSpaceDN/>
        <w:bidi w:val="0"/>
        <w:snapToGrid w:val="0"/>
        <w:spacing w:line="360" w:lineRule="auto"/>
        <w:rPr>
          <w:rFonts w:hint="eastAsia"/>
          <w:color w:val="auto"/>
          <w:sz w:val="24"/>
          <w:szCs w:val="24"/>
          <w:lang w:val="en-US" w:eastAsia="zh-CN"/>
        </w:rPr>
      </w:pPr>
      <w:r>
        <w:rPr>
          <w:rFonts w:hint="eastAsia" w:ascii="仿宋" w:hAnsi="仿宋" w:eastAsia="仿宋" w:cs="仿宋"/>
          <w:color w:val="auto"/>
          <w:sz w:val="24"/>
          <w:szCs w:val="24"/>
          <w:lang w:val="en-US" w:eastAsia="zh-CN" w:bidi="en-US"/>
        </w:rPr>
        <w:t>5对通过初审的投标人的响应文件进行详细的比较和评价。如需要，进行必要的澄清工作；</w:t>
      </w:r>
    </w:p>
    <w:p w14:paraId="10B42D65">
      <w:pPr>
        <w:keepNext w:val="0"/>
        <w:keepLines w:val="0"/>
        <w:pageBreakBefore w:val="0"/>
        <w:widowControl w:val="0"/>
        <w:kinsoku/>
        <w:wordWrap/>
        <w:overflowPunct/>
        <w:topLinePunct w:val="0"/>
        <w:autoSpaceDE/>
        <w:autoSpaceDN/>
        <w:bidi w:val="0"/>
        <w:adjustRightInd/>
        <w:snapToGrid/>
        <w:spacing w:line="400" w:lineRule="exact"/>
        <w:ind w:firstLine="245" w:firstLineChars="10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color w:val="auto"/>
          <w:sz w:val="24"/>
          <w:szCs w:val="24"/>
          <w:lang w:val="en-US" w:eastAsia="zh-CN"/>
        </w:rPr>
        <w:t>（一）</w:t>
      </w:r>
      <w:r>
        <w:rPr>
          <w:rFonts w:hint="eastAsia" w:ascii="仿宋" w:hAnsi="仿宋" w:eastAsia="仿宋" w:cs="仿宋"/>
          <w:b/>
          <w:color w:val="auto"/>
          <w:sz w:val="24"/>
          <w:szCs w:val="24"/>
          <w:lang w:eastAsia="zh-CN"/>
        </w:rPr>
        <w:t>响应文件初审</w:t>
      </w:r>
    </w:p>
    <w:p w14:paraId="42FB7C1B">
      <w:pPr>
        <w:keepNext w:val="0"/>
        <w:keepLines w:val="0"/>
        <w:pageBreakBefore w:val="0"/>
        <w:widowControl w:val="0"/>
        <w:kinsoku/>
        <w:wordWrap/>
        <w:overflowPunct/>
        <w:topLinePunct w:val="0"/>
        <w:autoSpaceDE/>
        <w:autoSpaceDN/>
        <w:bidi w:val="0"/>
        <w:adjustRightInd/>
        <w:snapToGrid/>
        <w:spacing w:line="360" w:lineRule="auto"/>
        <w:ind w:firstLine="359" w:firstLineChars="147"/>
        <w:textAlignment w:val="auto"/>
        <w:rPr>
          <w:rFonts w:ascii="仿宋" w:hAnsi="仿宋" w:eastAsia="仿宋" w:cs="仿宋"/>
          <w:b/>
          <w:color w:val="auto"/>
          <w:sz w:val="24"/>
          <w:szCs w:val="24"/>
          <w:lang w:eastAsia="zh-CN"/>
        </w:rPr>
      </w:pPr>
      <w:r>
        <w:rPr>
          <w:rFonts w:hint="eastAsia" w:ascii="仿宋" w:hAnsi="仿宋" w:eastAsia="仿宋" w:cs="仿宋"/>
          <w:b/>
          <w:color w:val="auto"/>
          <w:sz w:val="24"/>
          <w:szCs w:val="24"/>
          <w:lang w:eastAsia="zh-CN"/>
        </w:rPr>
        <w:t>6.资格性审查:</w:t>
      </w:r>
    </w:p>
    <w:p w14:paraId="750A5555">
      <w:pPr>
        <w:keepNext w:val="0"/>
        <w:keepLines w:val="0"/>
        <w:pageBreakBefore w:val="0"/>
        <w:widowControl w:val="0"/>
        <w:kinsoku/>
        <w:wordWrap/>
        <w:overflowPunct/>
        <w:topLinePunct w:val="0"/>
        <w:autoSpaceDE/>
        <w:autoSpaceDN/>
        <w:bidi w:val="0"/>
        <w:adjustRightInd/>
        <w:snapToGrid/>
        <w:spacing w:line="360" w:lineRule="auto"/>
        <w:ind w:firstLine="359" w:firstLineChars="147"/>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rPr>
        <w:t>.1评审细则</w:t>
      </w:r>
    </w:p>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14:paraId="63CE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vAlign w:val="center"/>
          </w:tcPr>
          <w:p w14:paraId="77616B63">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项目</w:t>
            </w:r>
          </w:p>
        </w:tc>
        <w:tc>
          <w:tcPr>
            <w:tcW w:w="7196" w:type="dxa"/>
            <w:gridSpan w:val="2"/>
            <w:vMerge w:val="restart"/>
            <w:vAlign w:val="center"/>
          </w:tcPr>
          <w:p w14:paraId="46F5E022">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评审内容</w:t>
            </w:r>
          </w:p>
        </w:tc>
        <w:tc>
          <w:tcPr>
            <w:tcW w:w="1209" w:type="dxa"/>
            <w:gridSpan w:val="2"/>
            <w:vAlign w:val="center"/>
          </w:tcPr>
          <w:p w14:paraId="0BAB1D9B">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评审意见</w:t>
            </w:r>
          </w:p>
        </w:tc>
      </w:tr>
      <w:tr w14:paraId="5E62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81" w:type="dxa"/>
            <w:vMerge w:val="continue"/>
            <w:vAlign w:val="center"/>
          </w:tcPr>
          <w:p w14:paraId="7134678B">
            <w:pPr>
              <w:spacing w:line="360" w:lineRule="auto"/>
              <w:rPr>
                <w:rFonts w:ascii="仿宋" w:hAnsi="仿宋" w:eastAsia="仿宋" w:cs="仿宋"/>
                <w:color w:val="auto"/>
                <w:sz w:val="24"/>
                <w:szCs w:val="24"/>
              </w:rPr>
            </w:pPr>
          </w:p>
        </w:tc>
        <w:tc>
          <w:tcPr>
            <w:tcW w:w="7196" w:type="dxa"/>
            <w:gridSpan w:val="2"/>
            <w:vMerge w:val="continue"/>
          </w:tcPr>
          <w:p w14:paraId="72B5EBDC">
            <w:pPr>
              <w:spacing w:line="360" w:lineRule="auto"/>
              <w:rPr>
                <w:rFonts w:ascii="仿宋" w:hAnsi="仿宋" w:eastAsia="仿宋" w:cs="仿宋"/>
                <w:color w:val="auto"/>
                <w:sz w:val="24"/>
                <w:szCs w:val="24"/>
              </w:rPr>
            </w:pPr>
          </w:p>
        </w:tc>
        <w:tc>
          <w:tcPr>
            <w:tcW w:w="555" w:type="dxa"/>
            <w:vAlign w:val="center"/>
          </w:tcPr>
          <w:p w14:paraId="402101BC">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是</w:t>
            </w:r>
          </w:p>
        </w:tc>
        <w:tc>
          <w:tcPr>
            <w:tcW w:w="654" w:type="dxa"/>
            <w:vAlign w:val="center"/>
          </w:tcPr>
          <w:p w14:paraId="717613AA">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否</w:t>
            </w:r>
          </w:p>
        </w:tc>
      </w:tr>
      <w:tr w14:paraId="2FC4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81" w:type="dxa"/>
            <w:vMerge w:val="continue"/>
            <w:vAlign w:val="center"/>
          </w:tcPr>
          <w:p w14:paraId="6B07E1FE">
            <w:pPr>
              <w:spacing w:line="360" w:lineRule="auto"/>
              <w:jc w:val="center"/>
              <w:rPr>
                <w:rFonts w:ascii="仿宋" w:hAnsi="仿宋" w:eastAsia="仿宋" w:cs="仿宋"/>
                <w:color w:val="auto"/>
                <w:sz w:val="24"/>
                <w:szCs w:val="24"/>
                <w:lang w:eastAsia="zh-CN"/>
              </w:rPr>
            </w:pPr>
          </w:p>
        </w:tc>
        <w:tc>
          <w:tcPr>
            <w:tcW w:w="547" w:type="dxa"/>
            <w:vAlign w:val="center"/>
          </w:tcPr>
          <w:p w14:paraId="6DD6764E">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p>
        </w:tc>
        <w:tc>
          <w:tcPr>
            <w:tcW w:w="6649" w:type="dxa"/>
            <w:vAlign w:val="center"/>
          </w:tcPr>
          <w:p w14:paraId="19CC5739">
            <w:pPr>
              <w:widowControl/>
              <w:spacing w:line="360" w:lineRule="auto"/>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（三证合一）营业执照</w:t>
            </w:r>
          </w:p>
        </w:tc>
        <w:tc>
          <w:tcPr>
            <w:tcW w:w="555" w:type="dxa"/>
          </w:tcPr>
          <w:p w14:paraId="6265AC6B">
            <w:pPr>
              <w:spacing w:line="360" w:lineRule="auto"/>
              <w:rPr>
                <w:rFonts w:ascii="仿宋" w:hAnsi="仿宋" w:eastAsia="仿宋" w:cs="仿宋"/>
                <w:color w:val="auto"/>
                <w:sz w:val="24"/>
                <w:szCs w:val="24"/>
                <w:lang w:eastAsia="zh-CN"/>
              </w:rPr>
            </w:pPr>
          </w:p>
        </w:tc>
        <w:tc>
          <w:tcPr>
            <w:tcW w:w="654" w:type="dxa"/>
          </w:tcPr>
          <w:p w14:paraId="4B68FC92">
            <w:pPr>
              <w:spacing w:line="360" w:lineRule="auto"/>
              <w:rPr>
                <w:rFonts w:ascii="仿宋" w:hAnsi="仿宋" w:eastAsia="仿宋" w:cs="仿宋"/>
                <w:color w:val="auto"/>
                <w:sz w:val="24"/>
                <w:szCs w:val="24"/>
                <w:lang w:eastAsia="zh-CN"/>
              </w:rPr>
            </w:pPr>
          </w:p>
        </w:tc>
      </w:tr>
      <w:tr w14:paraId="7B3E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vAlign w:val="center"/>
          </w:tcPr>
          <w:p w14:paraId="015BCAFF">
            <w:pPr>
              <w:spacing w:line="360" w:lineRule="auto"/>
              <w:rPr>
                <w:rFonts w:ascii="仿宋" w:hAnsi="仿宋" w:eastAsia="仿宋" w:cs="仿宋"/>
                <w:color w:val="auto"/>
                <w:sz w:val="24"/>
                <w:szCs w:val="24"/>
                <w:lang w:eastAsia="zh-CN"/>
              </w:rPr>
            </w:pPr>
          </w:p>
        </w:tc>
        <w:tc>
          <w:tcPr>
            <w:tcW w:w="547" w:type="dxa"/>
            <w:vAlign w:val="center"/>
          </w:tcPr>
          <w:p w14:paraId="2422E61F">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6649" w:type="dxa"/>
            <w:vAlign w:val="center"/>
          </w:tcPr>
          <w:p w14:paraId="66A2CD28">
            <w:pPr>
              <w:widowControl/>
              <w:spacing w:line="360" w:lineRule="auto"/>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法定代表人投标需提供法定代表人资格证明书，委托代理人投标需提供法定代表人授权委托书</w:t>
            </w:r>
          </w:p>
        </w:tc>
        <w:tc>
          <w:tcPr>
            <w:tcW w:w="555" w:type="dxa"/>
          </w:tcPr>
          <w:p w14:paraId="5A11A266">
            <w:pPr>
              <w:spacing w:line="360" w:lineRule="auto"/>
              <w:rPr>
                <w:rFonts w:ascii="仿宋" w:hAnsi="仿宋" w:eastAsia="仿宋" w:cs="仿宋"/>
                <w:color w:val="auto"/>
                <w:sz w:val="24"/>
                <w:szCs w:val="24"/>
                <w:lang w:eastAsia="zh-CN"/>
              </w:rPr>
            </w:pPr>
          </w:p>
        </w:tc>
        <w:tc>
          <w:tcPr>
            <w:tcW w:w="654" w:type="dxa"/>
          </w:tcPr>
          <w:p w14:paraId="40667A54">
            <w:pPr>
              <w:spacing w:line="360" w:lineRule="auto"/>
              <w:rPr>
                <w:rFonts w:ascii="仿宋" w:hAnsi="仿宋" w:eastAsia="仿宋" w:cs="仿宋"/>
                <w:color w:val="auto"/>
                <w:sz w:val="24"/>
                <w:szCs w:val="24"/>
                <w:lang w:eastAsia="zh-CN"/>
              </w:rPr>
            </w:pPr>
          </w:p>
        </w:tc>
      </w:tr>
      <w:tr w14:paraId="6131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81" w:type="dxa"/>
            <w:vMerge w:val="continue"/>
            <w:vAlign w:val="center"/>
          </w:tcPr>
          <w:p w14:paraId="5F67E6FC">
            <w:pPr>
              <w:spacing w:line="360" w:lineRule="auto"/>
              <w:rPr>
                <w:rFonts w:ascii="仿宋" w:hAnsi="仿宋" w:eastAsia="仿宋" w:cs="仿宋"/>
                <w:color w:val="auto"/>
                <w:sz w:val="24"/>
                <w:szCs w:val="24"/>
                <w:lang w:eastAsia="zh-CN"/>
              </w:rPr>
            </w:pPr>
          </w:p>
        </w:tc>
        <w:tc>
          <w:tcPr>
            <w:tcW w:w="547" w:type="dxa"/>
            <w:vAlign w:val="center"/>
          </w:tcPr>
          <w:p w14:paraId="0B678070">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6649" w:type="dxa"/>
            <w:vAlign w:val="center"/>
          </w:tcPr>
          <w:p w14:paraId="37DBE364">
            <w:pPr>
              <w:widowControl/>
              <w:spacing w:line="360" w:lineRule="auto"/>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参加政府采购活动前三年内，在经营活动中没有重大违法记录；未被“信用中国”（www.creditchina.gov.cn）、中国政府采购网（www.ccgp.gov.cn）列入失信被执行人、税收违法黑名单、政府采购严重违法失信行为记录名单。</w:t>
            </w:r>
          </w:p>
        </w:tc>
        <w:tc>
          <w:tcPr>
            <w:tcW w:w="555" w:type="dxa"/>
          </w:tcPr>
          <w:p w14:paraId="78185C8B">
            <w:pPr>
              <w:spacing w:line="360" w:lineRule="auto"/>
              <w:rPr>
                <w:rFonts w:ascii="仿宋" w:hAnsi="仿宋" w:eastAsia="仿宋" w:cs="仿宋"/>
                <w:color w:val="auto"/>
                <w:sz w:val="24"/>
                <w:szCs w:val="24"/>
                <w:lang w:eastAsia="zh-CN"/>
              </w:rPr>
            </w:pPr>
          </w:p>
        </w:tc>
        <w:tc>
          <w:tcPr>
            <w:tcW w:w="654" w:type="dxa"/>
          </w:tcPr>
          <w:p w14:paraId="2FF8C8D9">
            <w:pPr>
              <w:spacing w:line="360" w:lineRule="auto"/>
              <w:rPr>
                <w:rFonts w:ascii="仿宋" w:hAnsi="仿宋" w:eastAsia="仿宋" w:cs="仿宋"/>
                <w:color w:val="auto"/>
                <w:sz w:val="24"/>
                <w:szCs w:val="24"/>
                <w:lang w:eastAsia="zh-CN"/>
              </w:rPr>
            </w:pPr>
          </w:p>
        </w:tc>
      </w:tr>
      <w:tr w14:paraId="65C7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1" w:type="dxa"/>
            <w:vMerge w:val="continue"/>
            <w:vAlign w:val="center"/>
          </w:tcPr>
          <w:p w14:paraId="5F2BB6AB">
            <w:pPr>
              <w:spacing w:line="360" w:lineRule="auto"/>
              <w:rPr>
                <w:rFonts w:ascii="仿宋" w:hAnsi="仿宋" w:eastAsia="仿宋" w:cs="仿宋"/>
                <w:color w:val="auto"/>
                <w:sz w:val="24"/>
                <w:szCs w:val="24"/>
                <w:lang w:eastAsia="zh-CN"/>
              </w:rPr>
            </w:pPr>
          </w:p>
        </w:tc>
        <w:tc>
          <w:tcPr>
            <w:tcW w:w="547" w:type="dxa"/>
            <w:vAlign w:val="center"/>
          </w:tcPr>
          <w:p w14:paraId="07E3DF4B">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6649" w:type="dxa"/>
            <w:vAlign w:val="center"/>
          </w:tcPr>
          <w:p w14:paraId="7921A921">
            <w:pPr>
              <w:widowControl/>
              <w:spacing w:line="360" w:lineRule="auto"/>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投标保证金缴纳凭证或投标担保函</w:t>
            </w:r>
          </w:p>
        </w:tc>
        <w:tc>
          <w:tcPr>
            <w:tcW w:w="555" w:type="dxa"/>
          </w:tcPr>
          <w:p w14:paraId="7B19571A">
            <w:pPr>
              <w:spacing w:line="360" w:lineRule="auto"/>
              <w:rPr>
                <w:rFonts w:ascii="仿宋" w:hAnsi="仿宋" w:eastAsia="仿宋" w:cs="仿宋"/>
                <w:color w:val="auto"/>
                <w:sz w:val="24"/>
                <w:szCs w:val="24"/>
                <w:lang w:eastAsia="zh-CN"/>
              </w:rPr>
            </w:pPr>
          </w:p>
        </w:tc>
        <w:tc>
          <w:tcPr>
            <w:tcW w:w="654" w:type="dxa"/>
          </w:tcPr>
          <w:p w14:paraId="19BFEDBD">
            <w:pPr>
              <w:spacing w:line="360" w:lineRule="auto"/>
              <w:rPr>
                <w:rFonts w:ascii="仿宋" w:hAnsi="仿宋" w:eastAsia="仿宋" w:cs="仿宋"/>
                <w:color w:val="auto"/>
                <w:sz w:val="24"/>
                <w:szCs w:val="24"/>
                <w:lang w:eastAsia="zh-CN"/>
              </w:rPr>
            </w:pPr>
          </w:p>
        </w:tc>
      </w:tr>
      <w:tr w14:paraId="23EE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vAlign w:val="center"/>
          </w:tcPr>
          <w:p w14:paraId="39A2916A">
            <w:pPr>
              <w:spacing w:line="360" w:lineRule="auto"/>
              <w:rPr>
                <w:rFonts w:ascii="仿宋" w:hAnsi="仿宋" w:eastAsia="仿宋" w:cs="仿宋"/>
                <w:color w:val="auto"/>
                <w:sz w:val="24"/>
                <w:szCs w:val="24"/>
                <w:lang w:eastAsia="zh-CN"/>
              </w:rPr>
            </w:pPr>
          </w:p>
        </w:tc>
        <w:tc>
          <w:tcPr>
            <w:tcW w:w="547" w:type="dxa"/>
            <w:vAlign w:val="center"/>
          </w:tcPr>
          <w:p w14:paraId="76E6901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6649" w:type="dxa"/>
            <w:vAlign w:val="center"/>
          </w:tcPr>
          <w:p w14:paraId="00B0ADDA">
            <w:pPr>
              <w:widowControl/>
              <w:spacing w:line="360" w:lineRule="auto"/>
              <w:textAlignment w:val="center"/>
              <w:rPr>
                <w:rFonts w:ascii="仿宋" w:hAnsi="仿宋" w:eastAsia="仿宋" w:cs="仿宋"/>
                <w:color w:val="auto"/>
                <w:sz w:val="24"/>
                <w:szCs w:val="24"/>
                <w:lang w:eastAsia="zh-CN"/>
              </w:rPr>
            </w:pPr>
            <w:r>
              <w:rPr>
                <w:rFonts w:ascii="仿宋" w:hAnsi="仿宋" w:eastAsia="仿宋" w:cs="仿宋"/>
                <w:color w:val="auto"/>
                <w:highlight w:val="none"/>
                <w:lang w:eastAsia="zh-CN"/>
              </w:rPr>
              <w:t>投标企业须提供投标人（被授权在职人员）近6个月内任意一个月有效的社保证明</w:t>
            </w:r>
          </w:p>
        </w:tc>
        <w:tc>
          <w:tcPr>
            <w:tcW w:w="555" w:type="dxa"/>
          </w:tcPr>
          <w:p w14:paraId="5B041367">
            <w:pPr>
              <w:spacing w:line="360" w:lineRule="auto"/>
              <w:rPr>
                <w:rFonts w:ascii="仿宋" w:hAnsi="仿宋" w:eastAsia="仿宋" w:cs="仿宋"/>
                <w:color w:val="auto"/>
                <w:sz w:val="24"/>
                <w:szCs w:val="24"/>
                <w:lang w:eastAsia="zh-CN"/>
              </w:rPr>
            </w:pPr>
          </w:p>
        </w:tc>
        <w:tc>
          <w:tcPr>
            <w:tcW w:w="654" w:type="dxa"/>
          </w:tcPr>
          <w:p w14:paraId="3187DBE7">
            <w:pPr>
              <w:spacing w:line="360" w:lineRule="auto"/>
              <w:rPr>
                <w:rFonts w:ascii="仿宋" w:hAnsi="仿宋" w:eastAsia="仿宋" w:cs="仿宋"/>
                <w:color w:val="auto"/>
                <w:sz w:val="24"/>
                <w:szCs w:val="24"/>
                <w:lang w:eastAsia="zh-CN"/>
              </w:rPr>
            </w:pPr>
          </w:p>
        </w:tc>
      </w:tr>
      <w:tr w14:paraId="2C98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vAlign w:val="center"/>
          </w:tcPr>
          <w:p w14:paraId="636877B6">
            <w:pPr>
              <w:spacing w:line="360" w:lineRule="auto"/>
              <w:rPr>
                <w:rFonts w:ascii="仿宋" w:hAnsi="仿宋" w:eastAsia="仿宋" w:cs="仿宋"/>
                <w:color w:val="auto"/>
                <w:sz w:val="24"/>
                <w:szCs w:val="24"/>
                <w:lang w:eastAsia="zh-CN"/>
              </w:rPr>
            </w:pPr>
          </w:p>
        </w:tc>
        <w:tc>
          <w:tcPr>
            <w:tcW w:w="547" w:type="dxa"/>
            <w:vAlign w:val="center"/>
          </w:tcPr>
          <w:p w14:paraId="124A4AB2">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6649" w:type="dxa"/>
            <w:vAlign w:val="center"/>
          </w:tcPr>
          <w:p w14:paraId="659A154C">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000000"/>
                <w:kern w:val="0"/>
                <w:sz w:val="21"/>
                <w:szCs w:val="21"/>
                <w:highlight w:val="none"/>
                <w:lang w:val="en-US" w:eastAsia="zh-CN" w:bidi="ar-SA"/>
              </w:rPr>
              <w:t>《中小企业声明函》格式以谈判文件要求为准；</w:t>
            </w:r>
          </w:p>
        </w:tc>
        <w:tc>
          <w:tcPr>
            <w:tcW w:w="555" w:type="dxa"/>
          </w:tcPr>
          <w:p w14:paraId="53CD762E">
            <w:pPr>
              <w:spacing w:line="360" w:lineRule="auto"/>
              <w:rPr>
                <w:rFonts w:ascii="仿宋" w:hAnsi="仿宋" w:eastAsia="仿宋" w:cs="仿宋"/>
                <w:color w:val="auto"/>
                <w:sz w:val="24"/>
                <w:szCs w:val="24"/>
                <w:lang w:eastAsia="zh-CN"/>
              </w:rPr>
            </w:pPr>
          </w:p>
        </w:tc>
        <w:tc>
          <w:tcPr>
            <w:tcW w:w="654" w:type="dxa"/>
          </w:tcPr>
          <w:p w14:paraId="04B47803">
            <w:pPr>
              <w:spacing w:line="360" w:lineRule="auto"/>
              <w:rPr>
                <w:rFonts w:ascii="仿宋" w:hAnsi="仿宋" w:eastAsia="仿宋" w:cs="仿宋"/>
                <w:color w:val="auto"/>
                <w:sz w:val="24"/>
                <w:szCs w:val="24"/>
                <w:lang w:eastAsia="zh-CN"/>
              </w:rPr>
            </w:pPr>
          </w:p>
        </w:tc>
      </w:tr>
      <w:tr w14:paraId="53DD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vAlign w:val="center"/>
          </w:tcPr>
          <w:p w14:paraId="42450B04">
            <w:pPr>
              <w:spacing w:line="360" w:lineRule="auto"/>
              <w:jc w:val="center"/>
              <w:rPr>
                <w:rFonts w:ascii="仿宋" w:hAnsi="仿宋" w:eastAsia="仿宋" w:cs="仿宋"/>
                <w:color w:val="auto"/>
                <w:sz w:val="24"/>
                <w:szCs w:val="24"/>
                <w:lang w:eastAsia="zh-CN"/>
              </w:rPr>
            </w:pPr>
          </w:p>
        </w:tc>
        <w:tc>
          <w:tcPr>
            <w:tcW w:w="547" w:type="dxa"/>
          </w:tcPr>
          <w:p w14:paraId="3AD2E4DE">
            <w:pPr>
              <w:spacing w:line="360" w:lineRule="auto"/>
              <w:rPr>
                <w:rFonts w:ascii="仿宋" w:hAnsi="仿宋" w:eastAsia="仿宋" w:cs="仿宋"/>
                <w:color w:val="auto"/>
                <w:sz w:val="24"/>
                <w:szCs w:val="24"/>
                <w:lang w:eastAsia="zh-CN"/>
              </w:rPr>
            </w:pPr>
          </w:p>
        </w:tc>
        <w:tc>
          <w:tcPr>
            <w:tcW w:w="6649" w:type="dxa"/>
          </w:tcPr>
          <w:p w14:paraId="1FC3251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结论：是否通过评审（须填写通过或不通过）</w:t>
            </w:r>
          </w:p>
          <w:p w14:paraId="35341563">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注：如有一项不合格，</w:t>
            </w:r>
            <w:r>
              <w:rPr>
                <w:rFonts w:hint="eastAsia" w:ascii="仿宋" w:hAnsi="仿宋" w:eastAsia="仿宋" w:cs="仿宋"/>
                <w:color w:val="auto"/>
                <w:highlight w:val="none"/>
                <w:lang w:eastAsia="zh-CN"/>
              </w:rPr>
              <w:t>作无效投标处理。</w:t>
            </w:r>
          </w:p>
        </w:tc>
        <w:tc>
          <w:tcPr>
            <w:tcW w:w="1209" w:type="dxa"/>
            <w:gridSpan w:val="2"/>
          </w:tcPr>
          <w:p w14:paraId="4347CD80">
            <w:pPr>
              <w:spacing w:line="360" w:lineRule="auto"/>
              <w:rPr>
                <w:rFonts w:ascii="仿宋" w:hAnsi="仿宋" w:eastAsia="仿宋" w:cs="仿宋"/>
                <w:color w:val="auto"/>
                <w:sz w:val="24"/>
                <w:szCs w:val="24"/>
                <w:lang w:eastAsia="zh-CN"/>
              </w:rPr>
            </w:pPr>
          </w:p>
        </w:tc>
      </w:tr>
    </w:tbl>
    <w:p w14:paraId="3D5E2FD4">
      <w:pPr>
        <w:keepNext w:val="0"/>
        <w:keepLines w:val="0"/>
        <w:pageBreakBefore w:val="0"/>
        <w:widowControl w:val="0"/>
        <w:kinsoku/>
        <w:wordWrap/>
        <w:overflowPunct/>
        <w:topLinePunct w:val="0"/>
        <w:autoSpaceDE/>
        <w:autoSpaceDN/>
        <w:bidi w:val="0"/>
        <w:adjustRightInd/>
        <w:snapToGrid/>
        <w:spacing w:line="360" w:lineRule="auto"/>
        <w:ind w:firstLine="590" w:firstLineChars="241"/>
        <w:textAlignment w:val="auto"/>
        <w:rPr>
          <w:rFonts w:ascii="仿宋" w:hAnsi="仿宋" w:eastAsia="仿宋" w:cs="仿宋"/>
          <w:b/>
          <w:color w:val="auto"/>
          <w:sz w:val="24"/>
          <w:szCs w:val="24"/>
          <w:lang w:eastAsia="zh-CN"/>
        </w:rPr>
      </w:pPr>
      <w:r>
        <w:rPr>
          <w:rFonts w:hint="eastAsia" w:ascii="仿宋" w:hAnsi="仿宋" w:eastAsia="仿宋" w:cs="仿宋"/>
          <w:b/>
          <w:color w:val="auto"/>
          <w:sz w:val="24"/>
          <w:szCs w:val="24"/>
          <w:lang w:eastAsia="zh-CN"/>
        </w:rPr>
        <w:t>6.2如评标专家在检验电子标书过程中，如果由于投标人自身原因导致评标专家无法查看并检验电子标书中以上相关资料的，否决其投标。即使投标单位将原件携带至现场的，同样按无效投标处理。</w:t>
      </w:r>
    </w:p>
    <w:p w14:paraId="299629F4">
      <w:pPr>
        <w:keepNext w:val="0"/>
        <w:keepLines w:val="0"/>
        <w:pageBreakBefore w:val="0"/>
        <w:widowControl w:val="0"/>
        <w:kinsoku/>
        <w:wordWrap/>
        <w:overflowPunct/>
        <w:topLinePunct w:val="0"/>
        <w:autoSpaceDE/>
        <w:autoSpaceDN/>
        <w:bidi w:val="0"/>
        <w:adjustRightInd/>
        <w:snapToGrid/>
        <w:spacing w:before="156" w:beforeLines="50" w:line="360" w:lineRule="auto"/>
        <w:ind w:firstLine="359" w:firstLineChars="147"/>
        <w:textAlignment w:val="auto"/>
        <w:rPr>
          <w:rFonts w:ascii="仿宋" w:hAnsi="仿宋" w:eastAsia="仿宋" w:cs="仿宋"/>
          <w:b/>
          <w:color w:val="auto"/>
          <w:sz w:val="24"/>
          <w:szCs w:val="24"/>
        </w:rPr>
      </w:pPr>
      <w:r>
        <w:rPr>
          <w:rFonts w:hint="eastAsia" w:ascii="仿宋" w:hAnsi="仿宋" w:eastAsia="仿宋" w:cs="仿宋"/>
          <w:b/>
          <w:color w:val="auto"/>
          <w:sz w:val="24"/>
          <w:szCs w:val="24"/>
          <w:lang w:eastAsia="zh-CN"/>
        </w:rPr>
        <w:t>7</w:t>
      </w:r>
      <w:r>
        <w:rPr>
          <w:rFonts w:hint="eastAsia" w:ascii="仿宋" w:hAnsi="仿宋" w:eastAsia="仿宋" w:cs="仿宋"/>
          <w:b/>
          <w:color w:val="auto"/>
          <w:sz w:val="24"/>
          <w:szCs w:val="24"/>
        </w:rPr>
        <w:t>.符合性审查</w:t>
      </w:r>
    </w:p>
    <w:p w14:paraId="05C5663C">
      <w:pPr>
        <w:keepNext w:val="0"/>
        <w:keepLines w:val="0"/>
        <w:pageBreakBefore w:val="0"/>
        <w:widowControl w:val="0"/>
        <w:kinsoku/>
        <w:wordWrap/>
        <w:overflowPunct/>
        <w:topLinePunct w:val="0"/>
        <w:autoSpaceDE/>
        <w:autoSpaceDN/>
        <w:bidi w:val="0"/>
        <w:adjustRightInd/>
        <w:snapToGrid/>
        <w:spacing w:line="360" w:lineRule="auto"/>
        <w:ind w:firstLine="367" w:firstLineChars="15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7</w:t>
      </w:r>
      <w:r>
        <w:rPr>
          <w:rFonts w:hint="eastAsia" w:ascii="仿宋" w:hAnsi="仿宋" w:eastAsia="仿宋" w:cs="仿宋"/>
          <w:color w:val="auto"/>
          <w:sz w:val="24"/>
          <w:szCs w:val="24"/>
        </w:rPr>
        <w:t>．1评审细则</w:t>
      </w:r>
    </w:p>
    <w:tbl>
      <w:tblPr>
        <w:tblStyle w:val="21"/>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14:paraId="6F74D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14:paraId="350AFF93">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项目</w:t>
            </w:r>
          </w:p>
        </w:tc>
        <w:tc>
          <w:tcPr>
            <w:tcW w:w="6975" w:type="dxa"/>
            <w:gridSpan w:val="2"/>
            <w:vMerge w:val="restart"/>
            <w:tcBorders>
              <w:top w:val="single" w:color="auto" w:sz="4" w:space="0"/>
            </w:tcBorders>
            <w:vAlign w:val="center"/>
          </w:tcPr>
          <w:p w14:paraId="26BBCF05">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评审内容</w:t>
            </w:r>
          </w:p>
        </w:tc>
        <w:tc>
          <w:tcPr>
            <w:tcW w:w="1366" w:type="dxa"/>
            <w:gridSpan w:val="2"/>
            <w:tcBorders>
              <w:top w:val="single" w:color="auto" w:sz="4" w:space="0"/>
              <w:right w:val="single" w:color="auto" w:sz="4" w:space="0"/>
            </w:tcBorders>
            <w:vAlign w:val="center"/>
          </w:tcPr>
          <w:p w14:paraId="34343EFC">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评审意见</w:t>
            </w:r>
          </w:p>
        </w:tc>
      </w:tr>
      <w:tr w14:paraId="06A2F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14:paraId="3DC88D37">
            <w:pPr>
              <w:spacing w:line="360" w:lineRule="auto"/>
              <w:rPr>
                <w:rFonts w:ascii="仿宋" w:hAnsi="仿宋" w:eastAsia="仿宋" w:cs="仿宋"/>
                <w:color w:val="auto"/>
                <w:highlight w:val="none"/>
              </w:rPr>
            </w:pPr>
          </w:p>
        </w:tc>
        <w:tc>
          <w:tcPr>
            <w:tcW w:w="6975" w:type="dxa"/>
            <w:gridSpan w:val="2"/>
            <w:vMerge w:val="continue"/>
            <w:tcBorders>
              <w:bottom w:val="single" w:color="auto" w:sz="4" w:space="0"/>
            </w:tcBorders>
          </w:tcPr>
          <w:p w14:paraId="5388D68D">
            <w:pPr>
              <w:spacing w:line="360" w:lineRule="auto"/>
              <w:rPr>
                <w:rFonts w:ascii="仿宋" w:hAnsi="仿宋" w:eastAsia="仿宋" w:cs="仿宋"/>
                <w:color w:val="auto"/>
                <w:highlight w:val="none"/>
              </w:rPr>
            </w:pPr>
          </w:p>
        </w:tc>
        <w:tc>
          <w:tcPr>
            <w:tcW w:w="749" w:type="dxa"/>
            <w:vAlign w:val="center"/>
          </w:tcPr>
          <w:p w14:paraId="75CE30C4">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是</w:t>
            </w:r>
          </w:p>
        </w:tc>
        <w:tc>
          <w:tcPr>
            <w:tcW w:w="617" w:type="dxa"/>
            <w:tcBorders>
              <w:right w:val="single" w:color="auto" w:sz="4" w:space="0"/>
            </w:tcBorders>
            <w:vAlign w:val="center"/>
          </w:tcPr>
          <w:p w14:paraId="60ADBBE5">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否</w:t>
            </w:r>
          </w:p>
        </w:tc>
      </w:tr>
      <w:tr w14:paraId="2F68B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14:paraId="162B394B">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审</w:t>
            </w:r>
          </w:p>
          <w:p w14:paraId="0E1BE86D">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查</w:t>
            </w:r>
          </w:p>
          <w:p w14:paraId="2FA18209">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标</w:t>
            </w:r>
          </w:p>
          <w:p w14:paraId="37A58C12">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准</w:t>
            </w:r>
          </w:p>
        </w:tc>
        <w:tc>
          <w:tcPr>
            <w:tcW w:w="597" w:type="dxa"/>
            <w:tcBorders>
              <w:top w:val="single" w:color="auto" w:sz="4" w:space="0"/>
              <w:left w:val="single" w:color="auto" w:sz="4" w:space="0"/>
              <w:right w:val="single" w:color="auto" w:sz="4" w:space="0"/>
            </w:tcBorders>
            <w:vAlign w:val="center"/>
          </w:tcPr>
          <w:p w14:paraId="265A444E">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6378" w:type="dxa"/>
            <w:tcBorders>
              <w:top w:val="single" w:color="auto" w:sz="4" w:space="0"/>
              <w:left w:val="single" w:color="auto" w:sz="4" w:space="0"/>
              <w:right w:val="single" w:color="auto" w:sz="4" w:space="0"/>
            </w:tcBorders>
            <w:vAlign w:val="center"/>
          </w:tcPr>
          <w:p w14:paraId="72CFB3BA">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由政府立项核准、审批的采购项目, 报价高于设定的最高限价的。</w:t>
            </w:r>
          </w:p>
        </w:tc>
        <w:tc>
          <w:tcPr>
            <w:tcW w:w="749" w:type="dxa"/>
            <w:tcBorders>
              <w:left w:val="single" w:color="auto" w:sz="4" w:space="0"/>
              <w:right w:val="single" w:color="auto" w:sz="4" w:space="0"/>
            </w:tcBorders>
          </w:tcPr>
          <w:p w14:paraId="36B192D4">
            <w:pPr>
              <w:spacing w:line="360" w:lineRule="auto"/>
              <w:jc w:val="center"/>
              <w:rPr>
                <w:rFonts w:ascii="仿宋" w:hAnsi="仿宋" w:eastAsia="仿宋" w:cs="仿宋"/>
                <w:b/>
                <w:color w:val="auto"/>
                <w:szCs w:val="21"/>
                <w:highlight w:val="none"/>
                <w:lang w:eastAsia="zh-CN"/>
              </w:rPr>
            </w:pPr>
          </w:p>
        </w:tc>
        <w:tc>
          <w:tcPr>
            <w:tcW w:w="617" w:type="dxa"/>
            <w:tcBorders>
              <w:left w:val="single" w:color="auto" w:sz="4" w:space="0"/>
              <w:right w:val="single" w:color="auto" w:sz="4" w:space="0"/>
            </w:tcBorders>
          </w:tcPr>
          <w:p w14:paraId="6729F74E">
            <w:pPr>
              <w:spacing w:line="360" w:lineRule="auto"/>
              <w:jc w:val="center"/>
              <w:rPr>
                <w:rFonts w:ascii="仿宋" w:hAnsi="仿宋" w:eastAsia="仿宋" w:cs="仿宋"/>
                <w:b/>
                <w:color w:val="auto"/>
                <w:szCs w:val="21"/>
                <w:highlight w:val="none"/>
                <w:lang w:eastAsia="zh-CN"/>
              </w:rPr>
            </w:pPr>
          </w:p>
        </w:tc>
      </w:tr>
      <w:tr w14:paraId="5DA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14:paraId="27CA2CC3">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68A98EA7">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6378" w:type="dxa"/>
            <w:tcBorders>
              <w:top w:val="single" w:color="auto" w:sz="4" w:space="0"/>
              <w:left w:val="single" w:color="auto" w:sz="4" w:space="0"/>
              <w:bottom w:val="single" w:color="auto" w:sz="4" w:space="0"/>
              <w:right w:val="single" w:color="auto" w:sz="4" w:space="0"/>
            </w:tcBorders>
            <w:vAlign w:val="center"/>
          </w:tcPr>
          <w:p w14:paraId="2DF76A1F">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法定代表人身份证明及授权委托书有效，且符合招标文件规定的格式。</w:t>
            </w:r>
          </w:p>
        </w:tc>
        <w:tc>
          <w:tcPr>
            <w:tcW w:w="749" w:type="dxa"/>
            <w:tcBorders>
              <w:left w:val="single" w:color="auto" w:sz="4" w:space="0"/>
            </w:tcBorders>
          </w:tcPr>
          <w:p w14:paraId="16D1A76E">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0B4EC851">
            <w:pPr>
              <w:spacing w:line="360" w:lineRule="auto"/>
              <w:rPr>
                <w:rFonts w:ascii="仿宋" w:hAnsi="仿宋" w:eastAsia="仿宋" w:cs="仿宋"/>
                <w:color w:val="auto"/>
                <w:szCs w:val="21"/>
                <w:highlight w:val="none"/>
                <w:lang w:eastAsia="zh-CN"/>
              </w:rPr>
            </w:pPr>
          </w:p>
        </w:tc>
      </w:tr>
      <w:tr w14:paraId="52D02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14:paraId="0F5EF8BB">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right w:val="single" w:color="auto" w:sz="4" w:space="0"/>
            </w:tcBorders>
            <w:vAlign w:val="center"/>
          </w:tcPr>
          <w:p w14:paraId="3B9CFB79">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3</w:t>
            </w:r>
          </w:p>
        </w:tc>
        <w:tc>
          <w:tcPr>
            <w:tcW w:w="6378" w:type="dxa"/>
            <w:tcBorders>
              <w:top w:val="single" w:color="auto" w:sz="4" w:space="0"/>
              <w:left w:val="single" w:color="auto" w:sz="4" w:space="0"/>
              <w:right w:val="single" w:color="auto" w:sz="4" w:space="0"/>
            </w:tcBorders>
            <w:vAlign w:val="center"/>
          </w:tcPr>
          <w:p w14:paraId="0670F068">
            <w:pPr>
              <w:widowControl/>
              <w:spacing w:line="360" w:lineRule="auto"/>
              <w:textAlignment w:val="center"/>
              <w:rPr>
                <w:rFonts w:ascii="仿宋" w:hAnsi="仿宋" w:eastAsia="仿宋" w:cs="仿宋"/>
                <w:color w:val="auto"/>
                <w:highlight w:val="none"/>
              </w:rPr>
            </w:pPr>
            <w:r>
              <w:rPr>
                <w:rFonts w:hint="eastAsia" w:ascii="仿宋" w:hAnsi="仿宋" w:eastAsia="仿宋" w:cs="仿宋"/>
                <w:color w:val="auto"/>
                <w:highlight w:val="none"/>
              </w:rPr>
              <w:t>只有一个方案投标。</w:t>
            </w:r>
          </w:p>
        </w:tc>
        <w:tc>
          <w:tcPr>
            <w:tcW w:w="749" w:type="dxa"/>
            <w:tcBorders>
              <w:left w:val="single" w:color="auto" w:sz="4" w:space="0"/>
            </w:tcBorders>
          </w:tcPr>
          <w:p w14:paraId="0F06E361">
            <w:pPr>
              <w:spacing w:line="360" w:lineRule="auto"/>
              <w:rPr>
                <w:rFonts w:ascii="仿宋" w:hAnsi="仿宋" w:eastAsia="仿宋" w:cs="仿宋"/>
                <w:color w:val="auto"/>
                <w:szCs w:val="21"/>
                <w:highlight w:val="none"/>
              </w:rPr>
            </w:pPr>
          </w:p>
        </w:tc>
        <w:tc>
          <w:tcPr>
            <w:tcW w:w="617" w:type="dxa"/>
            <w:tcBorders>
              <w:right w:val="single" w:color="auto" w:sz="4" w:space="0"/>
            </w:tcBorders>
          </w:tcPr>
          <w:p w14:paraId="662879C4">
            <w:pPr>
              <w:spacing w:line="360" w:lineRule="auto"/>
              <w:rPr>
                <w:rFonts w:ascii="仿宋" w:hAnsi="仿宋" w:eastAsia="仿宋" w:cs="仿宋"/>
                <w:color w:val="auto"/>
                <w:szCs w:val="21"/>
                <w:highlight w:val="none"/>
              </w:rPr>
            </w:pPr>
          </w:p>
        </w:tc>
      </w:tr>
      <w:tr w14:paraId="3B7D1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14:paraId="55819FC2">
            <w:pPr>
              <w:spacing w:line="360" w:lineRule="auto"/>
              <w:rPr>
                <w:rFonts w:ascii="仿宋" w:hAnsi="仿宋" w:eastAsia="仿宋" w:cs="仿宋"/>
                <w:color w:val="auto"/>
                <w:highlight w:val="none"/>
              </w:rPr>
            </w:pPr>
          </w:p>
        </w:tc>
        <w:tc>
          <w:tcPr>
            <w:tcW w:w="597" w:type="dxa"/>
            <w:tcBorders>
              <w:left w:val="single" w:color="auto" w:sz="4" w:space="0"/>
            </w:tcBorders>
            <w:vAlign w:val="center"/>
          </w:tcPr>
          <w:p w14:paraId="052688E2">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lang w:eastAsia="zh-CN"/>
              </w:rPr>
              <w:t>4</w:t>
            </w:r>
          </w:p>
        </w:tc>
        <w:tc>
          <w:tcPr>
            <w:tcW w:w="6378" w:type="dxa"/>
            <w:tcBorders>
              <w:right w:val="single" w:color="auto" w:sz="4" w:space="0"/>
            </w:tcBorders>
            <w:vAlign w:val="center"/>
          </w:tcPr>
          <w:p w14:paraId="7E4DBAC7">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投标文件内容齐全、无遗漏。</w:t>
            </w:r>
          </w:p>
        </w:tc>
        <w:tc>
          <w:tcPr>
            <w:tcW w:w="749" w:type="dxa"/>
            <w:tcBorders>
              <w:left w:val="single" w:color="auto" w:sz="4" w:space="0"/>
            </w:tcBorders>
          </w:tcPr>
          <w:p w14:paraId="5148689A">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6F747DA4">
            <w:pPr>
              <w:spacing w:line="360" w:lineRule="auto"/>
              <w:rPr>
                <w:rFonts w:ascii="仿宋" w:hAnsi="仿宋" w:eastAsia="仿宋" w:cs="仿宋"/>
                <w:color w:val="auto"/>
                <w:szCs w:val="21"/>
                <w:highlight w:val="none"/>
                <w:lang w:eastAsia="zh-CN"/>
              </w:rPr>
            </w:pPr>
          </w:p>
        </w:tc>
      </w:tr>
      <w:tr w14:paraId="76C2C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14:paraId="791B22D6">
            <w:pPr>
              <w:spacing w:line="360" w:lineRule="auto"/>
              <w:rPr>
                <w:rFonts w:ascii="仿宋" w:hAnsi="仿宋" w:eastAsia="仿宋" w:cs="仿宋"/>
                <w:color w:val="auto"/>
                <w:highlight w:val="none"/>
                <w:lang w:eastAsia="zh-CN"/>
              </w:rPr>
            </w:pPr>
          </w:p>
        </w:tc>
        <w:tc>
          <w:tcPr>
            <w:tcW w:w="597" w:type="dxa"/>
            <w:tcBorders>
              <w:left w:val="single" w:color="auto" w:sz="4" w:space="0"/>
              <w:bottom w:val="single" w:color="auto" w:sz="4" w:space="0"/>
            </w:tcBorders>
            <w:vAlign w:val="center"/>
          </w:tcPr>
          <w:p w14:paraId="7DF13DAE">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5</w:t>
            </w:r>
          </w:p>
        </w:tc>
        <w:tc>
          <w:tcPr>
            <w:tcW w:w="6378" w:type="dxa"/>
            <w:tcBorders>
              <w:bottom w:val="single" w:color="auto" w:sz="4" w:space="0"/>
              <w:right w:val="single" w:color="auto" w:sz="4" w:space="0"/>
            </w:tcBorders>
            <w:vAlign w:val="center"/>
          </w:tcPr>
          <w:p w14:paraId="381FC1B3">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对谈判文件规定的招标内容全部作出响应。</w:t>
            </w:r>
          </w:p>
        </w:tc>
        <w:tc>
          <w:tcPr>
            <w:tcW w:w="749" w:type="dxa"/>
            <w:tcBorders>
              <w:left w:val="single" w:color="auto" w:sz="4" w:space="0"/>
              <w:bottom w:val="single" w:color="auto" w:sz="4" w:space="0"/>
            </w:tcBorders>
          </w:tcPr>
          <w:p w14:paraId="28A9D917">
            <w:pPr>
              <w:spacing w:line="360" w:lineRule="auto"/>
              <w:rPr>
                <w:rFonts w:ascii="仿宋" w:hAnsi="仿宋" w:eastAsia="仿宋" w:cs="仿宋"/>
                <w:color w:val="auto"/>
                <w:szCs w:val="21"/>
                <w:highlight w:val="none"/>
                <w:lang w:eastAsia="zh-CN"/>
              </w:rPr>
            </w:pPr>
          </w:p>
        </w:tc>
        <w:tc>
          <w:tcPr>
            <w:tcW w:w="617" w:type="dxa"/>
            <w:tcBorders>
              <w:bottom w:val="single" w:color="auto" w:sz="4" w:space="0"/>
              <w:right w:val="single" w:color="auto" w:sz="4" w:space="0"/>
            </w:tcBorders>
          </w:tcPr>
          <w:p w14:paraId="00FAA96C">
            <w:pPr>
              <w:spacing w:line="360" w:lineRule="auto"/>
              <w:rPr>
                <w:rFonts w:ascii="仿宋" w:hAnsi="仿宋" w:eastAsia="仿宋" w:cs="仿宋"/>
                <w:color w:val="auto"/>
                <w:szCs w:val="21"/>
                <w:highlight w:val="none"/>
                <w:lang w:eastAsia="zh-CN"/>
              </w:rPr>
            </w:pPr>
          </w:p>
        </w:tc>
      </w:tr>
      <w:tr w14:paraId="1E675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14:paraId="77A2CADB">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6B7B8D3A">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6</w:t>
            </w:r>
          </w:p>
        </w:tc>
        <w:tc>
          <w:tcPr>
            <w:tcW w:w="6378" w:type="dxa"/>
            <w:tcBorders>
              <w:top w:val="single" w:color="auto" w:sz="4" w:space="0"/>
              <w:left w:val="single" w:color="auto" w:sz="4" w:space="0"/>
              <w:bottom w:val="single" w:color="auto" w:sz="4" w:space="0"/>
              <w:right w:val="single" w:color="auto" w:sz="4" w:space="0"/>
            </w:tcBorders>
            <w:vAlign w:val="center"/>
          </w:tcPr>
          <w:p w14:paraId="413303FA">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满足谈判文件提出的技术和质量要求。</w:t>
            </w:r>
          </w:p>
        </w:tc>
        <w:tc>
          <w:tcPr>
            <w:tcW w:w="749" w:type="dxa"/>
            <w:tcBorders>
              <w:top w:val="single" w:color="auto" w:sz="4" w:space="0"/>
              <w:left w:val="single" w:color="auto" w:sz="4" w:space="0"/>
              <w:bottom w:val="single" w:color="auto" w:sz="4" w:space="0"/>
              <w:right w:val="single" w:color="auto" w:sz="4" w:space="0"/>
            </w:tcBorders>
          </w:tcPr>
          <w:p w14:paraId="0E7CC821">
            <w:pPr>
              <w:spacing w:line="360" w:lineRule="auto"/>
              <w:rPr>
                <w:rFonts w:ascii="仿宋" w:hAnsi="仿宋" w:eastAsia="仿宋" w:cs="仿宋"/>
                <w:color w:val="auto"/>
                <w:szCs w:val="21"/>
                <w:highlight w:val="none"/>
                <w:lang w:eastAsia="zh-CN"/>
              </w:rPr>
            </w:pPr>
          </w:p>
        </w:tc>
        <w:tc>
          <w:tcPr>
            <w:tcW w:w="617" w:type="dxa"/>
            <w:tcBorders>
              <w:top w:val="single" w:color="auto" w:sz="4" w:space="0"/>
              <w:left w:val="single" w:color="auto" w:sz="4" w:space="0"/>
              <w:bottom w:val="single" w:color="auto" w:sz="4" w:space="0"/>
              <w:right w:val="single" w:color="auto" w:sz="4" w:space="0"/>
            </w:tcBorders>
          </w:tcPr>
          <w:p w14:paraId="29D6C21C">
            <w:pPr>
              <w:spacing w:line="360" w:lineRule="auto"/>
              <w:rPr>
                <w:rFonts w:ascii="仿宋" w:hAnsi="仿宋" w:eastAsia="仿宋" w:cs="仿宋"/>
                <w:color w:val="auto"/>
                <w:szCs w:val="21"/>
                <w:highlight w:val="none"/>
                <w:lang w:eastAsia="zh-CN"/>
              </w:rPr>
            </w:pPr>
          </w:p>
        </w:tc>
      </w:tr>
      <w:tr w14:paraId="35C7E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14:paraId="7FF6519C">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tcBorders>
            <w:vAlign w:val="center"/>
          </w:tcPr>
          <w:p w14:paraId="68520DA2">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7</w:t>
            </w:r>
          </w:p>
        </w:tc>
        <w:tc>
          <w:tcPr>
            <w:tcW w:w="6378" w:type="dxa"/>
            <w:tcBorders>
              <w:top w:val="single" w:color="auto" w:sz="4" w:space="0"/>
              <w:right w:val="single" w:color="auto" w:sz="4" w:space="0"/>
            </w:tcBorders>
            <w:vAlign w:val="center"/>
          </w:tcPr>
          <w:p w14:paraId="408A6A9A">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完成期限满足谈判文件要求。</w:t>
            </w:r>
          </w:p>
        </w:tc>
        <w:tc>
          <w:tcPr>
            <w:tcW w:w="749" w:type="dxa"/>
            <w:tcBorders>
              <w:top w:val="single" w:color="auto" w:sz="4" w:space="0"/>
              <w:left w:val="single" w:color="auto" w:sz="4" w:space="0"/>
            </w:tcBorders>
          </w:tcPr>
          <w:p w14:paraId="46602C60">
            <w:pPr>
              <w:spacing w:line="360" w:lineRule="auto"/>
              <w:rPr>
                <w:rFonts w:ascii="仿宋" w:hAnsi="仿宋" w:eastAsia="仿宋" w:cs="仿宋"/>
                <w:color w:val="auto"/>
                <w:szCs w:val="21"/>
                <w:highlight w:val="none"/>
                <w:lang w:eastAsia="zh-CN"/>
              </w:rPr>
            </w:pPr>
          </w:p>
        </w:tc>
        <w:tc>
          <w:tcPr>
            <w:tcW w:w="617" w:type="dxa"/>
            <w:tcBorders>
              <w:top w:val="single" w:color="auto" w:sz="4" w:space="0"/>
              <w:right w:val="single" w:color="auto" w:sz="4" w:space="0"/>
            </w:tcBorders>
          </w:tcPr>
          <w:p w14:paraId="58284B47">
            <w:pPr>
              <w:spacing w:line="360" w:lineRule="auto"/>
              <w:rPr>
                <w:rFonts w:ascii="仿宋" w:hAnsi="仿宋" w:eastAsia="仿宋" w:cs="仿宋"/>
                <w:color w:val="auto"/>
                <w:szCs w:val="21"/>
                <w:highlight w:val="none"/>
                <w:lang w:eastAsia="zh-CN"/>
              </w:rPr>
            </w:pPr>
          </w:p>
        </w:tc>
      </w:tr>
      <w:tr w14:paraId="34BB5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14:paraId="229422BF">
            <w:pPr>
              <w:spacing w:line="36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2397ACE8">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8</w:t>
            </w:r>
          </w:p>
        </w:tc>
        <w:tc>
          <w:tcPr>
            <w:tcW w:w="6378" w:type="dxa"/>
            <w:tcBorders>
              <w:right w:val="single" w:color="auto" w:sz="4" w:space="0"/>
            </w:tcBorders>
            <w:vAlign w:val="center"/>
          </w:tcPr>
          <w:p w14:paraId="03753243">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售后服务满足谈判文件要求。</w:t>
            </w:r>
          </w:p>
        </w:tc>
        <w:tc>
          <w:tcPr>
            <w:tcW w:w="749" w:type="dxa"/>
            <w:tcBorders>
              <w:left w:val="single" w:color="auto" w:sz="4" w:space="0"/>
            </w:tcBorders>
          </w:tcPr>
          <w:p w14:paraId="15B34EBA">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5E352BE5">
            <w:pPr>
              <w:spacing w:line="360" w:lineRule="auto"/>
              <w:rPr>
                <w:rFonts w:ascii="仿宋" w:hAnsi="仿宋" w:eastAsia="仿宋" w:cs="仿宋"/>
                <w:color w:val="auto"/>
                <w:szCs w:val="21"/>
                <w:highlight w:val="none"/>
                <w:lang w:eastAsia="zh-CN"/>
              </w:rPr>
            </w:pPr>
          </w:p>
        </w:tc>
      </w:tr>
      <w:tr w14:paraId="76501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14:paraId="6C56A18B">
            <w:pPr>
              <w:spacing w:line="36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7A1F2E72">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9</w:t>
            </w:r>
          </w:p>
        </w:tc>
        <w:tc>
          <w:tcPr>
            <w:tcW w:w="6378" w:type="dxa"/>
            <w:tcBorders>
              <w:right w:val="single" w:color="auto" w:sz="4" w:space="0"/>
            </w:tcBorders>
            <w:vAlign w:val="center"/>
          </w:tcPr>
          <w:p w14:paraId="5B85BC37">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投标有效期满足谈判文件要求。</w:t>
            </w:r>
          </w:p>
        </w:tc>
        <w:tc>
          <w:tcPr>
            <w:tcW w:w="749" w:type="dxa"/>
            <w:tcBorders>
              <w:left w:val="single" w:color="auto" w:sz="4" w:space="0"/>
            </w:tcBorders>
          </w:tcPr>
          <w:p w14:paraId="37BB51C5">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47771044">
            <w:pPr>
              <w:spacing w:line="360" w:lineRule="auto"/>
              <w:rPr>
                <w:rFonts w:ascii="仿宋" w:hAnsi="仿宋" w:eastAsia="仿宋" w:cs="仿宋"/>
                <w:color w:val="auto"/>
                <w:szCs w:val="21"/>
                <w:highlight w:val="none"/>
                <w:lang w:eastAsia="zh-CN"/>
              </w:rPr>
            </w:pPr>
          </w:p>
        </w:tc>
      </w:tr>
      <w:tr w14:paraId="068C5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14:paraId="5E9AB584">
            <w:pPr>
              <w:spacing w:line="36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0F697F14">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10</w:t>
            </w:r>
          </w:p>
        </w:tc>
        <w:tc>
          <w:tcPr>
            <w:tcW w:w="6378" w:type="dxa"/>
            <w:tcBorders>
              <w:right w:val="single" w:color="auto" w:sz="4" w:space="0"/>
            </w:tcBorders>
            <w:vAlign w:val="center"/>
          </w:tcPr>
          <w:p w14:paraId="4902D8D6">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供应商详细地址、联系人、电话。</w:t>
            </w:r>
          </w:p>
        </w:tc>
        <w:tc>
          <w:tcPr>
            <w:tcW w:w="749" w:type="dxa"/>
            <w:tcBorders>
              <w:left w:val="single" w:color="auto" w:sz="4" w:space="0"/>
            </w:tcBorders>
          </w:tcPr>
          <w:p w14:paraId="0FE45E73">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02D7598D">
            <w:pPr>
              <w:spacing w:line="360" w:lineRule="auto"/>
              <w:rPr>
                <w:rFonts w:ascii="仿宋" w:hAnsi="仿宋" w:eastAsia="仿宋" w:cs="仿宋"/>
                <w:color w:val="auto"/>
                <w:szCs w:val="21"/>
                <w:highlight w:val="none"/>
                <w:lang w:eastAsia="zh-CN"/>
              </w:rPr>
            </w:pPr>
          </w:p>
        </w:tc>
      </w:tr>
      <w:tr w14:paraId="46E83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14:paraId="7614CD42">
            <w:pPr>
              <w:spacing w:line="360" w:lineRule="auto"/>
              <w:jc w:val="center"/>
              <w:rPr>
                <w:rFonts w:ascii="仿宋" w:hAnsi="仿宋" w:eastAsia="仿宋" w:cs="仿宋"/>
                <w:color w:val="auto"/>
                <w:szCs w:val="21"/>
                <w:highlight w:val="none"/>
                <w:lang w:eastAsia="zh-CN"/>
              </w:rPr>
            </w:pPr>
          </w:p>
        </w:tc>
        <w:tc>
          <w:tcPr>
            <w:tcW w:w="6975" w:type="dxa"/>
            <w:gridSpan w:val="2"/>
            <w:tcBorders>
              <w:left w:val="single" w:color="auto" w:sz="4" w:space="0"/>
              <w:bottom w:val="single" w:color="auto" w:sz="4" w:space="0"/>
              <w:right w:val="single" w:color="auto" w:sz="4" w:space="0"/>
            </w:tcBorders>
          </w:tcPr>
          <w:p w14:paraId="133922C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65B9C2D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注：如有一项不合格，作无效投标处理。</w:t>
            </w:r>
          </w:p>
        </w:tc>
        <w:tc>
          <w:tcPr>
            <w:tcW w:w="1366" w:type="dxa"/>
            <w:gridSpan w:val="2"/>
            <w:tcBorders>
              <w:left w:val="single" w:color="auto" w:sz="4" w:space="0"/>
              <w:bottom w:val="single" w:color="auto" w:sz="4" w:space="0"/>
              <w:right w:val="single" w:color="auto" w:sz="4" w:space="0"/>
            </w:tcBorders>
          </w:tcPr>
          <w:p w14:paraId="64D35A66">
            <w:pPr>
              <w:spacing w:line="360" w:lineRule="auto"/>
              <w:rPr>
                <w:rFonts w:ascii="仿宋" w:hAnsi="仿宋" w:eastAsia="仿宋" w:cs="仿宋"/>
                <w:color w:val="auto"/>
                <w:szCs w:val="21"/>
                <w:highlight w:val="none"/>
                <w:lang w:eastAsia="zh-CN"/>
              </w:rPr>
            </w:pPr>
          </w:p>
        </w:tc>
      </w:tr>
    </w:tbl>
    <w:p w14:paraId="7462F29A">
      <w:pPr>
        <w:numPr>
          <w:ilvl w:val="0"/>
          <w:numId w:val="0"/>
        </w:numPr>
        <w:spacing w:line="400" w:lineRule="exact"/>
        <w:ind w:firstLine="490" w:firstLineChars="200"/>
        <w:rPr>
          <w:rFonts w:hint="eastAsia" w:ascii="仿宋" w:hAnsi="仿宋" w:eastAsia="仿宋" w:cs="仿宋"/>
          <w:color w:val="auto"/>
          <w:sz w:val="24"/>
          <w:szCs w:val="24"/>
          <w:lang w:val="en-US" w:eastAsia="zh-CN"/>
        </w:rPr>
      </w:pPr>
    </w:p>
    <w:p w14:paraId="7A828C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评委会判定</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的响应性只根据</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本身的内容，而不寻求外部的证</w:t>
      </w:r>
    </w:p>
    <w:p w14:paraId="29773295">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据，但投标有不真实不正确的内容时除外。</w:t>
      </w:r>
    </w:p>
    <w:p w14:paraId="44BD07D4">
      <w:pPr>
        <w:keepNext w:val="0"/>
        <w:keepLines w:val="0"/>
        <w:pageBreakBefore w:val="0"/>
        <w:widowControl w:val="0"/>
        <w:kinsoku/>
        <w:wordWrap/>
        <w:overflowPunct/>
        <w:topLinePunct w:val="0"/>
        <w:autoSpaceDE/>
        <w:autoSpaceDN/>
        <w:bidi w:val="0"/>
        <w:adjustRightInd/>
        <w:snapToGrid/>
        <w:spacing w:line="360" w:lineRule="auto"/>
        <w:ind w:left="490" w:left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如果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实质上没有响应</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的要求，评委会将予以拒绝，投标人不得通过修正或撤销不符合要求的偏离或保留，而使其投标成为实质上响应的投标。</w:t>
      </w:r>
    </w:p>
    <w:p w14:paraId="3570FF75">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rPr>
        <w:t>投标人可在现场20分钟内对评标委员会的评审结论提出异议，评标委员会根据</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及有关规定对投标人的异议进行复议</w:t>
      </w:r>
    </w:p>
    <w:p w14:paraId="51E87DC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4、</w:t>
      </w:r>
      <w:r>
        <w:rPr>
          <w:rFonts w:hint="eastAsia" w:ascii="仿宋" w:hAnsi="仿宋" w:eastAsia="仿宋" w:cs="仿宋"/>
          <w:color w:val="auto"/>
          <w:sz w:val="24"/>
          <w:szCs w:val="24"/>
        </w:rPr>
        <w:t>只有通过初审的投标人才能进入下一步评标程序。</w:t>
      </w:r>
    </w:p>
    <w:p w14:paraId="100A1E3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b/>
          <w:color w:val="auto"/>
          <w:sz w:val="24"/>
          <w:szCs w:val="24"/>
        </w:rPr>
        <w:t>温馨提示：</w:t>
      </w:r>
      <w:r>
        <w:rPr>
          <w:rFonts w:hint="eastAsia" w:ascii="仿宋" w:hAnsi="仿宋" w:eastAsia="仿宋" w:cs="仿宋"/>
          <w:b/>
          <w:color w:val="auto"/>
          <w:sz w:val="24"/>
          <w:szCs w:val="24"/>
          <w:lang w:eastAsia="zh-CN"/>
        </w:rPr>
        <w:t>响应文件</w:t>
      </w:r>
      <w:r>
        <w:rPr>
          <w:rFonts w:hint="eastAsia" w:ascii="仿宋" w:hAnsi="仿宋" w:eastAsia="仿宋" w:cs="仿宋"/>
          <w:b/>
          <w:color w:val="auto"/>
          <w:sz w:val="24"/>
          <w:szCs w:val="24"/>
        </w:rPr>
        <w:t>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6E71D34C">
      <w:pPr>
        <w:spacing w:beforeLines="50" w:line="400" w:lineRule="exact"/>
        <w:jc w:val="center"/>
        <w:outlineLvl w:val="1"/>
        <w:rPr>
          <w:rFonts w:ascii="仿宋" w:hAnsi="仿宋" w:eastAsia="仿宋" w:cs="仿宋"/>
          <w:b/>
          <w:color w:val="auto"/>
          <w:sz w:val="24"/>
          <w:szCs w:val="24"/>
        </w:rPr>
      </w:pPr>
      <w:r>
        <w:rPr>
          <w:rFonts w:hint="eastAsia" w:ascii="仿宋" w:hAnsi="仿宋" w:eastAsia="仿宋" w:cs="仿宋"/>
          <w:b/>
          <w:color w:val="auto"/>
          <w:sz w:val="24"/>
          <w:szCs w:val="24"/>
          <w:lang w:eastAsia="zh-CN"/>
        </w:rPr>
        <w:t>（二）响应文件</w:t>
      </w:r>
      <w:r>
        <w:rPr>
          <w:rFonts w:hint="eastAsia" w:ascii="仿宋" w:hAnsi="仿宋" w:eastAsia="仿宋" w:cs="仿宋"/>
          <w:b/>
          <w:color w:val="auto"/>
          <w:sz w:val="24"/>
          <w:szCs w:val="24"/>
        </w:rPr>
        <w:t>的澄清和补正</w:t>
      </w:r>
    </w:p>
    <w:p w14:paraId="1C58525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5、澄清、说明或补正的形式</w:t>
      </w:r>
    </w:p>
    <w:p w14:paraId="765B922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对于响应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6A18F74E">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7、投标供应商的澄清、说明或者补正应当通过“政府采购云平台”在线答复的方式提交，并加盖公章（电子印章），或者由法定代表人（负责人）或其授权的代表签章。投标供应商的澄清、说明或者补正不得超出响应文件的范围或者改变响应文件的实质性内容，不接受投标供应商主动对响应文件的澄清、说明或者补正。</w:t>
      </w:r>
    </w:p>
    <w:p w14:paraId="05217C5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8、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7519F75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9．错误修正的原则</w:t>
      </w:r>
    </w:p>
    <w:p w14:paraId="788B37D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电子交易平台客户端里开标一览表录入的投标报价或优惠率与扫描上传的报价文件信息不一致的，以扫描上传的报价文件信息为准进行修正。</w:t>
      </w:r>
    </w:p>
    <w:p w14:paraId="500C08AE">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响应文件报价出现前后不一致的，除谈判文件 另有规定外，按照下列规定修正：</w:t>
      </w:r>
    </w:p>
    <w:p w14:paraId="74145391">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10、投标函中表述的内容与报价表中不一致的，以报价表为准；报价表中的内容与报价明细表不一致的，以报价表为准；</w:t>
      </w:r>
    </w:p>
    <w:p w14:paraId="48B26DC4">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11、响应文件中的大写金额和小写金额不一致的，以大写金额为准；</w:t>
      </w:r>
    </w:p>
    <w:p w14:paraId="0A8BEF1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12、单价金额小数点或者百分比有明显错位的，以开标一览表的总价为准，并修改单价；</w:t>
      </w:r>
    </w:p>
    <w:p w14:paraId="6785246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13、总价金额与按单价汇总金额不一致的，以单价金额计算结果为准；</w:t>
      </w:r>
    </w:p>
    <w:p w14:paraId="4EFA583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14、若用文字表示的数值与用数字表示的数值不一致，以文字表示的数值为准；</w:t>
      </w:r>
    </w:p>
    <w:p w14:paraId="5D5D35C2">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15、如有多报（指数量超出谈判文件 需求）、重报（指同一货物重复报价），其投标总价在评标过程中不予调整，如其中标，其合同价按其投标单价予以调整；</w:t>
      </w:r>
    </w:p>
    <w:p w14:paraId="1A952C26">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16、对不同文字文本响应文件的解释发生异议的，以中文文本为准；</w:t>
      </w:r>
    </w:p>
    <w:p w14:paraId="1D9A7D3D">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修正应当采用电子询标的形式，并加盖公章（电子印章）。</w:t>
      </w:r>
    </w:p>
    <w:p w14:paraId="714D89B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17、供应商需要注意的其它事项：</w:t>
      </w:r>
    </w:p>
    <w:p w14:paraId="02B6B45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 供应商必须由法定代表人或其委托全权代理人参加竞争性谈判，法定代表人委托代理人参加竞争性谈判必须保证在开标期间，随时通过政府采购云平台接受谈判小组的询问，并予以解答问题。</w:t>
      </w:r>
    </w:p>
    <w:p w14:paraId="40D8100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2、供应商应遵守有关法律、法规，不得采取不正当的竞争手段，否则，其后果由供应商自负。</w:t>
      </w:r>
    </w:p>
    <w:p w14:paraId="63D2157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3、在谈判会直至宣布结果之前，供应商不得向谈判评审专家询问谈判情况，不得进行旨在影响成交结果的活动，否则，其竞争性谈判无效并追究相应责任。</w:t>
      </w:r>
    </w:p>
    <w:p w14:paraId="6EB4B7FB">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4、本谈判文件的未尽事项，按现行的有关法律、法规及规章执行</w:t>
      </w:r>
    </w:p>
    <w:p w14:paraId="0E6D1AED">
      <w:pPr>
        <w:pStyle w:val="28"/>
        <w:rPr>
          <w:color w:val="auto"/>
          <w:sz w:val="24"/>
          <w:szCs w:val="24"/>
        </w:rPr>
      </w:pPr>
    </w:p>
    <w:p w14:paraId="6725931E">
      <w:pPr>
        <w:pStyle w:val="3"/>
        <w:rPr>
          <w:rFonts w:ascii="仿宋" w:hAnsi="仿宋" w:eastAsia="仿宋" w:cs="仿宋"/>
          <w:color w:val="auto"/>
          <w:sz w:val="28"/>
          <w:szCs w:val="28"/>
        </w:rPr>
      </w:pPr>
      <w:r>
        <w:rPr>
          <w:rFonts w:hint="eastAsia" w:ascii="仿宋" w:hAnsi="仿宋" w:eastAsia="仿宋" w:cs="仿宋"/>
          <w:color w:val="auto"/>
          <w:sz w:val="28"/>
          <w:szCs w:val="28"/>
        </w:rPr>
        <w:t>八、成交及合同签订</w:t>
      </w:r>
    </w:p>
    <w:p w14:paraId="5496CBB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二十七</w:t>
      </w:r>
      <w:r>
        <w:rPr>
          <w:rFonts w:hint="eastAsia" w:ascii="仿宋" w:hAnsi="仿宋" w:eastAsia="仿宋" w:cs="仿宋"/>
          <w:b/>
          <w:bCs/>
          <w:color w:val="auto"/>
          <w:sz w:val="24"/>
          <w:szCs w:val="24"/>
        </w:rPr>
        <w:t>）成交候选供应商推荐原则</w:t>
      </w:r>
    </w:p>
    <w:p w14:paraId="38FFCCA0">
      <w:pPr>
        <w:numPr>
          <w:ilvl w:val="0"/>
          <w:numId w:val="3"/>
        </w:num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小组”将根据评标价由低到高排列次序（若评标价相同的，按最低最终报价由低到高顺序排列；若评标价相同，且最低最终报价也相同时，按技术指标优劣顺序排列；如果技术指标也相同，评标委员会应按照少数服从多数的原则进行投票表决，确定成交候选人。）并推荐成交候选供应商名单，可推荐前三名为成交候选供应商，排名第一者为成交供应商，排名第二、第三者为成交候选供应商；</w:t>
      </w:r>
    </w:p>
    <w:p w14:paraId="614C2D28">
      <w:pPr>
        <w:numPr>
          <w:ilvl w:val="0"/>
          <w:numId w:val="0"/>
        </w:num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第一</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候选供应商确定为成交供应商，如第一成交候选供应商放弃</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、或因不可抗力提出不能履行合同，或竞争性谈判采购文件规定应当提交履约保证金而在规定的期限内未能提交的，采购人可确定排名第二的成交候选供应商为成交供应商</w:t>
      </w:r>
      <w:r>
        <w:rPr>
          <w:rFonts w:hint="eastAsia" w:ascii="仿宋" w:hAnsi="仿宋" w:eastAsia="仿宋" w:cs="仿宋"/>
          <w:color w:val="auto"/>
          <w:sz w:val="24"/>
          <w:szCs w:val="24"/>
          <w:lang w:val="en-US" w:eastAsia="zh-CN"/>
        </w:rPr>
        <w:t>或重新组织采购活动</w:t>
      </w:r>
      <w:r>
        <w:rPr>
          <w:rFonts w:hint="eastAsia" w:ascii="仿宋" w:hAnsi="仿宋" w:eastAsia="仿宋" w:cs="仿宋"/>
          <w:color w:val="auto"/>
          <w:sz w:val="24"/>
          <w:szCs w:val="24"/>
        </w:rPr>
        <w:t>。</w:t>
      </w:r>
    </w:p>
    <w:p w14:paraId="1FB45E00">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第二</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候选供应商因前款规定的同样原因不能签订合同的，可确定第三成交候选供应商为成交候应商</w:t>
      </w:r>
      <w:r>
        <w:rPr>
          <w:rFonts w:hint="eastAsia" w:ascii="仿宋" w:hAnsi="仿宋" w:eastAsia="仿宋" w:cs="仿宋"/>
          <w:color w:val="auto"/>
          <w:sz w:val="24"/>
          <w:szCs w:val="24"/>
          <w:lang w:val="en-US" w:eastAsia="zh-CN"/>
        </w:rPr>
        <w:t>或重新组织采购活动</w:t>
      </w:r>
      <w:r>
        <w:rPr>
          <w:rFonts w:hint="eastAsia" w:ascii="仿宋" w:hAnsi="仿宋" w:eastAsia="仿宋" w:cs="仿宋"/>
          <w:color w:val="auto"/>
          <w:sz w:val="24"/>
          <w:szCs w:val="24"/>
        </w:rPr>
        <w:t>。</w:t>
      </w:r>
    </w:p>
    <w:p w14:paraId="21A83B28">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成交候选供应商中所投标商品为同一品牌、性能配置相同时，则以最终报价最低者成交。</w:t>
      </w:r>
    </w:p>
    <w:p w14:paraId="43E3A956">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谈判小组认为，某投标人的有效报价明显不合理或者低于成本，有可能影响商品质量和不能诚信履约的，应要求其在规定的期限内提供书面文件予以解释说明，并提交相关证明材料，否则，谈判小组可以取消该投标人的成交候选资格，按顺序由排在后面的成交候选供应商递补，以此类推。</w:t>
      </w:r>
    </w:p>
    <w:p w14:paraId="6EFCE6E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二十八</w:t>
      </w:r>
      <w:r>
        <w:rPr>
          <w:rFonts w:hint="eastAsia" w:ascii="仿宋" w:hAnsi="仿宋" w:eastAsia="仿宋" w:cs="仿宋"/>
          <w:b/>
          <w:bCs/>
          <w:color w:val="auto"/>
          <w:sz w:val="24"/>
          <w:szCs w:val="24"/>
        </w:rPr>
        <w:t>）资格条件</w:t>
      </w:r>
    </w:p>
    <w:p w14:paraId="314C3EBB">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14:paraId="4947D52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2、采购人若发现成交候选供应商在投标过程中提供虚假证明文件，故意隐瞒不良信誉和财务状况，以及存在可能对合同圆满履行造成风险的其他因素等，则按规定取消其成交资格，监管部门依法进行处理。</w:t>
      </w:r>
    </w:p>
    <w:p w14:paraId="7AB17175">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3、如果成交候选供应商被确认为不具备执行合同的能力，采购人将考虑按同样的程序审查下一个成交候选供应商。</w:t>
      </w:r>
    </w:p>
    <w:p w14:paraId="028F624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二十九</w:t>
      </w:r>
      <w:r>
        <w:rPr>
          <w:rFonts w:hint="eastAsia" w:ascii="仿宋" w:hAnsi="仿宋" w:eastAsia="仿宋" w:cs="仿宋"/>
          <w:b/>
          <w:bCs/>
          <w:color w:val="auto"/>
          <w:sz w:val="24"/>
          <w:szCs w:val="24"/>
        </w:rPr>
        <w:t>）成交通知书</w:t>
      </w:r>
    </w:p>
    <w:p w14:paraId="6392D3D0">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1、定标后，经采购人同意，采购代理机构应当向</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发出成交通知书。</w:t>
      </w:r>
    </w:p>
    <w:p w14:paraId="5BD80470">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应及时到采购代理机构领取成交通知书，成交通知书是签订合同的依据和组成部分。</w:t>
      </w:r>
    </w:p>
    <w:p w14:paraId="0D5ECECF">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b/>
          <w:bCs/>
          <w:color w:val="auto"/>
          <w:sz w:val="24"/>
          <w:szCs w:val="24"/>
        </w:rPr>
        <w:t>（三十）签订合同</w:t>
      </w:r>
    </w:p>
    <w:p w14:paraId="53D29AD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在自成交通知书发出之日起30日内，依据《中华人民共和国民法典》和有关法规及</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、响应文件与采购人签订合同。</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供应商的响应文件及服务承诺文件以及评标过程中有关澄清文件均作为合同附件，合同经采购人审核盖章后实施。</w:t>
      </w:r>
    </w:p>
    <w:p w14:paraId="59EADC29">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未能按</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要求与采购单位签订采购合同，逾期将视为自动放弃中标资格，采购人将顺延下一中标候选人为</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，依次类推或依法重新进行采购。</w:t>
      </w:r>
    </w:p>
    <w:p w14:paraId="462A4AF2">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采购人若发现中标候</w:t>
      </w:r>
      <w:bookmarkStart w:id="51" w:name="_bookmark10"/>
      <w:bookmarkEnd w:id="51"/>
      <w:r>
        <w:rPr>
          <w:rFonts w:hint="eastAsia" w:ascii="仿宋" w:hAnsi="仿宋" w:eastAsia="仿宋" w:cs="仿宋"/>
          <w:color w:val="auto"/>
          <w:sz w:val="24"/>
          <w:szCs w:val="24"/>
        </w:rPr>
        <w:t>选供应商在竞标过程中提供虚假证明文件，故意隐瞒不良信誉和财务状况，以及存在可能对合同圆满履行造成风险的其他因素等，则按规定取消其中标资格，监管部门依法进行处理。</w:t>
      </w:r>
    </w:p>
    <w:p w14:paraId="5C4A52C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如果中标候选供应商被确认为不具备执行合同的能力，采购人将考虑按同样的程序审查下一个中标候选供应商或依法重新招标。</w:t>
      </w:r>
    </w:p>
    <w:p w14:paraId="2B757CC8">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（三十</w:t>
      </w:r>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）中标服务费</w:t>
      </w:r>
    </w:p>
    <w:p w14:paraId="1F8F39F6">
      <w:pPr>
        <w:keepNext w:val="0"/>
        <w:keepLines w:val="0"/>
        <w:pageBreakBefore w:val="0"/>
        <w:widowControl w:val="0"/>
        <w:kinsoku/>
        <w:wordWrap/>
        <w:overflowPunct/>
        <w:topLinePunct w:val="0"/>
        <w:autoSpaceDE/>
        <w:autoSpaceDN/>
        <w:bidi w:val="0"/>
        <w:adjustRightInd/>
        <w:spacing w:line="360" w:lineRule="auto"/>
        <w:ind w:firstLine="490" w:firstLineChars="200"/>
        <w:textAlignment w:val="auto"/>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由</w:t>
      </w:r>
      <w:r>
        <w:rPr>
          <w:rFonts w:hint="eastAsia" w:ascii="仿宋" w:hAnsi="仿宋" w:eastAsia="仿宋" w:cs="仿宋"/>
          <w:b w:val="0"/>
          <w:bCs w:val="0"/>
          <w:color w:val="auto"/>
          <w:sz w:val="24"/>
          <w:szCs w:val="24"/>
          <w:lang w:eastAsia="zh-CN"/>
        </w:rPr>
        <w:t>成交</w:t>
      </w:r>
      <w:r>
        <w:rPr>
          <w:rFonts w:hint="eastAsia" w:ascii="仿宋" w:hAnsi="仿宋" w:eastAsia="仿宋" w:cs="仿宋"/>
          <w:b w:val="0"/>
          <w:bCs w:val="0"/>
          <w:color w:val="auto"/>
          <w:sz w:val="24"/>
          <w:szCs w:val="24"/>
        </w:rPr>
        <w:t>供应商向招标代理机构支付，详见前附表。</w:t>
      </w:r>
    </w:p>
    <w:p w14:paraId="35556FBE">
      <w:pPr>
        <w:keepNext w:val="0"/>
        <w:keepLines w:val="0"/>
        <w:pageBreakBefore w:val="0"/>
        <w:widowControl w:val="0"/>
        <w:kinsoku/>
        <w:wordWrap/>
        <w:overflowPunct/>
        <w:topLinePunct w:val="0"/>
        <w:autoSpaceDE/>
        <w:autoSpaceDN/>
        <w:bidi w:val="0"/>
        <w:spacing w:line="336" w:lineRule="auto"/>
        <w:textAlignment w:val="auto"/>
        <w:rPr>
          <w:rFonts w:ascii="仿宋" w:hAnsi="仿宋" w:eastAsia="仿宋" w:cs="仿宋"/>
          <w:color w:val="auto"/>
          <w:sz w:val="24"/>
          <w:szCs w:val="24"/>
        </w:rPr>
      </w:pPr>
    </w:p>
    <w:p w14:paraId="4BBC6FCC">
      <w:pPr>
        <w:pStyle w:val="3"/>
        <w:keepNext w:val="0"/>
        <w:keepLines w:val="0"/>
        <w:pageBreakBefore w:val="0"/>
        <w:widowControl w:val="0"/>
        <w:kinsoku/>
        <w:wordWrap/>
        <w:overflowPunct/>
        <w:topLinePunct w:val="0"/>
        <w:autoSpaceDE/>
        <w:autoSpaceDN/>
        <w:bidi w:val="0"/>
        <w:spacing w:line="336" w:lineRule="auto"/>
        <w:textAlignment w:val="auto"/>
        <w:rPr>
          <w:rFonts w:ascii="仿宋" w:hAnsi="仿宋" w:eastAsia="仿宋" w:cs="仿宋"/>
          <w:color w:val="auto"/>
          <w:sz w:val="28"/>
          <w:szCs w:val="28"/>
        </w:rPr>
      </w:pPr>
      <w:r>
        <w:rPr>
          <w:rFonts w:hint="eastAsia" w:ascii="仿宋" w:hAnsi="仿宋" w:eastAsia="仿宋" w:cs="仿宋"/>
          <w:color w:val="auto"/>
          <w:sz w:val="28"/>
          <w:szCs w:val="28"/>
          <w:lang w:eastAsia="zh-CN"/>
        </w:rPr>
        <w:t>九</w:t>
      </w:r>
      <w:r>
        <w:rPr>
          <w:rFonts w:hint="eastAsia" w:ascii="仿宋" w:hAnsi="仿宋" w:eastAsia="仿宋" w:cs="仿宋"/>
          <w:color w:val="auto"/>
          <w:sz w:val="28"/>
          <w:szCs w:val="28"/>
        </w:rPr>
        <w:t>、法律责任</w:t>
      </w:r>
    </w:p>
    <w:p w14:paraId="36923CF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供应商有下列情形之一的，处以采购项目采购金额千分之五以上千分之十以下的罚款，列入不良行为记录名单，在一至三年内禁止参加</w:t>
      </w:r>
      <w:r>
        <w:rPr>
          <w:rFonts w:hint="eastAsia" w:ascii="仿宋" w:hAnsi="仿宋" w:eastAsia="仿宋" w:cs="仿宋"/>
          <w:color w:val="auto"/>
          <w:sz w:val="24"/>
          <w:szCs w:val="24"/>
          <w:lang w:eastAsia="zh-CN"/>
        </w:rPr>
        <w:t>政府</w:t>
      </w:r>
      <w:r>
        <w:rPr>
          <w:rFonts w:hint="eastAsia" w:ascii="仿宋" w:hAnsi="仿宋" w:eastAsia="仿宋" w:cs="仿宋"/>
          <w:color w:val="auto"/>
          <w:sz w:val="24"/>
          <w:szCs w:val="24"/>
        </w:rPr>
        <w:t>采购活动，并予以公告，有违法所得的，并处没收违法所得，情节严重的，由行政管理机关吊销营业执照；构成犯罪的，依法追究刑事责任：</w:t>
      </w:r>
    </w:p>
    <w:p w14:paraId="11A596D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1、提供虚假材料谋取中标的；</w:t>
      </w:r>
    </w:p>
    <w:p w14:paraId="0FBD853A">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2、采取不正当手段诋毁、排挤其他供应商的；</w:t>
      </w:r>
    </w:p>
    <w:p w14:paraId="4499014E">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3、与采购人、其他供应商或采购代理机构恶意串通的；</w:t>
      </w:r>
    </w:p>
    <w:p w14:paraId="50207E9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4、向采购人、采购代理机构行贿或者提供其他不正当利益的；</w:t>
      </w:r>
    </w:p>
    <w:p w14:paraId="69B5EE5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5、在招标过程中与招标采购单位进行协商谈判、不按照</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的响应文件订立合同，或者与采购人另行订立背离合同实质性内容的协议的；</w:t>
      </w:r>
    </w:p>
    <w:p w14:paraId="60007120">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6、拒绝有关部门监督检查或者提供虚假情况的。供应商有前款情形之一的，中标无效。</w:t>
      </w:r>
    </w:p>
    <w:p w14:paraId="23200CE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有下列情形之一的，情节严重的，由财政部门将其列入不良行为记录名单，在一至三年内禁止参加</w:t>
      </w:r>
      <w:r>
        <w:rPr>
          <w:rFonts w:hint="eastAsia" w:ascii="仿宋" w:hAnsi="仿宋" w:eastAsia="仿宋" w:cs="仿宋"/>
          <w:color w:val="auto"/>
          <w:sz w:val="24"/>
          <w:szCs w:val="24"/>
          <w:lang w:eastAsia="zh-CN"/>
        </w:rPr>
        <w:t>政府</w:t>
      </w:r>
      <w:r>
        <w:rPr>
          <w:rFonts w:hint="eastAsia" w:ascii="仿宋" w:hAnsi="仿宋" w:eastAsia="仿宋" w:cs="仿宋"/>
          <w:color w:val="auto"/>
          <w:sz w:val="24"/>
          <w:szCs w:val="24"/>
        </w:rPr>
        <w:t>采购活动，并予以通报：</w:t>
      </w:r>
    </w:p>
    <w:p w14:paraId="337B162B">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1、中标后无正当理由不与采购人签订合同，或者与采购人另行订立背离合同实质性内容的协议的；</w:t>
      </w:r>
    </w:p>
    <w:p w14:paraId="0D3B62F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2、将中标项目转让给他人，或者在响应文件中未说明，且未经采购人同意，将中标项目分包给他人的；</w:t>
      </w:r>
    </w:p>
    <w:p w14:paraId="64ED1F4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3、拒绝履行合同义务的。</w:t>
      </w:r>
    </w:p>
    <w:p w14:paraId="6CB1F6D2">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有前款情形之一的，中标无效。</w:t>
      </w:r>
    </w:p>
    <w:p w14:paraId="34B147D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按照以上条款规定，经同级或其上级财政部门认定中标无效的，可按中标候选顺序重新确定，或重新进行采购。</w:t>
      </w:r>
      <w:bookmarkStart w:id="52" w:name="_Toc497129227"/>
    </w:p>
    <w:p w14:paraId="78CD3292">
      <w:pPr>
        <w:pStyle w:val="3"/>
        <w:keepNext w:val="0"/>
        <w:keepLines w:val="0"/>
        <w:pageBreakBefore w:val="0"/>
        <w:widowControl w:val="0"/>
        <w:kinsoku/>
        <w:wordWrap/>
        <w:overflowPunct/>
        <w:topLinePunct w:val="0"/>
        <w:autoSpaceDE/>
        <w:autoSpaceDN/>
        <w:bidi w:val="0"/>
        <w:spacing w:line="336" w:lineRule="auto"/>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质疑与投诉</w:t>
      </w:r>
    </w:p>
    <w:p w14:paraId="00305343">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．质疑和投诉</w:t>
      </w:r>
    </w:p>
    <w:p w14:paraId="6E5F17F7">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14AC8FEE">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（一）对可以质疑的采购文件提出质疑的，为收到采购文件之日或者采购文件公告期限届满之日；</w:t>
      </w:r>
    </w:p>
    <w:p w14:paraId="47FDDC05">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（二）对采购过程提出质疑的，为各采购程序环节结束之日；</w:t>
      </w:r>
    </w:p>
    <w:p w14:paraId="3A6D30DB">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（三）对中标或者成交结果提出质疑的，为中标或者成交结果公告期限届满之日。</w:t>
      </w:r>
    </w:p>
    <w:p w14:paraId="2203A793">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17C6BBBB">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供应商为自然人的，应当由本人签章；供应商为法人或者其他组织的，应当由法定代表人、主要负责人，或者其授权代表签章或者盖章，并加盖公章。</w:t>
      </w:r>
    </w:p>
    <w:p w14:paraId="31133CE0">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.3供应商质疑、投诉应当有明确的请求和必要的证明材料。供应商投诉的事项不得超出已质疑事项的范围。采购人及采购代理机构按《政府采购质疑和投诉办法》进行处理供应商质疑事项。</w:t>
      </w:r>
    </w:p>
    <w:p w14:paraId="19F5F73C">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.4质疑供应商对采购人、采购代理机构的质疑答复不满意，或者采购人、采购代理机构未在规定期限内作出答复的，供应商可以在答复期满后15个工作日内向同级财政部门提起投诉。</w:t>
      </w:r>
    </w:p>
    <w:p w14:paraId="76F95282">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.5供应商有下列情形之一的，采购代理机构将报告阿图什市财政局，将其列入不良行为记录名单：</w:t>
      </w:r>
    </w:p>
    <w:p w14:paraId="57C5DA7D">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（一）一年内三次以上质疑均查无实据的；</w:t>
      </w:r>
    </w:p>
    <w:p w14:paraId="64BF9DD6">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（二）捏造事实或者提供虚假质疑材料的。</w:t>
      </w:r>
    </w:p>
    <w:p w14:paraId="1D6C7C08">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（三）以非法手段取得证明材料。证据来源的合法性存在明显疑问，质疑人无法证明其取得方式合法的，视为以非法手段取得证明材料。</w:t>
      </w:r>
    </w:p>
    <w:p w14:paraId="1A2BF127">
      <w:pPr>
        <w:rPr>
          <w:rFonts w:hint="eastAsia" w:ascii="仿宋" w:hAnsi="仿宋" w:eastAsia="仿宋" w:cs="仿宋"/>
          <w:b/>
          <w:bCs/>
          <w:color w:val="auto"/>
          <w:highlight w:val="none"/>
          <w:lang w:eastAsia="zh-CN"/>
        </w:rPr>
      </w:pPr>
    </w:p>
    <w:p w14:paraId="05EBDCA9">
      <w:pPr>
        <w:rPr>
          <w:rFonts w:hint="eastAsia" w:ascii="仿宋" w:hAnsi="仿宋" w:eastAsia="仿宋" w:cs="仿宋"/>
          <w:b/>
          <w:bCs/>
          <w:color w:val="auto"/>
          <w:highlight w:val="none"/>
          <w:lang w:eastAsia="zh-CN"/>
        </w:rPr>
      </w:pPr>
    </w:p>
    <w:p w14:paraId="0A04298C">
      <w:pPr>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附件：</w:t>
      </w:r>
    </w:p>
    <w:p w14:paraId="7F081A72">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14:paraId="1370E611">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14:paraId="58019548">
      <w:pPr>
        <w:spacing w:line="400" w:lineRule="exact"/>
        <w:rPr>
          <w:rFonts w:ascii="仿宋" w:hAnsi="仿宋" w:eastAsia="仿宋" w:cs="仿宋"/>
          <w:color w:val="auto"/>
          <w:highlight w:val="none"/>
          <w:lang w:eastAsia="zh-CN"/>
        </w:rPr>
      </w:pPr>
    </w:p>
    <w:p w14:paraId="07235F6E">
      <w:pPr>
        <w:spacing w:line="400" w:lineRule="exact"/>
        <w:ind w:firstLine="49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p>
    <w:p w14:paraId="6DEDFA4F">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4FC39819">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委托代理人姓名：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7F72CB59">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住址：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联系电话：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011A08EE">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被投诉人：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p>
    <w:p w14:paraId="11822652">
      <w:pPr>
        <w:spacing w:line="400" w:lineRule="exact"/>
        <w:ind w:firstLine="490" w:firstLineChars="200"/>
        <w:rPr>
          <w:rFonts w:hint="default" w:ascii="仿宋" w:hAnsi="仿宋" w:eastAsia="仿宋" w:cs="仿宋"/>
          <w:color w:val="auto"/>
          <w:highlight w:val="none"/>
          <w:u w:val="single"/>
          <w:lang w:val="en-US"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p>
    <w:p w14:paraId="7A132C80">
      <w:pPr>
        <w:spacing w:line="400" w:lineRule="exact"/>
        <w:ind w:firstLine="490" w:firstLineChars="200"/>
        <w:rPr>
          <w:rFonts w:ascii="仿宋" w:hAnsi="仿宋" w:eastAsia="仿宋" w:cs="仿宋"/>
          <w:color w:val="auto"/>
          <w:highlight w:val="none"/>
          <w:lang w:eastAsia="zh-CN"/>
        </w:rPr>
      </w:pPr>
    </w:p>
    <w:p w14:paraId="3038F7E6">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我公司参加了</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年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日被投诉人组织的</w:t>
      </w:r>
      <w:r>
        <w:rPr>
          <w:rFonts w:hint="eastAsia" w:ascii="仿宋" w:hAnsi="仿宋" w:eastAsia="仿宋" w:cs="仿宋"/>
          <w:color w:val="auto"/>
          <w:highlight w:val="none"/>
          <w:u w:val="single"/>
          <w:lang w:eastAsia="zh-CN"/>
        </w:rPr>
        <w:t>（采购人）（项目名称）（项目编号）</w:t>
      </w:r>
      <w:r>
        <w:rPr>
          <w:rFonts w:hint="eastAsia" w:ascii="仿宋" w:hAnsi="仿宋" w:eastAsia="仿宋" w:cs="仿宋"/>
          <w:color w:val="auto"/>
          <w:highlight w:val="none"/>
          <w:lang w:eastAsia="zh-CN"/>
        </w:rPr>
        <w:t>的采购活动，我公司认为该项目的</w:t>
      </w:r>
      <w:r>
        <w:rPr>
          <w:rFonts w:hint="eastAsia" w:ascii="仿宋" w:hAnsi="仿宋" w:eastAsia="仿宋" w:cs="仿宋"/>
          <w:color w:val="auto"/>
          <w:highlight w:val="none"/>
          <w:u w:val="single"/>
          <w:lang w:eastAsia="zh-CN"/>
        </w:rPr>
        <w:t>（采购文件/采购过程/中标（中标）结果）</w:t>
      </w:r>
      <w:r>
        <w:rPr>
          <w:rFonts w:hint="eastAsia" w:ascii="仿宋" w:hAnsi="仿宋" w:eastAsia="仿宋" w:cs="仿宋"/>
          <w:color w:val="auto"/>
          <w:highlight w:val="none"/>
          <w:lang w:eastAsia="zh-CN"/>
        </w:rPr>
        <w:t>损害了我公司权益，对此，我公司于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日向</w:t>
      </w:r>
      <w:r>
        <w:rPr>
          <w:rFonts w:hint="eastAsia" w:ascii="仿宋" w:hAnsi="仿宋" w:eastAsia="仿宋" w:cs="仿宋"/>
          <w:color w:val="auto"/>
          <w:highlight w:val="none"/>
          <w:u w:val="single"/>
          <w:lang w:eastAsia="zh-CN"/>
        </w:rPr>
        <w:t>（采购人或者政府采购代理机构）</w:t>
      </w:r>
      <w:r>
        <w:rPr>
          <w:rFonts w:hint="eastAsia" w:ascii="仿宋" w:hAnsi="仿宋" w:eastAsia="仿宋" w:cs="仿宋"/>
          <w:color w:val="auto"/>
          <w:highlight w:val="none"/>
          <w:lang w:eastAsia="zh-CN"/>
        </w:rPr>
        <w:t>提出了质疑，</w:t>
      </w:r>
      <w:r>
        <w:rPr>
          <w:rFonts w:hint="eastAsia" w:ascii="仿宋" w:hAnsi="仿宋" w:eastAsia="仿宋" w:cs="仿宋"/>
          <w:color w:val="auto"/>
          <w:highlight w:val="none"/>
          <w:u w:val="single"/>
          <w:lang w:eastAsia="zh-CN"/>
        </w:rPr>
        <w:t>（其于    年  月  日作出书面答复，因对其作出的答复不满意）/（被质疑人未在法定期内予以答复，按照政府采购有关规定）</w:t>
      </w:r>
      <w:r>
        <w:rPr>
          <w:rFonts w:hint="eastAsia" w:ascii="仿宋" w:hAnsi="仿宋" w:eastAsia="仿宋" w:cs="仿宋"/>
          <w:color w:val="auto"/>
          <w:highlight w:val="none"/>
          <w:lang w:eastAsia="zh-CN"/>
        </w:rPr>
        <w:t>，现向贵机关提起投诉：</w:t>
      </w:r>
    </w:p>
    <w:p w14:paraId="7D34E7FF">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u w:val="single"/>
          <w:lang w:eastAsia="zh-CN"/>
        </w:rPr>
        <w:t>具体的投诉事项及事实依据；</w:t>
      </w:r>
    </w:p>
    <w:p w14:paraId="0C783211">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u w:val="single"/>
          <w:lang w:eastAsia="zh-CN"/>
        </w:rPr>
        <w:t>质疑和质疑答复情况简要描述；</w:t>
      </w:r>
    </w:p>
    <w:p w14:paraId="32088876">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r>
        <w:rPr>
          <w:rFonts w:hint="eastAsia" w:ascii="仿宋" w:hAnsi="仿宋" w:eastAsia="仿宋" w:cs="仿宋"/>
          <w:color w:val="auto"/>
          <w:highlight w:val="none"/>
          <w:u w:val="single"/>
          <w:lang w:eastAsia="zh-CN"/>
        </w:rPr>
        <w:t>投诉请求。</w:t>
      </w:r>
    </w:p>
    <w:p w14:paraId="118E44BF">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附件：</w:t>
      </w:r>
    </w:p>
    <w:p w14:paraId="790251AD">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1.质疑书和质疑答复书；</w:t>
      </w:r>
    </w:p>
    <w:p w14:paraId="6684EB6B">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2.证据材料（需注明证据来源），证人的姓名、住址和联系方式等；</w:t>
      </w:r>
    </w:p>
    <w:p w14:paraId="2C3136AC">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3.营业执照；</w:t>
      </w:r>
    </w:p>
    <w:p w14:paraId="775A9229">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4.法定代表人身份证明函</w:t>
      </w:r>
    </w:p>
    <w:p w14:paraId="3E44A859">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5.法定代表人授权委托书（包含法定代表人和委托代理人的身份证复印件）；</w:t>
      </w:r>
    </w:p>
    <w:p w14:paraId="784AE0B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6.政府采购监管部门认为应当提供的其它材料。</w:t>
      </w:r>
    </w:p>
    <w:p w14:paraId="3BAD00D3">
      <w:pPr>
        <w:spacing w:line="400" w:lineRule="exact"/>
        <w:jc w:val="center"/>
        <w:rPr>
          <w:rFonts w:ascii="仿宋" w:hAnsi="仿宋" w:eastAsia="仿宋" w:cs="仿宋"/>
          <w:color w:val="auto"/>
          <w:highlight w:val="none"/>
          <w:lang w:eastAsia="zh-CN"/>
        </w:rPr>
      </w:pPr>
    </w:p>
    <w:p w14:paraId="0BD552E0">
      <w:pPr>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投诉供应商：（盖章）</w:t>
      </w:r>
    </w:p>
    <w:p w14:paraId="50F0AC67">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法定代表人（或主要负责人）：（签章）</w:t>
      </w:r>
    </w:p>
    <w:p w14:paraId="0F4A96D7">
      <w:pPr>
        <w:spacing w:line="400" w:lineRule="exact"/>
        <w:ind w:firstLine="3920" w:firstLineChars="16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7229067F">
      <w:pPr>
        <w:spacing w:line="400" w:lineRule="exact"/>
        <w:rPr>
          <w:rFonts w:ascii="仿宋" w:hAnsi="仿宋" w:eastAsia="仿宋" w:cs="仿宋"/>
          <w:color w:val="auto"/>
          <w:highlight w:val="none"/>
          <w:lang w:eastAsia="zh-CN"/>
        </w:rPr>
      </w:pPr>
    </w:p>
    <w:p w14:paraId="7D5665B3">
      <w:pPr>
        <w:spacing w:line="400" w:lineRule="exact"/>
        <w:jc w:val="right"/>
        <w:rPr>
          <w:rFonts w:hint="eastAsia" w:ascii="仿宋" w:hAnsi="仿宋" w:eastAsia="仿宋" w:cs="仿宋"/>
          <w:b/>
          <w:bCs/>
          <w:color w:val="auto"/>
          <w:sz w:val="32"/>
          <w:szCs w:val="32"/>
          <w:highlight w:val="none"/>
          <w:lang w:eastAsia="zh-CN"/>
        </w:rPr>
      </w:pPr>
      <w:r>
        <w:rPr>
          <w:rFonts w:hint="eastAsia" w:ascii="仿宋" w:hAnsi="仿宋" w:eastAsia="仿宋" w:cs="仿宋"/>
          <w:color w:val="auto"/>
          <w:highlight w:val="none"/>
          <w:lang w:eastAsia="zh-CN"/>
        </w:rPr>
        <w:t>本投诉书正本叁份，副本</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份并附电子文档。</w:t>
      </w:r>
      <w:bookmarkStart w:id="53" w:name="_Toc17515"/>
    </w:p>
    <w:p w14:paraId="63AC31D3">
      <w:pPr>
        <w:ind w:left="5783" w:hanging="5850" w:hangingChars="1800"/>
        <w:jc w:val="center"/>
        <w:outlineLvl w:val="0"/>
        <w:rPr>
          <w:rFonts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投诉相关说明</w:t>
      </w:r>
      <w:bookmarkEnd w:id="53"/>
    </w:p>
    <w:p w14:paraId="36FB0B5F">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14:paraId="3FF2C2CA">
      <w:pPr>
        <w:numPr>
          <w:ilvl w:val="0"/>
          <w:numId w:val="4"/>
        </w:numPr>
        <w:spacing w:line="400" w:lineRule="exact"/>
        <w:ind w:left="4664" w:leftChars="304" w:hanging="3920" w:hangingChars="1600"/>
        <w:outlineLvl w:val="0"/>
        <w:rPr>
          <w:rFonts w:ascii="仿宋" w:hAnsi="仿宋" w:eastAsia="仿宋" w:cs="仿宋"/>
          <w:b/>
          <w:bCs/>
          <w:color w:val="auto"/>
          <w:sz w:val="24"/>
          <w:szCs w:val="24"/>
          <w:highlight w:val="none"/>
        </w:rPr>
      </w:pPr>
      <w:bookmarkStart w:id="54" w:name="_Toc11499"/>
      <w:r>
        <w:rPr>
          <w:rFonts w:hint="eastAsia" w:ascii="仿宋" w:hAnsi="仿宋" w:eastAsia="仿宋" w:cs="仿宋"/>
          <w:b/>
          <w:bCs/>
          <w:color w:val="auto"/>
          <w:sz w:val="24"/>
          <w:szCs w:val="24"/>
          <w:highlight w:val="none"/>
        </w:rPr>
        <w:t>质疑前置及时间要求</w:t>
      </w:r>
      <w:bookmarkEnd w:id="54"/>
    </w:p>
    <w:p w14:paraId="4CAEDB1E">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568DB62D">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3313D1DF">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0BE84FBD">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3269A101">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72B9856F">
      <w:pPr>
        <w:spacing w:line="400" w:lineRule="exact"/>
        <w:ind w:left="3780" w:hanging="3870" w:hangingChars="1800"/>
        <w:outlineLvl w:val="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bookmarkStart w:id="55" w:name="_Toc13508"/>
      <w:r>
        <w:rPr>
          <w:rFonts w:hint="eastAsia" w:ascii="仿宋" w:hAnsi="仿宋" w:eastAsia="仿宋" w:cs="仿宋"/>
          <w:b/>
          <w:bCs/>
          <w:color w:val="auto"/>
          <w:sz w:val="21"/>
          <w:szCs w:val="21"/>
          <w:highlight w:val="none"/>
          <w:lang w:eastAsia="zh-CN"/>
        </w:rPr>
        <w:t>二、书面方式</w:t>
      </w:r>
      <w:bookmarkEnd w:id="55"/>
    </w:p>
    <w:p w14:paraId="04E64C07">
      <w:pPr>
        <w:spacing w:line="400" w:lineRule="exact"/>
        <w:ind w:left="3780" w:hanging="3870" w:hangingChars="1800"/>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highlight w:val="none"/>
          <w:lang w:eastAsia="zh-CN"/>
        </w:rPr>
        <w:t>政府采购供应商投诉处理办法》第八条：投诉人投诉</w:t>
      </w:r>
    </w:p>
    <w:p w14:paraId="0DE136F1">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14:paraId="54434EFF">
      <w:pPr>
        <w:spacing w:line="400" w:lineRule="exact"/>
        <w:ind w:left="4320" w:hanging="441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14:paraId="4C8A0ABF">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14:paraId="5F624F53">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14:paraId="7EDA26A2">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14:paraId="739F3CDA">
      <w:pPr>
        <w:numPr>
          <w:ilvl w:val="0"/>
          <w:numId w:val="5"/>
        </w:numPr>
        <w:spacing w:line="400" w:lineRule="exact"/>
        <w:rPr>
          <w:rFonts w:ascii="仿宋" w:hAnsi="仿宋" w:eastAsia="仿宋" w:cs="仿宋"/>
          <w:color w:val="auto"/>
          <w:highlight w:val="none"/>
        </w:rPr>
      </w:pPr>
      <w:r>
        <w:rPr>
          <w:rFonts w:hint="eastAsia" w:ascii="仿宋" w:hAnsi="仿宋" w:eastAsia="仿宋" w:cs="仿宋"/>
          <w:color w:val="auto"/>
          <w:highlight w:val="none"/>
        </w:rPr>
        <w:t>提起投诉的日期。</w:t>
      </w:r>
    </w:p>
    <w:p w14:paraId="7E5F4820">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投诉书应当署名。投诉人为自然人，应当由本人签章；投诉人为法人或者其他组织的，应当由法定代表人或者主要负责人签章并加盖公章。</w:t>
      </w:r>
    </w:p>
    <w:p w14:paraId="50E1E74F">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14AFD3C4">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14:paraId="4ECD3C70">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14:paraId="34603C89">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提起投诉诉前已依法进行质疑；</w:t>
      </w:r>
    </w:p>
    <w:p w14:paraId="53C56003">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14:paraId="39220B50">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14:paraId="2D960997">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14:paraId="14D66A83">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14:paraId="479F6472">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14:paraId="575DDB4F">
      <w:pPr>
        <w:spacing w:line="400" w:lineRule="exact"/>
        <w:ind w:left="4320" w:hanging="441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63F5672A">
      <w:pPr>
        <w:outlineLvl w:val="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56" w:name="_Toc5978"/>
      <w:r>
        <w:rPr>
          <w:rFonts w:hint="eastAsia" w:ascii="仿宋" w:hAnsi="仿宋" w:eastAsia="仿宋" w:cs="仿宋"/>
          <w:b/>
          <w:bCs/>
          <w:color w:val="auto"/>
          <w:highlight w:val="none"/>
          <w:lang w:eastAsia="zh-CN"/>
        </w:rPr>
        <w:t>三、虚假、恶意投诉法律责任</w:t>
      </w:r>
      <w:bookmarkEnd w:id="56"/>
    </w:p>
    <w:p w14:paraId="221BCD3C">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第七十三条：供应商捏造实施、提供虚假材料或者以非法手段取得证明材料进行投诉的，由财政部门列入不良行为记录名单，禁止其1至3年内参加政府采购活动。</w:t>
      </w:r>
    </w:p>
    <w:p w14:paraId="31A3A093">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16E08915">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14:paraId="624F69AB">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14:paraId="5180C31D">
      <w:pPr>
        <w:spacing w:line="400" w:lineRule="exact"/>
        <w:rPr>
          <w:rFonts w:ascii="仿宋" w:hAnsi="仿宋" w:eastAsia="仿宋" w:cs="仿宋"/>
          <w:color w:val="auto"/>
          <w:sz w:val="21"/>
          <w:szCs w:val="21"/>
          <w:highlight w:val="none"/>
          <w:lang w:eastAsia="zh-CN"/>
        </w:rPr>
      </w:pPr>
    </w:p>
    <w:p w14:paraId="158D4E04">
      <w:pPr>
        <w:spacing w:line="400" w:lineRule="exact"/>
        <w:rPr>
          <w:rFonts w:ascii="仿宋" w:hAnsi="仿宋" w:eastAsia="仿宋" w:cs="仿宋"/>
          <w:color w:val="auto"/>
          <w:sz w:val="21"/>
          <w:szCs w:val="21"/>
          <w:highlight w:val="none"/>
          <w:lang w:eastAsia="zh-CN"/>
        </w:rPr>
      </w:pPr>
    </w:p>
    <w:p w14:paraId="399BCE63">
      <w:pPr>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w:t>
      </w:r>
      <w:r>
        <w:rPr>
          <w:rFonts w:hint="eastAsia" w:ascii="仿宋" w:hAnsi="仿宋" w:eastAsia="仿宋" w:cs="仿宋"/>
          <w:color w:val="auto"/>
          <w:kern w:val="0"/>
          <w:sz w:val="24"/>
          <w:szCs w:val="24"/>
          <w:highlight w:val="none"/>
          <w:shd w:val="clear" w:color="auto" w:fill="FFFFFF"/>
          <w:lang w:val="en-US" w:eastAsia="zh-CN" w:bidi="ar"/>
        </w:rPr>
        <w:t>克州政府采购办监管办公室</w:t>
      </w:r>
    </w:p>
    <w:p w14:paraId="5709735E">
      <w:pPr>
        <w:jc w:val="right"/>
        <w:rPr>
          <w:rFonts w:ascii="仿宋" w:hAnsi="仿宋" w:eastAsia="仿宋" w:cs="仿宋"/>
          <w:color w:val="auto"/>
          <w:sz w:val="32"/>
          <w:szCs w:val="32"/>
          <w:highlight w:val="none"/>
          <w:lang w:eastAsia="zh-CN"/>
        </w:rPr>
      </w:pPr>
    </w:p>
    <w:p w14:paraId="19B5537C">
      <w:pPr>
        <w:spacing w:line="540" w:lineRule="exact"/>
        <w:jc w:val="center"/>
        <w:rPr>
          <w:rFonts w:ascii="仿宋" w:hAnsi="仿宋" w:eastAsia="仿宋" w:cs="仿宋"/>
          <w:b/>
          <w:bCs/>
          <w:color w:val="auto"/>
          <w:sz w:val="44"/>
          <w:szCs w:val="44"/>
          <w:highlight w:val="none"/>
          <w:lang w:eastAsia="zh-CN"/>
        </w:rPr>
      </w:pPr>
    </w:p>
    <w:p w14:paraId="3762265C">
      <w:pPr>
        <w:spacing w:line="540" w:lineRule="exact"/>
        <w:jc w:val="center"/>
        <w:rPr>
          <w:rFonts w:ascii="仿宋" w:hAnsi="仿宋" w:eastAsia="仿宋" w:cs="仿宋"/>
          <w:b/>
          <w:bCs/>
          <w:color w:val="auto"/>
          <w:sz w:val="44"/>
          <w:szCs w:val="44"/>
          <w:highlight w:val="none"/>
          <w:lang w:eastAsia="zh-CN"/>
        </w:rPr>
      </w:pPr>
    </w:p>
    <w:p w14:paraId="7F5289BB">
      <w:pPr>
        <w:spacing w:line="540" w:lineRule="exact"/>
        <w:jc w:val="center"/>
        <w:rPr>
          <w:rFonts w:ascii="仿宋" w:hAnsi="仿宋" w:eastAsia="仿宋" w:cs="仿宋"/>
          <w:b/>
          <w:bCs/>
          <w:color w:val="auto"/>
          <w:sz w:val="44"/>
          <w:szCs w:val="44"/>
          <w:highlight w:val="none"/>
          <w:lang w:eastAsia="zh-CN"/>
        </w:rPr>
      </w:pPr>
    </w:p>
    <w:p w14:paraId="6D10201F">
      <w:pPr>
        <w:spacing w:line="540" w:lineRule="exact"/>
        <w:jc w:val="center"/>
        <w:rPr>
          <w:rFonts w:ascii="仿宋" w:hAnsi="仿宋" w:eastAsia="仿宋" w:cs="仿宋"/>
          <w:b/>
          <w:bCs/>
          <w:color w:val="auto"/>
          <w:sz w:val="44"/>
          <w:szCs w:val="44"/>
          <w:highlight w:val="none"/>
          <w:lang w:eastAsia="zh-CN"/>
        </w:rPr>
      </w:pPr>
    </w:p>
    <w:p w14:paraId="12494B10">
      <w:pPr>
        <w:spacing w:line="540" w:lineRule="exact"/>
        <w:jc w:val="center"/>
        <w:rPr>
          <w:rFonts w:ascii="仿宋" w:hAnsi="仿宋" w:eastAsia="仿宋" w:cs="仿宋"/>
          <w:b/>
          <w:bCs/>
          <w:color w:val="auto"/>
          <w:sz w:val="44"/>
          <w:szCs w:val="44"/>
          <w:highlight w:val="none"/>
          <w:lang w:eastAsia="zh-CN"/>
        </w:rPr>
      </w:pPr>
    </w:p>
    <w:p w14:paraId="1EBA72E2">
      <w:pPr>
        <w:spacing w:line="540" w:lineRule="exact"/>
        <w:jc w:val="center"/>
        <w:rPr>
          <w:rFonts w:ascii="仿宋" w:hAnsi="仿宋" w:eastAsia="仿宋" w:cs="仿宋"/>
          <w:b/>
          <w:bCs/>
          <w:color w:val="auto"/>
          <w:sz w:val="44"/>
          <w:szCs w:val="44"/>
          <w:highlight w:val="none"/>
          <w:lang w:eastAsia="zh-CN"/>
        </w:rPr>
      </w:pPr>
    </w:p>
    <w:p w14:paraId="2F1262D5">
      <w:pPr>
        <w:spacing w:line="540" w:lineRule="exact"/>
        <w:jc w:val="both"/>
        <w:outlineLvl w:val="0"/>
        <w:rPr>
          <w:rFonts w:hint="eastAsia" w:ascii="仿宋" w:hAnsi="仿宋" w:eastAsia="仿宋" w:cs="仿宋"/>
          <w:b/>
          <w:bCs/>
          <w:color w:val="auto"/>
          <w:sz w:val="32"/>
          <w:szCs w:val="32"/>
          <w:highlight w:val="none"/>
          <w:lang w:eastAsia="zh-CN"/>
        </w:rPr>
      </w:pPr>
      <w:bookmarkStart w:id="57" w:name="_Toc1697"/>
    </w:p>
    <w:p w14:paraId="1F063CD0">
      <w:pPr>
        <w:spacing w:line="540" w:lineRule="exact"/>
        <w:jc w:val="both"/>
        <w:outlineLvl w:val="0"/>
        <w:rPr>
          <w:rFonts w:hint="eastAsia" w:ascii="仿宋" w:hAnsi="仿宋" w:eastAsia="仿宋" w:cs="仿宋"/>
          <w:b/>
          <w:bCs/>
          <w:color w:val="auto"/>
          <w:sz w:val="32"/>
          <w:szCs w:val="32"/>
          <w:highlight w:val="none"/>
          <w:lang w:eastAsia="zh-CN"/>
        </w:rPr>
      </w:pPr>
    </w:p>
    <w:p w14:paraId="37FA82CE">
      <w:pPr>
        <w:spacing w:line="540" w:lineRule="exact"/>
        <w:jc w:val="both"/>
        <w:outlineLvl w:val="0"/>
        <w:rPr>
          <w:rFonts w:hint="eastAsia" w:ascii="仿宋" w:hAnsi="仿宋" w:eastAsia="仿宋" w:cs="仿宋"/>
          <w:b/>
          <w:bCs/>
          <w:color w:val="auto"/>
          <w:sz w:val="32"/>
          <w:szCs w:val="32"/>
          <w:highlight w:val="none"/>
          <w:lang w:eastAsia="zh-CN"/>
        </w:rPr>
      </w:pPr>
    </w:p>
    <w:p w14:paraId="747DAF83">
      <w:pPr>
        <w:spacing w:line="540" w:lineRule="exact"/>
        <w:jc w:val="both"/>
        <w:outlineLvl w:val="0"/>
        <w:rPr>
          <w:rFonts w:hint="eastAsia" w:ascii="仿宋" w:hAnsi="仿宋" w:eastAsia="仿宋" w:cs="仿宋"/>
          <w:b/>
          <w:bCs/>
          <w:color w:val="auto"/>
          <w:sz w:val="32"/>
          <w:szCs w:val="32"/>
          <w:highlight w:val="none"/>
          <w:lang w:eastAsia="zh-CN"/>
        </w:rPr>
      </w:pPr>
    </w:p>
    <w:p w14:paraId="57C98334">
      <w:pPr>
        <w:spacing w:line="540" w:lineRule="exact"/>
        <w:jc w:val="center"/>
        <w:outlineLvl w:val="0"/>
        <w:rPr>
          <w:rFonts w:hint="eastAsia" w:ascii="仿宋" w:hAnsi="仿宋" w:eastAsia="仿宋" w:cs="仿宋"/>
          <w:b/>
          <w:bCs/>
          <w:color w:val="auto"/>
          <w:sz w:val="32"/>
          <w:szCs w:val="32"/>
          <w:highlight w:val="none"/>
          <w:lang w:eastAsia="zh-CN"/>
        </w:rPr>
      </w:pPr>
    </w:p>
    <w:p w14:paraId="439DFEC5">
      <w:pPr>
        <w:spacing w:line="540" w:lineRule="exact"/>
        <w:jc w:val="center"/>
        <w:outlineLvl w:val="0"/>
        <w:rPr>
          <w:rFonts w:hint="eastAsia" w:ascii="仿宋" w:hAnsi="仿宋" w:eastAsia="仿宋" w:cs="仿宋"/>
          <w:b/>
          <w:bCs/>
          <w:color w:val="auto"/>
          <w:sz w:val="32"/>
          <w:szCs w:val="32"/>
          <w:highlight w:val="none"/>
          <w:lang w:eastAsia="zh-CN"/>
        </w:rPr>
      </w:pPr>
    </w:p>
    <w:p w14:paraId="5431C118">
      <w:pPr>
        <w:spacing w:line="540" w:lineRule="exact"/>
        <w:jc w:val="center"/>
        <w:outlineLvl w:val="0"/>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质疑函范本</w:t>
      </w:r>
      <w:bookmarkEnd w:id="57"/>
    </w:p>
    <w:p w14:paraId="1004267E">
      <w:pPr>
        <w:adjustRightInd w:val="0"/>
        <w:snapToGrid w:val="0"/>
        <w:spacing w:beforeLines="100" w:line="540" w:lineRule="exact"/>
        <w:ind w:firstLine="490" w:firstLineChars="200"/>
        <w:outlineLvl w:val="0"/>
        <w:rPr>
          <w:rFonts w:ascii="仿宋" w:hAnsi="仿宋" w:eastAsia="仿宋" w:cs="仿宋"/>
          <w:bCs/>
          <w:color w:val="auto"/>
          <w:highlight w:val="none"/>
          <w:lang w:eastAsia="zh-CN"/>
        </w:rPr>
      </w:pPr>
      <w:bookmarkStart w:id="58" w:name="_Toc9061"/>
      <w:r>
        <w:rPr>
          <w:rFonts w:hint="eastAsia" w:ascii="仿宋" w:hAnsi="仿宋" w:eastAsia="仿宋" w:cs="仿宋"/>
          <w:bCs/>
          <w:color w:val="auto"/>
          <w:highlight w:val="none"/>
          <w:lang w:eastAsia="zh-CN"/>
        </w:rPr>
        <w:t>一、质疑供应商基本信息</w:t>
      </w:r>
      <w:bookmarkEnd w:id="58"/>
    </w:p>
    <w:p w14:paraId="48C879FF">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14:paraId="4E3204E1">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6A9F6342">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71801E91">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14:paraId="58844042">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588FEA2D">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5A8B2FB0">
      <w:pPr>
        <w:adjustRightInd w:val="0"/>
        <w:snapToGrid w:val="0"/>
        <w:spacing w:line="540" w:lineRule="exact"/>
        <w:ind w:firstLine="490" w:firstLineChars="200"/>
        <w:outlineLvl w:val="0"/>
        <w:rPr>
          <w:rFonts w:ascii="仿宋" w:hAnsi="仿宋" w:eastAsia="仿宋" w:cs="仿宋"/>
          <w:bCs/>
          <w:color w:val="auto"/>
          <w:highlight w:val="none"/>
          <w:lang w:eastAsia="zh-CN"/>
        </w:rPr>
      </w:pPr>
      <w:bookmarkStart w:id="59" w:name="_Toc15938"/>
      <w:r>
        <w:rPr>
          <w:rFonts w:hint="eastAsia" w:ascii="仿宋" w:hAnsi="仿宋" w:eastAsia="仿宋" w:cs="仿宋"/>
          <w:bCs/>
          <w:color w:val="auto"/>
          <w:highlight w:val="none"/>
          <w:lang w:eastAsia="zh-CN"/>
        </w:rPr>
        <w:t>二、质疑项目基本情况</w:t>
      </w:r>
      <w:bookmarkEnd w:id="59"/>
    </w:p>
    <w:p w14:paraId="2975DC34">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14:paraId="032FCB1A">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14:paraId="648B1359">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14:paraId="3550B21C">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14:paraId="17E8B94B">
      <w:pPr>
        <w:adjustRightInd w:val="0"/>
        <w:snapToGrid w:val="0"/>
        <w:spacing w:line="540" w:lineRule="exact"/>
        <w:ind w:firstLine="490" w:firstLineChars="200"/>
        <w:outlineLvl w:val="0"/>
        <w:rPr>
          <w:rFonts w:ascii="仿宋" w:hAnsi="仿宋" w:eastAsia="仿宋" w:cs="仿宋"/>
          <w:bCs/>
          <w:color w:val="auto"/>
          <w:highlight w:val="none"/>
          <w:lang w:eastAsia="zh-CN"/>
        </w:rPr>
      </w:pPr>
      <w:bookmarkStart w:id="60" w:name="_Toc18271"/>
      <w:r>
        <w:rPr>
          <w:rFonts w:hint="eastAsia" w:ascii="仿宋" w:hAnsi="仿宋" w:eastAsia="仿宋" w:cs="仿宋"/>
          <w:bCs/>
          <w:color w:val="auto"/>
          <w:highlight w:val="none"/>
          <w:lang w:eastAsia="zh-CN"/>
        </w:rPr>
        <w:t>三、质疑事项具体内容</w:t>
      </w:r>
      <w:bookmarkEnd w:id="60"/>
    </w:p>
    <w:p w14:paraId="1CBDD487">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14:paraId="3ED2FCFC">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14:paraId="1EC35DA6">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14:paraId="123403E4">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14:paraId="1DABE38D">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21E12498">
      <w:pPr>
        <w:adjustRightInd w:val="0"/>
        <w:snapToGrid w:val="0"/>
        <w:spacing w:line="540" w:lineRule="exact"/>
        <w:ind w:firstLine="490" w:firstLineChars="200"/>
        <w:outlineLvl w:val="0"/>
        <w:rPr>
          <w:rFonts w:ascii="仿宋" w:hAnsi="仿宋" w:eastAsia="仿宋" w:cs="仿宋"/>
          <w:bCs/>
          <w:color w:val="auto"/>
          <w:highlight w:val="none"/>
          <w:lang w:eastAsia="zh-CN"/>
        </w:rPr>
      </w:pPr>
      <w:bookmarkStart w:id="61" w:name="_Toc22365"/>
      <w:r>
        <w:rPr>
          <w:rFonts w:hint="eastAsia" w:ascii="仿宋" w:hAnsi="仿宋" w:eastAsia="仿宋" w:cs="仿宋"/>
          <w:bCs/>
          <w:color w:val="auto"/>
          <w:highlight w:val="none"/>
          <w:lang w:eastAsia="zh-CN"/>
        </w:rPr>
        <w:t>四、与质疑事项相关的质疑请求</w:t>
      </w:r>
      <w:bookmarkEnd w:id="61"/>
    </w:p>
    <w:p w14:paraId="72AC0C83">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14:paraId="5472B3C5">
      <w:pPr>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签章(签章)：                   公章：                      </w:t>
      </w:r>
    </w:p>
    <w:p w14:paraId="7081C213">
      <w:pPr>
        <w:spacing w:line="540" w:lineRule="exact"/>
        <w:ind w:firstLine="490" w:firstLineChars="200"/>
        <w:rPr>
          <w:rFonts w:ascii="仿宋" w:hAnsi="仿宋" w:eastAsia="仿宋" w:cs="仿宋"/>
          <w:b/>
          <w:bCs/>
          <w:color w:val="auto"/>
          <w:highlight w:val="none"/>
          <w:lang w:eastAsia="zh-CN"/>
        </w:rPr>
      </w:pPr>
      <w:r>
        <w:rPr>
          <w:rFonts w:hint="eastAsia" w:ascii="仿宋" w:hAnsi="仿宋" w:eastAsia="仿宋" w:cs="仿宋"/>
          <w:color w:val="auto"/>
          <w:highlight w:val="none"/>
          <w:lang w:eastAsia="zh-CN"/>
        </w:rPr>
        <w:t xml:space="preserve">日期：    </w:t>
      </w:r>
    </w:p>
    <w:p w14:paraId="493AEE77">
      <w:pPr>
        <w:pStyle w:val="3"/>
        <w:keepNext w:val="0"/>
        <w:keepLines w:val="0"/>
        <w:pageBreakBefore w:val="0"/>
        <w:widowControl w:val="0"/>
        <w:kinsoku/>
        <w:wordWrap/>
        <w:overflowPunct/>
        <w:topLinePunct w:val="0"/>
        <w:autoSpaceDE/>
        <w:autoSpaceDN/>
        <w:bidi w:val="0"/>
        <w:spacing w:line="336" w:lineRule="auto"/>
        <w:textAlignment w:val="auto"/>
        <w:rPr>
          <w:rFonts w:ascii="仿宋" w:hAnsi="仿宋" w:eastAsia="仿宋" w:cs="仿宋"/>
          <w:color w:val="auto"/>
          <w:sz w:val="28"/>
          <w:szCs w:val="28"/>
        </w:rPr>
      </w:pPr>
    </w:p>
    <w:p w14:paraId="634282AE">
      <w:pPr>
        <w:pageBreakBefore/>
        <w:spacing w:line="440" w:lineRule="exact"/>
        <w:jc w:val="center"/>
        <w:outlineLvl w:val="0"/>
        <w:rPr>
          <w:rFonts w:hint="eastAsia" w:ascii="仿宋" w:hAnsi="仿宋" w:eastAsia="仿宋" w:cs="仿宋"/>
          <w:b/>
          <w:bCs w:val="0"/>
          <w:color w:val="auto"/>
          <w:sz w:val="36"/>
          <w:szCs w:val="36"/>
          <w:highlight w:val="none"/>
          <w:lang w:eastAsia="zh-CN"/>
        </w:rPr>
      </w:pPr>
      <w:r>
        <w:rPr>
          <w:rFonts w:hint="eastAsia" w:ascii="仿宋" w:hAnsi="仿宋" w:eastAsia="仿宋" w:cs="仿宋"/>
          <w:b/>
          <w:color w:val="auto"/>
          <w:sz w:val="32"/>
          <w:szCs w:val="32"/>
          <w:lang w:eastAsia="zh-CN"/>
        </w:rPr>
        <w:t>第三部分</w:t>
      </w:r>
      <w:r>
        <w:rPr>
          <w:rFonts w:hint="eastAsia" w:ascii="仿宋" w:hAnsi="仿宋" w:eastAsia="仿宋" w:cs="仿宋"/>
          <w:b/>
          <w:bCs w:val="0"/>
          <w:color w:val="auto"/>
          <w:sz w:val="36"/>
          <w:szCs w:val="36"/>
          <w:highlight w:val="none"/>
          <w:lang w:eastAsia="zh-CN"/>
        </w:rPr>
        <w:t xml:space="preserve"> 技术规格、数量及质量要求</w:t>
      </w:r>
      <w:bookmarkStart w:id="62" w:name="_Toc267320052"/>
      <w:bookmarkStart w:id="63" w:name="_Toc340225294"/>
    </w:p>
    <w:p w14:paraId="28BF2F1D">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主要技术要求：</w:t>
      </w:r>
    </w:p>
    <w:p w14:paraId="5F43DD62">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（一）侦测功能：</w:t>
      </w:r>
    </w:p>
    <w:p w14:paraId="57D80657">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外观结构：外观应整洁，表面应无锈蚀、霉斑、污渍、镀涂层剥落及明显的划痕、毛刺文字、符号、标志和各种显示应清晰;结构件与控制件应完整、无机械损伤。开关、按键、旋钮的操作应灵活可靠、无阻滞、零部件应紧固无松动，设备电源保险装置应放置正面板，使于更换。</w:t>
      </w:r>
    </w:p>
    <w:p w14:paraId="32229647">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2、天线数量：天线数量应≥12个。</w:t>
      </w:r>
    </w:p>
    <w:p w14:paraId="52C2244C">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3、天线安装方式：应能装配全向或定向干扰天线。</w:t>
      </w:r>
    </w:p>
    <w:p w14:paraId="088169EA">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4、探测频谱范围：设备支持探测300MHz-6000MHz内的无线信号。</w:t>
      </w:r>
    </w:p>
    <w:p w14:paraId="14FD0924">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5、▲瞬时带宽：探测瞬时带宽应≥60MHz。</w:t>
      </w:r>
    </w:p>
    <w:p w14:paraId="335AEB7C">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6、▲重点频段：设备应能探测识别重点工作频段为433MHz、840MHz、900MHz、915MHz、933MHz、1.2GHz、1.4GHz、2.4GHz、5.2GHz、5.8GHz的无人机信号。</w:t>
      </w:r>
    </w:p>
    <w:p w14:paraId="24A6F2C9">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7、▲探测灵敏度：≤-105dBm（2.4、5.8）。</w:t>
      </w:r>
    </w:p>
    <w:p w14:paraId="2AE81F20">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8、▲探测定位距离：设备能探测并定位无人机的距离应≥5km。</w:t>
      </w:r>
    </w:p>
    <w:p w14:paraId="51D191D5">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9、▲探测高度：≤1000m。</w:t>
      </w:r>
    </w:p>
    <w:p w14:paraId="552FEE0E">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10、▲探测时间：设备从启动探测至发现无人机所需的时间应≤5s</w:t>
      </w:r>
    </w:p>
    <w:p w14:paraId="21C4CAE5">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11、探测角度：水平方向：360°，俯仰方向：-90°-+90°</w:t>
      </w:r>
    </w:p>
    <w:p w14:paraId="26817554">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12、▲测向精度：设备对无人机的测向误差应≤5°（RMS）。</w:t>
      </w:r>
    </w:p>
    <w:p w14:paraId="630C7060">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13、定位精度：设备对无人机的定位误差应≤10m。</w:t>
      </w:r>
    </w:p>
    <w:p w14:paraId="63E29E5E">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14、▲高度精度：设备对无人机的飞行高度的定位误差应≤10m。</w:t>
      </w:r>
    </w:p>
    <w:p w14:paraId="342B4AAF">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15、飞手精度：设备探测到的经纬度坐标与飞手（遥控器）实际经纬度坐标的距离误差应≤10m。</w:t>
      </w:r>
    </w:p>
    <w:p w14:paraId="63252B6E">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16、移动目标跟踪：能对飞行速度≥20m/s的无人机进行探测及定位，并能在电子地图上实时显示该无人机的飞行轨迹。</w:t>
      </w:r>
    </w:p>
    <w:p w14:paraId="73964556">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17、▲探测成功率：在无明显遮挡、无明显电磁干扰的条件下，探测成功率≥90%。</w:t>
      </w:r>
    </w:p>
    <w:p w14:paraId="2C7468F4">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18、▲多目标识别功能：设备应能同时探测并识别无人机的数量应≥35架，应能探测并识别无人机遥控器的数量应不少于10个。</w:t>
      </w:r>
    </w:p>
    <w:p w14:paraId="1AB8D9F2">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19、▲轨迹跟踪：能同时显示的无人机轨迹数量应≥10条；能同时显示的遥控器（飞手）轨迹数量应≥10条。</w:t>
      </w:r>
    </w:p>
    <w:p w14:paraId="107F40F0">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20、▲跳频目标跟踪：应能对跳频无人机进行跟踪定位，无人机切换工作频段后，应能识别为同一架无人机，并在电子地图上通过同一轨迹标识，能同时跟踪跳频目标的数量应≥10架。</w:t>
      </w:r>
    </w:p>
    <w:p w14:paraId="7F66113F">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21、无源探测：设备应为无源探测，在探测状态下，不主动发射无线信号。</w:t>
      </w:r>
    </w:p>
    <w:p w14:paraId="6B3FD283">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22、▲定位方式：设备应能通过报文解析方式对无人机、遥控器（飞手）进行单站定位。</w:t>
      </w:r>
    </w:p>
    <w:p w14:paraId="21AFFFE8">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23、探测功能：应能探测显示无人机的工作频率、品牌型号、方位、距离、经纬度、飞行高度、飞行速度等信息，并能在电子地图上显示入侵角度，瀑布图、标识图和飞行轨迹，应具有遥控器（飞手）探测定位功能，应能在定位列表显示遥控器（飞手）经纬度、距离、方位等信息，并能在电子地图上显示标识图标。</w:t>
      </w:r>
    </w:p>
    <w:p w14:paraId="5BD14C27">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24、▲单站定位机型：应能对大疆（包括御2、御3、御Mini、御Pro、御Air2、Avata、FPV、Air3、Mini3、M300等型号）、道通、Parrot品牌的无人机进行单站定位</w:t>
      </w:r>
    </w:p>
    <w:p w14:paraId="0AFCD697">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25、精准识别：设备应能探测、识别、区分多架同品牌、同型号、同频段的不同架次无人机，并能分别显示各无人机的电子指纹ID。</w:t>
      </w:r>
    </w:p>
    <w:p w14:paraId="5857A64F">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同一无人机入侵识别功能：一定时间内，设备多次探测识别到同一架次无人机入侵时，应能自动融合为一条信息，对识别到的同一架无人机的多次入侵行为，设备应能自动整合该无人机的入侵信息，且多条记录中的无人机电子指纹ID应相同。</w:t>
      </w:r>
    </w:p>
    <w:p w14:paraId="64DB0E56">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27、组网功能：设备应能与其他探测设备组网后通过AOA或TDOA方式对无人机进行探测定位。</w:t>
      </w:r>
    </w:p>
    <w:p w14:paraId="30B68652">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28、记录存储：应能存储系统日志的时间应≥365天。</w:t>
      </w:r>
    </w:p>
    <w:p w14:paraId="796218BE">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（二）干扰功能：</w:t>
      </w:r>
    </w:p>
    <w:p w14:paraId="74ECBECE">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1、▲发射频段：</w:t>
      </w:r>
    </w:p>
    <w:p w14:paraId="0B51CCD2">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第1信道：（840±10）-（930±10）MHz</w:t>
      </w:r>
    </w:p>
    <w:p w14:paraId="77FD0192">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第2信道：（1535±10）-（1635±10）MHz</w:t>
      </w:r>
    </w:p>
    <w:p w14:paraId="0A372385">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第3信道：（2380±10）-（2520±10）MHz</w:t>
      </w:r>
    </w:p>
    <w:p w14:paraId="32DC6FB5">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第4信道：（5130±10）-（5370±10）MHz</w:t>
      </w:r>
    </w:p>
    <w:p w14:paraId="7C0DD3C1">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第5信道：（5725±10）-（5885±10）MHz</w:t>
      </w:r>
    </w:p>
    <w:p w14:paraId="7A91604B">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2、干扰距离：设备对无人机干扰距离应≥3km。</w:t>
      </w:r>
    </w:p>
    <w:p w14:paraId="7C15E829">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3、▲干通比：≥20:1.</w:t>
      </w:r>
    </w:p>
    <w:p w14:paraId="41CA70F3">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4、干扰响应时间：在无明显遮挡、无明显电磁干扰的条件下，从设备开启反制至无人机信号丢失所需的时间应≤5s。</w:t>
      </w:r>
    </w:p>
    <w:p w14:paraId="591A7CF6">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5、多目标干扰功能：能同时干扰的无人机目标数量应≥30架(其中非大疆品牌的无人机数量应≥25 架);</w:t>
      </w:r>
    </w:p>
    <w:p w14:paraId="53D88DEB">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6、能同时干扰的跳频无人机目标数量应≥10 架:</w:t>
      </w:r>
    </w:p>
    <w:p w14:paraId="4CA80233">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7、▲干扰功能：具有驱离和迫降反制功能，应能通过信号干扰方式干扰无人机的图传链路、飞控链路及导航信号，驱离无人机或使无人机迫降。设备应能对穿越机、DIY无人机进行干扰（需无人机支持迫降和返航功能）。</w:t>
      </w:r>
    </w:p>
    <w:p w14:paraId="0EE446D1">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8、干扰角度：设备的干扰角度应满足:水平方向:360°;俯仰方向:-90°~+90</w:t>
      </w:r>
    </w:p>
    <w:p w14:paraId="30C1DC25">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9、▲干扰成功率：在无明显遮挡、无明显电磁干扰的条件下，干扰成功率应≥99%。</w:t>
      </w:r>
    </w:p>
    <w:p w14:paraId="570EFA09">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10、(干扰成功率=干扰成功次数/总干扰次数x100%)</w:t>
      </w:r>
    </w:p>
    <w:p w14:paraId="6C7249C1">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11、▲精准打击功能：应能对指定无人机进行精准打击，使指定无人机返航，且应不影响干扰范围内同一型号、同一工作频段、同一方位其他无人机的正常飞行。</w:t>
      </w:r>
    </w:p>
    <w:p w14:paraId="1C0D1B27">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12、静电放电抗扰度：满足GB/T17626.2中严酷等级3。</w:t>
      </w:r>
    </w:p>
    <w:p w14:paraId="55FB71BE">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13、射频电磁场辐射抗扰度：满足GB/T17626.3中严酷等级3。</w:t>
      </w:r>
    </w:p>
    <w:p w14:paraId="57AA702F">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14、▲工作温度：为-20℃-+50℃。</w:t>
      </w:r>
    </w:p>
    <w:p w14:paraId="6A7EA386">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15、湿热环境：设备可支持40℃、RH93%环境下贮存。</w:t>
      </w:r>
    </w:p>
    <w:p w14:paraId="41A1CB80">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16、盐雾环境：设备在浓度：5%；pH值：6.5～7.2；温度：15℃～35℃；潮热环境：40℃，相对湿度93%环境下，可正常工作。</w:t>
      </w:r>
    </w:p>
    <w:p w14:paraId="0C11D1BA">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17、▲防护等级：IP66。</w:t>
      </w:r>
    </w:p>
    <w:p w14:paraId="25036EFE">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18、自动指北功能：具有自动指北功能，能显示设备当前朝向的方位角度，且指北角度误差应≤3°</w:t>
      </w:r>
    </w:p>
    <w:p w14:paraId="26E560F5">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19、供电方式：应能通过市电或移动电源供电。</w:t>
      </w:r>
    </w:p>
    <w:p w14:paraId="1702FAEC">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20、电源适应性：设备应能在电源电压 AC100V~240V范围内应能正常工作。</w:t>
      </w:r>
    </w:p>
    <w:p w14:paraId="2065AFB1">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21、电源功耗：探测状态下，电源功耗应≤130W(AC220V 供电);</w:t>
      </w:r>
    </w:p>
    <w:p w14:paraId="116A7011">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22、开启全频段干扰信号时的电源功耗应≤1200W(AC220V供电)。</w:t>
      </w:r>
    </w:p>
    <w:p w14:paraId="700064CB">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23、系统功能：提供清晰、简洁、友好的中文人机交互界面，操作应简便、灵活、易学易用，便于管理和维护。</w:t>
      </w:r>
    </w:p>
    <w:p w14:paraId="0456FDDE">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电子地图：系统管理平台具备电子地图功能，应支持加载谷歌、高德地图，应能切换显示卫星地图、二维地图或3D模式地图，支持地图测距、测向功能，应能在电子地图上标识接入设备所在位置，并能查看经纬度信息。</w:t>
      </w:r>
    </w:p>
    <w:p w14:paraId="7904A0F0">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25、▲探测结果显示：应能显示探测到的无人机型号、频段、电子指纹ID（机身序列号）及设备工作状态（配合探测设备）。当探测设备具备定位功能时，系统管理平台应能显示探测到的无人机、飞手（遥控器）经纬度信息，</w:t>
      </w:r>
    </w:p>
    <w:p w14:paraId="17789301">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26、并能生成二维码。手机扫描该二维码时，可跳转至第三方地图app（如高德地图）并在地图上显示该位置。</w:t>
      </w:r>
    </w:p>
    <w:p w14:paraId="73F5828F">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27、▲轨迹跟踪：当探测设备具备定位功能时，系统管理平台应能实时显示探测的无人机飞行轨迹，能一键清除飞行轨迹。</w:t>
      </w:r>
    </w:p>
    <w:p w14:paraId="7556670D">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28、▲区域防控：能通过系统管理平台在电子地图上圈定、框选或自定义多边形区域设置预警、防御范围。</w:t>
      </w:r>
    </w:p>
    <w:p w14:paraId="67344ED6">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29、▲白（黑）名单功能：应能通过系统管理平台将探测设备探测到的无人机加入白名单，探测到白名单内的无人机应不触发系统报警提示。</w:t>
      </w:r>
    </w:p>
    <w:p w14:paraId="6403DFE1">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30、▲无线信号显示：能显示探测设备探测到的无线信号频谱图、频点和通信标准，能以图表的形式显示环境信号状态。</w:t>
      </w:r>
    </w:p>
    <w:p w14:paraId="0E8C273B">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31、频谱记录功能：能记录并保存探测设备探测到的无人机频谱信号。</w:t>
      </w:r>
    </w:p>
    <w:p w14:paraId="52DC471E">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32、语言设置：能设置系统语言，支持设置简体中文、英文、法文、俄文等语言。</w:t>
      </w:r>
    </w:p>
    <w:p w14:paraId="6C09B0C6">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33、▲ADS-B显示：应能在电子地图上表示探测设备接收到的周边民航飞机飞行位置。</w:t>
      </w:r>
    </w:p>
    <w:p w14:paraId="693FBDEA">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34、无人机标注功能：应能探测到的无人机进行自定义信息备注。</w:t>
      </w:r>
    </w:p>
    <w:p w14:paraId="363B67C5">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35、机型库添加：能添加探测到的未知Wi-Fi无人机、遥控器到机型库。</w:t>
      </w:r>
    </w:p>
    <w:p w14:paraId="18FEAB4D">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36、▲未知信号学习识别：具有未知无线信号学习识别能力，能对未知无线信号进行探测、学习及报警。</w:t>
      </w:r>
    </w:p>
    <w:p w14:paraId="559F86C4">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37、▲模拟训练：系统接入仿真无人机信号后，系统管理平台应能显示仿真目标的报警信息，且在无人值守模式下应能联动干扰设备发射干扰信号。</w:t>
      </w:r>
    </w:p>
    <w:p w14:paraId="0EFAD966">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38、报警记录及回放：能记录探测到的无人机发现时间、持续时间、机型、电子指纹ID（机身序列号）、工作频段、飞行轨迹等信息，同时应能将报警记录存储至接入设备，并能进行查看、导出等操作。</w:t>
      </w:r>
    </w:p>
    <w:p w14:paraId="4C9480C5">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39、统计功能：能统计入侵无人机的品牌型号、统计并显示入侵无人机的架次、架数、入侵总时长、单次最长时长、每次平均时长等信息以及入侵无人机的事件趋势，能对定位到的无人机飞行轨迹记录进行回放，回放进度条可拖动。</w:t>
      </w:r>
    </w:p>
    <w:p w14:paraId="60185B85">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40、在线升级：应能通过安装包实现系统管理平台升级。</w:t>
      </w:r>
    </w:p>
    <w:p w14:paraId="37BB1935">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41、权限管理：应具有分级权限操作功能，不同账号的系统操作权限不同。</w:t>
      </w:r>
    </w:p>
    <w:p w14:paraId="3FCEEFD7">
      <w:pPr>
        <w:pStyle w:val="7"/>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42、远程控制：能通过系统管理平台远程查看已接入设备运行状态和探测结果信息，架设VPN服务器后，应能通过后台远程进行参数配置、设备升级、复位、状态查询等操作。</w:t>
      </w:r>
    </w:p>
    <w:p w14:paraId="509762DF">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p>
    <w:p w14:paraId="74E111DB">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p>
    <w:p w14:paraId="4A5C39B2">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p>
    <w:p w14:paraId="7507A324">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以上参数均需提供国家安全防范报警系统产品质量检验检测中心、公安部安全防范报警系统产品质量监督检验测试中心出具的检测报告，并提供检验报告复印件加盖厂家公章。</w:t>
      </w:r>
    </w:p>
    <w:p w14:paraId="6F982197">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备注：▲为核心参数，投标人需逐条响应并按要求提供证明材料，否则视为无效投标，按废标处理。</w:t>
      </w:r>
    </w:p>
    <w:p w14:paraId="63F917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p>
    <w:p w14:paraId="0D4C0E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p>
    <w:p w14:paraId="67A3D0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p>
    <w:p w14:paraId="0BF724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p>
    <w:p w14:paraId="19D122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auto"/>
          <w:sz w:val="28"/>
          <w:szCs w:val="28"/>
          <w:highlight w:val="none"/>
        </w:rPr>
        <w:t>包装要求</w:t>
      </w:r>
    </w:p>
    <w:p w14:paraId="7C1164D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90" w:firstLineChars="200"/>
        <w:textAlignment w:val="auto"/>
        <w:outlineLvl w:val="9"/>
        <w:rPr>
          <w:rFonts w:hint="eastAsia" w:ascii="Times New Roman" w:hAnsi="Times New Roman" w:eastAsia="仿宋" w:cs="Times New Roman"/>
          <w:bCs/>
          <w:color w:val="auto"/>
          <w:szCs w:val="21"/>
          <w:highlight w:val="none"/>
        </w:rPr>
      </w:pPr>
      <w:r>
        <w:rPr>
          <w:rFonts w:hint="eastAsia" w:ascii="Times New Roman" w:hAnsi="Times New Roman" w:eastAsia="仿宋" w:cs="Times New Roman"/>
          <w:bCs/>
          <w:color w:val="auto"/>
          <w:szCs w:val="21"/>
          <w:highlight w:val="none"/>
        </w:rPr>
        <w:t>供方应提供货物服务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bookmarkEnd w:id="52"/>
    <w:bookmarkEnd w:id="62"/>
    <w:bookmarkEnd w:id="63"/>
    <w:p w14:paraId="101B56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8"/>
          <w:szCs w:val="28"/>
          <w:lang w:val="en-US" w:eastAsia="zh-CN" w:bidi="ar-SA"/>
        </w:rPr>
        <w:t>1.4商务要求</w:t>
      </w:r>
      <w:r>
        <w:rPr>
          <w:rFonts w:hint="eastAsia" w:ascii="仿宋" w:hAnsi="仿宋" w:eastAsia="仿宋" w:cs="仿宋"/>
          <w:b/>
          <w:bCs/>
          <w:color w:val="auto"/>
          <w:kern w:val="2"/>
          <w:sz w:val="24"/>
          <w:szCs w:val="24"/>
          <w:lang w:val="en-US" w:eastAsia="zh-CN" w:bidi="ar-SA"/>
        </w:rPr>
        <w:t>：</w:t>
      </w:r>
    </w:p>
    <w:p w14:paraId="1E35592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90" w:firstLineChars="200"/>
        <w:textAlignment w:val="auto"/>
        <w:outlineLvl w:val="9"/>
        <w:rPr>
          <w:rFonts w:hint="eastAsia" w:ascii="Times New Roman" w:hAnsi="Times New Roman" w:eastAsia="仿宋" w:cs="Times New Roman"/>
          <w:bCs/>
          <w:color w:val="auto"/>
          <w:szCs w:val="21"/>
          <w:highlight w:val="none"/>
          <w:lang w:val="en-US" w:eastAsia="zh-CN"/>
        </w:rPr>
      </w:pPr>
      <w:r>
        <w:rPr>
          <w:rFonts w:hint="eastAsia" w:ascii="Times New Roman" w:hAnsi="Times New Roman" w:eastAsia="仿宋" w:cs="Times New Roman"/>
          <w:bCs/>
          <w:color w:val="auto"/>
          <w:szCs w:val="21"/>
          <w:highlight w:val="none"/>
          <w:lang w:eastAsia="zh-CN"/>
        </w:rPr>
        <w:t>实施（供货）期 ：</w:t>
      </w:r>
      <w:r>
        <w:rPr>
          <w:rFonts w:hint="eastAsia" w:ascii="Times New Roman" w:hAnsi="Times New Roman" w:eastAsia="仿宋" w:cs="Times New Roman"/>
          <w:bCs/>
          <w:color w:val="auto"/>
          <w:szCs w:val="21"/>
          <w:highlight w:val="none"/>
          <w:lang w:val="en-US" w:eastAsia="zh-CN"/>
        </w:rPr>
        <w:t>自合同签订之日起20工作日内，完成供货并调试安装完成投入使用。（具体以甲乙双方签订合同为准）</w:t>
      </w:r>
    </w:p>
    <w:p w14:paraId="0882A5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90" w:firstLineChars="200"/>
        <w:textAlignment w:val="auto"/>
        <w:rPr>
          <w:rFonts w:hint="eastAsia" w:ascii="仿宋" w:hAnsi="仿宋" w:eastAsia="仿宋" w:cs="仿宋"/>
          <w:color w:val="auto"/>
          <w:highlight w:val="none"/>
          <w:lang w:eastAsia="zh-CN"/>
        </w:rPr>
      </w:pPr>
      <w:r>
        <w:rPr>
          <w:rFonts w:hint="eastAsia" w:ascii="仿宋" w:hAnsi="仿宋" w:eastAsia="仿宋" w:cs="仿宋"/>
          <w:b/>
          <w:bCs/>
          <w:color w:val="auto"/>
          <w:highlight w:val="none"/>
          <w:lang w:eastAsia="zh-CN"/>
        </w:rPr>
        <w:t>（二）实施（交货）地点</w:t>
      </w:r>
      <w:r>
        <w:rPr>
          <w:rFonts w:hint="eastAsia" w:ascii="仿宋" w:hAnsi="仿宋" w:eastAsia="仿宋" w:cs="仿宋"/>
          <w:color w:val="auto"/>
          <w:highlight w:val="none"/>
          <w:lang w:eastAsia="zh-CN"/>
        </w:rPr>
        <w:t xml:space="preserve"> ：克孜勒苏柯尔克孜自治州GAJ</w:t>
      </w:r>
    </w:p>
    <w:p w14:paraId="5B9D4B55">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（三）报价要求</w:t>
      </w:r>
    </w:p>
    <w:p w14:paraId="4E504B3F">
      <w:pPr>
        <w:keepNext w:val="0"/>
        <w:keepLines w:val="0"/>
        <w:pageBreakBefore w:val="0"/>
        <w:widowControl w:val="0"/>
        <w:kinsoku/>
        <w:wordWrap/>
        <w:overflowPunct/>
        <w:topLinePunct w:val="0"/>
        <w:autoSpaceDE/>
        <w:autoSpaceDN/>
        <w:bidi w:val="0"/>
        <w:adjustRightInd/>
        <w:snapToGrid/>
        <w:spacing w:line="360" w:lineRule="auto"/>
        <w:ind w:left="0" w:leftChars="0" w:firstLine="490" w:firstLineChars="200"/>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highlight w:val="none"/>
        </w:rPr>
        <w:t>本次报价为人民币报价，</w:t>
      </w:r>
      <w:r>
        <w:rPr>
          <w:rFonts w:hint="eastAsia" w:ascii="仿宋" w:hAnsi="仿宋" w:eastAsia="仿宋" w:cs="仿宋"/>
          <w:color w:val="auto"/>
          <w:kern w:val="0"/>
          <w:sz w:val="24"/>
          <w:szCs w:val="24"/>
          <w:highlight w:val="none"/>
        </w:rPr>
        <w:t>投标报价应包括：</w:t>
      </w:r>
      <w:r>
        <w:rPr>
          <w:rFonts w:hint="eastAsia" w:ascii="仿宋" w:hAnsi="仿宋" w:eastAsia="仿宋" w:cs="仿宋"/>
          <w:color w:val="auto"/>
          <w:kern w:val="0"/>
          <w:sz w:val="24"/>
          <w:szCs w:val="24"/>
          <w:highlight w:val="none"/>
          <w:lang w:val="en-US" w:eastAsia="zh-CN"/>
        </w:rPr>
        <w:t>货物</w:t>
      </w:r>
      <w:r>
        <w:rPr>
          <w:rFonts w:hint="eastAsia" w:ascii="仿宋" w:hAnsi="仿宋" w:eastAsia="仿宋" w:cs="仿宋"/>
          <w:color w:val="auto"/>
          <w:kern w:val="0"/>
          <w:sz w:val="24"/>
          <w:szCs w:val="24"/>
          <w:highlight w:val="none"/>
        </w:rPr>
        <w:t>本身价格、包装费、运输费用、二次搬运费、损耗</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技术指导、</w:t>
      </w:r>
      <w:r>
        <w:rPr>
          <w:rFonts w:hint="eastAsia" w:ascii="仿宋" w:hAnsi="仿宋" w:eastAsia="仿宋" w:cs="仿宋"/>
          <w:color w:val="auto"/>
          <w:kern w:val="0"/>
          <w:sz w:val="24"/>
          <w:szCs w:val="24"/>
          <w:highlight w:val="none"/>
          <w:lang w:val="en-US" w:eastAsia="zh-CN"/>
        </w:rPr>
        <w:t>安装费、培训费、</w:t>
      </w:r>
      <w:r>
        <w:rPr>
          <w:rFonts w:hint="eastAsia" w:ascii="仿宋" w:hAnsi="仿宋" w:eastAsia="仿宋" w:cs="仿宋"/>
          <w:color w:val="auto"/>
          <w:kern w:val="0"/>
          <w:sz w:val="24"/>
          <w:szCs w:val="24"/>
          <w:highlight w:val="none"/>
        </w:rPr>
        <w:t>税金费用、伴随</w:t>
      </w:r>
      <w:r>
        <w:rPr>
          <w:rFonts w:hint="eastAsia" w:ascii="仿宋" w:hAnsi="仿宋" w:eastAsia="仿宋" w:cs="仿宋"/>
          <w:color w:val="auto"/>
          <w:kern w:val="0"/>
          <w:sz w:val="24"/>
          <w:szCs w:val="24"/>
          <w:highlight w:val="none"/>
          <w:lang w:val="en-US" w:eastAsia="zh-CN"/>
        </w:rPr>
        <w:t>服务过程中</w:t>
      </w:r>
      <w:r>
        <w:rPr>
          <w:rFonts w:hint="eastAsia" w:ascii="仿宋" w:hAnsi="仿宋" w:eastAsia="仿宋" w:cs="仿宋"/>
          <w:color w:val="auto"/>
          <w:kern w:val="0"/>
          <w:sz w:val="24"/>
          <w:szCs w:val="24"/>
          <w:highlight w:val="none"/>
        </w:rPr>
        <w:t>备件费、专用工具费、伴随产品资料费、技术服务费、技术考察费、自检费及验收合格前和质保期内发生的一切费用、应当提供的伴随服务/售后服务费用</w:t>
      </w:r>
      <w:r>
        <w:rPr>
          <w:rFonts w:hint="eastAsia" w:ascii="仿宋" w:hAnsi="仿宋" w:eastAsia="仿宋" w:cs="仿宋"/>
          <w:color w:val="auto"/>
          <w:kern w:val="0"/>
          <w:sz w:val="24"/>
          <w:szCs w:val="24"/>
          <w:highlight w:val="none"/>
          <w:lang w:val="en-US" w:eastAsia="zh-CN"/>
        </w:rPr>
        <w:t>以及谈判文件要求的供应商需要支付的所有费用</w:t>
      </w:r>
      <w:r>
        <w:rPr>
          <w:rFonts w:hint="eastAsia" w:ascii="仿宋" w:hAnsi="仿宋" w:eastAsia="仿宋" w:cs="仿宋"/>
          <w:color w:val="auto"/>
          <w:kern w:val="0"/>
          <w:sz w:val="24"/>
          <w:szCs w:val="24"/>
          <w:highlight w:val="none"/>
        </w:rPr>
        <w:t>。</w:t>
      </w:r>
      <w:r>
        <w:rPr>
          <w:rFonts w:hint="eastAsia" w:ascii="仿宋" w:hAnsi="仿宋" w:eastAsia="仿宋" w:cs="仿宋"/>
          <w:bCs/>
          <w:color w:val="auto"/>
          <w:kern w:val="2"/>
          <w:sz w:val="24"/>
          <w:szCs w:val="24"/>
          <w:lang w:val="en-US" w:eastAsia="zh-CN" w:bidi="ar-SA"/>
        </w:rPr>
        <w:t>因成交供应商自身原因造成漏报、少报皆由其自行承担责任，采购人不再补偿。</w:t>
      </w:r>
    </w:p>
    <w:p w14:paraId="5B08ACE6">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（四）质保要求</w:t>
      </w:r>
    </w:p>
    <w:p w14:paraId="6A0B92FA">
      <w:pPr>
        <w:keepNext w:val="0"/>
        <w:keepLines w:val="0"/>
        <w:pageBreakBefore w:val="0"/>
        <w:widowControl w:val="0"/>
        <w:kinsoku/>
        <w:wordWrap/>
        <w:overflowPunct/>
        <w:topLinePunct w:val="0"/>
        <w:autoSpaceDE/>
        <w:autoSpaceDN/>
        <w:bidi w:val="0"/>
        <w:adjustRightInd/>
        <w:snapToGrid/>
        <w:spacing w:line="360" w:lineRule="auto"/>
        <w:ind w:firstLine="735" w:firstLineChars="3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1.质保期：2年（技术参数中有特殊要求的以技术参数为准)</w:t>
      </w:r>
    </w:p>
    <w:p w14:paraId="2C692A6A">
      <w:pPr>
        <w:keepNext w:val="0"/>
        <w:keepLines w:val="0"/>
        <w:pageBreakBefore w:val="0"/>
        <w:widowControl w:val="0"/>
        <w:kinsoku/>
        <w:wordWrap/>
        <w:overflowPunct/>
        <w:topLinePunct w:val="0"/>
        <w:autoSpaceDE/>
        <w:autoSpaceDN/>
        <w:bidi w:val="0"/>
        <w:adjustRightInd/>
        <w:snapToGrid/>
        <w:spacing w:line="360" w:lineRule="auto"/>
        <w:ind w:firstLine="735" w:firstLineChars="3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2.供应方交付的货物技术标准不低于国家标准。</w:t>
      </w:r>
    </w:p>
    <w:p w14:paraId="4B9C3711">
      <w:pPr>
        <w:keepNext w:val="0"/>
        <w:keepLines w:val="0"/>
        <w:pageBreakBefore w:val="0"/>
        <w:widowControl w:val="0"/>
        <w:kinsoku/>
        <w:wordWrap/>
        <w:overflowPunct/>
        <w:topLinePunct w:val="0"/>
        <w:autoSpaceDE/>
        <w:autoSpaceDN/>
        <w:bidi w:val="0"/>
        <w:adjustRightInd/>
        <w:snapToGrid/>
        <w:spacing w:line="360" w:lineRule="auto"/>
        <w:ind w:firstLine="735" w:firstLineChars="3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3.供应方在交付货物的同时应提供国家规定的检验合格证明等文件。</w:t>
      </w:r>
    </w:p>
    <w:p w14:paraId="5D28B54C">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（五）售后服务、理赔、质量技术及验收保证的承诺</w:t>
      </w:r>
    </w:p>
    <w:p w14:paraId="6194810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1、售后服务</w:t>
      </w:r>
    </w:p>
    <w:p w14:paraId="52E517D1">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1.供应商需</w:t>
      </w:r>
    </w:p>
    <w:p w14:paraId="4B588B3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1.1产品质量：在合同期内，甲方正常使用乙方所供产品而出现质量问题时，乙方负责。产品使用：甲方在使用乙方所供产品中出现问题需乙方解决时，乙方应无偿解决（退换货）。</w:t>
      </w:r>
    </w:p>
    <w:p w14:paraId="2E077BB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FF0000"/>
          <w:highlight w:val="none"/>
          <w:lang w:eastAsia="zh-CN"/>
        </w:rPr>
      </w:pPr>
      <w:r>
        <w:rPr>
          <w:rFonts w:hint="eastAsia" w:ascii="仿宋" w:hAnsi="仿宋" w:eastAsia="仿宋" w:cs="仿宋"/>
          <w:color w:val="auto"/>
          <w:highlight w:val="none"/>
          <w:lang w:eastAsia="zh-CN"/>
        </w:rPr>
        <w:t>1.2质保期内，当采购人遇到使用及技术问题</w:t>
      </w:r>
      <w:r>
        <w:rPr>
          <w:rFonts w:hint="eastAsia" w:ascii="仿宋" w:hAnsi="仿宋" w:eastAsia="仿宋" w:cs="仿宋"/>
          <w:color w:val="auto"/>
          <w:highlight w:val="none"/>
          <w:lang w:val="en-US" w:eastAsia="zh-CN"/>
        </w:rPr>
        <w:t>需在30分钟内电话响应，如</w:t>
      </w:r>
      <w:r>
        <w:rPr>
          <w:rFonts w:hint="eastAsia" w:ascii="仿宋" w:hAnsi="仿宋" w:eastAsia="仿宋" w:cs="仿宋"/>
          <w:color w:val="auto"/>
          <w:highlight w:val="none"/>
          <w:lang w:eastAsia="zh-CN"/>
        </w:rPr>
        <w:t>电话咨询不能解决的，</w:t>
      </w:r>
      <w:r>
        <w:rPr>
          <w:rFonts w:hint="eastAsia" w:ascii="仿宋" w:hAnsi="仿宋" w:eastAsia="仿宋" w:cs="仿宋"/>
          <w:b w:val="0"/>
          <w:bCs w:val="0"/>
          <w:color w:val="auto"/>
          <w:highlight w:val="none"/>
          <w:lang w:eastAsia="zh-CN"/>
        </w:rPr>
        <w:t>须在4小时内响应，</w:t>
      </w:r>
      <w:r>
        <w:rPr>
          <w:rFonts w:hint="eastAsia" w:ascii="仿宋" w:hAnsi="仿宋" w:eastAsia="仿宋" w:cs="仿宋"/>
          <w:b w:val="0"/>
          <w:bCs w:val="0"/>
          <w:color w:val="auto"/>
          <w:highlight w:val="none"/>
          <w:lang w:val="en-US" w:eastAsia="zh-CN"/>
        </w:rPr>
        <w:t>12</w:t>
      </w:r>
      <w:r>
        <w:rPr>
          <w:rFonts w:hint="eastAsia" w:ascii="仿宋" w:hAnsi="仿宋" w:eastAsia="仿宋" w:cs="仿宋"/>
          <w:b w:val="0"/>
          <w:bCs w:val="0"/>
          <w:color w:val="auto"/>
          <w:highlight w:val="none"/>
          <w:lang w:eastAsia="zh-CN"/>
        </w:rPr>
        <w:t>小时内到达现场，一般故障8小时内修复，较大故障24小时内</w:t>
      </w:r>
      <w:r>
        <w:rPr>
          <w:rFonts w:hint="eastAsia" w:ascii="仿宋" w:hAnsi="仿宋" w:eastAsia="仿宋" w:cs="仿宋"/>
          <w:b w:val="0"/>
          <w:bCs w:val="0"/>
          <w:color w:val="auto"/>
          <w:highlight w:val="none"/>
          <w:lang w:val="en-US" w:eastAsia="zh-CN"/>
        </w:rPr>
        <w:t>到场</w:t>
      </w:r>
      <w:r>
        <w:rPr>
          <w:rFonts w:hint="eastAsia" w:ascii="仿宋" w:hAnsi="仿宋" w:eastAsia="仿宋" w:cs="仿宋"/>
          <w:b w:val="0"/>
          <w:bCs w:val="0"/>
          <w:color w:val="auto"/>
          <w:highlight w:val="none"/>
          <w:lang w:eastAsia="zh-CN"/>
        </w:rPr>
        <w:t>解决问题</w:t>
      </w:r>
      <w:r>
        <w:rPr>
          <w:rFonts w:hint="eastAsia" w:ascii="仿宋" w:hAnsi="仿宋" w:eastAsia="仿宋" w:cs="仿宋"/>
          <w:b w:val="0"/>
          <w:bCs w:val="0"/>
          <w:color w:val="auto"/>
          <w:highlight w:val="none"/>
          <w:lang w:val="en-US" w:eastAsia="zh-CN"/>
        </w:rPr>
        <w:t>并投入正常使用</w:t>
      </w:r>
      <w:r>
        <w:rPr>
          <w:rFonts w:hint="eastAsia" w:ascii="仿宋" w:hAnsi="仿宋" w:eastAsia="仿宋" w:cs="仿宋"/>
          <w:b w:val="0"/>
          <w:bCs w:val="0"/>
          <w:color w:val="auto"/>
          <w:highlight w:val="none"/>
          <w:lang w:eastAsia="zh-CN"/>
        </w:rPr>
        <w:t>。每年提供不少于4次回访。</w:t>
      </w:r>
      <w:r>
        <w:rPr>
          <w:rFonts w:hint="eastAsia" w:ascii="仿宋" w:hAnsi="仿宋" w:eastAsia="仿宋" w:cs="仿宋"/>
          <w:b w:val="0"/>
          <w:bCs w:val="0"/>
          <w:color w:val="FF0000"/>
          <w:highlight w:val="none"/>
          <w:lang w:eastAsia="zh-CN"/>
        </w:rPr>
        <w:t>（</w:t>
      </w:r>
      <w:r>
        <w:rPr>
          <w:rFonts w:hint="eastAsia" w:ascii="仿宋" w:hAnsi="仿宋" w:eastAsia="仿宋" w:cs="仿宋"/>
          <w:b w:val="0"/>
          <w:bCs w:val="0"/>
          <w:color w:val="FF0000"/>
          <w:highlight w:val="none"/>
          <w:lang w:val="en-US" w:eastAsia="zh-CN"/>
        </w:rPr>
        <w:t>供应商需提供承诺函</w:t>
      </w:r>
      <w:r>
        <w:rPr>
          <w:rFonts w:hint="eastAsia" w:ascii="仿宋" w:hAnsi="仿宋" w:eastAsia="仿宋" w:cs="仿宋"/>
          <w:b w:val="0"/>
          <w:bCs w:val="0"/>
          <w:color w:val="FF0000"/>
          <w:highlight w:val="none"/>
          <w:lang w:eastAsia="zh-CN"/>
        </w:rPr>
        <w:t>）</w:t>
      </w:r>
      <w:r>
        <w:rPr>
          <w:rFonts w:hint="eastAsia" w:ascii="仿宋" w:hAnsi="仿宋" w:eastAsia="仿宋" w:cs="仿宋"/>
          <w:color w:val="FF0000"/>
          <w:highlight w:val="none"/>
          <w:lang w:eastAsia="zh-CN"/>
        </w:rPr>
        <w:t xml:space="preserve">  </w:t>
      </w:r>
    </w:p>
    <w:p w14:paraId="16018A4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1.3保修期内，正常使用及维护状况下产生的故障免费维修、更换；设有全国统一的免费服务专线电话，每周 7*24 小时的售后服务，专人受理，响应积极；</w:t>
      </w:r>
    </w:p>
    <w:p w14:paraId="1E9E2019">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b w:val="0"/>
          <w:bCs w:val="0"/>
          <w:color w:val="auto"/>
          <w:kern w:val="0"/>
          <w:sz w:val="24"/>
          <w:szCs w:val="24"/>
          <w:highlight w:val="none"/>
          <w:lang w:val="en-US" w:eastAsia="zh-CN" w:bidi="ar-SA"/>
        </w:rPr>
        <w:t>投标人对其提供产品的使用和操作应尽培训义务。投标人应提供对采购人的基本免费培训，使采购人使用人员能够正常操作。</w:t>
      </w:r>
    </w:p>
    <w:p w14:paraId="797E793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2.1</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提供设备的安装图纸及说明；</w:t>
      </w:r>
    </w:p>
    <w:p w14:paraId="77E2B32C">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2.2提供设备使用说明书、维护手册；</w:t>
      </w:r>
    </w:p>
    <w:p w14:paraId="6D98507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2.3备件手册、零件及易损件的图纸及相关资料；</w:t>
      </w:r>
    </w:p>
    <w:p w14:paraId="029E46D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2.4其它相关技术资料。</w:t>
      </w:r>
    </w:p>
    <w:p w14:paraId="6F6EB591">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（六）验收</w:t>
      </w:r>
    </w:p>
    <w:p w14:paraId="6D5E7CE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1、供应商提供的产品为全新未使用且符合相关法律法规要求的合格产品；</w:t>
      </w:r>
    </w:p>
    <w:p w14:paraId="780728FD">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2、供应商提供的产品型号、规格等特性需与投标文件、合同规定内容完全一致，且满足采购方提出的采购需求。</w:t>
      </w:r>
    </w:p>
    <w:p w14:paraId="176556A6">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FF0000"/>
          <w:highlight w:val="none"/>
          <w:lang w:val="en-US" w:eastAsia="zh-CN"/>
        </w:rPr>
      </w:pPr>
      <w:r>
        <w:rPr>
          <w:rFonts w:hint="eastAsia" w:ascii="仿宋" w:hAnsi="仿宋" w:eastAsia="仿宋" w:cs="仿宋"/>
          <w:color w:val="FF0000"/>
          <w:highlight w:val="none"/>
          <w:lang w:val="en-US" w:eastAsia="zh-CN"/>
        </w:rPr>
        <w:t>3、货物验收时，供应商需提供无线电发射设备核准证承诺函、由供应商负责人签字并加盖单位公章（格式自拟）</w:t>
      </w:r>
    </w:p>
    <w:p w14:paraId="62EBF2A4">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、供应商提供的产品需经采购人验收小组验收，进行试验检测，按照技术要求逐项进行测试，测试结果应满足相关要求，试验通过并满足要求为验收合格。</w:t>
      </w:r>
    </w:p>
    <w:p w14:paraId="78EC0EF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5.第三方验收，费用由乙方承担。</w:t>
      </w:r>
    </w:p>
    <w:p w14:paraId="44D0D19F">
      <w:pPr>
        <w:keepNext w:val="0"/>
        <w:keepLines w:val="0"/>
        <w:pageBreakBefore w:val="0"/>
        <w:widowControl w:val="0"/>
        <w:kinsoku/>
        <w:wordWrap/>
        <w:overflowPunct/>
        <w:topLinePunct w:val="0"/>
        <w:autoSpaceDE/>
        <w:autoSpaceDN/>
        <w:bidi w:val="0"/>
        <w:adjustRightInd/>
        <w:snapToGrid/>
        <w:spacing w:line="360" w:lineRule="auto"/>
        <w:ind w:firstLine="359" w:firstLineChars="147"/>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（七）付款方式</w:t>
      </w:r>
    </w:p>
    <w:p w14:paraId="7E48988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合同签订后，20个工作日内提供设备安装、调试、验收合格后。30日内一次性支付100%。（具体以甲乙双方签订的合同为准）</w:t>
      </w:r>
    </w:p>
    <w:p w14:paraId="7582071D">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（八）知识产权</w:t>
      </w:r>
    </w:p>
    <w:p w14:paraId="21B1182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采购人在中华人民共和国境内使用供应商提供的货物及服务时免受第三方提出的侵犯其专利权或其它知识产权的起诉。如果第三方提出侵权指控，中标人应承担由此而引起的一切法律责任和费用。</w:t>
      </w:r>
    </w:p>
    <w:p w14:paraId="1EA9F714">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b/>
          <w:bCs/>
          <w:color w:val="auto"/>
          <w:highlight w:val="none"/>
          <w:lang w:eastAsia="zh-CN"/>
        </w:rPr>
      </w:pPr>
      <w:bookmarkStart w:id="64" w:name="_Toc12239"/>
      <w:bookmarkStart w:id="65" w:name="_Toc20832"/>
      <w:bookmarkStart w:id="66" w:name="_Toc7598"/>
      <w:bookmarkStart w:id="67" w:name="_Toc267320054"/>
      <w:bookmarkStart w:id="68" w:name="_Toc12840_WPSOffice_Level1"/>
      <w:bookmarkStart w:id="69" w:name="_Toc439255252"/>
      <w:r>
        <w:rPr>
          <w:rFonts w:hint="eastAsia" w:ascii="仿宋" w:hAnsi="仿宋" w:eastAsia="仿宋" w:cs="仿宋"/>
          <w:b/>
          <w:bCs/>
          <w:color w:val="auto"/>
          <w:highlight w:val="none"/>
          <w:lang w:eastAsia="zh-CN"/>
        </w:rPr>
        <w:t>（九）其他</w:t>
      </w:r>
      <w:bookmarkEnd w:id="64"/>
      <w:bookmarkEnd w:id="65"/>
      <w:bookmarkEnd w:id="66"/>
    </w:p>
    <w:bookmarkEnd w:id="67"/>
    <w:bookmarkEnd w:id="68"/>
    <w:bookmarkEnd w:id="69"/>
    <w:p w14:paraId="4EC2000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1、供应商必须在投标文件中对以上条款和服务承诺明确列出，承诺内容必须达到本篇及招标文件其他条款的要求。</w:t>
      </w:r>
    </w:p>
    <w:p w14:paraId="656485F5">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2、中标人与采购人签订《协议》后，须与用户方签订《货物采购供应合同》（包括供货范围、需求数量、单价等），明确具体供货数量、供货时间、送达地点等内容。</w:t>
      </w:r>
    </w:p>
    <w:p w14:paraId="0A6EE5E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3、其他未尽事宜由供需双方在采购合同中详细约定。</w:t>
      </w:r>
    </w:p>
    <w:p w14:paraId="334A30D8">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4、 若供应商不能按招标文件规定的交货期正常交货，采购方有权终止采购合同，并将相关情况上报给采购计划主管部门，取消其中标资格。</w:t>
      </w:r>
    </w:p>
    <w:p w14:paraId="2257682C">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b/>
          <w:color w:val="auto"/>
          <w:sz w:val="30"/>
          <w:szCs w:val="30"/>
          <w:highlight w:val="none"/>
          <w:lang w:eastAsia="zh-CN"/>
        </w:rPr>
      </w:pPr>
      <w:r>
        <w:rPr>
          <w:rFonts w:hint="eastAsia" w:ascii="仿宋" w:hAnsi="仿宋" w:eastAsia="仿宋" w:cs="仿宋"/>
          <w:color w:val="auto"/>
          <w:highlight w:val="none"/>
          <w:lang w:eastAsia="zh-CN"/>
        </w:rPr>
        <w:t>5、</w:t>
      </w:r>
      <w:r>
        <w:rPr>
          <w:rFonts w:hint="eastAsia" w:ascii="仿宋" w:hAnsi="仿宋" w:eastAsia="仿宋" w:cs="仿宋"/>
          <w:color w:val="auto"/>
          <w:kern w:val="2"/>
          <w:highlight w:val="none"/>
          <w:lang w:eastAsia="zh-CN" w:bidi="ar-SA"/>
        </w:rPr>
        <w:t>其他未尽事宜由供需双方在采购合同中详细约定。</w:t>
      </w:r>
    </w:p>
    <w:p w14:paraId="7F332100">
      <w:pPr>
        <w:pStyle w:val="27"/>
        <w:rPr>
          <w:rFonts w:hint="eastAsia" w:ascii="仿宋" w:hAnsi="仿宋" w:eastAsia="仿宋" w:cs="仿宋"/>
          <w:b/>
          <w:color w:val="auto"/>
          <w:sz w:val="30"/>
          <w:szCs w:val="30"/>
          <w:highlight w:val="none"/>
          <w:lang w:eastAsia="zh-CN"/>
        </w:rPr>
      </w:pPr>
    </w:p>
    <w:p w14:paraId="23FD6D08">
      <w:pPr>
        <w:spacing w:line="360" w:lineRule="auto"/>
        <w:ind w:firstLine="490" w:firstLineChars="200"/>
        <w:rPr>
          <w:rFonts w:hint="eastAsia" w:ascii="仿宋" w:hAnsi="仿宋" w:eastAsia="仿宋" w:cs="仿宋"/>
          <w:b w:val="0"/>
          <w:color w:val="auto"/>
          <w:kern w:val="2"/>
          <w:sz w:val="24"/>
          <w:szCs w:val="24"/>
          <w:lang w:val="en-US" w:eastAsia="zh-CN" w:bidi="ar-SA"/>
        </w:rPr>
      </w:pPr>
    </w:p>
    <w:p w14:paraId="5687F113">
      <w:pPr>
        <w:spacing w:line="480" w:lineRule="exact"/>
        <w:jc w:val="center"/>
        <w:outlineLvl w:val="1"/>
        <w:rPr>
          <w:rFonts w:hint="eastAsia" w:ascii="仿宋" w:hAnsi="仿宋" w:eastAsia="仿宋" w:cs="仿宋"/>
          <w:b/>
          <w:color w:val="auto"/>
          <w:sz w:val="32"/>
          <w:szCs w:val="32"/>
          <w:lang w:val="en-US" w:eastAsia="zh-CN"/>
        </w:rPr>
      </w:pPr>
    </w:p>
    <w:p w14:paraId="374316DD">
      <w:pPr>
        <w:spacing w:line="480" w:lineRule="exact"/>
        <w:jc w:val="center"/>
        <w:outlineLvl w:val="1"/>
        <w:rPr>
          <w:rFonts w:hint="eastAsia" w:ascii="仿宋" w:hAnsi="仿宋" w:eastAsia="仿宋" w:cs="仿宋"/>
          <w:b/>
          <w:color w:val="auto"/>
          <w:sz w:val="32"/>
          <w:szCs w:val="32"/>
          <w:lang w:val="en-US" w:eastAsia="zh-CN"/>
        </w:rPr>
      </w:pPr>
    </w:p>
    <w:p w14:paraId="61CC7669">
      <w:pPr>
        <w:spacing w:line="480" w:lineRule="exact"/>
        <w:jc w:val="center"/>
        <w:outlineLvl w:val="1"/>
        <w:rPr>
          <w:rFonts w:hint="eastAsia" w:ascii="仿宋" w:hAnsi="仿宋" w:eastAsia="仿宋" w:cs="仿宋"/>
          <w:b/>
          <w:color w:val="auto"/>
          <w:sz w:val="32"/>
          <w:szCs w:val="32"/>
          <w:lang w:val="en-US" w:eastAsia="zh-CN"/>
        </w:rPr>
      </w:pPr>
    </w:p>
    <w:p w14:paraId="5062675D">
      <w:pPr>
        <w:spacing w:line="480" w:lineRule="exact"/>
        <w:jc w:val="center"/>
        <w:outlineLvl w:val="1"/>
        <w:rPr>
          <w:rFonts w:hint="eastAsia" w:ascii="仿宋" w:hAnsi="仿宋" w:eastAsia="仿宋" w:cs="仿宋"/>
          <w:b/>
          <w:color w:val="auto"/>
          <w:sz w:val="32"/>
          <w:szCs w:val="32"/>
          <w:lang w:val="en-US" w:eastAsia="zh-CN"/>
        </w:rPr>
      </w:pPr>
    </w:p>
    <w:p w14:paraId="06FCAC81">
      <w:pPr>
        <w:spacing w:line="480" w:lineRule="exact"/>
        <w:jc w:val="center"/>
        <w:outlineLvl w:val="1"/>
        <w:rPr>
          <w:rFonts w:hint="eastAsia" w:ascii="仿宋" w:hAnsi="仿宋" w:eastAsia="仿宋" w:cs="仿宋"/>
          <w:b/>
          <w:color w:val="auto"/>
          <w:sz w:val="32"/>
          <w:szCs w:val="32"/>
          <w:lang w:val="en-US" w:eastAsia="zh-CN"/>
        </w:rPr>
      </w:pPr>
    </w:p>
    <w:p w14:paraId="76D7E0BD">
      <w:pPr>
        <w:spacing w:line="480" w:lineRule="exact"/>
        <w:jc w:val="center"/>
        <w:outlineLvl w:val="1"/>
        <w:rPr>
          <w:rFonts w:hint="eastAsia" w:ascii="仿宋" w:hAnsi="仿宋" w:eastAsia="仿宋" w:cs="仿宋"/>
          <w:b/>
          <w:color w:val="auto"/>
          <w:sz w:val="32"/>
          <w:szCs w:val="32"/>
          <w:lang w:val="en-US" w:eastAsia="zh-CN"/>
        </w:rPr>
      </w:pPr>
    </w:p>
    <w:p w14:paraId="15787A39">
      <w:pPr>
        <w:spacing w:line="480" w:lineRule="exact"/>
        <w:jc w:val="center"/>
        <w:outlineLvl w:val="1"/>
        <w:rPr>
          <w:rFonts w:hint="eastAsia" w:ascii="仿宋" w:hAnsi="仿宋" w:eastAsia="仿宋" w:cs="仿宋"/>
          <w:b/>
          <w:color w:val="auto"/>
          <w:sz w:val="32"/>
          <w:szCs w:val="32"/>
          <w:lang w:val="en-US" w:eastAsia="zh-CN"/>
        </w:rPr>
      </w:pPr>
    </w:p>
    <w:p w14:paraId="7997A069">
      <w:pPr>
        <w:spacing w:line="480" w:lineRule="exact"/>
        <w:jc w:val="center"/>
        <w:outlineLvl w:val="1"/>
        <w:rPr>
          <w:rFonts w:hint="eastAsia" w:ascii="仿宋" w:hAnsi="仿宋" w:eastAsia="仿宋" w:cs="仿宋"/>
          <w:b/>
          <w:color w:val="auto"/>
          <w:sz w:val="32"/>
          <w:szCs w:val="32"/>
          <w:lang w:val="en-US" w:eastAsia="zh-CN"/>
        </w:rPr>
      </w:pPr>
    </w:p>
    <w:p w14:paraId="6923D037">
      <w:pPr>
        <w:spacing w:line="480" w:lineRule="exact"/>
        <w:jc w:val="both"/>
        <w:outlineLvl w:val="1"/>
        <w:rPr>
          <w:rFonts w:hint="eastAsia" w:ascii="仿宋" w:hAnsi="仿宋" w:eastAsia="仿宋" w:cs="仿宋"/>
          <w:b/>
          <w:color w:val="auto"/>
          <w:sz w:val="32"/>
          <w:szCs w:val="32"/>
          <w:lang w:val="en-US" w:eastAsia="zh-CN"/>
        </w:rPr>
      </w:pPr>
    </w:p>
    <w:p w14:paraId="239D43D2">
      <w:pPr>
        <w:spacing w:line="480" w:lineRule="exact"/>
        <w:jc w:val="both"/>
        <w:outlineLvl w:val="1"/>
        <w:rPr>
          <w:rFonts w:hint="eastAsia" w:ascii="仿宋" w:hAnsi="仿宋" w:eastAsia="仿宋" w:cs="仿宋"/>
          <w:b/>
          <w:color w:val="auto"/>
          <w:sz w:val="32"/>
          <w:szCs w:val="32"/>
          <w:lang w:val="en-US" w:eastAsia="zh-CN"/>
        </w:rPr>
      </w:pPr>
    </w:p>
    <w:p w14:paraId="28697AE9">
      <w:pPr>
        <w:spacing w:line="480" w:lineRule="exact"/>
        <w:jc w:val="both"/>
        <w:outlineLvl w:val="1"/>
        <w:rPr>
          <w:rFonts w:hint="eastAsia" w:ascii="仿宋" w:hAnsi="仿宋" w:eastAsia="仿宋" w:cs="仿宋"/>
          <w:b/>
          <w:color w:val="auto"/>
          <w:sz w:val="32"/>
          <w:szCs w:val="32"/>
          <w:lang w:val="en-US" w:eastAsia="zh-CN"/>
        </w:rPr>
      </w:pPr>
    </w:p>
    <w:p w14:paraId="172D53CA">
      <w:pPr>
        <w:spacing w:line="480" w:lineRule="exact"/>
        <w:jc w:val="both"/>
        <w:outlineLvl w:val="1"/>
        <w:rPr>
          <w:rFonts w:hint="eastAsia" w:ascii="仿宋" w:hAnsi="仿宋" w:eastAsia="仿宋" w:cs="仿宋"/>
          <w:b/>
          <w:color w:val="auto"/>
          <w:sz w:val="32"/>
          <w:szCs w:val="32"/>
          <w:lang w:val="en-US" w:eastAsia="zh-CN"/>
        </w:rPr>
      </w:pPr>
    </w:p>
    <w:p w14:paraId="7BCA24D1">
      <w:pPr>
        <w:spacing w:line="480" w:lineRule="exact"/>
        <w:jc w:val="both"/>
        <w:outlineLvl w:val="1"/>
        <w:rPr>
          <w:rFonts w:hint="eastAsia" w:ascii="仿宋" w:hAnsi="仿宋" w:eastAsia="仿宋" w:cs="仿宋"/>
          <w:b/>
          <w:color w:val="auto"/>
          <w:sz w:val="32"/>
          <w:szCs w:val="32"/>
          <w:lang w:val="en-US" w:eastAsia="zh-CN"/>
        </w:rPr>
      </w:pPr>
    </w:p>
    <w:p w14:paraId="48C93C72">
      <w:pPr>
        <w:spacing w:line="480" w:lineRule="exact"/>
        <w:jc w:val="both"/>
        <w:outlineLvl w:val="1"/>
        <w:rPr>
          <w:rFonts w:hint="eastAsia" w:ascii="仿宋" w:hAnsi="仿宋" w:eastAsia="仿宋" w:cs="仿宋"/>
          <w:b/>
          <w:color w:val="auto"/>
          <w:sz w:val="32"/>
          <w:szCs w:val="32"/>
          <w:lang w:val="en-US" w:eastAsia="zh-CN"/>
        </w:rPr>
      </w:pPr>
    </w:p>
    <w:p w14:paraId="6089CB67">
      <w:pPr>
        <w:spacing w:line="480" w:lineRule="exact"/>
        <w:jc w:val="both"/>
        <w:outlineLvl w:val="1"/>
        <w:rPr>
          <w:rFonts w:hint="eastAsia" w:ascii="仿宋" w:hAnsi="仿宋" w:eastAsia="仿宋" w:cs="仿宋"/>
          <w:b/>
          <w:color w:val="auto"/>
          <w:sz w:val="32"/>
          <w:szCs w:val="32"/>
          <w:lang w:val="en-US" w:eastAsia="zh-CN"/>
        </w:rPr>
      </w:pPr>
    </w:p>
    <w:p w14:paraId="72802A48">
      <w:pPr>
        <w:spacing w:line="480" w:lineRule="exact"/>
        <w:jc w:val="both"/>
        <w:outlineLvl w:val="1"/>
        <w:rPr>
          <w:rFonts w:hint="eastAsia" w:ascii="仿宋" w:hAnsi="仿宋" w:eastAsia="仿宋" w:cs="仿宋"/>
          <w:b/>
          <w:color w:val="auto"/>
          <w:sz w:val="32"/>
          <w:szCs w:val="32"/>
          <w:lang w:val="en-US" w:eastAsia="zh-CN"/>
        </w:rPr>
      </w:pPr>
    </w:p>
    <w:p w14:paraId="4DF32011">
      <w:pPr>
        <w:spacing w:line="480" w:lineRule="exact"/>
        <w:jc w:val="both"/>
        <w:outlineLvl w:val="1"/>
        <w:rPr>
          <w:rFonts w:hint="eastAsia" w:ascii="仿宋" w:hAnsi="仿宋" w:eastAsia="仿宋" w:cs="仿宋"/>
          <w:b/>
          <w:color w:val="auto"/>
          <w:sz w:val="32"/>
          <w:szCs w:val="32"/>
          <w:lang w:val="en-US" w:eastAsia="zh-CN"/>
        </w:rPr>
      </w:pPr>
    </w:p>
    <w:p w14:paraId="553D882A">
      <w:pPr>
        <w:spacing w:line="480" w:lineRule="exact"/>
        <w:jc w:val="center"/>
        <w:outlineLvl w:val="1"/>
        <w:rPr>
          <w:rFonts w:hint="eastAsia" w:ascii="仿宋" w:hAnsi="仿宋" w:eastAsia="仿宋" w:cs="仿宋"/>
          <w:b/>
          <w:color w:val="auto"/>
          <w:sz w:val="32"/>
          <w:szCs w:val="32"/>
          <w:lang w:val="en-US" w:eastAsia="zh-CN"/>
        </w:rPr>
      </w:pPr>
    </w:p>
    <w:p w14:paraId="27D63BC6">
      <w:pPr>
        <w:spacing w:line="480" w:lineRule="exact"/>
        <w:jc w:val="center"/>
        <w:outlineLvl w:val="1"/>
        <w:rPr>
          <w:rFonts w:ascii="仿宋" w:hAnsi="仿宋" w:eastAsia="仿宋" w:cs="仿宋"/>
          <w:b/>
          <w:color w:val="auto"/>
          <w:sz w:val="30"/>
          <w:szCs w:val="30"/>
          <w:highlight w:val="none"/>
          <w:lang w:eastAsia="zh-CN"/>
        </w:rPr>
      </w:pPr>
      <w:r>
        <w:rPr>
          <w:rFonts w:hint="eastAsia" w:ascii="仿宋" w:hAnsi="仿宋" w:eastAsia="仿宋" w:cs="仿宋"/>
          <w:b/>
          <w:color w:val="auto"/>
          <w:sz w:val="32"/>
          <w:szCs w:val="32"/>
          <w:lang w:val="en-US" w:eastAsia="zh-CN"/>
        </w:rPr>
        <w:t xml:space="preserve">第四部分  </w:t>
      </w:r>
      <w:r>
        <w:rPr>
          <w:rFonts w:hint="eastAsia" w:ascii="仿宋" w:hAnsi="仿宋" w:eastAsia="仿宋" w:cs="仿宋"/>
          <w:b/>
          <w:color w:val="auto"/>
          <w:sz w:val="30"/>
          <w:szCs w:val="30"/>
          <w:highlight w:val="none"/>
          <w:lang w:eastAsia="zh-CN"/>
        </w:rPr>
        <w:t>合同条款及格式</w:t>
      </w:r>
      <w:bookmarkStart w:id="70" w:name="_Toc20669"/>
    </w:p>
    <w:p w14:paraId="7FB69DA3">
      <w:pPr>
        <w:spacing w:line="480" w:lineRule="exact"/>
        <w:jc w:val="center"/>
        <w:outlineLvl w:val="1"/>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（本合同为合同样稿，最终稿由供需双方协商后确定）</w:t>
      </w:r>
      <w:bookmarkEnd w:id="70"/>
    </w:p>
    <w:p w14:paraId="70C10BBB">
      <w:pPr>
        <w:keepNext w:val="0"/>
        <w:keepLines w:val="0"/>
        <w:pageBreakBefore w:val="0"/>
        <w:widowControl/>
        <w:numPr>
          <w:ilvl w:val="0"/>
          <w:numId w:val="7"/>
        </w:numPr>
        <w:kinsoku/>
        <w:wordWrap/>
        <w:overflowPunct/>
        <w:topLinePunct w:val="0"/>
        <w:autoSpaceDE/>
        <w:autoSpaceDN/>
        <w:bidi w:val="0"/>
        <w:adjustRightInd/>
        <w:snapToGrid/>
        <w:spacing w:line="440" w:lineRule="exact"/>
        <w:jc w:val="center"/>
        <w:textAlignment w:val="baseline"/>
        <w:outlineLvl w:val="1"/>
        <w:rPr>
          <w:rFonts w:ascii="宋体"/>
          <w:color w:val="auto"/>
          <w:highlight w:val="none"/>
        </w:rPr>
      </w:pPr>
      <w:r>
        <w:rPr>
          <w:rFonts w:hint="eastAsia" w:ascii="仿宋" w:hAnsi="仿宋" w:eastAsia="仿宋" w:cs="仿宋"/>
          <w:b/>
          <w:color w:val="auto"/>
          <w:sz w:val="30"/>
          <w:szCs w:val="30"/>
          <w:highlight w:val="none"/>
          <w:lang w:eastAsia="zh-CN"/>
        </w:rPr>
        <w:t xml:space="preserve"> </w:t>
      </w:r>
      <w:bookmarkStart w:id="71" w:name="_Toc469495741"/>
      <w:r>
        <w:rPr>
          <w:rFonts w:hint="eastAsia" w:ascii="仿宋" w:hAnsi="仿宋" w:eastAsia="仿宋" w:cs="仿宋"/>
          <w:b/>
          <w:color w:val="auto"/>
          <w:sz w:val="30"/>
          <w:szCs w:val="30"/>
          <w:highlight w:val="none"/>
        </w:rPr>
        <w:t>合同协议书</w:t>
      </w:r>
      <w:bookmarkEnd w:id="71"/>
      <w:r>
        <w:rPr>
          <w:rFonts w:hint="eastAsia" w:ascii="仿宋" w:hAnsi="仿宋" w:eastAsia="仿宋" w:cs="仿宋"/>
          <w:b/>
          <w:color w:val="auto"/>
          <w:sz w:val="30"/>
          <w:szCs w:val="30"/>
          <w:highlight w:val="none"/>
          <w:lang w:eastAsia="zh-CN"/>
        </w:rPr>
        <w:t xml:space="preserve">      </w:t>
      </w:r>
      <w:r>
        <w:rPr>
          <w:rFonts w:hint="eastAsia" w:ascii="仿宋" w:hAnsi="仿宋" w:eastAsia="仿宋" w:cs="仿宋"/>
          <w:b/>
          <w:color w:val="auto"/>
          <w:sz w:val="32"/>
          <w:szCs w:val="32"/>
          <w:highlight w:val="none"/>
        </w:rPr>
        <w:t>合同名称</w:t>
      </w:r>
      <w:r>
        <w:rPr>
          <w:rFonts w:hint="eastAsia" w:ascii="仿宋" w:hAnsi="仿宋" w:eastAsia="仿宋" w:cs="仿宋"/>
          <w:b/>
          <w:color w:val="auto"/>
          <w:highlight w:val="none"/>
        </w:rPr>
        <w:t xml:space="preserve"> </w:t>
      </w:r>
      <w:r>
        <w:rPr>
          <w:rFonts w:hint="eastAsia" w:ascii="宋体"/>
          <w:b/>
          <w:color w:val="auto"/>
          <w:highlight w:val="none"/>
        </w:rPr>
        <w:t xml:space="preserve"> </w:t>
      </w:r>
    </w:p>
    <w:p w14:paraId="250532C9">
      <w:pPr>
        <w:keepNext w:val="0"/>
        <w:keepLines w:val="0"/>
        <w:pageBreakBefore w:val="0"/>
        <w:widowControl/>
        <w:kinsoku/>
        <w:wordWrap/>
        <w:overflowPunct/>
        <w:topLinePunct w:val="0"/>
        <w:autoSpaceDE/>
        <w:autoSpaceDN/>
        <w:bidi w:val="0"/>
        <w:adjustRightInd/>
        <w:snapToGrid/>
        <w:spacing w:line="440" w:lineRule="exact"/>
        <w:jc w:val="both"/>
        <w:textAlignment w:val="baseline"/>
        <w:outlineLvl w:val="1"/>
        <w:rPr>
          <w:rFonts w:ascii="仿宋" w:hAnsi="仿宋" w:eastAsia="仿宋" w:cs="仿宋"/>
          <w:color w:val="auto"/>
          <w:highlight w:val="none"/>
        </w:rPr>
      </w:pPr>
      <w:r>
        <w:rPr>
          <w:rFonts w:hint="eastAsia" w:ascii="仿宋" w:hAnsi="仿宋" w:eastAsia="仿宋" w:cs="仿宋"/>
          <w:color w:val="auto"/>
          <w:highlight w:val="none"/>
        </w:rPr>
        <w:t>编号</w:t>
      </w:r>
    </w:p>
    <w:p w14:paraId="2B6E28AB">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rPr>
      </w:pPr>
      <w:bookmarkStart w:id="72" w:name="_Toc247085768"/>
      <w:bookmarkStart w:id="73" w:name="_Toc246996996"/>
      <w:bookmarkStart w:id="74" w:name="_Toc152045610"/>
      <w:bookmarkStart w:id="75" w:name="_Toc246996253"/>
      <w:bookmarkStart w:id="76" w:name="_Toc296602498"/>
      <w:bookmarkStart w:id="77" w:name="_Toc152042388"/>
      <w:bookmarkStart w:id="78" w:name="_Toc144974578"/>
      <w:bookmarkStart w:id="79" w:name="_Toc469495742"/>
      <w:bookmarkStart w:id="80" w:name="_Toc179632628"/>
      <w:r>
        <w:rPr>
          <w:rFonts w:hint="eastAsia" w:ascii="仿宋" w:hAnsi="仿宋" w:eastAsia="仿宋" w:cs="仿宋"/>
          <w:color w:val="auto"/>
          <w:highlight w:val="none"/>
        </w:rPr>
        <w:t>买    方：                                   卖    方：</w:t>
      </w:r>
    </w:p>
    <w:p w14:paraId="12807829">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rPr>
      </w:pPr>
      <w:r>
        <w:rPr>
          <w:rFonts w:hint="eastAsia" w:ascii="仿宋" w:hAnsi="仿宋" w:eastAsia="仿宋" w:cs="仿宋"/>
          <w:color w:val="auto"/>
          <w:highlight w:val="none"/>
        </w:rPr>
        <w:t>电    话：                                   电    话：</w:t>
      </w:r>
    </w:p>
    <w:p w14:paraId="25088EF1">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rPr>
      </w:pPr>
      <w:r>
        <w:rPr>
          <w:rFonts w:hint="eastAsia" w:ascii="仿宋" w:hAnsi="仿宋" w:eastAsia="仿宋" w:cs="仿宋"/>
          <w:color w:val="auto"/>
          <w:highlight w:val="none"/>
        </w:rPr>
        <w:t xml:space="preserve">住    所：                                   住    所：                       </w:t>
      </w:r>
    </w:p>
    <w:p w14:paraId="67D8F4B5">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（买方）</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（项目名称）</w:t>
      </w:r>
      <w:r>
        <w:rPr>
          <w:rFonts w:hint="eastAsia" w:ascii="仿宋" w:hAnsi="仿宋" w:eastAsia="仿宋" w:cs="仿宋"/>
          <w:color w:val="auto"/>
          <w:highlight w:val="none"/>
          <w:lang w:eastAsia="zh-CN"/>
        </w:rPr>
        <w:t>中所需</w:t>
      </w:r>
      <w:r>
        <w:rPr>
          <w:rFonts w:hint="eastAsia" w:ascii="仿宋" w:hAnsi="仿宋" w:eastAsia="仿宋" w:cs="仿宋"/>
          <w:color w:val="auto"/>
          <w:highlight w:val="none"/>
          <w:u w:val="single"/>
          <w:lang w:eastAsia="zh-CN"/>
        </w:rPr>
        <w:t>（产品名称）</w:t>
      </w:r>
      <w:r>
        <w:rPr>
          <w:rFonts w:hint="eastAsia" w:ascii="仿宋" w:hAnsi="仿宋" w:eastAsia="仿宋" w:cs="仿宋"/>
          <w:color w:val="auto"/>
          <w:highlight w:val="none"/>
          <w:lang w:eastAsia="zh-CN"/>
        </w:rPr>
        <w:t xml:space="preserve"> 经公开招标，确定</w:t>
      </w:r>
      <w:r>
        <w:rPr>
          <w:rFonts w:hint="eastAsia" w:ascii="仿宋" w:hAnsi="仿宋" w:eastAsia="仿宋" w:cs="仿宋"/>
          <w:color w:val="auto"/>
          <w:highlight w:val="none"/>
          <w:u w:val="single"/>
          <w:lang w:eastAsia="zh-CN"/>
        </w:rPr>
        <w:t>（卖方）</w:t>
      </w:r>
      <w:r>
        <w:rPr>
          <w:rFonts w:hint="eastAsia" w:ascii="仿宋" w:hAnsi="仿宋" w:eastAsia="仿宋" w:cs="仿宋"/>
          <w:color w:val="auto"/>
          <w:highlight w:val="none"/>
          <w:lang w:eastAsia="zh-CN"/>
        </w:rPr>
        <w:t>为中标人。按照《</w:t>
      </w:r>
      <w:r>
        <w:rPr>
          <w:rFonts w:hint="eastAsia" w:ascii="仿宋" w:hAnsi="仿宋" w:eastAsia="仿宋" w:cs="仿宋"/>
          <w:color w:val="auto"/>
          <w:sz w:val="24"/>
          <w:szCs w:val="24"/>
          <w:lang w:val="en-US" w:eastAsia="zh-CN"/>
        </w:rPr>
        <w:t>中华人民共和国经济民法典</w:t>
      </w:r>
      <w:r>
        <w:rPr>
          <w:rFonts w:hint="eastAsia" w:ascii="仿宋" w:hAnsi="仿宋" w:eastAsia="仿宋" w:cs="仿宋"/>
          <w:color w:val="auto"/>
          <w:highlight w:val="none"/>
          <w:lang w:eastAsia="zh-CN"/>
        </w:rPr>
        <w:t>》的规定，买卖双方同意按照下述的条款和条件，签署本合同。</w:t>
      </w:r>
    </w:p>
    <w:p w14:paraId="73C8C930">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1、本合同文件</w:t>
      </w:r>
    </w:p>
    <w:p w14:paraId="5B0209FE">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下列每一文件均应作为合同的组成部分进行阅读和解释：</w:t>
      </w:r>
    </w:p>
    <w:p w14:paraId="381D2DF1">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（1）采购文件（2）投标文件（3）中标通知书</w:t>
      </w:r>
    </w:p>
    <w:p w14:paraId="3FB9A188">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（4）经双方确认进入合同的其它文件、补充条款或说明</w:t>
      </w:r>
    </w:p>
    <w:p w14:paraId="164F51DB">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2、采购标的、数量、质量要求</w:t>
      </w:r>
    </w:p>
    <w:p w14:paraId="35795C5C">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3、合同总价</w:t>
      </w:r>
    </w:p>
    <w:p w14:paraId="377DB4F4">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合同总价为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元人民币。</w:t>
      </w:r>
    </w:p>
    <w:p w14:paraId="15F41289">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ascii="仿宋" w:hAnsi="仿宋" w:eastAsia="仿宋" w:cs="仿宋"/>
          <w:b w:val="0"/>
          <w:bCs w:val="0"/>
          <w:color w:val="auto"/>
          <w:highlight w:val="none"/>
          <w:lang w:eastAsia="zh-CN"/>
        </w:rPr>
      </w:pPr>
      <w:r>
        <w:rPr>
          <w:rFonts w:hint="eastAsia" w:ascii="仿宋" w:hAnsi="仿宋" w:eastAsia="仿宋" w:cs="仿宋"/>
          <w:color w:val="auto"/>
          <w:highlight w:val="none"/>
          <w:lang w:eastAsia="zh-CN"/>
        </w:rPr>
        <w:t>4、付款方式</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u w:val="single"/>
          <w:lang w:val="en-US" w:eastAsia="zh-CN"/>
        </w:rPr>
        <w:t xml:space="preserve">                    </w:t>
      </w:r>
      <w:r>
        <w:rPr>
          <w:rFonts w:hint="eastAsia" w:ascii="仿宋" w:hAnsi="仿宋" w:eastAsia="仿宋" w:cs="仿宋"/>
          <w:b w:val="0"/>
          <w:bCs w:val="0"/>
          <w:color w:val="auto"/>
          <w:highlight w:val="none"/>
          <w:lang w:eastAsia="zh-CN"/>
        </w:rPr>
        <w:t>。</w:t>
      </w:r>
    </w:p>
    <w:p w14:paraId="5DA12D32">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5、合同供货（服务）期限及地点和方式</w:t>
      </w:r>
    </w:p>
    <w:p w14:paraId="05547429">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6、验收要求及违约责任</w:t>
      </w:r>
    </w:p>
    <w:p w14:paraId="75965C66">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7、违约责任及解决争议方法</w:t>
      </w:r>
    </w:p>
    <w:p w14:paraId="67965C7F">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8、合同的生效</w:t>
      </w:r>
    </w:p>
    <w:p w14:paraId="2D7706CF">
      <w:pPr>
        <w:pStyle w:val="8"/>
        <w:spacing w:after="0" w:line="42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合同经双方授权代表签署，买卖双方加盖印章之后生效。</w:t>
      </w:r>
    </w:p>
    <w:p w14:paraId="3D3B5EBB">
      <w:pPr>
        <w:pStyle w:val="8"/>
        <w:spacing w:after="0" w:line="42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本合同一式     份，双方各执     份。</w:t>
      </w:r>
    </w:p>
    <w:p w14:paraId="1271D778">
      <w:pPr>
        <w:pStyle w:val="8"/>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买  方：                            卖  方：</w:t>
      </w:r>
    </w:p>
    <w:p w14:paraId="5090540A">
      <w:pPr>
        <w:pStyle w:val="8"/>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名  称：（盖章）                    名  称：（盖章）</w:t>
      </w:r>
    </w:p>
    <w:p w14:paraId="45053B14">
      <w:pPr>
        <w:pStyle w:val="8"/>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法定代表人（或委托代理人签章）：    法定代表人（或委托代理人签章）：</w:t>
      </w:r>
    </w:p>
    <w:p w14:paraId="78875BE2">
      <w:pPr>
        <w:pStyle w:val="8"/>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地    址：                          地    址：</w:t>
      </w:r>
    </w:p>
    <w:p w14:paraId="1671EC20">
      <w:pPr>
        <w:pStyle w:val="8"/>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邮政编码：                          邮政编码：</w:t>
      </w:r>
    </w:p>
    <w:p w14:paraId="6C58167F">
      <w:pPr>
        <w:pStyle w:val="8"/>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电    话：                          电    话：</w:t>
      </w:r>
    </w:p>
    <w:p w14:paraId="2C38B6E0">
      <w:pPr>
        <w:pStyle w:val="8"/>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开户银行：                          开户银行：</w:t>
      </w:r>
    </w:p>
    <w:p w14:paraId="00D6135B">
      <w:pPr>
        <w:pStyle w:val="8"/>
        <w:spacing w:after="0" w:line="360" w:lineRule="exact"/>
        <w:ind w:left="0" w:leftChars="0" w:firstLine="490" w:firstLineChars="200"/>
        <w:rPr>
          <w:rFonts w:ascii="仿宋" w:hAnsi="仿宋" w:eastAsia="仿宋" w:cs="仿宋"/>
          <w:b/>
          <w:color w:val="auto"/>
          <w:sz w:val="30"/>
          <w:szCs w:val="30"/>
          <w:highlight w:val="none"/>
          <w:lang w:eastAsia="zh-CN"/>
        </w:rPr>
      </w:pPr>
      <w:r>
        <w:rPr>
          <w:rFonts w:hint="eastAsia" w:ascii="仿宋" w:hAnsi="仿宋" w:eastAsia="仿宋" w:cs="仿宋"/>
          <w:color w:val="auto"/>
          <w:highlight w:val="none"/>
          <w:u w:color="000000"/>
          <w:lang w:eastAsia="zh-CN"/>
        </w:rPr>
        <w:t>帐    号：                          帐    号：</w:t>
      </w:r>
    </w:p>
    <w:p w14:paraId="5EF98FF2">
      <w:pPr>
        <w:pStyle w:val="8"/>
        <w:spacing w:after="0" w:line="420" w:lineRule="exact"/>
        <w:ind w:left="0" w:leftChars="0" w:firstLine="610" w:firstLineChars="200"/>
        <w:jc w:val="center"/>
        <w:rPr>
          <w:rFonts w:hint="eastAsia" w:ascii="仿宋" w:hAnsi="仿宋" w:eastAsia="仿宋" w:cs="仿宋"/>
          <w:b/>
          <w:color w:val="auto"/>
          <w:sz w:val="30"/>
          <w:szCs w:val="30"/>
          <w:highlight w:val="none"/>
          <w:lang w:eastAsia="zh-CN"/>
        </w:rPr>
      </w:pPr>
    </w:p>
    <w:p w14:paraId="24A5CC3C">
      <w:pPr>
        <w:pStyle w:val="8"/>
        <w:spacing w:after="0" w:line="420" w:lineRule="exact"/>
        <w:ind w:left="0" w:leftChars="0" w:firstLine="610" w:firstLineChars="200"/>
        <w:jc w:val="center"/>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二  合同条款</w:t>
      </w:r>
      <w:bookmarkEnd w:id="72"/>
      <w:bookmarkEnd w:id="73"/>
      <w:bookmarkEnd w:id="74"/>
      <w:bookmarkEnd w:id="75"/>
      <w:bookmarkEnd w:id="76"/>
      <w:bookmarkEnd w:id="77"/>
      <w:bookmarkEnd w:id="78"/>
      <w:bookmarkEnd w:id="79"/>
      <w:bookmarkEnd w:id="80"/>
    </w:p>
    <w:p w14:paraId="3E449141">
      <w:pPr>
        <w:spacing w:line="440" w:lineRule="exact"/>
        <w:rPr>
          <w:rFonts w:ascii="仿宋" w:hAnsi="仿宋" w:eastAsia="仿宋" w:cs="仿宋"/>
          <w:b/>
          <w:color w:val="auto"/>
          <w:szCs w:val="21"/>
          <w:highlight w:val="none"/>
        </w:rPr>
      </w:pPr>
      <w:r>
        <w:rPr>
          <w:rFonts w:hint="eastAsia" w:ascii="仿宋" w:hAnsi="仿宋" w:eastAsia="仿宋" w:cs="仿宋"/>
          <w:b/>
          <w:color w:val="auto"/>
          <w:szCs w:val="21"/>
          <w:highlight w:val="none"/>
        </w:rPr>
        <w:t>一.合同文件</w:t>
      </w:r>
    </w:p>
    <w:p w14:paraId="61B8A01C">
      <w:pPr>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1、合同文件适用法律</w:t>
      </w:r>
    </w:p>
    <w:p w14:paraId="2853581C">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适用于合同文件的法律是中华人民共和国现行法律、法规及招标人所在地的地方性法规。</w:t>
      </w:r>
    </w:p>
    <w:p w14:paraId="1FE59C91">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2、合同文件组成和解释顺序</w:t>
      </w:r>
    </w:p>
    <w:p w14:paraId="67744141">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(1)合同文件的组成和解释顺序如下：</w:t>
      </w:r>
    </w:p>
    <w:p w14:paraId="243607D9">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&lt;1&gt;合同的主要条款；</w:t>
      </w:r>
    </w:p>
    <w:p w14:paraId="7B5B19BF">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&lt;2&gt;合同的一般性条款；</w:t>
      </w:r>
    </w:p>
    <w:p w14:paraId="680373FA">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&lt;3&gt;洽商、变更等明确双方权利义务的纪要、协议；</w:t>
      </w:r>
    </w:p>
    <w:p w14:paraId="0B119ADA">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&lt;4&gt;中标通知书、投标文件和采购文件；</w:t>
      </w:r>
    </w:p>
    <w:p w14:paraId="760B9FE8">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&lt;5&gt;有关图纸、标准、规范和其它有关技术资料、技术要求。</w:t>
      </w:r>
    </w:p>
    <w:p w14:paraId="39C12B88">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&lt;6&gt;合同的主要条款的效力优于合同的一般性条款的效力。</w:t>
      </w:r>
    </w:p>
    <w:p w14:paraId="05AF25D7">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3、合同文件使用文字</w:t>
      </w:r>
    </w:p>
    <w:p w14:paraId="1A15F09F">
      <w:pPr>
        <w:pStyle w:val="5"/>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(1)合同文件使用中文书写、解释和说明。</w:t>
      </w:r>
    </w:p>
    <w:p w14:paraId="66FAED08">
      <w:pPr>
        <w:pStyle w:val="5"/>
        <w:overflowPunct w:val="0"/>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(2)合同文件使用技术性条款约定的为国家标准和规范；国家没有相应标准、规范时，可使用行业标准、规范。非标货物应按约定的技术性条款的标准和规范。 </w:t>
      </w:r>
    </w:p>
    <w:p w14:paraId="4F7F9A03">
      <w:pPr>
        <w:spacing w:line="440" w:lineRule="exact"/>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二.标的物的一般条款</w:t>
      </w:r>
    </w:p>
    <w:p w14:paraId="1CBD7E8E">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4、完整物权</w:t>
      </w:r>
    </w:p>
    <w:p w14:paraId="64F1BFB8">
      <w:pPr>
        <w:tabs>
          <w:tab w:val="left" w:pos="660"/>
        </w:tabs>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对于出卖的标的物，卖方应当拥有完整物权，并且卖方负有保证第三人不得向买方主张任何权利（包括知识产权）的义务。</w:t>
      </w:r>
    </w:p>
    <w:p w14:paraId="0FA4778E">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5、质量保证</w:t>
      </w:r>
    </w:p>
    <w:p w14:paraId="7C388FC0">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4C5BB8B0">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11D5B3CB">
      <w:pPr>
        <w:pStyle w:val="5"/>
        <w:tabs>
          <w:tab w:val="left" w:pos="900"/>
        </w:tabs>
        <w:overflowPunct w:val="0"/>
        <w:spacing w:line="440" w:lineRule="exact"/>
        <w:rPr>
          <w:rFonts w:cs="宋体"/>
          <w:color w:val="auto"/>
          <w:sz w:val="21"/>
          <w:szCs w:val="21"/>
          <w:highlight w:val="none"/>
          <w:u w:color="000000"/>
          <w:lang w:eastAsia="zh-CN"/>
        </w:rPr>
      </w:pPr>
      <w:r>
        <w:rPr>
          <w:rFonts w:hint="eastAsia" w:ascii="仿宋" w:hAnsi="仿宋" w:eastAsia="仿宋" w:cs="仿宋"/>
          <w:color w:val="auto"/>
          <w:szCs w:val="24"/>
          <w:highlight w:val="none"/>
          <w:u w:color="000000"/>
          <w:lang w:eastAsia="zh-CN"/>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cs="宋体"/>
          <w:color w:val="auto"/>
          <w:sz w:val="21"/>
          <w:szCs w:val="21"/>
          <w:highlight w:val="none"/>
          <w:u w:color="000000"/>
          <w:lang w:eastAsia="zh-CN"/>
        </w:rPr>
        <w:t>外）。</w:t>
      </w:r>
    </w:p>
    <w:p w14:paraId="3D39556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6、包装</w:t>
      </w:r>
    </w:p>
    <w:p w14:paraId="2773E27C">
      <w:pPr>
        <w:pStyle w:val="5"/>
        <w:tabs>
          <w:tab w:val="left" w:pos="900"/>
        </w:tabs>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3EB69B7C">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7、伴随服务</w:t>
      </w:r>
    </w:p>
    <w:p w14:paraId="6A41DCF1">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(1)卖方除应履行按期按量交付合格标的物的义务之外，还应提供下列服务：</w:t>
      </w:r>
    </w:p>
    <w:p w14:paraId="3D262E89">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&lt;1&gt;标的物的现场安装或指导安装、启动、调试、监督（如果必须安装、调试的话）；</w:t>
      </w:r>
    </w:p>
    <w:p w14:paraId="04442C2C">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&lt;2&gt;提供标的物组装和一般维修所必须的工具；</w:t>
      </w:r>
    </w:p>
    <w:p w14:paraId="2E29A8E0">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&lt;3&gt;在合同规定的期限内对所提供标的物实行运行监督、维修服务的前提条件是该服务并不能免除卖方在质量保证期内所承担的义务；</w:t>
      </w:r>
    </w:p>
    <w:p w14:paraId="351B4C9C">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&lt;4&gt;对买方技术人员的技术指导或培训。</w:t>
      </w:r>
    </w:p>
    <w:p w14:paraId="0857048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(2)除合同另有规定之外，伴随服务的费用均已含在合同价款中，买方不再另行进行支付。</w:t>
      </w:r>
    </w:p>
    <w:p w14:paraId="438576A5">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三.标的物的交付、检验和验收</w:t>
      </w:r>
    </w:p>
    <w:p w14:paraId="2DAB6DAE">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8、标的物的交付</w:t>
      </w:r>
    </w:p>
    <w:p w14:paraId="5C29126C">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(1)标的物的所有权自标的物交付时转移。</w:t>
      </w:r>
    </w:p>
    <w:p w14:paraId="5199CB9A">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(2)卖方应当按照约定的期限和约定的地点交付符合采购文件要求的标的物。</w:t>
      </w:r>
    </w:p>
    <w:p w14:paraId="0D6BAFE5">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(3)卖方应当按照约定或者交易习惯向招标人交付提取标的物单证以外的有关单证和资料。</w:t>
      </w:r>
    </w:p>
    <w:p w14:paraId="656295CA">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9、检验和验收</w:t>
      </w:r>
    </w:p>
    <w:p w14:paraId="797C621C">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2A4639B4">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(2)买方根据合同规定的内容和验收标准进行验收，经检验无误后出具验收合格证明，该证明作为最终付款所需文件的组成部分。</w:t>
      </w:r>
    </w:p>
    <w:p w14:paraId="16F221C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(3)验收期限自标的物交付之日起三十天内。特殊情况需延长的，双方应在合同条款中约定。</w:t>
      </w:r>
    </w:p>
    <w:p w14:paraId="29659DE4">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四.对标的物提出异议的时间和办法</w:t>
      </w:r>
    </w:p>
    <w:p w14:paraId="644172A2">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10、对标的物提出异议的时间和办法 </w:t>
      </w:r>
    </w:p>
    <w:p w14:paraId="42BEB1E5">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(1)买方在验收过程中，应当于双方约定的检验期间内将标的物的数量或质量不符合约定的情形及处理方式以书面形式通知卖方。</w:t>
      </w:r>
    </w:p>
    <w:p w14:paraId="01768516">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(2)如买方在验收期满后既不出具验收合格证明又未提出书面异议的视为卖方所交标的物符合合同规定。</w:t>
      </w:r>
    </w:p>
    <w:p w14:paraId="3543F488">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(3)卖方应在收到买方书面异议后七天内负责处理问题，否则将视为默认买方提出的异议和处理意见。</w:t>
      </w:r>
    </w:p>
    <w:p w14:paraId="531ABCC4">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五.合同价款和支付</w:t>
      </w:r>
    </w:p>
    <w:p w14:paraId="0B8D2037">
      <w:pPr>
        <w:spacing w:line="440" w:lineRule="exact"/>
        <w:rPr>
          <w:rFonts w:ascii="仿宋" w:hAnsi="仿宋" w:eastAsia="仿宋" w:cs="仿宋"/>
          <w:color w:val="auto"/>
          <w:highlight w:val="none"/>
        </w:rPr>
      </w:pPr>
      <w:r>
        <w:rPr>
          <w:rFonts w:hint="eastAsia" w:ascii="仿宋" w:hAnsi="仿宋" w:eastAsia="仿宋" w:cs="仿宋"/>
          <w:color w:val="auto"/>
          <w:highlight w:val="none"/>
        </w:rPr>
        <w:t>11、合同价款和支付</w:t>
      </w:r>
    </w:p>
    <w:p w14:paraId="35B1C8C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(1)本合同的结算货币为人民币，单位元。</w:t>
      </w:r>
    </w:p>
    <w:p w14:paraId="64744E28">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(2)卖方应按照双方签订的合同规定交货并在合同主要条款规定的期限内持下列单据结算货款：</w:t>
      </w:r>
    </w:p>
    <w:p w14:paraId="27DF01D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&lt;1&gt;合格的销售发票；</w:t>
      </w:r>
    </w:p>
    <w:p w14:paraId="5C243FA8">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&lt;2&gt;买方盖章签收后的送货回单和验收合格证明。</w:t>
      </w:r>
    </w:p>
    <w:p w14:paraId="4CA2FB5D">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(3)买方应按合同主要条款规定的期限和方式付款。</w:t>
      </w:r>
    </w:p>
    <w:p w14:paraId="4AFA1F51">
      <w:pPr>
        <w:pStyle w:val="5"/>
        <w:tabs>
          <w:tab w:val="left" w:pos="54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(4)根据现行税法对买方征收的与本合同有关的一切税费均由买方承担；根据现行税法对卖方征收的与本合同有关的一切税费均由卖方承担。</w:t>
      </w:r>
    </w:p>
    <w:p w14:paraId="5FF046F0">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六.违约责任</w:t>
      </w:r>
    </w:p>
    <w:p w14:paraId="066367B5">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12、违约责任</w:t>
      </w:r>
    </w:p>
    <w:p w14:paraId="1223F951">
      <w:pPr>
        <w:pStyle w:val="5"/>
        <w:spacing w:line="440" w:lineRule="exact"/>
        <w:ind w:firstLine="490" w:firstLineChars="20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合同一方不履行合同义务或者履行合同义务不符合约定的，应当承担继续履行、采取补救措施或者赔偿损失等违约责任。</w:t>
      </w:r>
    </w:p>
    <w:p w14:paraId="56B6F459">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13、买方违约责任</w:t>
      </w:r>
    </w:p>
    <w:p w14:paraId="11F0C99B">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(1)在合同生效后，买方要求退货的，应向卖方偿付合同总价款的5%，作为违约金，违约金不足以补偿损失的，卖方有权要求甲方补足。</w:t>
      </w:r>
    </w:p>
    <w:p w14:paraId="6A2292D8">
      <w:pPr>
        <w:pStyle w:val="5"/>
        <w:overflowPunct w:val="0"/>
        <w:spacing w:line="440" w:lineRule="exact"/>
        <w:ind w:right="-389"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(2)买方逾期付款的应按照逾期付款金额的每天万分之四支付逾期付款违约金。</w:t>
      </w:r>
    </w:p>
    <w:p w14:paraId="4E3A0879">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(3)买方违反合同规定，拒绝接收卖方交付的符合采购文件要求的合格标的物，应当承担卖方由此造成的损失。</w:t>
      </w:r>
    </w:p>
    <w:p w14:paraId="09159F7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14、卖方违约责任</w:t>
      </w:r>
    </w:p>
    <w:p w14:paraId="38FE7C39">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(1)卖方不能交货（逾期超过五天视为不能交货），或交货不合格从而影响买方按期正常使用的，应向买方偿付合同总价款5%的违约金，违约金不足以补偿损失的，买方有权要求卖方补足。</w:t>
      </w:r>
    </w:p>
    <w:p w14:paraId="0F46C28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(2)卖方逾期交货的，应在发货前与买方和政府采购管理部门协商，买方仍需求的，卖方应立即发货并应按照逾期交货部分货款的每天万分之四支付逾期交货违约金，同时承担买方因此遭致的损失费用。</w:t>
      </w:r>
    </w:p>
    <w:p w14:paraId="1367F181">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15、不可抗力</w:t>
      </w:r>
    </w:p>
    <w:p w14:paraId="11171945">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(1)因水灾、火灾、地震、战争等不可抗力不能履行合同的，根据不可抗力的影响，部分或者全部免除责任。但合同一方迟延履行后发生不可抗力的，不能免除责任。</w:t>
      </w:r>
    </w:p>
    <w:p w14:paraId="7D9662C5">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(2)合同一方因不可抗力不能履行合同的，应当及时通知对方，以减轻可能给对方造成的损失，并应当在合理期限内提供证明。</w:t>
      </w:r>
    </w:p>
    <w:p w14:paraId="33FED88D">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七.索赔</w:t>
      </w:r>
    </w:p>
    <w:p w14:paraId="0041CAF2">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16、索赔</w:t>
      </w:r>
    </w:p>
    <w:p w14:paraId="170E9DC4">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(1)买方有权根据当地产品质量检验机构或其它有权威部门出具的检验证书向卖方提出索赔。</w:t>
      </w:r>
    </w:p>
    <w:p w14:paraId="09A0D84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(2)在本合同规定的检验期和质量保证期内，如果卖方对买方提出的索赔或差异有责任，则卖方应按买方同意的下列一种或多种方式解决索赔事宜：</w:t>
      </w:r>
    </w:p>
    <w:p w14:paraId="57C0ABCB">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&lt;1&gt;卖方同意退货，并按合同规定的货币将货款退还给买方，并承担由此发生的一切损失和费用，包括利息、银行手续费、运费、保险费、检验费、仓储费、装卸费以及为保护退回标的物所需的其它必要费用；</w:t>
      </w:r>
    </w:p>
    <w:p w14:paraId="59A741B2">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&lt;2&gt;根据标的物的低劣程度、损坏程度以及甲方遭受损失的数额，经双方协商确定降低标的物的价格；</w:t>
      </w:r>
    </w:p>
    <w:p w14:paraId="512818D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69AD88C4">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53B4EC36">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(4)买方提出索赔的书面材料应报当地政府采购管理部门备案。卖方同意的索赔方案应报当地政府采购管理部门审核。</w:t>
      </w:r>
    </w:p>
    <w:p w14:paraId="57754228">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八.履约保证金</w:t>
      </w:r>
    </w:p>
    <w:p w14:paraId="612B952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17、履约保证金</w:t>
      </w:r>
    </w:p>
    <w:p w14:paraId="27018840">
      <w:pPr>
        <w:pStyle w:val="5"/>
        <w:overflowPunct w:val="0"/>
        <w:spacing w:line="440" w:lineRule="exact"/>
        <w:ind w:firstLine="612" w:firstLineChars="25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(1)卖方应在本合同签订时，按采购文件的约定提供相应的履约保证金，保证金的有效期应不低于合同有效期。</w:t>
      </w:r>
    </w:p>
    <w:p w14:paraId="0D949E6D">
      <w:pPr>
        <w:pStyle w:val="5"/>
        <w:overflowPunct w:val="0"/>
        <w:spacing w:line="440" w:lineRule="exact"/>
        <w:ind w:right="-389"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(2)如果卖方未能履行合同规定的任何义务，买方有权从履约保证金中取得补偿。</w:t>
      </w:r>
    </w:p>
    <w:p w14:paraId="08D6F815">
      <w:pPr>
        <w:pStyle w:val="5"/>
        <w:overflowPunct w:val="0"/>
        <w:spacing w:line="440" w:lineRule="exact"/>
        <w:ind w:right="-1019" w:rightChars="-416"/>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(3)履约保证金（无息）将在卖方履行完合同义务，买方支付合同价款的五天内</w:t>
      </w:r>
    </w:p>
    <w:p w14:paraId="5D0B57F2">
      <w:pPr>
        <w:pStyle w:val="5"/>
        <w:overflowPunct w:val="0"/>
        <w:spacing w:line="440" w:lineRule="exact"/>
        <w:ind w:right="-1019" w:rightChars="-416" w:firstLine="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退回。</w:t>
      </w:r>
    </w:p>
    <w:p w14:paraId="1F7AE0B1">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九.合同的解除和转让</w:t>
      </w:r>
    </w:p>
    <w:p w14:paraId="2DBCF4E8">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18、合同的解除</w:t>
      </w:r>
    </w:p>
    <w:p w14:paraId="0694DEC7">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(1)买方和卖方协商一致，可以解除合同。</w:t>
      </w:r>
    </w:p>
    <w:p w14:paraId="4B0F000E">
      <w:pPr>
        <w:pStyle w:val="5"/>
        <w:spacing w:line="440" w:lineRule="exact"/>
        <w:rPr>
          <w:rFonts w:ascii="仿宋" w:hAnsi="仿宋" w:eastAsia="仿宋" w:cs="仿宋"/>
          <w:color w:val="auto"/>
          <w:szCs w:val="24"/>
          <w:highlight w:val="none"/>
          <w:u w:color="000000"/>
        </w:rPr>
      </w:pPr>
      <w:r>
        <w:rPr>
          <w:rFonts w:hint="eastAsia" w:ascii="仿宋" w:hAnsi="仿宋" w:eastAsia="仿宋" w:cs="仿宋"/>
          <w:color w:val="auto"/>
          <w:szCs w:val="24"/>
          <w:highlight w:val="none"/>
          <w:u w:color="000000"/>
        </w:rPr>
        <w:t>(2)有下列情形之一，合同一方可以解除合同：</w:t>
      </w:r>
    </w:p>
    <w:p w14:paraId="7CCF1B7B">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&lt;1&gt;因不可抗力致使不能实现合同目的，未受不可抗力影响的一方有权解除合同；</w:t>
      </w:r>
    </w:p>
    <w:p w14:paraId="4E66A778">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&lt;2&gt;因合同一方违约导致合同不能履行，另一方有权解除合同。</w:t>
      </w:r>
    </w:p>
    <w:p w14:paraId="29721A1B">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(3)有权解除合同的一方，应当在违约事实或不可抗力发生之后三十天内书面通知对方以主张解除合同，合同在书面通知到达对方时解除。</w:t>
      </w:r>
    </w:p>
    <w:p w14:paraId="20A6360B">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19、合同的转让</w:t>
      </w:r>
    </w:p>
    <w:p w14:paraId="402D6686">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合同的部分和全部都不得转让。</w:t>
      </w:r>
    </w:p>
    <w:p w14:paraId="486E77B4">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十.合同的生效</w:t>
      </w:r>
    </w:p>
    <w:p w14:paraId="4C225D84">
      <w:pPr>
        <w:spacing w:line="440" w:lineRule="exact"/>
        <w:rPr>
          <w:rFonts w:ascii="仿宋" w:hAnsi="仿宋" w:eastAsia="仿宋" w:cs="仿宋"/>
          <w:color w:val="auto"/>
          <w:highlight w:val="none"/>
        </w:rPr>
      </w:pPr>
      <w:r>
        <w:rPr>
          <w:rFonts w:hint="eastAsia" w:ascii="仿宋" w:hAnsi="仿宋" w:eastAsia="仿宋" w:cs="仿宋"/>
          <w:color w:val="auto"/>
          <w:highlight w:val="none"/>
        </w:rPr>
        <w:t>20</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合同的生效</w:t>
      </w:r>
    </w:p>
    <w:p w14:paraId="52C4AE90">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本合同在双方签字盖章并在招标人收到中标人提交的履约保证金后，经招标采购管理部门备案后生效。</w:t>
      </w:r>
    </w:p>
    <w:p w14:paraId="2DB612B2">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十一. 争议解决</w:t>
      </w:r>
    </w:p>
    <w:p w14:paraId="30D3262F">
      <w:pPr>
        <w:spacing w:line="440" w:lineRule="exact"/>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21、争议解决</w:t>
      </w:r>
    </w:p>
    <w:p w14:paraId="25C1AD36">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 xml:space="preserve"> 买卖双方因合同发生争议，进行调解，协商不成，可选择：</w:t>
      </w:r>
    </w:p>
    <w:p w14:paraId="58710A9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(1)向甲方所在地人民法院提起诉讼；</w:t>
      </w:r>
    </w:p>
    <w:p w14:paraId="50AB1C28">
      <w:pPr>
        <w:pStyle w:val="5"/>
        <w:tabs>
          <w:tab w:val="left" w:pos="90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(2)向买方所在地人民法院提起诉讼。</w:t>
      </w:r>
    </w:p>
    <w:p w14:paraId="0E2CA260">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十二 .附则</w:t>
      </w:r>
    </w:p>
    <w:p w14:paraId="47043EE2">
      <w:pPr>
        <w:spacing w:line="440" w:lineRule="exact"/>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22、合同份数。</w:t>
      </w:r>
    </w:p>
    <w:p w14:paraId="2E391F6A">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 本合同一式陆份，买卖双方各执二份，招标代理机构一份，招标采购管理部门一份。</w:t>
      </w:r>
    </w:p>
    <w:p w14:paraId="51A8D4D0">
      <w:pPr>
        <w:spacing w:line="440" w:lineRule="exact"/>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23、未尽事宜</w:t>
      </w:r>
    </w:p>
    <w:p w14:paraId="6042943B">
      <w:pPr>
        <w:spacing w:line="440" w:lineRule="exact"/>
        <w:ind w:firstLine="612" w:firstLineChars="250"/>
        <w:rPr>
          <w:rFonts w:ascii="宋体" w:cs="宋体"/>
          <w:color w:val="auto"/>
          <w:szCs w:val="21"/>
          <w:highlight w:val="none"/>
          <w:lang w:eastAsia="zh-CN"/>
        </w:rPr>
      </w:pPr>
      <w:r>
        <w:rPr>
          <w:rFonts w:hint="eastAsia" w:ascii="仿宋" w:hAnsi="仿宋" w:eastAsia="仿宋" w:cs="仿宋"/>
          <w:color w:val="auto"/>
          <w:highlight w:val="none"/>
          <w:lang w:eastAsia="zh-CN"/>
        </w:rPr>
        <w:t>本合同未尽事宜应按《中华人民共和国政府采购法》、《中华人民共和国民法典》、《中华人民共和国产品质量法》之规定解释。</w:t>
      </w:r>
    </w:p>
    <w:p w14:paraId="42EB68AA">
      <w:pPr>
        <w:shd w:val="clear" w:color="auto" w:fill="auto"/>
        <w:spacing w:line="360" w:lineRule="auto"/>
        <w:jc w:val="left"/>
        <w:rPr>
          <w:rFonts w:hint="eastAsia" w:ascii="仿宋" w:hAnsi="仿宋" w:eastAsia="仿宋" w:cs="仿宋"/>
          <w:b w:val="0"/>
          <w:bCs w:val="0"/>
          <w:color w:val="auto"/>
          <w:sz w:val="24"/>
          <w:szCs w:val="24"/>
        </w:rPr>
      </w:pPr>
    </w:p>
    <w:p w14:paraId="59595B5D">
      <w:pPr>
        <w:shd w:val="clear" w:color="auto" w:fill="auto"/>
        <w:spacing w:line="360" w:lineRule="auto"/>
        <w:jc w:val="both"/>
        <w:rPr>
          <w:rFonts w:hint="eastAsia" w:ascii="仿宋" w:hAnsi="仿宋" w:eastAsia="仿宋" w:cs="仿宋"/>
          <w:b/>
          <w:bCs/>
          <w:color w:val="auto"/>
          <w:sz w:val="36"/>
          <w:szCs w:val="36"/>
        </w:rPr>
      </w:pPr>
    </w:p>
    <w:p w14:paraId="1A3F82DA">
      <w:pPr>
        <w:shd w:val="clear" w:color="auto" w:fill="auto"/>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36"/>
          <w:szCs w:val="36"/>
        </w:rPr>
        <w:t>第</w:t>
      </w:r>
      <w:r>
        <w:rPr>
          <w:rFonts w:hint="eastAsia" w:ascii="仿宋" w:hAnsi="仿宋" w:eastAsia="仿宋" w:cs="仿宋"/>
          <w:b/>
          <w:bCs/>
          <w:color w:val="auto"/>
          <w:sz w:val="36"/>
          <w:szCs w:val="36"/>
          <w:lang w:eastAsia="zh-CN"/>
        </w:rPr>
        <w:t>五</w:t>
      </w:r>
      <w:r>
        <w:rPr>
          <w:rFonts w:hint="eastAsia" w:ascii="仿宋" w:hAnsi="仿宋" w:eastAsia="仿宋" w:cs="仿宋"/>
          <w:b/>
          <w:bCs/>
          <w:color w:val="auto"/>
          <w:sz w:val="36"/>
          <w:szCs w:val="36"/>
        </w:rPr>
        <w:t>部分</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14:paraId="3408736B">
      <w:pPr>
        <w:adjustRightInd w:val="0"/>
        <w:snapToGrid w:val="0"/>
        <w:spacing w:line="360" w:lineRule="auto"/>
        <w:ind w:left="602" w:right="70" w:hanging="602"/>
        <w:jc w:val="right"/>
        <w:rPr>
          <w:rFonts w:hint="eastAsia" w:ascii="仿宋" w:hAnsi="仿宋" w:eastAsia="仿宋" w:cs="仿宋"/>
          <w:b/>
          <w:bCs/>
          <w:color w:val="auto"/>
          <w:sz w:val="28"/>
          <w:szCs w:val="28"/>
          <w:bdr w:val="single" w:color="auto" w:sz="4" w:space="0"/>
          <w:lang w:eastAsia="zh-CN"/>
        </w:rPr>
      </w:pPr>
      <w:bookmarkStart w:id="81" w:name="bookmark196"/>
      <w:r>
        <w:rPr>
          <w:rFonts w:hint="eastAsia" w:ascii="仿宋" w:hAnsi="仿宋" w:eastAsia="仿宋" w:cs="仿宋"/>
          <w:b/>
          <w:bCs/>
          <w:color w:val="auto"/>
          <w:sz w:val="28"/>
          <w:szCs w:val="28"/>
          <w:bdr w:val="single" w:color="auto" w:sz="4" w:space="0"/>
        </w:rPr>
        <w:t xml:space="preserve"> </w:t>
      </w:r>
      <w:r>
        <w:rPr>
          <w:rFonts w:hint="eastAsia" w:ascii="仿宋" w:hAnsi="仿宋" w:eastAsia="仿宋" w:cs="仿宋"/>
          <w:b/>
          <w:bCs/>
          <w:color w:val="auto"/>
          <w:sz w:val="28"/>
          <w:szCs w:val="28"/>
          <w:bdr w:val="single" w:color="auto" w:sz="4" w:space="0"/>
          <w:lang w:eastAsia="zh-CN"/>
        </w:rPr>
        <w:t>标项：</w:t>
      </w:r>
    </w:p>
    <w:p w14:paraId="4EA47BE0">
      <w:pPr>
        <w:adjustRightInd w:val="0"/>
        <w:snapToGrid w:val="0"/>
        <w:spacing w:line="360" w:lineRule="auto"/>
        <w:jc w:val="center"/>
        <w:rPr>
          <w:rFonts w:ascii="仿宋" w:hAnsi="仿宋" w:eastAsia="仿宋" w:cs="仿宋"/>
          <w:b/>
          <w:caps/>
          <w:color w:val="auto"/>
        </w:rPr>
      </w:pPr>
    </w:p>
    <w:p w14:paraId="783EF2F4">
      <w:pPr>
        <w:adjustRightInd w:val="0"/>
        <w:snapToGrid w:val="0"/>
        <w:spacing w:line="360" w:lineRule="auto"/>
        <w:jc w:val="center"/>
        <w:rPr>
          <w:rFonts w:ascii="仿宋" w:hAnsi="仿宋" w:eastAsia="仿宋" w:cs="仿宋"/>
          <w:bCs/>
          <w:color w:val="auto"/>
          <w:sz w:val="32"/>
          <w:szCs w:val="32"/>
        </w:rPr>
      </w:pPr>
      <w:r>
        <w:rPr>
          <w:rFonts w:hint="eastAsia" w:ascii="仿宋" w:hAnsi="仿宋" w:eastAsia="仿宋" w:cs="仿宋"/>
          <w:b/>
          <w:caps/>
          <w:color w:val="auto"/>
          <w:sz w:val="32"/>
          <w:szCs w:val="32"/>
        </w:rPr>
        <w:t>（项目名称）</w:t>
      </w:r>
    </w:p>
    <w:p w14:paraId="3554A32D">
      <w:pPr>
        <w:adjustRightInd w:val="0"/>
        <w:snapToGrid w:val="0"/>
        <w:spacing w:line="360" w:lineRule="auto"/>
        <w:jc w:val="both"/>
        <w:rPr>
          <w:rFonts w:ascii="仿宋" w:hAnsi="仿宋" w:eastAsia="仿宋" w:cs="仿宋"/>
          <w:bCs/>
          <w:color w:val="auto"/>
          <w:sz w:val="32"/>
          <w:szCs w:val="32"/>
        </w:rPr>
      </w:pPr>
    </w:p>
    <w:p w14:paraId="4DEF1A75">
      <w:pPr>
        <w:adjustRightInd w:val="0"/>
        <w:snapToGrid w:val="0"/>
        <w:spacing w:line="360" w:lineRule="auto"/>
        <w:jc w:val="center"/>
        <w:rPr>
          <w:rFonts w:ascii="仿宋" w:hAnsi="仿宋" w:eastAsia="仿宋" w:cs="仿宋"/>
          <w:bCs/>
          <w:color w:val="auto"/>
          <w:sz w:val="32"/>
          <w:szCs w:val="32"/>
        </w:rPr>
      </w:pPr>
    </w:p>
    <w:p w14:paraId="4CD33C17">
      <w:pPr>
        <w:adjustRightInd w:val="0"/>
        <w:snapToGrid w:val="0"/>
        <w:spacing w:line="360" w:lineRule="auto"/>
        <w:jc w:val="center"/>
        <w:rPr>
          <w:rFonts w:ascii="仿宋" w:hAnsi="仿宋" w:eastAsia="仿宋" w:cs="仿宋"/>
          <w:bCs/>
          <w:color w:val="auto"/>
          <w:sz w:val="32"/>
          <w:szCs w:val="32"/>
        </w:rPr>
      </w:pPr>
      <w:r>
        <w:rPr>
          <w:rFonts w:hint="eastAsia" w:ascii="仿宋" w:hAnsi="仿宋" w:eastAsia="仿宋" w:cs="仿宋"/>
          <w:b/>
          <w:bCs/>
          <w:color w:val="auto"/>
          <w:sz w:val="44"/>
          <w:szCs w:val="44"/>
        </w:rPr>
        <w:t>响应文件</w:t>
      </w:r>
    </w:p>
    <w:p w14:paraId="64A4CC48">
      <w:pPr>
        <w:adjustRightInd w:val="0"/>
        <w:snapToGrid w:val="0"/>
        <w:spacing w:line="360" w:lineRule="auto"/>
        <w:jc w:val="center"/>
        <w:rPr>
          <w:rFonts w:ascii="仿宋" w:hAnsi="仿宋" w:eastAsia="仿宋" w:cs="仿宋"/>
          <w:bCs/>
          <w:color w:val="auto"/>
          <w:sz w:val="32"/>
          <w:szCs w:val="32"/>
        </w:rPr>
      </w:pPr>
    </w:p>
    <w:p w14:paraId="2E827AB0">
      <w:pPr>
        <w:adjustRightInd w:val="0"/>
        <w:snapToGrid w:val="0"/>
        <w:spacing w:line="360" w:lineRule="auto"/>
        <w:jc w:val="both"/>
        <w:rPr>
          <w:rFonts w:ascii="仿宋" w:hAnsi="仿宋" w:eastAsia="仿宋" w:cs="仿宋"/>
          <w:bCs/>
          <w:color w:val="auto"/>
          <w:sz w:val="32"/>
          <w:szCs w:val="32"/>
        </w:rPr>
      </w:pPr>
    </w:p>
    <w:p w14:paraId="2F5583E8">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0"/>
          <w:kern w:val="0"/>
          <w:sz w:val="28"/>
          <w:szCs w:val="28"/>
          <w:fitText w:val="2810" w:id="202655923"/>
        </w:rPr>
        <w:t>供应商名称（公章）：</w:t>
      </w:r>
    </w:p>
    <w:p w14:paraId="772DC12C">
      <w:pPr>
        <w:adjustRightInd w:val="0"/>
        <w:snapToGrid w:val="0"/>
        <w:spacing w:line="360" w:lineRule="auto"/>
        <w:ind w:right="-156" w:rightChars="-64"/>
        <w:rPr>
          <w:rFonts w:ascii="仿宋" w:hAnsi="仿宋" w:eastAsia="仿宋" w:cs="仿宋"/>
          <w:b/>
          <w:caps/>
          <w:color w:val="auto"/>
          <w:sz w:val="28"/>
          <w:szCs w:val="28"/>
        </w:rPr>
      </w:pPr>
    </w:p>
    <w:p w14:paraId="59F3DBEE">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0"/>
          <w:w w:val="77"/>
          <w:kern w:val="0"/>
          <w:sz w:val="28"/>
          <w:szCs w:val="28"/>
          <w:fitText w:val="2810" w:id="1"/>
        </w:rPr>
        <w:t>法定代表人（</w:t>
      </w:r>
      <w:r>
        <w:rPr>
          <w:rFonts w:hint="eastAsia" w:ascii="仿宋" w:hAnsi="仿宋" w:eastAsia="仿宋" w:cs="仿宋"/>
          <w:b/>
          <w:caps/>
          <w:color w:val="auto"/>
          <w:spacing w:val="0"/>
          <w:w w:val="77"/>
          <w:kern w:val="0"/>
          <w:sz w:val="28"/>
          <w:szCs w:val="28"/>
          <w:fitText w:val="2810" w:id="1"/>
          <w:lang w:eastAsia="zh-CN"/>
        </w:rPr>
        <w:t>签章</w:t>
      </w:r>
      <w:r>
        <w:rPr>
          <w:rFonts w:hint="eastAsia" w:ascii="仿宋" w:hAnsi="仿宋" w:eastAsia="仿宋" w:cs="仿宋"/>
          <w:b/>
          <w:caps/>
          <w:color w:val="auto"/>
          <w:spacing w:val="0"/>
          <w:w w:val="77"/>
          <w:kern w:val="0"/>
          <w:sz w:val="28"/>
          <w:szCs w:val="28"/>
          <w:fitText w:val="2810" w:id="1"/>
        </w:rPr>
        <w:t>或盖章）</w:t>
      </w:r>
      <w:r>
        <w:rPr>
          <w:rFonts w:hint="eastAsia" w:ascii="仿宋" w:hAnsi="仿宋" w:eastAsia="仿宋" w:cs="仿宋"/>
          <w:b/>
          <w:caps/>
          <w:color w:val="auto"/>
          <w:spacing w:val="-1"/>
          <w:w w:val="77"/>
          <w:kern w:val="0"/>
          <w:sz w:val="28"/>
          <w:szCs w:val="28"/>
          <w:fitText w:val="2810" w:id="1"/>
        </w:rPr>
        <w:t>：</w:t>
      </w:r>
    </w:p>
    <w:p w14:paraId="3558E587">
      <w:pPr>
        <w:adjustRightInd w:val="0"/>
        <w:snapToGrid w:val="0"/>
        <w:spacing w:line="360" w:lineRule="auto"/>
        <w:ind w:right="-156" w:rightChars="-64"/>
        <w:rPr>
          <w:rFonts w:ascii="仿宋" w:hAnsi="仿宋" w:eastAsia="仿宋" w:cs="仿宋"/>
          <w:b/>
          <w:caps/>
          <w:color w:val="auto"/>
          <w:sz w:val="28"/>
          <w:szCs w:val="28"/>
        </w:rPr>
      </w:pPr>
    </w:p>
    <w:p w14:paraId="39581D0A">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113"/>
          <w:kern w:val="0"/>
          <w:sz w:val="28"/>
          <w:szCs w:val="28"/>
          <w:fitText w:val="2810" w:id="2"/>
        </w:rPr>
        <w:t>供应商地址</w:t>
      </w:r>
      <w:r>
        <w:rPr>
          <w:rFonts w:hint="eastAsia" w:ascii="仿宋" w:hAnsi="仿宋" w:eastAsia="仿宋" w:cs="仿宋"/>
          <w:b/>
          <w:caps/>
          <w:color w:val="auto"/>
          <w:spacing w:val="0"/>
          <w:kern w:val="0"/>
          <w:sz w:val="28"/>
          <w:szCs w:val="28"/>
          <w:fitText w:val="2810" w:id="2"/>
        </w:rPr>
        <w:t>：</w:t>
      </w:r>
    </w:p>
    <w:p w14:paraId="754F6C13">
      <w:pPr>
        <w:adjustRightInd w:val="0"/>
        <w:snapToGrid w:val="0"/>
        <w:spacing w:line="360" w:lineRule="auto"/>
        <w:ind w:right="-156" w:rightChars="-64"/>
        <w:rPr>
          <w:rFonts w:ascii="仿宋" w:hAnsi="仿宋" w:eastAsia="仿宋" w:cs="仿宋"/>
          <w:b/>
          <w:caps/>
          <w:color w:val="auto"/>
          <w:sz w:val="28"/>
          <w:szCs w:val="28"/>
        </w:rPr>
      </w:pPr>
    </w:p>
    <w:p w14:paraId="62103F84">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281"/>
          <w:kern w:val="0"/>
          <w:sz w:val="28"/>
          <w:szCs w:val="28"/>
          <w:fitText w:val="2810" w:id="3"/>
        </w:rPr>
        <w:t>联系人</w:t>
      </w:r>
      <w:r>
        <w:rPr>
          <w:rFonts w:hint="eastAsia" w:ascii="仿宋" w:hAnsi="仿宋" w:eastAsia="仿宋" w:cs="仿宋"/>
          <w:b/>
          <w:caps/>
          <w:color w:val="auto"/>
          <w:spacing w:val="2"/>
          <w:kern w:val="0"/>
          <w:sz w:val="28"/>
          <w:szCs w:val="28"/>
          <w:fitText w:val="2810" w:id="3"/>
        </w:rPr>
        <w:t>：</w:t>
      </w:r>
    </w:p>
    <w:p w14:paraId="41129FE9">
      <w:pPr>
        <w:adjustRightInd w:val="0"/>
        <w:snapToGrid w:val="0"/>
        <w:spacing w:line="360" w:lineRule="auto"/>
        <w:ind w:right="-156" w:rightChars="-64"/>
        <w:rPr>
          <w:rFonts w:ascii="仿宋" w:hAnsi="仿宋" w:eastAsia="仿宋" w:cs="仿宋"/>
          <w:b/>
          <w:caps/>
          <w:color w:val="auto"/>
          <w:sz w:val="28"/>
          <w:szCs w:val="28"/>
        </w:rPr>
      </w:pPr>
    </w:p>
    <w:p w14:paraId="2F386533">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176"/>
          <w:kern w:val="0"/>
          <w:sz w:val="28"/>
          <w:szCs w:val="28"/>
          <w:fitText w:val="2810" w:id="4"/>
        </w:rPr>
        <w:t>联系电话</w:t>
      </w:r>
      <w:r>
        <w:rPr>
          <w:rFonts w:hint="eastAsia" w:ascii="仿宋" w:hAnsi="仿宋" w:eastAsia="仿宋" w:cs="仿宋"/>
          <w:b/>
          <w:caps/>
          <w:color w:val="auto"/>
          <w:spacing w:val="1"/>
          <w:kern w:val="0"/>
          <w:sz w:val="28"/>
          <w:szCs w:val="28"/>
          <w:fitText w:val="2810" w:id="4"/>
        </w:rPr>
        <w:t>：</w:t>
      </w:r>
    </w:p>
    <w:p w14:paraId="7DC49C35">
      <w:pPr>
        <w:adjustRightInd w:val="0"/>
        <w:snapToGrid w:val="0"/>
        <w:spacing w:line="360" w:lineRule="auto"/>
        <w:jc w:val="center"/>
        <w:rPr>
          <w:rFonts w:ascii="仿宋" w:hAnsi="仿宋" w:eastAsia="仿宋" w:cs="仿宋"/>
          <w:b/>
          <w:caps/>
          <w:color w:val="auto"/>
          <w:sz w:val="28"/>
          <w:szCs w:val="28"/>
        </w:rPr>
      </w:pPr>
    </w:p>
    <w:p w14:paraId="19549B42">
      <w:pPr>
        <w:adjustRightInd w:val="0"/>
        <w:snapToGrid w:val="0"/>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rPr>
        <w:t>年</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rPr>
        <w:t>月</w:t>
      </w:r>
      <w:r>
        <w:rPr>
          <w:rFonts w:hint="eastAsia" w:ascii="仿宋" w:hAnsi="仿宋" w:eastAsia="仿宋" w:cs="仿宋"/>
          <w:b/>
          <w:color w:val="auto"/>
          <w:sz w:val="28"/>
          <w:szCs w:val="28"/>
          <w:u w:val="single"/>
          <w:lang w:val="en-US" w:eastAsia="zh-CN"/>
        </w:rPr>
        <w:t xml:space="preserve">     </w:t>
      </w:r>
      <w:r>
        <w:rPr>
          <w:rFonts w:hint="eastAsia" w:ascii="仿宋" w:hAnsi="仿宋" w:eastAsia="仿宋" w:cs="仿宋"/>
          <w:b/>
          <w:color w:val="auto"/>
          <w:sz w:val="28"/>
          <w:szCs w:val="28"/>
        </w:rPr>
        <w:t>日</w:t>
      </w:r>
    </w:p>
    <w:p w14:paraId="772EC775">
      <w:pPr>
        <w:pStyle w:val="33"/>
        <w:keepNext w:val="0"/>
        <w:keepLines w:val="0"/>
        <w:pageBreakBefore w:val="0"/>
        <w:widowControl w:val="0"/>
        <w:wordWrap/>
        <w:topLinePunct w:val="0"/>
        <w:autoSpaceDE/>
        <w:autoSpaceDN/>
        <w:bidi w:val="0"/>
        <w:adjustRightInd/>
        <w:spacing w:after="340" w:line="480" w:lineRule="auto"/>
        <w:ind w:firstLine="0"/>
        <w:jc w:val="center"/>
        <w:textAlignment w:val="auto"/>
        <w:rPr>
          <w:rFonts w:hint="eastAsia" w:ascii="仿宋" w:hAnsi="仿宋" w:eastAsia="仿宋" w:cs="仿宋"/>
          <w:b/>
          <w:color w:val="auto"/>
          <w:sz w:val="28"/>
          <w:szCs w:val="28"/>
        </w:rPr>
      </w:pPr>
    </w:p>
    <w:p w14:paraId="20703CE2">
      <w:pPr>
        <w:pStyle w:val="33"/>
        <w:keepNext w:val="0"/>
        <w:keepLines w:val="0"/>
        <w:pageBreakBefore w:val="0"/>
        <w:widowControl w:val="0"/>
        <w:wordWrap/>
        <w:topLinePunct w:val="0"/>
        <w:autoSpaceDE/>
        <w:autoSpaceDN/>
        <w:bidi w:val="0"/>
        <w:adjustRightInd/>
        <w:spacing w:after="340" w:line="480" w:lineRule="auto"/>
        <w:ind w:firstLine="0"/>
        <w:jc w:val="center"/>
        <w:textAlignment w:val="auto"/>
        <w:rPr>
          <w:rFonts w:hint="eastAsia" w:ascii="仿宋" w:hAnsi="仿宋" w:eastAsia="仿宋" w:cs="仿宋"/>
          <w:b/>
          <w:color w:val="auto"/>
          <w:sz w:val="28"/>
          <w:szCs w:val="28"/>
        </w:rPr>
      </w:pPr>
    </w:p>
    <w:p w14:paraId="271D3882">
      <w:pPr>
        <w:pStyle w:val="33"/>
        <w:keepNext w:val="0"/>
        <w:keepLines w:val="0"/>
        <w:pageBreakBefore w:val="0"/>
        <w:widowControl w:val="0"/>
        <w:wordWrap/>
        <w:topLinePunct w:val="0"/>
        <w:autoSpaceDE/>
        <w:autoSpaceDN/>
        <w:bidi w:val="0"/>
        <w:adjustRightInd/>
        <w:spacing w:after="340" w:line="480" w:lineRule="auto"/>
        <w:ind w:firstLine="0"/>
        <w:jc w:val="center"/>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资格证明文件</w:t>
      </w:r>
    </w:p>
    <w:bookmarkEnd w:id="81"/>
    <w:p w14:paraId="48884D44">
      <w:pPr>
        <w:keepNext w:val="0"/>
        <w:keepLines w:val="0"/>
        <w:pageBreakBefore w:val="0"/>
        <w:widowControl w:val="0"/>
        <w:numPr>
          <w:ilvl w:val="0"/>
          <w:numId w:val="8"/>
        </w:numPr>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具备三证合一营业执照；</w:t>
      </w:r>
    </w:p>
    <w:p w14:paraId="23D0B75A">
      <w:pPr>
        <w:keepNext w:val="0"/>
        <w:keepLines w:val="0"/>
        <w:pageBreakBefore w:val="0"/>
        <w:widowControl w:val="0"/>
        <w:numPr>
          <w:ilvl w:val="0"/>
          <w:numId w:val="0"/>
        </w:numPr>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2、法定代表人资格证明书；</w:t>
      </w:r>
    </w:p>
    <w:p w14:paraId="1E09DD25">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3、法定代表人授权委托书；</w:t>
      </w:r>
    </w:p>
    <w:p w14:paraId="03320E9E">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4、</w:t>
      </w:r>
      <w:r>
        <w:rPr>
          <w:rFonts w:hint="eastAsia" w:ascii="仿宋" w:hAnsi="仿宋" w:eastAsia="仿宋" w:cs="仿宋"/>
          <w:b/>
          <w:color w:val="auto"/>
          <w:lang w:val="en-US" w:eastAsia="zh-CN"/>
        </w:rPr>
        <w:t>投标保证金缴纳凭证或投标担保函</w:t>
      </w:r>
      <w:r>
        <w:rPr>
          <w:rFonts w:hint="eastAsia" w:ascii="仿宋" w:hAnsi="仿宋" w:eastAsia="仿宋" w:cs="仿宋"/>
          <w:b/>
          <w:color w:val="auto"/>
          <w:lang w:eastAsia="zh-CN"/>
        </w:rPr>
        <w:t>；</w:t>
      </w:r>
    </w:p>
    <w:p w14:paraId="1B9BF942">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5、投标企业须提供投标人（被授权在职人员）近6个月内任意一个月有效的社保证明；</w:t>
      </w:r>
    </w:p>
    <w:p w14:paraId="35FFA7CA">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val="en-US" w:eastAsia="zh-CN"/>
        </w:rPr>
        <w:t>6</w:t>
      </w:r>
      <w:r>
        <w:rPr>
          <w:rFonts w:hint="eastAsia" w:ascii="仿宋" w:hAnsi="仿宋" w:eastAsia="仿宋" w:cs="仿宋"/>
          <w:b/>
          <w:color w:val="auto"/>
          <w:lang w:eastAsia="zh-CN"/>
        </w:rPr>
        <w:t>、</w:t>
      </w:r>
      <w:r>
        <w:rPr>
          <w:rFonts w:hint="eastAsia" w:ascii="仿宋" w:hAnsi="仿宋" w:eastAsia="仿宋" w:cs="仿宋"/>
          <w:b/>
          <w:color w:val="auto"/>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17E8CD55">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7、</w:t>
      </w:r>
      <w:r>
        <w:rPr>
          <w:rFonts w:hint="eastAsia" w:ascii="仿宋" w:hAnsi="仿宋" w:eastAsia="仿宋" w:cs="仿宋"/>
          <w:b/>
          <w:color w:val="auto"/>
          <w:lang w:eastAsia="zh-CN"/>
        </w:rPr>
        <w:t xml:space="preserve">投标人须知资料表要求的其他资格证明文件; </w:t>
      </w:r>
    </w:p>
    <w:p w14:paraId="1F50ACEA">
      <w:pPr>
        <w:pStyle w:val="7"/>
        <w:keepNext w:val="0"/>
        <w:keepLines w:val="0"/>
        <w:pageBreakBefore w:val="0"/>
        <w:widowControl w:val="0"/>
        <w:numPr>
          <w:ilvl w:val="0"/>
          <w:numId w:val="0"/>
        </w:numPr>
        <w:tabs>
          <w:tab w:val="clear" w:pos="780"/>
        </w:tabs>
        <w:kinsoku w:val="0"/>
        <w:wordWrap/>
        <w:overflowPunct w:val="0"/>
        <w:topLinePunct w:val="0"/>
        <w:autoSpaceDE/>
        <w:autoSpaceDN/>
        <w:bidi w:val="0"/>
        <w:adjustRightInd/>
        <w:spacing w:before="130" w:line="480" w:lineRule="auto"/>
        <w:ind w:left="480" w:right="7"/>
        <w:jc w:val="both"/>
        <w:textAlignment w:val="auto"/>
        <w:rPr>
          <w:rFonts w:hint="eastAsia" w:ascii="仿宋" w:hAnsi="仿宋" w:eastAsia="仿宋" w:cs="仿宋"/>
          <w:b/>
          <w:bCs/>
          <w:color w:val="auto"/>
          <w:sz w:val="36"/>
          <w:szCs w:val="36"/>
        </w:rPr>
      </w:pPr>
    </w:p>
    <w:p w14:paraId="6F898B8A">
      <w:pPr>
        <w:pStyle w:val="20"/>
        <w:numPr>
          <w:ilvl w:val="0"/>
          <w:numId w:val="0"/>
        </w:numPr>
        <w:tabs>
          <w:tab w:val="clear" w:pos="780"/>
        </w:tabs>
        <w:ind w:leftChars="100"/>
        <w:rPr>
          <w:rFonts w:hint="eastAsia"/>
          <w:color w:val="auto"/>
        </w:rPr>
      </w:pPr>
    </w:p>
    <w:p w14:paraId="4C8EE427">
      <w:pPr>
        <w:rPr>
          <w:rFonts w:hint="eastAsia"/>
          <w:color w:val="auto"/>
        </w:rPr>
      </w:pPr>
    </w:p>
    <w:p w14:paraId="4B3258AE">
      <w:pPr>
        <w:pStyle w:val="15"/>
        <w:rPr>
          <w:rFonts w:hint="eastAsia"/>
          <w:color w:val="auto"/>
        </w:rPr>
      </w:pPr>
    </w:p>
    <w:p w14:paraId="6041DA1B">
      <w:pPr>
        <w:rPr>
          <w:rFonts w:hint="eastAsia" w:ascii="仿宋" w:hAnsi="仿宋" w:eastAsia="仿宋" w:cs="仿宋"/>
          <w:b/>
          <w:bCs/>
          <w:color w:val="auto"/>
          <w:sz w:val="36"/>
          <w:szCs w:val="36"/>
        </w:rPr>
      </w:pPr>
    </w:p>
    <w:p w14:paraId="70CEA4DC">
      <w:pPr>
        <w:pStyle w:val="15"/>
        <w:rPr>
          <w:rFonts w:hint="eastAsia"/>
          <w:color w:val="auto"/>
        </w:rPr>
      </w:pPr>
    </w:p>
    <w:p w14:paraId="3DFC9940">
      <w:pPr>
        <w:pStyle w:val="7"/>
        <w:numPr>
          <w:ilvl w:val="0"/>
          <w:numId w:val="0"/>
        </w:numPr>
        <w:tabs>
          <w:tab w:val="clear" w:pos="780"/>
        </w:tabs>
        <w:kinsoku w:val="0"/>
        <w:overflowPunct w:val="0"/>
        <w:spacing w:before="130" w:line="355" w:lineRule="auto"/>
        <w:ind w:left="480" w:right="7"/>
        <w:jc w:val="center"/>
        <w:rPr>
          <w:rFonts w:hint="eastAsia" w:ascii="仿宋" w:hAnsi="仿宋" w:eastAsia="仿宋" w:cs="仿宋"/>
          <w:b/>
          <w:bCs/>
          <w:color w:val="auto"/>
          <w:sz w:val="36"/>
          <w:szCs w:val="36"/>
        </w:rPr>
      </w:pPr>
    </w:p>
    <w:p w14:paraId="61825EFC">
      <w:pPr>
        <w:pStyle w:val="7"/>
        <w:numPr>
          <w:ilvl w:val="0"/>
          <w:numId w:val="0"/>
        </w:numPr>
        <w:tabs>
          <w:tab w:val="clear" w:pos="780"/>
        </w:tabs>
        <w:kinsoku w:val="0"/>
        <w:overflowPunct w:val="0"/>
        <w:spacing w:before="130" w:line="355" w:lineRule="auto"/>
        <w:ind w:left="480" w:right="7"/>
        <w:jc w:val="center"/>
        <w:rPr>
          <w:rFonts w:hint="eastAsia" w:ascii="仿宋" w:hAnsi="仿宋" w:eastAsia="仿宋" w:cs="仿宋"/>
          <w:b/>
          <w:bCs/>
          <w:color w:val="auto"/>
          <w:sz w:val="36"/>
          <w:szCs w:val="36"/>
        </w:rPr>
      </w:pPr>
    </w:p>
    <w:p w14:paraId="72DCCD15">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p>
    <w:p w14:paraId="74FE0769">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p>
    <w:p w14:paraId="5020ADAC">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auto"/>
          <w:sz w:val="36"/>
          <w:szCs w:val="36"/>
          <w:lang w:val="en-US" w:eastAsia="zh-CN"/>
        </w:rPr>
      </w:pPr>
    </w:p>
    <w:p w14:paraId="54C15FF8">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p>
    <w:p w14:paraId="1C327C0B">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p>
    <w:p w14:paraId="0CE1D468">
      <w:pPr>
        <w:pStyle w:val="7"/>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1、具备三证合一营业执照</w:t>
      </w:r>
    </w:p>
    <w:p w14:paraId="74D5AF20">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jc w:val="center"/>
        <w:rPr>
          <w:rFonts w:hint="eastAsia" w:ascii="仿宋" w:hAnsi="仿宋" w:eastAsia="仿宋" w:cs="仿宋"/>
          <w:b/>
          <w:color w:val="auto"/>
          <w:sz w:val="24"/>
          <w:highlight w:val="none"/>
        </w:rPr>
      </w:pPr>
    </w:p>
    <w:p w14:paraId="407678F7">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14:paraId="265BD4B4">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14:paraId="5B83D6CB">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说明：提供有效的营业执照等证明文件复印件，复印件上应加盖本单位章。</w:t>
      </w:r>
    </w:p>
    <w:p w14:paraId="10427E60">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F109775">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6212AEC9">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6890908">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FBC5C11">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9A6B9F6">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36860E7C">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9DE84AA">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63F3806C">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40EB31F2">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9C6D932">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67FA1D6">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5EA07B32">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309A57D3">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759FDEF3">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594391F2">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E072E25">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0836E898">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7588FA8C">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8D8AB78">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2F292C1">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776ACC1">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44CC3BC">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auto"/>
          <w:sz w:val="36"/>
          <w:szCs w:val="36"/>
          <w:lang w:val="en-US" w:eastAsia="zh-CN"/>
        </w:rPr>
      </w:pPr>
    </w:p>
    <w:p w14:paraId="13C1DB7E">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0E20173">
      <w:pPr>
        <w:pStyle w:val="7"/>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2、</w:t>
      </w:r>
      <w:r>
        <w:rPr>
          <w:rFonts w:hint="eastAsia" w:ascii="仿宋" w:hAnsi="仿宋" w:eastAsia="仿宋" w:cs="仿宋"/>
          <w:b/>
          <w:bCs/>
          <w:color w:val="auto"/>
          <w:sz w:val="36"/>
          <w:szCs w:val="36"/>
        </w:rPr>
        <w:t>法定代表人身份证明</w:t>
      </w:r>
    </w:p>
    <w:p w14:paraId="16F80E01">
      <w:pPr>
        <w:pStyle w:val="4"/>
        <w:rPr>
          <w:rFonts w:hint="eastAsia"/>
          <w:color w:val="auto"/>
        </w:rPr>
      </w:pPr>
    </w:p>
    <w:p w14:paraId="45EED6D6">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投标单位名称：</w:t>
      </w:r>
      <w:r>
        <w:rPr>
          <w:rFonts w:hint="eastAsia" w:ascii="仿宋" w:hAnsi="仿宋" w:eastAsia="仿宋" w:cs="仿宋"/>
          <w:color w:val="auto"/>
          <w:kern w:val="0"/>
          <w:sz w:val="24"/>
          <w:u w:val="single"/>
        </w:rPr>
        <w:t xml:space="preserve">                       </w:t>
      </w:r>
    </w:p>
    <w:p w14:paraId="516C81C1">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单位性质：</w:t>
      </w:r>
      <w:r>
        <w:rPr>
          <w:rFonts w:hint="eastAsia" w:ascii="仿宋" w:hAnsi="仿宋" w:eastAsia="仿宋" w:cs="仿宋"/>
          <w:color w:val="auto"/>
          <w:kern w:val="0"/>
          <w:sz w:val="24"/>
          <w:u w:val="single"/>
        </w:rPr>
        <w:t xml:space="preserve">                           </w:t>
      </w:r>
    </w:p>
    <w:p w14:paraId="49EDB9FF">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地址：</w:t>
      </w:r>
      <w:r>
        <w:rPr>
          <w:rFonts w:hint="eastAsia" w:ascii="仿宋" w:hAnsi="仿宋" w:eastAsia="仿宋" w:cs="仿宋"/>
          <w:color w:val="auto"/>
          <w:kern w:val="0"/>
          <w:sz w:val="24"/>
          <w:u w:val="single"/>
        </w:rPr>
        <w:t xml:space="preserve">                               </w:t>
      </w:r>
    </w:p>
    <w:p w14:paraId="54B26868">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成立时间：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14:paraId="0DDFBBFD">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经营期限：</w:t>
      </w:r>
      <w:r>
        <w:rPr>
          <w:rFonts w:hint="eastAsia" w:ascii="仿宋" w:hAnsi="仿宋" w:eastAsia="仿宋" w:cs="仿宋"/>
          <w:color w:val="auto"/>
          <w:kern w:val="0"/>
          <w:sz w:val="24"/>
          <w:u w:val="single"/>
        </w:rPr>
        <w:t xml:space="preserve">             </w:t>
      </w:r>
    </w:p>
    <w:p w14:paraId="17960422">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性别：</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年龄：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职务：</w:t>
      </w:r>
      <w:r>
        <w:rPr>
          <w:rFonts w:hint="eastAsia" w:ascii="仿宋" w:hAnsi="仿宋" w:eastAsia="仿宋" w:cs="仿宋"/>
          <w:color w:val="auto"/>
          <w:kern w:val="0"/>
          <w:sz w:val="24"/>
          <w:u w:val="single"/>
        </w:rPr>
        <w:t xml:space="preserve">           </w:t>
      </w:r>
    </w:p>
    <w:p w14:paraId="01436468">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身份证号码：</w:t>
      </w:r>
      <w:r>
        <w:rPr>
          <w:rFonts w:hint="eastAsia" w:ascii="仿宋" w:hAnsi="仿宋" w:eastAsia="仿宋" w:cs="仿宋"/>
          <w:color w:val="auto"/>
          <w:kern w:val="0"/>
          <w:sz w:val="24"/>
          <w:u w:val="single"/>
        </w:rPr>
        <w:t xml:space="preserve">                                  </w:t>
      </w:r>
    </w:p>
    <w:p w14:paraId="53FE7A55">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系</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（投标单位名称）的法定代表人。</w:t>
      </w:r>
    </w:p>
    <w:p w14:paraId="69645B57">
      <w:pPr>
        <w:spacing w:line="420" w:lineRule="exact"/>
        <w:ind w:firstLine="980" w:firstLineChars="400"/>
        <w:rPr>
          <w:rFonts w:hint="eastAsia" w:ascii="仿宋" w:hAnsi="仿宋" w:eastAsia="仿宋" w:cs="仿宋"/>
          <w:color w:val="auto"/>
          <w:kern w:val="0"/>
          <w:sz w:val="24"/>
        </w:rPr>
      </w:pPr>
      <w:r>
        <w:rPr>
          <w:rFonts w:hint="eastAsia" w:ascii="仿宋" w:hAnsi="仿宋" w:eastAsia="仿宋" w:cs="仿宋"/>
          <w:color w:val="auto"/>
          <w:kern w:val="0"/>
          <w:sz w:val="24"/>
        </w:rPr>
        <w:t>特此证明。</w:t>
      </w:r>
    </w:p>
    <w:p w14:paraId="1A5443BE">
      <w:pPr>
        <w:pStyle w:val="7"/>
        <w:numPr>
          <w:ilvl w:val="0"/>
          <w:numId w:val="0"/>
        </w:numPr>
        <w:kinsoku w:val="0"/>
        <w:overflowPunct w:val="0"/>
        <w:ind w:leftChars="0" w:right="0" w:rightChars="0"/>
        <w:rPr>
          <w:rFonts w:hint="eastAsia" w:ascii="仿宋" w:hAnsi="仿宋" w:eastAsia="仿宋" w:cs="仿宋"/>
          <w:color w:val="auto"/>
          <w:sz w:val="20"/>
          <w:szCs w:val="20"/>
        </w:rPr>
      </w:pPr>
    </w:p>
    <w:p w14:paraId="3F481026">
      <w:pPr>
        <w:pStyle w:val="7"/>
        <w:numPr>
          <w:ilvl w:val="0"/>
          <w:numId w:val="0"/>
        </w:numPr>
        <w:kinsoku w:val="0"/>
        <w:overflowPunct w:val="0"/>
        <w:spacing w:before="7"/>
        <w:ind w:leftChars="0" w:right="0" w:rightChars="0"/>
        <w:rPr>
          <w:rFonts w:hint="eastAsia" w:ascii="仿宋" w:hAnsi="仿宋" w:eastAsia="仿宋" w:cs="仿宋"/>
          <w:color w:val="auto"/>
          <w:sz w:val="25"/>
          <w:szCs w:val="25"/>
        </w:rPr>
      </w:pPr>
    </w:p>
    <w:p w14:paraId="52340458">
      <w:pPr>
        <w:pStyle w:val="7"/>
        <w:numPr>
          <w:ilvl w:val="0"/>
          <w:numId w:val="0"/>
        </w:numPr>
        <w:kinsoku w:val="0"/>
        <w:overflowPunct w:val="0"/>
        <w:spacing w:line="200" w:lineRule="atLeast"/>
        <w:ind w:right="0" w:rightChars="0"/>
        <w:rPr>
          <w:rFonts w:hint="eastAsia" w:ascii="仿宋" w:hAnsi="仿宋" w:eastAsia="仿宋" w:cs="仿宋"/>
          <w:color w:val="auto"/>
          <w:sz w:val="20"/>
          <w:szCs w:val="20"/>
        </w:rPr>
      </w:pPr>
      <w:r>
        <w:rPr>
          <w:rFonts w:hint="eastAsia" w:ascii="仿宋" w:hAnsi="仿宋" w:eastAsia="仿宋" w:cs="仿宋"/>
          <w:color w:val="auto"/>
          <w:sz w:val="20"/>
          <w:szCs w:val="20"/>
        </w:rPr>
        <mc:AlternateContent>
          <mc:Choice Requires="wpg">
            <w:drawing>
              <wp:inline distT="0" distB="0" distL="0" distR="0">
                <wp:extent cx="5166360" cy="1461770"/>
                <wp:effectExtent l="0" t="3175" r="15240" b="1905"/>
                <wp:docPr id="1027" name="组合 34"/>
                <wp:cNvGraphicFramePr/>
                <a:graphic xmlns:a="http://schemas.openxmlformats.org/drawingml/2006/main">
                  <a:graphicData uri="http://schemas.microsoft.com/office/word/2010/wordprocessingGroup">
                    <wpg:wgp>
                      <wpg:cNvGrpSpPr/>
                      <wpg:grpSpPr>
                        <a:xfrm rot="0">
                          <a:off x="0" y="0"/>
                          <a:ext cx="5166360" cy="1461770"/>
                          <a:chOff x="4" y="4"/>
                          <a:chExt cx="8136" cy="2302"/>
                        </a:xfrm>
                      </wpg:grpSpPr>
                      <wps:wsp>
                        <wps:cNvPr id="1" name="任意多边形 1"/>
                        <wps:cNvSpPr/>
                        <wps:spPr>
                          <a:xfrm>
                            <a:off x="4" y="9"/>
                            <a:ext cx="8079" cy="20"/>
                          </a:xfrm>
                          <a:custGeom>
                            <a:avLst/>
                            <a:gdLst/>
                            <a:ahLst/>
                            <a:cxnLst/>
                            <a:rect l="l" t="t" r="r" b="b"/>
                            <a:pathLst>
                              <a:path w="8079" h="20">
                                <a:moveTo>
                                  <a:pt x="0" y="0"/>
                                </a:moveTo>
                                <a:lnTo>
                                  <a:pt x="8078" y="0"/>
                                </a:lnTo>
                              </a:path>
                            </a:pathLst>
                          </a:custGeom>
                          <a:solidFill>
                            <a:srgbClr val="CCE8CF"/>
                          </a:solidFill>
                          <a:ln>
                            <a:noFill/>
                          </a:ln>
                        </wps:spPr>
                        <wps:bodyPr/>
                      </wps:wsp>
                      <wps:wsp>
                        <wps:cNvPr id="2" name="任意多边形 2"/>
                        <wps:cNvSpPr/>
                        <wps:spPr>
                          <a:xfrm>
                            <a:off x="24" y="28"/>
                            <a:ext cx="8041" cy="20"/>
                          </a:xfrm>
                          <a:custGeom>
                            <a:avLst/>
                            <a:gdLst/>
                            <a:ahLst/>
                            <a:cxnLst/>
                            <a:rect l="l" t="t" r="r" b="b"/>
                            <a:pathLst>
                              <a:path w="8041" h="20">
                                <a:moveTo>
                                  <a:pt x="0" y="0"/>
                                </a:moveTo>
                                <a:lnTo>
                                  <a:pt x="8040" y="0"/>
                                </a:lnTo>
                              </a:path>
                            </a:pathLst>
                          </a:custGeom>
                          <a:solidFill>
                            <a:srgbClr val="CCE8CF"/>
                          </a:solidFill>
                          <a:ln>
                            <a:noFill/>
                          </a:ln>
                        </wps:spPr>
                        <wps:bodyPr/>
                      </wps:wsp>
                      <wps:wsp>
                        <wps:cNvPr id="3" name="任意多边形 3"/>
                        <wps:cNvSpPr/>
                        <wps:spPr>
                          <a:xfrm>
                            <a:off x="24" y="2267"/>
                            <a:ext cx="8041" cy="20"/>
                          </a:xfrm>
                          <a:custGeom>
                            <a:avLst/>
                            <a:gdLst/>
                            <a:ahLst/>
                            <a:cxnLst/>
                            <a:rect l="l" t="t" r="r" b="b"/>
                            <a:pathLst>
                              <a:path w="8041" h="20">
                                <a:moveTo>
                                  <a:pt x="0" y="0"/>
                                </a:moveTo>
                                <a:lnTo>
                                  <a:pt x="8040" y="0"/>
                                </a:lnTo>
                              </a:path>
                            </a:pathLst>
                          </a:custGeom>
                          <a:solidFill>
                            <a:srgbClr val="CCE8CF"/>
                          </a:solidFill>
                          <a:ln>
                            <a:noFill/>
                          </a:ln>
                        </wps:spPr>
                        <wps:bodyPr/>
                      </wps:wsp>
                      <wps:wsp>
                        <wps:cNvPr id="4" name="任意多边形 4"/>
                        <wps:cNvSpPr/>
                        <wps:spPr>
                          <a:xfrm>
                            <a:off x="4" y="2286"/>
                            <a:ext cx="8079" cy="20"/>
                          </a:xfrm>
                          <a:custGeom>
                            <a:avLst/>
                            <a:gdLst/>
                            <a:ahLst/>
                            <a:cxnLst/>
                            <a:rect l="l" t="t" r="r" b="b"/>
                            <a:pathLst>
                              <a:path w="8079" h="20">
                                <a:moveTo>
                                  <a:pt x="0" y="0"/>
                                </a:moveTo>
                                <a:lnTo>
                                  <a:pt x="8078" y="0"/>
                                </a:lnTo>
                              </a:path>
                            </a:pathLst>
                          </a:custGeom>
                          <a:solidFill>
                            <a:srgbClr val="CCE8CF"/>
                          </a:solidFill>
                          <a:ln>
                            <a:noFill/>
                          </a:ln>
                        </wps:spPr>
                        <wps:bodyPr/>
                      </wps:wsp>
                      <wps:wsp>
                        <wps:cNvPr id="5" name="任意多边形 5"/>
                        <wps:cNvSpPr/>
                        <wps:spPr>
                          <a:xfrm>
                            <a:off x="9" y="4"/>
                            <a:ext cx="20" cy="2287"/>
                          </a:xfrm>
                          <a:custGeom>
                            <a:avLst/>
                            <a:gdLst/>
                            <a:ahLst/>
                            <a:cxnLst/>
                            <a:rect l="l" t="t" r="r" b="b"/>
                            <a:pathLst>
                              <a:path w="20" h="2287">
                                <a:moveTo>
                                  <a:pt x="0" y="0"/>
                                </a:moveTo>
                                <a:lnTo>
                                  <a:pt x="0" y="2286"/>
                                </a:lnTo>
                              </a:path>
                            </a:pathLst>
                          </a:custGeom>
                          <a:solidFill>
                            <a:srgbClr val="CCE8CF"/>
                          </a:solidFill>
                          <a:ln>
                            <a:noFill/>
                          </a:ln>
                        </wps:spPr>
                        <wps:bodyPr/>
                      </wps:wsp>
                      <wps:wsp>
                        <wps:cNvPr id="6" name="任意多边形 6"/>
                        <wps:cNvSpPr/>
                        <wps:spPr>
                          <a:xfrm>
                            <a:off x="28" y="24"/>
                            <a:ext cx="20" cy="2249"/>
                          </a:xfrm>
                          <a:custGeom>
                            <a:avLst/>
                            <a:gdLst/>
                            <a:ahLst/>
                            <a:cxnLst/>
                            <a:rect l="l" t="t" r="r" b="b"/>
                            <a:pathLst>
                              <a:path w="20" h="2249">
                                <a:moveTo>
                                  <a:pt x="0" y="0"/>
                                </a:moveTo>
                                <a:lnTo>
                                  <a:pt x="0" y="2248"/>
                                </a:lnTo>
                              </a:path>
                            </a:pathLst>
                          </a:custGeom>
                          <a:solidFill>
                            <a:srgbClr val="CCE8CF"/>
                          </a:solidFill>
                          <a:ln>
                            <a:noFill/>
                          </a:ln>
                        </wps:spPr>
                        <wps:bodyPr/>
                      </wps:wsp>
                      <wps:wsp>
                        <wps:cNvPr id="7" name="任意多边形 7"/>
                        <wps:cNvSpPr/>
                        <wps:spPr>
                          <a:xfrm>
                            <a:off x="4034" y="24"/>
                            <a:ext cx="20" cy="2239"/>
                          </a:xfrm>
                          <a:custGeom>
                            <a:avLst/>
                            <a:gdLst/>
                            <a:ahLst/>
                            <a:cxnLst/>
                            <a:rect l="l" t="t" r="r" b="b"/>
                            <a:pathLst>
                              <a:path w="20" h="2239">
                                <a:moveTo>
                                  <a:pt x="0" y="0"/>
                                </a:moveTo>
                                <a:lnTo>
                                  <a:pt x="0" y="2238"/>
                                </a:lnTo>
                              </a:path>
                            </a:pathLst>
                          </a:custGeom>
                          <a:solidFill>
                            <a:srgbClr val="CCE8CF"/>
                          </a:solidFill>
                          <a:ln>
                            <a:noFill/>
                          </a:ln>
                        </wps:spPr>
                        <wps:bodyPr/>
                      </wps:wsp>
                      <wps:wsp>
                        <wps:cNvPr id="8" name="任意多边形 8"/>
                        <wps:cNvSpPr/>
                        <wps:spPr>
                          <a:xfrm>
                            <a:off x="4053" y="24"/>
                            <a:ext cx="20" cy="2239"/>
                          </a:xfrm>
                          <a:custGeom>
                            <a:avLst/>
                            <a:gdLst/>
                            <a:ahLst/>
                            <a:cxnLst/>
                            <a:rect l="l" t="t" r="r" b="b"/>
                            <a:pathLst>
                              <a:path w="20" h="2239">
                                <a:moveTo>
                                  <a:pt x="0" y="0"/>
                                </a:moveTo>
                                <a:lnTo>
                                  <a:pt x="0" y="2238"/>
                                </a:lnTo>
                              </a:path>
                            </a:pathLst>
                          </a:custGeom>
                          <a:solidFill>
                            <a:srgbClr val="CCE8CF"/>
                          </a:solidFill>
                          <a:ln>
                            <a:noFill/>
                          </a:ln>
                        </wps:spPr>
                        <wps:bodyPr/>
                      </wps:wsp>
                      <wps:wsp>
                        <wps:cNvPr id="9" name="任意多边形 9"/>
                        <wps:cNvSpPr/>
                        <wps:spPr>
                          <a:xfrm>
                            <a:off x="8059" y="33"/>
                            <a:ext cx="20" cy="2239"/>
                          </a:xfrm>
                          <a:custGeom>
                            <a:avLst/>
                            <a:gdLst/>
                            <a:ahLst/>
                            <a:cxnLst/>
                            <a:rect l="l" t="t" r="r" b="b"/>
                            <a:pathLst>
                              <a:path w="20" h="2239">
                                <a:moveTo>
                                  <a:pt x="0" y="0"/>
                                </a:moveTo>
                                <a:lnTo>
                                  <a:pt x="0" y="2238"/>
                                </a:lnTo>
                              </a:path>
                            </a:pathLst>
                          </a:custGeom>
                          <a:solidFill>
                            <a:srgbClr val="CCE8CF"/>
                          </a:solidFill>
                          <a:ln>
                            <a:noFill/>
                          </a:ln>
                        </wps:spPr>
                        <wps:bodyPr/>
                      </wps:wsp>
                      <wps:wsp>
                        <wps:cNvPr id="10" name="任意多边形 10"/>
                        <wps:cNvSpPr/>
                        <wps:spPr>
                          <a:xfrm>
                            <a:off x="8078" y="14"/>
                            <a:ext cx="20" cy="2278"/>
                          </a:xfrm>
                          <a:custGeom>
                            <a:avLst/>
                            <a:gdLst/>
                            <a:ahLst/>
                            <a:cxnLst/>
                            <a:rect l="l" t="t" r="r" b="b"/>
                            <a:pathLst>
                              <a:path w="20" h="2278">
                                <a:moveTo>
                                  <a:pt x="0" y="0"/>
                                </a:moveTo>
                                <a:lnTo>
                                  <a:pt x="0" y="2277"/>
                                </a:lnTo>
                              </a:path>
                            </a:pathLst>
                          </a:custGeom>
                          <a:solidFill>
                            <a:srgbClr val="CCE8CF"/>
                          </a:solidFill>
                          <a:ln>
                            <a:noFill/>
                          </a:ln>
                        </wps:spPr>
                        <wps:bodyPr/>
                      </wps:wsp>
                      <wps:wsp>
                        <wps:cNvPr id="11" name="矩形 11"/>
                        <wps:cNvSpPr/>
                        <wps:spPr>
                          <a:xfrm>
                            <a:off x="1022" y="19"/>
                            <a:ext cx="7118" cy="2258"/>
                          </a:xfrm>
                          <a:prstGeom prst="rect">
                            <a:avLst/>
                          </a:prstGeom>
                          <a:ln w="25400" cap="flat" cmpd="sng">
                            <a:solidFill>
                              <a:srgbClr val="000000"/>
                            </a:solidFill>
                            <a:prstDash val="solid"/>
                            <a:round/>
                          </a:ln>
                        </wps:spPr>
                        <wps:txbx>
                          <w:txbxContent>
                            <w:p w14:paraId="37670133">
                              <w:pPr>
                                <w:pStyle w:val="7"/>
                                <w:numPr>
                                  <w:ilvl w:val="0"/>
                                  <w:numId w:val="0"/>
                                </w:numPr>
                                <w:kinsoku w:val="0"/>
                                <w:overflowPunct w:val="0"/>
                                <w:spacing w:before="13"/>
                                <w:ind w:leftChars="0" w:right="0" w:rightChars="0"/>
                                <w:rPr>
                                  <w:rFonts w:hint="eastAsia"/>
                                  <w:sz w:val="28"/>
                                  <w:szCs w:val="28"/>
                                </w:rPr>
                              </w:pPr>
                            </w:p>
                            <w:p w14:paraId="7A610E32">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wps:txbx>
                        <wps:bodyPr lIns="0" tIns="0" rIns="0" bIns="0" upright="1"/>
                      </wps:wsp>
                    </wpg:wgp>
                  </a:graphicData>
                </a:graphic>
              </wp:inline>
            </w:drawing>
          </mc:Choice>
          <mc:Fallback>
            <w:pict>
              <v:group id="组合 34" o:spid="_x0000_s1026" o:spt="203" style="height:115.1pt;width:406.8pt;" coordorigin="4,4" coordsize="8136,2302" o:gfxdata="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">
                <o:lock v:ext="edit" aspectratio="f"/>
                <v:shape id="_x0000_s1026" o:spid="_x0000_s1026" o:spt="100" style="position:absolute;left:4;top:9;height:20;width:8079;" fillcolor="#CCE8CF" filled="t" stroked="f" coordsize="8079,20" o:gfxdata="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iN6atwAAANoAAAAP&#10;AAAAAAAAAAEAIAAAACIAAABkcnMvZG93bnJldi54bWxQSwECFAAUAAAACACHTuJAMy8FnjsAAAA5&#10;AAAAEAAAAAAAAAABACAAAAAGAQAAZHJzL3NoYXBleG1sLnhtbFBLBQYAAAAABgAGAFsBAACwAwAA&#10;AAA=&#10;" path="m0,0l8078,0e">
                  <v:fill on="t" focussize="0,0"/>
                  <v:stroke on="f"/>
                  <v:imagedata o:title=""/>
                  <o:lock v:ext="edit" aspectratio="f"/>
                </v:shape>
                <v:shape id="_x0000_s1026" o:spid="_x0000_s1026" o:spt="100" style="position:absolute;left:24;top:28;height:20;width:8041;" fillcolor="#CCE8CF" filled="t" stroked="f" coordsize="8041,20" o:gfxdata="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f6we8AAAA&#10;2gAAAA8AAAAAAAAAAQAgAAAAIgAAAGRycy9kb3ducmV2LnhtbFBLAQIUABQAAAAIAIdO4kAzLwWe&#10;OwAAADkAAAAQAAAAAAAAAAEAIAAAAAsBAABkcnMvc2hhcGV4bWwueG1sUEsFBgAAAAAGAAYAWwEA&#10;ALUDAAAAAA==&#10;" path="m0,0l8040,0e">
                  <v:fill on="t" focussize="0,0"/>
                  <v:stroke on="f"/>
                  <v:imagedata o:title=""/>
                  <o:lock v:ext="edit" aspectratio="f"/>
                </v:shape>
                <v:shape id="_x0000_s1026" o:spid="_x0000_s1026" o:spt="100" style="position:absolute;left:24;top:2267;height:20;width:8041;" fillcolor="#CCE8CF" filled="t" stroked="f" coordsize="8041,20" o:gfxdata="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NOnLsAAADa&#10;AAAADwAAAAAAAAABACAAAAAiAAAAZHJzL2Rvd25yZXYueG1sUEsBAhQAFAAAAAgAh07iQDMvBZ47&#10;AAAAOQAAABAAAAAAAAAAAQAgAAAACgEAAGRycy9zaGFwZXhtbC54bWxQSwUGAAAAAAYABgBbAQAA&#10;tAMAAAAA&#10;" path="m0,0l8040,0e">
                  <v:fill on="t" focussize="0,0"/>
                  <v:stroke on="f"/>
                  <v:imagedata o:title=""/>
                  <o:lock v:ext="edit" aspectratio="f"/>
                </v:shape>
                <v:shape id="_x0000_s1026" o:spid="_x0000_s1026" o:spt="100" style="position:absolute;left:4;top:2286;height:20;width:8079;" fillcolor="#CCE8CF" filled="t" stroked="f" coordsize="8079,20" o:gfxdata="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99ArsAAADa&#10;AAAADwAAAAAAAAABACAAAAAiAAAAZHJzL2Rvd25yZXYueG1sUEsBAhQAFAAAAAgAh07iQDMvBZ47&#10;AAAAOQAAABAAAAAAAAAAAQAgAAAACgEAAGRycy9zaGFwZXhtbC54bWxQSwUGAAAAAAYABgBbAQAA&#10;tAMAAAAA&#10;" path="m0,0l8078,0e">
                  <v:fill on="t" focussize="0,0"/>
                  <v:stroke on="f"/>
                  <v:imagedata o:title=""/>
                  <o:lock v:ext="edit" aspectratio="f"/>
                </v:shape>
                <v:shape id="_x0000_s1026" o:spid="_x0000_s1026" o:spt="100" style="position:absolute;left:9;top:4;height:2287;width:20;" fillcolor="#CCE8CF" filled="t" stroked="f" coordsize="20,2287" o:gfxdata="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KrrsAAADa&#10;AAAADwAAAAAAAAABACAAAAAiAAAAZHJzL2Rvd25yZXYueG1sUEsBAhQAFAAAAAgAh07iQDMvBZ47&#10;AAAAOQAAABAAAAAAAAAAAQAgAAAACgEAAGRycy9zaGFwZXhtbC54bWxQSwUGAAAAAAYABgBbAQAA&#10;tAMAAAAA&#10;" path="m0,0l0,2286e">
                  <v:fill on="t" focussize="0,0"/>
                  <v:stroke on="f"/>
                  <v:imagedata o:title=""/>
                  <o:lock v:ext="edit" aspectratio="f"/>
                </v:shape>
                <v:shape id="_x0000_s1026" o:spid="_x0000_s1026" o:spt="100" style="position:absolute;left:28;top:24;height:2249;width:20;" fillcolor="#CCE8CF" filled="t" stroked="f" coordsize="20,2249" o:gfxdata="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Plj28AAAA&#10;2gAAAA8AAAAAAAAAAQAgAAAAIgAAAGRycy9kb3ducmV2LnhtbFBLAQIUABQAAAAIAIdO4kAzLwWe&#10;OwAAADkAAAAQAAAAAAAAAAEAIAAAAAsBAABkcnMvc2hhcGV4bWwueG1sUEsFBgAAAAAGAAYAWwEA&#10;ALUDAAAAAA==&#10;" path="m0,0l0,2248e">
                  <v:fill on="t" focussize="0,0"/>
                  <v:stroke on="f"/>
                  <v:imagedata o:title=""/>
                  <o:lock v:ext="edit" aspectratio="f"/>
                </v:shape>
                <v:shape id="_x0000_s1026" o:spid="_x0000_s1026" o:spt="100" style="position:absolute;left:4034;top:24;height:2239;width:20;" fillcolor="#CCE8CF" filled="t" stroked="f" coordsize="20,2239" o:gfxdata="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LicvQAA&#10;ANoAAAAPAAAAAAAAAAEAIAAAACIAAABkcnMvZG93bnJldi54bWxQSwECFAAUAAAACACHTuJAMy8F&#10;njsAAAA5AAAAEAAAAAAAAAABACAAAAAMAQAAZHJzL3NoYXBleG1sLnhtbFBLBQYAAAAABgAGAFsB&#10;AAC2AwAAAAA=&#10;" path="m0,0l0,2238e">
                  <v:fill on="t" focussize="0,0"/>
                  <v:stroke on="f"/>
                  <v:imagedata o:title=""/>
                  <o:lock v:ext="edit" aspectratio="f"/>
                </v:shape>
                <v:shape id="_x0000_s1026" o:spid="_x0000_s1026" o:spt="100" style="position:absolute;left:4053;top:24;height:2239;width:20;" fillcolor="#CCE8CF" filled="t" stroked="f" coordsize="20,2239" o:gfxdata="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08s7rgAAADaAAAA&#10;DwAAAAAAAAABACAAAAAiAAAAZHJzL2Rvd25yZXYueG1sUEsBAhQAFAAAAAgAh07iQDMvBZ47AAAA&#10;OQAAABAAAAAAAAAAAQAgAAAABwEAAGRycy9zaGFwZXhtbC54bWxQSwUGAAAAAAYABgBbAQAAsQMA&#10;AAAA&#10;" path="m0,0l0,2238e">
                  <v:fill on="t" focussize="0,0"/>
                  <v:stroke on="f"/>
                  <v:imagedata o:title=""/>
                  <o:lock v:ext="edit" aspectratio="f"/>
                </v:shape>
                <v:shape id="_x0000_s1026" o:spid="_x0000_s1026" o:spt="100" style="position:absolute;left:8059;top:33;height:2239;width:20;" fillcolor="#CCE8CF" filled="t" stroked="f" coordsize="20,2239" o:gfxdata="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A4l1vQAA&#10;ANoAAAAPAAAAAAAAAAEAIAAAACIAAABkcnMvZG93bnJldi54bWxQSwECFAAUAAAACACHTuJAMy8F&#10;njsAAAA5AAAAEAAAAAAAAAABACAAAAAMAQAAZHJzL3NoYXBleG1sLnhtbFBLBQYAAAAABgAGAFsB&#10;AAC2AwAAAAA=&#10;" path="m0,0l0,2238e">
                  <v:fill on="t" focussize="0,0"/>
                  <v:stroke on="f"/>
                  <v:imagedata o:title=""/>
                  <o:lock v:ext="edit" aspectratio="f"/>
                </v:shape>
                <v:shape id="_x0000_s1026" o:spid="_x0000_s1026" o:spt="100" style="position:absolute;left:8078;top:14;height:2278;width:20;" fillcolor="#CCE8CF" filled="t" stroked="f" coordsize="20,2278" o:gfxdata="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EqoW/&#10;AAAA2wAAAA8AAAAAAAAAAQAgAAAAIgAAAGRycy9kb3ducmV2LnhtbFBLAQIUABQAAAAIAIdO4kAz&#10;LwWeOwAAADkAAAAQAAAAAAAAAAEAIAAAAA4BAABkcnMvc2hhcGV4bWwueG1sUEsFBgAAAAAGAAYA&#10;WwEAALgDAAAAAA==&#10;" path="m0,0l0,2277e">
                  <v:fill on="t" focussize="0,0"/>
                  <v:stroke on="f"/>
                  <v:imagedata o:title=""/>
                  <o:lock v:ext="edit" aspectratio="f"/>
                </v:shape>
                <v:rect id="_x0000_s1026" o:spid="_x0000_s1026" o:spt="1" style="position:absolute;left:1022;top:19;height:2258;width:7118;" filled="f" stroked="t" coordsize="21600,21600" o:gfxdata="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Hf1rgAAADbAAAA&#10;DwAAAAAAAAABACAAAAAiAAAAZHJzL2Rvd25yZXYueG1sUEsBAhQAFAAAAAgAh07iQDMvBZ47AAAA&#10;OQAAABAAAAAAAAAAAQAgAAAABwEAAGRycy9zaGFwZXhtbC54bWxQSwUGAAAAAAYABgBbAQAAsQMA&#10;AAAA&#10;">
                  <v:fill on="f" focussize="0,0"/>
                  <v:stroke weight="2pt" color="#000000" joinstyle="round"/>
                  <v:imagedata o:title=""/>
                  <o:lock v:ext="edit" aspectratio="f"/>
                  <v:textbox inset="0mm,0mm,0mm,0mm">
                    <w:txbxContent>
                      <w:p w14:paraId="37670133">
                        <w:pPr>
                          <w:pStyle w:val="7"/>
                          <w:numPr>
                            <w:ilvl w:val="0"/>
                            <w:numId w:val="0"/>
                          </w:numPr>
                          <w:kinsoku w:val="0"/>
                          <w:overflowPunct w:val="0"/>
                          <w:spacing w:before="13"/>
                          <w:ind w:leftChars="0" w:right="0" w:rightChars="0"/>
                          <w:rPr>
                            <w:rFonts w:hint="eastAsia"/>
                            <w:sz w:val="28"/>
                            <w:szCs w:val="28"/>
                          </w:rPr>
                        </w:pPr>
                      </w:p>
                      <w:p w14:paraId="7A610E32">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v:textbox>
                </v:rect>
                <w10:wrap type="none"/>
                <w10:anchorlock/>
              </v:group>
            </w:pict>
          </mc:Fallback>
        </mc:AlternateContent>
      </w:r>
    </w:p>
    <w:p w14:paraId="6C3EE52A">
      <w:pPr>
        <w:wordWrap w:val="0"/>
        <w:spacing w:line="420" w:lineRule="exact"/>
        <w:ind w:firstLine="490" w:firstLineChars="200"/>
        <w:jc w:val="right"/>
        <w:rPr>
          <w:rFonts w:hint="eastAsia" w:ascii="仿宋" w:hAnsi="仿宋" w:eastAsia="仿宋" w:cs="仿宋"/>
          <w:color w:val="auto"/>
          <w:kern w:val="0"/>
          <w:sz w:val="24"/>
        </w:rPr>
      </w:pPr>
    </w:p>
    <w:p w14:paraId="7C9FC593">
      <w:pPr>
        <w:spacing w:line="420" w:lineRule="exact"/>
        <w:ind w:firstLine="490" w:firstLineChars="200"/>
        <w:jc w:val="right"/>
        <w:rPr>
          <w:rFonts w:hint="eastAsia" w:ascii="仿宋" w:hAnsi="仿宋" w:eastAsia="仿宋" w:cs="仿宋"/>
          <w:color w:val="auto"/>
          <w:kern w:val="0"/>
          <w:sz w:val="24"/>
        </w:rPr>
      </w:pPr>
    </w:p>
    <w:p w14:paraId="4CC5E5DA">
      <w:pPr>
        <w:pStyle w:val="15"/>
        <w:rPr>
          <w:rFonts w:hint="eastAsia" w:ascii="仿宋" w:hAnsi="仿宋" w:eastAsia="仿宋" w:cs="仿宋"/>
          <w:color w:val="auto"/>
          <w:kern w:val="0"/>
          <w:sz w:val="24"/>
        </w:rPr>
      </w:pPr>
    </w:p>
    <w:p w14:paraId="7BC35230">
      <w:pPr>
        <w:pStyle w:val="15"/>
        <w:rPr>
          <w:rFonts w:hint="eastAsia" w:ascii="仿宋" w:hAnsi="仿宋" w:eastAsia="仿宋" w:cs="仿宋"/>
          <w:color w:val="auto"/>
          <w:kern w:val="0"/>
          <w:sz w:val="24"/>
        </w:rPr>
      </w:pPr>
    </w:p>
    <w:p w14:paraId="695D48AF">
      <w:pPr>
        <w:spacing w:line="420" w:lineRule="exact"/>
        <w:ind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（公章）</w:t>
      </w:r>
    </w:p>
    <w:p w14:paraId="54E9F0FC">
      <w:pPr>
        <w:wordWrap w:val="0"/>
        <w:spacing w:line="420" w:lineRule="exact"/>
        <w:ind w:right="480"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日 </w:t>
      </w:r>
    </w:p>
    <w:p w14:paraId="748584F6">
      <w:pPr>
        <w:pStyle w:val="7"/>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Cs w:val="21"/>
        </w:rPr>
      </w:pPr>
      <w:r>
        <w:rPr>
          <w:rFonts w:hint="eastAsia" w:ascii="仿宋" w:hAnsi="仿宋" w:eastAsia="仿宋" w:cs="仿宋"/>
          <w:color w:val="auto"/>
        </w:rPr>
        <w:br w:type="page"/>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、授权委托书</w:t>
      </w:r>
    </w:p>
    <w:p w14:paraId="79675CBC">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致：采购人名称 </w:t>
      </w:r>
    </w:p>
    <w:p w14:paraId="2912F90A">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本授权书声明：注册于（投标人地址）的（投标人名称）法定代表人（负责人）姓名、职务或职称）代表本公司授权（姓名）为本单位的合法代理人，参与贵方组织的（项目名称及项目编号） 的投标、谈判、签约等具体工作，并签署全部有关文件、协议及合同。</w:t>
      </w:r>
    </w:p>
    <w:p w14:paraId="298C562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我单位对被授权人的上述经济活动负全部责任。在撤销授权的书面通知前，本授权书一直有效。被授权人在授权书有效期内签署的所有文件不因授权的撤消而失效。</w:t>
      </w:r>
    </w:p>
    <w:p w14:paraId="0A654E0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mc:AlternateContent>
          <mc:Choice Requires="wps">
            <w:drawing>
              <wp:anchor distT="0" distB="0" distL="114300" distR="114300" simplePos="0" relativeHeight="251661312" behindDoc="0" locked="0" layoutInCell="1" allowOverlap="1">
                <wp:simplePos x="0" y="0"/>
                <wp:positionH relativeFrom="column">
                  <wp:posOffset>631190</wp:posOffset>
                </wp:positionH>
                <wp:positionV relativeFrom="paragraph">
                  <wp:posOffset>186690</wp:posOffset>
                </wp:positionV>
                <wp:extent cx="4439920" cy="1433830"/>
                <wp:effectExtent l="12700" t="12700" r="24130" b="20320"/>
                <wp:wrapNone/>
                <wp:docPr id="40" name="矩形 40"/>
                <wp:cNvGraphicFramePr/>
                <a:graphic xmlns:a="http://schemas.openxmlformats.org/drawingml/2006/main">
                  <a:graphicData uri="http://schemas.microsoft.com/office/word/2010/wordprocessingShape">
                    <wps:wsp>
                      <wps:cNvSpPr/>
                      <wps:spPr>
                        <a:xfrm>
                          <a:off x="0" y="0"/>
                          <a:ext cx="4439920" cy="1433830"/>
                        </a:xfrm>
                        <a:prstGeom prst="rect">
                          <a:avLst/>
                        </a:prstGeom>
                        <a:ln w="25400" cap="flat" cmpd="sng">
                          <a:solidFill>
                            <a:srgbClr val="000000"/>
                          </a:solidFill>
                          <a:prstDash val="solid"/>
                          <a:round/>
                        </a:ln>
                      </wps:spPr>
                      <wps:txbx>
                        <w:txbxContent>
                          <w:p w14:paraId="6E18086D">
                            <w:pPr>
                              <w:pStyle w:val="7"/>
                              <w:numPr>
                                <w:ilvl w:val="0"/>
                                <w:numId w:val="0"/>
                              </w:numPr>
                              <w:kinsoku w:val="0"/>
                              <w:overflowPunct w:val="0"/>
                              <w:spacing w:before="13"/>
                              <w:ind w:leftChars="0" w:right="0" w:rightChars="0"/>
                              <w:rPr>
                                <w:rFonts w:hint="eastAsia"/>
                                <w:sz w:val="28"/>
                                <w:szCs w:val="28"/>
                              </w:rPr>
                            </w:pPr>
                          </w:p>
                          <w:p w14:paraId="041897CC">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wps:txbx>
                      <wps:bodyPr lIns="0" tIns="0" rIns="0" bIns="0" upright="1"/>
                    </wps:wsp>
                  </a:graphicData>
                </a:graphic>
              </wp:anchor>
            </w:drawing>
          </mc:Choice>
          <mc:Fallback>
            <w:pict>
              <v:rect id="_x0000_s1026" o:spid="_x0000_s1026" o:spt="1" style="position:absolute;left:0pt;margin-left:49.7pt;margin-top:14.7pt;height:112.9pt;width:349.6pt;z-index:251661312;mso-width-relative:page;mso-height-relative:page;" filled="f" stroked="t" coordsize="21600,21600" o:gfxdata="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lq8Zu1gAA&#10;AAkBAAAPAAAAAAAAAAEAIAAAACIAAABkcnMvZG93bnJldi54bWxQSwECFAAUAAAACACHTuJAT4so&#10;3ucBAADJAwAADgAAAAAAAAABACAAAAAlAQAAZHJzL2Uyb0RvYy54bWxQSwUGAAAAAAYABgBZAQAA&#10;fgUAAAAA&#10;">
                <v:fill on="f" focussize="0,0"/>
                <v:stroke weight="2pt" color="#000000" joinstyle="round"/>
                <v:imagedata o:title=""/>
                <o:lock v:ext="edit" aspectratio="f"/>
                <v:textbox inset="0mm,0mm,0mm,0mm">
                  <w:txbxContent>
                    <w:p w14:paraId="6E18086D">
                      <w:pPr>
                        <w:pStyle w:val="7"/>
                        <w:numPr>
                          <w:ilvl w:val="0"/>
                          <w:numId w:val="0"/>
                        </w:numPr>
                        <w:kinsoku w:val="0"/>
                        <w:overflowPunct w:val="0"/>
                        <w:spacing w:before="13"/>
                        <w:ind w:leftChars="0" w:right="0" w:rightChars="0"/>
                        <w:rPr>
                          <w:rFonts w:hint="eastAsia"/>
                          <w:sz w:val="28"/>
                          <w:szCs w:val="28"/>
                        </w:rPr>
                      </w:pPr>
                    </w:p>
                    <w:p w14:paraId="041897CC">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v:textbox>
              </v:rect>
            </w:pict>
          </mc:Fallback>
        </mc:AlternateContent>
      </w:r>
    </w:p>
    <w:p w14:paraId="07E83DA5">
      <w:pPr>
        <w:pStyle w:val="7"/>
        <w:kinsoku w:val="0"/>
        <w:overflowPunct w:val="0"/>
        <w:adjustRightInd w:val="0"/>
        <w:snapToGrid w:val="0"/>
        <w:spacing w:before="12"/>
        <w:rPr>
          <w:rFonts w:hint="eastAsia" w:ascii="仿宋" w:hAnsi="仿宋" w:eastAsia="仿宋" w:cs="仿宋"/>
          <w:color w:val="auto"/>
          <w:sz w:val="4"/>
          <w:szCs w:val="4"/>
        </w:rPr>
      </w:pPr>
    </w:p>
    <w:p w14:paraId="15A40437">
      <w:pPr>
        <w:pStyle w:val="7"/>
        <w:numPr>
          <w:ilvl w:val="0"/>
          <w:numId w:val="0"/>
        </w:numPr>
        <w:kinsoku w:val="0"/>
        <w:overflowPunct w:val="0"/>
        <w:adjustRightInd w:val="0"/>
        <w:snapToGrid w:val="0"/>
        <w:spacing w:line="200" w:lineRule="atLeast"/>
        <w:ind w:right="1947" w:rightChars="795"/>
        <w:jc w:val="center"/>
        <w:rPr>
          <w:rFonts w:hint="eastAsia" w:ascii="仿宋" w:hAnsi="仿宋" w:eastAsia="仿宋" w:cs="仿宋"/>
          <w:color w:val="auto"/>
          <w:sz w:val="18"/>
          <w:szCs w:val="20"/>
        </w:rPr>
      </w:pPr>
    </w:p>
    <w:p w14:paraId="23EEF3C6">
      <w:pPr>
        <w:pStyle w:val="7"/>
        <w:numPr>
          <w:ilvl w:val="0"/>
          <w:numId w:val="0"/>
        </w:numPr>
        <w:kinsoku w:val="0"/>
        <w:overflowPunct w:val="0"/>
        <w:adjustRightInd w:val="0"/>
        <w:snapToGrid w:val="0"/>
        <w:spacing w:line="200" w:lineRule="atLeast"/>
        <w:ind w:right="0" w:rightChars="0"/>
        <w:rPr>
          <w:rFonts w:hint="eastAsia" w:ascii="仿宋" w:hAnsi="仿宋" w:eastAsia="仿宋" w:cs="仿宋"/>
          <w:color w:val="auto"/>
          <w:sz w:val="18"/>
          <w:szCs w:val="20"/>
        </w:rPr>
      </w:pPr>
    </w:p>
    <w:p w14:paraId="2C3DCF1C">
      <w:pPr>
        <w:rPr>
          <w:rFonts w:hint="eastAsia" w:ascii="仿宋" w:hAnsi="仿宋" w:eastAsia="仿宋" w:cs="仿宋"/>
          <w:color w:val="auto"/>
          <w:sz w:val="18"/>
          <w:szCs w:val="20"/>
        </w:rPr>
      </w:pPr>
    </w:p>
    <w:p w14:paraId="24D8B466">
      <w:pPr>
        <w:rPr>
          <w:rFonts w:hint="eastAsia" w:ascii="仿宋" w:hAnsi="仿宋" w:eastAsia="仿宋" w:cs="仿宋"/>
          <w:color w:val="auto"/>
          <w:sz w:val="18"/>
          <w:szCs w:val="20"/>
        </w:rPr>
      </w:pPr>
    </w:p>
    <w:p w14:paraId="26780F90">
      <w:pPr>
        <w:rPr>
          <w:rFonts w:hint="eastAsia" w:ascii="仿宋" w:hAnsi="仿宋" w:eastAsia="仿宋" w:cs="仿宋"/>
          <w:color w:val="auto"/>
          <w:sz w:val="18"/>
          <w:szCs w:val="20"/>
        </w:rPr>
      </w:pPr>
    </w:p>
    <w:p w14:paraId="23AD14BD">
      <w:pPr>
        <w:rPr>
          <w:rFonts w:hint="eastAsia" w:ascii="仿宋" w:hAnsi="仿宋" w:eastAsia="仿宋" w:cs="仿宋"/>
          <w:color w:val="auto"/>
          <w:sz w:val="18"/>
          <w:szCs w:val="20"/>
        </w:rPr>
      </w:pPr>
    </w:p>
    <w:p w14:paraId="5E61C43F">
      <w:pPr>
        <w:rPr>
          <w:rFonts w:hint="eastAsia" w:ascii="仿宋" w:hAnsi="仿宋" w:eastAsia="仿宋" w:cs="仿宋"/>
          <w:color w:val="auto"/>
          <w:sz w:val="18"/>
          <w:szCs w:val="20"/>
        </w:rPr>
      </w:pPr>
    </w:p>
    <w:p w14:paraId="378DB07C">
      <w:pPr>
        <w:rPr>
          <w:rFonts w:hint="eastAsia" w:ascii="仿宋" w:hAnsi="仿宋" w:eastAsia="仿宋" w:cs="仿宋"/>
          <w:color w:val="auto"/>
          <w:sz w:val="18"/>
          <w:szCs w:val="20"/>
        </w:rPr>
      </w:pPr>
    </w:p>
    <w:p w14:paraId="075DB217">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mc:AlternateContent>
          <mc:Choice Requires="wps">
            <w:drawing>
              <wp:anchor distT="0" distB="0" distL="114300" distR="114300" simplePos="0" relativeHeight="251662336" behindDoc="0" locked="0" layoutInCell="1" allowOverlap="1">
                <wp:simplePos x="0" y="0"/>
                <wp:positionH relativeFrom="column">
                  <wp:posOffset>646430</wp:posOffset>
                </wp:positionH>
                <wp:positionV relativeFrom="paragraph">
                  <wp:posOffset>-91440</wp:posOffset>
                </wp:positionV>
                <wp:extent cx="4454525" cy="1433830"/>
                <wp:effectExtent l="12700" t="12700" r="28575" b="20320"/>
                <wp:wrapNone/>
                <wp:docPr id="41" name="矩形 41"/>
                <wp:cNvGraphicFramePr/>
                <a:graphic xmlns:a="http://schemas.openxmlformats.org/drawingml/2006/main">
                  <a:graphicData uri="http://schemas.microsoft.com/office/word/2010/wordprocessingShape">
                    <wps:wsp>
                      <wps:cNvSpPr/>
                      <wps:spPr>
                        <a:xfrm>
                          <a:off x="0" y="0"/>
                          <a:ext cx="4454525" cy="1433830"/>
                        </a:xfrm>
                        <a:prstGeom prst="rect">
                          <a:avLst/>
                        </a:prstGeom>
                        <a:ln w="25400" cap="flat" cmpd="sng">
                          <a:solidFill>
                            <a:srgbClr val="000000"/>
                          </a:solidFill>
                          <a:prstDash val="solid"/>
                          <a:round/>
                        </a:ln>
                      </wps:spPr>
                      <wps:txbx>
                        <w:txbxContent>
                          <w:p w14:paraId="1D9C96E9">
                            <w:pPr>
                              <w:pStyle w:val="7"/>
                              <w:numPr>
                                <w:ilvl w:val="0"/>
                                <w:numId w:val="0"/>
                              </w:numPr>
                              <w:kinsoku w:val="0"/>
                              <w:overflowPunct w:val="0"/>
                              <w:spacing w:before="13"/>
                              <w:ind w:leftChars="0" w:right="0" w:rightChars="0"/>
                              <w:rPr>
                                <w:rFonts w:hint="eastAsia"/>
                                <w:sz w:val="28"/>
                                <w:szCs w:val="28"/>
                              </w:rPr>
                            </w:pPr>
                          </w:p>
                          <w:p w14:paraId="7ABC592C">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lang w:eastAsia="zh-CN"/>
                              </w:rPr>
                              <w:t>授权</w:t>
                            </w:r>
                            <w:r>
                              <w:rPr>
                                <w:rFonts w:hint="eastAsia" w:ascii="仿宋" w:hAnsi="仿宋" w:eastAsia="仿宋" w:cs="仿宋"/>
                                <w:b/>
                                <w:bCs/>
                                <w:sz w:val="24"/>
                                <w:szCs w:val="24"/>
                              </w:rPr>
                              <w:t>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wps:txbx>
                      <wps:bodyPr lIns="0" tIns="0" rIns="0" bIns="0" upright="1"/>
                    </wps:wsp>
                  </a:graphicData>
                </a:graphic>
              </wp:anchor>
            </w:drawing>
          </mc:Choice>
          <mc:Fallback>
            <w:pict>
              <v:rect id="_x0000_s1026" o:spid="_x0000_s1026" o:spt="1" style="position:absolute;left:0pt;margin-left:50.9pt;margin-top:-7.2pt;height:112.9pt;width:350.75pt;z-index:251662336;mso-width-relative:page;mso-height-relative:page;" filled="f" stroked="t" coordsize="21600,21600" o:gfxdata="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fCesdYA&#10;AAALAQAADwAAAAAAAAABACAAAAAiAAAAZHJzL2Rvd25yZXYueG1sUEsBAhQAFAAAAAgAh07iQDH7&#10;LtToAQAAyQMAAA4AAAAAAAAAAQAgAAAAJQEAAGRycy9lMm9Eb2MueG1sUEsFBgAAAAAGAAYAWQEA&#10;AH8FAAAAAA==&#10;">
                <v:fill on="f" focussize="0,0"/>
                <v:stroke weight="2pt" color="#000000" joinstyle="round"/>
                <v:imagedata o:title=""/>
                <o:lock v:ext="edit" aspectratio="f"/>
                <v:textbox inset="0mm,0mm,0mm,0mm">
                  <w:txbxContent>
                    <w:p w14:paraId="1D9C96E9">
                      <w:pPr>
                        <w:pStyle w:val="7"/>
                        <w:numPr>
                          <w:ilvl w:val="0"/>
                          <w:numId w:val="0"/>
                        </w:numPr>
                        <w:kinsoku w:val="0"/>
                        <w:overflowPunct w:val="0"/>
                        <w:spacing w:before="13"/>
                        <w:ind w:leftChars="0" w:right="0" w:rightChars="0"/>
                        <w:rPr>
                          <w:rFonts w:hint="eastAsia"/>
                          <w:sz w:val="28"/>
                          <w:szCs w:val="28"/>
                        </w:rPr>
                      </w:pPr>
                    </w:p>
                    <w:p w14:paraId="7ABC592C">
                      <w:pPr>
                        <w:pStyle w:val="7"/>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lang w:eastAsia="zh-CN"/>
                        </w:rPr>
                        <w:t>授权</w:t>
                      </w:r>
                      <w:r>
                        <w:rPr>
                          <w:rFonts w:hint="eastAsia" w:ascii="仿宋" w:hAnsi="仿宋" w:eastAsia="仿宋" w:cs="仿宋"/>
                          <w:b/>
                          <w:bCs/>
                          <w:sz w:val="24"/>
                          <w:szCs w:val="24"/>
                        </w:rPr>
                        <w:t>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v:textbox>
              </v:rect>
            </w:pict>
          </mc:Fallback>
        </mc:AlternateContent>
      </w:r>
    </w:p>
    <w:p w14:paraId="4C647EB2">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38A63F8E">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63A82EDE">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3108F46A">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41A94C3C">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35047218">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被授权代表（</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投标人法定代表人（</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p>
    <w:p w14:paraId="39BC3323">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p>
    <w:p w14:paraId="4CF3C056">
      <w:pPr>
        <w:pStyle w:val="7"/>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p>
    <w:p w14:paraId="7D77E994">
      <w:pPr>
        <w:pStyle w:val="7"/>
        <w:numPr>
          <w:ilvl w:val="0"/>
          <w:numId w:val="0"/>
        </w:numPr>
        <w:tabs>
          <w:tab w:val="clear" w:pos="780"/>
        </w:tabs>
        <w:kinsoku w:val="0"/>
        <w:overflowPunct w:val="0"/>
        <w:adjustRightInd w:val="0"/>
        <w:snapToGrid w:val="0"/>
        <w:spacing w:line="360" w:lineRule="auto"/>
        <w:ind w:left="709" w:leftChars="0" w:right="238" w:rightChars="0"/>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（盖章）</w:t>
      </w:r>
    </w:p>
    <w:p w14:paraId="58EA2449">
      <w:pPr>
        <w:pStyle w:val="7"/>
        <w:numPr>
          <w:ilvl w:val="0"/>
          <w:numId w:val="0"/>
        </w:numPr>
        <w:tabs>
          <w:tab w:val="clear" w:pos="780"/>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4"/>
        </w:rPr>
      </w:pPr>
    </w:p>
    <w:p w14:paraId="12BBC73C">
      <w:pPr>
        <w:pStyle w:val="7"/>
        <w:numPr>
          <w:ilvl w:val="0"/>
          <w:numId w:val="0"/>
        </w:numPr>
        <w:tabs>
          <w:tab w:val="clear" w:pos="780"/>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0"/>
        </w:rPr>
      </w:pPr>
      <w:r>
        <w:rPr>
          <w:rFonts w:hint="eastAsia" w:ascii="仿宋" w:hAnsi="仿宋" w:eastAsia="仿宋" w:cs="仿宋"/>
          <w:color w:val="auto"/>
          <w:sz w:val="24"/>
        </w:rPr>
        <w:t xml:space="preserve"> 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r>
        <w:rPr>
          <w:rFonts w:hint="eastAsia" w:ascii="仿宋" w:hAnsi="仿宋" w:eastAsia="仿宋" w:cs="仿宋"/>
          <w:color w:val="auto"/>
          <w:sz w:val="20"/>
        </w:rPr>
        <w:t xml:space="preserve">               </w:t>
      </w:r>
    </w:p>
    <w:p w14:paraId="2A0F5611">
      <w:pPr>
        <w:pStyle w:val="7"/>
        <w:numPr>
          <w:ilvl w:val="0"/>
          <w:numId w:val="0"/>
        </w:numPr>
        <w:tabs>
          <w:tab w:val="clear" w:pos="780"/>
        </w:tabs>
        <w:kinsoku w:val="0"/>
        <w:overflowPunct w:val="0"/>
        <w:spacing w:before="34" w:line="357" w:lineRule="auto"/>
        <w:ind w:left="480" w:right="126"/>
        <w:jc w:val="center"/>
        <w:rPr>
          <w:rFonts w:hint="eastAsia" w:ascii="仿宋" w:hAnsi="仿宋" w:eastAsia="仿宋" w:cs="仿宋"/>
          <w:b/>
          <w:bCs/>
          <w:color w:val="auto"/>
          <w:sz w:val="36"/>
          <w:szCs w:val="36"/>
        </w:rPr>
      </w:pPr>
    </w:p>
    <w:p w14:paraId="3C1FC511">
      <w:pPr>
        <w:pStyle w:val="3"/>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zh-CN" w:bidi="en-US"/>
        </w:rPr>
      </w:pPr>
    </w:p>
    <w:p w14:paraId="780D0A62">
      <w:pPr>
        <w:pStyle w:val="3"/>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zh-CN" w:bidi="en-US"/>
        </w:rPr>
      </w:pPr>
    </w:p>
    <w:p w14:paraId="2CBC180C">
      <w:pPr>
        <w:pStyle w:val="3"/>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en-US" w:bidi="en-US"/>
        </w:rPr>
      </w:pPr>
      <w:r>
        <w:rPr>
          <w:rFonts w:hint="eastAsia" w:ascii="仿宋" w:hAnsi="仿宋" w:eastAsia="仿宋" w:cs="仿宋"/>
          <w:b/>
          <w:bCs/>
          <w:color w:val="auto"/>
          <w:spacing w:val="0"/>
          <w:w w:val="100"/>
          <w:position w:val="0"/>
          <w:sz w:val="36"/>
          <w:szCs w:val="36"/>
          <w:shd w:val="clear" w:color="auto" w:fill="auto"/>
          <w:lang w:val="en-US" w:eastAsia="zh-CN" w:bidi="en-US"/>
        </w:rPr>
        <w:t>4、</w:t>
      </w:r>
      <w:r>
        <w:rPr>
          <w:rFonts w:hint="eastAsia" w:ascii="仿宋" w:hAnsi="仿宋" w:eastAsia="仿宋" w:cs="仿宋"/>
          <w:b/>
          <w:bCs/>
          <w:color w:val="auto"/>
          <w:spacing w:val="0"/>
          <w:w w:val="100"/>
          <w:position w:val="0"/>
          <w:sz w:val="36"/>
          <w:szCs w:val="36"/>
          <w:shd w:val="clear" w:color="auto" w:fill="auto"/>
          <w:lang w:val="en-US" w:eastAsia="en-US" w:bidi="en-US"/>
        </w:rPr>
        <w:t>投标保证金缴纳凭证或投标担保函</w:t>
      </w:r>
    </w:p>
    <w:p w14:paraId="7FA8ADFC">
      <w:pPr>
        <w:shd w:val="clear" w:color="auto" w:fill="auto"/>
        <w:ind w:firstLine="490" w:firstLineChars="200"/>
        <w:rPr>
          <w:rFonts w:hint="eastAsia" w:ascii="仿宋" w:hAnsi="仿宋" w:eastAsia="仿宋" w:cs="仿宋"/>
          <w:color w:val="auto"/>
          <w:sz w:val="24"/>
          <w:highlight w:val="none"/>
        </w:rPr>
      </w:pPr>
    </w:p>
    <w:p w14:paraId="55FDCFCC">
      <w:pPr>
        <w:pStyle w:val="5"/>
        <w:shd w:val="clear" w:color="auto" w:fill="auto"/>
        <w:rPr>
          <w:rFonts w:hint="eastAsia" w:ascii="仿宋" w:hAnsi="仿宋" w:eastAsia="仿宋" w:cs="仿宋"/>
          <w:color w:val="auto"/>
          <w:highlight w:val="none"/>
        </w:rPr>
      </w:pPr>
    </w:p>
    <w:p w14:paraId="471680DF">
      <w:pPr>
        <w:pStyle w:val="5"/>
        <w:shd w:val="clear" w:color="auto" w:fill="auto"/>
        <w:rPr>
          <w:rFonts w:hint="eastAsia" w:ascii="仿宋" w:hAnsi="仿宋" w:eastAsia="仿宋" w:cs="仿宋"/>
          <w:color w:val="auto"/>
          <w:highlight w:val="none"/>
        </w:rPr>
      </w:pPr>
    </w:p>
    <w:p w14:paraId="463D3976">
      <w:pPr>
        <w:shd w:val="clear" w:color="auto" w:fill="auto"/>
        <w:spacing w:line="240" w:lineRule="atLeast"/>
        <w:ind w:left="1169" w:leftChars="257" w:hanging="540"/>
        <w:jc w:val="center"/>
        <w:rPr>
          <w:rFonts w:hint="eastAsia" w:ascii="仿宋" w:hAnsi="仿宋" w:eastAsia="仿宋" w:cs="仿宋"/>
          <w:color w:val="auto"/>
          <w:sz w:val="24"/>
          <w:highlight w:val="none"/>
        </w:rPr>
      </w:pPr>
    </w:p>
    <w:p w14:paraId="44C75F1D">
      <w:pPr>
        <w:shd w:val="clear" w:color="auto" w:fill="auto"/>
        <w:rPr>
          <w:rFonts w:hint="eastAsia" w:ascii="仿宋" w:hAnsi="仿宋" w:eastAsia="仿宋" w:cs="仿宋"/>
          <w:color w:val="auto"/>
          <w:sz w:val="28"/>
          <w:szCs w:val="28"/>
          <w:highlight w:val="none"/>
        </w:rPr>
      </w:pPr>
    </w:p>
    <w:tbl>
      <w:tblPr>
        <w:tblStyle w:val="21"/>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3017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55BD3A3E">
            <w:pPr>
              <w:shd w:val="clear" w:color="auto" w:fill="auto"/>
              <w:rPr>
                <w:rFonts w:hint="eastAsia" w:ascii="仿宋" w:hAnsi="仿宋" w:eastAsia="仿宋" w:cs="仿宋"/>
                <w:b/>
                <w:bCs/>
                <w:color w:val="auto"/>
                <w:sz w:val="30"/>
                <w:szCs w:val="30"/>
                <w:highlight w:val="none"/>
              </w:rPr>
            </w:pPr>
          </w:p>
          <w:p w14:paraId="7F837EB6">
            <w:pPr>
              <w:shd w:val="clear" w:color="auto" w:fill="auto"/>
              <w:jc w:val="center"/>
              <w:rPr>
                <w:rFonts w:hint="eastAsia" w:ascii="仿宋" w:hAnsi="仿宋" w:eastAsia="仿宋" w:cs="仿宋"/>
                <w:b/>
                <w:bCs/>
                <w:color w:val="auto"/>
                <w:sz w:val="30"/>
                <w:szCs w:val="30"/>
                <w:highlight w:val="none"/>
                <w:lang w:eastAsia="zh-CN"/>
              </w:rPr>
            </w:pPr>
          </w:p>
          <w:p w14:paraId="0E28DEB3">
            <w:pPr>
              <w:shd w:val="clear" w:color="auto" w:fill="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3F5EDC6C">
      <w:pPr>
        <w:pStyle w:val="5"/>
        <w:shd w:val="clear" w:color="auto" w:fill="auto"/>
        <w:rPr>
          <w:rFonts w:hint="eastAsia" w:ascii="仿宋" w:hAnsi="仿宋" w:eastAsia="仿宋" w:cs="仿宋"/>
          <w:color w:val="auto"/>
          <w:highlight w:val="none"/>
        </w:rPr>
      </w:pPr>
    </w:p>
    <w:p w14:paraId="6984B740">
      <w:pPr>
        <w:pStyle w:val="5"/>
        <w:shd w:val="clear" w:color="auto" w:fill="auto"/>
        <w:rPr>
          <w:rFonts w:hint="eastAsia" w:ascii="仿宋" w:hAnsi="仿宋" w:eastAsia="仿宋" w:cs="仿宋"/>
          <w:color w:val="auto"/>
          <w:highlight w:val="none"/>
        </w:rPr>
      </w:pPr>
    </w:p>
    <w:p w14:paraId="2419490B">
      <w:pPr>
        <w:pStyle w:val="5"/>
        <w:shd w:val="clear" w:color="auto" w:fill="auto"/>
        <w:rPr>
          <w:rFonts w:hint="eastAsia" w:ascii="仿宋" w:hAnsi="仿宋" w:eastAsia="仿宋" w:cs="仿宋"/>
          <w:color w:val="auto"/>
          <w:highlight w:val="none"/>
        </w:rPr>
      </w:pPr>
    </w:p>
    <w:p w14:paraId="3B1432A6">
      <w:pPr>
        <w:pStyle w:val="5"/>
        <w:shd w:val="clear" w:color="auto" w:fill="auto"/>
        <w:rPr>
          <w:rFonts w:hint="eastAsia" w:ascii="仿宋" w:hAnsi="仿宋" w:eastAsia="仿宋" w:cs="仿宋"/>
          <w:color w:val="auto"/>
          <w:highlight w:val="none"/>
        </w:rPr>
      </w:pPr>
    </w:p>
    <w:p w14:paraId="5B56E422">
      <w:pPr>
        <w:pStyle w:val="5"/>
        <w:shd w:val="clear" w:color="auto" w:fill="auto"/>
        <w:rPr>
          <w:rFonts w:hint="eastAsia" w:ascii="仿宋" w:hAnsi="仿宋" w:eastAsia="仿宋" w:cs="仿宋"/>
          <w:color w:val="auto"/>
          <w:highlight w:val="none"/>
        </w:rPr>
      </w:pPr>
    </w:p>
    <w:p w14:paraId="397C70DF">
      <w:pPr>
        <w:pStyle w:val="5"/>
        <w:shd w:val="clear" w:color="auto" w:fill="auto"/>
        <w:rPr>
          <w:rFonts w:hint="eastAsia" w:ascii="仿宋" w:hAnsi="仿宋" w:eastAsia="仿宋" w:cs="仿宋"/>
          <w:color w:val="auto"/>
          <w:highlight w:val="none"/>
        </w:rPr>
      </w:pPr>
    </w:p>
    <w:p w14:paraId="4ECB1CE3">
      <w:pPr>
        <w:rPr>
          <w:rFonts w:hint="eastAsia" w:ascii="仿宋" w:hAnsi="仿宋" w:eastAsia="仿宋" w:cs="仿宋"/>
          <w:color w:val="auto"/>
        </w:rPr>
      </w:pPr>
    </w:p>
    <w:p w14:paraId="73AEAC19">
      <w:pPr>
        <w:pStyle w:val="4"/>
        <w:rPr>
          <w:rFonts w:hint="eastAsia" w:ascii="仿宋" w:hAnsi="仿宋" w:eastAsia="仿宋" w:cs="仿宋"/>
          <w:color w:val="auto"/>
        </w:rPr>
      </w:pPr>
    </w:p>
    <w:p w14:paraId="245B7C49">
      <w:pPr>
        <w:rPr>
          <w:rFonts w:hint="eastAsia" w:ascii="仿宋" w:hAnsi="仿宋" w:eastAsia="仿宋" w:cs="仿宋"/>
          <w:color w:val="auto"/>
        </w:rPr>
      </w:pPr>
    </w:p>
    <w:p w14:paraId="39841A72">
      <w:pPr>
        <w:rPr>
          <w:rFonts w:hint="eastAsia" w:ascii="仿宋" w:hAnsi="仿宋" w:eastAsia="仿宋" w:cs="仿宋"/>
          <w:color w:val="auto"/>
        </w:rPr>
      </w:pPr>
    </w:p>
    <w:p w14:paraId="17EE62B1">
      <w:pPr>
        <w:rPr>
          <w:rFonts w:hint="eastAsia" w:ascii="仿宋" w:hAnsi="仿宋" w:eastAsia="仿宋" w:cs="仿宋"/>
          <w:color w:val="auto"/>
        </w:rPr>
      </w:pPr>
    </w:p>
    <w:p w14:paraId="1F9BA983">
      <w:pPr>
        <w:shd w:val="clear" w:color="auto" w:fill="auto"/>
        <w:jc w:val="center"/>
        <w:rPr>
          <w:rFonts w:hint="eastAsia" w:ascii="仿宋" w:hAnsi="仿宋" w:eastAsia="仿宋" w:cs="仿宋"/>
          <w:color w:val="auto"/>
          <w:sz w:val="28"/>
          <w:szCs w:val="28"/>
          <w:highlight w:val="none"/>
        </w:rPr>
      </w:pPr>
    </w:p>
    <w:p w14:paraId="66AB31C6">
      <w:pPr>
        <w:shd w:val="clear" w:color="auto" w:fill="auto"/>
        <w:jc w:val="center"/>
        <w:rPr>
          <w:rFonts w:hint="eastAsia" w:ascii="仿宋" w:hAnsi="仿宋" w:eastAsia="仿宋" w:cs="仿宋"/>
          <w:color w:val="auto"/>
          <w:sz w:val="28"/>
          <w:szCs w:val="28"/>
          <w:highlight w:val="none"/>
        </w:rPr>
      </w:pPr>
    </w:p>
    <w:p w14:paraId="0CEDA6B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7E1ACF7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0519258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41FABE8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094D89D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7FC06A5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4CA4F32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697B6F2F">
      <w:pPr>
        <w:ind w:left="4777" w:leftChars="200" w:hanging="4287" w:hangingChars="1750"/>
        <w:rPr>
          <w:rFonts w:hint="eastAsia" w:ascii="宋体" w:hAnsi="宋体" w:eastAsia="宋体" w:cs="宋体"/>
          <w:color w:val="auto"/>
        </w:rPr>
      </w:pPr>
    </w:p>
    <w:p w14:paraId="282A32FA">
      <w:pPr>
        <w:shd w:val="clear" w:color="auto" w:fill="auto"/>
        <w:jc w:val="center"/>
        <w:rPr>
          <w:rFonts w:hint="eastAsia" w:ascii="仿宋" w:hAnsi="仿宋" w:eastAsia="仿宋" w:cs="仿宋"/>
          <w:b/>
          <w:bCs/>
          <w:color w:val="auto"/>
          <w:sz w:val="28"/>
          <w:szCs w:val="28"/>
          <w:highlight w:val="none"/>
        </w:rPr>
      </w:pPr>
      <w:bookmarkStart w:id="82" w:name="bookmark225"/>
      <w:bookmarkStart w:id="83" w:name="bookmark228"/>
      <w:bookmarkStart w:id="84" w:name="bookmark226"/>
      <w:bookmarkStart w:id="85" w:name="bookmark235"/>
      <w:bookmarkStart w:id="86" w:name="bookmark234"/>
      <w:bookmarkStart w:id="87" w:name="bookmark233"/>
      <w:bookmarkStart w:id="88" w:name="bookmark236"/>
    </w:p>
    <w:p w14:paraId="77846051">
      <w:pPr>
        <w:shd w:val="clear" w:color="auto" w:fill="auto"/>
        <w:jc w:val="both"/>
        <w:rPr>
          <w:rFonts w:hint="eastAsia" w:ascii="仿宋" w:hAnsi="仿宋" w:eastAsia="仿宋" w:cs="仿宋"/>
          <w:b/>
          <w:bCs/>
          <w:color w:val="auto"/>
          <w:sz w:val="28"/>
          <w:szCs w:val="28"/>
          <w:highlight w:val="none"/>
        </w:rPr>
      </w:pPr>
    </w:p>
    <w:p w14:paraId="476EC1F5">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政府采购投标担保函 （项目用）</w:t>
      </w:r>
    </w:p>
    <w:p w14:paraId="50EF63E3">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编号：</w:t>
      </w:r>
    </w:p>
    <w:p w14:paraId="56D6F642">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default"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（采购人或采购代理机构）：  </w:t>
      </w:r>
    </w:p>
    <w:p w14:paraId="38D2A0C2">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鉴于               （以下简称“投标人”）拟参加编号为                 的                                       </w:t>
      </w:r>
    </w:p>
    <w:p w14:paraId="0FE3AD98">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项目（以下简称“本项目”）投标，根据本项目谈判文件，供应商参加投标时应向你方交纳投标保证金，且可以投标担保函的形式交纳投标保证金。应供应商的申请，我方以保证的方式向你方提供如下投标保证金担保：</w:t>
      </w:r>
    </w:p>
    <w:p w14:paraId="21E42B7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一、保证责任的情形及保证金额</w:t>
      </w:r>
    </w:p>
    <w:p w14:paraId="01B2FBE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（一）在投标人出现下列情形之一时，我方承担保证责任：</w:t>
      </w:r>
    </w:p>
    <w:p w14:paraId="79E6DAD3">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1．中标后投标人无正当理由不与采购人或者采购代理机构签订《政府采购合同》；</w:t>
      </w:r>
    </w:p>
    <w:p w14:paraId="292491DD">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2．谈判文件规定的投标人应当缴纳保证金的其他情形。</w:t>
      </w:r>
    </w:p>
    <w:p w14:paraId="182A773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（二）我方承担保证责任的最高金额为人民币      元（大写            ），即本项目的投标保证金金额。</w:t>
      </w:r>
    </w:p>
    <w:p w14:paraId="2E5A778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二、保证的方式及保证期间</w:t>
      </w:r>
    </w:p>
    <w:p w14:paraId="452C3AA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我方保证的方式为：连带责任保证。</w:t>
      </w:r>
    </w:p>
    <w:p w14:paraId="09E4928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我方的保证期间为：自本保函生效之日起    个月止。</w:t>
      </w:r>
    </w:p>
    <w:p w14:paraId="4BC1C1BF">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三、承担保证责任的程序</w:t>
      </w:r>
    </w:p>
    <w:p w14:paraId="6E760C5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1B1CE7DF">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2．我方在收到索赔通知及相关证明材料后，在　　　个工作日内进行审查，符合应承担保证责任情形的，我方应按照你方的要求代投标人向你方支付投标保证金。</w:t>
      </w:r>
    </w:p>
    <w:p w14:paraId="3BC070E8">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四、保证责任的终止</w:t>
      </w:r>
    </w:p>
    <w:p w14:paraId="4E9D2B4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1．保证期间届满你方未向我方书面主张保证责任的，自保证期间届满次日起，我方保证责任自动终止。</w:t>
      </w:r>
    </w:p>
    <w:p w14:paraId="41E86E1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2．我方按照本保函向你贵方履行了保证责任后，自我方向你贵方支付款项（支付款项从我方账户划出）之日起，保证责任终止。</w:t>
      </w:r>
    </w:p>
    <w:p w14:paraId="41C19A1D">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3．按照法律法规的规定或出现我方保证责任终止的其它情形的，我方在本保函项下的保证责任亦终止。</w:t>
      </w:r>
    </w:p>
    <w:p w14:paraId="10C076C4">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五、免责条款</w:t>
      </w:r>
    </w:p>
    <w:p w14:paraId="1F1BB9F7">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1．依照法律规定或你方与投标人的另行约定，全部或者部分免除投标人投标保证金义务时，我方亦免除相应的保证责任。</w:t>
      </w:r>
    </w:p>
    <w:p w14:paraId="47343E4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2．因你方原因致使投标人发生本保函第一条第（一）款约定情形的，我方不承担保证责任。</w:t>
      </w:r>
    </w:p>
    <w:p w14:paraId="68E2AA2D">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3．因不可抗力造成投标人发生本保函第一条约定情形的，我方不承担保证责任。</w:t>
      </w:r>
    </w:p>
    <w:p w14:paraId="12083B50">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4．你方或其他有权机关对谈判文件进行任何澄清或修改，加重我方保证责任的，我方对加重部分不承担保证责任，但该澄清或修改经我方事先书面同意的除外。</w:t>
      </w:r>
    </w:p>
    <w:p w14:paraId="50BCD6F0">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六、争议的解决</w:t>
      </w:r>
    </w:p>
    <w:p w14:paraId="6DFE3E5A">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因本保函发生的纠纷，由你我双方协商解决，协商不成的，通过诉讼程序解决，诉讼管辖地法院为          法院。</w:t>
      </w:r>
    </w:p>
    <w:p w14:paraId="70E04CB4">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七、保函的生效</w:t>
      </w:r>
    </w:p>
    <w:p w14:paraId="167BDAC8">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本保函自我方加盖公章之日起生效。</w:t>
      </w:r>
    </w:p>
    <w:p w14:paraId="0D5026E3">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14:paraId="495FDDAC">
      <w:pPr>
        <w:keepNext w:val="0"/>
        <w:keepLines w:val="0"/>
        <w:pageBreakBefore w:val="0"/>
        <w:widowControl w:val="0"/>
        <w:shd w:val="clear" w:color="auto" w:fill="auto"/>
        <w:tabs>
          <w:tab w:val="left" w:pos="5580"/>
          <w:tab w:val="left" w:pos="7010"/>
          <w:tab w:val="right" w:pos="9116"/>
        </w:tabs>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ab/>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保证人：（公章）</w:t>
      </w:r>
    </w:p>
    <w:p w14:paraId="2E074CBC">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14:paraId="6BB8D78A">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jc w:val="center"/>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sectPr>
          <w:footerReference r:id="rId4" w:type="default"/>
          <w:pgSz w:w="11905" w:h="16838"/>
          <w:pgMar w:top="1440" w:right="1310" w:bottom="1440" w:left="1310" w:header="850" w:footer="992" w:gutter="0"/>
          <w:pgNumType w:fmt="decimal" w:start="1"/>
          <w:cols w:space="0" w:num="1"/>
          <w:rtlGutter w:val="0"/>
          <w:docGrid w:type="linesAndChars" w:linePitch="332" w:charSpace="1057"/>
        </w:sect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年     月     日  </w:t>
      </w:r>
    </w:p>
    <w:p w14:paraId="480266B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5、投标企业须提供投标人（被授权在职人员）近6个月内任意一个月有效的社保证明；</w:t>
      </w:r>
    </w:p>
    <w:p w14:paraId="57817B7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auto"/>
          <w:lang w:val="en-US" w:eastAsia="zh-CN"/>
        </w:rPr>
      </w:pPr>
    </w:p>
    <w:p w14:paraId="402053F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说明：复印件上应加盖本单位章</w:t>
      </w:r>
    </w:p>
    <w:p w14:paraId="3FFD676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04D659A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596E82F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3B479ED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70742F6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6、参加政府采购活动前三年内，在经营活动中没有重大违法记录；未被“信用中国”（www.creditchina.gov.cn）、中国政府采购网（www.ccgp.gov.cn）列入失信被执行人、税收违法黑名单、政府采购严重违法失信行为记录名单；</w:t>
      </w:r>
    </w:p>
    <w:p w14:paraId="6F1C05E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6AB023B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4540E94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7、投标人须知资料表要求的其他资格证明文件。</w:t>
      </w:r>
    </w:p>
    <w:p w14:paraId="26CB3B6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p>
    <w:p w14:paraId="7E8E934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p>
    <w:p w14:paraId="02F5D235">
      <w:pPr>
        <w:snapToGrid w:val="0"/>
        <w:spacing w:line="360" w:lineRule="auto"/>
        <w:rPr>
          <w:rFonts w:hint="eastAsia" w:ascii="仿宋" w:hAnsi="仿宋" w:eastAsia="仿宋" w:cs="仿宋"/>
          <w:b/>
          <w:color w:val="auto"/>
          <w:lang w:val="en-US" w:eastAsia="zh-CN"/>
        </w:rPr>
      </w:pPr>
    </w:p>
    <w:p w14:paraId="0A3D79FC">
      <w:pPr>
        <w:snapToGrid w:val="0"/>
        <w:spacing w:line="360" w:lineRule="auto"/>
        <w:rPr>
          <w:rFonts w:hint="eastAsia" w:ascii="仿宋" w:hAnsi="仿宋" w:eastAsia="仿宋" w:cs="仿宋"/>
          <w:b/>
          <w:color w:val="auto"/>
          <w:lang w:val="en-US" w:eastAsia="zh-CN"/>
        </w:rPr>
      </w:pPr>
    </w:p>
    <w:p w14:paraId="51F2F5BA">
      <w:pPr>
        <w:snapToGrid w:val="0"/>
        <w:spacing w:line="360" w:lineRule="auto"/>
        <w:rPr>
          <w:rFonts w:hint="eastAsia" w:ascii="仿宋" w:hAnsi="仿宋" w:eastAsia="仿宋" w:cs="仿宋"/>
          <w:b/>
          <w:color w:val="auto"/>
          <w:lang w:val="en-US" w:eastAsia="zh-CN"/>
        </w:rPr>
      </w:pPr>
    </w:p>
    <w:p w14:paraId="0022B275">
      <w:pPr>
        <w:snapToGrid w:val="0"/>
        <w:spacing w:line="360" w:lineRule="auto"/>
        <w:rPr>
          <w:rFonts w:hint="eastAsia" w:ascii="仿宋" w:hAnsi="仿宋" w:eastAsia="仿宋" w:cs="仿宋"/>
          <w:b/>
          <w:color w:val="auto"/>
          <w:lang w:val="en-US" w:eastAsia="zh-CN"/>
        </w:rPr>
      </w:pPr>
    </w:p>
    <w:p w14:paraId="4B7A6EC5">
      <w:pPr>
        <w:snapToGrid w:val="0"/>
        <w:spacing w:line="360" w:lineRule="auto"/>
        <w:rPr>
          <w:rFonts w:hint="eastAsia" w:ascii="仿宋" w:hAnsi="仿宋" w:eastAsia="仿宋" w:cs="仿宋"/>
          <w:b/>
          <w:color w:val="auto"/>
          <w:lang w:val="en-US" w:eastAsia="zh-CN"/>
        </w:rPr>
      </w:pPr>
    </w:p>
    <w:p w14:paraId="12100DF0">
      <w:pPr>
        <w:snapToGrid w:val="0"/>
        <w:spacing w:line="360" w:lineRule="auto"/>
        <w:rPr>
          <w:rFonts w:hint="eastAsia" w:ascii="仿宋" w:hAnsi="仿宋" w:eastAsia="仿宋" w:cs="仿宋"/>
          <w:b/>
          <w:color w:val="auto"/>
          <w:lang w:val="en-US" w:eastAsia="zh-CN"/>
        </w:rPr>
      </w:pPr>
    </w:p>
    <w:p w14:paraId="2B94E64F">
      <w:pPr>
        <w:snapToGrid w:val="0"/>
        <w:spacing w:line="360" w:lineRule="auto"/>
        <w:rPr>
          <w:rFonts w:hint="eastAsia" w:ascii="仿宋" w:hAnsi="仿宋" w:eastAsia="仿宋" w:cs="仿宋"/>
          <w:b/>
          <w:color w:val="auto"/>
          <w:lang w:val="en-US" w:eastAsia="zh-CN"/>
        </w:rPr>
      </w:pPr>
    </w:p>
    <w:p w14:paraId="472A6556">
      <w:pPr>
        <w:snapToGrid w:val="0"/>
        <w:spacing w:line="360" w:lineRule="auto"/>
        <w:rPr>
          <w:rFonts w:hint="eastAsia" w:ascii="仿宋" w:hAnsi="仿宋" w:eastAsia="仿宋" w:cs="仿宋"/>
          <w:b/>
          <w:color w:val="auto"/>
          <w:lang w:val="en-US" w:eastAsia="zh-CN"/>
        </w:rPr>
      </w:pPr>
    </w:p>
    <w:p w14:paraId="5D67A817">
      <w:pPr>
        <w:snapToGrid w:val="0"/>
        <w:spacing w:line="360" w:lineRule="auto"/>
        <w:rPr>
          <w:rFonts w:hint="eastAsia" w:ascii="仿宋" w:hAnsi="仿宋" w:eastAsia="仿宋" w:cs="仿宋"/>
          <w:b/>
          <w:color w:val="auto"/>
          <w:lang w:val="en-US" w:eastAsia="zh-CN"/>
        </w:rPr>
      </w:pPr>
    </w:p>
    <w:p w14:paraId="638EFCDF">
      <w:pPr>
        <w:snapToGrid w:val="0"/>
        <w:spacing w:line="360" w:lineRule="auto"/>
        <w:rPr>
          <w:rFonts w:hint="eastAsia" w:ascii="仿宋" w:hAnsi="仿宋" w:eastAsia="仿宋" w:cs="仿宋"/>
          <w:b/>
          <w:color w:val="auto"/>
          <w:lang w:val="en-US" w:eastAsia="zh-CN"/>
        </w:rPr>
      </w:pPr>
    </w:p>
    <w:p w14:paraId="1C8AC743">
      <w:pPr>
        <w:snapToGrid w:val="0"/>
        <w:spacing w:line="360" w:lineRule="auto"/>
        <w:rPr>
          <w:rFonts w:hint="eastAsia" w:ascii="仿宋" w:hAnsi="仿宋" w:eastAsia="仿宋" w:cs="仿宋"/>
          <w:b/>
          <w:color w:val="auto"/>
          <w:lang w:val="en-US" w:eastAsia="zh-CN"/>
        </w:rPr>
      </w:pPr>
    </w:p>
    <w:p w14:paraId="2AA8DC00">
      <w:pPr>
        <w:snapToGrid w:val="0"/>
        <w:spacing w:line="360" w:lineRule="auto"/>
        <w:rPr>
          <w:rFonts w:hint="eastAsia" w:ascii="仿宋" w:hAnsi="仿宋" w:eastAsia="仿宋" w:cs="仿宋"/>
          <w:b/>
          <w:color w:val="auto"/>
          <w:lang w:val="en-US" w:eastAsia="zh-CN"/>
        </w:rPr>
      </w:pPr>
    </w:p>
    <w:p w14:paraId="2CEB9ED9">
      <w:pPr>
        <w:snapToGrid w:val="0"/>
        <w:spacing w:line="360" w:lineRule="auto"/>
        <w:jc w:val="both"/>
        <w:rPr>
          <w:rFonts w:hint="eastAsia" w:ascii="仿宋" w:hAnsi="仿宋" w:eastAsia="仿宋" w:cs="仿宋"/>
          <w:b/>
          <w:color w:val="auto"/>
          <w:sz w:val="28"/>
          <w:szCs w:val="28"/>
          <w:lang w:val="en-US" w:eastAsia="zh-CN"/>
        </w:rPr>
      </w:pPr>
    </w:p>
    <w:p w14:paraId="4BC4EAB6">
      <w:pPr>
        <w:snapToGrid w:val="0"/>
        <w:spacing w:line="360" w:lineRule="auto"/>
        <w:jc w:val="center"/>
        <w:rPr>
          <w:rFonts w:hint="eastAsia" w:ascii="仿宋" w:hAnsi="仿宋" w:eastAsia="仿宋" w:cs="仿宋"/>
          <w:b/>
          <w:color w:val="auto"/>
          <w:sz w:val="28"/>
          <w:szCs w:val="28"/>
          <w:lang w:val="en-US" w:eastAsia="zh-CN"/>
        </w:rPr>
      </w:pPr>
    </w:p>
    <w:p w14:paraId="5D0F7492">
      <w:pPr>
        <w:snapToGrid w:val="0"/>
        <w:spacing w:line="360" w:lineRule="auto"/>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商务及技术文件</w:t>
      </w:r>
    </w:p>
    <w:p w14:paraId="2A00323D">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1、投标函</w:t>
      </w:r>
    </w:p>
    <w:p w14:paraId="231309BD">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2、开标一览表</w:t>
      </w:r>
    </w:p>
    <w:p w14:paraId="51B65C69">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default" w:ascii="仿宋" w:hAnsi="仿宋" w:eastAsia="仿宋" w:cs="仿宋"/>
          <w:b/>
          <w:color w:val="auto"/>
          <w:lang w:val="en-US" w:eastAsia="zh-CN"/>
        </w:rPr>
      </w:pPr>
      <w:r>
        <w:rPr>
          <w:rFonts w:hint="eastAsia" w:ascii="仿宋" w:hAnsi="仿宋" w:eastAsia="仿宋" w:cs="仿宋"/>
          <w:b/>
          <w:color w:val="auto"/>
          <w:lang w:val="en-US" w:eastAsia="zh-CN"/>
        </w:rPr>
        <w:t>3、货物说明一览表</w:t>
      </w:r>
    </w:p>
    <w:p w14:paraId="5D5F9290">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4、投标分项报价明细表</w:t>
      </w:r>
    </w:p>
    <w:p w14:paraId="684D1D91">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5、技术规格偏离表</w:t>
      </w:r>
    </w:p>
    <w:p w14:paraId="461283D5">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6、商务条款偏离表</w:t>
      </w:r>
    </w:p>
    <w:p w14:paraId="768C47B5">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7、投标人基本情况表</w:t>
      </w:r>
    </w:p>
    <w:p w14:paraId="1530151C">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default" w:ascii="仿宋" w:hAnsi="仿宋" w:eastAsia="仿宋" w:cs="仿宋"/>
          <w:b/>
          <w:color w:val="auto"/>
          <w:lang w:val="en-US" w:eastAsia="zh-CN"/>
        </w:rPr>
      </w:pPr>
      <w:r>
        <w:rPr>
          <w:rFonts w:hint="eastAsia" w:ascii="仿宋" w:hAnsi="仿宋" w:eastAsia="仿宋" w:cs="仿宋"/>
          <w:b/>
          <w:color w:val="auto"/>
          <w:lang w:val="en-US" w:eastAsia="zh-CN"/>
        </w:rPr>
        <w:t>8、中标服务费支付承诺书</w:t>
      </w:r>
    </w:p>
    <w:p w14:paraId="533E5F9D">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9、中小企业声明函(货物)</w:t>
      </w:r>
    </w:p>
    <w:p w14:paraId="13699DB2">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10、残疾人福利性单位声明函</w:t>
      </w:r>
    </w:p>
    <w:p w14:paraId="560F298E">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highlight w:val="none"/>
          <w:lang w:val="en-US" w:eastAsia="zh-CN"/>
        </w:rPr>
      </w:pPr>
      <w:r>
        <w:rPr>
          <w:rFonts w:hint="eastAsia" w:ascii="仿宋" w:hAnsi="仿宋" w:eastAsia="仿宋" w:cs="仿宋"/>
          <w:b/>
          <w:color w:val="auto"/>
          <w:sz w:val="24"/>
          <w:szCs w:val="24"/>
          <w:highlight w:val="none"/>
          <w:lang w:val="en-US" w:eastAsia="zh-CN"/>
        </w:rPr>
        <w:t>11、关于符合本国产品标准的声明函</w:t>
      </w:r>
    </w:p>
    <w:p w14:paraId="0A2A413A">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lang w:val="en-US" w:eastAsia="zh-CN" w:bidi="en-US"/>
        </w:rPr>
        <w:t>12、</w:t>
      </w:r>
      <w:r>
        <w:rPr>
          <w:rFonts w:hint="eastAsia" w:ascii="仿宋" w:hAnsi="仿宋" w:eastAsia="仿宋" w:cs="仿宋"/>
          <w:b/>
          <w:color w:val="auto"/>
          <w:sz w:val="24"/>
          <w:szCs w:val="24"/>
          <w:highlight w:val="none"/>
          <w:lang w:val="en-US" w:eastAsia="zh-CN"/>
        </w:rPr>
        <w:t>质量保证及售后服务（格式自拟）</w:t>
      </w:r>
    </w:p>
    <w:p w14:paraId="709EEB60">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13、供应商需提供无线电发射设备核准证承诺函，由供应商负责人签字并加盖单位公章（格式自拟）</w:t>
      </w:r>
    </w:p>
    <w:p w14:paraId="03BDB2F9">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sz w:val="24"/>
          <w:szCs w:val="24"/>
          <w:lang w:val="en-US" w:eastAsia="zh-CN" w:bidi="en-US"/>
        </w:rPr>
      </w:pPr>
      <w:r>
        <w:rPr>
          <w:rFonts w:hint="eastAsia" w:ascii="仿宋" w:hAnsi="仿宋" w:eastAsia="仿宋" w:cs="仿宋"/>
          <w:b/>
          <w:color w:val="auto"/>
          <w:sz w:val="24"/>
          <w:szCs w:val="24"/>
          <w:lang w:val="en-US" w:eastAsia="zh-CN" w:bidi="en-US"/>
        </w:rPr>
        <w:t>14、投标产品的资料</w:t>
      </w:r>
    </w:p>
    <w:p w14:paraId="5DB711C9">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sz w:val="24"/>
          <w:szCs w:val="24"/>
          <w:lang w:val="en-US" w:eastAsia="zh-CN" w:bidi="en-US"/>
        </w:rPr>
      </w:pPr>
    </w:p>
    <w:p w14:paraId="5DB1FD6A">
      <w:pPr>
        <w:pStyle w:val="28"/>
        <w:rPr>
          <w:color w:val="auto"/>
        </w:rPr>
      </w:pPr>
    </w:p>
    <w:p w14:paraId="411021B9">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14:paraId="2516E378">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14:paraId="27585D8F">
      <w:pPr>
        <w:pStyle w:val="7"/>
        <w:numPr>
          <w:ilvl w:val="0"/>
          <w:numId w:val="0"/>
        </w:numPr>
        <w:kinsoku w:val="0"/>
        <w:overflowPunct w:val="0"/>
        <w:spacing w:before="130" w:line="355" w:lineRule="auto"/>
        <w:ind w:right="7" w:rightChars="0"/>
        <w:jc w:val="both"/>
        <w:rPr>
          <w:rFonts w:hint="eastAsia" w:ascii="仿宋" w:hAnsi="仿宋" w:eastAsia="仿宋" w:cs="仿宋"/>
          <w:b/>
          <w:bCs/>
          <w:color w:val="auto"/>
          <w:sz w:val="36"/>
          <w:szCs w:val="36"/>
          <w:lang w:val="en-US" w:eastAsia="zh-CN"/>
        </w:rPr>
      </w:pPr>
    </w:p>
    <w:p w14:paraId="3ADD8AEA">
      <w:pPr>
        <w:pStyle w:val="7"/>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rPr>
        <w:t>、投标函</w:t>
      </w:r>
    </w:p>
    <w:p w14:paraId="080688EC">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14:paraId="45EE9989">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14:paraId="6A5EFF92">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lang w:eastAsia="zh-CN"/>
        </w:rPr>
        <w:t>谈判文件</w:t>
      </w:r>
      <w:r>
        <w:rPr>
          <w:rFonts w:hint="eastAsia" w:ascii="仿宋" w:hAnsi="仿宋" w:eastAsia="仿宋" w:cs="仿宋"/>
          <w:color w:val="auto"/>
          <w:kern w:val="0"/>
          <w:sz w:val="24"/>
        </w:rPr>
        <w:t>的全部内容。</w:t>
      </w:r>
    </w:p>
    <w:p w14:paraId="7104E252">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的所有内容，包括澄清、修改文件（如果有）和所有已提供的参考资料以及有关附件，我方完全明白并认为此</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没有倾向性，也不存在排斥潜在报价投标人的内容，我方同意</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的相关条款，放弃对</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提出误解和质疑的一切权力。</w:t>
      </w:r>
    </w:p>
    <w:p w14:paraId="77C68C3A">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14:paraId="163FA360">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的所有条款要求，并申明如下：</w:t>
      </w:r>
    </w:p>
    <w:p w14:paraId="480B8F11">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提供的全部货物与相关服务的投标总价详见《报价一览表》。</w:t>
      </w:r>
    </w:p>
    <w:p w14:paraId="6E4FB296">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0E56FF1D">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14:paraId="7CABC4AE">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）我方理解贵方不一定接受最低投标价或任何贵方可能收到的投标。</w:t>
      </w:r>
    </w:p>
    <w:p w14:paraId="691C564D">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）我方如果中标，将保证履行</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及其澄清、修改文件（如果有）中的全部责任和义务，按质、按量、按期完成《招标内容》及《合同书》中的全部任务。</w:t>
      </w:r>
    </w:p>
    <w:p w14:paraId="6B173575">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）如我方被授予合同，我方承诺支付就本次招标应支付或将支付的中标服务费（详见按</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要求格式填写的《中标服务费支付承诺书》）。</w:t>
      </w:r>
    </w:p>
    <w:p w14:paraId="371905EA">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14:paraId="4E0A51F4">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）我方投标报价已包含应向知识产权所有权人支付的所有相关税费，并保证采购人在中国使用我方提供的货物时，如有第三方提出侵犯其知识产权主张的，责任由我方承担。</w:t>
      </w:r>
    </w:p>
    <w:p w14:paraId="29BB7D52">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）我方与其他投标人不存在单位负责人为同一人或者存在直接控股、管理关系。</w:t>
      </w:r>
    </w:p>
    <w:p w14:paraId="138786CF">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（十）我方承诺未为本项目提供整体设计、规范编制或者项目管理、监理、检测等服务。</w:t>
      </w:r>
    </w:p>
    <w:p w14:paraId="109FEE78">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（十</w:t>
      </w:r>
      <w:r>
        <w:rPr>
          <w:rFonts w:hint="eastAsia" w:ascii="仿宋" w:hAnsi="仿宋" w:eastAsia="仿宋" w:cs="仿宋"/>
          <w:color w:val="auto"/>
          <w:kern w:val="0"/>
          <w:sz w:val="24"/>
          <w:lang w:eastAsia="zh-CN"/>
        </w:rPr>
        <w:t>一</w:t>
      </w:r>
      <w:r>
        <w:rPr>
          <w:rFonts w:hint="eastAsia" w:ascii="仿宋" w:hAnsi="仿宋" w:eastAsia="仿宋" w:cs="仿宋"/>
          <w:color w:val="auto"/>
          <w:kern w:val="0"/>
          <w:sz w:val="24"/>
        </w:rPr>
        <w:t>）我方具备《政府采购法》第二十二条规定的条件，承诺如下：</w:t>
      </w:r>
    </w:p>
    <w:p w14:paraId="543DBA0E">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14:paraId="567765C4">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14:paraId="30716FAB">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14:paraId="3439713F">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14:paraId="14B0AB79">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14:paraId="76603B2F">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14:paraId="649A6A09">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（十三）我方对在本函及</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中所作的所有承诺承担法律责任。</w:t>
      </w:r>
    </w:p>
    <w:p w14:paraId="4DF9A043">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（十四）所有与本招标有关的函件请发往下列地址：</w:t>
      </w:r>
    </w:p>
    <w:p w14:paraId="5DD741AB">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231BF03B">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657F4659">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0844F32E">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389A3FDA">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（公章） </w:t>
      </w:r>
    </w:p>
    <w:p w14:paraId="357FCD3E">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法定代表人或委托人：</w:t>
      </w:r>
      <w:r>
        <w:rPr>
          <w:rFonts w:hint="eastAsia" w:ascii="仿宋" w:hAnsi="仿宋" w:eastAsia="仿宋" w:cs="仿宋"/>
          <w:color w:val="auto"/>
          <w:kern w:val="0"/>
          <w:sz w:val="24"/>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签字或盖章</w:t>
      </w:r>
      <w:r>
        <w:rPr>
          <w:rFonts w:hint="eastAsia" w:ascii="仿宋" w:hAnsi="仿宋" w:eastAsia="仿宋" w:cs="仿宋"/>
          <w:color w:val="auto"/>
          <w:kern w:val="0"/>
          <w:sz w:val="24"/>
        </w:rPr>
        <w:t xml:space="preserve">）  </w:t>
      </w:r>
    </w:p>
    <w:p w14:paraId="5F8F9576">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rPr>
        <w:tab/>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14:paraId="5A06026D">
      <w:pPr>
        <w:pStyle w:val="28"/>
        <w:rPr>
          <w:rFonts w:hint="eastAsia" w:ascii="仿宋" w:hAnsi="仿宋" w:eastAsia="仿宋" w:cs="仿宋"/>
          <w:color w:val="auto"/>
          <w:sz w:val="24"/>
          <w:highlight w:val="none"/>
        </w:rPr>
      </w:pPr>
      <w:r>
        <w:rPr>
          <w:rFonts w:hint="eastAsia" w:ascii="仿宋" w:hAnsi="仿宋" w:eastAsia="仿宋" w:cs="仿宋"/>
          <w:color w:val="auto"/>
        </w:rPr>
        <w:br w:type="page"/>
      </w:r>
    </w:p>
    <w:p w14:paraId="71BAC384">
      <w:pPr>
        <w:pStyle w:val="5"/>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bCs w:val="0"/>
          <w:color w:val="auto"/>
          <w:sz w:val="36"/>
          <w:szCs w:val="24"/>
          <w:highlight w:val="none"/>
          <w:lang w:val="en-US" w:eastAsia="zh-CN"/>
        </w:rPr>
        <w:t>2</w:t>
      </w:r>
      <w:r>
        <w:rPr>
          <w:rFonts w:hint="eastAsia" w:ascii="仿宋" w:hAnsi="仿宋" w:eastAsia="仿宋" w:cs="仿宋"/>
          <w:b/>
          <w:bCs w:val="0"/>
          <w:color w:val="auto"/>
          <w:sz w:val="36"/>
          <w:szCs w:val="24"/>
          <w:highlight w:val="none"/>
          <w:lang w:eastAsia="zh-CN"/>
        </w:rPr>
        <w:t>、</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14:paraId="7CFA2456">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p>
    <w:p w14:paraId="4A3AB03A">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i/>
          <w:iCs/>
          <w:color w:val="auto"/>
          <w:szCs w:val="21"/>
          <w:highlight w:val="none"/>
          <w:lang w:val="en-US" w:eastAsia="zh-CN"/>
        </w:rPr>
        <w:t xml:space="preserve">                                  </w:t>
      </w:r>
    </w:p>
    <w:p w14:paraId="3CB54453">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单位：元（人民币）</w:t>
      </w:r>
    </w:p>
    <w:tbl>
      <w:tblPr>
        <w:tblStyle w:val="21"/>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14:paraId="1A43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14:paraId="4F204CB4">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vAlign w:val="center"/>
          </w:tcPr>
          <w:p w14:paraId="6F5ECC5D">
            <w:pPr>
              <w:shd w:val="clear" w:color="auto" w:fill="auto"/>
              <w:rPr>
                <w:rFonts w:hint="eastAsia" w:ascii="仿宋" w:hAnsi="仿宋" w:eastAsia="仿宋" w:cs="仿宋"/>
                <w:color w:val="auto"/>
                <w:szCs w:val="21"/>
                <w:highlight w:val="none"/>
              </w:rPr>
            </w:pPr>
          </w:p>
        </w:tc>
      </w:tr>
      <w:tr w14:paraId="1C7F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040BE7A6">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供货期（天）</w:t>
            </w:r>
          </w:p>
        </w:tc>
        <w:tc>
          <w:tcPr>
            <w:tcW w:w="6185" w:type="dxa"/>
            <w:vAlign w:val="center"/>
          </w:tcPr>
          <w:p w14:paraId="3ECB90B3">
            <w:pPr>
              <w:shd w:val="clear" w:color="auto" w:fill="auto"/>
              <w:jc w:val="center"/>
              <w:rPr>
                <w:rFonts w:hint="eastAsia" w:ascii="仿宋" w:hAnsi="仿宋" w:eastAsia="仿宋" w:cs="仿宋"/>
                <w:color w:val="auto"/>
                <w:szCs w:val="21"/>
                <w:highlight w:val="none"/>
              </w:rPr>
            </w:pPr>
          </w:p>
        </w:tc>
      </w:tr>
      <w:tr w14:paraId="6499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13D64A99">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vAlign w:val="center"/>
          </w:tcPr>
          <w:p w14:paraId="4C11F6EB">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14:paraId="1DAD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4B8675C1">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投标报价</w:t>
            </w:r>
          </w:p>
          <w:p w14:paraId="7D493851">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vAlign w:val="center"/>
          </w:tcPr>
          <w:p w14:paraId="0F7218A0">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vAlign w:val="center"/>
          </w:tcPr>
          <w:p w14:paraId="714793E0">
            <w:pPr>
              <w:shd w:val="clear" w:color="auto" w:fill="auto"/>
              <w:ind w:firstLine="1944" w:firstLineChars="800"/>
              <w:jc w:val="both"/>
              <w:rPr>
                <w:rFonts w:hint="default" w:ascii="仿宋" w:hAnsi="仿宋" w:eastAsia="仿宋" w:cs="仿宋"/>
                <w:color w:val="auto"/>
                <w:szCs w:val="21"/>
                <w:highlight w:val="none"/>
                <w:lang w:val="en-US" w:eastAsia="zh-CN"/>
              </w:rPr>
            </w:pPr>
          </w:p>
        </w:tc>
      </w:tr>
      <w:tr w14:paraId="6C33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7100F2ED">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vAlign w:val="center"/>
          </w:tcPr>
          <w:p w14:paraId="5D5D918C">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vAlign w:val="center"/>
          </w:tcPr>
          <w:p w14:paraId="156C1D13">
            <w:pPr>
              <w:shd w:val="clear" w:color="auto" w:fill="auto"/>
              <w:ind w:firstLine="1944" w:firstLineChars="800"/>
              <w:jc w:val="both"/>
              <w:rPr>
                <w:rFonts w:hint="eastAsia" w:ascii="仿宋" w:hAnsi="仿宋" w:eastAsia="仿宋" w:cs="仿宋"/>
                <w:color w:val="auto"/>
                <w:szCs w:val="21"/>
                <w:highlight w:val="none"/>
              </w:rPr>
            </w:pPr>
          </w:p>
        </w:tc>
      </w:tr>
    </w:tbl>
    <w:p w14:paraId="2C5F31E7">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14:paraId="3B497E69">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1.开标时，本表中的内容与</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3684D7ED">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.投标总价为招标范围所列全部招标项目的报价总和，并应与投标报价明细表及分项价格表保持一致。</w:t>
      </w:r>
    </w:p>
    <w:p w14:paraId="3F03794D">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.必须在</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中装订。</w:t>
      </w:r>
    </w:p>
    <w:p w14:paraId="0410A50A">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.投标报价不得填报选择性报价。</w:t>
      </w:r>
    </w:p>
    <w:p w14:paraId="056D7535">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14:paraId="73FD737E">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2C34CB21">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3A4DB42D">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117E9400">
      <w:pPr>
        <w:shd w:val="clear" w:color="auto" w:fill="auto"/>
        <w:spacing w:line="500" w:lineRule="exact"/>
        <w:ind w:firstLine="486" w:firstLineChars="200"/>
        <w:rPr>
          <w:rFonts w:hint="eastAsia" w:ascii="仿宋" w:hAnsi="仿宋" w:eastAsia="仿宋" w:cs="仿宋"/>
          <w:color w:val="auto"/>
          <w:szCs w:val="21"/>
          <w:highlight w:val="none"/>
        </w:rPr>
      </w:pPr>
    </w:p>
    <w:p w14:paraId="54A5232E">
      <w:pPr>
        <w:shd w:val="clear" w:color="auto" w:fill="auto"/>
        <w:spacing w:line="500" w:lineRule="exact"/>
        <w:ind w:firstLine="486" w:firstLineChars="200"/>
        <w:rPr>
          <w:rFonts w:hint="eastAsia" w:ascii="仿宋" w:hAnsi="仿宋" w:eastAsia="仿宋" w:cs="仿宋"/>
          <w:color w:val="auto"/>
          <w:szCs w:val="21"/>
          <w:highlight w:val="none"/>
          <w:lang w:val="en-US" w:eastAsia="zh-CN"/>
        </w:rPr>
      </w:pPr>
    </w:p>
    <w:p w14:paraId="5C5D9258">
      <w:pPr>
        <w:pStyle w:val="31"/>
        <w:keepNext/>
        <w:keepLines/>
        <w:spacing w:before="0" w:after="22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3、货物说明一览表</w:t>
      </w:r>
    </w:p>
    <w:p w14:paraId="6608E60B">
      <w:pPr>
        <w:pStyle w:val="10"/>
        <w:spacing w:line="240" w:lineRule="atLeast"/>
        <w:ind w:left="1164" w:leftChars="257" w:hanging="540"/>
        <w:rPr>
          <w:rFonts w:ascii="仿宋" w:hAnsi="仿宋" w:eastAsia="仿宋" w:cs="仿宋"/>
          <w:color w:val="auto"/>
          <w:highlight w:val="none"/>
          <w:lang w:eastAsia="zh-CN"/>
        </w:rPr>
      </w:pPr>
    </w:p>
    <w:p w14:paraId="22E31B4E">
      <w:pPr>
        <w:pStyle w:val="10"/>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6F7C876D">
      <w:pPr>
        <w:pStyle w:val="10"/>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招标编号: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 xml:space="preserve">                     </w:t>
      </w:r>
    </w:p>
    <w:p w14:paraId="554C6E6E">
      <w:pPr>
        <w:pStyle w:val="10"/>
        <w:spacing w:line="240" w:lineRule="atLeast"/>
        <w:ind w:left="1164" w:leftChars="257" w:hanging="540"/>
        <w:rPr>
          <w:rFonts w:ascii="仿宋" w:hAnsi="仿宋" w:eastAsia="仿宋" w:cs="仿宋"/>
          <w:color w:val="auto"/>
          <w:highlight w:val="none"/>
          <w:lang w:eastAsia="zh-CN"/>
        </w:rPr>
      </w:pPr>
    </w:p>
    <w:tbl>
      <w:tblPr>
        <w:tblStyle w:val="21"/>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040"/>
        <w:gridCol w:w="1370"/>
        <w:gridCol w:w="1420"/>
        <w:gridCol w:w="1101"/>
      </w:tblGrid>
      <w:tr w14:paraId="3776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14:paraId="46DB7316">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序号</w:t>
            </w:r>
          </w:p>
        </w:tc>
        <w:tc>
          <w:tcPr>
            <w:tcW w:w="1400" w:type="dxa"/>
            <w:vAlign w:val="center"/>
          </w:tcPr>
          <w:p w14:paraId="25B42A5E">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货物名称</w:t>
            </w:r>
          </w:p>
        </w:tc>
        <w:tc>
          <w:tcPr>
            <w:tcW w:w="1410" w:type="dxa"/>
            <w:vAlign w:val="center"/>
          </w:tcPr>
          <w:p w14:paraId="1DE88EE6">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主要规格</w:t>
            </w:r>
          </w:p>
        </w:tc>
        <w:tc>
          <w:tcPr>
            <w:tcW w:w="1040" w:type="dxa"/>
            <w:vAlign w:val="center"/>
          </w:tcPr>
          <w:p w14:paraId="774CBD74">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数量</w:t>
            </w:r>
          </w:p>
        </w:tc>
        <w:tc>
          <w:tcPr>
            <w:tcW w:w="1370" w:type="dxa"/>
            <w:vAlign w:val="center"/>
          </w:tcPr>
          <w:p w14:paraId="3D1DBAF2">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供货期</w:t>
            </w:r>
          </w:p>
        </w:tc>
        <w:tc>
          <w:tcPr>
            <w:tcW w:w="1420" w:type="dxa"/>
            <w:vAlign w:val="center"/>
          </w:tcPr>
          <w:p w14:paraId="11B9CD84">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交货地点</w:t>
            </w:r>
          </w:p>
        </w:tc>
        <w:tc>
          <w:tcPr>
            <w:tcW w:w="1101" w:type="dxa"/>
            <w:vAlign w:val="center"/>
          </w:tcPr>
          <w:p w14:paraId="2F082FBA">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其它</w:t>
            </w:r>
          </w:p>
        </w:tc>
      </w:tr>
      <w:tr w14:paraId="00FE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009A807D">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2670FFEE">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1B852CF8">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18AB82D3">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5A09EDEA">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173C056C">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60B28B27">
            <w:pPr>
              <w:pStyle w:val="10"/>
              <w:spacing w:line="240" w:lineRule="atLeast"/>
              <w:ind w:left="1164" w:leftChars="257" w:hanging="540"/>
              <w:rPr>
                <w:rFonts w:ascii="仿宋" w:hAnsi="仿宋" w:eastAsia="仿宋" w:cs="仿宋"/>
                <w:color w:val="auto"/>
                <w:highlight w:val="none"/>
                <w:lang w:eastAsia="zh-CN"/>
              </w:rPr>
            </w:pPr>
          </w:p>
        </w:tc>
      </w:tr>
      <w:tr w14:paraId="1544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290F0562">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6CED6C92">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67B9CED0">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3EB80A05">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5D61466A">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3F5E7254">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7B3FAC7B">
            <w:pPr>
              <w:pStyle w:val="10"/>
              <w:spacing w:line="240" w:lineRule="atLeast"/>
              <w:ind w:left="1164" w:leftChars="257" w:hanging="540"/>
              <w:rPr>
                <w:rFonts w:ascii="仿宋" w:hAnsi="仿宋" w:eastAsia="仿宋" w:cs="仿宋"/>
                <w:color w:val="auto"/>
                <w:highlight w:val="none"/>
                <w:lang w:eastAsia="zh-CN"/>
              </w:rPr>
            </w:pPr>
          </w:p>
        </w:tc>
      </w:tr>
      <w:tr w14:paraId="5A4F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6E7B58DF">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55C9C377">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0DB82952">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398127E6">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32913E0C">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62211C1E">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0179BC57">
            <w:pPr>
              <w:pStyle w:val="10"/>
              <w:spacing w:line="240" w:lineRule="atLeast"/>
              <w:ind w:left="1164" w:leftChars="257" w:hanging="540"/>
              <w:rPr>
                <w:rFonts w:ascii="仿宋" w:hAnsi="仿宋" w:eastAsia="仿宋" w:cs="仿宋"/>
                <w:color w:val="auto"/>
                <w:highlight w:val="none"/>
                <w:lang w:eastAsia="zh-CN"/>
              </w:rPr>
            </w:pPr>
          </w:p>
        </w:tc>
      </w:tr>
      <w:tr w14:paraId="372B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76603E2F">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09EEDD21">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348D3FA8">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5DDD4D8D">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7EB8CCC4">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3F521AB7">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3A441F0C">
            <w:pPr>
              <w:pStyle w:val="10"/>
              <w:spacing w:line="240" w:lineRule="atLeast"/>
              <w:ind w:left="1164" w:leftChars="257" w:hanging="540"/>
              <w:rPr>
                <w:rFonts w:ascii="仿宋" w:hAnsi="仿宋" w:eastAsia="仿宋" w:cs="仿宋"/>
                <w:color w:val="auto"/>
                <w:highlight w:val="none"/>
                <w:lang w:eastAsia="zh-CN"/>
              </w:rPr>
            </w:pPr>
          </w:p>
        </w:tc>
      </w:tr>
      <w:tr w14:paraId="1627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14:paraId="4AB4D82F">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6A4EF0C6">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6B40B5D7">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08445C08">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6AD0BC06">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048A4D9C">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6A6D45C2">
            <w:pPr>
              <w:pStyle w:val="10"/>
              <w:spacing w:line="240" w:lineRule="atLeast"/>
              <w:ind w:left="1164" w:leftChars="257" w:hanging="540"/>
              <w:rPr>
                <w:rFonts w:ascii="仿宋" w:hAnsi="仿宋" w:eastAsia="仿宋" w:cs="仿宋"/>
                <w:color w:val="auto"/>
                <w:highlight w:val="none"/>
                <w:lang w:eastAsia="zh-CN"/>
              </w:rPr>
            </w:pPr>
          </w:p>
        </w:tc>
      </w:tr>
      <w:tr w14:paraId="3FD4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14:paraId="60AE30B0">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79F3CD31">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2D5470B7">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65667968">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79326E1E">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5FD722DC">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6BE382F4">
            <w:pPr>
              <w:pStyle w:val="10"/>
              <w:spacing w:line="240" w:lineRule="atLeast"/>
              <w:ind w:left="1164" w:leftChars="257" w:hanging="540"/>
              <w:rPr>
                <w:rFonts w:ascii="仿宋" w:hAnsi="仿宋" w:eastAsia="仿宋" w:cs="仿宋"/>
                <w:color w:val="auto"/>
                <w:highlight w:val="none"/>
                <w:lang w:eastAsia="zh-CN"/>
              </w:rPr>
            </w:pPr>
          </w:p>
        </w:tc>
      </w:tr>
      <w:tr w14:paraId="4E04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14:paraId="128CC848">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097C8898">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119A2EE7">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76B6DD40">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7BF2C851">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4B59795E">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26FAB752">
            <w:pPr>
              <w:pStyle w:val="10"/>
              <w:spacing w:line="240" w:lineRule="atLeast"/>
              <w:ind w:left="1164" w:leftChars="257" w:hanging="540"/>
              <w:rPr>
                <w:rFonts w:ascii="仿宋" w:hAnsi="仿宋" w:eastAsia="仿宋" w:cs="仿宋"/>
                <w:color w:val="auto"/>
                <w:highlight w:val="none"/>
                <w:lang w:eastAsia="zh-CN"/>
              </w:rPr>
            </w:pPr>
          </w:p>
        </w:tc>
      </w:tr>
      <w:tr w14:paraId="752C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14:paraId="17C07C28">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775B4C95">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0950A334">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1DF91A5C">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55E86F3A">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47DFCBC5">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11E68327">
            <w:pPr>
              <w:pStyle w:val="10"/>
              <w:spacing w:line="240" w:lineRule="atLeast"/>
              <w:ind w:left="1164" w:leftChars="257" w:hanging="540"/>
              <w:rPr>
                <w:rFonts w:ascii="仿宋" w:hAnsi="仿宋" w:eastAsia="仿宋" w:cs="仿宋"/>
                <w:color w:val="auto"/>
                <w:highlight w:val="none"/>
                <w:lang w:eastAsia="zh-CN"/>
              </w:rPr>
            </w:pPr>
          </w:p>
        </w:tc>
      </w:tr>
    </w:tbl>
    <w:p w14:paraId="5240E8B5">
      <w:pPr>
        <w:pStyle w:val="10"/>
        <w:spacing w:line="240" w:lineRule="atLeast"/>
        <w:ind w:left="1164" w:leftChars="257" w:hanging="540"/>
        <w:rPr>
          <w:rFonts w:ascii="仿宋" w:hAnsi="仿宋" w:eastAsia="仿宋" w:cs="仿宋"/>
          <w:color w:val="auto"/>
          <w:highlight w:val="none"/>
        </w:rPr>
      </w:pPr>
    </w:p>
    <w:p w14:paraId="468E2511">
      <w:pPr>
        <w:pStyle w:val="10"/>
        <w:spacing w:line="240" w:lineRule="atLeast"/>
        <w:ind w:left="1164" w:leftChars="257" w:hanging="540"/>
        <w:rPr>
          <w:rFonts w:hAnsi="宋体" w:eastAsia="宋体" w:cs="宋体"/>
          <w:color w:val="auto"/>
          <w:highlight w:val="none"/>
          <w:lang w:eastAsia="zh-CN"/>
        </w:rPr>
      </w:pPr>
      <w:r>
        <w:rPr>
          <w:rFonts w:hint="eastAsia" w:ascii="仿宋" w:hAnsi="仿宋" w:eastAsia="仿宋" w:cs="仿宋"/>
          <w:color w:val="auto"/>
          <w:highlight w:val="none"/>
          <w:lang w:eastAsia="zh-CN"/>
        </w:rPr>
        <w:t>法定代表人或其委托代理人签字:</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hAnsi="宋体" w:eastAsia="宋体" w:cs="宋体"/>
          <w:color w:val="auto"/>
          <w:highlight w:val="none"/>
          <w:u w:val="single"/>
          <w:lang w:eastAsia="zh-CN"/>
        </w:rPr>
        <w:t xml:space="preserve">         </w:t>
      </w:r>
    </w:p>
    <w:p w14:paraId="0FD2489A">
      <w:pPr>
        <w:pStyle w:val="10"/>
        <w:tabs>
          <w:tab w:val="left" w:pos="5370"/>
        </w:tabs>
        <w:spacing w:line="240" w:lineRule="atLeast"/>
        <w:ind w:left="1164" w:leftChars="257" w:hanging="540"/>
        <w:rPr>
          <w:rFonts w:ascii="仿宋" w:hAnsi="仿宋" w:eastAsia="仿宋" w:cs="仿宋"/>
          <w:color w:val="auto"/>
          <w:highlight w:val="none"/>
          <w:lang w:eastAsia="zh-CN"/>
        </w:rPr>
      </w:pPr>
    </w:p>
    <w:p w14:paraId="1771A988">
      <w:pPr>
        <w:pStyle w:val="10"/>
        <w:tabs>
          <w:tab w:val="left" w:pos="5370"/>
        </w:tabs>
        <w:spacing w:line="240" w:lineRule="atLeast"/>
        <w:ind w:left="1164" w:leftChars="257" w:hanging="54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供应商(盖单位章):</w:t>
      </w:r>
      <w:r>
        <w:rPr>
          <w:rFonts w:hint="eastAsia" w:ascii="仿宋" w:hAnsi="仿宋" w:eastAsia="仿宋" w:cs="仿宋"/>
          <w:color w:val="auto"/>
          <w:highlight w:val="none"/>
          <w:u w:val="single"/>
          <w:lang w:eastAsia="zh-CN"/>
        </w:rPr>
        <w:tab/>
      </w:r>
    </w:p>
    <w:p w14:paraId="0A862A09">
      <w:pPr>
        <w:pStyle w:val="10"/>
        <w:spacing w:line="240" w:lineRule="atLeast"/>
        <w:ind w:left="1164" w:leftChars="257" w:hanging="540"/>
        <w:rPr>
          <w:rFonts w:ascii="仿宋" w:hAnsi="仿宋" w:eastAsia="仿宋" w:cs="仿宋"/>
          <w:color w:val="auto"/>
          <w:highlight w:val="none"/>
          <w:lang w:eastAsia="zh-CN"/>
        </w:rPr>
      </w:pPr>
    </w:p>
    <w:p w14:paraId="47E47CD4">
      <w:pPr>
        <w:pStyle w:val="10"/>
        <w:spacing w:line="240" w:lineRule="atLeast"/>
        <w:ind w:left="1164" w:leftChars="257" w:hanging="540"/>
        <w:rPr>
          <w:rFonts w:hAnsi="宋体" w:eastAsia="宋体" w:cs="宋体"/>
          <w:color w:val="auto"/>
          <w:highlight w:val="none"/>
          <w:lang w:eastAsia="zh-CN"/>
        </w:rPr>
      </w:pPr>
      <w:r>
        <w:rPr>
          <w:rFonts w:hint="eastAsia" w:ascii="仿宋" w:hAnsi="仿宋" w:eastAsia="仿宋" w:cs="仿宋"/>
          <w:color w:val="auto"/>
          <w:highlight w:val="none"/>
          <w:lang w:eastAsia="zh-CN"/>
        </w:rPr>
        <w:t>注: 各项货物详细技术性能应另页描述</w:t>
      </w:r>
      <w:r>
        <w:rPr>
          <w:rFonts w:hint="eastAsia" w:hAnsi="宋体" w:eastAsia="宋体" w:cs="宋体"/>
          <w:color w:val="auto"/>
          <w:highlight w:val="none"/>
          <w:lang w:eastAsia="zh-CN"/>
        </w:rPr>
        <w:t>。</w:t>
      </w:r>
    </w:p>
    <w:p w14:paraId="7E5C67E7">
      <w:pPr>
        <w:pStyle w:val="10"/>
        <w:spacing w:line="240" w:lineRule="atLeast"/>
        <w:ind w:left="1164" w:leftChars="257" w:hanging="540"/>
        <w:jc w:val="center"/>
        <w:rPr>
          <w:rFonts w:hAnsi="宋体" w:eastAsia="宋体" w:cs="宋体"/>
          <w:color w:val="auto"/>
          <w:highlight w:val="none"/>
          <w:lang w:eastAsia="zh-CN"/>
        </w:rPr>
      </w:pPr>
    </w:p>
    <w:p w14:paraId="3D60F108">
      <w:pPr>
        <w:pStyle w:val="10"/>
        <w:spacing w:line="240" w:lineRule="atLeast"/>
        <w:ind w:left="1164" w:leftChars="257" w:hanging="540"/>
        <w:jc w:val="center"/>
        <w:rPr>
          <w:rFonts w:hAnsi="宋体" w:eastAsia="宋体" w:cs="宋体"/>
          <w:color w:val="auto"/>
          <w:highlight w:val="none"/>
          <w:lang w:eastAsia="zh-CN"/>
        </w:rPr>
        <w:sectPr>
          <w:footerReference r:id="rId5" w:type="default"/>
          <w:pgSz w:w="11905" w:h="16838"/>
          <w:pgMar w:top="1440" w:right="1797" w:bottom="1440" w:left="1797" w:header="850" w:footer="992" w:gutter="0"/>
          <w:cols w:space="720" w:num="1"/>
          <w:docGrid w:type="linesAndChars" w:linePitch="325" w:charSpace="635"/>
        </w:sectPr>
      </w:pPr>
    </w:p>
    <w:p w14:paraId="6CDA769A">
      <w:pPr>
        <w:pStyle w:val="31"/>
        <w:keepNext/>
        <w:keepLines/>
        <w:spacing w:before="0" w:after="220"/>
        <w:rPr>
          <w:rFonts w:ascii="仿宋" w:hAnsi="仿宋" w:eastAsia="仿宋" w:cs="仿宋"/>
          <w:b/>
          <w:bCs/>
          <w:color w:val="auto"/>
          <w:highlight w:val="none"/>
        </w:rPr>
      </w:pP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lang w:eastAsia="zh-CN"/>
        </w:rPr>
        <w:t>、投标分项报价明细表</w:t>
      </w:r>
    </w:p>
    <w:p w14:paraId="1AE968A2">
      <w:pPr>
        <w:pStyle w:val="31"/>
        <w:keepNext/>
        <w:keepLines/>
        <w:spacing w:before="0" w:after="22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646BD448">
      <w:pPr>
        <w:pStyle w:val="31"/>
        <w:keepNext/>
        <w:keepLines/>
        <w:spacing w:before="0" w:after="220"/>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p>
    <w:p w14:paraId="01014C68">
      <w:pPr>
        <w:pStyle w:val="10"/>
        <w:spacing w:line="240" w:lineRule="atLeast"/>
        <w:ind w:left="1157" w:leftChars="257" w:hanging="54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单位：</w:t>
      </w:r>
      <w:r>
        <w:rPr>
          <w:rFonts w:hint="eastAsia" w:ascii="仿宋" w:hAnsi="仿宋" w:eastAsia="仿宋" w:cs="仿宋"/>
          <w:color w:val="auto"/>
          <w:szCs w:val="21"/>
          <w:highlight w:val="none"/>
          <w:lang w:eastAsia="zh-CN"/>
        </w:rPr>
        <w:t>元（人民币）</w:t>
      </w:r>
    </w:p>
    <w:tbl>
      <w:tblPr>
        <w:tblStyle w:val="21"/>
        <w:tblW w:w="94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8"/>
        <w:gridCol w:w="842"/>
        <w:gridCol w:w="900"/>
        <w:gridCol w:w="1443"/>
        <w:gridCol w:w="1496"/>
        <w:gridCol w:w="716"/>
        <w:gridCol w:w="709"/>
        <w:gridCol w:w="886"/>
        <w:gridCol w:w="820"/>
        <w:gridCol w:w="820"/>
      </w:tblGrid>
      <w:tr w14:paraId="1295A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5853DB14">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842" w:type="dxa"/>
            <w:tcBorders>
              <w:top w:val="single" w:color="auto" w:sz="4" w:space="0"/>
              <w:left w:val="single" w:color="auto" w:sz="4" w:space="0"/>
              <w:bottom w:val="single" w:color="auto" w:sz="4" w:space="0"/>
              <w:right w:val="single" w:color="auto" w:sz="4" w:space="0"/>
            </w:tcBorders>
            <w:vAlign w:val="center"/>
          </w:tcPr>
          <w:p w14:paraId="1A82A2E6">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900" w:type="dxa"/>
            <w:tcBorders>
              <w:top w:val="single" w:color="auto" w:sz="4" w:space="0"/>
              <w:left w:val="single" w:color="auto" w:sz="4" w:space="0"/>
              <w:bottom w:val="single" w:color="auto" w:sz="4" w:space="0"/>
              <w:right w:val="single" w:color="auto" w:sz="4" w:space="0"/>
            </w:tcBorders>
            <w:vAlign w:val="center"/>
          </w:tcPr>
          <w:p w14:paraId="3597096E">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参数</w:t>
            </w:r>
          </w:p>
        </w:tc>
        <w:tc>
          <w:tcPr>
            <w:tcW w:w="1443" w:type="dxa"/>
            <w:tcBorders>
              <w:top w:val="single" w:color="auto" w:sz="4" w:space="0"/>
              <w:left w:val="single" w:color="auto" w:sz="4" w:space="0"/>
              <w:bottom w:val="single" w:color="auto" w:sz="4" w:space="0"/>
              <w:right w:val="single" w:color="auto" w:sz="4" w:space="0"/>
            </w:tcBorders>
            <w:vAlign w:val="center"/>
          </w:tcPr>
          <w:p w14:paraId="6F277FE6">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品牌</w:t>
            </w:r>
          </w:p>
        </w:tc>
        <w:tc>
          <w:tcPr>
            <w:tcW w:w="1496" w:type="dxa"/>
            <w:tcBorders>
              <w:top w:val="single" w:color="auto" w:sz="4" w:space="0"/>
              <w:left w:val="single" w:color="auto" w:sz="4" w:space="0"/>
              <w:bottom w:val="single" w:color="auto" w:sz="4" w:space="0"/>
              <w:right w:val="single" w:color="auto" w:sz="4" w:space="0"/>
            </w:tcBorders>
            <w:vAlign w:val="center"/>
          </w:tcPr>
          <w:p w14:paraId="1664E8E3">
            <w:pPr>
              <w:spacing w:line="50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规格型号</w:t>
            </w:r>
          </w:p>
        </w:tc>
        <w:tc>
          <w:tcPr>
            <w:tcW w:w="716" w:type="dxa"/>
            <w:tcBorders>
              <w:top w:val="single" w:color="auto" w:sz="4" w:space="0"/>
              <w:left w:val="single" w:color="auto" w:sz="4" w:space="0"/>
              <w:bottom w:val="single" w:color="auto" w:sz="4" w:space="0"/>
              <w:right w:val="single" w:color="auto" w:sz="4" w:space="0"/>
            </w:tcBorders>
            <w:vAlign w:val="center"/>
          </w:tcPr>
          <w:p w14:paraId="1FFBB57C">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771D1EFB">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单位</w:t>
            </w:r>
          </w:p>
        </w:tc>
        <w:tc>
          <w:tcPr>
            <w:tcW w:w="886" w:type="dxa"/>
            <w:tcBorders>
              <w:top w:val="single" w:color="auto" w:sz="4" w:space="0"/>
              <w:left w:val="single" w:color="auto" w:sz="4" w:space="0"/>
              <w:bottom w:val="single" w:color="auto" w:sz="4" w:space="0"/>
              <w:right w:val="single" w:color="auto" w:sz="4" w:space="0"/>
            </w:tcBorders>
            <w:vAlign w:val="center"/>
          </w:tcPr>
          <w:p w14:paraId="44691407">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单价（元）</w:t>
            </w:r>
          </w:p>
        </w:tc>
        <w:tc>
          <w:tcPr>
            <w:tcW w:w="820" w:type="dxa"/>
            <w:tcBorders>
              <w:top w:val="single" w:color="auto" w:sz="4" w:space="0"/>
              <w:left w:val="single" w:color="auto" w:sz="4" w:space="0"/>
              <w:bottom w:val="single" w:color="auto" w:sz="4" w:space="0"/>
              <w:right w:val="single" w:color="auto" w:sz="4" w:space="0"/>
            </w:tcBorders>
            <w:vAlign w:val="center"/>
          </w:tcPr>
          <w:p w14:paraId="406F42B2">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总价（元）</w:t>
            </w:r>
          </w:p>
        </w:tc>
        <w:tc>
          <w:tcPr>
            <w:tcW w:w="820" w:type="dxa"/>
            <w:tcBorders>
              <w:top w:val="single" w:color="auto" w:sz="4" w:space="0"/>
              <w:left w:val="single" w:color="auto" w:sz="4" w:space="0"/>
              <w:bottom w:val="single" w:color="auto" w:sz="4" w:space="0"/>
              <w:right w:val="single" w:color="auto" w:sz="4" w:space="0"/>
            </w:tcBorders>
            <w:vAlign w:val="center"/>
          </w:tcPr>
          <w:p w14:paraId="65162E06">
            <w:pPr>
              <w:spacing w:line="5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备注</w:t>
            </w:r>
          </w:p>
        </w:tc>
      </w:tr>
      <w:tr w14:paraId="1CC9A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7983F3D0">
            <w:pPr>
              <w:spacing w:line="500" w:lineRule="exact"/>
              <w:jc w:val="center"/>
              <w:rPr>
                <w:rFonts w:ascii="仿宋" w:hAnsi="仿宋" w:eastAsia="仿宋" w:cs="仿宋"/>
                <w:color w:val="auto"/>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14:paraId="22DAE750">
            <w:pPr>
              <w:spacing w:line="500" w:lineRule="exact"/>
              <w:jc w:val="center"/>
              <w:rPr>
                <w:rFonts w:ascii="仿宋" w:hAnsi="仿宋" w:eastAsia="仿宋" w:cs="仿宋"/>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2D7FB6A0">
            <w:pPr>
              <w:spacing w:line="500" w:lineRule="exact"/>
              <w:jc w:val="center"/>
              <w:rPr>
                <w:rFonts w:ascii="仿宋" w:hAnsi="仿宋" w:eastAsia="仿宋" w:cs="仿宋"/>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13DC98C0">
            <w:pPr>
              <w:spacing w:line="500" w:lineRule="exact"/>
              <w:jc w:val="center"/>
              <w:rPr>
                <w:rFonts w:ascii="仿宋" w:hAnsi="仿宋" w:eastAsia="仿宋" w:cs="仿宋"/>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68B3BD40">
            <w:pPr>
              <w:spacing w:line="500" w:lineRule="exact"/>
              <w:jc w:val="center"/>
              <w:rPr>
                <w:rFonts w:ascii="仿宋" w:hAnsi="仿宋" w:eastAsia="仿宋" w:cs="仿宋"/>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48883923">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8B77745">
            <w:pPr>
              <w:spacing w:line="500" w:lineRule="exact"/>
              <w:jc w:val="center"/>
              <w:rPr>
                <w:rFonts w:ascii="仿宋" w:hAnsi="仿宋" w:eastAsia="仿宋" w:cs="仿宋"/>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35E2183D">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2F24E453">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7C152B95">
            <w:pPr>
              <w:spacing w:line="500" w:lineRule="exact"/>
              <w:jc w:val="center"/>
              <w:rPr>
                <w:rFonts w:ascii="仿宋" w:hAnsi="仿宋" w:eastAsia="仿宋" w:cs="仿宋"/>
                <w:color w:val="auto"/>
                <w:szCs w:val="21"/>
                <w:highlight w:val="none"/>
              </w:rPr>
            </w:pPr>
          </w:p>
        </w:tc>
      </w:tr>
      <w:tr w14:paraId="0D260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2E804F3E">
            <w:pPr>
              <w:spacing w:line="500" w:lineRule="exact"/>
              <w:jc w:val="center"/>
              <w:rPr>
                <w:rFonts w:ascii="仿宋" w:hAnsi="仿宋" w:eastAsia="仿宋" w:cs="仿宋"/>
                <w:color w:val="auto"/>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14:paraId="08CF020A">
            <w:pPr>
              <w:spacing w:line="500" w:lineRule="exact"/>
              <w:jc w:val="center"/>
              <w:rPr>
                <w:rFonts w:ascii="仿宋" w:hAnsi="仿宋" w:eastAsia="仿宋" w:cs="仿宋"/>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9C4C758">
            <w:pPr>
              <w:spacing w:line="500" w:lineRule="exact"/>
              <w:jc w:val="center"/>
              <w:rPr>
                <w:rFonts w:ascii="仿宋" w:hAnsi="仿宋" w:eastAsia="仿宋" w:cs="仿宋"/>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142A3CBD">
            <w:pPr>
              <w:spacing w:line="500" w:lineRule="exact"/>
              <w:jc w:val="center"/>
              <w:rPr>
                <w:rFonts w:ascii="仿宋" w:hAnsi="仿宋" w:eastAsia="仿宋" w:cs="仿宋"/>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2DCF0416">
            <w:pPr>
              <w:spacing w:line="500" w:lineRule="exact"/>
              <w:jc w:val="center"/>
              <w:rPr>
                <w:rFonts w:ascii="仿宋" w:hAnsi="仿宋" w:eastAsia="仿宋" w:cs="仿宋"/>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06937377">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37E9B0B">
            <w:pPr>
              <w:spacing w:line="500" w:lineRule="exact"/>
              <w:jc w:val="center"/>
              <w:rPr>
                <w:rFonts w:ascii="仿宋" w:hAnsi="仿宋" w:eastAsia="仿宋" w:cs="仿宋"/>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1EDC4619">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7746668C">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2E7FFA6F">
            <w:pPr>
              <w:spacing w:line="500" w:lineRule="exact"/>
              <w:jc w:val="center"/>
              <w:rPr>
                <w:rFonts w:ascii="仿宋" w:hAnsi="仿宋" w:eastAsia="仿宋" w:cs="仿宋"/>
                <w:color w:val="auto"/>
                <w:szCs w:val="21"/>
                <w:highlight w:val="none"/>
              </w:rPr>
            </w:pPr>
          </w:p>
        </w:tc>
      </w:tr>
      <w:tr w14:paraId="3CE7F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40DF36E5">
            <w:pPr>
              <w:spacing w:line="500" w:lineRule="exact"/>
              <w:jc w:val="center"/>
              <w:rPr>
                <w:rFonts w:ascii="仿宋" w:hAnsi="仿宋" w:eastAsia="仿宋" w:cs="仿宋"/>
                <w:color w:val="auto"/>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14:paraId="18947DBC">
            <w:pPr>
              <w:spacing w:line="500" w:lineRule="exact"/>
              <w:jc w:val="center"/>
              <w:rPr>
                <w:rFonts w:ascii="仿宋" w:hAnsi="仿宋" w:eastAsia="仿宋" w:cs="仿宋"/>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EEC2142">
            <w:pPr>
              <w:spacing w:line="500" w:lineRule="exact"/>
              <w:jc w:val="center"/>
              <w:rPr>
                <w:rFonts w:ascii="仿宋" w:hAnsi="仿宋" w:eastAsia="仿宋" w:cs="仿宋"/>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6BC42F3D">
            <w:pPr>
              <w:spacing w:line="500" w:lineRule="exact"/>
              <w:jc w:val="center"/>
              <w:rPr>
                <w:rFonts w:ascii="仿宋" w:hAnsi="仿宋" w:eastAsia="仿宋" w:cs="仿宋"/>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64B126A5">
            <w:pPr>
              <w:spacing w:line="500" w:lineRule="exact"/>
              <w:jc w:val="center"/>
              <w:rPr>
                <w:rFonts w:ascii="仿宋" w:hAnsi="仿宋" w:eastAsia="仿宋" w:cs="仿宋"/>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057B7C93">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D184CC4">
            <w:pPr>
              <w:spacing w:line="500" w:lineRule="exact"/>
              <w:jc w:val="center"/>
              <w:rPr>
                <w:rFonts w:ascii="仿宋" w:hAnsi="仿宋" w:eastAsia="仿宋" w:cs="仿宋"/>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3D6F065D">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7502E745">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65A3FBA6">
            <w:pPr>
              <w:spacing w:line="500" w:lineRule="exact"/>
              <w:jc w:val="center"/>
              <w:rPr>
                <w:rFonts w:ascii="仿宋" w:hAnsi="仿宋" w:eastAsia="仿宋" w:cs="仿宋"/>
                <w:color w:val="auto"/>
                <w:szCs w:val="21"/>
                <w:highlight w:val="none"/>
              </w:rPr>
            </w:pPr>
          </w:p>
        </w:tc>
      </w:tr>
      <w:tr w14:paraId="1009A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02C021E3">
            <w:pPr>
              <w:spacing w:line="500" w:lineRule="exact"/>
              <w:jc w:val="center"/>
              <w:rPr>
                <w:rFonts w:ascii="仿宋" w:hAnsi="仿宋" w:eastAsia="仿宋" w:cs="仿宋"/>
                <w:color w:val="auto"/>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14:paraId="15524347">
            <w:pPr>
              <w:spacing w:line="500" w:lineRule="exact"/>
              <w:jc w:val="center"/>
              <w:rPr>
                <w:rFonts w:ascii="仿宋" w:hAnsi="仿宋" w:eastAsia="仿宋" w:cs="仿宋"/>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74699E2">
            <w:pPr>
              <w:spacing w:line="500" w:lineRule="exact"/>
              <w:jc w:val="center"/>
              <w:rPr>
                <w:rFonts w:ascii="仿宋" w:hAnsi="仿宋" w:eastAsia="仿宋" w:cs="仿宋"/>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223B7736">
            <w:pPr>
              <w:spacing w:line="500" w:lineRule="exact"/>
              <w:jc w:val="center"/>
              <w:rPr>
                <w:rFonts w:ascii="仿宋" w:hAnsi="仿宋" w:eastAsia="仿宋" w:cs="仿宋"/>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1131983C">
            <w:pPr>
              <w:spacing w:line="500" w:lineRule="exact"/>
              <w:jc w:val="center"/>
              <w:rPr>
                <w:rFonts w:ascii="仿宋" w:hAnsi="仿宋" w:eastAsia="仿宋" w:cs="仿宋"/>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16545416">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4CD170B">
            <w:pPr>
              <w:spacing w:line="500" w:lineRule="exact"/>
              <w:jc w:val="center"/>
              <w:rPr>
                <w:rFonts w:ascii="仿宋" w:hAnsi="仿宋" w:eastAsia="仿宋" w:cs="仿宋"/>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41E6E86C">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3DA938E0">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013D6017">
            <w:pPr>
              <w:spacing w:line="500" w:lineRule="exact"/>
              <w:jc w:val="center"/>
              <w:rPr>
                <w:rFonts w:ascii="仿宋" w:hAnsi="仿宋" w:eastAsia="仿宋" w:cs="仿宋"/>
                <w:color w:val="auto"/>
                <w:szCs w:val="21"/>
                <w:highlight w:val="none"/>
              </w:rPr>
            </w:pPr>
          </w:p>
        </w:tc>
      </w:tr>
      <w:tr w14:paraId="1088E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258D6189">
            <w:pPr>
              <w:spacing w:line="500" w:lineRule="exact"/>
              <w:jc w:val="center"/>
              <w:rPr>
                <w:rFonts w:ascii="仿宋" w:hAnsi="仿宋" w:eastAsia="仿宋" w:cs="仿宋"/>
                <w:color w:val="auto"/>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center"/>
          </w:tcPr>
          <w:p w14:paraId="64FB2E1B">
            <w:pPr>
              <w:spacing w:line="500" w:lineRule="exact"/>
              <w:jc w:val="center"/>
              <w:rPr>
                <w:rFonts w:ascii="仿宋" w:hAnsi="仿宋" w:eastAsia="仿宋" w:cs="仿宋"/>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074C819">
            <w:pPr>
              <w:spacing w:line="500" w:lineRule="exact"/>
              <w:jc w:val="center"/>
              <w:rPr>
                <w:rFonts w:ascii="仿宋" w:hAnsi="仿宋" w:eastAsia="仿宋" w:cs="仿宋"/>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55B0A8B1">
            <w:pPr>
              <w:spacing w:line="500" w:lineRule="exact"/>
              <w:jc w:val="center"/>
              <w:rPr>
                <w:rFonts w:ascii="仿宋" w:hAnsi="仿宋" w:eastAsia="仿宋" w:cs="仿宋"/>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6380BBE0">
            <w:pPr>
              <w:spacing w:line="500" w:lineRule="exact"/>
              <w:jc w:val="center"/>
              <w:rPr>
                <w:rFonts w:ascii="仿宋" w:hAnsi="仿宋" w:eastAsia="仿宋" w:cs="仿宋"/>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16239FCF">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F3420FE">
            <w:pPr>
              <w:spacing w:line="500" w:lineRule="exact"/>
              <w:jc w:val="center"/>
              <w:rPr>
                <w:rFonts w:ascii="仿宋" w:hAnsi="仿宋" w:eastAsia="仿宋" w:cs="仿宋"/>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26838558">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104AE9C0">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7F72AE14">
            <w:pPr>
              <w:spacing w:line="500" w:lineRule="exact"/>
              <w:jc w:val="center"/>
              <w:rPr>
                <w:rFonts w:ascii="仿宋" w:hAnsi="仿宋" w:eastAsia="仿宋" w:cs="仿宋"/>
                <w:color w:val="auto"/>
                <w:szCs w:val="21"/>
                <w:highlight w:val="none"/>
              </w:rPr>
            </w:pPr>
          </w:p>
        </w:tc>
      </w:tr>
    </w:tbl>
    <w:p w14:paraId="5AAE2D6B">
      <w:pPr>
        <w:pStyle w:val="35"/>
        <w:spacing w:line="317"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所有价格均用人民币表示，单位为元。</w:t>
      </w:r>
    </w:p>
    <w:p w14:paraId="0382BCE2">
      <w:pPr>
        <w:pStyle w:val="35"/>
        <w:tabs>
          <w:tab w:val="left" w:pos="378"/>
        </w:tabs>
        <w:spacing w:line="317" w:lineRule="exact"/>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2.投标总价</w:t>
      </w:r>
      <w:r>
        <w:rPr>
          <w:rFonts w:hint="eastAsia" w:ascii="仿宋" w:hAnsi="仿宋" w:eastAsia="仿宋" w:cs="仿宋"/>
          <w:color w:val="auto"/>
          <w:sz w:val="24"/>
          <w:szCs w:val="24"/>
          <w:highlight w:val="none"/>
        </w:rPr>
        <w:t>报价必须与《</w:t>
      </w:r>
      <w:r>
        <w:rPr>
          <w:rFonts w:hint="eastAsia" w:ascii="仿宋" w:hAnsi="仿宋" w:eastAsia="仿宋" w:cs="仿宋"/>
          <w:color w:val="auto"/>
          <w:sz w:val="24"/>
          <w:szCs w:val="24"/>
          <w:highlight w:val="none"/>
          <w:lang w:eastAsia="zh-CN"/>
        </w:rPr>
        <w:t>开标一览表</w:t>
      </w:r>
      <w:r>
        <w:rPr>
          <w:rFonts w:hint="eastAsia" w:ascii="仿宋" w:hAnsi="仿宋" w:eastAsia="仿宋" w:cs="仿宋"/>
          <w:color w:val="auto"/>
          <w:sz w:val="24"/>
          <w:szCs w:val="24"/>
          <w:highlight w:val="none"/>
        </w:rPr>
        <w:t>》报价一致。</w:t>
      </w:r>
    </w:p>
    <w:p w14:paraId="41B60553">
      <w:pPr>
        <w:pStyle w:val="35"/>
        <w:tabs>
          <w:tab w:val="left" w:pos="493"/>
        </w:tabs>
        <w:spacing w:line="317" w:lineRule="exact"/>
        <w:ind w:left="240" w:leftChars="10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供应商必须按此表格式中的对应栏目内容填写，若需增加栏目，请在栏目</w:t>
      </w:r>
      <w:r>
        <w:rPr>
          <w:rFonts w:hint="eastAsia" w:ascii="仿宋" w:hAnsi="仿宋" w:eastAsia="仿宋" w:cs="仿宋"/>
          <w:color w:val="auto"/>
          <w:sz w:val="24"/>
          <w:szCs w:val="24"/>
          <w:highlight w:val="none"/>
          <w:lang w:val="zh-CN" w:eastAsia="zh-CN" w:bidi="zh-CN"/>
        </w:rPr>
        <w:t>“备注</w:t>
      </w:r>
      <w:r>
        <w:rPr>
          <w:rFonts w:hint="eastAsia" w:ascii="仿宋" w:hAnsi="仿宋" w:eastAsia="仿宋" w:cs="仿宋"/>
          <w:color w:val="auto"/>
          <w:sz w:val="24"/>
          <w:szCs w:val="24"/>
          <w:highlight w:val="none"/>
        </w:rPr>
        <w:t>”中填写，并作详细说明。</w:t>
      </w:r>
    </w:p>
    <w:p w14:paraId="783E63E4">
      <w:pPr>
        <w:pStyle w:val="35"/>
        <w:tabs>
          <w:tab w:val="left" w:pos="493"/>
        </w:tabs>
        <w:spacing w:line="317" w:lineRule="exact"/>
        <w:ind w:left="176"/>
        <w:rPr>
          <w:rFonts w:ascii="仿宋" w:hAnsi="仿宋" w:eastAsia="仿宋" w:cs="仿宋"/>
          <w:color w:val="auto"/>
          <w:sz w:val="20"/>
          <w:szCs w:val="20"/>
          <w:highlight w:val="none"/>
        </w:rPr>
      </w:pPr>
    </w:p>
    <w:p w14:paraId="1AAE239D">
      <w:pPr>
        <w:pStyle w:val="35"/>
        <w:tabs>
          <w:tab w:val="left" w:pos="493"/>
        </w:tabs>
        <w:spacing w:line="317" w:lineRule="exact"/>
        <w:ind w:left="176"/>
        <w:rPr>
          <w:rFonts w:ascii="仿宋" w:hAnsi="仿宋" w:eastAsia="仿宋" w:cs="仿宋"/>
          <w:color w:val="auto"/>
          <w:sz w:val="20"/>
          <w:szCs w:val="20"/>
          <w:highlight w:val="none"/>
        </w:rPr>
      </w:pPr>
    </w:p>
    <w:p w14:paraId="0C42D6FE">
      <w:pPr>
        <w:pStyle w:val="7"/>
        <w:numPr>
          <w:ilvl w:val="0"/>
          <w:numId w:val="0"/>
        </w:numPr>
        <w:tabs>
          <w:tab w:val="left" w:pos="8227"/>
          <w:tab w:val="clear" w:pos="780"/>
        </w:tabs>
        <w:kinsoku w:val="0"/>
        <w:overflowPunct w:val="0"/>
        <w:spacing w:line="381" w:lineRule="auto"/>
        <w:ind w:left="1680" w:right="11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（盖章）</w:t>
      </w:r>
      <w:r>
        <w:rPr>
          <w:rFonts w:hint="eastAsia" w:ascii="仿宋" w:hAnsi="仿宋" w:eastAsia="仿宋" w:cs="仿宋"/>
          <w:color w:val="auto"/>
          <w:sz w:val="24"/>
          <w:highlight w:val="none"/>
          <w:lang w:eastAsia="zh-CN"/>
        </w:rPr>
        <w:t xml:space="preserve"> </w:t>
      </w:r>
    </w:p>
    <w:p w14:paraId="13AD2BE2">
      <w:pPr>
        <w:pStyle w:val="7"/>
        <w:numPr>
          <w:ilvl w:val="0"/>
          <w:numId w:val="0"/>
        </w:numPr>
        <w:tabs>
          <w:tab w:val="left" w:pos="8227"/>
          <w:tab w:val="clear" w:pos="780"/>
        </w:tabs>
        <w:kinsoku w:val="0"/>
        <w:overflowPunct w:val="0"/>
        <w:spacing w:line="381" w:lineRule="auto"/>
        <w:ind w:left="1680" w:right="118"/>
        <w:rPr>
          <w:rFonts w:ascii="仿宋" w:hAnsi="仿宋" w:eastAsia="仿宋" w:cs="仿宋"/>
          <w:color w:val="auto"/>
          <w:w w:val="95"/>
          <w:sz w:val="24"/>
          <w:highlight w:val="none"/>
          <w:lang w:eastAsia="zh-CN"/>
        </w:rPr>
      </w:pPr>
      <w:r>
        <w:rPr>
          <w:rFonts w:hint="eastAsia" w:ascii="仿宋" w:hAnsi="仿宋" w:eastAsia="仿宋" w:cs="仿宋"/>
          <w:color w:val="auto"/>
          <w:sz w:val="24"/>
          <w:highlight w:val="none"/>
          <w:lang w:eastAsia="zh-CN"/>
        </w:rPr>
        <w:t>法定代表人或被授权人：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（签章）</w:t>
      </w:r>
    </w:p>
    <w:p w14:paraId="32BF0202">
      <w:pPr>
        <w:pStyle w:val="7"/>
        <w:numPr>
          <w:ilvl w:val="0"/>
          <w:numId w:val="0"/>
        </w:numPr>
        <w:tabs>
          <w:tab w:val="left" w:pos="5551"/>
          <w:tab w:val="left" w:pos="6511"/>
          <w:tab w:val="left" w:pos="7111"/>
          <w:tab w:val="left" w:pos="7711"/>
          <w:tab w:val="clear" w:pos="780"/>
        </w:tabs>
        <w:kinsoku w:val="0"/>
        <w:overflowPunct w:val="0"/>
        <w:spacing w:before="46"/>
        <w:ind w:left="392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日</w:t>
      </w:r>
    </w:p>
    <w:p w14:paraId="08658AD3">
      <w:pPr>
        <w:pStyle w:val="7"/>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lang w:eastAsia="zh-CN"/>
        </w:rPr>
      </w:pPr>
    </w:p>
    <w:p w14:paraId="2497572D">
      <w:pPr>
        <w:pStyle w:val="7"/>
        <w:numPr>
          <w:ilvl w:val="0"/>
          <w:numId w:val="0"/>
        </w:numPr>
        <w:tabs>
          <w:tab w:val="clear" w:pos="780"/>
        </w:tabs>
        <w:kinsoku w:val="0"/>
        <w:overflowPunct w:val="0"/>
        <w:spacing w:before="46"/>
        <w:ind w:left="3928" w:leftChars="0" w:right="0" w:rightChars="0"/>
        <w:rPr>
          <w:rFonts w:hint="eastAsia" w:ascii="仿宋" w:hAnsi="仿宋" w:eastAsia="仿宋" w:cs="仿宋"/>
          <w:color w:val="auto"/>
          <w:sz w:val="24"/>
          <w:szCs w:val="24"/>
        </w:rPr>
      </w:pPr>
    </w:p>
    <w:p w14:paraId="7487BF77">
      <w:pPr>
        <w:pStyle w:val="7"/>
        <w:numPr>
          <w:ilvl w:val="0"/>
          <w:numId w:val="0"/>
        </w:numPr>
        <w:tabs>
          <w:tab w:val="clear" w:pos="780"/>
        </w:tabs>
        <w:kinsoku w:val="0"/>
        <w:overflowPunct w:val="0"/>
        <w:spacing w:before="46"/>
        <w:ind w:left="3928" w:leftChars="0" w:right="0" w:rightChars="0"/>
        <w:rPr>
          <w:rFonts w:hint="eastAsia" w:ascii="仿宋" w:hAnsi="仿宋" w:eastAsia="仿宋" w:cs="仿宋"/>
          <w:color w:val="auto"/>
          <w:sz w:val="24"/>
          <w:szCs w:val="24"/>
        </w:rPr>
      </w:pPr>
    </w:p>
    <w:p w14:paraId="5EAC6118">
      <w:pPr>
        <w:pStyle w:val="7"/>
        <w:numPr>
          <w:ilvl w:val="0"/>
          <w:numId w:val="0"/>
        </w:numPr>
        <w:tabs>
          <w:tab w:val="clear" w:pos="780"/>
        </w:tabs>
        <w:kinsoku w:val="0"/>
        <w:overflowPunct w:val="0"/>
        <w:spacing w:before="46"/>
        <w:ind w:left="3928" w:leftChars="0" w:right="0" w:rightChars="0"/>
        <w:rPr>
          <w:rFonts w:hint="eastAsia" w:ascii="仿宋" w:hAnsi="仿宋" w:eastAsia="仿宋" w:cs="仿宋"/>
          <w:color w:val="auto"/>
          <w:sz w:val="24"/>
          <w:szCs w:val="24"/>
        </w:rPr>
      </w:pPr>
    </w:p>
    <w:p w14:paraId="421CBE75">
      <w:pPr>
        <w:pStyle w:val="7"/>
        <w:numPr>
          <w:ilvl w:val="0"/>
          <w:numId w:val="0"/>
        </w:numPr>
        <w:tabs>
          <w:tab w:val="clear" w:pos="780"/>
        </w:tabs>
        <w:kinsoku w:val="0"/>
        <w:overflowPunct w:val="0"/>
        <w:spacing w:before="46"/>
        <w:ind w:left="3928" w:leftChars="0" w:right="0" w:rightChars="0"/>
        <w:rPr>
          <w:rFonts w:hint="eastAsia" w:ascii="仿宋" w:hAnsi="仿宋" w:eastAsia="仿宋" w:cs="仿宋"/>
          <w:color w:val="auto"/>
          <w:sz w:val="24"/>
          <w:szCs w:val="24"/>
        </w:rPr>
      </w:pPr>
    </w:p>
    <w:p w14:paraId="627F8A9F">
      <w:pPr>
        <w:pStyle w:val="7"/>
        <w:numPr>
          <w:ilvl w:val="0"/>
          <w:numId w:val="0"/>
        </w:numPr>
        <w:tabs>
          <w:tab w:val="clear" w:pos="780"/>
        </w:tabs>
        <w:kinsoku w:val="0"/>
        <w:overflowPunct w:val="0"/>
        <w:spacing w:before="46"/>
        <w:ind w:right="0" w:rightChars="0"/>
        <w:jc w:val="center"/>
        <w:rPr>
          <w:rFonts w:hint="eastAsia" w:ascii="仿宋" w:hAnsi="仿宋" w:eastAsia="仿宋" w:cs="仿宋"/>
          <w:b/>
          <w:bCs/>
          <w:color w:val="auto"/>
          <w:spacing w:val="0"/>
          <w:w w:val="100"/>
          <w:position w:val="0"/>
          <w:sz w:val="36"/>
          <w:szCs w:val="36"/>
          <w:lang w:val="en-US" w:eastAsia="zh-CN"/>
        </w:rPr>
      </w:pPr>
    </w:p>
    <w:p w14:paraId="42587F28">
      <w:pPr>
        <w:pStyle w:val="7"/>
        <w:numPr>
          <w:ilvl w:val="0"/>
          <w:numId w:val="0"/>
        </w:numPr>
        <w:tabs>
          <w:tab w:val="clear" w:pos="780"/>
        </w:tabs>
        <w:kinsoku w:val="0"/>
        <w:overflowPunct w:val="0"/>
        <w:spacing w:before="46"/>
        <w:ind w:left="360" w:leftChars="0" w:right="0" w:rightChars="0"/>
        <w:jc w:val="both"/>
        <w:rPr>
          <w:rFonts w:hint="eastAsia" w:ascii="仿宋" w:hAnsi="仿宋" w:eastAsia="仿宋" w:cs="仿宋"/>
          <w:b/>
          <w:bCs/>
          <w:color w:val="auto"/>
          <w:spacing w:val="0"/>
          <w:w w:val="100"/>
          <w:position w:val="0"/>
          <w:sz w:val="36"/>
          <w:szCs w:val="36"/>
          <w:lang w:val="en-US" w:eastAsia="zh-CN"/>
        </w:rPr>
      </w:pPr>
    </w:p>
    <w:p w14:paraId="203B2BFA">
      <w:pPr>
        <w:pStyle w:val="7"/>
        <w:numPr>
          <w:ilvl w:val="0"/>
          <w:numId w:val="0"/>
        </w:numPr>
        <w:tabs>
          <w:tab w:val="clear" w:pos="780"/>
        </w:tabs>
        <w:kinsoku w:val="0"/>
        <w:overflowPunct w:val="0"/>
        <w:spacing w:before="46"/>
        <w:ind w:left="360" w:leftChars="0" w:right="0" w:rightChars="0"/>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5、技术规格偏离表</w:t>
      </w:r>
    </w:p>
    <w:p w14:paraId="796A017C">
      <w:pPr>
        <w:pStyle w:val="10"/>
        <w:spacing w:line="240" w:lineRule="atLeas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12DDB278">
      <w:pPr>
        <w:widowControl w:val="0"/>
        <w:numPr>
          <w:ilvl w:val="0"/>
          <w:numId w:val="0"/>
        </w:numPr>
        <w:rPr>
          <w:rFonts w:hint="eastAsia"/>
          <w:lang w:val="en-US" w:eastAsia="zh-CN"/>
        </w:rPr>
      </w:pPr>
      <w:r>
        <w:rPr>
          <w:rFonts w:hint="eastAsia" w:ascii="仿宋" w:hAnsi="仿宋" w:eastAsia="仿宋" w:cs="仿宋"/>
          <w:color w:val="auto"/>
          <w:highlight w:val="none"/>
          <w:lang w:eastAsia="zh-CN"/>
        </w:rPr>
        <w:t xml:space="preserve">招标编号:                      </w:t>
      </w:r>
      <w:r>
        <w:rPr>
          <w:rFonts w:hint="eastAsia" w:ascii="仿宋" w:hAnsi="仿宋" w:eastAsia="仿宋" w:cs="仿宋"/>
          <w:color w:val="auto"/>
          <w:highlight w:val="none"/>
          <w:lang w:val="en-US" w:eastAsia="zh-CN"/>
        </w:rPr>
        <w:t xml:space="preserve">  </w:t>
      </w:r>
    </w:p>
    <w:p w14:paraId="252096F2">
      <w:pPr>
        <w:widowControl w:val="0"/>
        <w:numPr>
          <w:ilvl w:val="0"/>
          <w:numId w:val="0"/>
        </w:numPr>
        <w:rPr>
          <w:rFonts w:hint="eastAsia"/>
          <w:lang w:val="en-US" w:eastAsia="zh-CN"/>
        </w:rPr>
      </w:pPr>
    </w:p>
    <w:tbl>
      <w:tblPr>
        <w:tblStyle w:val="21"/>
        <w:tblW w:w="7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7"/>
        <w:gridCol w:w="1327"/>
      </w:tblGrid>
      <w:tr w14:paraId="1DF8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536D22B1">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357" w:type="dxa"/>
            <w:vAlign w:val="center"/>
          </w:tcPr>
          <w:p w14:paraId="0FE967C5">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货物名称</w:t>
            </w:r>
          </w:p>
        </w:tc>
        <w:tc>
          <w:tcPr>
            <w:tcW w:w="1326" w:type="dxa"/>
            <w:vAlign w:val="center"/>
          </w:tcPr>
          <w:p w14:paraId="1191C86A">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谈判文件</w:t>
            </w:r>
            <w:r>
              <w:rPr>
                <w:rFonts w:hint="eastAsia" w:ascii="仿宋" w:hAnsi="仿宋" w:eastAsia="仿宋" w:cs="仿宋"/>
                <w:bCs/>
                <w:color w:val="auto"/>
                <w:sz w:val="24"/>
                <w:szCs w:val="24"/>
              </w:rPr>
              <w:t>要求规格</w:t>
            </w:r>
          </w:p>
        </w:tc>
        <w:tc>
          <w:tcPr>
            <w:tcW w:w="1326" w:type="dxa"/>
            <w:vAlign w:val="center"/>
          </w:tcPr>
          <w:p w14:paraId="4582ABE2">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投标规格</w:t>
            </w:r>
          </w:p>
        </w:tc>
        <w:tc>
          <w:tcPr>
            <w:tcW w:w="1327" w:type="dxa"/>
            <w:vAlign w:val="center"/>
          </w:tcPr>
          <w:p w14:paraId="5EADAD66">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偏离</w:t>
            </w:r>
          </w:p>
        </w:tc>
        <w:tc>
          <w:tcPr>
            <w:tcW w:w="1327" w:type="dxa"/>
            <w:vAlign w:val="center"/>
          </w:tcPr>
          <w:p w14:paraId="6306376D">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说明</w:t>
            </w:r>
          </w:p>
        </w:tc>
      </w:tr>
      <w:tr w14:paraId="06CA7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580DB32B">
            <w:pPr>
              <w:jc w:val="center"/>
              <w:rPr>
                <w:rFonts w:hint="eastAsia" w:ascii="仿宋" w:hAnsi="仿宋" w:eastAsia="仿宋" w:cs="仿宋"/>
                <w:b/>
                <w:bCs/>
                <w:color w:val="auto"/>
                <w:sz w:val="24"/>
                <w:szCs w:val="24"/>
              </w:rPr>
            </w:pPr>
          </w:p>
        </w:tc>
        <w:tc>
          <w:tcPr>
            <w:tcW w:w="1357" w:type="dxa"/>
          </w:tcPr>
          <w:p w14:paraId="35335D4E">
            <w:pPr>
              <w:jc w:val="center"/>
              <w:rPr>
                <w:rFonts w:hint="eastAsia" w:ascii="仿宋" w:hAnsi="仿宋" w:eastAsia="仿宋" w:cs="仿宋"/>
                <w:b/>
                <w:bCs/>
                <w:color w:val="auto"/>
                <w:sz w:val="24"/>
                <w:szCs w:val="24"/>
              </w:rPr>
            </w:pPr>
          </w:p>
        </w:tc>
        <w:tc>
          <w:tcPr>
            <w:tcW w:w="1326" w:type="dxa"/>
          </w:tcPr>
          <w:p w14:paraId="6F3F5FD4">
            <w:pPr>
              <w:jc w:val="center"/>
              <w:rPr>
                <w:rFonts w:hint="eastAsia" w:ascii="仿宋" w:hAnsi="仿宋" w:eastAsia="仿宋" w:cs="仿宋"/>
                <w:b/>
                <w:bCs/>
                <w:color w:val="auto"/>
                <w:sz w:val="24"/>
                <w:szCs w:val="24"/>
              </w:rPr>
            </w:pPr>
          </w:p>
        </w:tc>
        <w:tc>
          <w:tcPr>
            <w:tcW w:w="1326" w:type="dxa"/>
          </w:tcPr>
          <w:p w14:paraId="4C93566C">
            <w:pPr>
              <w:jc w:val="center"/>
              <w:rPr>
                <w:rFonts w:hint="eastAsia" w:ascii="仿宋" w:hAnsi="仿宋" w:eastAsia="仿宋" w:cs="仿宋"/>
                <w:b/>
                <w:bCs/>
                <w:color w:val="auto"/>
                <w:sz w:val="24"/>
                <w:szCs w:val="24"/>
              </w:rPr>
            </w:pPr>
          </w:p>
        </w:tc>
        <w:tc>
          <w:tcPr>
            <w:tcW w:w="1327" w:type="dxa"/>
          </w:tcPr>
          <w:p w14:paraId="25F866FE">
            <w:pPr>
              <w:jc w:val="center"/>
              <w:rPr>
                <w:rFonts w:hint="eastAsia" w:ascii="仿宋" w:hAnsi="仿宋" w:eastAsia="仿宋" w:cs="仿宋"/>
                <w:b/>
                <w:bCs/>
                <w:color w:val="auto"/>
                <w:sz w:val="24"/>
                <w:szCs w:val="24"/>
              </w:rPr>
            </w:pPr>
            <w:r>
              <w:rPr>
                <w:rFonts w:hint="eastAsia" w:ascii="仿宋" w:hAnsi="仿宋" w:eastAsia="仿宋" w:cs="仿宋"/>
                <w:bCs/>
                <w:color w:val="auto"/>
                <w:sz w:val="24"/>
                <w:szCs w:val="24"/>
                <w:lang w:val="en-US" w:eastAsia="zh-CN"/>
              </w:rPr>
              <w:t>如有正偏离需提供证明材料，证明材料附后(并注明页码)</w:t>
            </w:r>
          </w:p>
        </w:tc>
        <w:tc>
          <w:tcPr>
            <w:tcW w:w="1327" w:type="dxa"/>
          </w:tcPr>
          <w:p w14:paraId="76AFF765">
            <w:pPr>
              <w:jc w:val="center"/>
              <w:rPr>
                <w:rFonts w:hint="eastAsia" w:ascii="仿宋" w:hAnsi="仿宋" w:eastAsia="仿宋" w:cs="仿宋"/>
                <w:b/>
                <w:bCs/>
                <w:color w:val="auto"/>
                <w:sz w:val="24"/>
                <w:szCs w:val="24"/>
              </w:rPr>
            </w:pPr>
          </w:p>
        </w:tc>
      </w:tr>
      <w:tr w14:paraId="3B4BC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5F1BA75F">
            <w:pPr>
              <w:jc w:val="center"/>
              <w:rPr>
                <w:rFonts w:hint="eastAsia" w:ascii="仿宋" w:hAnsi="仿宋" w:eastAsia="仿宋" w:cs="仿宋"/>
                <w:b/>
                <w:bCs/>
                <w:color w:val="auto"/>
                <w:sz w:val="24"/>
                <w:szCs w:val="24"/>
              </w:rPr>
            </w:pPr>
          </w:p>
        </w:tc>
        <w:tc>
          <w:tcPr>
            <w:tcW w:w="1357" w:type="dxa"/>
          </w:tcPr>
          <w:p w14:paraId="1FF71C79">
            <w:pPr>
              <w:jc w:val="center"/>
              <w:rPr>
                <w:rFonts w:hint="eastAsia" w:ascii="仿宋" w:hAnsi="仿宋" w:eastAsia="仿宋" w:cs="仿宋"/>
                <w:b/>
                <w:bCs/>
                <w:color w:val="auto"/>
                <w:sz w:val="24"/>
                <w:szCs w:val="24"/>
              </w:rPr>
            </w:pPr>
          </w:p>
        </w:tc>
        <w:tc>
          <w:tcPr>
            <w:tcW w:w="1326" w:type="dxa"/>
          </w:tcPr>
          <w:p w14:paraId="7564E98A">
            <w:pPr>
              <w:jc w:val="center"/>
              <w:rPr>
                <w:rFonts w:hint="eastAsia" w:ascii="仿宋" w:hAnsi="仿宋" w:eastAsia="仿宋" w:cs="仿宋"/>
                <w:b/>
                <w:bCs/>
                <w:color w:val="auto"/>
                <w:sz w:val="24"/>
                <w:szCs w:val="24"/>
              </w:rPr>
            </w:pPr>
          </w:p>
        </w:tc>
        <w:tc>
          <w:tcPr>
            <w:tcW w:w="1326" w:type="dxa"/>
          </w:tcPr>
          <w:p w14:paraId="12549725">
            <w:pPr>
              <w:jc w:val="center"/>
              <w:rPr>
                <w:rFonts w:hint="eastAsia" w:ascii="仿宋" w:hAnsi="仿宋" w:eastAsia="仿宋" w:cs="仿宋"/>
                <w:b/>
                <w:bCs/>
                <w:color w:val="auto"/>
                <w:sz w:val="24"/>
                <w:szCs w:val="24"/>
              </w:rPr>
            </w:pPr>
          </w:p>
        </w:tc>
        <w:tc>
          <w:tcPr>
            <w:tcW w:w="1327" w:type="dxa"/>
          </w:tcPr>
          <w:p w14:paraId="15F8F0D7">
            <w:pPr>
              <w:jc w:val="center"/>
              <w:rPr>
                <w:rFonts w:hint="eastAsia" w:ascii="仿宋" w:hAnsi="仿宋" w:eastAsia="仿宋" w:cs="仿宋"/>
                <w:b/>
                <w:bCs/>
                <w:color w:val="auto"/>
                <w:sz w:val="24"/>
                <w:szCs w:val="24"/>
              </w:rPr>
            </w:pPr>
          </w:p>
        </w:tc>
        <w:tc>
          <w:tcPr>
            <w:tcW w:w="1327" w:type="dxa"/>
          </w:tcPr>
          <w:p w14:paraId="0549FC3F">
            <w:pPr>
              <w:jc w:val="center"/>
              <w:rPr>
                <w:rFonts w:hint="eastAsia" w:ascii="仿宋" w:hAnsi="仿宋" w:eastAsia="仿宋" w:cs="仿宋"/>
                <w:b/>
                <w:bCs/>
                <w:color w:val="auto"/>
                <w:sz w:val="24"/>
                <w:szCs w:val="24"/>
              </w:rPr>
            </w:pPr>
          </w:p>
        </w:tc>
      </w:tr>
      <w:tr w14:paraId="03C87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7F1320AA">
            <w:pPr>
              <w:jc w:val="center"/>
              <w:rPr>
                <w:rFonts w:hint="eastAsia" w:ascii="仿宋" w:hAnsi="仿宋" w:eastAsia="仿宋" w:cs="仿宋"/>
                <w:b/>
                <w:bCs/>
                <w:color w:val="auto"/>
                <w:sz w:val="24"/>
                <w:szCs w:val="24"/>
              </w:rPr>
            </w:pPr>
          </w:p>
        </w:tc>
        <w:tc>
          <w:tcPr>
            <w:tcW w:w="1357" w:type="dxa"/>
          </w:tcPr>
          <w:p w14:paraId="267E833A">
            <w:pPr>
              <w:jc w:val="center"/>
              <w:rPr>
                <w:rFonts w:hint="eastAsia" w:ascii="仿宋" w:hAnsi="仿宋" w:eastAsia="仿宋" w:cs="仿宋"/>
                <w:b/>
                <w:bCs/>
                <w:color w:val="auto"/>
                <w:sz w:val="24"/>
                <w:szCs w:val="24"/>
              </w:rPr>
            </w:pPr>
          </w:p>
        </w:tc>
        <w:tc>
          <w:tcPr>
            <w:tcW w:w="1326" w:type="dxa"/>
          </w:tcPr>
          <w:p w14:paraId="7EBD80D7">
            <w:pPr>
              <w:jc w:val="center"/>
              <w:rPr>
                <w:rFonts w:hint="eastAsia" w:ascii="仿宋" w:hAnsi="仿宋" w:eastAsia="仿宋" w:cs="仿宋"/>
                <w:b/>
                <w:bCs/>
                <w:color w:val="auto"/>
                <w:sz w:val="24"/>
                <w:szCs w:val="24"/>
              </w:rPr>
            </w:pPr>
          </w:p>
        </w:tc>
        <w:tc>
          <w:tcPr>
            <w:tcW w:w="1326" w:type="dxa"/>
          </w:tcPr>
          <w:p w14:paraId="584BC4FC">
            <w:pPr>
              <w:jc w:val="center"/>
              <w:rPr>
                <w:rFonts w:hint="eastAsia" w:ascii="仿宋" w:hAnsi="仿宋" w:eastAsia="仿宋" w:cs="仿宋"/>
                <w:b/>
                <w:bCs/>
                <w:color w:val="auto"/>
                <w:sz w:val="24"/>
                <w:szCs w:val="24"/>
              </w:rPr>
            </w:pPr>
          </w:p>
        </w:tc>
        <w:tc>
          <w:tcPr>
            <w:tcW w:w="1327" w:type="dxa"/>
          </w:tcPr>
          <w:p w14:paraId="67190755">
            <w:pPr>
              <w:jc w:val="center"/>
              <w:rPr>
                <w:rFonts w:hint="eastAsia" w:ascii="仿宋" w:hAnsi="仿宋" w:eastAsia="仿宋" w:cs="仿宋"/>
                <w:b/>
                <w:bCs/>
                <w:color w:val="auto"/>
                <w:sz w:val="24"/>
                <w:szCs w:val="24"/>
              </w:rPr>
            </w:pPr>
          </w:p>
        </w:tc>
        <w:tc>
          <w:tcPr>
            <w:tcW w:w="1327" w:type="dxa"/>
          </w:tcPr>
          <w:p w14:paraId="2DEB40D7">
            <w:pPr>
              <w:jc w:val="center"/>
              <w:rPr>
                <w:rFonts w:hint="eastAsia" w:ascii="仿宋" w:hAnsi="仿宋" w:eastAsia="仿宋" w:cs="仿宋"/>
                <w:b/>
                <w:bCs/>
                <w:color w:val="auto"/>
                <w:sz w:val="24"/>
                <w:szCs w:val="24"/>
              </w:rPr>
            </w:pPr>
          </w:p>
        </w:tc>
      </w:tr>
      <w:tr w14:paraId="3EC3D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771B0D32">
            <w:pPr>
              <w:jc w:val="center"/>
              <w:rPr>
                <w:rFonts w:hint="eastAsia" w:ascii="仿宋" w:hAnsi="仿宋" w:eastAsia="仿宋" w:cs="仿宋"/>
                <w:b/>
                <w:bCs/>
                <w:color w:val="auto"/>
                <w:sz w:val="24"/>
                <w:szCs w:val="24"/>
              </w:rPr>
            </w:pPr>
          </w:p>
        </w:tc>
        <w:tc>
          <w:tcPr>
            <w:tcW w:w="1357" w:type="dxa"/>
          </w:tcPr>
          <w:p w14:paraId="60A3F386">
            <w:pPr>
              <w:jc w:val="center"/>
              <w:rPr>
                <w:rFonts w:hint="eastAsia" w:ascii="仿宋" w:hAnsi="仿宋" w:eastAsia="仿宋" w:cs="仿宋"/>
                <w:b/>
                <w:bCs/>
                <w:color w:val="auto"/>
                <w:sz w:val="24"/>
                <w:szCs w:val="24"/>
              </w:rPr>
            </w:pPr>
          </w:p>
        </w:tc>
        <w:tc>
          <w:tcPr>
            <w:tcW w:w="1326" w:type="dxa"/>
          </w:tcPr>
          <w:p w14:paraId="78AFB554">
            <w:pPr>
              <w:jc w:val="center"/>
              <w:rPr>
                <w:rFonts w:hint="eastAsia" w:ascii="仿宋" w:hAnsi="仿宋" w:eastAsia="仿宋" w:cs="仿宋"/>
                <w:b/>
                <w:bCs/>
                <w:color w:val="auto"/>
                <w:sz w:val="24"/>
                <w:szCs w:val="24"/>
              </w:rPr>
            </w:pPr>
          </w:p>
        </w:tc>
        <w:tc>
          <w:tcPr>
            <w:tcW w:w="1326" w:type="dxa"/>
          </w:tcPr>
          <w:p w14:paraId="57D53F98">
            <w:pPr>
              <w:jc w:val="center"/>
              <w:rPr>
                <w:rFonts w:hint="eastAsia" w:ascii="仿宋" w:hAnsi="仿宋" w:eastAsia="仿宋" w:cs="仿宋"/>
                <w:b/>
                <w:bCs/>
                <w:color w:val="auto"/>
                <w:sz w:val="24"/>
                <w:szCs w:val="24"/>
              </w:rPr>
            </w:pPr>
          </w:p>
        </w:tc>
        <w:tc>
          <w:tcPr>
            <w:tcW w:w="1327" w:type="dxa"/>
          </w:tcPr>
          <w:p w14:paraId="0765DB12">
            <w:pPr>
              <w:jc w:val="center"/>
              <w:rPr>
                <w:rFonts w:hint="eastAsia" w:ascii="仿宋" w:hAnsi="仿宋" w:eastAsia="仿宋" w:cs="仿宋"/>
                <w:b/>
                <w:bCs/>
                <w:color w:val="auto"/>
                <w:sz w:val="24"/>
                <w:szCs w:val="24"/>
              </w:rPr>
            </w:pPr>
          </w:p>
        </w:tc>
        <w:tc>
          <w:tcPr>
            <w:tcW w:w="1327" w:type="dxa"/>
          </w:tcPr>
          <w:p w14:paraId="6CA8AEEB">
            <w:pPr>
              <w:jc w:val="center"/>
              <w:rPr>
                <w:rFonts w:hint="eastAsia" w:ascii="仿宋" w:hAnsi="仿宋" w:eastAsia="仿宋" w:cs="仿宋"/>
                <w:b/>
                <w:bCs/>
                <w:color w:val="auto"/>
                <w:sz w:val="24"/>
                <w:szCs w:val="24"/>
              </w:rPr>
            </w:pPr>
          </w:p>
        </w:tc>
      </w:tr>
      <w:tr w14:paraId="22468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447B054F">
            <w:pPr>
              <w:jc w:val="center"/>
              <w:rPr>
                <w:rFonts w:hint="eastAsia" w:ascii="仿宋" w:hAnsi="仿宋" w:eastAsia="仿宋" w:cs="仿宋"/>
                <w:b/>
                <w:bCs/>
                <w:color w:val="auto"/>
                <w:sz w:val="24"/>
                <w:szCs w:val="24"/>
              </w:rPr>
            </w:pPr>
          </w:p>
        </w:tc>
        <w:tc>
          <w:tcPr>
            <w:tcW w:w="1357" w:type="dxa"/>
          </w:tcPr>
          <w:p w14:paraId="3FD0C829">
            <w:pPr>
              <w:jc w:val="center"/>
              <w:rPr>
                <w:rFonts w:hint="eastAsia" w:ascii="仿宋" w:hAnsi="仿宋" w:eastAsia="仿宋" w:cs="仿宋"/>
                <w:b/>
                <w:bCs/>
                <w:color w:val="auto"/>
                <w:sz w:val="24"/>
                <w:szCs w:val="24"/>
              </w:rPr>
            </w:pPr>
          </w:p>
        </w:tc>
        <w:tc>
          <w:tcPr>
            <w:tcW w:w="1326" w:type="dxa"/>
          </w:tcPr>
          <w:p w14:paraId="3D94DCCC">
            <w:pPr>
              <w:jc w:val="center"/>
              <w:rPr>
                <w:rFonts w:hint="eastAsia" w:ascii="仿宋" w:hAnsi="仿宋" w:eastAsia="仿宋" w:cs="仿宋"/>
                <w:b/>
                <w:bCs/>
                <w:color w:val="auto"/>
                <w:sz w:val="24"/>
                <w:szCs w:val="24"/>
              </w:rPr>
            </w:pPr>
          </w:p>
        </w:tc>
        <w:tc>
          <w:tcPr>
            <w:tcW w:w="1326" w:type="dxa"/>
          </w:tcPr>
          <w:p w14:paraId="47EC323D">
            <w:pPr>
              <w:jc w:val="center"/>
              <w:rPr>
                <w:rFonts w:hint="eastAsia" w:ascii="仿宋" w:hAnsi="仿宋" w:eastAsia="仿宋" w:cs="仿宋"/>
                <w:b/>
                <w:bCs/>
                <w:color w:val="auto"/>
                <w:sz w:val="24"/>
                <w:szCs w:val="24"/>
              </w:rPr>
            </w:pPr>
          </w:p>
        </w:tc>
        <w:tc>
          <w:tcPr>
            <w:tcW w:w="1327" w:type="dxa"/>
          </w:tcPr>
          <w:p w14:paraId="115C9EBC">
            <w:pPr>
              <w:jc w:val="center"/>
              <w:rPr>
                <w:rFonts w:hint="eastAsia" w:ascii="仿宋" w:hAnsi="仿宋" w:eastAsia="仿宋" w:cs="仿宋"/>
                <w:b/>
                <w:bCs/>
                <w:color w:val="auto"/>
                <w:sz w:val="24"/>
                <w:szCs w:val="24"/>
              </w:rPr>
            </w:pPr>
          </w:p>
        </w:tc>
        <w:tc>
          <w:tcPr>
            <w:tcW w:w="1327" w:type="dxa"/>
          </w:tcPr>
          <w:p w14:paraId="35D8F413">
            <w:pPr>
              <w:jc w:val="center"/>
              <w:rPr>
                <w:rFonts w:hint="eastAsia" w:ascii="仿宋" w:hAnsi="仿宋" w:eastAsia="仿宋" w:cs="仿宋"/>
                <w:b/>
                <w:bCs/>
                <w:color w:val="auto"/>
                <w:sz w:val="24"/>
                <w:szCs w:val="24"/>
              </w:rPr>
            </w:pPr>
          </w:p>
        </w:tc>
      </w:tr>
    </w:tbl>
    <w:p w14:paraId="608CF9D2">
      <w:pPr>
        <w:spacing w:line="360" w:lineRule="auto"/>
        <w:ind w:firstLine="475" w:firstLineChars="198"/>
        <w:jc w:val="left"/>
        <w:rPr>
          <w:rFonts w:hint="eastAsia" w:ascii="仿宋" w:hAnsi="仿宋" w:eastAsia="仿宋" w:cs="仿宋"/>
          <w:color w:val="auto"/>
          <w:sz w:val="24"/>
          <w:szCs w:val="24"/>
        </w:rPr>
      </w:pPr>
      <w:r>
        <w:rPr>
          <w:rFonts w:hint="eastAsia" w:ascii="仿宋" w:hAnsi="仿宋" w:eastAsia="仿宋" w:cs="仿宋"/>
          <w:color w:val="auto"/>
          <w:sz w:val="24"/>
          <w:szCs w:val="24"/>
        </w:rPr>
        <w:t>备注：投标人应根据其提供的货物，对照</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第</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章“</w:t>
      </w:r>
      <w:r>
        <w:rPr>
          <w:rFonts w:hint="eastAsia" w:ascii="仿宋" w:hAnsi="仿宋" w:eastAsia="仿宋" w:cs="仿宋"/>
          <w:color w:val="auto"/>
          <w:sz w:val="24"/>
          <w:szCs w:val="24"/>
          <w:lang w:eastAsia="zh-CN"/>
        </w:rPr>
        <w:t>技术规格、数量及质量要求</w:t>
      </w:r>
      <w:r>
        <w:rPr>
          <w:rFonts w:hint="eastAsia" w:ascii="仿宋" w:hAnsi="仿宋" w:eastAsia="仿宋" w:cs="仿宋"/>
          <w:color w:val="auto"/>
          <w:sz w:val="24"/>
          <w:szCs w:val="24"/>
        </w:rPr>
        <w:t>”中的要求，有差异的，则在此表中列明实际响应的内容提要并加以说明，以便查对。本表包括所有的技术响应及差异。无差异说明表示完全响应</w:t>
      </w:r>
      <w:r>
        <w:rPr>
          <w:rFonts w:hint="eastAsia" w:ascii="仿宋" w:hAnsi="仿宋" w:eastAsia="仿宋" w:cs="仿宋"/>
          <w:color w:val="auto"/>
          <w:sz w:val="24"/>
          <w:szCs w:val="24"/>
          <w:lang w:eastAsia="zh-CN"/>
        </w:rPr>
        <w:t>。</w:t>
      </w:r>
    </w:p>
    <w:p w14:paraId="22C066BA">
      <w:pPr>
        <w:pStyle w:val="10"/>
        <w:tabs>
          <w:tab w:val="left" w:pos="5580"/>
        </w:tabs>
        <w:spacing w:line="360" w:lineRule="auto"/>
        <w:ind w:firstLine="3120" w:firstLineChars="1300"/>
        <w:rPr>
          <w:rFonts w:hint="eastAsia" w:ascii="仿宋" w:hAnsi="仿宋" w:eastAsia="仿宋" w:cs="仿宋"/>
          <w:color w:val="auto"/>
          <w:sz w:val="24"/>
        </w:rPr>
      </w:pPr>
    </w:p>
    <w:p w14:paraId="62AF248A">
      <w:pPr>
        <w:pStyle w:val="10"/>
        <w:tabs>
          <w:tab w:val="left" w:pos="5580"/>
        </w:tabs>
        <w:spacing w:line="360" w:lineRule="auto"/>
        <w:ind w:firstLine="3120" w:firstLineChars="1300"/>
        <w:rPr>
          <w:rFonts w:hint="eastAsia" w:ascii="仿宋" w:hAnsi="仿宋" w:eastAsia="仿宋" w:cs="仿宋"/>
          <w:color w:val="auto"/>
          <w:sz w:val="24"/>
        </w:rPr>
      </w:pPr>
      <w:r>
        <w:rPr>
          <w:rFonts w:hint="eastAsia" w:ascii="仿宋" w:hAnsi="仿宋" w:eastAsia="仿宋" w:cs="仿宋"/>
          <w:color w:val="auto"/>
          <w:sz w:val="24"/>
        </w:rPr>
        <w:t>投标人（盖章）：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0B299ADB">
      <w:pPr>
        <w:pStyle w:val="10"/>
        <w:tabs>
          <w:tab w:val="left" w:pos="5580"/>
        </w:tabs>
        <w:spacing w:line="360" w:lineRule="auto"/>
        <w:ind w:firstLine="3120" w:firstLineChars="1300"/>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sz w:val="24"/>
          <w:lang w:eastAsia="zh-CN"/>
        </w:rPr>
        <w:t>法定代表人或</w:t>
      </w:r>
      <w:r>
        <w:rPr>
          <w:rFonts w:hint="eastAsia" w:ascii="仿宋" w:hAnsi="仿宋" w:eastAsia="仿宋" w:cs="仿宋"/>
          <w:color w:val="auto"/>
          <w:kern w:val="0"/>
          <w:sz w:val="24"/>
          <w:szCs w:val="24"/>
        </w:rPr>
        <w:t>委托代理人</w:t>
      </w:r>
      <w:r>
        <w:rPr>
          <w:rFonts w:hint="eastAsia" w:ascii="仿宋" w:hAnsi="仿宋" w:eastAsia="仿宋" w:cs="仿宋"/>
          <w:color w:val="auto"/>
          <w:sz w:val="24"/>
          <w:lang w:eastAsia="zh-CN"/>
        </w:rPr>
        <w:t>（签字或盖章）</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u w:val="single"/>
          <w:lang w:val="en-US" w:eastAsia="zh-CN"/>
        </w:rPr>
        <w:t xml:space="preserve">                   </w:t>
      </w:r>
    </w:p>
    <w:p w14:paraId="6DAFFBEC">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14:paraId="2B2893AF">
      <w:pPr>
        <w:pStyle w:val="4"/>
        <w:rPr>
          <w:rFonts w:hint="eastAsia" w:ascii="仿宋" w:hAnsi="仿宋" w:eastAsia="仿宋" w:cs="仿宋"/>
          <w:b/>
          <w:bCs/>
          <w:color w:val="auto"/>
          <w:sz w:val="36"/>
          <w:szCs w:val="36"/>
        </w:rPr>
      </w:pPr>
    </w:p>
    <w:p w14:paraId="5F89E49F">
      <w:pPr>
        <w:rPr>
          <w:rFonts w:hint="eastAsia" w:ascii="仿宋" w:hAnsi="仿宋" w:eastAsia="仿宋" w:cs="仿宋"/>
          <w:color w:val="auto"/>
        </w:rPr>
      </w:pPr>
    </w:p>
    <w:p w14:paraId="4302E88C">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7C4EBE71">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0959F4D4">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7D530045">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0C51FF0E">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10D65F39">
      <w:pPr>
        <w:pStyle w:val="32"/>
        <w:keepNext w:val="0"/>
        <w:keepLines w:val="0"/>
        <w:widowControl w:val="0"/>
        <w:numPr>
          <w:ilvl w:val="0"/>
          <w:numId w:val="0"/>
        </w:numPr>
        <w:shd w:val="clear" w:color="auto" w:fill="auto"/>
        <w:bidi w:val="0"/>
        <w:spacing w:before="0" w:after="0" w:line="240" w:lineRule="auto"/>
        <w:ind w:left="360" w:leftChars="0" w:right="0" w:rightChars="0"/>
        <w:jc w:val="both"/>
        <w:rPr>
          <w:rFonts w:hint="eastAsia" w:ascii="仿宋" w:hAnsi="仿宋" w:eastAsia="仿宋" w:cs="仿宋"/>
          <w:b/>
          <w:bCs/>
          <w:color w:val="auto"/>
          <w:spacing w:val="0"/>
          <w:w w:val="100"/>
          <w:position w:val="0"/>
          <w:sz w:val="36"/>
          <w:szCs w:val="36"/>
          <w:lang w:eastAsia="zh-CN"/>
        </w:rPr>
      </w:pPr>
    </w:p>
    <w:p w14:paraId="4DA673BB">
      <w:pPr>
        <w:pStyle w:val="32"/>
        <w:keepNext w:val="0"/>
        <w:keepLines w:val="0"/>
        <w:widowControl w:val="0"/>
        <w:numPr>
          <w:ilvl w:val="0"/>
          <w:numId w:val="0"/>
        </w:numPr>
        <w:shd w:val="clear" w:color="auto" w:fill="auto"/>
        <w:bidi w:val="0"/>
        <w:spacing w:before="0" w:after="0" w:line="240" w:lineRule="auto"/>
        <w:ind w:left="360" w:leftChars="0" w:right="0" w:rightChars="0"/>
        <w:jc w:val="center"/>
        <w:rPr>
          <w:rFonts w:hint="eastAsia" w:ascii="仿宋" w:hAnsi="仿宋" w:eastAsia="仿宋" w:cs="仿宋"/>
          <w:b/>
          <w:bCs/>
          <w:color w:val="auto"/>
          <w:spacing w:val="0"/>
          <w:w w:val="100"/>
          <w:position w:val="0"/>
          <w:sz w:val="36"/>
          <w:szCs w:val="36"/>
          <w:lang w:eastAsia="zh-CN"/>
        </w:rPr>
      </w:pPr>
      <w:r>
        <w:rPr>
          <w:rFonts w:hint="eastAsia" w:ascii="仿宋" w:hAnsi="仿宋" w:eastAsia="仿宋" w:cs="仿宋"/>
          <w:b/>
          <w:bCs/>
          <w:color w:val="auto"/>
          <w:spacing w:val="0"/>
          <w:w w:val="100"/>
          <w:position w:val="0"/>
          <w:sz w:val="36"/>
          <w:szCs w:val="36"/>
          <w:lang w:val="en-US" w:eastAsia="zh-CN"/>
        </w:rPr>
        <w:t>6、</w:t>
      </w:r>
      <w:r>
        <w:rPr>
          <w:rFonts w:hint="eastAsia" w:ascii="仿宋" w:hAnsi="仿宋" w:eastAsia="仿宋" w:cs="仿宋"/>
          <w:b/>
          <w:bCs/>
          <w:color w:val="auto"/>
          <w:spacing w:val="0"/>
          <w:w w:val="100"/>
          <w:position w:val="0"/>
          <w:sz w:val="36"/>
          <w:szCs w:val="36"/>
          <w:lang w:eastAsia="zh-CN"/>
        </w:rPr>
        <w:t>商务条款偏离表</w:t>
      </w:r>
    </w:p>
    <w:p w14:paraId="6BE40974">
      <w:pPr>
        <w:pStyle w:val="10"/>
        <w:spacing w:line="240" w:lineRule="atLeast"/>
        <w:ind w:left="1157"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6C80560E">
      <w:pPr>
        <w:pStyle w:val="32"/>
        <w:keepNext w:val="0"/>
        <w:keepLines w:val="0"/>
        <w:widowControl w:val="0"/>
        <w:numPr>
          <w:ilvl w:val="0"/>
          <w:numId w:val="0"/>
        </w:numPr>
        <w:shd w:val="clear" w:color="auto" w:fill="auto"/>
        <w:bidi w:val="0"/>
        <w:spacing w:before="0" w:after="0" w:line="240" w:lineRule="auto"/>
        <w:ind w:right="0" w:rightChars="0" w:firstLine="480" w:firstLineChars="200"/>
        <w:jc w:val="both"/>
        <w:rPr>
          <w:rFonts w:hint="eastAsia" w:ascii="仿宋" w:hAnsi="仿宋" w:eastAsia="仿宋" w:cs="仿宋"/>
          <w:b/>
          <w:bCs/>
          <w:color w:val="auto"/>
          <w:spacing w:val="0"/>
          <w:w w:val="100"/>
          <w:position w:val="0"/>
          <w:sz w:val="24"/>
          <w:szCs w:val="24"/>
          <w:lang w:eastAsia="zh-CN"/>
        </w:rPr>
      </w:pPr>
      <w:r>
        <w:rPr>
          <w:rFonts w:hint="eastAsia" w:ascii="仿宋" w:hAnsi="仿宋" w:eastAsia="仿宋" w:cs="仿宋"/>
          <w:color w:val="auto"/>
          <w:sz w:val="24"/>
          <w:szCs w:val="24"/>
          <w:highlight w:val="none"/>
          <w:lang w:eastAsia="zh-CN"/>
        </w:rPr>
        <w:t xml:space="preserve">招标编号:                       </w:t>
      </w:r>
      <w:r>
        <w:rPr>
          <w:rFonts w:hint="eastAsia" w:ascii="仿宋" w:hAnsi="仿宋" w:eastAsia="仿宋" w:cs="仿宋"/>
          <w:color w:val="auto"/>
          <w:sz w:val="24"/>
          <w:szCs w:val="24"/>
          <w:highlight w:val="none"/>
          <w:lang w:val="en-US" w:eastAsia="zh-CN"/>
        </w:rPr>
        <w:t xml:space="preserve"> </w:t>
      </w:r>
    </w:p>
    <w:tbl>
      <w:tblPr>
        <w:tblStyle w:val="21"/>
        <w:tblW w:w="7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746"/>
        <w:gridCol w:w="2708"/>
        <w:gridCol w:w="1130"/>
      </w:tblGrid>
      <w:tr w14:paraId="5E4B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64D9499">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序号</w:t>
            </w:r>
          </w:p>
        </w:tc>
        <w:tc>
          <w:tcPr>
            <w:tcW w:w="2746" w:type="dxa"/>
          </w:tcPr>
          <w:p w14:paraId="7B59BAFD">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谈判文件的商务条款</w:t>
            </w:r>
          </w:p>
        </w:tc>
        <w:tc>
          <w:tcPr>
            <w:tcW w:w="2708" w:type="dxa"/>
          </w:tcPr>
          <w:p w14:paraId="50903FD1">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响应文件的商务条款</w:t>
            </w:r>
          </w:p>
        </w:tc>
        <w:tc>
          <w:tcPr>
            <w:tcW w:w="1130" w:type="dxa"/>
          </w:tcPr>
          <w:p w14:paraId="6E96CDD8">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说明</w:t>
            </w:r>
          </w:p>
        </w:tc>
      </w:tr>
      <w:tr w14:paraId="0033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787F31DF">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w:t>
            </w:r>
          </w:p>
        </w:tc>
        <w:tc>
          <w:tcPr>
            <w:tcW w:w="2746" w:type="dxa"/>
            <w:vAlign w:val="center"/>
          </w:tcPr>
          <w:p w14:paraId="5FCD1081">
            <w:pPr>
              <w:rPr>
                <w:rFonts w:hint="eastAsia" w:ascii="仿宋" w:hAnsi="仿宋" w:eastAsia="仿宋" w:cs="仿宋"/>
                <w:color w:val="auto"/>
                <w:spacing w:val="-1"/>
                <w:kern w:val="0"/>
                <w:sz w:val="24"/>
              </w:rPr>
            </w:pPr>
          </w:p>
        </w:tc>
        <w:tc>
          <w:tcPr>
            <w:tcW w:w="2708" w:type="dxa"/>
            <w:vAlign w:val="center"/>
          </w:tcPr>
          <w:p w14:paraId="333FAC0E">
            <w:pPr>
              <w:rPr>
                <w:rFonts w:hint="eastAsia" w:ascii="仿宋" w:hAnsi="仿宋" w:eastAsia="仿宋" w:cs="仿宋"/>
                <w:color w:val="auto"/>
                <w:spacing w:val="-1"/>
                <w:kern w:val="0"/>
                <w:sz w:val="24"/>
              </w:rPr>
            </w:pPr>
          </w:p>
        </w:tc>
        <w:tc>
          <w:tcPr>
            <w:tcW w:w="1130" w:type="dxa"/>
            <w:vAlign w:val="center"/>
          </w:tcPr>
          <w:p w14:paraId="1911BDD8">
            <w:pPr>
              <w:rPr>
                <w:rFonts w:hint="eastAsia" w:ascii="仿宋" w:hAnsi="仿宋" w:eastAsia="仿宋" w:cs="仿宋"/>
                <w:color w:val="auto"/>
                <w:spacing w:val="-1"/>
                <w:kern w:val="0"/>
                <w:sz w:val="24"/>
              </w:rPr>
            </w:pPr>
          </w:p>
        </w:tc>
      </w:tr>
      <w:tr w14:paraId="7031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728DF61">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2</w:t>
            </w:r>
          </w:p>
        </w:tc>
        <w:tc>
          <w:tcPr>
            <w:tcW w:w="2746" w:type="dxa"/>
            <w:vAlign w:val="center"/>
          </w:tcPr>
          <w:p w14:paraId="24375419">
            <w:pPr>
              <w:rPr>
                <w:rFonts w:hint="eastAsia" w:ascii="仿宋" w:hAnsi="仿宋" w:eastAsia="仿宋" w:cs="仿宋"/>
                <w:color w:val="auto"/>
                <w:spacing w:val="-1"/>
                <w:kern w:val="0"/>
                <w:sz w:val="24"/>
              </w:rPr>
            </w:pPr>
          </w:p>
        </w:tc>
        <w:tc>
          <w:tcPr>
            <w:tcW w:w="2708" w:type="dxa"/>
            <w:vAlign w:val="center"/>
          </w:tcPr>
          <w:p w14:paraId="45173457">
            <w:pPr>
              <w:rPr>
                <w:rFonts w:hint="eastAsia" w:ascii="仿宋" w:hAnsi="仿宋" w:eastAsia="仿宋" w:cs="仿宋"/>
                <w:color w:val="auto"/>
                <w:spacing w:val="-1"/>
                <w:kern w:val="0"/>
                <w:sz w:val="24"/>
              </w:rPr>
            </w:pPr>
          </w:p>
        </w:tc>
        <w:tc>
          <w:tcPr>
            <w:tcW w:w="1130" w:type="dxa"/>
            <w:vAlign w:val="center"/>
          </w:tcPr>
          <w:p w14:paraId="591E8197">
            <w:pPr>
              <w:rPr>
                <w:rFonts w:hint="eastAsia" w:ascii="仿宋" w:hAnsi="仿宋" w:eastAsia="仿宋" w:cs="仿宋"/>
                <w:color w:val="auto"/>
                <w:spacing w:val="-1"/>
                <w:kern w:val="0"/>
                <w:sz w:val="24"/>
              </w:rPr>
            </w:pPr>
          </w:p>
        </w:tc>
      </w:tr>
      <w:tr w14:paraId="0E6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B63C115">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3</w:t>
            </w:r>
          </w:p>
        </w:tc>
        <w:tc>
          <w:tcPr>
            <w:tcW w:w="2746" w:type="dxa"/>
            <w:vAlign w:val="center"/>
          </w:tcPr>
          <w:p w14:paraId="7F2A30A0">
            <w:pPr>
              <w:rPr>
                <w:rFonts w:hint="eastAsia" w:ascii="仿宋" w:hAnsi="仿宋" w:eastAsia="仿宋" w:cs="仿宋"/>
                <w:color w:val="auto"/>
                <w:spacing w:val="-1"/>
                <w:kern w:val="0"/>
                <w:sz w:val="24"/>
              </w:rPr>
            </w:pPr>
          </w:p>
        </w:tc>
        <w:tc>
          <w:tcPr>
            <w:tcW w:w="2708" w:type="dxa"/>
            <w:vAlign w:val="center"/>
          </w:tcPr>
          <w:p w14:paraId="07E71C31">
            <w:pPr>
              <w:rPr>
                <w:rFonts w:hint="eastAsia" w:ascii="仿宋" w:hAnsi="仿宋" w:eastAsia="仿宋" w:cs="仿宋"/>
                <w:color w:val="auto"/>
                <w:spacing w:val="-1"/>
                <w:kern w:val="0"/>
                <w:sz w:val="24"/>
              </w:rPr>
            </w:pPr>
          </w:p>
        </w:tc>
        <w:tc>
          <w:tcPr>
            <w:tcW w:w="1130" w:type="dxa"/>
            <w:vAlign w:val="center"/>
          </w:tcPr>
          <w:p w14:paraId="3BF08F1B">
            <w:pPr>
              <w:rPr>
                <w:rFonts w:hint="eastAsia" w:ascii="仿宋" w:hAnsi="仿宋" w:eastAsia="仿宋" w:cs="仿宋"/>
                <w:color w:val="auto"/>
                <w:spacing w:val="-1"/>
                <w:kern w:val="0"/>
                <w:sz w:val="24"/>
              </w:rPr>
            </w:pPr>
          </w:p>
        </w:tc>
      </w:tr>
      <w:tr w14:paraId="335A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664874BD">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4</w:t>
            </w:r>
          </w:p>
        </w:tc>
        <w:tc>
          <w:tcPr>
            <w:tcW w:w="2746" w:type="dxa"/>
            <w:vAlign w:val="center"/>
          </w:tcPr>
          <w:p w14:paraId="6A39FE68">
            <w:pPr>
              <w:rPr>
                <w:rFonts w:hint="eastAsia" w:ascii="仿宋" w:hAnsi="仿宋" w:eastAsia="仿宋" w:cs="仿宋"/>
                <w:color w:val="auto"/>
                <w:spacing w:val="-1"/>
                <w:kern w:val="0"/>
                <w:sz w:val="24"/>
              </w:rPr>
            </w:pPr>
          </w:p>
        </w:tc>
        <w:tc>
          <w:tcPr>
            <w:tcW w:w="2708" w:type="dxa"/>
            <w:vAlign w:val="center"/>
          </w:tcPr>
          <w:p w14:paraId="270EDF4F">
            <w:pPr>
              <w:rPr>
                <w:rFonts w:hint="eastAsia" w:ascii="仿宋" w:hAnsi="仿宋" w:eastAsia="仿宋" w:cs="仿宋"/>
                <w:color w:val="auto"/>
                <w:spacing w:val="-1"/>
                <w:kern w:val="0"/>
                <w:sz w:val="24"/>
              </w:rPr>
            </w:pPr>
          </w:p>
        </w:tc>
        <w:tc>
          <w:tcPr>
            <w:tcW w:w="1130" w:type="dxa"/>
            <w:vAlign w:val="center"/>
          </w:tcPr>
          <w:p w14:paraId="09CE3888">
            <w:pPr>
              <w:rPr>
                <w:rFonts w:hint="eastAsia" w:ascii="仿宋" w:hAnsi="仿宋" w:eastAsia="仿宋" w:cs="仿宋"/>
                <w:color w:val="auto"/>
                <w:spacing w:val="-1"/>
                <w:kern w:val="0"/>
                <w:sz w:val="24"/>
              </w:rPr>
            </w:pPr>
          </w:p>
        </w:tc>
      </w:tr>
      <w:tr w14:paraId="0A9B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69714118">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5</w:t>
            </w:r>
          </w:p>
        </w:tc>
        <w:tc>
          <w:tcPr>
            <w:tcW w:w="2746" w:type="dxa"/>
            <w:vAlign w:val="center"/>
          </w:tcPr>
          <w:p w14:paraId="744FC6C2">
            <w:pPr>
              <w:rPr>
                <w:rFonts w:hint="eastAsia" w:ascii="仿宋" w:hAnsi="仿宋" w:eastAsia="仿宋" w:cs="仿宋"/>
                <w:color w:val="auto"/>
                <w:spacing w:val="-1"/>
                <w:kern w:val="0"/>
                <w:sz w:val="24"/>
              </w:rPr>
            </w:pPr>
          </w:p>
        </w:tc>
        <w:tc>
          <w:tcPr>
            <w:tcW w:w="2708" w:type="dxa"/>
            <w:vAlign w:val="center"/>
          </w:tcPr>
          <w:p w14:paraId="257AB6FA">
            <w:pPr>
              <w:rPr>
                <w:rFonts w:hint="eastAsia" w:ascii="仿宋" w:hAnsi="仿宋" w:eastAsia="仿宋" w:cs="仿宋"/>
                <w:color w:val="auto"/>
                <w:spacing w:val="-1"/>
                <w:kern w:val="0"/>
                <w:sz w:val="24"/>
              </w:rPr>
            </w:pPr>
          </w:p>
        </w:tc>
        <w:tc>
          <w:tcPr>
            <w:tcW w:w="1130" w:type="dxa"/>
            <w:vAlign w:val="center"/>
          </w:tcPr>
          <w:p w14:paraId="435AE215">
            <w:pPr>
              <w:rPr>
                <w:rFonts w:hint="eastAsia" w:ascii="仿宋" w:hAnsi="仿宋" w:eastAsia="仿宋" w:cs="仿宋"/>
                <w:color w:val="auto"/>
                <w:spacing w:val="-1"/>
                <w:kern w:val="0"/>
                <w:sz w:val="24"/>
              </w:rPr>
            </w:pPr>
          </w:p>
        </w:tc>
      </w:tr>
      <w:tr w14:paraId="5E91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12B8718A">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6</w:t>
            </w:r>
          </w:p>
        </w:tc>
        <w:tc>
          <w:tcPr>
            <w:tcW w:w="2746" w:type="dxa"/>
            <w:vAlign w:val="center"/>
          </w:tcPr>
          <w:p w14:paraId="1BE15A5A">
            <w:pPr>
              <w:rPr>
                <w:rFonts w:hint="eastAsia" w:ascii="仿宋" w:hAnsi="仿宋" w:eastAsia="仿宋" w:cs="仿宋"/>
                <w:color w:val="auto"/>
                <w:spacing w:val="-1"/>
                <w:kern w:val="0"/>
                <w:sz w:val="24"/>
              </w:rPr>
            </w:pPr>
          </w:p>
        </w:tc>
        <w:tc>
          <w:tcPr>
            <w:tcW w:w="2708" w:type="dxa"/>
            <w:vAlign w:val="center"/>
          </w:tcPr>
          <w:p w14:paraId="0C92EE0A">
            <w:pPr>
              <w:rPr>
                <w:rFonts w:hint="eastAsia" w:ascii="仿宋" w:hAnsi="仿宋" w:eastAsia="仿宋" w:cs="仿宋"/>
                <w:color w:val="auto"/>
                <w:spacing w:val="-1"/>
                <w:kern w:val="0"/>
                <w:sz w:val="24"/>
              </w:rPr>
            </w:pPr>
          </w:p>
        </w:tc>
        <w:tc>
          <w:tcPr>
            <w:tcW w:w="1130" w:type="dxa"/>
            <w:vAlign w:val="center"/>
          </w:tcPr>
          <w:p w14:paraId="52AFA17D">
            <w:pPr>
              <w:rPr>
                <w:rFonts w:hint="eastAsia" w:ascii="仿宋" w:hAnsi="仿宋" w:eastAsia="仿宋" w:cs="仿宋"/>
                <w:color w:val="auto"/>
                <w:spacing w:val="-1"/>
                <w:kern w:val="0"/>
                <w:sz w:val="24"/>
              </w:rPr>
            </w:pPr>
          </w:p>
        </w:tc>
      </w:tr>
      <w:tr w14:paraId="085A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05E8A82">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7</w:t>
            </w:r>
          </w:p>
        </w:tc>
        <w:tc>
          <w:tcPr>
            <w:tcW w:w="2746" w:type="dxa"/>
            <w:vAlign w:val="center"/>
          </w:tcPr>
          <w:p w14:paraId="17C01760">
            <w:pPr>
              <w:rPr>
                <w:rFonts w:hint="eastAsia" w:ascii="仿宋" w:hAnsi="仿宋" w:eastAsia="仿宋" w:cs="仿宋"/>
                <w:color w:val="auto"/>
                <w:spacing w:val="-1"/>
                <w:kern w:val="0"/>
                <w:sz w:val="24"/>
              </w:rPr>
            </w:pPr>
          </w:p>
        </w:tc>
        <w:tc>
          <w:tcPr>
            <w:tcW w:w="2708" w:type="dxa"/>
            <w:vAlign w:val="center"/>
          </w:tcPr>
          <w:p w14:paraId="525843B1">
            <w:pPr>
              <w:rPr>
                <w:rFonts w:hint="eastAsia" w:ascii="仿宋" w:hAnsi="仿宋" w:eastAsia="仿宋" w:cs="仿宋"/>
                <w:color w:val="auto"/>
                <w:spacing w:val="-1"/>
                <w:kern w:val="0"/>
                <w:sz w:val="24"/>
              </w:rPr>
            </w:pPr>
          </w:p>
        </w:tc>
        <w:tc>
          <w:tcPr>
            <w:tcW w:w="1130" w:type="dxa"/>
            <w:vAlign w:val="center"/>
          </w:tcPr>
          <w:p w14:paraId="312CA51A">
            <w:pPr>
              <w:rPr>
                <w:rFonts w:hint="eastAsia" w:ascii="仿宋" w:hAnsi="仿宋" w:eastAsia="仿宋" w:cs="仿宋"/>
                <w:color w:val="auto"/>
                <w:spacing w:val="-1"/>
                <w:kern w:val="0"/>
                <w:sz w:val="24"/>
              </w:rPr>
            </w:pPr>
          </w:p>
        </w:tc>
      </w:tr>
      <w:tr w14:paraId="4899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3BFAB1CB">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8</w:t>
            </w:r>
          </w:p>
        </w:tc>
        <w:tc>
          <w:tcPr>
            <w:tcW w:w="2746" w:type="dxa"/>
            <w:vAlign w:val="center"/>
          </w:tcPr>
          <w:p w14:paraId="529959A1">
            <w:pPr>
              <w:rPr>
                <w:rFonts w:hint="eastAsia" w:ascii="仿宋" w:hAnsi="仿宋" w:eastAsia="仿宋" w:cs="仿宋"/>
                <w:color w:val="auto"/>
                <w:spacing w:val="-1"/>
                <w:kern w:val="0"/>
                <w:sz w:val="24"/>
              </w:rPr>
            </w:pPr>
          </w:p>
        </w:tc>
        <w:tc>
          <w:tcPr>
            <w:tcW w:w="2708" w:type="dxa"/>
            <w:vAlign w:val="center"/>
          </w:tcPr>
          <w:p w14:paraId="46700ECE">
            <w:pPr>
              <w:rPr>
                <w:rFonts w:hint="eastAsia" w:ascii="仿宋" w:hAnsi="仿宋" w:eastAsia="仿宋" w:cs="仿宋"/>
                <w:color w:val="auto"/>
                <w:spacing w:val="-1"/>
                <w:kern w:val="0"/>
                <w:sz w:val="24"/>
              </w:rPr>
            </w:pPr>
          </w:p>
        </w:tc>
        <w:tc>
          <w:tcPr>
            <w:tcW w:w="1130" w:type="dxa"/>
            <w:vAlign w:val="center"/>
          </w:tcPr>
          <w:p w14:paraId="0E883368">
            <w:pPr>
              <w:rPr>
                <w:rFonts w:hint="eastAsia" w:ascii="仿宋" w:hAnsi="仿宋" w:eastAsia="仿宋" w:cs="仿宋"/>
                <w:color w:val="auto"/>
                <w:spacing w:val="-1"/>
                <w:kern w:val="0"/>
                <w:sz w:val="24"/>
              </w:rPr>
            </w:pPr>
          </w:p>
        </w:tc>
      </w:tr>
      <w:tr w14:paraId="5F6C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5FF08FC5">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9</w:t>
            </w:r>
          </w:p>
        </w:tc>
        <w:tc>
          <w:tcPr>
            <w:tcW w:w="2746" w:type="dxa"/>
            <w:vAlign w:val="center"/>
          </w:tcPr>
          <w:p w14:paraId="07C39939">
            <w:pPr>
              <w:rPr>
                <w:rFonts w:hint="eastAsia" w:ascii="仿宋" w:hAnsi="仿宋" w:eastAsia="仿宋" w:cs="仿宋"/>
                <w:color w:val="auto"/>
                <w:spacing w:val="-1"/>
                <w:kern w:val="0"/>
                <w:sz w:val="24"/>
              </w:rPr>
            </w:pPr>
          </w:p>
        </w:tc>
        <w:tc>
          <w:tcPr>
            <w:tcW w:w="2708" w:type="dxa"/>
            <w:vAlign w:val="center"/>
          </w:tcPr>
          <w:p w14:paraId="602A33D6">
            <w:pPr>
              <w:rPr>
                <w:rFonts w:hint="eastAsia" w:ascii="仿宋" w:hAnsi="仿宋" w:eastAsia="仿宋" w:cs="仿宋"/>
                <w:color w:val="auto"/>
                <w:spacing w:val="-1"/>
                <w:kern w:val="0"/>
                <w:sz w:val="24"/>
              </w:rPr>
            </w:pPr>
          </w:p>
        </w:tc>
        <w:tc>
          <w:tcPr>
            <w:tcW w:w="1130" w:type="dxa"/>
            <w:vAlign w:val="center"/>
          </w:tcPr>
          <w:p w14:paraId="30E1CF01">
            <w:pPr>
              <w:rPr>
                <w:rFonts w:hint="eastAsia" w:ascii="仿宋" w:hAnsi="仿宋" w:eastAsia="仿宋" w:cs="仿宋"/>
                <w:color w:val="auto"/>
                <w:spacing w:val="-1"/>
                <w:kern w:val="0"/>
                <w:sz w:val="24"/>
              </w:rPr>
            </w:pPr>
          </w:p>
        </w:tc>
      </w:tr>
      <w:tr w14:paraId="34F1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882E26A">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10</w:t>
            </w:r>
          </w:p>
        </w:tc>
        <w:tc>
          <w:tcPr>
            <w:tcW w:w="2746" w:type="dxa"/>
            <w:vAlign w:val="center"/>
          </w:tcPr>
          <w:p w14:paraId="04D45CF8">
            <w:pPr>
              <w:rPr>
                <w:rFonts w:hint="eastAsia" w:ascii="仿宋" w:hAnsi="仿宋" w:eastAsia="仿宋" w:cs="仿宋"/>
                <w:color w:val="auto"/>
                <w:spacing w:val="-1"/>
                <w:kern w:val="0"/>
                <w:sz w:val="24"/>
              </w:rPr>
            </w:pPr>
          </w:p>
        </w:tc>
        <w:tc>
          <w:tcPr>
            <w:tcW w:w="2708" w:type="dxa"/>
            <w:vAlign w:val="center"/>
          </w:tcPr>
          <w:p w14:paraId="606A380F">
            <w:pPr>
              <w:rPr>
                <w:rFonts w:hint="eastAsia" w:ascii="仿宋" w:hAnsi="仿宋" w:eastAsia="仿宋" w:cs="仿宋"/>
                <w:color w:val="auto"/>
                <w:spacing w:val="-1"/>
                <w:kern w:val="0"/>
                <w:sz w:val="24"/>
              </w:rPr>
            </w:pPr>
          </w:p>
        </w:tc>
        <w:tc>
          <w:tcPr>
            <w:tcW w:w="1130" w:type="dxa"/>
            <w:vAlign w:val="center"/>
          </w:tcPr>
          <w:p w14:paraId="5A814FF9">
            <w:pPr>
              <w:rPr>
                <w:rFonts w:hint="eastAsia" w:ascii="仿宋" w:hAnsi="仿宋" w:eastAsia="仿宋" w:cs="仿宋"/>
                <w:color w:val="auto"/>
                <w:spacing w:val="-1"/>
                <w:kern w:val="0"/>
                <w:sz w:val="24"/>
              </w:rPr>
            </w:pPr>
          </w:p>
        </w:tc>
      </w:tr>
      <w:tr w14:paraId="2C84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4E85403C">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11</w:t>
            </w:r>
          </w:p>
        </w:tc>
        <w:tc>
          <w:tcPr>
            <w:tcW w:w="2746" w:type="dxa"/>
            <w:vAlign w:val="center"/>
          </w:tcPr>
          <w:p w14:paraId="20394E54">
            <w:pPr>
              <w:rPr>
                <w:rFonts w:hint="eastAsia" w:ascii="仿宋" w:hAnsi="仿宋" w:eastAsia="仿宋" w:cs="仿宋"/>
                <w:color w:val="auto"/>
                <w:spacing w:val="-1"/>
                <w:kern w:val="0"/>
                <w:sz w:val="24"/>
              </w:rPr>
            </w:pPr>
          </w:p>
        </w:tc>
        <w:tc>
          <w:tcPr>
            <w:tcW w:w="2708" w:type="dxa"/>
            <w:vAlign w:val="center"/>
          </w:tcPr>
          <w:p w14:paraId="5F424635">
            <w:pPr>
              <w:rPr>
                <w:rFonts w:hint="eastAsia" w:ascii="仿宋" w:hAnsi="仿宋" w:eastAsia="仿宋" w:cs="仿宋"/>
                <w:color w:val="auto"/>
                <w:spacing w:val="-1"/>
                <w:kern w:val="0"/>
                <w:sz w:val="24"/>
              </w:rPr>
            </w:pPr>
          </w:p>
        </w:tc>
        <w:tc>
          <w:tcPr>
            <w:tcW w:w="1130" w:type="dxa"/>
            <w:vAlign w:val="center"/>
          </w:tcPr>
          <w:p w14:paraId="1B56C034">
            <w:pPr>
              <w:rPr>
                <w:rFonts w:hint="eastAsia" w:ascii="仿宋" w:hAnsi="仿宋" w:eastAsia="仿宋" w:cs="仿宋"/>
                <w:color w:val="auto"/>
                <w:spacing w:val="-1"/>
                <w:kern w:val="0"/>
                <w:sz w:val="24"/>
              </w:rPr>
            </w:pPr>
          </w:p>
        </w:tc>
      </w:tr>
      <w:tr w14:paraId="6BBC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54C5A2AC">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12</w:t>
            </w:r>
          </w:p>
        </w:tc>
        <w:tc>
          <w:tcPr>
            <w:tcW w:w="2746" w:type="dxa"/>
            <w:vAlign w:val="center"/>
          </w:tcPr>
          <w:p w14:paraId="04769F9C">
            <w:pPr>
              <w:rPr>
                <w:rFonts w:hint="eastAsia" w:ascii="仿宋" w:hAnsi="仿宋" w:eastAsia="仿宋" w:cs="仿宋"/>
                <w:color w:val="auto"/>
                <w:spacing w:val="-1"/>
                <w:kern w:val="0"/>
                <w:sz w:val="24"/>
              </w:rPr>
            </w:pPr>
          </w:p>
        </w:tc>
        <w:tc>
          <w:tcPr>
            <w:tcW w:w="2708" w:type="dxa"/>
            <w:vAlign w:val="center"/>
          </w:tcPr>
          <w:p w14:paraId="5C6444C4">
            <w:pPr>
              <w:rPr>
                <w:rFonts w:hint="eastAsia" w:ascii="仿宋" w:hAnsi="仿宋" w:eastAsia="仿宋" w:cs="仿宋"/>
                <w:color w:val="auto"/>
                <w:spacing w:val="-1"/>
                <w:kern w:val="0"/>
                <w:sz w:val="24"/>
              </w:rPr>
            </w:pPr>
          </w:p>
        </w:tc>
        <w:tc>
          <w:tcPr>
            <w:tcW w:w="1130" w:type="dxa"/>
            <w:vAlign w:val="center"/>
          </w:tcPr>
          <w:p w14:paraId="27D1F934">
            <w:pPr>
              <w:rPr>
                <w:rFonts w:hint="eastAsia" w:ascii="仿宋" w:hAnsi="仿宋" w:eastAsia="仿宋" w:cs="仿宋"/>
                <w:color w:val="auto"/>
                <w:spacing w:val="-1"/>
                <w:kern w:val="0"/>
                <w:sz w:val="24"/>
              </w:rPr>
            </w:pPr>
          </w:p>
        </w:tc>
      </w:tr>
      <w:tr w14:paraId="381B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2FE2ED8B">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13</w:t>
            </w:r>
          </w:p>
        </w:tc>
        <w:tc>
          <w:tcPr>
            <w:tcW w:w="2746" w:type="dxa"/>
            <w:vAlign w:val="center"/>
          </w:tcPr>
          <w:p w14:paraId="317B5C66">
            <w:pPr>
              <w:rPr>
                <w:rFonts w:hint="eastAsia" w:ascii="仿宋" w:hAnsi="仿宋" w:eastAsia="仿宋" w:cs="仿宋"/>
                <w:color w:val="auto"/>
                <w:spacing w:val="-1"/>
                <w:kern w:val="0"/>
                <w:sz w:val="24"/>
              </w:rPr>
            </w:pPr>
          </w:p>
        </w:tc>
        <w:tc>
          <w:tcPr>
            <w:tcW w:w="2708" w:type="dxa"/>
            <w:vAlign w:val="center"/>
          </w:tcPr>
          <w:p w14:paraId="3DE1BABD">
            <w:pPr>
              <w:rPr>
                <w:rFonts w:hint="eastAsia" w:ascii="仿宋" w:hAnsi="仿宋" w:eastAsia="仿宋" w:cs="仿宋"/>
                <w:color w:val="auto"/>
                <w:spacing w:val="-1"/>
                <w:kern w:val="0"/>
                <w:sz w:val="24"/>
              </w:rPr>
            </w:pPr>
          </w:p>
        </w:tc>
        <w:tc>
          <w:tcPr>
            <w:tcW w:w="1130" w:type="dxa"/>
            <w:vAlign w:val="center"/>
          </w:tcPr>
          <w:p w14:paraId="31CD086F">
            <w:pPr>
              <w:rPr>
                <w:rFonts w:hint="eastAsia" w:ascii="仿宋" w:hAnsi="仿宋" w:eastAsia="仿宋" w:cs="仿宋"/>
                <w:color w:val="auto"/>
                <w:spacing w:val="-1"/>
                <w:kern w:val="0"/>
                <w:sz w:val="24"/>
              </w:rPr>
            </w:pPr>
          </w:p>
        </w:tc>
      </w:tr>
      <w:tr w14:paraId="3A79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3AC0B1F">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14</w:t>
            </w:r>
          </w:p>
        </w:tc>
        <w:tc>
          <w:tcPr>
            <w:tcW w:w="2746" w:type="dxa"/>
            <w:vAlign w:val="center"/>
          </w:tcPr>
          <w:p w14:paraId="4922DD90">
            <w:pPr>
              <w:rPr>
                <w:rFonts w:hint="eastAsia" w:ascii="仿宋" w:hAnsi="仿宋" w:eastAsia="仿宋" w:cs="仿宋"/>
                <w:color w:val="auto"/>
                <w:spacing w:val="-1"/>
                <w:kern w:val="0"/>
                <w:sz w:val="24"/>
              </w:rPr>
            </w:pPr>
          </w:p>
        </w:tc>
        <w:tc>
          <w:tcPr>
            <w:tcW w:w="2708" w:type="dxa"/>
            <w:vAlign w:val="center"/>
          </w:tcPr>
          <w:p w14:paraId="26048431">
            <w:pPr>
              <w:rPr>
                <w:rFonts w:hint="eastAsia" w:ascii="仿宋" w:hAnsi="仿宋" w:eastAsia="仿宋" w:cs="仿宋"/>
                <w:color w:val="auto"/>
                <w:spacing w:val="-1"/>
                <w:kern w:val="0"/>
                <w:sz w:val="24"/>
              </w:rPr>
            </w:pPr>
          </w:p>
        </w:tc>
        <w:tc>
          <w:tcPr>
            <w:tcW w:w="1130" w:type="dxa"/>
            <w:vAlign w:val="center"/>
          </w:tcPr>
          <w:p w14:paraId="59F18F2D">
            <w:pPr>
              <w:rPr>
                <w:rFonts w:hint="eastAsia" w:ascii="仿宋" w:hAnsi="仿宋" w:eastAsia="仿宋" w:cs="仿宋"/>
                <w:color w:val="auto"/>
                <w:spacing w:val="-1"/>
                <w:kern w:val="0"/>
                <w:sz w:val="24"/>
              </w:rPr>
            </w:pPr>
          </w:p>
        </w:tc>
      </w:tr>
      <w:tr w14:paraId="733A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36F7BE52">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15</w:t>
            </w:r>
          </w:p>
        </w:tc>
        <w:tc>
          <w:tcPr>
            <w:tcW w:w="2746" w:type="dxa"/>
            <w:vAlign w:val="center"/>
          </w:tcPr>
          <w:p w14:paraId="3761546F">
            <w:pPr>
              <w:rPr>
                <w:rFonts w:hint="eastAsia" w:ascii="仿宋" w:hAnsi="仿宋" w:eastAsia="仿宋" w:cs="仿宋"/>
                <w:color w:val="auto"/>
                <w:spacing w:val="-1"/>
                <w:kern w:val="0"/>
                <w:sz w:val="24"/>
              </w:rPr>
            </w:pPr>
          </w:p>
        </w:tc>
        <w:tc>
          <w:tcPr>
            <w:tcW w:w="2708" w:type="dxa"/>
            <w:vAlign w:val="center"/>
          </w:tcPr>
          <w:p w14:paraId="0D962C78">
            <w:pPr>
              <w:rPr>
                <w:rFonts w:hint="eastAsia" w:ascii="仿宋" w:hAnsi="仿宋" w:eastAsia="仿宋" w:cs="仿宋"/>
                <w:color w:val="auto"/>
                <w:spacing w:val="-1"/>
                <w:kern w:val="0"/>
                <w:sz w:val="24"/>
              </w:rPr>
            </w:pPr>
          </w:p>
        </w:tc>
        <w:tc>
          <w:tcPr>
            <w:tcW w:w="1130" w:type="dxa"/>
            <w:vAlign w:val="center"/>
          </w:tcPr>
          <w:p w14:paraId="62545D01">
            <w:pPr>
              <w:rPr>
                <w:rFonts w:hint="eastAsia" w:ascii="仿宋" w:hAnsi="仿宋" w:eastAsia="仿宋" w:cs="仿宋"/>
                <w:color w:val="auto"/>
                <w:spacing w:val="-1"/>
                <w:kern w:val="0"/>
                <w:sz w:val="24"/>
              </w:rPr>
            </w:pPr>
          </w:p>
        </w:tc>
      </w:tr>
    </w:tbl>
    <w:p w14:paraId="2EE264ED">
      <w:pPr>
        <w:rPr>
          <w:rFonts w:hint="eastAsia" w:ascii="仿宋" w:hAnsi="仿宋" w:eastAsia="仿宋" w:cs="仿宋"/>
          <w:color w:val="auto"/>
          <w:spacing w:val="-1"/>
          <w:kern w:val="0"/>
          <w:sz w:val="24"/>
        </w:rPr>
      </w:pPr>
    </w:p>
    <w:p w14:paraId="62F11B35">
      <w:pPr>
        <w:ind w:firstLine="476" w:firstLineChars="200"/>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注：凡投标文件中商务条款（包括供货期、付款</w:t>
      </w:r>
      <w:r>
        <w:rPr>
          <w:rFonts w:hint="eastAsia" w:ascii="仿宋" w:hAnsi="仿宋" w:eastAsia="仿宋" w:cs="仿宋"/>
          <w:color w:val="auto"/>
          <w:spacing w:val="-1"/>
          <w:kern w:val="0"/>
          <w:sz w:val="24"/>
          <w:lang w:eastAsia="zh-CN"/>
        </w:rPr>
        <w:t>方式</w:t>
      </w:r>
      <w:r>
        <w:rPr>
          <w:rFonts w:hint="eastAsia" w:ascii="仿宋" w:hAnsi="仿宋" w:eastAsia="仿宋" w:cs="仿宋"/>
          <w:color w:val="auto"/>
          <w:spacing w:val="-1"/>
          <w:kern w:val="0"/>
          <w:sz w:val="24"/>
        </w:rPr>
        <w:t>、</w:t>
      </w:r>
      <w:r>
        <w:rPr>
          <w:rFonts w:hint="eastAsia" w:ascii="仿宋" w:hAnsi="仿宋" w:eastAsia="仿宋" w:cs="仿宋"/>
          <w:color w:val="auto"/>
          <w:spacing w:val="-1"/>
          <w:kern w:val="0"/>
          <w:sz w:val="24"/>
          <w:lang w:eastAsia="zh-CN"/>
        </w:rPr>
        <w:t>投标保证金、</w:t>
      </w:r>
      <w:r>
        <w:rPr>
          <w:rFonts w:hint="eastAsia" w:ascii="仿宋" w:hAnsi="仿宋" w:eastAsia="仿宋" w:cs="仿宋"/>
          <w:color w:val="auto"/>
          <w:spacing w:val="-1"/>
          <w:kern w:val="0"/>
          <w:sz w:val="24"/>
        </w:rPr>
        <w:t>合同条款以及其它所有商务内容）与</w:t>
      </w:r>
      <w:r>
        <w:rPr>
          <w:rFonts w:hint="eastAsia" w:ascii="仿宋" w:hAnsi="仿宋" w:eastAsia="仿宋" w:cs="仿宋"/>
          <w:color w:val="auto"/>
          <w:spacing w:val="-1"/>
          <w:kern w:val="0"/>
          <w:sz w:val="24"/>
          <w:lang w:eastAsia="zh-CN"/>
        </w:rPr>
        <w:t>谈判文件</w:t>
      </w:r>
      <w:r>
        <w:rPr>
          <w:rFonts w:hint="eastAsia" w:ascii="仿宋" w:hAnsi="仿宋" w:eastAsia="仿宋" w:cs="仿宋"/>
          <w:color w:val="auto"/>
          <w:spacing w:val="-1"/>
          <w:kern w:val="0"/>
          <w:sz w:val="24"/>
        </w:rPr>
        <w:t>存在正偏差的，均应在此表中列出（不允许存在负偏离），未在此表中列出的视同完全满足</w:t>
      </w:r>
      <w:r>
        <w:rPr>
          <w:rFonts w:hint="eastAsia" w:ascii="仿宋" w:hAnsi="仿宋" w:eastAsia="仿宋" w:cs="仿宋"/>
          <w:color w:val="auto"/>
          <w:spacing w:val="-1"/>
          <w:kern w:val="0"/>
          <w:sz w:val="24"/>
          <w:lang w:eastAsia="zh-CN"/>
        </w:rPr>
        <w:t>谈判文件</w:t>
      </w:r>
      <w:r>
        <w:rPr>
          <w:rFonts w:hint="eastAsia" w:ascii="仿宋" w:hAnsi="仿宋" w:eastAsia="仿宋" w:cs="仿宋"/>
          <w:color w:val="auto"/>
          <w:spacing w:val="-1"/>
          <w:kern w:val="0"/>
          <w:sz w:val="24"/>
        </w:rPr>
        <w:t>要求。</w:t>
      </w:r>
    </w:p>
    <w:p w14:paraId="40E3620A">
      <w:pPr>
        <w:rPr>
          <w:rFonts w:hint="eastAsia" w:ascii="仿宋" w:hAnsi="仿宋" w:eastAsia="仿宋" w:cs="仿宋"/>
          <w:color w:val="auto"/>
          <w:spacing w:val="-1"/>
          <w:kern w:val="0"/>
          <w:sz w:val="24"/>
        </w:rPr>
      </w:pPr>
    </w:p>
    <w:p w14:paraId="1EFEE0C9">
      <w:pPr>
        <w:pStyle w:val="7"/>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rPr>
      </w:pPr>
    </w:p>
    <w:p w14:paraId="29B09935">
      <w:pPr>
        <w:pStyle w:val="7"/>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rPr>
      </w:pPr>
    </w:p>
    <w:p w14:paraId="3BF9A1B3">
      <w:pPr>
        <w:pStyle w:val="7"/>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sz w:val="24"/>
          <w:szCs w:val="24"/>
        </w:rPr>
      </w:pPr>
    </w:p>
    <w:p w14:paraId="09806770">
      <w:pPr>
        <w:pStyle w:val="7"/>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14:paraId="28C56279">
      <w:pPr>
        <w:pStyle w:val="7"/>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14:paraId="3FE32399">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z w:val="24"/>
          <w:szCs w:val="24"/>
        </w:rPr>
      </w:pPr>
    </w:p>
    <w:p w14:paraId="438B26BD">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684889B6">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p>
    <w:p w14:paraId="05BACFDE">
      <w:pPr>
        <w:pStyle w:val="32"/>
        <w:keepNext w:val="0"/>
        <w:keepLines w:val="0"/>
        <w:widowControl w:val="0"/>
        <w:shd w:val="clear" w:color="auto" w:fill="auto"/>
        <w:bidi w:val="0"/>
        <w:spacing w:before="0" w:after="0" w:line="240" w:lineRule="auto"/>
        <w:ind w:left="0" w:leftChars="0" w:right="0" w:firstLine="0" w:firstLineChars="0"/>
        <w:jc w:val="both"/>
        <w:rPr>
          <w:rFonts w:hint="eastAsia" w:ascii="仿宋" w:hAnsi="仿宋" w:eastAsia="仿宋" w:cs="仿宋"/>
          <w:b/>
          <w:bCs/>
          <w:color w:val="auto"/>
          <w:spacing w:val="0"/>
          <w:w w:val="100"/>
          <w:position w:val="0"/>
          <w:sz w:val="36"/>
          <w:szCs w:val="36"/>
          <w:lang w:val="en-US" w:eastAsia="zh-CN"/>
        </w:rPr>
      </w:pPr>
    </w:p>
    <w:p w14:paraId="3C50D582">
      <w:pPr>
        <w:pStyle w:val="32"/>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7、投标人基本情况表</w:t>
      </w:r>
    </w:p>
    <w:p w14:paraId="0921AEDB">
      <w:pPr>
        <w:pStyle w:val="7"/>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21"/>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6F21E49A">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059DD26">
            <w:pPr>
              <w:pStyle w:val="36"/>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79C9CFB6">
            <w:pPr>
              <w:rPr>
                <w:rFonts w:hint="eastAsia" w:ascii="仿宋" w:hAnsi="仿宋" w:eastAsia="仿宋" w:cs="仿宋"/>
                <w:color w:val="auto"/>
              </w:rPr>
            </w:pPr>
          </w:p>
        </w:tc>
      </w:tr>
      <w:tr w14:paraId="6EDBFF9A">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0DADD61">
            <w:pPr>
              <w:pStyle w:val="36"/>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35FDD1E3">
            <w:pPr>
              <w:rPr>
                <w:rFonts w:hint="eastAsia" w:ascii="仿宋" w:hAnsi="仿宋" w:eastAsia="仿宋" w:cs="仿宋"/>
                <w:color w:val="auto"/>
              </w:rPr>
            </w:pPr>
          </w:p>
        </w:tc>
      </w:tr>
      <w:tr w14:paraId="1E673240">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0F06F60">
            <w:pPr>
              <w:pStyle w:val="36"/>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13BE2BF6">
            <w:pPr>
              <w:rPr>
                <w:rFonts w:hint="eastAsia" w:ascii="仿宋" w:hAnsi="仿宋" w:eastAsia="仿宋" w:cs="仿宋"/>
                <w:color w:val="auto"/>
              </w:rPr>
            </w:pPr>
          </w:p>
        </w:tc>
      </w:tr>
      <w:tr w14:paraId="38233D9F">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2FBC963">
            <w:pPr>
              <w:pStyle w:val="36"/>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73415285">
            <w:pPr>
              <w:rPr>
                <w:rFonts w:hint="eastAsia"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tcPr>
          <w:p w14:paraId="4F459D3B">
            <w:pPr>
              <w:pStyle w:val="36"/>
              <w:kinsoku w:val="0"/>
              <w:overflowPunct w:val="0"/>
              <w:spacing w:before="145"/>
              <w:ind w:left="181"/>
              <w:rPr>
                <w:rFonts w:hint="eastAsia"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640EF902">
            <w:pPr>
              <w:rPr>
                <w:rFonts w:hint="eastAsia" w:ascii="仿宋" w:hAnsi="仿宋" w:eastAsia="仿宋" w:cs="仿宋"/>
                <w:color w:val="auto"/>
              </w:rPr>
            </w:pPr>
          </w:p>
        </w:tc>
      </w:tr>
      <w:tr w14:paraId="0C982AAD">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D2ADCBE">
            <w:pPr>
              <w:pStyle w:val="36"/>
              <w:kinsoku w:val="0"/>
              <w:overflowPunct w:val="0"/>
              <w:spacing w:before="146"/>
              <w:ind w:left="137"/>
              <w:rPr>
                <w:rFonts w:hint="eastAsia"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6CBF0B72">
            <w:pPr>
              <w:rPr>
                <w:rFonts w:hint="eastAsia" w:ascii="仿宋" w:hAnsi="仿宋" w:eastAsia="仿宋" w:cs="仿宋"/>
                <w:color w:val="auto"/>
              </w:rPr>
            </w:pPr>
          </w:p>
        </w:tc>
      </w:tr>
      <w:tr w14:paraId="5A184483">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0C590ED">
            <w:pPr>
              <w:pStyle w:val="36"/>
              <w:kinsoku w:val="0"/>
              <w:overflowPunct w:val="0"/>
              <w:spacing w:before="141" w:line="312" w:lineRule="exact"/>
              <w:ind w:left="257" w:right="133" w:hanging="120"/>
              <w:rPr>
                <w:rFonts w:hint="eastAsia"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663D4A65">
            <w:pPr>
              <w:rPr>
                <w:rFonts w:hint="eastAsia"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tcPr>
          <w:p w14:paraId="5C3B81A7">
            <w:pPr>
              <w:pStyle w:val="36"/>
              <w:kinsoku w:val="0"/>
              <w:overflowPunct w:val="0"/>
              <w:spacing w:before="4"/>
              <w:rPr>
                <w:rFonts w:hint="eastAsia" w:ascii="仿宋" w:hAnsi="仿宋" w:eastAsia="仿宋" w:cs="仿宋"/>
                <w:b/>
                <w:bCs/>
                <w:color w:val="auto"/>
                <w:sz w:val="20"/>
                <w:szCs w:val="20"/>
              </w:rPr>
            </w:pPr>
          </w:p>
          <w:p w14:paraId="5B13CB0F">
            <w:pPr>
              <w:pStyle w:val="36"/>
              <w:kinsoku w:val="0"/>
              <w:overflowPunct w:val="0"/>
              <w:ind w:left="366"/>
              <w:rPr>
                <w:rFonts w:hint="eastAsia"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62136360">
            <w:pPr>
              <w:rPr>
                <w:rFonts w:hint="eastAsia"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tcPr>
          <w:p w14:paraId="65A286E3">
            <w:pPr>
              <w:pStyle w:val="36"/>
              <w:kinsoku w:val="0"/>
              <w:overflowPunct w:val="0"/>
              <w:spacing w:before="4"/>
              <w:rPr>
                <w:rFonts w:hint="eastAsia" w:ascii="仿宋" w:hAnsi="仿宋" w:eastAsia="仿宋" w:cs="仿宋"/>
                <w:b/>
                <w:bCs/>
                <w:color w:val="auto"/>
                <w:sz w:val="20"/>
                <w:szCs w:val="20"/>
              </w:rPr>
            </w:pPr>
          </w:p>
          <w:p w14:paraId="196BE224">
            <w:pPr>
              <w:pStyle w:val="36"/>
              <w:kinsoku w:val="0"/>
              <w:overflowPunct w:val="0"/>
              <w:ind w:left="383"/>
              <w:rPr>
                <w:rFonts w:hint="eastAsia"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tcPr>
          <w:p w14:paraId="3D939F5D">
            <w:pPr>
              <w:rPr>
                <w:rFonts w:hint="eastAsia" w:ascii="仿宋" w:hAnsi="仿宋" w:eastAsia="仿宋" w:cs="仿宋"/>
                <w:color w:val="auto"/>
              </w:rPr>
            </w:pPr>
          </w:p>
        </w:tc>
      </w:tr>
      <w:tr w14:paraId="60DF8512">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30D017B4">
            <w:pPr>
              <w:pStyle w:val="36"/>
              <w:kinsoku w:val="0"/>
              <w:overflowPunct w:val="0"/>
              <w:rPr>
                <w:rFonts w:hint="eastAsia" w:ascii="仿宋" w:hAnsi="仿宋" w:eastAsia="仿宋" w:cs="仿宋"/>
                <w:b/>
                <w:bCs/>
                <w:color w:val="auto"/>
              </w:rPr>
            </w:pPr>
          </w:p>
          <w:p w14:paraId="66E916D4">
            <w:pPr>
              <w:pStyle w:val="36"/>
              <w:kinsoku w:val="0"/>
              <w:overflowPunct w:val="0"/>
              <w:rPr>
                <w:rFonts w:hint="eastAsia" w:ascii="仿宋" w:hAnsi="仿宋" w:eastAsia="仿宋" w:cs="仿宋"/>
                <w:b/>
                <w:bCs/>
                <w:color w:val="auto"/>
              </w:rPr>
            </w:pPr>
          </w:p>
          <w:p w14:paraId="1074E24C">
            <w:pPr>
              <w:pStyle w:val="36"/>
              <w:kinsoku w:val="0"/>
              <w:overflowPunct w:val="0"/>
              <w:rPr>
                <w:rFonts w:hint="eastAsia" w:ascii="仿宋" w:hAnsi="仿宋" w:eastAsia="仿宋" w:cs="仿宋"/>
                <w:b/>
                <w:bCs/>
                <w:color w:val="auto"/>
              </w:rPr>
            </w:pPr>
          </w:p>
          <w:p w14:paraId="2C819F59">
            <w:pPr>
              <w:pStyle w:val="36"/>
              <w:kinsoku w:val="0"/>
              <w:overflowPunct w:val="0"/>
              <w:spacing w:line="475" w:lineRule="auto"/>
              <w:ind w:left="497" w:right="493"/>
              <w:jc w:val="both"/>
              <w:rPr>
                <w:rFonts w:hint="eastAsia"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778E7CEA">
            <w:pPr>
              <w:pStyle w:val="36"/>
              <w:kinsoku w:val="0"/>
              <w:overflowPunct w:val="0"/>
              <w:spacing w:before="144"/>
              <w:ind w:left="236"/>
              <w:rPr>
                <w:rFonts w:hint="eastAsia"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0BCF9924">
            <w:pPr>
              <w:rPr>
                <w:rFonts w:hint="eastAsia"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tcPr>
          <w:p w14:paraId="6ADA0A64">
            <w:pPr>
              <w:pStyle w:val="36"/>
              <w:kinsoku w:val="0"/>
              <w:overflowPunct w:val="0"/>
              <w:spacing w:before="144"/>
              <w:ind w:left="118"/>
              <w:rPr>
                <w:rFonts w:hint="eastAsia"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72188595">
            <w:pPr>
              <w:rPr>
                <w:rFonts w:hint="eastAsia" w:ascii="仿宋" w:hAnsi="仿宋" w:eastAsia="仿宋" w:cs="仿宋"/>
                <w:color w:val="auto"/>
              </w:rPr>
            </w:pPr>
          </w:p>
        </w:tc>
      </w:tr>
      <w:tr w14:paraId="73ACA90B">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01C19FF">
            <w:pPr>
              <w:rPr>
                <w:rFonts w:hint="eastAsia"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tcPr>
          <w:p w14:paraId="6666A6FF">
            <w:pPr>
              <w:pStyle w:val="36"/>
              <w:kinsoku w:val="0"/>
              <w:overflowPunct w:val="0"/>
              <w:spacing w:before="145"/>
              <w:jc w:val="center"/>
              <w:rPr>
                <w:rFonts w:hint="eastAsia" w:ascii="仿宋" w:hAnsi="仿宋" w:eastAsia="仿宋" w:cs="仿宋"/>
                <w:color w:val="auto"/>
              </w:rPr>
            </w:pPr>
            <w:r>
              <w:rPr>
                <w:rFonts w:hint="eastAsia" w:ascii="仿宋" w:hAnsi="仿宋" w:eastAsia="仿宋" w:cs="仿宋"/>
                <w:color w:val="auto"/>
              </w:rPr>
              <w:t>单位行政和技术负责人</w:t>
            </w:r>
          </w:p>
        </w:tc>
      </w:tr>
      <w:tr w14:paraId="7BF66504">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FE6BEF1">
            <w:pPr>
              <w:pStyle w:val="36"/>
              <w:kinsoku w:val="0"/>
              <w:overflowPunct w:val="0"/>
              <w:spacing w:before="145"/>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20B288C6">
            <w:pPr>
              <w:pStyle w:val="36"/>
              <w:kinsoku w:val="0"/>
              <w:overflowPunct w:val="0"/>
              <w:spacing w:before="145"/>
              <w:ind w:left="416"/>
              <w:rPr>
                <w:rFonts w:hint="eastAsia"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70C56EEB">
            <w:pPr>
              <w:pStyle w:val="36"/>
              <w:kinsoku w:val="0"/>
              <w:overflowPunct w:val="0"/>
              <w:spacing w:before="145"/>
              <w:ind w:left="452"/>
              <w:rPr>
                <w:rFonts w:hint="eastAsia"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0942BFF1">
            <w:pPr>
              <w:pStyle w:val="36"/>
              <w:kinsoku w:val="0"/>
              <w:overflowPunct w:val="0"/>
              <w:spacing w:before="145"/>
              <w:ind w:left="450"/>
              <w:rPr>
                <w:rFonts w:hint="eastAsia"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0A9471B8">
            <w:pPr>
              <w:pStyle w:val="36"/>
              <w:tabs>
                <w:tab w:val="left" w:pos="479"/>
              </w:tabs>
              <w:kinsoku w:val="0"/>
              <w:overflowPunct w:val="0"/>
              <w:spacing w:before="145"/>
              <w:ind w:right="1"/>
              <w:jc w:val="center"/>
              <w:rPr>
                <w:rFonts w:hint="eastAsia"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14:paraId="305E4294">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50489B83">
            <w:pPr>
              <w:pStyle w:val="36"/>
              <w:tabs>
                <w:tab w:val="left" w:pos="479"/>
              </w:tabs>
              <w:kinsoku w:val="0"/>
              <w:overflowPunct w:val="0"/>
              <w:spacing w:before="145"/>
              <w:ind w:right="1"/>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0D5A62D9">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6AA6AA48">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73A6DD98">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526B478B">
            <w:pPr>
              <w:rPr>
                <w:rFonts w:hint="eastAsia" w:ascii="仿宋" w:hAnsi="仿宋" w:eastAsia="仿宋" w:cs="仿宋"/>
                <w:color w:val="auto"/>
              </w:rPr>
            </w:pPr>
          </w:p>
        </w:tc>
      </w:tr>
      <w:tr w14:paraId="2687100A">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50D2361A">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63A6168B">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7E7271EA">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7EE8DBD3">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0FCF23D4">
            <w:pPr>
              <w:rPr>
                <w:rFonts w:hint="eastAsia" w:ascii="仿宋" w:hAnsi="仿宋" w:eastAsia="仿宋" w:cs="仿宋"/>
                <w:color w:val="auto"/>
              </w:rPr>
            </w:pPr>
          </w:p>
        </w:tc>
      </w:tr>
      <w:tr w14:paraId="25FC2AF1">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41A3A76D">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3A596A7A">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74D02C0">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0645A0A4">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4FE1D7E3">
            <w:pPr>
              <w:rPr>
                <w:rFonts w:hint="eastAsia" w:ascii="仿宋" w:hAnsi="仿宋" w:eastAsia="仿宋" w:cs="仿宋"/>
                <w:color w:val="auto"/>
              </w:rPr>
            </w:pPr>
          </w:p>
        </w:tc>
      </w:tr>
      <w:tr w14:paraId="7029609E">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39A21C0">
            <w:pPr>
              <w:pStyle w:val="36"/>
              <w:kinsoku w:val="0"/>
              <w:overflowPunct w:val="0"/>
              <w:spacing w:before="1"/>
              <w:rPr>
                <w:rFonts w:hint="eastAsia" w:ascii="仿宋" w:hAnsi="仿宋" w:eastAsia="仿宋" w:cs="仿宋"/>
                <w:b/>
                <w:bCs/>
                <w:color w:val="auto"/>
                <w:sz w:val="23"/>
                <w:szCs w:val="23"/>
              </w:rPr>
            </w:pPr>
          </w:p>
          <w:p w14:paraId="6A327193">
            <w:pPr>
              <w:pStyle w:val="36"/>
              <w:kinsoku w:val="0"/>
              <w:overflowPunct w:val="0"/>
              <w:spacing w:line="237" w:lineRule="auto"/>
              <w:ind w:left="497" w:right="493"/>
              <w:jc w:val="both"/>
              <w:rPr>
                <w:rFonts w:hint="eastAsia"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2831C2AF">
            <w:pPr>
              <w:rPr>
                <w:rFonts w:hint="eastAsia" w:ascii="仿宋" w:hAnsi="仿宋" w:eastAsia="仿宋" w:cs="仿宋"/>
                <w:color w:val="auto"/>
              </w:rPr>
            </w:pPr>
          </w:p>
        </w:tc>
      </w:tr>
    </w:tbl>
    <w:p w14:paraId="1E8A57BD">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0C458B1D">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2D60C265">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11674D67">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3A8BB845">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50926BC1">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60E9E26D">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46E758F7">
      <w:pPr>
        <w:pStyle w:val="33"/>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07B813EB">
      <w:pPr>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8、中标服务费支付承诺书</w:t>
      </w:r>
    </w:p>
    <w:p w14:paraId="137EAD3A">
      <w:pPr>
        <w:adjustRightInd w:val="0"/>
        <w:snapToGrid w:val="0"/>
        <w:spacing w:before="240" w:beforeLines="100" w:after="240" w:afterLines="10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致： </w:t>
      </w:r>
    </w:p>
    <w:p w14:paraId="4E144CF6">
      <w:pPr>
        <w:spacing w:line="440" w:lineRule="exact"/>
        <w:ind w:left="360" w:leftChars="150" w:firstLine="480" w:firstLineChars="200"/>
        <w:rPr>
          <w:rFonts w:hint="eastAsia" w:ascii="仿宋" w:hAnsi="仿宋" w:eastAsia="仿宋" w:cs="仿宋"/>
          <w:i w:val="0"/>
          <w:iCs/>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i w:val="0"/>
          <w:iCs/>
          <w:color w:val="auto"/>
          <w:kern w:val="0"/>
          <w:sz w:val="24"/>
          <w:szCs w:val="24"/>
          <w:highlight w:val="none"/>
          <w:u w:val="single"/>
        </w:rPr>
        <w:t xml:space="preserve">  (投标人名称) </w:t>
      </w:r>
      <w:r>
        <w:rPr>
          <w:rFonts w:hint="eastAsia" w:ascii="仿宋" w:hAnsi="仿宋" w:eastAsia="仿宋" w:cs="仿宋"/>
          <w:i w:val="0"/>
          <w:iCs/>
          <w:color w:val="auto"/>
          <w:sz w:val="24"/>
          <w:szCs w:val="24"/>
          <w:highlight w:val="none"/>
        </w:rPr>
        <w:t>在参加贵公司举行的</w:t>
      </w:r>
      <w:r>
        <w:rPr>
          <w:rFonts w:hint="eastAsia" w:ascii="仿宋" w:hAnsi="仿宋" w:eastAsia="仿宋" w:cs="仿宋"/>
          <w:i w:val="0"/>
          <w:iCs/>
          <w:color w:val="auto"/>
          <w:sz w:val="24"/>
          <w:szCs w:val="24"/>
          <w:highlight w:val="none"/>
          <w:u w:val="single"/>
        </w:rPr>
        <w:t xml:space="preserve">              项目</w:t>
      </w:r>
      <w:r>
        <w:rPr>
          <w:rFonts w:hint="eastAsia" w:ascii="仿宋" w:hAnsi="仿宋" w:eastAsia="仿宋" w:cs="仿宋"/>
          <w:i w:val="0"/>
          <w:iCs/>
          <w:color w:val="auto"/>
          <w:sz w:val="24"/>
          <w:szCs w:val="24"/>
          <w:highlight w:val="none"/>
        </w:rPr>
        <w:t>【项目编号：</w:t>
      </w:r>
      <w:r>
        <w:rPr>
          <w:rFonts w:hint="eastAsia" w:ascii="仿宋" w:hAnsi="仿宋" w:eastAsia="仿宋" w:cs="仿宋"/>
          <w:i w:val="0"/>
          <w:iCs/>
          <w:color w:val="auto"/>
          <w:sz w:val="24"/>
          <w:szCs w:val="24"/>
          <w:highlight w:val="none"/>
          <w:u w:val="single"/>
        </w:rPr>
        <w:t xml:space="preserve">                </w:t>
      </w:r>
      <w:r>
        <w:rPr>
          <w:rFonts w:hint="eastAsia" w:ascii="仿宋" w:hAnsi="仿宋" w:eastAsia="仿宋" w:cs="仿宋"/>
          <w:i w:val="0"/>
          <w:iCs/>
          <w:color w:val="auto"/>
          <w:sz w:val="24"/>
          <w:szCs w:val="24"/>
          <w:highlight w:val="none"/>
        </w:rPr>
        <w:t>】招标中如获</w:t>
      </w:r>
      <w:r>
        <w:rPr>
          <w:rFonts w:hint="eastAsia" w:ascii="仿宋" w:hAnsi="仿宋" w:eastAsia="仿宋" w:cs="仿宋"/>
          <w:i w:val="0"/>
          <w:iCs/>
          <w:color w:val="auto"/>
          <w:sz w:val="24"/>
          <w:szCs w:val="24"/>
          <w:highlight w:val="none"/>
          <w:lang w:eastAsia="zh-CN"/>
        </w:rPr>
        <w:t>中标</w:t>
      </w:r>
      <w:r>
        <w:rPr>
          <w:rFonts w:hint="eastAsia" w:ascii="仿宋" w:hAnsi="仿宋" w:eastAsia="仿宋" w:cs="仿宋"/>
          <w:i w:val="0"/>
          <w:iCs/>
          <w:color w:val="auto"/>
          <w:sz w:val="24"/>
          <w:szCs w:val="24"/>
          <w:highlight w:val="none"/>
        </w:rPr>
        <w:t>,保证在收到贵公司发出的《</w:t>
      </w:r>
      <w:r>
        <w:rPr>
          <w:rFonts w:hint="eastAsia" w:ascii="仿宋" w:hAnsi="仿宋" w:eastAsia="仿宋" w:cs="仿宋"/>
          <w:i w:val="0"/>
          <w:iCs/>
          <w:color w:val="auto"/>
          <w:sz w:val="24"/>
          <w:szCs w:val="24"/>
          <w:highlight w:val="none"/>
          <w:lang w:eastAsia="zh-CN"/>
        </w:rPr>
        <w:t>中标</w:t>
      </w:r>
      <w:r>
        <w:rPr>
          <w:rFonts w:hint="eastAsia" w:ascii="仿宋" w:hAnsi="仿宋" w:eastAsia="仿宋" w:cs="仿宋"/>
          <w:i w:val="0"/>
          <w:iCs/>
          <w:color w:val="auto"/>
          <w:sz w:val="24"/>
          <w:szCs w:val="24"/>
          <w:highlight w:val="none"/>
        </w:rPr>
        <w:t>通知书》</w:t>
      </w:r>
      <w:r>
        <w:rPr>
          <w:rFonts w:hint="eastAsia" w:ascii="仿宋" w:hAnsi="仿宋" w:eastAsia="仿宋" w:cs="仿宋"/>
          <w:i w:val="0"/>
          <w:iCs/>
          <w:color w:val="auto"/>
          <w:sz w:val="24"/>
          <w:szCs w:val="24"/>
          <w:highlight w:val="none"/>
          <w:lang w:eastAsia="zh-CN"/>
        </w:rPr>
        <w:t>之前</w:t>
      </w:r>
      <w:r>
        <w:rPr>
          <w:rFonts w:hint="eastAsia" w:ascii="仿宋" w:hAnsi="仿宋" w:eastAsia="仿宋" w:cs="仿宋"/>
          <w:i w:val="0"/>
          <w:iCs/>
          <w:color w:val="auto"/>
          <w:sz w:val="24"/>
          <w:szCs w:val="24"/>
          <w:highlight w:val="none"/>
        </w:rPr>
        <w:t>向贵公司交纳招标文件规定的</w:t>
      </w:r>
      <w:r>
        <w:rPr>
          <w:rFonts w:hint="eastAsia" w:ascii="仿宋" w:hAnsi="仿宋" w:eastAsia="仿宋" w:cs="仿宋"/>
          <w:i w:val="0"/>
          <w:iCs/>
          <w:color w:val="auto"/>
          <w:sz w:val="24"/>
          <w:szCs w:val="24"/>
          <w:highlight w:val="none"/>
          <w:lang w:eastAsia="zh-CN"/>
        </w:rPr>
        <w:t>中标</w:t>
      </w:r>
      <w:r>
        <w:rPr>
          <w:rFonts w:hint="eastAsia" w:ascii="仿宋" w:hAnsi="仿宋" w:eastAsia="仿宋" w:cs="仿宋"/>
          <w:i w:val="0"/>
          <w:iCs/>
          <w:color w:val="auto"/>
          <w:sz w:val="24"/>
          <w:szCs w:val="24"/>
          <w:highlight w:val="none"/>
        </w:rPr>
        <w:t>服务费。</w:t>
      </w:r>
    </w:p>
    <w:p w14:paraId="7F73FBE5">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如我公司违约,愿承担全部法律责任。</w:t>
      </w:r>
    </w:p>
    <w:p w14:paraId="47DBEE1F">
      <w:pPr>
        <w:spacing w:line="440" w:lineRule="exact"/>
        <w:ind w:firstLine="960" w:firstLineChars="400"/>
        <w:rPr>
          <w:rFonts w:hint="eastAsia" w:ascii="仿宋" w:hAnsi="仿宋" w:eastAsia="仿宋" w:cs="仿宋"/>
          <w:color w:val="auto"/>
          <w:sz w:val="24"/>
          <w:szCs w:val="24"/>
          <w:highlight w:val="none"/>
        </w:rPr>
      </w:pPr>
    </w:p>
    <w:p w14:paraId="11103BE9">
      <w:pPr>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特此承诺!</w:t>
      </w:r>
    </w:p>
    <w:p w14:paraId="266DC7AA">
      <w:pPr>
        <w:autoSpaceDE w:val="0"/>
        <w:autoSpaceDN w:val="0"/>
        <w:adjustRightInd w:val="0"/>
        <w:spacing w:line="440" w:lineRule="exact"/>
        <w:jc w:val="left"/>
        <w:rPr>
          <w:rFonts w:hint="eastAsia" w:ascii="仿宋" w:hAnsi="仿宋" w:eastAsia="仿宋" w:cs="仿宋"/>
          <w:color w:val="auto"/>
          <w:kern w:val="0"/>
          <w:sz w:val="24"/>
          <w:szCs w:val="24"/>
          <w:highlight w:val="none"/>
        </w:rPr>
      </w:pPr>
    </w:p>
    <w:p w14:paraId="146714A0">
      <w:pPr>
        <w:adjustRightInd w:val="0"/>
        <w:snapToGrid w:val="0"/>
        <w:spacing w:line="440" w:lineRule="exact"/>
        <w:rPr>
          <w:rFonts w:hint="eastAsia" w:ascii="仿宋" w:hAnsi="仿宋" w:eastAsia="仿宋" w:cs="仿宋"/>
          <w:color w:val="auto"/>
          <w:sz w:val="24"/>
          <w:szCs w:val="24"/>
          <w:highlight w:val="none"/>
        </w:rPr>
      </w:pPr>
    </w:p>
    <w:p w14:paraId="3CE335B4">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（公章）</w:t>
      </w:r>
      <w:r>
        <w:rPr>
          <w:rFonts w:hint="eastAsia" w:ascii="仿宋" w:hAnsi="仿宋" w:eastAsia="仿宋" w:cs="仿宋"/>
          <w:color w:val="auto"/>
          <w:sz w:val="24"/>
          <w:szCs w:val="24"/>
          <w:highlight w:val="none"/>
        </w:rPr>
        <w:t xml:space="preserve">      </w:t>
      </w:r>
    </w:p>
    <w:p w14:paraId="4E4A355A">
      <w:pPr>
        <w:adjustRightInd w:val="0"/>
        <w:snapToGrid w:val="0"/>
        <w:spacing w:line="440" w:lineRule="exact"/>
        <w:rPr>
          <w:rFonts w:hint="eastAsia" w:ascii="仿宋" w:hAnsi="仿宋" w:eastAsia="仿宋" w:cs="仿宋"/>
          <w:color w:val="auto"/>
          <w:sz w:val="24"/>
          <w:szCs w:val="24"/>
          <w:highlight w:val="none"/>
        </w:rPr>
      </w:pPr>
    </w:p>
    <w:p w14:paraId="37570EC5">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3FD6368">
      <w:pPr>
        <w:adjustRightInd w:val="0"/>
        <w:snapToGrid w:val="0"/>
        <w:spacing w:line="440" w:lineRule="exact"/>
        <w:rPr>
          <w:rFonts w:hint="eastAsia" w:ascii="仿宋" w:hAnsi="仿宋" w:eastAsia="仿宋" w:cs="仿宋"/>
          <w:color w:val="auto"/>
          <w:sz w:val="24"/>
          <w:szCs w:val="24"/>
          <w:highlight w:val="none"/>
        </w:rPr>
      </w:pPr>
    </w:p>
    <w:p w14:paraId="3A33E242">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24E12243">
      <w:pPr>
        <w:spacing w:line="360" w:lineRule="auto"/>
        <w:jc w:val="center"/>
        <w:rPr>
          <w:rFonts w:hint="eastAsia" w:ascii="仿宋" w:hAnsi="仿宋" w:eastAsia="仿宋" w:cs="仿宋"/>
          <w:b/>
          <w:bCs w:val="0"/>
          <w:color w:val="auto"/>
          <w:kern w:val="0"/>
          <w:sz w:val="36"/>
          <w:szCs w:val="36"/>
          <w:lang w:val="en-US" w:eastAsia="zh-CN"/>
        </w:rPr>
      </w:pPr>
    </w:p>
    <w:p w14:paraId="5ED0D5A6">
      <w:pPr>
        <w:spacing w:line="360" w:lineRule="auto"/>
        <w:jc w:val="center"/>
        <w:rPr>
          <w:rFonts w:hint="eastAsia" w:ascii="仿宋" w:hAnsi="仿宋" w:eastAsia="仿宋" w:cs="仿宋"/>
          <w:b/>
          <w:bCs w:val="0"/>
          <w:color w:val="auto"/>
          <w:kern w:val="0"/>
          <w:sz w:val="36"/>
          <w:szCs w:val="36"/>
          <w:lang w:val="en-US" w:eastAsia="zh-CN"/>
        </w:rPr>
      </w:pPr>
    </w:p>
    <w:p w14:paraId="186FB93B">
      <w:pPr>
        <w:spacing w:line="360" w:lineRule="auto"/>
        <w:jc w:val="center"/>
        <w:rPr>
          <w:rFonts w:hint="eastAsia" w:ascii="仿宋" w:hAnsi="仿宋" w:eastAsia="仿宋" w:cs="仿宋"/>
          <w:b/>
          <w:bCs w:val="0"/>
          <w:color w:val="auto"/>
          <w:kern w:val="0"/>
          <w:sz w:val="36"/>
          <w:szCs w:val="36"/>
          <w:lang w:val="en-US" w:eastAsia="zh-CN"/>
        </w:rPr>
      </w:pPr>
    </w:p>
    <w:p w14:paraId="26169125">
      <w:pPr>
        <w:spacing w:line="360" w:lineRule="auto"/>
        <w:jc w:val="center"/>
        <w:rPr>
          <w:rFonts w:hint="eastAsia" w:ascii="仿宋" w:hAnsi="仿宋" w:eastAsia="仿宋" w:cs="仿宋"/>
          <w:b/>
          <w:bCs w:val="0"/>
          <w:color w:val="auto"/>
          <w:kern w:val="0"/>
          <w:sz w:val="36"/>
          <w:szCs w:val="36"/>
          <w:lang w:val="en-US" w:eastAsia="zh-CN"/>
        </w:rPr>
      </w:pPr>
    </w:p>
    <w:p w14:paraId="40351D4B">
      <w:pPr>
        <w:spacing w:line="360" w:lineRule="auto"/>
        <w:jc w:val="center"/>
        <w:rPr>
          <w:rFonts w:hint="eastAsia" w:ascii="仿宋" w:hAnsi="仿宋" w:eastAsia="仿宋" w:cs="仿宋"/>
          <w:b/>
          <w:bCs w:val="0"/>
          <w:color w:val="auto"/>
          <w:kern w:val="0"/>
          <w:sz w:val="36"/>
          <w:szCs w:val="36"/>
          <w:lang w:val="en-US" w:eastAsia="zh-CN"/>
        </w:rPr>
      </w:pPr>
    </w:p>
    <w:p w14:paraId="45A312A2">
      <w:pPr>
        <w:spacing w:line="360" w:lineRule="auto"/>
        <w:jc w:val="center"/>
        <w:rPr>
          <w:rFonts w:hint="eastAsia" w:ascii="仿宋" w:hAnsi="仿宋" w:eastAsia="仿宋" w:cs="仿宋"/>
          <w:b/>
          <w:bCs w:val="0"/>
          <w:color w:val="auto"/>
          <w:kern w:val="0"/>
          <w:sz w:val="36"/>
          <w:szCs w:val="36"/>
          <w:lang w:val="en-US" w:eastAsia="zh-CN"/>
        </w:rPr>
      </w:pPr>
    </w:p>
    <w:p w14:paraId="77D562B0">
      <w:pPr>
        <w:spacing w:line="360" w:lineRule="auto"/>
        <w:jc w:val="center"/>
        <w:rPr>
          <w:rFonts w:hint="eastAsia" w:ascii="仿宋" w:hAnsi="仿宋" w:eastAsia="仿宋" w:cs="仿宋"/>
          <w:b/>
          <w:bCs w:val="0"/>
          <w:color w:val="auto"/>
          <w:kern w:val="0"/>
          <w:sz w:val="36"/>
          <w:szCs w:val="36"/>
          <w:lang w:val="en-US" w:eastAsia="zh-CN"/>
        </w:rPr>
      </w:pPr>
    </w:p>
    <w:p w14:paraId="35D8D92B">
      <w:pPr>
        <w:spacing w:line="360" w:lineRule="auto"/>
        <w:jc w:val="center"/>
        <w:rPr>
          <w:rFonts w:hint="eastAsia" w:ascii="仿宋" w:hAnsi="仿宋" w:eastAsia="仿宋" w:cs="仿宋"/>
          <w:b/>
          <w:bCs w:val="0"/>
          <w:color w:val="auto"/>
          <w:kern w:val="0"/>
          <w:sz w:val="36"/>
          <w:szCs w:val="36"/>
          <w:lang w:val="en-US" w:eastAsia="zh-CN"/>
        </w:rPr>
      </w:pPr>
    </w:p>
    <w:p w14:paraId="1ACC24B2">
      <w:pPr>
        <w:spacing w:line="360" w:lineRule="auto"/>
        <w:jc w:val="center"/>
        <w:rPr>
          <w:rFonts w:hint="eastAsia" w:ascii="仿宋" w:hAnsi="仿宋" w:eastAsia="仿宋" w:cs="仿宋"/>
          <w:b/>
          <w:bCs w:val="0"/>
          <w:color w:val="auto"/>
          <w:kern w:val="0"/>
          <w:sz w:val="36"/>
          <w:szCs w:val="36"/>
          <w:lang w:val="en-US" w:eastAsia="zh-CN"/>
        </w:rPr>
      </w:pPr>
    </w:p>
    <w:p w14:paraId="1F6ED1B1">
      <w:pPr>
        <w:spacing w:line="360" w:lineRule="auto"/>
        <w:jc w:val="center"/>
        <w:rPr>
          <w:rFonts w:hint="eastAsia" w:ascii="仿宋" w:hAnsi="仿宋" w:eastAsia="仿宋" w:cs="仿宋"/>
          <w:b/>
          <w:bCs w:val="0"/>
          <w:color w:val="auto"/>
          <w:kern w:val="0"/>
          <w:sz w:val="36"/>
          <w:szCs w:val="36"/>
          <w:lang w:val="en-US" w:eastAsia="zh-CN"/>
        </w:rPr>
      </w:pPr>
    </w:p>
    <w:p w14:paraId="3252C831">
      <w:pPr>
        <w:spacing w:line="360" w:lineRule="auto"/>
        <w:jc w:val="center"/>
        <w:rPr>
          <w:rFonts w:ascii="仿宋" w:hAnsi="仿宋" w:eastAsia="仿宋" w:cs="仿宋"/>
          <w:b/>
          <w:color w:val="auto"/>
          <w:sz w:val="32"/>
          <w:szCs w:val="32"/>
          <w:highlight w:val="none"/>
          <w:lang w:eastAsia="zh-CN"/>
        </w:rPr>
      </w:pPr>
      <w:r>
        <w:rPr>
          <w:rFonts w:hint="eastAsia" w:ascii="仿宋" w:hAnsi="仿宋" w:eastAsia="仿宋" w:cs="仿宋"/>
          <w:b/>
          <w:bCs w:val="0"/>
          <w:color w:val="auto"/>
          <w:kern w:val="0"/>
          <w:sz w:val="36"/>
          <w:szCs w:val="36"/>
          <w:lang w:val="en-US" w:eastAsia="zh-CN"/>
        </w:rPr>
        <w:t>9</w:t>
      </w:r>
      <w:r>
        <w:rPr>
          <w:rFonts w:hint="eastAsia" w:ascii="仿宋" w:hAnsi="仿宋" w:eastAsia="仿宋" w:cs="仿宋"/>
          <w:b/>
          <w:bCs w:val="0"/>
          <w:color w:val="auto"/>
          <w:kern w:val="0"/>
          <w:sz w:val="36"/>
          <w:szCs w:val="36"/>
        </w:rPr>
        <w:t>、</w:t>
      </w:r>
      <w:r>
        <w:rPr>
          <w:rFonts w:hint="eastAsia" w:ascii="仿宋" w:hAnsi="仿宋" w:eastAsia="仿宋" w:cs="仿宋"/>
          <w:b/>
          <w:color w:val="auto"/>
          <w:sz w:val="36"/>
          <w:szCs w:val="36"/>
          <w:highlight w:val="none"/>
          <w:lang w:eastAsia="zh-CN"/>
        </w:rPr>
        <w:t>中小企业声明函(货物)</w:t>
      </w:r>
    </w:p>
    <w:p w14:paraId="42393E6C">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4569A371">
      <w:pPr>
        <w:numPr>
          <w:ilvl w:val="0"/>
          <w:numId w:val="9"/>
        </w:num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（采购文件中明确的所属行业）</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698A50D8">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 </w:t>
      </w:r>
      <w:r>
        <w:rPr>
          <w:rFonts w:hint="eastAsia" w:ascii="仿宋" w:hAnsi="仿宋" w:eastAsia="仿宋" w:cs="仿宋"/>
          <w:color w:val="auto"/>
          <w:highlight w:val="none"/>
          <w:u w:val="single"/>
          <w:lang w:eastAsia="zh-CN"/>
        </w:rPr>
        <w:t xml:space="preserve"> （标的名称）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（采购文件明中确的所属行业） </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 xml:space="preserve"> （企业名称）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746A3468">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709646C8">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以上企业，不属于大企业的分支机构，不存在控股股东为大企业的情形，也不存在与大企业的负责人为同一人的情形。</w:t>
      </w:r>
    </w:p>
    <w:p w14:paraId="08E95A1B">
      <w:pPr>
        <w:spacing w:line="360" w:lineRule="auto"/>
        <w:ind w:firstLine="480" w:firstLineChars="200"/>
        <w:rPr>
          <w:rFonts w:ascii="仿宋" w:hAnsi="仿宋" w:eastAsia="仿宋" w:cs="仿宋"/>
          <w:color w:val="auto"/>
          <w:highlight w:val="none"/>
          <w:lang w:eastAsia="zh-CN"/>
        </w:rPr>
      </w:pPr>
    </w:p>
    <w:p w14:paraId="5991F7DF">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本企业对上述声明内容的真实性负责。如有虚假，将依法承担相应责任。</w:t>
      </w:r>
    </w:p>
    <w:p w14:paraId="1E3EF560">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7320D6A1">
      <w:pPr>
        <w:spacing w:line="360" w:lineRule="auto"/>
        <w:ind w:firstLine="480" w:firstLineChars="200"/>
        <w:rPr>
          <w:rFonts w:ascii="仿宋" w:hAnsi="仿宋" w:eastAsia="仿宋" w:cs="仿宋"/>
          <w:color w:val="auto"/>
          <w:highlight w:val="none"/>
          <w:lang w:eastAsia="zh-CN"/>
        </w:rPr>
      </w:pPr>
    </w:p>
    <w:p w14:paraId="0072770E">
      <w:pPr>
        <w:spacing w:line="360" w:lineRule="auto"/>
        <w:ind w:firstLine="4560" w:firstLineChars="19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企业名称（盖章）：</w:t>
      </w:r>
    </w:p>
    <w:p w14:paraId="2FBEC9CC">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日期：</w:t>
      </w:r>
    </w:p>
    <w:p w14:paraId="3CFADEB9">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p>
    <w:p w14:paraId="2F60C764">
      <w:pPr>
        <w:pStyle w:val="15"/>
        <w:rPr>
          <w:rFonts w:hint="eastAsia" w:ascii="仿宋" w:hAnsi="仿宋" w:eastAsia="仿宋" w:cs="仿宋"/>
          <w:color w:val="auto"/>
        </w:rPr>
      </w:pPr>
    </w:p>
    <w:p w14:paraId="4DFE9A18">
      <w:pPr>
        <w:pStyle w:val="15"/>
        <w:rPr>
          <w:rFonts w:hint="eastAsia" w:ascii="仿宋" w:hAnsi="仿宋" w:eastAsia="仿宋" w:cs="仿宋"/>
          <w:color w:val="auto"/>
        </w:rPr>
      </w:pPr>
    </w:p>
    <w:p w14:paraId="7CC42468">
      <w:pPr>
        <w:pStyle w:val="15"/>
        <w:rPr>
          <w:rFonts w:hint="eastAsia" w:ascii="仿宋" w:hAnsi="仿宋" w:eastAsia="仿宋" w:cs="仿宋"/>
          <w:color w:val="auto"/>
        </w:rPr>
      </w:pPr>
    </w:p>
    <w:p w14:paraId="762FBAB3">
      <w:pPr>
        <w:pStyle w:val="7"/>
        <w:numPr>
          <w:ilvl w:val="0"/>
          <w:numId w:val="0"/>
        </w:numPr>
        <w:ind w:left="360" w:leftChars="0"/>
        <w:rPr>
          <w:rFonts w:hint="eastAsia"/>
          <w:color w:val="auto"/>
        </w:rPr>
      </w:pPr>
    </w:p>
    <w:p w14:paraId="480A8C2D">
      <w:pPr>
        <w:pStyle w:val="15"/>
        <w:rPr>
          <w:rFonts w:hint="eastAsia" w:ascii="仿宋" w:hAnsi="仿宋" w:eastAsia="仿宋" w:cs="仿宋"/>
          <w:color w:val="auto"/>
        </w:rPr>
      </w:pPr>
    </w:p>
    <w:p w14:paraId="458A6C18">
      <w:pPr>
        <w:pStyle w:val="15"/>
        <w:rPr>
          <w:rFonts w:hint="eastAsia" w:ascii="仿宋" w:hAnsi="仿宋" w:eastAsia="仿宋" w:cs="仿宋"/>
          <w:color w:val="auto"/>
        </w:rPr>
      </w:pPr>
    </w:p>
    <w:p w14:paraId="61162539">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7734903A">
      <w:pPr>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 xml:space="preserve">注：从业人员、 营业收入、 资产总额填报上一年度数据， 无上一年度数据的新成立企业可不填报。（若响应文件中无上述文件，则在评审时不考虑对该小、微企业的相关优惠。） </w:t>
      </w:r>
    </w:p>
    <w:p w14:paraId="7229754D">
      <w:pPr>
        <w:tabs>
          <w:tab w:val="left" w:pos="3600"/>
        </w:tabs>
        <w:adjustRightInd w:val="0"/>
        <w:snapToGrid w:val="0"/>
        <w:spacing w:line="440" w:lineRule="exact"/>
        <w:jc w:val="both"/>
        <w:rPr>
          <w:rFonts w:hint="eastAsia" w:ascii="仿宋" w:hAnsi="仿宋" w:eastAsia="仿宋" w:cs="仿宋"/>
          <w:color w:val="auto"/>
          <w:spacing w:val="0"/>
          <w:w w:val="100"/>
          <w:position w:val="0"/>
          <w:sz w:val="36"/>
          <w:szCs w:val="36"/>
          <w:lang w:val="en-US" w:eastAsia="zh-CN"/>
        </w:rPr>
      </w:pPr>
    </w:p>
    <w:p w14:paraId="7488B661">
      <w:pPr>
        <w:tabs>
          <w:tab w:val="left" w:pos="3600"/>
        </w:tabs>
        <w:adjustRightInd w:val="0"/>
        <w:snapToGrid w:val="0"/>
        <w:spacing w:line="440" w:lineRule="exact"/>
        <w:jc w:val="center"/>
        <w:rPr>
          <w:rFonts w:hint="eastAsia" w:ascii="仿宋" w:hAnsi="仿宋" w:eastAsia="仿宋" w:cs="仿宋"/>
          <w:b/>
          <w:bCs/>
          <w:color w:val="auto"/>
          <w:spacing w:val="6"/>
          <w:kern w:val="0"/>
          <w:sz w:val="36"/>
          <w:szCs w:val="36"/>
        </w:rPr>
      </w:pPr>
      <w:r>
        <w:rPr>
          <w:rFonts w:hint="eastAsia" w:ascii="仿宋" w:hAnsi="仿宋" w:eastAsia="仿宋" w:cs="仿宋"/>
          <w:color w:val="auto"/>
          <w:spacing w:val="0"/>
          <w:w w:val="100"/>
          <w:position w:val="0"/>
          <w:sz w:val="36"/>
          <w:szCs w:val="36"/>
          <w:lang w:val="en-US" w:eastAsia="zh-CN"/>
        </w:rPr>
        <w:t>10</w:t>
      </w:r>
      <w:r>
        <w:rPr>
          <w:rFonts w:hint="eastAsia" w:ascii="仿宋" w:hAnsi="仿宋" w:eastAsia="仿宋" w:cs="仿宋"/>
          <w:color w:val="auto"/>
          <w:spacing w:val="0"/>
          <w:w w:val="100"/>
          <w:position w:val="0"/>
          <w:sz w:val="36"/>
          <w:szCs w:val="36"/>
          <w:lang w:eastAsia="zh-CN"/>
        </w:rPr>
        <w:t>、</w:t>
      </w:r>
      <w:r>
        <w:rPr>
          <w:rFonts w:hint="eastAsia" w:ascii="仿宋" w:hAnsi="仿宋" w:eastAsia="仿宋" w:cs="仿宋"/>
          <w:b/>
          <w:bCs/>
          <w:color w:val="auto"/>
          <w:spacing w:val="6"/>
          <w:kern w:val="0"/>
          <w:sz w:val="36"/>
          <w:szCs w:val="36"/>
        </w:rPr>
        <w:t>残疾人福利性单位声明函</w:t>
      </w:r>
    </w:p>
    <w:p w14:paraId="556CC46C">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p>
    <w:p w14:paraId="51DE902A">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3C452B">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本单位对上述声明的真实性负责。如有虚假，将依法承担相应责任。</w:t>
      </w:r>
    </w:p>
    <w:p w14:paraId="519C3DB1">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w:t>
      </w:r>
    </w:p>
    <w:p w14:paraId="7F5459BD">
      <w:pPr>
        <w:widowControl/>
        <w:adjustRightInd w:val="0"/>
        <w:snapToGrid w:val="0"/>
        <w:spacing w:line="440" w:lineRule="exact"/>
        <w:ind w:firstLine="5544" w:firstLineChars="2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单位名称（盖章）：</w:t>
      </w:r>
    </w:p>
    <w:p w14:paraId="27B5693C">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日  期：</w:t>
      </w:r>
    </w:p>
    <w:p w14:paraId="7A03C117">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14:paraId="3F51E5C0">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14:paraId="12634229">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14:paraId="69FC1E74">
      <w:pPr>
        <w:rPr>
          <w:rFonts w:hint="eastAsia" w:ascii="仿宋" w:hAnsi="仿宋" w:eastAsia="仿宋" w:cs="仿宋"/>
          <w:b/>
          <w:bCs/>
          <w:color w:val="auto"/>
          <w:sz w:val="24"/>
          <w:highlight w:val="none"/>
          <w:lang w:val="en-US" w:eastAsia="zh-CN"/>
        </w:rPr>
      </w:pPr>
    </w:p>
    <w:p w14:paraId="14A235DE">
      <w:pPr>
        <w:pStyle w:val="28"/>
        <w:rPr>
          <w:rFonts w:hint="eastAsia" w:ascii="仿宋" w:hAnsi="仿宋" w:eastAsia="仿宋" w:cs="仿宋"/>
          <w:b/>
          <w:bCs/>
          <w:color w:val="auto"/>
          <w:sz w:val="24"/>
          <w:highlight w:val="none"/>
          <w:lang w:val="en-US" w:eastAsia="zh-CN"/>
        </w:rPr>
      </w:pPr>
    </w:p>
    <w:p w14:paraId="10653911">
      <w:pPr>
        <w:pStyle w:val="31"/>
        <w:keepNext/>
        <w:keepLines/>
        <w:spacing w:before="0" w:after="660"/>
        <w:ind w:firstLine="42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备注：不是残疾人福利性单位，无需提供声明函</w:t>
      </w:r>
    </w:p>
    <w:p w14:paraId="228482C9">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61DEF371">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0E96BE0F">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6FD85347">
      <w:p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100"/>
          <w:position w:val="0"/>
          <w:sz w:val="36"/>
          <w:szCs w:val="36"/>
          <w:lang w:val="en-US" w:eastAsia="zh-CN"/>
        </w:rPr>
      </w:pPr>
    </w:p>
    <w:p w14:paraId="0E7D86DE">
      <w:p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100"/>
          <w:position w:val="0"/>
          <w:sz w:val="36"/>
          <w:szCs w:val="36"/>
          <w:lang w:val="en-US" w:eastAsia="zh-CN"/>
        </w:rPr>
      </w:pPr>
    </w:p>
    <w:p w14:paraId="10D66F6A">
      <w:p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100"/>
          <w:position w:val="0"/>
          <w:sz w:val="36"/>
          <w:szCs w:val="36"/>
          <w:lang w:val="en-US" w:eastAsia="zh-CN"/>
        </w:rPr>
      </w:pPr>
    </w:p>
    <w:p w14:paraId="15782B2F">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75238E0E">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6AE3DDA2">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70A2111D">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03B6A626">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3A4895FC">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3774BCD1">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57100F12">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11、关于符合本国产品标准的声明函</w:t>
      </w:r>
    </w:p>
    <w:p w14:paraId="419E9979">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 </w:t>
      </w:r>
    </w:p>
    <w:p w14:paraId="0CA4D0DB">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1CE40A56">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1.</w:t>
      </w:r>
      <w:r>
        <w:rPr>
          <w:rFonts w:hint="eastAsia" w:ascii="仿宋" w:hAnsi="仿宋" w:eastAsia="仿宋" w:cs="仿宋"/>
          <w:color w:val="auto"/>
          <w:spacing w:val="6"/>
          <w:kern w:val="0"/>
          <w:sz w:val="24"/>
          <w:szCs w:val="24"/>
          <w:u w:val="single"/>
          <w:lang w:val="en-US" w:eastAsia="zh-CN"/>
        </w:rPr>
        <w:t>（产品名称1）</w:t>
      </w:r>
      <w:r>
        <w:rPr>
          <w:rFonts w:hint="eastAsia" w:ascii="仿宋" w:hAnsi="仿宋" w:eastAsia="仿宋" w:cs="仿宋"/>
          <w:color w:val="auto"/>
          <w:spacing w:val="6"/>
          <w:kern w:val="0"/>
          <w:sz w:val="24"/>
          <w:szCs w:val="24"/>
          <w:vertAlign w:val="superscript"/>
          <w:lang w:val="en-US" w:eastAsia="zh-CN"/>
        </w:rPr>
        <w:t>1</w:t>
      </w:r>
      <w:r>
        <w:rPr>
          <w:rFonts w:hint="eastAsia" w:ascii="仿宋" w:hAnsi="仿宋" w:eastAsia="仿宋" w:cs="仿宋"/>
          <w:color w:val="auto"/>
          <w:spacing w:val="6"/>
          <w:kern w:val="0"/>
          <w:sz w:val="24"/>
          <w:szCs w:val="24"/>
          <w:lang w:val="en-US" w:eastAsia="zh-CN"/>
        </w:rPr>
        <w:t>，生产厂为</w:t>
      </w:r>
      <w:r>
        <w:rPr>
          <w:rFonts w:hint="eastAsia" w:ascii="仿宋" w:hAnsi="仿宋" w:eastAsia="仿宋" w:cs="仿宋"/>
          <w:color w:val="auto"/>
          <w:spacing w:val="6"/>
          <w:kern w:val="0"/>
          <w:sz w:val="24"/>
          <w:szCs w:val="24"/>
          <w:u w:val="single"/>
          <w:lang w:val="en-US" w:eastAsia="zh-CN"/>
        </w:rPr>
        <w:t>（厂名）</w:t>
      </w:r>
      <w:r>
        <w:rPr>
          <w:rFonts w:hint="eastAsia" w:ascii="仿宋" w:hAnsi="仿宋" w:eastAsia="仿宋" w:cs="仿宋"/>
          <w:color w:val="auto"/>
          <w:spacing w:val="6"/>
          <w:kern w:val="0"/>
          <w:sz w:val="24"/>
          <w:szCs w:val="24"/>
          <w:vertAlign w:val="superscript"/>
          <w:lang w:val="en-US" w:eastAsia="zh-CN"/>
        </w:rPr>
        <w:t>2</w:t>
      </w:r>
      <w:r>
        <w:rPr>
          <w:rFonts w:hint="eastAsia" w:ascii="仿宋" w:hAnsi="仿宋" w:eastAsia="仿宋" w:cs="仿宋"/>
          <w:color w:val="auto"/>
          <w:spacing w:val="6"/>
          <w:kern w:val="0"/>
          <w:sz w:val="24"/>
          <w:szCs w:val="24"/>
          <w:lang w:val="en-US" w:eastAsia="zh-CN"/>
        </w:rPr>
        <w:t>，厂址为</w:t>
      </w:r>
      <w:r>
        <w:rPr>
          <w:rFonts w:hint="eastAsia" w:ascii="仿宋" w:hAnsi="仿宋" w:eastAsia="仿宋" w:cs="仿宋"/>
          <w:color w:val="auto"/>
          <w:spacing w:val="6"/>
          <w:kern w:val="0"/>
          <w:sz w:val="24"/>
          <w:szCs w:val="24"/>
          <w:u w:val="single"/>
          <w:lang w:val="en-US" w:eastAsia="zh-CN"/>
        </w:rPr>
        <w:t>（生产厂址）</w:t>
      </w:r>
      <w:r>
        <w:rPr>
          <w:rFonts w:hint="eastAsia" w:ascii="仿宋" w:hAnsi="仿宋" w:eastAsia="仿宋" w:cs="仿宋"/>
          <w:color w:val="auto"/>
          <w:spacing w:val="6"/>
          <w:kern w:val="0"/>
          <w:sz w:val="24"/>
          <w:szCs w:val="24"/>
          <w:lang w:val="en-US" w:eastAsia="zh-CN"/>
        </w:rPr>
        <w:t>。</w:t>
      </w:r>
      <w:r>
        <w:rPr>
          <w:rFonts w:hint="eastAsia" w:ascii="仿宋" w:hAnsi="仿宋" w:eastAsia="仿宋" w:cs="仿宋"/>
          <w:color w:val="auto"/>
          <w:spacing w:val="6"/>
          <w:kern w:val="0"/>
          <w:sz w:val="24"/>
          <w:szCs w:val="24"/>
          <w:u w:val="single"/>
          <w:lang w:val="en-US" w:eastAsia="zh-CN"/>
        </w:rPr>
        <w:t>（产品名称1）</w:t>
      </w:r>
      <w:r>
        <w:rPr>
          <w:rFonts w:hint="eastAsia" w:ascii="仿宋" w:hAnsi="仿宋" w:eastAsia="仿宋" w:cs="仿宋"/>
          <w:color w:val="auto"/>
          <w:spacing w:val="6"/>
          <w:kern w:val="0"/>
          <w:sz w:val="24"/>
          <w:szCs w:val="24"/>
          <w:lang w:val="en-US" w:eastAsia="zh-CN"/>
        </w:rPr>
        <w:t>的中国境内生产的组件成本占比≥</w:t>
      </w:r>
      <w:r>
        <w:rPr>
          <w:rFonts w:hint="eastAsia" w:ascii="仿宋" w:hAnsi="仿宋" w:eastAsia="仿宋" w:cs="仿宋"/>
          <w:color w:val="auto"/>
          <w:spacing w:val="6"/>
          <w:kern w:val="0"/>
          <w:sz w:val="24"/>
          <w:szCs w:val="24"/>
          <w:u w:val="single"/>
          <w:lang w:val="en-US" w:eastAsia="zh-CN"/>
        </w:rPr>
        <w:t>（规定比例）</w:t>
      </w:r>
      <w:r>
        <w:rPr>
          <w:rFonts w:hint="eastAsia" w:ascii="仿宋" w:hAnsi="仿宋" w:eastAsia="仿宋" w:cs="仿宋"/>
          <w:color w:val="auto"/>
          <w:spacing w:val="6"/>
          <w:kern w:val="0"/>
          <w:sz w:val="24"/>
          <w:szCs w:val="24"/>
          <w:vertAlign w:val="superscript"/>
          <w:lang w:val="en-US" w:eastAsia="zh-CN"/>
        </w:rPr>
        <w:t>3</w:t>
      </w:r>
      <w:r>
        <w:rPr>
          <w:rFonts w:hint="eastAsia" w:ascii="仿宋" w:hAnsi="仿宋" w:eastAsia="仿宋" w:cs="仿宋"/>
          <w:color w:val="auto"/>
          <w:spacing w:val="6"/>
          <w:kern w:val="0"/>
          <w:sz w:val="24"/>
          <w:szCs w:val="24"/>
          <w:lang w:val="en-US" w:eastAsia="zh-CN"/>
        </w:rPr>
        <w:t>，</w:t>
      </w:r>
      <w:r>
        <w:rPr>
          <w:rFonts w:hint="eastAsia" w:ascii="仿宋" w:hAnsi="仿宋" w:eastAsia="仿宋" w:cs="仿宋"/>
          <w:color w:val="auto"/>
          <w:spacing w:val="6"/>
          <w:kern w:val="0"/>
          <w:sz w:val="24"/>
          <w:szCs w:val="24"/>
          <w:u w:val="single"/>
          <w:lang w:val="en-US" w:eastAsia="zh-CN"/>
        </w:rPr>
        <w:t>（产品名称1）</w:t>
      </w:r>
      <w:r>
        <w:rPr>
          <w:rFonts w:hint="eastAsia" w:ascii="仿宋" w:hAnsi="仿宋" w:eastAsia="仿宋" w:cs="仿宋"/>
          <w:color w:val="auto"/>
          <w:spacing w:val="6"/>
          <w:kern w:val="0"/>
          <w:sz w:val="24"/>
          <w:szCs w:val="24"/>
          <w:lang w:val="en-US" w:eastAsia="zh-CN"/>
        </w:rPr>
        <w:t>的</w:t>
      </w:r>
      <w:r>
        <w:rPr>
          <w:rFonts w:hint="eastAsia" w:ascii="仿宋" w:hAnsi="仿宋" w:eastAsia="仿宋" w:cs="仿宋"/>
          <w:color w:val="auto"/>
          <w:spacing w:val="6"/>
          <w:kern w:val="0"/>
          <w:sz w:val="24"/>
          <w:szCs w:val="24"/>
          <w:u w:val="single"/>
          <w:lang w:val="en-US" w:eastAsia="zh-CN"/>
        </w:rPr>
        <w:t>（关键组件）</w:t>
      </w:r>
      <w:r>
        <w:rPr>
          <w:rFonts w:hint="eastAsia" w:ascii="仿宋" w:hAnsi="仿宋" w:eastAsia="仿宋" w:cs="仿宋"/>
          <w:color w:val="auto"/>
          <w:spacing w:val="6"/>
          <w:kern w:val="0"/>
          <w:sz w:val="24"/>
          <w:szCs w:val="24"/>
          <w:vertAlign w:val="superscript"/>
          <w:lang w:val="en-US" w:eastAsia="zh-CN"/>
        </w:rPr>
        <w:t>4</w:t>
      </w:r>
      <w:r>
        <w:rPr>
          <w:rFonts w:hint="eastAsia" w:ascii="仿宋" w:hAnsi="仿宋" w:eastAsia="仿宋" w:cs="仿宋"/>
          <w:color w:val="auto"/>
          <w:spacing w:val="6"/>
          <w:kern w:val="0"/>
          <w:sz w:val="24"/>
          <w:szCs w:val="24"/>
          <w:lang w:val="en-US" w:eastAsia="zh-CN"/>
        </w:rPr>
        <w:t>在中国境内生产。</w:t>
      </w:r>
      <w:r>
        <w:rPr>
          <w:rFonts w:hint="eastAsia" w:ascii="仿宋" w:hAnsi="仿宋" w:eastAsia="仿宋" w:cs="仿宋"/>
          <w:color w:val="auto"/>
          <w:spacing w:val="6"/>
          <w:kern w:val="0"/>
          <w:sz w:val="24"/>
          <w:szCs w:val="24"/>
          <w:u w:val="single"/>
          <w:lang w:val="en-US" w:eastAsia="zh-CN"/>
        </w:rPr>
        <w:t>（产品名称1）</w:t>
      </w:r>
      <w:r>
        <w:rPr>
          <w:rFonts w:hint="eastAsia" w:ascii="仿宋" w:hAnsi="仿宋" w:eastAsia="仿宋" w:cs="仿宋"/>
          <w:color w:val="auto"/>
          <w:spacing w:val="6"/>
          <w:kern w:val="0"/>
          <w:sz w:val="24"/>
          <w:szCs w:val="24"/>
          <w:lang w:val="en-US" w:eastAsia="zh-CN"/>
        </w:rPr>
        <w:t>的</w:t>
      </w:r>
      <w:r>
        <w:rPr>
          <w:rFonts w:hint="eastAsia" w:ascii="仿宋" w:hAnsi="仿宋" w:eastAsia="仿宋" w:cs="仿宋"/>
          <w:color w:val="auto"/>
          <w:spacing w:val="6"/>
          <w:kern w:val="0"/>
          <w:sz w:val="24"/>
          <w:szCs w:val="24"/>
          <w:u w:val="single"/>
          <w:lang w:val="en-US" w:eastAsia="zh-CN"/>
        </w:rPr>
        <w:t>（关键工序）</w:t>
      </w:r>
      <w:r>
        <w:rPr>
          <w:rFonts w:hint="eastAsia" w:ascii="仿宋" w:hAnsi="仿宋" w:eastAsia="仿宋" w:cs="仿宋"/>
          <w:color w:val="auto"/>
          <w:spacing w:val="6"/>
          <w:kern w:val="0"/>
          <w:sz w:val="24"/>
          <w:szCs w:val="24"/>
          <w:vertAlign w:val="superscript"/>
          <w:lang w:val="en-US" w:eastAsia="zh-CN"/>
        </w:rPr>
        <w:t>5</w:t>
      </w:r>
      <w:r>
        <w:rPr>
          <w:rFonts w:hint="eastAsia" w:ascii="仿宋" w:hAnsi="仿宋" w:eastAsia="仿宋" w:cs="仿宋"/>
          <w:color w:val="auto"/>
          <w:spacing w:val="6"/>
          <w:kern w:val="0"/>
          <w:sz w:val="24"/>
          <w:szCs w:val="24"/>
          <w:lang w:val="en-US" w:eastAsia="zh-CN"/>
        </w:rPr>
        <w:t>在中国境内完成。</w:t>
      </w:r>
    </w:p>
    <w:p w14:paraId="2AA0DE52">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2.</w:t>
      </w:r>
      <w:r>
        <w:rPr>
          <w:rFonts w:hint="eastAsia" w:ascii="仿宋" w:hAnsi="仿宋" w:eastAsia="仿宋" w:cs="仿宋"/>
          <w:color w:val="auto"/>
          <w:spacing w:val="6"/>
          <w:kern w:val="0"/>
          <w:sz w:val="24"/>
          <w:szCs w:val="24"/>
          <w:u w:val="single"/>
          <w:lang w:val="en-US" w:eastAsia="zh-CN"/>
        </w:rPr>
        <w:t>（产品名称2）</w:t>
      </w:r>
      <w:r>
        <w:rPr>
          <w:rFonts w:hint="eastAsia" w:ascii="仿宋" w:hAnsi="仿宋" w:eastAsia="仿宋" w:cs="仿宋"/>
          <w:color w:val="auto"/>
          <w:spacing w:val="6"/>
          <w:kern w:val="0"/>
          <w:sz w:val="24"/>
          <w:szCs w:val="24"/>
          <w:lang w:val="en-US" w:eastAsia="zh-CN"/>
        </w:rPr>
        <w:t>，生产厂为</w:t>
      </w:r>
      <w:r>
        <w:rPr>
          <w:rFonts w:hint="eastAsia" w:ascii="仿宋" w:hAnsi="仿宋" w:eastAsia="仿宋" w:cs="仿宋"/>
          <w:color w:val="auto"/>
          <w:spacing w:val="6"/>
          <w:kern w:val="0"/>
          <w:sz w:val="24"/>
          <w:szCs w:val="24"/>
          <w:u w:val="single"/>
          <w:lang w:val="en-US" w:eastAsia="zh-CN"/>
        </w:rPr>
        <w:t>（厂名）</w:t>
      </w:r>
      <w:r>
        <w:rPr>
          <w:rFonts w:hint="eastAsia" w:ascii="仿宋" w:hAnsi="仿宋" w:eastAsia="仿宋" w:cs="仿宋"/>
          <w:color w:val="auto"/>
          <w:spacing w:val="6"/>
          <w:kern w:val="0"/>
          <w:sz w:val="24"/>
          <w:szCs w:val="24"/>
          <w:lang w:val="en-US" w:eastAsia="zh-CN"/>
        </w:rPr>
        <w:t>，厂址为</w:t>
      </w:r>
      <w:r>
        <w:rPr>
          <w:rFonts w:hint="eastAsia" w:ascii="仿宋" w:hAnsi="仿宋" w:eastAsia="仿宋" w:cs="仿宋"/>
          <w:color w:val="auto"/>
          <w:spacing w:val="6"/>
          <w:kern w:val="0"/>
          <w:sz w:val="24"/>
          <w:szCs w:val="24"/>
          <w:u w:val="single"/>
          <w:lang w:val="en-US" w:eastAsia="zh-CN"/>
        </w:rPr>
        <w:t>（生产厂址）</w:t>
      </w:r>
      <w:r>
        <w:rPr>
          <w:rFonts w:hint="eastAsia" w:ascii="仿宋" w:hAnsi="仿宋" w:eastAsia="仿宋" w:cs="仿宋"/>
          <w:color w:val="auto"/>
          <w:spacing w:val="6"/>
          <w:kern w:val="0"/>
          <w:sz w:val="24"/>
          <w:szCs w:val="24"/>
          <w:lang w:val="en-US" w:eastAsia="zh-CN"/>
        </w:rPr>
        <w:t>。</w:t>
      </w:r>
      <w:r>
        <w:rPr>
          <w:rFonts w:hint="eastAsia" w:ascii="仿宋" w:hAnsi="仿宋" w:eastAsia="仿宋" w:cs="仿宋"/>
          <w:color w:val="auto"/>
          <w:spacing w:val="6"/>
          <w:kern w:val="0"/>
          <w:sz w:val="24"/>
          <w:szCs w:val="24"/>
          <w:u w:val="single"/>
          <w:lang w:val="en-US" w:eastAsia="zh-CN"/>
        </w:rPr>
        <w:t>（产品名称2）</w:t>
      </w:r>
      <w:r>
        <w:rPr>
          <w:rFonts w:hint="eastAsia" w:ascii="仿宋" w:hAnsi="仿宋" w:eastAsia="仿宋" w:cs="仿宋"/>
          <w:color w:val="auto"/>
          <w:spacing w:val="6"/>
          <w:kern w:val="0"/>
          <w:sz w:val="24"/>
          <w:szCs w:val="24"/>
          <w:lang w:val="en-US" w:eastAsia="zh-CN"/>
        </w:rPr>
        <w:t>的中国境内生产的组件成本占比≥</w:t>
      </w:r>
      <w:r>
        <w:rPr>
          <w:rFonts w:hint="eastAsia" w:ascii="仿宋" w:hAnsi="仿宋" w:eastAsia="仿宋" w:cs="仿宋"/>
          <w:color w:val="auto"/>
          <w:spacing w:val="6"/>
          <w:kern w:val="0"/>
          <w:sz w:val="24"/>
          <w:szCs w:val="24"/>
          <w:u w:val="single"/>
          <w:lang w:val="en-US" w:eastAsia="zh-CN"/>
        </w:rPr>
        <w:t>（规定比例）</w:t>
      </w:r>
      <w:r>
        <w:rPr>
          <w:rFonts w:hint="eastAsia" w:ascii="仿宋" w:hAnsi="仿宋" w:eastAsia="仿宋" w:cs="仿宋"/>
          <w:color w:val="auto"/>
          <w:spacing w:val="6"/>
          <w:kern w:val="0"/>
          <w:sz w:val="24"/>
          <w:szCs w:val="24"/>
          <w:lang w:val="en-US" w:eastAsia="zh-CN"/>
        </w:rPr>
        <w:t>。</w:t>
      </w:r>
      <w:r>
        <w:rPr>
          <w:rFonts w:hint="eastAsia" w:ascii="仿宋" w:hAnsi="仿宋" w:eastAsia="仿宋" w:cs="仿宋"/>
          <w:color w:val="auto"/>
          <w:spacing w:val="6"/>
          <w:kern w:val="0"/>
          <w:sz w:val="24"/>
          <w:szCs w:val="24"/>
          <w:u w:val="single"/>
          <w:lang w:val="en-US" w:eastAsia="zh-CN"/>
        </w:rPr>
        <w:t>（产品名称2）</w:t>
      </w:r>
      <w:r>
        <w:rPr>
          <w:rFonts w:hint="eastAsia" w:ascii="仿宋" w:hAnsi="仿宋" w:eastAsia="仿宋" w:cs="仿宋"/>
          <w:color w:val="auto"/>
          <w:spacing w:val="6"/>
          <w:kern w:val="0"/>
          <w:sz w:val="24"/>
          <w:szCs w:val="24"/>
          <w:lang w:val="en-US" w:eastAsia="zh-CN"/>
        </w:rPr>
        <w:t>的</w:t>
      </w:r>
      <w:r>
        <w:rPr>
          <w:rFonts w:hint="eastAsia" w:ascii="仿宋" w:hAnsi="仿宋" w:eastAsia="仿宋" w:cs="仿宋"/>
          <w:color w:val="auto"/>
          <w:spacing w:val="6"/>
          <w:kern w:val="0"/>
          <w:sz w:val="24"/>
          <w:szCs w:val="24"/>
          <w:u w:val="single"/>
          <w:lang w:val="en-US" w:eastAsia="zh-CN"/>
        </w:rPr>
        <w:t>（关键组件）</w:t>
      </w:r>
      <w:r>
        <w:rPr>
          <w:rFonts w:hint="eastAsia" w:ascii="仿宋" w:hAnsi="仿宋" w:eastAsia="仿宋" w:cs="仿宋"/>
          <w:color w:val="auto"/>
          <w:spacing w:val="6"/>
          <w:kern w:val="0"/>
          <w:sz w:val="24"/>
          <w:szCs w:val="24"/>
          <w:lang w:val="en-US" w:eastAsia="zh-CN"/>
        </w:rPr>
        <w:t>在中国境内生产。</w:t>
      </w:r>
      <w:r>
        <w:rPr>
          <w:rFonts w:hint="eastAsia" w:ascii="仿宋" w:hAnsi="仿宋" w:eastAsia="仿宋" w:cs="仿宋"/>
          <w:color w:val="auto"/>
          <w:spacing w:val="6"/>
          <w:kern w:val="0"/>
          <w:sz w:val="24"/>
          <w:szCs w:val="24"/>
          <w:u w:val="single"/>
          <w:lang w:val="en-US" w:eastAsia="zh-CN"/>
        </w:rPr>
        <w:t>（产品名称2）</w:t>
      </w:r>
      <w:r>
        <w:rPr>
          <w:rFonts w:hint="eastAsia" w:ascii="仿宋" w:hAnsi="仿宋" w:eastAsia="仿宋" w:cs="仿宋"/>
          <w:color w:val="auto"/>
          <w:spacing w:val="6"/>
          <w:kern w:val="0"/>
          <w:sz w:val="24"/>
          <w:szCs w:val="24"/>
          <w:lang w:val="en-US" w:eastAsia="zh-CN"/>
        </w:rPr>
        <w:t>的</w:t>
      </w:r>
      <w:r>
        <w:rPr>
          <w:rFonts w:hint="eastAsia" w:ascii="仿宋" w:hAnsi="仿宋" w:eastAsia="仿宋" w:cs="仿宋"/>
          <w:color w:val="auto"/>
          <w:spacing w:val="6"/>
          <w:kern w:val="0"/>
          <w:sz w:val="24"/>
          <w:szCs w:val="24"/>
          <w:u w:val="single"/>
          <w:lang w:val="en-US" w:eastAsia="zh-CN"/>
        </w:rPr>
        <w:t>（关键工序）</w:t>
      </w:r>
      <w:r>
        <w:rPr>
          <w:rFonts w:hint="eastAsia" w:ascii="仿宋" w:hAnsi="仿宋" w:eastAsia="仿宋" w:cs="仿宋"/>
          <w:color w:val="auto"/>
          <w:spacing w:val="6"/>
          <w:kern w:val="0"/>
          <w:sz w:val="24"/>
          <w:szCs w:val="24"/>
          <w:lang w:val="en-US" w:eastAsia="zh-CN"/>
        </w:rPr>
        <w:t>在中国境内完成。</w:t>
      </w:r>
    </w:p>
    <w:p w14:paraId="42839448">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w:t>
      </w:r>
    </w:p>
    <w:p w14:paraId="67541932">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本公司（单位）对上述声明内容的真实性负责。如有虚假，愿承担相应法律责任。</w:t>
      </w:r>
    </w:p>
    <w:p w14:paraId="545B4C90">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 </w:t>
      </w:r>
    </w:p>
    <w:p w14:paraId="57F4664A">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公司（单位）名称（盖章）：　        </w:t>
      </w:r>
    </w:p>
    <w:p w14:paraId="0A1DBE7A">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日期：　     年　  月　  日         </w:t>
      </w:r>
    </w:p>
    <w:p w14:paraId="4CC85A60">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79D22B98">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5F638725">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5A230C67">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64719EA5">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389FE0FC">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13EF559A">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__________________</w:t>
      </w:r>
    </w:p>
    <w:p w14:paraId="73B2356C">
      <w:pPr>
        <w:widowControl/>
        <w:adjustRightInd w:val="0"/>
        <w:snapToGrid w:val="0"/>
        <w:spacing w:line="440" w:lineRule="exact"/>
        <w:ind w:firstLine="384" w:firstLineChars="200"/>
        <w:jc w:val="left"/>
        <w:rPr>
          <w:rFonts w:hint="eastAsia" w:ascii="仿宋" w:hAnsi="仿宋" w:eastAsia="仿宋" w:cs="仿宋"/>
          <w:color w:val="auto"/>
          <w:spacing w:val="6"/>
          <w:kern w:val="0"/>
          <w:sz w:val="18"/>
          <w:szCs w:val="18"/>
          <w:lang w:val="en-US" w:eastAsia="zh-CN"/>
        </w:rPr>
      </w:pPr>
      <w:r>
        <w:rPr>
          <w:rFonts w:hint="eastAsia" w:ascii="仿宋" w:hAnsi="仿宋" w:eastAsia="仿宋" w:cs="仿宋"/>
          <w:color w:val="auto"/>
          <w:spacing w:val="6"/>
          <w:kern w:val="0"/>
          <w:sz w:val="18"/>
          <w:szCs w:val="18"/>
          <w:lang w:val="en-US" w:eastAsia="zh-CN"/>
        </w:rPr>
        <w:t>1.产品如有型号，请在“产品名称”栏一并填写。</w:t>
      </w:r>
    </w:p>
    <w:p w14:paraId="4E55DBC8">
      <w:pPr>
        <w:widowControl/>
        <w:adjustRightInd w:val="0"/>
        <w:snapToGrid w:val="0"/>
        <w:spacing w:line="440" w:lineRule="exact"/>
        <w:ind w:firstLine="384" w:firstLineChars="200"/>
        <w:jc w:val="left"/>
        <w:rPr>
          <w:rFonts w:hint="eastAsia" w:ascii="仿宋" w:hAnsi="仿宋" w:eastAsia="仿宋" w:cs="仿宋"/>
          <w:color w:val="auto"/>
          <w:spacing w:val="6"/>
          <w:kern w:val="0"/>
          <w:sz w:val="18"/>
          <w:szCs w:val="18"/>
          <w:lang w:val="en-US" w:eastAsia="zh-CN"/>
        </w:rPr>
      </w:pPr>
      <w:r>
        <w:rPr>
          <w:rFonts w:hint="eastAsia" w:ascii="仿宋" w:hAnsi="仿宋" w:eastAsia="仿宋" w:cs="仿宋"/>
          <w:color w:val="auto"/>
          <w:spacing w:val="6"/>
          <w:kern w:val="0"/>
          <w:sz w:val="18"/>
          <w:szCs w:val="18"/>
          <w:lang w:val="en-US" w:eastAsia="zh-CN"/>
        </w:rPr>
        <w:t>2.生产厂名与厂址应与生产厂营业执照载明的相关信息保持一致。</w:t>
      </w:r>
    </w:p>
    <w:p w14:paraId="2262B54A">
      <w:pPr>
        <w:widowControl/>
        <w:adjustRightInd w:val="0"/>
        <w:snapToGrid w:val="0"/>
        <w:spacing w:line="440" w:lineRule="exact"/>
        <w:ind w:firstLine="384" w:firstLineChars="200"/>
        <w:jc w:val="left"/>
        <w:rPr>
          <w:rFonts w:hint="eastAsia" w:ascii="仿宋" w:hAnsi="仿宋" w:eastAsia="仿宋" w:cs="仿宋"/>
          <w:color w:val="auto"/>
          <w:spacing w:val="6"/>
          <w:kern w:val="0"/>
          <w:sz w:val="18"/>
          <w:szCs w:val="18"/>
          <w:lang w:val="en-US" w:eastAsia="zh-CN"/>
        </w:rPr>
      </w:pPr>
      <w:r>
        <w:rPr>
          <w:rFonts w:hint="eastAsia" w:ascii="仿宋" w:hAnsi="仿宋" w:eastAsia="仿宋" w:cs="仿宋"/>
          <w:color w:val="auto"/>
          <w:spacing w:val="6"/>
          <w:kern w:val="0"/>
          <w:sz w:val="18"/>
          <w:szCs w:val="18"/>
          <w:lang w:val="en-US" w:eastAsia="zh-CN"/>
        </w:rPr>
        <w:t>3.该产品的中国境内生产的组件成本占比相关要求实施前，“规定比例”栏可不填，下同。</w:t>
      </w:r>
    </w:p>
    <w:p w14:paraId="64DA87E2">
      <w:pPr>
        <w:widowControl/>
        <w:adjustRightInd w:val="0"/>
        <w:snapToGrid w:val="0"/>
        <w:spacing w:line="440" w:lineRule="exact"/>
        <w:ind w:firstLine="384" w:firstLineChars="200"/>
        <w:jc w:val="left"/>
        <w:rPr>
          <w:rFonts w:hint="eastAsia" w:ascii="仿宋" w:hAnsi="仿宋" w:eastAsia="仿宋" w:cs="仿宋"/>
          <w:color w:val="auto"/>
          <w:spacing w:val="6"/>
          <w:kern w:val="0"/>
          <w:sz w:val="18"/>
          <w:szCs w:val="18"/>
          <w:lang w:val="en-US" w:eastAsia="zh-CN"/>
        </w:rPr>
      </w:pPr>
      <w:r>
        <w:rPr>
          <w:rFonts w:hint="eastAsia" w:ascii="仿宋" w:hAnsi="仿宋" w:eastAsia="仿宋" w:cs="仿宋"/>
          <w:color w:val="auto"/>
          <w:spacing w:val="6"/>
          <w:kern w:val="0"/>
          <w:sz w:val="18"/>
          <w:szCs w:val="18"/>
          <w:lang w:val="en-US" w:eastAsia="zh-CN"/>
        </w:rPr>
        <w:t>4.该产品的关键组件要求实施前，“关键组件”栏可不填，下同。</w:t>
      </w:r>
    </w:p>
    <w:p w14:paraId="59C00148">
      <w:pPr>
        <w:widowControl/>
        <w:adjustRightInd w:val="0"/>
        <w:snapToGrid w:val="0"/>
        <w:spacing w:line="440" w:lineRule="exact"/>
        <w:ind w:firstLine="384" w:firstLineChars="200"/>
        <w:jc w:val="left"/>
        <w:rPr>
          <w:rFonts w:hint="eastAsia" w:ascii="仿宋" w:hAnsi="仿宋" w:eastAsia="仿宋" w:cs="仿宋"/>
          <w:color w:val="auto"/>
          <w:spacing w:val="6"/>
          <w:kern w:val="0"/>
          <w:sz w:val="18"/>
          <w:szCs w:val="18"/>
          <w:lang w:val="en-US" w:eastAsia="zh-CN"/>
        </w:rPr>
      </w:pPr>
      <w:r>
        <w:rPr>
          <w:rFonts w:hint="eastAsia" w:ascii="仿宋" w:hAnsi="仿宋" w:eastAsia="仿宋" w:cs="仿宋"/>
          <w:color w:val="auto"/>
          <w:spacing w:val="6"/>
          <w:kern w:val="0"/>
          <w:sz w:val="18"/>
          <w:szCs w:val="18"/>
          <w:lang w:val="en-US" w:eastAsia="zh-CN"/>
        </w:rPr>
        <w:t>5.该产品的关键工序要求实施前，“关键工序”栏可不填，下同。</w:t>
      </w:r>
    </w:p>
    <w:p w14:paraId="4347F535">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12、</w:t>
      </w:r>
      <w:r>
        <w:rPr>
          <w:rFonts w:hint="eastAsia" w:ascii="仿宋" w:hAnsi="仿宋" w:eastAsia="仿宋" w:cs="仿宋"/>
          <w:b/>
          <w:bCs w:val="0"/>
          <w:color w:val="auto"/>
          <w:kern w:val="0"/>
          <w:sz w:val="32"/>
          <w:szCs w:val="28"/>
          <w:highlight w:val="none"/>
          <w:lang w:val="en-US" w:eastAsia="zh-CN" w:bidi="ar-SA"/>
        </w:rPr>
        <w:t>质量保证及售后服务（格式自拟）</w:t>
      </w:r>
    </w:p>
    <w:p w14:paraId="74201A9B">
      <w:pPr>
        <w:rPr>
          <w:rFonts w:hint="eastAsia"/>
          <w:color w:val="auto"/>
          <w:lang w:val="en-US" w:eastAsia="zh-CN"/>
        </w:rPr>
      </w:pPr>
    </w:p>
    <w:p w14:paraId="6098194E">
      <w:pPr>
        <w:pStyle w:val="15"/>
        <w:numPr>
          <w:ilvl w:val="0"/>
          <w:numId w:val="0"/>
        </w:numPr>
        <w:rPr>
          <w:rFonts w:hint="eastAsia"/>
          <w:lang w:val="en-US" w:eastAsia="zh-CN"/>
        </w:rPr>
      </w:pPr>
    </w:p>
    <w:p w14:paraId="019229C0">
      <w:pPr>
        <w:spacing w:line="500" w:lineRule="exact"/>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售后服务须包括但不限于以下内容，主要根据招标需求的要求（格式自定）</w:t>
      </w:r>
    </w:p>
    <w:p w14:paraId="320BCF26">
      <w:pPr>
        <w:rPr>
          <w:rFonts w:hint="eastAsia" w:ascii="仿宋" w:hAnsi="仿宋" w:eastAsia="仿宋" w:cs="仿宋"/>
          <w:color w:val="auto"/>
          <w:sz w:val="24"/>
          <w:szCs w:val="24"/>
          <w:highlight w:val="none"/>
          <w:lang w:val="en-GB" w:eastAsia="zh-CN"/>
        </w:rPr>
      </w:pPr>
    </w:p>
    <w:p w14:paraId="378E015F">
      <w:pPr>
        <w:spacing w:line="500" w:lineRule="exact"/>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GB"/>
        </w:rPr>
        <w:t>质保期</w:t>
      </w:r>
    </w:p>
    <w:p w14:paraId="621BD694">
      <w:pPr>
        <w:spacing w:line="5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2、交货期</w:t>
      </w:r>
    </w:p>
    <w:p w14:paraId="63B58BE9">
      <w:pPr>
        <w:spacing w:line="500" w:lineRule="exact"/>
        <w:ind w:firstLine="480" w:firstLineChars="200"/>
        <w:jc w:val="left"/>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GB"/>
        </w:rPr>
        <w:t>售后</w:t>
      </w:r>
      <w:r>
        <w:rPr>
          <w:rFonts w:hint="eastAsia" w:ascii="仿宋" w:hAnsi="仿宋" w:eastAsia="仿宋" w:cs="仿宋"/>
          <w:color w:val="auto"/>
          <w:sz w:val="24"/>
          <w:szCs w:val="24"/>
          <w:highlight w:val="none"/>
          <w:lang w:val="en-GB" w:eastAsia="zh-CN"/>
        </w:rPr>
        <w:t>质量承诺</w:t>
      </w:r>
    </w:p>
    <w:p w14:paraId="458E18EE">
      <w:pPr>
        <w:spacing w:line="5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售后服务方案</w:t>
      </w:r>
    </w:p>
    <w:p w14:paraId="1E48986A">
      <w:pPr>
        <w:adjustRightInd w:val="0"/>
        <w:spacing w:line="400" w:lineRule="exact"/>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GB"/>
        </w:rPr>
        <w:t>其它服务承诺</w:t>
      </w:r>
    </w:p>
    <w:p w14:paraId="714F1819">
      <w:pPr>
        <w:rPr>
          <w:rFonts w:hint="eastAsia" w:ascii="仿宋" w:hAnsi="仿宋" w:eastAsia="仿宋" w:cs="仿宋"/>
          <w:b/>
          <w:bCs/>
          <w:color w:val="auto"/>
          <w:spacing w:val="0"/>
          <w:w w:val="100"/>
          <w:position w:val="0"/>
          <w:sz w:val="28"/>
          <w:szCs w:val="28"/>
          <w:lang w:val="en-US" w:eastAsia="zh-CN"/>
        </w:rPr>
      </w:pPr>
    </w:p>
    <w:p w14:paraId="18A56040">
      <w:pPr>
        <w:pStyle w:val="4"/>
        <w:rPr>
          <w:rFonts w:hint="eastAsia"/>
          <w:color w:val="auto"/>
          <w:lang w:val="en-US" w:eastAsia="zh-CN"/>
        </w:rPr>
      </w:pPr>
    </w:p>
    <w:p w14:paraId="6A517A95">
      <w:pPr>
        <w:rPr>
          <w:rFonts w:hint="eastAsia"/>
          <w:color w:val="auto"/>
          <w:lang w:val="en-US" w:eastAsia="zh-CN"/>
        </w:rPr>
      </w:pPr>
    </w:p>
    <w:p w14:paraId="3DED6869">
      <w:pPr>
        <w:spacing w:before="100" w:beforeAutospacing="1" w:after="100" w:afterAutospacing="1"/>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投标单位： </w:t>
      </w:r>
      <w:r>
        <w:rPr>
          <w:rFonts w:hint="eastAsia" w:ascii="仿宋" w:hAnsi="仿宋" w:eastAsia="仿宋" w:cs="仿宋"/>
          <w:color w:val="auto"/>
          <w:sz w:val="24"/>
          <w:szCs w:val="24"/>
          <w:u w:val="single"/>
        </w:rPr>
        <w:t xml:space="preserve">                       （公章）   </w:t>
      </w:r>
    </w:p>
    <w:p w14:paraId="74B07ADC">
      <w:pP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eastAsia="zh-CN"/>
        </w:rPr>
        <w:t>或授权委托人</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w:t>
      </w:r>
    </w:p>
    <w:p w14:paraId="13861482">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36FE4851">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日期：   年   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日</w:t>
      </w:r>
    </w:p>
    <w:p w14:paraId="5818B9A1">
      <w:pPr>
        <w:pStyle w:val="9"/>
        <w:rPr>
          <w:rFonts w:hint="eastAsia"/>
          <w:color w:val="auto"/>
          <w:lang w:val="en-US" w:eastAsia="zh-CN"/>
        </w:rPr>
      </w:pPr>
    </w:p>
    <w:p w14:paraId="676C5EDB">
      <w:pPr>
        <w:pStyle w:val="9"/>
        <w:rPr>
          <w:rFonts w:hint="eastAsia"/>
          <w:color w:val="auto"/>
          <w:lang w:val="en-US" w:eastAsia="zh-CN"/>
        </w:rPr>
      </w:pPr>
    </w:p>
    <w:p w14:paraId="565C499F">
      <w:pPr>
        <w:pStyle w:val="9"/>
        <w:rPr>
          <w:rFonts w:hint="eastAsia"/>
          <w:color w:val="auto"/>
          <w:lang w:val="en-US" w:eastAsia="zh-CN"/>
        </w:rPr>
      </w:pPr>
    </w:p>
    <w:p w14:paraId="73B233C3">
      <w:pPr>
        <w:pStyle w:val="9"/>
        <w:rPr>
          <w:rFonts w:hint="eastAsia"/>
          <w:color w:val="auto"/>
          <w:lang w:val="en-US" w:eastAsia="zh-CN"/>
        </w:rPr>
      </w:pPr>
    </w:p>
    <w:p w14:paraId="40F09FB1">
      <w:pPr>
        <w:pStyle w:val="9"/>
        <w:rPr>
          <w:rFonts w:hint="eastAsia"/>
          <w:color w:val="auto"/>
          <w:lang w:val="en-US" w:eastAsia="zh-CN"/>
        </w:rPr>
      </w:pPr>
    </w:p>
    <w:p w14:paraId="1BEC6AF3">
      <w:pPr>
        <w:pStyle w:val="9"/>
        <w:rPr>
          <w:rFonts w:hint="eastAsia"/>
          <w:color w:val="auto"/>
          <w:lang w:val="en-US" w:eastAsia="zh-CN"/>
        </w:rPr>
      </w:pPr>
    </w:p>
    <w:p w14:paraId="1844234B">
      <w:pPr>
        <w:pStyle w:val="9"/>
        <w:rPr>
          <w:rFonts w:hint="eastAsia"/>
          <w:color w:val="auto"/>
          <w:lang w:val="en-US" w:eastAsia="zh-CN"/>
        </w:rPr>
      </w:pPr>
    </w:p>
    <w:p w14:paraId="5103FBAC">
      <w:pPr>
        <w:pStyle w:val="9"/>
        <w:rPr>
          <w:rFonts w:hint="eastAsia"/>
          <w:color w:val="auto"/>
          <w:lang w:val="en-US" w:eastAsia="zh-CN"/>
        </w:rPr>
      </w:pPr>
    </w:p>
    <w:p w14:paraId="0718D347">
      <w:pPr>
        <w:pStyle w:val="9"/>
        <w:rPr>
          <w:rFonts w:hint="eastAsia"/>
          <w:color w:val="auto"/>
          <w:lang w:val="en-US" w:eastAsia="zh-CN"/>
        </w:rPr>
      </w:pPr>
    </w:p>
    <w:p w14:paraId="7F569EC8">
      <w:pPr>
        <w:pStyle w:val="9"/>
        <w:rPr>
          <w:rFonts w:hint="eastAsia"/>
          <w:color w:val="auto"/>
          <w:lang w:val="en-US" w:eastAsia="zh-CN"/>
        </w:rPr>
      </w:pPr>
    </w:p>
    <w:p w14:paraId="09327340">
      <w:pPr>
        <w:pStyle w:val="9"/>
        <w:rPr>
          <w:rFonts w:hint="eastAsia"/>
          <w:color w:val="auto"/>
          <w:lang w:val="en-US" w:eastAsia="zh-CN"/>
        </w:rPr>
      </w:pPr>
    </w:p>
    <w:p w14:paraId="772AD263">
      <w:pPr>
        <w:pStyle w:val="9"/>
        <w:rPr>
          <w:rFonts w:hint="eastAsia"/>
          <w:color w:val="auto"/>
          <w:lang w:val="en-US" w:eastAsia="zh-CN"/>
        </w:rPr>
      </w:pPr>
    </w:p>
    <w:p w14:paraId="2BB53556">
      <w:pPr>
        <w:pStyle w:val="9"/>
        <w:rPr>
          <w:rFonts w:hint="eastAsia"/>
          <w:color w:val="auto"/>
          <w:lang w:val="en-US" w:eastAsia="zh-CN"/>
        </w:rPr>
      </w:pPr>
    </w:p>
    <w:p w14:paraId="30AD31A9">
      <w:pPr>
        <w:numPr>
          <w:ilvl w:val="0"/>
          <w:numId w:val="1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r>
        <w:rPr>
          <w:rFonts w:hint="eastAsia" w:ascii="仿宋" w:hAnsi="仿宋" w:eastAsia="仿宋" w:cs="仿宋"/>
          <w:b/>
          <w:bCs/>
          <w:color w:val="auto"/>
          <w:spacing w:val="0"/>
          <w:w w:val="90"/>
          <w:position w:val="0"/>
          <w:sz w:val="36"/>
          <w:szCs w:val="36"/>
          <w:lang w:val="en-US" w:eastAsia="zh-CN"/>
        </w:rPr>
        <w:t>供应商需提供无线电发射设备核准证承诺函</w:t>
      </w:r>
    </w:p>
    <w:p w14:paraId="19B1DE7B">
      <w:pPr>
        <w:numPr>
          <w:ilvl w:val="0"/>
          <w:numId w:val="0"/>
        </w:numPr>
        <w:shd w:val="clear" w:color="auto" w:fill="auto"/>
        <w:tabs>
          <w:tab w:val="left" w:pos="3600"/>
        </w:tabs>
        <w:adjustRightInd w:val="0"/>
        <w:snapToGrid w:val="0"/>
        <w:spacing w:line="440" w:lineRule="exact"/>
        <w:ind w:firstLine="1764" w:firstLineChars="700"/>
        <w:jc w:val="both"/>
        <w:rPr>
          <w:rFonts w:hint="eastAsia" w:ascii="仿宋" w:hAnsi="仿宋" w:eastAsia="仿宋" w:cs="仿宋"/>
          <w:b w:val="0"/>
          <w:bCs w:val="0"/>
          <w:color w:val="auto"/>
          <w:spacing w:val="0"/>
          <w:w w:val="90"/>
          <w:position w:val="0"/>
          <w:sz w:val="28"/>
          <w:szCs w:val="28"/>
          <w:lang w:val="en-US" w:eastAsia="zh-CN"/>
        </w:rPr>
      </w:pPr>
      <w:r>
        <w:rPr>
          <w:rFonts w:hint="eastAsia" w:ascii="仿宋" w:hAnsi="仿宋" w:eastAsia="仿宋" w:cs="仿宋"/>
          <w:b w:val="0"/>
          <w:bCs w:val="0"/>
          <w:color w:val="auto"/>
          <w:spacing w:val="0"/>
          <w:w w:val="90"/>
          <w:position w:val="0"/>
          <w:sz w:val="28"/>
          <w:szCs w:val="28"/>
          <w:lang w:val="en-US" w:eastAsia="zh-CN"/>
        </w:rPr>
        <w:t>由供应商负责人签字并加盖单位公章（格式自拟）</w:t>
      </w:r>
    </w:p>
    <w:p w14:paraId="35DFAFC6">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316EB4D0">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2A64F0D1">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318A99DB">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46C70CAA">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0D75F477">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4BB22766">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13407DFE">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519FA12A">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7B452F9E">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65087746">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3B241234">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4C14CBBE">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2074750F">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1FB59568">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6C967FDD">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406631E4">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72FDB4DE">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29017ECB">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161B8CE9">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69852160">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7BD07BEA">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35D3F96F">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129653D2">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33B0C82B">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13903257">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4760695B">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4BDD31ED">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1A015D0A">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p>
    <w:p w14:paraId="76AF9A77">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r>
        <w:rPr>
          <w:rFonts w:hint="eastAsia" w:ascii="仿宋" w:hAnsi="仿宋" w:eastAsia="仿宋" w:cs="仿宋"/>
          <w:b/>
          <w:bCs/>
          <w:color w:val="auto"/>
          <w:spacing w:val="0"/>
          <w:w w:val="90"/>
          <w:position w:val="0"/>
          <w:sz w:val="36"/>
          <w:szCs w:val="36"/>
          <w:lang w:val="en-US" w:eastAsia="zh-CN"/>
        </w:rPr>
        <w:t>14、投标产品的资料</w:t>
      </w:r>
    </w:p>
    <w:p w14:paraId="25CF1066">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（可附产品彩页或检测报告或投标货物合格的证明文件等）</w:t>
      </w:r>
    </w:p>
    <w:p w14:paraId="1D6138F1">
      <w:pPr>
        <w:pStyle w:val="10"/>
        <w:shd w:val="clear" w:color="auto" w:fill="auto"/>
        <w:tabs>
          <w:tab w:val="left" w:pos="5580"/>
        </w:tabs>
        <w:spacing w:line="240" w:lineRule="atLeast"/>
        <w:ind w:firstLine="1920" w:firstLineChars="800"/>
        <w:rPr>
          <w:rFonts w:hint="eastAsia" w:ascii="仿宋" w:hAnsi="仿宋" w:eastAsia="仿宋" w:cs="仿宋"/>
          <w:color w:val="auto"/>
          <w:sz w:val="24"/>
          <w:highlight w:val="none"/>
        </w:rPr>
      </w:pPr>
    </w:p>
    <w:p w14:paraId="2A7149E7">
      <w:pPr>
        <w:pStyle w:val="16"/>
        <w:rPr>
          <w:rFonts w:hint="eastAsia"/>
          <w:color w:val="auto"/>
        </w:rPr>
      </w:pPr>
    </w:p>
    <w:p w14:paraId="1B90475A">
      <w:pPr>
        <w:pStyle w:val="31"/>
        <w:keepNext/>
        <w:keepLines/>
        <w:spacing w:before="0" w:after="660"/>
        <w:ind w:firstLine="420"/>
        <w:rPr>
          <w:rFonts w:hint="eastAsia" w:ascii="仿宋" w:hAnsi="仿宋" w:eastAsia="仿宋" w:cs="仿宋"/>
          <w:color w:val="auto"/>
          <w:lang w:eastAsia="zh-CN"/>
        </w:rPr>
      </w:pPr>
    </w:p>
    <w:p w14:paraId="6FAE8872">
      <w:pPr>
        <w:pStyle w:val="31"/>
        <w:keepNext/>
        <w:keepLines/>
        <w:spacing w:before="0" w:after="660"/>
        <w:ind w:firstLine="420"/>
        <w:rPr>
          <w:rFonts w:hint="eastAsia" w:ascii="仿宋" w:hAnsi="仿宋" w:eastAsia="仿宋" w:cs="仿宋"/>
          <w:color w:val="auto"/>
          <w:lang w:eastAsia="zh-CN"/>
        </w:rPr>
      </w:pPr>
    </w:p>
    <w:p w14:paraId="193D25AD">
      <w:pPr>
        <w:pStyle w:val="31"/>
        <w:keepNext/>
        <w:keepLines/>
        <w:spacing w:before="0" w:after="660"/>
        <w:ind w:firstLine="420"/>
        <w:rPr>
          <w:rFonts w:hint="eastAsia" w:ascii="仿宋" w:hAnsi="仿宋" w:eastAsia="仿宋" w:cs="仿宋"/>
          <w:color w:val="auto"/>
          <w:lang w:eastAsia="zh-CN"/>
        </w:rPr>
      </w:pPr>
    </w:p>
    <w:bookmarkEnd w:id="82"/>
    <w:bookmarkEnd w:id="83"/>
    <w:bookmarkEnd w:id="84"/>
    <w:bookmarkEnd w:id="85"/>
    <w:bookmarkEnd w:id="86"/>
    <w:bookmarkEnd w:id="87"/>
    <w:bookmarkEnd w:id="88"/>
    <w:p w14:paraId="7C8830B7">
      <w:pPr>
        <w:pStyle w:val="33"/>
        <w:tabs>
          <w:tab w:val="left" w:pos="826"/>
        </w:tabs>
        <w:spacing w:line="470" w:lineRule="exact"/>
        <w:ind w:firstLine="0"/>
        <w:jc w:val="both"/>
        <w:rPr>
          <w:rFonts w:ascii="仿宋" w:hAnsi="仿宋" w:eastAsia="仿宋" w:cs="仿宋"/>
          <w:color w:val="auto"/>
          <w:sz w:val="21"/>
          <w:szCs w:val="21"/>
        </w:rPr>
      </w:pPr>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
    <w:altName w:val="宋体"/>
    <w:panose1 w:val="00000000000000000000"/>
    <w:charset w:val="86"/>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1AABF">
    <w:pPr>
      <w:pStyle w:val="12"/>
      <w:ind w:right="360"/>
      <w:jc w:val="both"/>
    </w:pPr>
    <w:r>
      <w:rPr>
        <w:rFonts w:hint="eastAsia"/>
        <w:sz w:val="13"/>
        <w:szCs w:val="13"/>
      </w:rPr>
      <w:t xml:space="preserve"> </w:t>
    </w:r>
    <w:r>
      <w:rPr>
        <w:rFonts w:hint="eastAsia"/>
      </w:rPr>
      <w:t xml:space="preserve">  </w:t>
    </w:r>
  </w:p>
  <w:p w14:paraId="21ECEECF">
    <w:pPr>
      <w:pStyle w:val="12"/>
      <w:tabs>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D165">
    <w:pPr>
      <w:pStyle w:val="12"/>
      <w:ind w:right="360"/>
      <w:jc w:val="both"/>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91A5C">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0091A5C">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p>
  <w:p w14:paraId="66D0E29B">
    <w:pPr>
      <w:pStyle w:val="12"/>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1198C">
    <w:pPr>
      <w:pStyle w:val="12"/>
      <w:ind w:right="360"/>
      <w:jc w:val="both"/>
    </w:pPr>
    <w:r>
      <w:rPr>
        <w:sz w:val="24"/>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94E348">
                          <w:pPr>
                            <w:pStyle w:val="12"/>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7smsbIAQAAnQMAAA4AAAAAAAAAAQAgAAAAHgEAAGRycy9lMm9Eb2Mu&#10;eG1sUEsFBgAAAAAGAAYAWQEAAFgFAAAAAA==&#10;">
              <v:fill on="f" focussize="0,0"/>
              <v:stroke on="f"/>
              <v:imagedata o:title=""/>
              <o:lock v:ext="edit" aspectratio="f"/>
              <v:textbox inset="0mm,0mm,0mm,0mm" style="mso-fit-shape-to-text:t;">
                <w:txbxContent>
                  <w:p w14:paraId="1D94E348">
                    <w:pPr>
                      <w:pStyle w:val="12"/>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55260DEB">
    <w:pPr>
      <w:pStyle w:val="12"/>
      <w:autoSpaceDE w:val="0"/>
      <w:autoSpaceDN w:val="0"/>
      <w:adjustRightInd w:val="0"/>
      <w:ind w:left="7200" w:hanging="7200" w:hangingChars="4000"/>
      <w:jc w:val="both"/>
    </w:pPr>
  </w:p>
  <w:p w14:paraId="0FECFD7F">
    <w:pPr>
      <w:pStyle w:val="1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9D53B">
    <w:pPr>
      <w:pStyle w:val="12"/>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07A8D0E">
                          <w:pPr>
                            <w:pStyle w:val="12"/>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2peGXEAQAAiAMAAA4AAABkcnMvZTJvRG9jLnhtbK1TzY7TMBC+I/EO&#10;lu80aUG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xN+Y4m74SlmV9+fL/8/H35&#10;9Y0tXyeL+oAVvbwPdzBlSGHSO7Rg0y8pYUO29Xy1VQ2RSbpcrlfrdUmOS6rNCeEUj38PgPGD8pal&#10;oOZAc8t2itMnjOPT+UnqZlw6nb/VxozVdFMkmiOxFMVhP0xs9745k8ye5lxzR2vNmfnoyMa0EnMA&#10;c7Cfg2MAfeiIzzKTwfD+GKlnJpQ6jLBTYxpQljQtU9qAv/P86vED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2peGXEAQAAiAMAAA4AAAAAAAAAAQAgAAAAHwEAAGRycy9lMm9Eb2MueG1s&#10;UEsFBgAAAAAGAAYAWQEAAFUFAAAAAA==&#10;">
              <v:fill on="f" focussize="0,0"/>
              <v:stroke on="f"/>
              <v:imagedata o:title=""/>
              <o:lock v:ext="edit" aspectratio="f"/>
              <v:textbox inset="0mm,0mm,0mm,0mm" style="mso-fit-shape-to-text:t;">
                <w:txbxContent>
                  <w:p w14:paraId="307A8D0E">
                    <w:pPr>
                      <w:pStyle w:val="12"/>
                    </w:pPr>
                    <w:r>
                      <w:fldChar w:fldCharType="begin"/>
                    </w:r>
                    <w:r>
                      <w:instrText xml:space="preserve"> PAGE  \* MERGEFORMAT </w:instrText>
                    </w:r>
                    <w:r>
                      <w:fldChar w:fldCharType="separate"/>
                    </w:r>
                    <w:r>
                      <w:t>55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56872"/>
    <w:multiLevelType w:val="singleLevel"/>
    <w:tmpl w:val="A0256872"/>
    <w:lvl w:ilvl="0" w:tentative="0">
      <w:start w:val="13"/>
      <w:numFmt w:val="decimal"/>
      <w:suff w:val="nothing"/>
      <w:lvlText w:val="%1、"/>
      <w:lvlJc w:val="left"/>
    </w:lvl>
  </w:abstractNum>
  <w:abstractNum w:abstractNumId="1">
    <w:nsid w:val="CF0DAD01"/>
    <w:multiLevelType w:val="singleLevel"/>
    <w:tmpl w:val="CF0DAD01"/>
    <w:lvl w:ilvl="0" w:tentative="0">
      <w:start w:val="1"/>
      <w:numFmt w:val="decimal"/>
      <w:suff w:val="space"/>
      <w:lvlText w:val="%1."/>
      <w:lvlJc w:val="left"/>
    </w:lvl>
  </w:abstractNum>
  <w:abstractNum w:abstractNumId="2">
    <w:nsid w:val="00000002"/>
    <w:multiLevelType w:val="multilevel"/>
    <w:tmpl w:val="00000002"/>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00000005"/>
    <w:multiLevelType w:val="singleLevel"/>
    <w:tmpl w:val="00000005"/>
    <w:lvl w:ilvl="0" w:tentative="0">
      <w:start w:val="1"/>
      <w:numFmt w:val="decimal"/>
      <w:suff w:val="nothing"/>
      <w:lvlText w:val="%1、"/>
      <w:lvlJc w:val="left"/>
    </w:lvl>
  </w:abstractNum>
  <w:abstractNum w:abstractNumId="4">
    <w:nsid w:val="0053208E"/>
    <w:multiLevelType w:val="multilevel"/>
    <w:tmpl w:val="0053208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18734CA6"/>
    <w:multiLevelType w:val="singleLevel"/>
    <w:tmpl w:val="18734CA6"/>
    <w:lvl w:ilvl="0" w:tentative="0">
      <w:start w:val="2"/>
      <w:numFmt w:val="chineseCounting"/>
      <w:suff w:val="nothing"/>
      <w:lvlText w:val="%1、"/>
      <w:lvlJc w:val="left"/>
      <w:rPr>
        <w:rFonts w:hint="eastAsia"/>
      </w:r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9">
    <w:nsid w:val="78DB85BA"/>
    <w:multiLevelType w:val="singleLevel"/>
    <w:tmpl w:val="78DB85BA"/>
    <w:lvl w:ilvl="0" w:tentative="0">
      <w:start w:val="1"/>
      <w:numFmt w:val="decimal"/>
      <w:suff w:val="nothing"/>
      <w:lvlText w:val="%1、"/>
      <w:lvlJc w:val="left"/>
    </w:lvl>
  </w:abstractNum>
  <w:num w:numId="1">
    <w:abstractNumId w:val="2"/>
  </w:num>
  <w:num w:numId="2">
    <w:abstractNumId w:val="6"/>
  </w:num>
  <w:num w:numId="3">
    <w:abstractNumId w:val="9"/>
  </w:num>
  <w:num w:numId="4">
    <w:abstractNumId w:val="7"/>
  </w:num>
  <w:num w:numId="5">
    <w:abstractNumId w:val="5"/>
  </w:num>
  <w:num w:numId="6">
    <w:abstractNumId w:val="8"/>
  </w:num>
  <w:num w:numId="7">
    <w:abstractNumId w:val="4"/>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00000000"/>
    <w:rsid w:val="00D40EB3"/>
    <w:rsid w:val="0191561C"/>
    <w:rsid w:val="01CA3E5B"/>
    <w:rsid w:val="01D05086"/>
    <w:rsid w:val="01E11105"/>
    <w:rsid w:val="01E7687A"/>
    <w:rsid w:val="01F42D45"/>
    <w:rsid w:val="02056D00"/>
    <w:rsid w:val="020E7E2D"/>
    <w:rsid w:val="027A2746"/>
    <w:rsid w:val="029E31A0"/>
    <w:rsid w:val="02A76009"/>
    <w:rsid w:val="03974727"/>
    <w:rsid w:val="03C965AB"/>
    <w:rsid w:val="04161698"/>
    <w:rsid w:val="043438CC"/>
    <w:rsid w:val="044840D2"/>
    <w:rsid w:val="04A723C3"/>
    <w:rsid w:val="04D330E5"/>
    <w:rsid w:val="04EF7CD6"/>
    <w:rsid w:val="056106F1"/>
    <w:rsid w:val="05752DD3"/>
    <w:rsid w:val="05AC4062"/>
    <w:rsid w:val="05F57D7F"/>
    <w:rsid w:val="05FB49D3"/>
    <w:rsid w:val="060C2D53"/>
    <w:rsid w:val="068F0272"/>
    <w:rsid w:val="06E15B1B"/>
    <w:rsid w:val="0797489E"/>
    <w:rsid w:val="07D478A0"/>
    <w:rsid w:val="07EA2C20"/>
    <w:rsid w:val="080A722E"/>
    <w:rsid w:val="08D00067"/>
    <w:rsid w:val="09512ED0"/>
    <w:rsid w:val="09A83F84"/>
    <w:rsid w:val="09AC0935"/>
    <w:rsid w:val="09AC2863"/>
    <w:rsid w:val="09AC3A55"/>
    <w:rsid w:val="09EB2C7F"/>
    <w:rsid w:val="0A0846B1"/>
    <w:rsid w:val="0A326B00"/>
    <w:rsid w:val="0A726EFC"/>
    <w:rsid w:val="0A8C7E00"/>
    <w:rsid w:val="0A9C5EC4"/>
    <w:rsid w:val="0AB1732A"/>
    <w:rsid w:val="0AD100C7"/>
    <w:rsid w:val="0B0B68A5"/>
    <w:rsid w:val="0B316DB7"/>
    <w:rsid w:val="0B3F623F"/>
    <w:rsid w:val="0B495EAF"/>
    <w:rsid w:val="0B764BEB"/>
    <w:rsid w:val="0B9F6417"/>
    <w:rsid w:val="0C1F7B9B"/>
    <w:rsid w:val="0C711B61"/>
    <w:rsid w:val="0C7358DA"/>
    <w:rsid w:val="0C7A57C2"/>
    <w:rsid w:val="0C9F4668"/>
    <w:rsid w:val="0CAF4A89"/>
    <w:rsid w:val="0CC9374C"/>
    <w:rsid w:val="0CF112EE"/>
    <w:rsid w:val="0D0B5B12"/>
    <w:rsid w:val="0D0F6754"/>
    <w:rsid w:val="0D1150F2"/>
    <w:rsid w:val="0D330BC5"/>
    <w:rsid w:val="0DA707F0"/>
    <w:rsid w:val="0E0236FD"/>
    <w:rsid w:val="0E2808EC"/>
    <w:rsid w:val="0E3E1F17"/>
    <w:rsid w:val="0E8611C8"/>
    <w:rsid w:val="0E8C4A31"/>
    <w:rsid w:val="0EF573E6"/>
    <w:rsid w:val="0F4A278B"/>
    <w:rsid w:val="0F781459"/>
    <w:rsid w:val="0FD15502"/>
    <w:rsid w:val="0FE94879"/>
    <w:rsid w:val="101C490B"/>
    <w:rsid w:val="102B09F1"/>
    <w:rsid w:val="116D4675"/>
    <w:rsid w:val="11E2580B"/>
    <w:rsid w:val="131E4EDF"/>
    <w:rsid w:val="13344DBE"/>
    <w:rsid w:val="13D27439"/>
    <w:rsid w:val="13F54E26"/>
    <w:rsid w:val="143F2238"/>
    <w:rsid w:val="144638D4"/>
    <w:rsid w:val="14FE41AE"/>
    <w:rsid w:val="150C68CB"/>
    <w:rsid w:val="15C2342E"/>
    <w:rsid w:val="16AE5760"/>
    <w:rsid w:val="17293BB5"/>
    <w:rsid w:val="17523426"/>
    <w:rsid w:val="17694FAD"/>
    <w:rsid w:val="17DA3127"/>
    <w:rsid w:val="17E04193"/>
    <w:rsid w:val="17E551B2"/>
    <w:rsid w:val="18341AE3"/>
    <w:rsid w:val="183D5A32"/>
    <w:rsid w:val="185C63A1"/>
    <w:rsid w:val="187C3D68"/>
    <w:rsid w:val="187D363C"/>
    <w:rsid w:val="1891512D"/>
    <w:rsid w:val="18E331A1"/>
    <w:rsid w:val="191537AE"/>
    <w:rsid w:val="192026BA"/>
    <w:rsid w:val="19CE171F"/>
    <w:rsid w:val="19F34730"/>
    <w:rsid w:val="19FE7E90"/>
    <w:rsid w:val="1A096935"/>
    <w:rsid w:val="1A3A5AFF"/>
    <w:rsid w:val="1A7440F1"/>
    <w:rsid w:val="1AAE1C88"/>
    <w:rsid w:val="1AFB4833"/>
    <w:rsid w:val="1B1276BE"/>
    <w:rsid w:val="1B457B59"/>
    <w:rsid w:val="1CBD494F"/>
    <w:rsid w:val="1CC01D49"/>
    <w:rsid w:val="1CCC06EE"/>
    <w:rsid w:val="1D945258"/>
    <w:rsid w:val="1DA24483"/>
    <w:rsid w:val="1DFC3255"/>
    <w:rsid w:val="1E165F1B"/>
    <w:rsid w:val="1E185388"/>
    <w:rsid w:val="1E1C4AB8"/>
    <w:rsid w:val="1E292979"/>
    <w:rsid w:val="1E3649B9"/>
    <w:rsid w:val="1F3366D2"/>
    <w:rsid w:val="1F81793D"/>
    <w:rsid w:val="20452C91"/>
    <w:rsid w:val="207862A8"/>
    <w:rsid w:val="20CF69FF"/>
    <w:rsid w:val="21091F11"/>
    <w:rsid w:val="21487F61"/>
    <w:rsid w:val="21873877"/>
    <w:rsid w:val="21AE23B4"/>
    <w:rsid w:val="21C81E3F"/>
    <w:rsid w:val="21D3134C"/>
    <w:rsid w:val="2220631A"/>
    <w:rsid w:val="226A4C31"/>
    <w:rsid w:val="22D67E6E"/>
    <w:rsid w:val="23734891"/>
    <w:rsid w:val="23C91E2B"/>
    <w:rsid w:val="23E7405F"/>
    <w:rsid w:val="23FF584D"/>
    <w:rsid w:val="248069F2"/>
    <w:rsid w:val="24BE74B6"/>
    <w:rsid w:val="26720628"/>
    <w:rsid w:val="26D20FF7"/>
    <w:rsid w:val="26D5760B"/>
    <w:rsid w:val="2700342C"/>
    <w:rsid w:val="27D84E00"/>
    <w:rsid w:val="281C407C"/>
    <w:rsid w:val="281D2D4A"/>
    <w:rsid w:val="28645A9F"/>
    <w:rsid w:val="289B1FDE"/>
    <w:rsid w:val="29311D6D"/>
    <w:rsid w:val="29BF147D"/>
    <w:rsid w:val="29FB0865"/>
    <w:rsid w:val="2A69689A"/>
    <w:rsid w:val="2ACC3B13"/>
    <w:rsid w:val="2AFE685E"/>
    <w:rsid w:val="2B5C2990"/>
    <w:rsid w:val="2B6B53EC"/>
    <w:rsid w:val="2BF660B0"/>
    <w:rsid w:val="2BFF450D"/>
    <w:rsid w:val="2C0B0713"/>
    <w:rsid w:val="2C0E487F"/>
    <w:rsid w:val="2C1C6E6B"/>
    <w:rsid w:val="2C567FD4"/>
    <w:rsid w:val="2C911A8E"/>
    <w:rsid w:val="2C9C659D"/>
    <w:rsid w:val="2DEE438F"/>
    <w:rsid w:val="2E617D80"/>
    <w:rsid w:val="2E843394"/>
    <w:rsid w:val="2F3E0D5E"/>
    <w:rsid w:val="2F8A6913"/>
    <w:rsid w:val="2F943416"/>
    <w:rsid w:val="2FF65D56"/>
    <w:rsid w:val="30791D02"/>
    <w:rsid w:val="30803872"/>
    <w:rsid w:val="30FE61C5"/>
    <w:rsid w:val="31286B60"/>
    <w:rsid w:val="31351FE3"/>
    <w:rsid w:val="31364100"/>
    <w:rsid w:val="315B7E7B"/>
    <w:rsid w:val="31DE2F46"/>
    <w:rsid w:val="31E74F0A"/>
    <w:rsid w:val="32333292"/>
    <w:rsid w:val="32827E81"/>
    <w:rsid w:val="329950BE"/>
    <w:rsid w:val="32B51EF8"/>
    <w:rsid w:val="32E06876"/>
    <w:rsid w:val="33122963"/>
    <w:rsid w:val="333713EB"/>
    <w:rsid w:val="33490893"/>
    <w:rsid w:val="33741738"/>
    <w:rsid w:val="33A749A4"/>
    <w:rsid w:val="342C646D"/>
    <w:rsid w:val="345968B4"/>
    <w:rsid w:val="346E0FD9"/>
    <w:rsid w:val="34BA48F9"/>
    <w:rsid w:val="35505F08"/>
    <w:rsid w:val="355E3F2C"/>
    <w:rsid w:val="3583421E"/>
    <w:rsid w:val="35BD0A9B"/>
    <w:rsid w:val="362478F0"/>
    <w:rsid w:val="363F64CA"/>
    <w:rsid w:val="369633D1"/>
    <w:rsid w:val="37440F75"/>
    <w:rsid w:val="37702EFF"/>
    <w:rsid w:val="3911775D"/>
    <w:rsid w:val="39606B90"/>
    <w:rsid w:val="398E0DAD"/>
    <w:rsid w:val="39924D42"/>
    <w:rsid w:val="3A443B62"/>
    <w:rsid w:val="3AAC6550"/>
    <w:rsid w:val="3AC0768C"/>
    <w:rsid w:val="3AC85F81"/>
    <w:rsid w:val="3B4A6339"/>
    <w:rsid w:val="3BE611A9"/>
    <w:rsid w:val="3C776471"/>
    <w:rsid w:val="3C9B3F0D"/>
    <w:rsid w:val="3D2008B6"/>
    <w:rsid w:val="3DD22D57"/>
    <w:rsid w:val="3E2D0EBA"/>
    <w:rsid w:val="3E422C21"/>
    <w:rsid w:val="3E7F4B3A"/>
    <w:rsid w:val="3E895FE7"/>
    <w:rsid w:val="3ECC33F5"/>
    <w:rsid w:val="3ED7121B"/>
    <w:rsid w:val="3ED83F34"/>
    <w:rsid w:val="3F5A3E02"/>
    <w:rsid w:val="3F66404B"/>
    <w:rsid w:val="3F6D3FE3"/>
    <w:rsid w:val="3F770A3D"/>
    <w:rsid w:val="3F7B399C"/>
    <w:rsid w:val="3F9F2C8E"/>
    <w:rsid w:val="40695A92"/>
    <w:rsid w:val="409F16F7"/>
    <w:rsid w:val="40D448F7"/>
    <w:rsid w:val="40DC06EC"/>
    <w:rsid w:val="41131200"/>
    <w:rsid w:val="418F1B67"/>
    <w:rsid w:val="41923405"/>
    <w:rsid w:val="42610D54"/>
    <w:rsid w:val="42721888"/>
    <w:rsid w:val="42CD6DEA"/>
    <w:rsid w:val="42EC15FD"/>
    <w:rsid w:val="431F41FE"/>
    <w:rsid w:val="43326C4D"/>
    <w:rsid w:val="434F10A4"/>
    <w:rsid w:val="43A85162"/>
    <w:rsid w:val="43C875B2"/>
    <w:rsid w:val="43F959BD"/>
    <w:rsid w:val="43FC45D9"/>
    <w:rsid w:val="44A8256D"/>
    <w:rsid w:val="45407508"/>
    <w:rsid w:val="454A2974"/>
    <w:rsid w:val="45600A2B"/>
    <w:rsid w:val="45915C44"/>
    <w:rsid w:val="459C7A87"/>
    <w:rsid w:val="45DD7062"/>
    <w:rsid w:val="45E56E7F"/>
    <w:rsid w:val="46A379E2"/>
    <w:rsid w:val="4710374A"/>
    <w:rsid w:val="476F5AB7"/>
    <w:rsid w:val="47C50B6E"/>
    <w:rsid w:val="47C84024"/>
    <w:rsid w:val="47EE6C37"/>
    <w:rsid w:val="483B3667"/>
    <w:rsid w:val="48DD6D65"/>
    <w:rsid w:val="4960095D"/>
    <w:rsid w:val="49D40A5E"/>
    <w:rsid w:val="4A2979F0"/>
    <w:rsid w:val="4AA95520"/>
    <w:rsid w:val="4BCE14DD"/>
    <w:rsid w:val="4BD60E43"/>
    <w:rsid w:val="4C023DEB"/>
    <w:rsid w:val="4C806D43"/>
    <w:rsid w:val="4C8D40F3"/>
    <w:rsid w:val="4C9D50C7"/>
    <w:rsid w:val="4CD81191"/>
    <w:rsid w:val="4D2E0486"/>
    <w:rsid w:val="4D752558"/>
    <w:rsid w:val="4E965070"/>
    <w:rsid w:val="4EA36C51"/>
    <w:rsid w:val="4EC56BC8"/>
    <w:rsid w:val="4F247D92"/>
    <w:rsid w:val="4FAF382B"/>
    <w:rsid w:val="4FDE3E71"/>
    <w:rsid w:val="500A28C8"/>
    <w:rsid w:val="5014124E"/>
    <w:rsid w:val="50B66BD2"/>
    <w:rsid w:val="50E83E99"/>
    <w:rsid w:val="51E61378"/>
    <w:rsid w:val="520D76AB"/>
    <w:rsid w:val="527252B8"/>
    <w:rsid w:val="52865645"/>
    <w:rsid w:val="52BA3ED8"/>
    <w:rsid w:val="52E2243E"/>
    <w:rsid w:val="52F42039"/>
    <w:rsid w:val="52FB3500"/>
    <w:rsid w:val="53013525"/>
    <w:rsid w:val="53057EDB"/>
    <w:rsid w:val="536057B9"/>
    <w:rsid w:val="53670B95"/>
    <w:rsid w:val="53AC5B59"/>
    <w:rsid w:val="5470465A"/>
    <w:rsid w:val="549F7EBB"/>
    <w:rsid w:val="54CB3595"/>
    <w:rsid w:val="556C782F"/>
    <w:rsid w:val="55865260"/>
    <w:rsid w:val="559B68D4"/>
    <w:rsid w:val="55A25EB5"/>
    <w:rsid w:val="55AB0460"/>
    <w:rsid w:val="55B347D2"/>
    <w:rsid w:val="5663290D"/>
    <w:rsid w:val="56682C5A"/>
    <w:rsid w:val="5671560B"/>
    <w:rsid w:val="56E1672E"/>
    <w:rsid w:val="570441D3"/>
    <w:rsid w:val="57362D58"/>
    <w:rsid w:val="579C48DF"/>
    <w:rsid w:val="57AC6B77"/>
    <w:rsid w:val="57FB5D50"/>
    <w:rsid w:val="58247055"/>
    <w:rsid w:val="58312464"/>
    <w:rsid w:val="583A1618"/>
    <w:rsid w:val="58736811"/>
    <w:rsid w:val="58E24B57"/>
    <w:rsid w:val="58F85895"/>
    <w:rsid w:val="59164AA0"/>
    <w:rsid w:val="596E4FD4"/>
    <w:rsid w:val="5980650D"/>
    <w:rsid w:val="5A8B7D9A"/>
    <w:rsid w:val="5AA71080"/>
    <w:rsid w:val="5C0010B2"/>
    <w:rsid w:val="5C780CE4"/>
    <w:rsid w:val="5C7A5495"/>
    <w:rsid w:val="5CD462E6"/>
    <w:rsid w:val="5CE0036A"/>
    <w:rsid w:val="5CF35248"/>
    <w:rsid w:val="5D814602"/>
    <w:rsid w:val="5DB97606"/>
    <w:rsid w:val="5DBA6982"/>
    <w:rsid w:val="5DBB165A"/>
    <w:rsid w:val="5DC54075"/>
    <w:rsid w:val="5DC8431D"/>
    <w:rsid w:val="5DE0720E"/>
    <w:rsid w:val="5DF75002"/>
    <w:rsid w:val="5E005E6E"/>
    <w:rsid w:val="5E0B1BB0"/>
    <w:rsid w:val="5E8B1E4C"/>
    <w:rsid w:val="5EB870AD"/>
    <w:rsid w:val="5F6412E9"/>
    <w:rsid w:val="5FED789E"/>
    <w:rsid w:val="60326087"/>
    <w:rsid w:val="61572249"/>
    <w:rsid w:val="61B7506F"/>
    <w:rsid w:val="61B973DC"/>
    <w:rsid w:val="62665463"/>
    <w:rsid w:val="627770C5"/>
    <w:rsid w:val="62797F9D"/>
    <w:rsid w:val="627D19E2"/>
    <w:rsid w:val="632F0508"/>
    <w:rsid w:val="63710918"/>
    <w:rsid w:val="63C12D2A"/>
    <w:rsid w:val="63E62A2C"/>
    <w:rsid w:val="642777BB"/>
    <w:rsid w:val="6477427D"/>
    <w:rsid w:val="65221B38"/>
    <w:rsid w:val="659F41BF"/>
    <w:rsid w:val="65A03EDF"/>
    <w:rsid w:val="660277C8"/>
    <w:rsid w:val="662B2963"/>
    <w:rsid w:val="662B7800"/>
    <w:rsid w:val="66497958"/>
    <w:rsid w:val="664B6667"/>
    <w:rsid w:val="664F7993"/>
    <w:rsid w:val="66703465"/>
    <w:rsid w:val="669D6792"/>
    <w:rsid w:val="66C01DCB"/>
    <w:rsid w:val="66C578C8"/>
    <w:rsid w:val="671E7906"/>
    <w:rsid w:val="6738057B"/>
    <w:rsid w:val="67791813"/>
    <w:rsid w:val="678371C8"/>
    <w:rsid w:val="67D77961"/>
    <w:rsid w:val="68727968"/>
    <w:rsid w:val="6898557E"/>
    <w:rsid w:val="68D03D0D"/>
    <w:rsid w:val="69B67D29"/>
    <w:rsid w:val="69D34437"/>
    <w:rsid w:val="6A042842"/>
    <w:rsid w:val="6B0C3AD5"/>
    <w:rsid w:val="6B14065E"/>
    <w:rsid w:val="6B260BC5"/>
    <w:rsid w:val="6BA312EE"/>
    <w:rsid w:val="6BAD0860"/>
    <w:rsid w:val="6BE315AB"/>
    <w:rsid w:val="6BF16E19"/>
    <w:rsid w:val="6C2B5ACD"/>
    <w:rsid w:val="6C786B34"/>
    <w:rsid w:val="6C904861"/>
    <w:rsid w:val="6C97799E"/>
    <w:rsid w:val="6D2532C1"/>
    <w:rsid w:val="6D390A55"/>
    <w:rsid w:val="6DB602F7"/>
    <w:rsid w:val="6DC90575"/>
    <w:rsid w:val="6E2B0D75"/>
    <w:rsid w:val="6E7673CB"/>
    <w:rsid w:val="6E77698D"/>
    <w:rsid w:val="6E887E90"/>
    <w:rsid w:val="6E9C6986"/>
    <w:rsid w:val="6F04686C"/>
    <w:rsid w:val="6F094457"/>
    <w:rsid w:val="6F3265EA"/>
    <w:rsid w:val="6F51652A"/>
    <w:rsid w:val="6FCF56A0"/>
    <w:rsid w:val="702C6118"/>
    <w:rsid w:val="70492241"/>
    <w:rsid w:val="7075449A"/>
    <w:rsid w:val="709E041A"/>
    <w:rsid w:val="70D50190"/>
    <w:rsid w:val="713E5D8E"/>
    <w:rsid w:val="71640AAD"/>
    <w:rsid w:val="719C1CF7"/>
    <w:rsid w:val="71C34D91"/>
    <w:rsid w:val="71DE3BF6"/>
    <w:rsid w:val="72181581"/>
    <w:rsid w:val="72532D9D"/>
    <w:rsid w:val="72785B7B"/>
    <w:rsid w:val="72936E59"/>
    <w:rsid w:val="72CC4119"/>
    <w:rsid w:val="72DC25AE"/>
    <w:rsid w:val="72EE408F"/>
    <w:rsid w:val="72F661DA"/>
    <w:rsid w:val="732D11A2"/>
    <w:rsid w:val="73D55FAF"/>
    <w:rsid w:val="74115595"/>
    <w:rsid w:val="74620891"/>
    <w:rsid w:val="748A4FD8"/>
    <w:rsid w:val="74D55507"/>
    <w:rsid w:val="74DD7046"/>
    <w:rsid w:val="750A13FE"/>
    <w:rsid w:val="751E7FE6"/>
    <w:rsid w:val="7530098F"/>
    <w:rsid w:val="75D532E5"/>
    <w:rsid w:val="75DC28C5"/>
    <w:rsid w:val="760E532F"/>
    <w:rsid w:val="7635213A"/>
    <w:rsid w:val="76650B0D"/>
    <w:rsid w:val="76C9109B"/>
    <w:rsid w:val="76F63E01"/>
    <w:rsid w:val="774D3A7A"/>
    <w:rsid w:val="777872CE"/>
    <w:rsid w:val="77EE52A6"/>
    <w:rsid w:val="785E4C0A"/>
    <w:rsid w:val="798A66B0"/>
    <w:rsid w:val="79EE7DC9"/>
    <w:rsid w:val="7A1E0FD8"/>
    <w:rsid w:val="7A2D3456"/>
    <w:rsid w:val="7A4A42A1"/>
    <w:rsid w:val="7A5A3B08"/>
    <w:rsid w:val="7A97500D"/>
    <w:rsid w:val="7B6F464A"/>
    <w:rsid w:val="7B7610C6"/>
    <w:rsid w:val="7B7E5375"/>
    <w:rsid w:val="7C001F2C"/>
    <w:rsid w:val="7C0B7A60"/>
    <w:rsid w:val="7C4411C4"/>
    <w:rsid w:val="7CEB0AB6"/>
    <w:rsid w:val="7CEF1130"/>
    <w:rsid w:val="7D0A7D18"/>
    <w:rsid w:val="7D284642"/>
    <w:rsid w:val="7DB30522"/>
    <w:rsid w:val="7E2A4812"/>
    <w:rsid w:val="7E5B6E67"/>
    <w:rsid w:val="7E6E724A"/>
    <w:rsid w:val="7E704A33"/>
    <w:rsid w:val="7E8D0C00"/>
    <w:rsid w:val="7F9E0BEB"/>
    <w:rsid w:val="7FEC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pPr>
    <w:rPr>
      <w:rFonts w:ascii="宋体"/>
      <w:szCs w:val="20"/>
    </w:rPr>
  </w:style>
  <w:style w:type="paragraph" w:styleId="6">
    <w:name w:val="toa heading"/>
    <w:basedOn w:val="1"/>
    <w:next w:val="1"/>
    <w:qFormat/>
    <w:uiPriority w:val="0"/>
    <w:pPr>
      <w:spacing w:before="120"/>
    </w:pPr>
    <w:rPr>
      <w:rFonts w:ascii="Cambria" w:hAnsi="Cambria"/>
      <w:szCs w:val="20"/>
    </w:rPr>
  </w:style>
  <w:style w:type="paragraph" w:styleId="7">
    <w:name w:val="Body Text"/>
    <w:basedOn w:val="1"/>
    <w:qFormat/>
    <w:uiPriority w:val="99"/>
    <w:pPr>
      <w:numPr>
        <w:ilvl w:val="0"/>
        <w:numId w:val="1"/>
      </w:numPr>
    </w:pPr>
    <w:rPr>
      <w:rFonts w:ascii="黑体" w:eastAsia="黑体"/>
      <w:sz w:val="22"/>
    </w:rPr>
  </w:style>
  <w:style w:type="paragraph" w:styleId="8">
    <w:name w:val="Body Text Indent"/>
    <w:basedOn w:val="1"/>
    <w:next w:val="9"/>
    <w:qFormat/>
    <w:uiPriority w:val="0"/>
    <w:pPr>
      <w:spacing w:after="120"/>
      <w:ind w:left="200" w:leftChars="200"/>
    </w:pPr>
  </w:style>
  <w:style w:type="paragraph" w:styleId="9">
    <w:name w:val="Body Text First Indent 2"/>
    <w:basedOn w:val="8"/>
    <w:next w:val="5"/>
    <w:qFormat/>
    <w:uiPriority w:val="0"/>
    <w:pPr>
      <w:ind w:firstLine="420" w:firstLineChars="200"/>
    </w:pPr>
  </w:style>
  <w:style w:type="paragraph" w:styleId="10">
    <w:name w:val="Plain Text"/>
    <w:basedOn w:val="1"/>
    <w:qFormat/>
    <w:uiPriority w:val="0"/>
    <w:rPr>
      <w:rFonts w:ascii="宋体"/>
      <w:color w:val="000000"/>
      <w:szCs w:val="20"/>
      <w:u w:val="none" w:color="000000"/>
    </w:rPr>
  </w:style>
  <w:style w:type="paragraph" w:styleId="11">
    <w:name w:val="Date"/>
    <w:basedOn w:val="1"/>
    <w:next w:val="1"/>
    <w:qFormat/>
    <w:uiPriority w:val="0"/>
    <w:rPr>
      <w:rFonts w:ascii="Arial" w:hAnsi="Arial" w:eastAsia="仿宋_GB2312"/>
      <w:sz w:val="32"/>
      <w:szCs w:val="20"/>
      <w:u w:color="000000"/>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4"/>
    <w:basedOn w:val="1"/>
    <w:next w:val="1"/>
    <w:unhideWhenUsed/>
    <w:qFormat/>
    <w:uiPriority w:val="39"/>
    <w:pPr>
      <w:ind w:left="1260" w:leftChars="600"/>
    </w:pPr>
  </w:style>
  <w:style w:type="paragraph" w:styleId="15">
    <w:name w:val="footnote text"/>
    <w:basedOn w:val="1"/>
    <w:next w:val="7"/>
    <w:qFormat/>
    <w:uiPriority w:val="99"/>
    <w:pPr>
      <w:snapToGrid w:val="0"/>
    </w:pPr>
    <w:rPr>
      <w:sz w:val="18"/>
      <w:szCs w:val="18"/>
    </w:rPr>
  </w:style>
  <w:style w:type="paragraph" w:styleId="16">
    <w:name w:val="index 7"/>
    <w:basedOn w:val="1"/>
    <w:next w:val="1"/>
    <w:qFormat/>
    <w:uiPriority w:val="0"/>
    <w:pPr>
      <w:autoSpaceDE/>
      <w:autoSpaceDN/>
      <w:adjustRightInd/>
      <w:ind w:left="1200" w:leftChars="1200"/>
    </w:pPr>
    <w:rPr>
      <w:color w:val="auto"/>
      <w:kern w:val="2"/>
      <w:szCs w:val="24"/>
    </w:rPr>
  </w:style>
  <w:style w:type="paragraph" w:styleId="17">
    <w:name w:val="Body Text 2"/>
    <w:basedOn w:val="1"/>
    <w:qFormat/>
    <w:uiPriority w:val="0"/>
    <w:pPr>
      <w:tabs>
        <w:tab w:val="left" w:pos="0"/>
      </w:tabs>
      <w:spacing w:line="400" w:lineRule="atLeast"/>
    </w:pPr>
    <w:rPr>
      <w:rFonts w:ascii="Arial" w:hAnsi="Arial"/>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99"/>
    <w:pPr>
      <w:widowControl/>
    </w:pPr>
    <w:rPr>
      <w:rFonts w:ascii="宋体" w:hAnsi="宋体" w:eastAsia="宋体" w:cs="宋体"/>
    </w:rPr>
  </w:style>
  <w:style w:type="paragraph" w:styleId="20">
    <w:name w:val="Body Text First Indent"/>
    <w:basedOn w:val="7"/>
    <w:next w:val="1"/>
    <w:qFormat/>
    <w:uiPriority w:val="99"/>
    <w:pPr>
      <w:tabs>
        <w:tab w:val="left" w:pos="567"/>
      </w:tabs>
      <w:ind w:firstLine="420" w:firstLineChars="1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footnote reference"/>
    <w:basedOn w:val="23"/>
    <w:qFormat/>
    <w:uiPriority w:val="99"/>
    <w:rPr>
      <w:vertAlign w:val="superscript"/>
    </w:rPr>
  </w:style>
  <w:style w:type="paragraph" w:customStyle="1" w:styleId="27">
    <w:name w:val="样式 样式 左侧:  2 字符 + 左侧:  0.85 厘米 首行缩进:  2 字符1"/>
    <w:basedOn w:val="1"/>
    <w:qFormat/>
    <w:uiPriority w:val="0"/>
    <w:pPr>
      <w:ind w:left="482" w:firstLine="200" w:firstLineChars="200"/>
    </w:pPr>
    <w:rPr>
      <w:rFonts w:cs="宋体"/>
      <w:szCs w:val="20"/>
    </w:rPr>
  </w:style>
  <w:style w:type="paragraph" w:customStyle="1" w:styleId="28">
    <w:name w:val="正文格式"/>
    <w:basedOn w:val="1"/>
    <w:qFormat/>
    <w:uiPriority w:val="99"/>
    <w:pPr>
      <w:widowControl/>
      <w:adjustRightInd w:val="0"/>
      <w:snapToGrid w:val="0"/>
      <w:spacing w:line="400" w:lineRule="atLeast"/>
      <w:ind w:firstLine="482"/>
      <w:textAlignment w:val="baseline"/>
    </w:p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1">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32">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33">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4">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5">
    <w:name w:val="Table caption|1"/>
    <w:basedOn w:val="1"/>
    <w:qFormat/>
    <w:uiPriority w:val="0"/>
    <w:rPr>
      <w:rFonts w:ascii="宋体" w:hAnsi="宋体" w:eastAsia="宋体" w:cs="宋体"/>
      <w:sz w:val="22"/>
      <w:szCs w:val="22"/>
      <w:lang w:val="zh-TW" w:eastAsia="zh-TW" w:bidi="zh-TW"/>
    </w:rPr>
  </w:style>
  <w:style w:type="paragraph" w:customStyle="1" w:styleId="36">
    <w:name w:val="Table Paragraph"/>
    <w:basedOn w:val="1"/>
    <w:qFormat/>
    <w:uiPriority w:val="1"/>
    <w:pPr>
      <w:autoSpaceDE w:val="0"/>
      <w:autoSpaceDN w:val="0"/>
      <w:adjustRightInd w:val="0"/>
    </w:pPr>
    <w:rPr>
      <w:rFonts w:eastAsia="宋体"/>
    </w:rPr>
  </w:style>
  <w:style w:type="paragraph" w:customStyle="1" w:styleId="37">
    <w:name w:val="BodyText"/>
    <w:basedOn w:val="1"/>
    <w:next w:val="1"/>
    <w:qFormat/>
    <w:uiPriority w:val="0"/>
    <w:pPr>
      <w:tabs>
        <w:tab w:val="left" w:pos="780"/>
      </w:tabs>
    </w:pPr>
    <w:rPr>
      <w:rFonts w:ascii="黑体" w:eastAsia="黑体"/>
      <w:sz w:val="22"/>
    </w:rPr>
  </w:style>
  <w:style w:type="character" w:customStyle="1" w:styleId="38">
    <w:name w:val="font01"/>
    <w:basedOn w:val="23"/>
    <w:qFormat/>
    <w:uiPriority w:val="0"/>
    <w:rPr>
      <w:rFonts w:hint="eastAsia" w:ascii="宋体" w:hAnsi="宋体" w:eastAsia="宋体" w:cs="宋体"/>
      <w:color w:val="000000"/>
      <w:sz w:val="22"/>
      <w:szCs w:val="22"/>
      <w:u w:val="none"/>
    </w:rPr>
  </w:style>
  <w:style w:type="character" w:customStyle="1" w:styleId="39">
    <w:name w:val="font11"/>
    <w:basedOn w:val="23"/>
    <w:qFormat/>
    <w:uiPriority w:val="0"/>
    <w:rPr>
      <w:rFonts w:ascii="Arial" w:hAnsi="Arial" w:cs="Arial"/>
      <w:color w:val="000000"/>
      <w:sz w:val="22"/>
      <w:szCs w:val="22"/>
      <w:u w:val="none"/>
    </w:rPr>
  </w:style>
  <w:style w:type="character" w:customStyle="1" w:styleId="40">
    <w:name w:val="font31"/>
    <w:basedOn w:val="23"/>
    <w:qFormat/>
    <w:uiPriority w:val="0"/>
    <w:rPr>
      <w:rFonts w:hint="eastAsia" w:ascii="宋体" w:hAnsi="宋体" w:eastAsia="宋体" w:cs="宋体"/>
      <w:color w:val="000000"/>
      <w:sz w:val="22"/>
      <w:szCs w:val="22"/>
      <w:u w:val="none"/>
    </w:rPr>
  </w:style>
  <w:style w:type="character" w:customStyle="1" w:styleId="41">
    <w:name w:val="font61"/>
    <w:basedOn w:val="23"/>
    <w:qFormat/>
    <w:uiPriority w:val="0"/>
    <w:rPr>
      <w:rFonts w:ascii="宋体" w:hAnsi="宋体" w:eastAsia="宋体" w:cs="宋体"/>
      <w:color w:val="000000"/>
      <w:sz w:val="22"/>
      <w:szCs w:val="22"/>
      <w:u w:val="none"/>
    </w:rPr>
  </w:style>
  <w:style w:type="paragraph" w:customStyle="1" w:styleId="42">
    <w:name w:val="BodyText1I2"/>
    <w:basedOn w:val="43"/>
    <w:qFormat/>
    <w:uiPriority w:val="0"/>
    <w:pPr>
      <w:spacing w:after="0" w:afterLines="0" w:line="500" w:lineRule="exact"/>
      <w:ind w:left="0" w:leftChars="0" w:firstLine="420" w:firstLineChars="200"/>
      <w:jc w:val="both"/>
    </w:pPr>
    <w:rPr>
      <w:kern w:val="2"/>
      <w:sz w:val="21"/>
      <w:szCs w:val="24"/>
      <w:lang w:bidi="ar-SA"/>
    </w:rPr>
  </w:style>
  <w:style w:type="paragraph" w:customStyle="1" w:styleId="43">
    <w:name w:val="BodyTextIndent"/>
    <w:basedOn w:val="1"/>
    <w:qFormat/>
    <w:uiPriority w:val="0"/>
    <w:pPr>
      <w:widowControl/>
      <w:spacing w:after="120" w:afterLines="0" w:line="240" w:lineRule="auto"/>
      <w:ind w:left="420" w:leftChars="200"/>
      <w:jc w:val="both"/>
    </w:pPr>
    <w:rPr>
      <w:rFonts w:ascii="宋体" w:hAnsi="宋体" w:eastAsia="宋体" w:cs="宋体"/>
      <w:kern w:val="2"/>
      <w:sz w:val="21"/>
      <w:szCs w:val="22"/>
      <w:lang w:eastAsia="en-US" w:bidi="ar-SA"/>
    </w:rPr>
  </w:style>
  <w:style w:type="paragraph" w:customStyle="1" w:styleId="44">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 w:cs="Arial Unicode MS"/>
      <w:color w:val="000000"/>
      <w:kern w:val="2"/>
      <w:sz w:val="21"/>
      <w:szCs w:val="21"/>
      <w:u w:color="000000"/>
      <w:lang w:val="en-US" w:eastAsia="zh-CN" w:bidi="ar-SA"/>
    </w:rPr>
  </w:style>
  <w:style w:type="paragraph" w:styleId="45">
    <w:name w:val="List Paragraph"/>
    <w:basedOn w:val="1"/>
    <w:qFormat/>
    <w:uiPriority w:val="34"/>
    <w:pPr>
      <w:ind w:firstLine="420" w:firstLineChars="200"/>
    </w:pPr>
  </w:style>
  <w:style w:type="character" w:customStyle="1" w:styleId="46">
    <w:name w:val="NormalCharacter"/>
    <w:qFormat/>
    <w:uiPriority w:val="0"/>
  </w:style>
  <w:style w:type="paragraph" w:customStyle="1" w:styleId="47">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14423</Words>
  <Characters>15530</Characters>
  <Paragraphs>2228</Paragraphs>
  <TotalTime>48</TotalTime>
  <ScaleCrop>false</ScaleCrop>
  <LinksUpToDate>false</LinksUpToDate>
  <CharactersWithSpaces>15757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顺其自然</cp:lastModifiedBy>
  <cp:lastPrinted>2026-04-17T05:05:00Z</cp:lastPrinted>
  <dcterms:modified xsi:type="dcterms:W3CDTF">2026-05-12T09:12:07Z</dcterms:modified>
  <dc:title>克州职工基本医疗保险基金转为定期存款项目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BF0BD76062D244AFA978D48BE1AD55D4</vt:lpwstr>
  </property>
  <property fmtid="{D5CDD505-2E9C-101B-9397-08002B2CF9AE}" pid="4" name="KSOTemplateDocerSaveRecord">
    <vt:lpwstr>eyJoZGlkIjoiZTJjMjUxMGNhODBjMWJhNGE5NzdiZWUyMzM4ZjljZGEiLCJ1c2VySWQiOiIzMDYxNDU1NjAifQ==</vt:lpwstr>
  </property>
</Properties>
</file>