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B6BE">
      <w:pPr>
        <w:adjustRightInd w:val="0"/>
        <w:snapToGrid w:val="0"/>
        <w:spacing w:line="276" w:lineRule="auto"/>
        <w:jc w:val="left"/>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sz w:val="24"/>
          <w:szCs w:val="24"/>
          <w:highlight w:val="none"/>
          <w:shd w:val="clear" w:color="auto" w:fill="FFFFFF" w:themeFill="background1"/>
        </w:rPr>
        <w:t xml:space="preserve"> </w:t>
      </w:r>
    </w:p>
    <w:p w14:paraId="48A5AD2C">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rPr>
      </w:pPr>
    </w:p>
    <w:p w14:paraId="56E9C053">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lang w:val="en-US" w:eastAsia="zh-CN"/>
        </w:rPr>
      </w:pPr>
      <w:r>
        <w:rPr>
          <w:rFonts w:hint="eastAsia" w:ascii="仿宋" w:hAnsi="仿宋" w:eastAsia="仿宋" w:cs="仿宋"/>
          <w:b/>
          <w:bCs/>
          <w:color w:val="auto"/>
          <w:sz w:val="52"/>
          <w:szCs w:val="28"/>
          <w:highlight w:val="none"/>
          <w:shd w:val="clear" w:color="auto" w:fill="FFFFFF" w:themeFill="background1"/>
          <w:lang w:val="en-US" w:eastAsia="zh-CN"/>
        </w:rPr>
        <w:t>采 购 文 件</w:t>
      </w:r>
    </w:p>
    <w:p w14:paraId="0CAA0BB0">
      <w:pPr>
        <w:pStyle w:val="29"/>
        <w:jc w:val="center"/>
        <w:rPr>
          <w:rFonts w:hint="eastAsia" w:ascii="仿宋" w:hAnsi="仿宋" w:eastAsia="仿宋" w:cs="仿宋"/>
          <w:color w:val="auto"/>
          <w:sz w:val="16"/>
          <w:szCs w:val="16"/>
          <w:highlight w:val="none"/>
        </w:rPr>
      </w:pPr>
      <w:r>
        <w:rPr>
          <w:rFonts w:hint="eastAsia" w:ascii="仿宋" w:hAnsi="仿宋" w:eastAsia="仿宋" w:cs="仿宋"/>
          <w:b/>
          <w:bCs/>
          <w:color w:val="auto"/>
          <w:sz w:val="28"/>
          <w:szCs w:val="16"/>
          <w:highlight w:val="none"/>
          <w:shd w:val="clear" w:color="auto" w:fill="FFFFFF" w:themeFill="background1"/>
          <w:lang w:val="en-US" w:eastAsia="zh-CN"/>
        </w:rPr>
        <w:t>（竞争性磋商-服务）</w:t>
      </w:r>
    </w:p>
    <w:p w14:paraId="005CE09B">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1E5F915">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779FC9EC">
      <w:pPr>
        <w:spacing w:line="276" w:lineRule="auto"/>
        <w:ind w:left="1181" w:right="-191" w:rightChars="-91" w:hanging="1180" w:hangingChars="492"/>
        <w:rPr>
          <w:rFonts w:hint="eastAsia" w:ascii="仿宋" w:hAnsi="仿宋" w:eastAsia="仿宋" w:cs="仿宋"/>
          <w:bCs/>
          <w:color w:val="auto"/>
          <w:kern w:val="0"/>
          <w:sz w:val="24"/>
          <w:szCs w:val="24"/>
          <w:highlight w:val="none"/>
          <w:shd w:val="clear" w:color="auto" w:fill="FFFFFF" w:themeFill="background1"/>
        </w:rPr>
      </w:pPr>
    </w:p>
    <w:p w14:paraId="575C6934">
      <w:pPr>
        <w:spacing w:line="276" w:lineRule="auto"/>
        <w:ind w:left="1574" w:right="-191" w:rightChars="-91" w:hanging="1574" w:hangingChars="492"/>
        <w:rPr>
          <w:rFonts w:hint="eastAsia" w:ascii="仿宋" w:hAnsi="仿宋" w:eastAsia="仿宋" w:cs="仿宋"/>
          <w:bCs/>
          <w:color w:val="auto"/>
          <w:sz w:val="32"/>
          <w:szCs w:val="24"/>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kern w:val="0"/>
          <w:sz w:val="32"/>
          <w:szCs w:val="32"/>
          <w:highlight w:val="none"/>
          <w:lang w:eastAsia="zh-CN"/>
        </w:rPr>
        <w:t>新疆维吾尔自治区</w:t>
      </w:r>
      <w:r>
        <w:rPr>
          <w:rFonts w:hint="eastAsia" w:ascii="仿宋" w:hAnsi="仿宋" w:eastAsia="仿宋" w:cs="仿宋"/>
          <w:bCs/>
          <w:color w:val="auto"/>
          <w:kern w:val="0"/>
          <w:sz w:val="32"/>
          <w:szCs w:val="32"/>
          <w:highlight w:val="none"/>
          <w:lang w:val="en-US" w:eastAsia="zh-CN"/>
        </w:rPr>
        <w:t>药品监督管理局</w:t>
      </w:r>
      <w:r>
        <w:rPr>
          <w:rFonts w:hint="eastAsia" w:ascii="仿宋" w:hAnsi="仿宋" w:eastAsia="仿宋" w:cs="仿宋"/>
          <w:bCs/>
          <w:color w:val="auto"/>
          <w:kern w:val="0"/>
          <w:sz w:val="32"/>
          <w:szCs w:val="32"/>
          <w:highlight w:val="none"/>
          <w:lang w:eastAsia="zh-CN"/>
        </w:rPr>
        <w:t>应用系统运维服务项目</w:t>
      </w:r>
    </w:p>
    <w:p w14:paraId="30521B80">
      <w:pPr>
        <w:adjustRightInd w:val="0"/>
        <w:snapToGrid w:val="0"/>
        <w:spacing w:line="276" w:lineRule="auto"/>
        <w:jc w:val="center"/>
        <w:rPr>
          <w:rFonts w:hint="eastAsia" w:ascii="仿宋" w:hAnsi="仿宋" w:eastAsia="仿宋" w:cs="仿宋"/>
          <w:bCs/>
          <w:color w:val="auto"/>
          <w:sz w:val="32"/>
          <w:szCs w:val="24"/>
          <w:highlight w:val="none"/>
          <w:shd w:val="clear" w:color="auto" w:fill="FFFFFF" w:themeFill="background1"/>
        </w:rPr>
      </w:pPr>
    </w:p>
    <w:p w14:paraId="6DD801E8">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新疆维吾尔自治区药物警戒中心</w:t>
      </w:r>
    </w:p>
    <w:p w14:paraId="7C1A42F2">
      <w:pPr>
        <w:adjustRightInd w:val="0"/>
        <w:snapToGrid w:val="0"/>
        <w:spacing w:line="480" w:lineRule="exact"/>
        <w:rPr>
          <w:rFonts w:hint="eastAsia" w:ascii="仿宋" w:hAnsi="仿宋" w:eastAsia="仿宋" w:cs="仿宋"/>
          <w:bCs/>
          <w:color w:val="auto"/>
          <w:sz w:val="32"/>
          <w:szCs w:val="32"/>
          <w:highlight w:val="none"/>
        </w:rPr>
      </w:pPr>
    </w:p>
    <w:p w14:paraId="79154B15">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王戎</w:t>
      </w:r>
      <w:r>
        <w:rPr>
          <w:rFonts w:hint="eastAsia" w:ascii="仿宋" w:hAnsi="仿宋" w:eastAsia="仿宋" w:cs="仿宋"/>
          <w:bCs/>
          <w:color w:val="auto"/>
          <w:sz w:val="32"/>
          <w:szCs w:val="32"/>
          <w:highlight w:val="none"/>
        </w:rPr>
        <w:t xml:space="preserve"> </w:t>
      </w:r>
    </w:p>
    <w:p w14:paraId="712B16E4">
      <w:pPr>
        <w:adjustRightInd w:val="0"/>
        <w:snapToGrid w:val="0"/>
        <w:spacing w:line="480" w:lineRule="exact"/>
        <w:rPr>
          <w:rFonts w:hint="eastAsia" w:ascii="仿宋" w:hAnsi="仿宋" w:eastAsia="仿宋" w:cs="仿宋"/>
          <w:bCs/>
          <w:color w:val="auto"/>
          <w:sz w:val="32"/>
          <w:szCs w:val="32"/>
          <w:highlight w:val="none"/>
        </w:rPr>
      </w:pPr>
    </w:p>
    <w:p w14:paraId="349F1BCA">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电话：</w:t>
      </w:r>
      <w:r>
        <w:rPr>
          <w:rFonts w:hint="eastAsia" w:ascii="仿宋" w:hAnsi="仿宋" w:eastAsia="仿宋" w:cs="仿宋"/>
          <w:bCs/>
          <w:color w:val="auto"/>
          <w:sz w:val="32"/>
          <w:szCs w:val="32"/>
          <w:highlight w:val="none"/>
          <w:lang w:eastAsia="zh-CN"/>
        </w:rPr>
        <w:t>18199192028</w:t>
      </w:r>
    </w:p>
    <w:p w14:paraId="6779A676">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p>
    <w:p w14:paraId="0169925A">
      <w:pPr>
        <w:pBdr>
          <w:bottom w:val="single" w:color="auto" w:sz="4" w:space="0"/>
        </w:pBdr>
        <w:adjustRightInd w:val="0"/>
        <w:snapToGrid w:val="0"/>
        <w:spacing w:line="480" w:lineRule="exact"/>
        <w:rPr>
          <w:rFonts w:hint="eastAsia" w:ascii="仿宋" w:hAnsi="仿宋" w:eastAsia="仿宋" w:cs="仿宋"/>
          <w:bCs/>
          <w:color w:val="auto"/>
          <w:sz w:val="32"/>
          <w:szCs w:val="32"/>
          <w:highlight w:val="none"/>
        </w:rPr>
      </w:pPr>
    </w:p>
    <w:p w14:paraId="5F403989">
      <w:pPr>
        <w:adjustRightInd w:val="0"/>
        <w:snapToGrid w:val="0"/>
        <w:spacing w:line="480" w:lineRule="exact"/>
        <w:rPr>
          <w:rFonts w:hint="eastAsia" w:ascii="仿宋" w:hAnsi="仿宋" w:eastAsia="仿宋" w:cs="仿宋"/>
          <w:bCs/>
          <w:color w:val="auto"/>
          <w:kern w:val="0"/>
          <w:sz w:val="32"/>
          <w:szCs w:val="32"/>
          <w:highlight w:val="none"/>
        </w:rPr>
      </w:pPr>
    </w:p>
    <w:p w14:paraId="1019C600">
      <w:pPr>
        <w:adjustRightInd w:val="0"/>
        <w:snapToGrid w:val="0"/>
        <w:spacing w:line="480" w:lineRule="exact"/>
        <w:rPr>
          <w:rFonts w:hint="eastAsia" w:ascii="仿宋" w:hAnsi="仿宋" w:eastAsia="仿宋" w:cs="仿宋"/>
          <w:bCs/>
          <w:color w:val="auto"/>
          <w:kern w:val="0"/>
          <w:sz w:val="32"/>
          <w:szCs w:val="32"/>
          <w:highlight w:val="none"/>
        </w:rPr>
      </w:pPr>
    </w:p>
    <w:p w14:paraId="6E0EDD5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3AD2AFC4">
      <w:pPr>
        <w:adjustRightInd w:val="0"/>
        <w:snapToGrid w:val="0"/>
        <w:spacing w:line="480" w:lineRule="exact"/>
        <w:rPr>
          <w:rFonts w:hint="eastAsia" w:ascii="仿宋" w:hAnsi="仿宋" w:eastAsia="仿宋" w:cs="仿宋"/>
          <w:bCs/>
          <w:color w:val="auto"/>
          <w:sz w:val="32"/>
          <w:szCs w:val="32"/>
          <w:highlight w:val="none"/>
        </w:rPr>
      </w:pPr>
    </w:p>
    <w:p w14:paraId="7BD0E10F">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甘江涛、马丹阳</w:t>
      </w:r>
      <w:r>
        <w:rPr>
          <w:rFonts w:hint="eastAsia" w:ascii="仿宋" w:hAnsi="仿宋" w:eastAsia="仿宋" w:cs="仿宋"/>
          <w:bCs/>
          <w:color w:val="auto"/>
          <w:sz w:val="32"/>
          <w:szCs w:val="32"/>
          <w:highlight w:val="none"/>
        </w:rPr>
        <w:t xml:space="preserve"> </w:t>
      </w:r>
    </w:p>
    <w:p w14:paraId="27C9BDFA">
      <w:pPr>
        <w:adjustRightInd w:val="0"/>
        <w:snapToGrid w:val="0"/>
        <w:spacing w:line="480" w:lineRule="exact"/>
        <w:jc w:val="center"/>
        <w:rPr>
          <w:rFonts w:hint="eastAsia" w:ascii="仿宋" w:hAnsi="仿宋" w:eastAsia="仿宋" w:cs="仿宋"/>
          <w:bCs/>
          <w:color w:val="auto"/>
          <w:sz w:val="32"/>
          <w:szCs w:val="32"/>
          <w:highlight w:val="none"/>
        </w:rPr>
      </w:pPr>
    </w:p>
    <w:p w14:paraId="336D6EAD">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0991-4661782、18040795080</w:t>
      </w:r>
    </w:p>
    <w:p w14:paraId="48229DFD">
      <w:pPr>
        <w:adjustRightInd w:val="0"/>
        <w:snapToGrid w:val="0"/>
        <w:spacing w:line="480" w:lineRule="exact"/>
        <w:jc w:val="center"/>
        <w:rPr>
          <w:rFonts w:hint="eastAsia" w:ascii="仿宋" w:hAnsi="仿宋" w:eastAsia="仿宋" w:cs="仿宋"/>
          <w:bCs/>
          <w:color w:val="auto"/>
          <w:sz w:val="32"/>
          <w:szCs w:val="32"/>
          <w:highlight w:val="none"/>
        </w:rPr>
      </w:pPr>
    </w:p>
    <w:p w14:paraId="7D9E12C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地址：乌鲁木齐市新兴街20号凤凰科技大厦五楼</w:t>
      </w:r>
    </w:p>
    <w:p w14:paraId="670AA78A">
      <w:pPr>
        <w:widowControl/>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br w:type="page"/>
      </w:r>
    </w:p>
    <w:p w14:paraId="21169A2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59FE6C35">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 w:val="24"/>
          <w:highlight w:val="none"/>
          <w:shd w:val="clear" w:color="auto" w:fill="FFFFFF" w:themeFill="background1"/>
        </w:rPr>
        <w:fldChar w:fldCharType="begin"/>
      </w:r>
      <w:r>
        <w:rPr>
          <w:rFonts w:hint="eastAsia" w:ascii="仿宋" w:hAnsi="仿宋" w:eastAsia="仿宋" w:cs="仿宋"/>
          <w:color w:val="auto"/>
          <w:sz w:val="24"/>
          <w:highlight w:val="none"/>
          <w:shd w:val="clear" w:color="auto" w:fill="FFFFFF" w:themeFill="background1"/>
        </w:rPr>
        <w:instrText xml:space="preserve">TOC \o "1-3" \h \u </w:instrText>
      </w:r>
      <w:r>
        <w:rPr>
          <w:rFonts w:hint="eastAsia" w:ascii="仿宋" w:hAnsi="仿宋" w:eastAsia="仿宋" w:cs="仿宋"/>
          <w:color w:val="auto"/>
          <w:sz w:val="24"/>
          <w:highlight w:val="none"/>
          <w:shd w:val="clear" w:color="auto" w:fill="FFFFFF" w:themeFill="background1"/>
        </w:rPr>
        <w:fldChar w:fldCharType="separate"/>
      </w:r>
      <w:r>
        <w:rPr>
          <w:rFonts w:hint="eastAsia" w:ascii="仿宋" w:hAnsi="仿宋" w:eastAsia="仿宋" w:cs="仿宋"/>
          <w:color w:val="auto"/>
          <w:highlight w:val="none"/>
          <w:shd w:val="clear" w:color="auto" w:fill="FFFFFF" w:themeFill="background1"/>
        </w:rPr>
        <w:fldChar w:fldCharType="begin"/>
      </w:r>
      <w:r>
        <w:rPr>
          <w:rFonts w:hint="eastAsia" w:ascii="仿宋" w:hAnsi="仿宋" w:eastAsia="仿宋" w:cs="仿宋"/>
          <w:color w:val="auto"/>
          <w:highlight w:val="none"/>
          <w:shd w:val="clear" w:color="auto" w:fill="FFFFFF" w:themeFill="background1"/>
        </w:rPr>
        <w:instrText xml:space="preserve"> HYPERLINK \l _Toc32592 </w:instrText>
      </w:r>
      <w:r>
        <w:rPr>
          <w:rFonts w:hint="eastAsia" w:ascii="仿宋" w:hAnsi="仿宋" w:eastAsia="仿宋" w:cs="仿宋"/>
          <w:color w:val="auto"/>
          <w:highlight w:val="none"/>
          <w:shd w:val="clear" w:color="auto" w:fill="FFFFFF" w:themeFill="background1"/>
        </w:rPr>
        <w:fldChar w:fldCharType="separate"/>
      </w:r>
      <w:r>
        <w:rPr>
          <w:rFonts w:hint="eastAsia" w:ascii="仿宋" w:hAnsi="仿宋" w:eastAsia="仿宋" w:cs="仿宋"/>
          <w:bCs/>
          <w:color w:val="auto"/>
          <w:szCs w:val="32"/>
          <w:highlight w:val="none"/>
          <w:lang w:val="en-US" w:eastAsia="zh-CN"/>
        </w:rPr>
        <w:t>竞争性</w:t>
      </w:r>
      <w:r>
        <w:rPr>
          <w:rFonts w:hint="eastAsia" w:ascii="仿宋" w:hAnsi="仿宋" w:eastAsia="仿宋" w:cs="仿宋"/>
          <w:bCs/>
          <w:color w:val="auto"/>
          <w:szCs w:val="32"/>
          <w:highlight w:val="none"/>
        </w:rPr>
        <w:t>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shd w:val="clear" w:color="auto" w:fill="FFFFFF" w:themeFill="background1"/>
        </w:rPr>
        <w:fldChar w:fldCharType="end"/>
      </w:r>
    </w:p>
    <w:p w14:paraId="3D08E25B">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_Toc10649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_Toc10649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2A0529F">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_Toc32670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第一章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3F7728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_Toc6429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D3F30B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7EC91A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F5BD21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四、</w:t>
      </w:r>
      <w:r>
        <w:rPr>
          <w:rFonts w:hint="eastAsia" w:ascii="仿宋" w:hAnsi="仿宋" w:eastAsia="仿宋" w:cs="仿宋"/>
          <w:color w:val="auto"/>
          <w:szCs w:val="24"/>
          <w:highlight w:val="none"/>
          <w:shd w:val="clear" w:color="auto" w:fill="FFFFFF" w:themeFill="background1"/>
          <w:lang w:val="en-US" w:eastAsia="zh-CN"/>
        </w:rPr>
        <w:t>响应</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DF3F645">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_Toc16294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五、</w:t>
      </w:r>
      <w:r>
        <w:rPr>
          <w:rFonts w:hint="eastAsia" w:ascii="仿宋" w:hAnsi="仿宋" w:eastAsia="仿宋" w:cs="仿宋"/>
          <w:color w:val="auto"/>
          <w:szCs w:val="24"/>
          <w:highlight w:val="none"/>
          <w:shd w:val="clear" w:color="auto" w:fill="FFFFFF" w:themeFill="background1"/>
          <w:lang w:eastAsia="zh-CN"/>
        </w:rPr>
        <w:t>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_Toc16294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C8BB47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_Toc10172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六、评审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_Toc10172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95FAB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_Toc1096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39C5B5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_Toc22638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1645A46">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_Toc26123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第二章 评审办法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_Toc26123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50AEF7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_Toc2233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01E34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_Toc16659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一、评审方法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B8D3074">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_Toc28167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_Toc28167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C467CB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_Toc32655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三、评审程序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EA458E">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_Toc29306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10F9633">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_Toc4387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 xml:space="preserve">第四章 </w:t>
      </w:r>
      <w:r>
        <w:rPr>
          <w:rFonts w:hint="eastAsia" w:ascii="仿宋" w:hAnsi="仿宋" w:eastAsia="仿宋" w:cs="仿宋"/>
          <w:color w:val="auto"/>
          <w:szCs w:val="24"/>
          <w:highlight w:val="none"/>
          <w:shd w:val="clear" w:color="auto" w:fill="FFFFFF" w:themeFill="background1"/>
          <w:lang w:eastAsia="zh-CN"/>
        </w:rPr>
        <w:t>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_Toc4387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478EE5">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_Toc17696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4CA838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_Toc22190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lang w:val="en-US" w:eastAsia="zh-CN"/>
        </w:rPr>
        <w:t>一、</w:t>
      </w:r>
      <w:r>
        <w:rPr>
          <w:rFonts w:hint="eastAsia" w:ascii="仿宋" w:hAnsi="仿宋" w:eastAsia="仿宋" w:cs="仿宋"/>
          <w:color w:val="auto"/>
          <w:szCs w:val="24"/>
          <w:highlight w:val="none"/>
        </w:rPr>
        <w:t>开</w:t>
      </w:r>
      <w:r>
        <w:rPr>
          <w:rFonts w:hint="eastAsia" w:ascii="仿宋" w:hAnsi="仿宋" w:eastAsia="仿宋" w:cs="仿宋"/>
          <w:color w:val="auto"/>
          <w:szCs w:val="24"/>
          <w:highlight w:val="none"/>
          <w:lang w:val="en-US" w:eastAsia="zh-CN"/>
        </w:rPr>
        <w:t>启</w:t>
      </w:r>
      <w:r>
        <w:rPr>
          <w:rFonts w:hint="eastAsia" w:ascii="仿宋" w:hAnsi="仿宋" w:eastAsia="仿宋" w:cs="仿宋"/>
          <w:color w:val="auto"/>
          <w:szCs w:val="24"/>
          <w:highlight w:val="none"/>
        </w:rPr>
        <w:t>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75CC90E">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_Toc16674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0E7E5DA">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_Toc27997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三</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lang w:eastAsia="zh-CN"/>
        </w:rPr>
        <w:t>响应价格</w:t>
      </w:r>
      <w:r>
        <w:rPr>
          <w:rFonts w:hint="eastAsia" w:ascii="仿宋" w:hAnsi="仿宋" w:eastAsia="仿宋" w:cs="仿宋"/>
          <w:color w:val="auto"/>
          <w:szCs w:val="24"/>
          <w:highlight w:val="none"/>
          <w:shd w:val="clear" w:color="auto" w:fill="FFFFFF" w:themeFill="background1"/>
        </w:rPr>
        <w:t>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D3B36B">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_Toc2836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四</w:t>
      </w:r>
      <w:r>
        <w:rPr>
          <w:rFonts w:hint="eastAsia" w:ascii="仿宋" w:hAnsi="仿宋" w:eastAsia="仿宋" w:cs="仿宋"/>
          <w:color w:val="auto"/>
          <w:szCs w:val="24"/>
          <w:highlight w:val="none"/>
          <w:shd w:val="clear" w:color="auto" w:fill="FFFFFF" w:themeFill="background1"/>
        </w:rPr>
        <w:t>、商务条款偏离表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39FC3E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_Toc23331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五</w:t>
      </w:r>
      <w:r>
        <w:rPr>
          <w:rFonts w:hint="eastAsia" w:ascii="仿宋" w:hAnsi="仿宋" w:eastAsia="仿宋" w:cs="仿宋"/>
          <w:color w:val="auto"/>
          <w:szCs w:val="24"/>
          <w:highlight w:val="none"/>
          <w:shd w:val="clear" w:color="auto" w:fill="FFFFFF" w:themeFill="background1"/>
        </w:rPr>
        <w:t>、技术条款偏离表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6EB194E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_Toc32267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六</w:t>
      </w:r>
      <w:r>
        <w:rPr>
          <w:rFonts w:hint="eastAsia" w:ascii="仿宋" w:hAnsi="仿宋" w:eastAsia="仿宋" w:cs="仿宋"/>
          <w:color w:val="auto"/>
          <w:szCs w:val="24"/>
          <w:highlight w:val="none"/>
          <w:shd w:val="clear" w:color="auto" w:fill="FFFFFF" w:themeFill="background1"/>
        </w:rPr>
        <w:t>、法定代表人身份证明书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D141B8C">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七</w:t>
      </w:r>
      <w:r>
        <w:rPr>
          <w:rFonts w:hint="eastAsia" w:ascii="仿宋" w:hAnsi="仿宋" w:eastAsia="仿宋" w:cs="仿宋"/>
          <w:color w:val="auto"/>
          <w:szCs w:val="24"/>
          <w:highlight w:val="none"/>
          <w:shd w:val="clear" w:color="auto" w:fill="FFFFFF" w:themeFill="background1"/>
        </w:rPr>
        <w:t>、法定代表人授权委托书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BC4CAE">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_Toc3624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八</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供应商资格条件证</w:t>
      </w:r>
      <w:bookmarkStart w:id="219" w:name="_GoBack"/>
      <w:bookmarkEnd w:id="219"/>
      <w:r>
        <w:rPr>
          <w:rFonts w:hint="eastAsia" w:ascii="仿宋" w:hAnsi="仿宋" w:eastAsia="仿宋" w:cs="仿宋"/>
          <w:bCs/>
          <w:color w:val="auto"/>
          <w:szCs w:val="24"/>
          <w:highlight w:val="none"/>
          <w:shd w:val="clear" w:color="auto" w:fill="FFFFFF" w:themeFill="background1"/>
        </w:rPr>
        <w:t>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_Toc3624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DF89E0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_Toc2804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.1、法人或者其他组织的营业执照等证明文件，自然人的身份证明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2090DDB">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_Toc13496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.2、财务状况报告，依法缴纳税收和社会保障资金的相关材料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CA8CDC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_Toc9702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.3、具备履行合同所必需的设备和专业技术能力的证明材料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7FC1D442">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_Toc23067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.4、参加政府采购活动前3年内在经营活动中没有重大违法记录的书面声明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A3D34B6">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_Toc27822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8</w:t>
      </w:r>
      <w:r>
        <w:rPr>
          <w:rFonts w:hint="eastAsia" w:ascii="仿宋" w:hAnsi="仿宋" w:eastAsia="仿宋" w:cs="仿宋"/>
          <w:color w:val="auto"/>
          <w:szCs w:val="24"/>
          <w:highlight w:val="none"/>
          <w:shd w:val="clear" w:color="auto" w:fill="FFFFFF" w:themeFill="background1"/>
        </w:rPr>
        <w:t>.5、具备法律、行政法规规定的其他条件的证明材料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DD990D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_Toc5131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九</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供应商近年类似项目业绩表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_Toc5131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37891C70">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_Toc31395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lang w:val="en-US" w:eastAsia="zh-CN"/>
        </w:rPr>
        <w:t>十</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lang w:eastAsia="zh-CN"/>
        </w:rPr>
        <w:t>项目负责人</w:t>
      </w:r>
      <w:r>
        <w:rPr>
          <w:rFonts w:hint="eastAsia" w:ascii="仿宋" w:hAnsi="仿宋" w:eastAsia="仿宋" w:cs="仿宋"/>
          <w:bCs/>
          <w:color w:val="auto"/>
          <w:szCs w:val="24"/>
          <w:highlight w:val="none"/>
          <w:shd w:val="clear" w:color="auto" w:fill="FFFFFF" w:themeFill="background1"/>
        </w:rPr>
        <w:t>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4E1551">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_Toc767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bCs/>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lang w:val="en-US" w:eastAsia="zh-CN"/>
        </w:rPr>
        <w:t>一</w:t>
      </w:r>
      <w:r>
        <w:rPr>
          <w:rFonts w:hint="eastAsia" w:ascii="仿宋" w:hAnsi="仿宋" w:eastAsia="仿宋" w:cs="仿宋"/>
          <w:bCs/>
          <w:color w:val="auto"/>
          <w:szCs w:val="24"/>
          <w:highlight w:val="none"/>
          <w:shd w:val="clear" w:color="auto" w:fill="FFFFFF" w:themeFill="background1"/>
        </w:rPr>
        <w:t>、拟派主要服务人员</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91CE13">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_Toc32498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w:t>
      </w:r>
      <w:r>
        <w:rPr>
          <w:rFonts w:hint="eastAsia" w:ascii="仿宋" w:hAnsi="仿宋" w:eastAsia="仿宋" w:cs="仿宋"/>
          <w:bCs/>
          <w:color w:val="auto"/>
          <w:szCs w:val="24"/>
          <w:highlight w:val="none"/>
          <w:shd w:val="clear" w:color="auto" w:fill="FFFFFF" w:themeFill="background1"/>
        </w:rPr>
        <w:t>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_Toc32498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4DE6A7C">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_Toc12216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49C39E9F">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_Toc17524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13FA850">
      <w:pPr>
        <w:pStyle w:val="26"/>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_Toc4679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zCs w:val="24"/>
          <w:highlight w:val="none"/>
          <w:shd w:val="clear" w:fill="FFFFFF" w:themeFill="background1"/>
        </w:rPr>
        <w:t xml:space="preserve">第六章 </w:t>
      </w:r>
      <w:r>
        <w:rPr>
          <w:rFonts w:hint="eastAsia" w:ascii="仿宋" w:hAnsi="仿宋" w:eastAsia="仿宋" w:cs="仿宋"/>
          <w:color w:val="auto"/>
          <w:szCs w:val="24"/>
          <w:highlight w:val="none"/>
          <w:shd w:val="clear" w:color="auto" w:fill="FFFFFF" w:themeFill="background1"/>
        </w:rPr>
        <w:t>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1FFFF495">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_Toc16688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1</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_Toc16688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54280B74">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_Toc30202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2</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_Toc30202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0D5D4DD8">
      <w:pPr>
        <w:pStyle w:val="33"/>
        <w:tabs>
          <w:tab w:val="right" w:leader="dot" w:pos="9750"/>
        </w:tabs>
        <w:rPr>
          <w:rFonts w:hint="eastAsia" w:ascii="仿宋" w:hAnsi="仿宋" w:eastAsia="仿宋" w:cs="仿宋"/>
          <w:color w:val="auto"/>
          <w:highlight w:val="none"/>
        </w:rPr>
      </w:pPr>
      <w:r>
        <w:rPr>
          <w:rFonts w:hint="eastAsia" w:ascii="仿宋" w:hAnsi="仿宋" w:eastAsia="仿宋" w:cs="仿宋"/>
          <w:color w:val="auto"/>
          <w:szCs w:val="24"/>
          <w:highlight w:val="none"/>
          <w:shd w:val="clear" w:color="auto" w:fill="FFFFFF" w:themeFill="background1"/>
        </w:rPr>
        <w:fldChar w:fldCharType="begin"/>
      </w:r>
      <w:r>
        <w:rPr>
          <w:rFonts w:hint="eastAsia" w:ascii="仿宋" w:hAnsi="仿宋" w:eastAsia="仿宋" w:cs="仿宋"/>
          <w:color w:val="auto"/>
          <w:szCs w:val="24"/>
          <w:highlight w:val="none"/>
          <w:shd w:val="clear" w:color="auto" w:fill="FFFFFF" w:themeFill="background1"/>
        </w:rPr>
        <w:instrText xml:space="preserve"> HYPERLINK \l _Toc13048 </w:instrText>
      </w:r>
      <w:r>
        <w:rPr>
          <w:rFonts w:hint="eastAsia" w:ascii="仿宋" w:hAnsi="仿宋" w:eastAsia="仿宋" w:cs="仿宋"/>
          <w:color w:val="auto"/>
          <w:szCs w:val="24"/>
          <w:highlight w:val="none"/>
          <w:shd w:val="clear" w:color="auto" w:fill="FFFFFF" w:themeFill="background1"/>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3</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shd w:val="clear" w:color="auto" w:fill="FFFFFF" w:themeFill="background1"/>
        </w:rPr>
        <w:fldChar w:fldCharType="end"/>
      </w:r>
    </w:p>
    <w:p w14:paraId="24C68DE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fldChar w:fldCharType="end"/>
      </w:r>
    </w:p>
    <w:p w14:paraId="6C91AC47">
      <w:pPr>
        <w:spacing w:line="360" w:lineRule="auto"/>
        <w:rPr>
          <w:rFonts w:hint="eastAsia" w:ascii="仿宋" w:hAnsi="仿宋" w:eastAsia="仿宋" w:cs="仿宋"/>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40" w:right="1080" w:bottom="1440" w:left="1080" w:header="0" w:footer="1178" w:gutter="0"/>
          <w:cols w:space="720" w:num="1"/>
        </w:sectPr>
      </w:pPr>
    </w:p>
    <w:p w14:paraId="11D178DE">
      <w:pPr>
        <w:spacing w:line="360" w:lineRule="auto"/>
        <w:jc w:val="center"/>
        <w:outlineLvl w:val="0"/>
        <w:rPr>
          <w:rFonts w:hint="eastAsia" w:ascii="仿宋" w:hAnsi="仿宋" w:eastAsia="仿宋" w:cs="仿宋"/>
          <w:b/>
          <w:bCs/>
          <w:color w:val="auto"/>
          <w:sz w:val="28"/>
          <w:szCs w:val="32"/>
          <w:highlight w:val="none"/>
        </w:rPr>
      </w:pPr>
      <w:bookmarkStart w:id="0" w:name="_Toc32592"/>
      <w:bookmarkStart w:id="1" w:name="_Toc1597"/>
      <w:r>
        <w:rPr>
          <w:rFonts w:hint="eastAsia" w:ascii="仿宋" w:hAnsi="仿宋" w:eastAsia="仿宋" w:cs="仿宋"/>
          <w:b/>
          <w:bCs/>
          <w:color w:val="auto"/>
          <w:sz w:val="28"/>
          <w:szCs w:val="32"/>
          <w:highlight w:val="none"/>
          <w:lang w:val="en-US" w:eastAsia="zh-CN"/>
        </w:rPr>
        <w:t>竞争性</w:t>
      </w:r>
      <w:r>
        <w:rPr>
          <w:rFonts w:hint="eastAsia" w:ascii="仿宋" w:hAnsi="仿宋" w:eastAsia="仿宋" w:cs="仿宋"/>
          <w:b/>
          <w:bCs/>
          <w:color w:val="auto"/>
          <w:sz w:val="28"/>
          <w:szCs w:val="32"/>
          <w:highlight w:val="none"/>
        </w:rPr>
        <w:t>磋商公告</w:t>
      </w:r>
      <w:bookmarkEnd w:id="0"/>
      <w:bookmarkEnd w:id="1"/>
    </w:p>
    <w:p w14:paraId="34B628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项目概况</w:t>
      </w:r>
    </w:p>
    <w:p w14:paraId="1DEE8F5E">
      <w:pPr>
        <w:spacing w:line="360" w:lineRule="auto"/>
        <w:ind w:firstLine="335"/>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eastAsia="zh-CN"/>
        </w:rPr>
        <w:t>新疆维吾尔自治区</w:t>
      </w:r>
      <w:r>
        <w:rPr>
          <w:rFonts w:hint="eastAsia" w:ascii="仿宋" w:hAnsi="仿宋" w:eastAsia="仿宋" w:cs="仿宋"/>
          <w:color w:val="auto"/>
          <w:sz w:val="24"/>
          <w:szCs w:val="32"/>
          <w:highlight w:val="none"/>
          <w:u w:val="none"/>
          <w:lang w:eastAsia="zh-CN"/>
        </w:rPr>
        <w:t>药品监督管理局</w:t>
      </w:r>
      <w:r>
        <w:rPr>
          <w:rFonts w:hint="eastAsia" w:ascii="仿宋" w:hAnsi="仿宋" w:eastAsia="仿宋" w:cs="仿宋"/>
          <w:color w:val="auto"/>
          <w:sz w:val="24"/>
          <w:szCs w:val="32"/>
          <w:highlight w:val="none"/>
          <w:lang w:eastAsia="zh-CN"/>
        </w:rPr>
        <w:t>应用系统运维服务项目</w:t>
      </w:r>
      <w:r>
        <w:rPr>
          <w:rFonts w:hint="eastAsia" w:ascii="仿宋" w:hAnsi="仿宋" w:eastAsia="仿宋" w:cs="仿宋"/>
          <w:color w:val="auto"/>
          <w:sz w:val="24"/>
          <w:szCs w:val="32"/>
          <w:highlight w:val="none"/>
        </w:rPr>
        <w:t>采购项目的潜在供应商应在政采云平台线上获取采购文件，并于</w:t>
      </w:r>
      <w:r>
        <w:rPr>
          <w:rFonts w:hint="eastAsia" w:ascii="仿宋" w:hAnsi="仿宋" w:eastAsia="仿宋" w:cs="仿宋"/>
          <w:color w:val="auto"/>
          <w:sz w:val="24"/>
          <w:szCs w:val="32"/>
          <w:highlight w:val="none"/>
          <w:lang w:eastAsia="zh-CN"/>
        </w:rPr>
        <w:t>2026年05月26日 10:30</w:t>
      </w:r>
      <w:r>
        <w:rPr>
          <w:rFonts w:hint="eastAsia" w:ascii="仿宋" w:hAnsi="仿宋" w:eastAsia="仿宋" w:cs="仿宋"/>
          <w:color w:val="auto"/>
          <w:sz w:val="24"/>
          <w:szCs w:val="32"/>
          <w:highlight w:val="none"/>
        </w:rPr>
        <w:t>（北京时间）前提交响应文件。</w:t>
      </w:r>
    </w:p>
    <w:p w14:paraId="6DC1411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一、项目基本情况</w:t>
      </w:r>
    </w:p>
    <w:p w14:paraId="062E498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24"/>
          <w:highlight w:val="none"/>
          <w:lang w:eastAsia="zh-CN"/>
        </w:rPr>
        <w:t>XJXSJ-2026 (</w:t>
      </w:r>
      <w:r>
        <w:rPr>
          <w:rFonts w:hint="eastAsia" w:ascii="仿宋" w:hAnsi="仿宋" w:eastAsia="仿宋" w:cs="仿宋"/>
          <w:color w:val="auto"/>
          <w:sz w:val="24"/>
          <w:szCs w:val="24"/>
          <w:highlight w:val="none"/>
          <w:lang w:val="en-US" w:eastAsia="zh-CN"/>
        </w:rPr>
        <w:t>ZC</w:t>
      </w:r>
      <w:r>
        <w:rPr>
          <w:rFonts w:hint="eastAsia" w:ascii="仿宋" w:hAnsi="仿宋" w:eastAsia="仿宋" w:cs="仿宋"/>
          <w:color w:val="auto"/>
          <w:sz w:val="24"/>
          <w:szCs w:val="24"/>
          <w:highlight w:val="none"/>
          <w:lang w:eastAsia="zh-CN"/>
        </w:rPr>
        <w:t>)-274</w:t>
      </w:r>
      <w:r>
        <w:rPr>
          <w:rFonts w:hint="eastAsia" w:ascii="仿宋" w:hAnsi="仿宋" w:eastAsia="仿宋" w:cs="仿宋"/>
          <w:color w:val="auto"/>
          <w:sz w:val="24"/>
          <w:szCs w:val="24"/>
          <w:highlight w:val="none"/>
          <w:lang w:val="en-US" w:eastAsia="zh-CN"/>
        </w:rPr>
        <w:t xml:space="preserve"> </w:t>
      </w:r>
    </w:p>
    <w:p w14:paraId="187DE9BF">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项目名称：</w:t>
      </w:r>
      <w:r>
        <w:rPr>
          <w:rFonts w:hint="eastAsia" w:ascii="仿宋" w:hAnsi="仿宋" w:eastAsia="仿宋" w:cs="仿宋"/>
          <w:color w:val="auto"/>
          <w:sz w:val="24"/>
          <w:szCs w:val="32"/>
          <w:highlight w:val="none"/>
          <w:lang w:eastAsia="zh-CN"/>
        </w:rPr>
        <w:t>新疆维吾尔自治区</w:t>
      </w:r>
      <w:r>
        <w:rPr>
          <w:rFonts w:hint="eastAsia" w:ascii="仿宋" w:hAnsi="仿宋" w:eastAsia="仿宋" w:cs="仿宋"/>
          <w:color w:val="auto"/>
          <w:sz w:val="24"/>
          <w:szCs w:val="32"/>
          <w:highlight w:val="none"/>
          <w:u w:val="none"/>
          <w:lang w:eastAsia="zh-CN"/>
        </w:rPr>
        <w:t>药品监督管理局</w:t>
      </w:r>
      <w:r>
        <w:rPr>
          <w:rFonts w:hint="eastAsia" w:ascii="仿宋" w:hAnsi="仿宋" w:eastAsia="仿宋" w:cs="仿宋"/>
          <w:color w:val="auto"/>
          <w:sz w:val="24"/>
          <w:szCs w:val="32"/>
          <w:highlight w:val="none"/>
          <w:lang w:eastAsia="zh-CN"/>
        </w:rPr>
        <w:t>应用系统运维服务项目</w:t>
      </w:r>
      <w:r>
        <w:rPr>
          <w:rFonts w:hint="eastAsia" w:ascii="仿宋" w:hAnsi="仿宋" w:eastAsia="仿宋" w:cs="仿宋"/>
          <w:color w:val="auto"/>
          <w:sz w:val="24"/>
          <w:szCs w:val="32"/>
          <w:highlight w:val="none"/>
        </w:rPr>
        <w:t> </w:t>
      </w:r>
    </w:p>
    <w:p w14:paraId="01A41B61">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采购方式：</w:t>
      </w:r>
      <w:r>
        <w:rPr>
          <w:rFonts w:hint="eastAsia" w:ascii="仿宋" w:hAnsi="仿宋" w:eastAsia="仿宋" w:cs="仿宋"/>
          <w:color w:val="auto"/>
          <w:sz w:val="24"/>
          <w:szCs w:val="32"/>
          <w:highlight w:val="none"/>
        </w:rPr>
        <w:t>竞争性磋商 </w:t>
      </w:r>
    </w:p>
    <w:p w14:paraId="64B0A97B">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预算金额（元）：</w:t>
      </w:r>
      <w:r>
        <w:rPr>
          <w:rFonts w:hint="eastAsia" w:ascii="仿宋" w:hAnsi="仿宋" w:eastAsia="仿宋" w:cs="仿宋"/>
          <w:color w:val="auto"/>
          <w:sz w:val="24"/>
          <w:szCs w:val="32"/>
          <w:highlight w:val="none"/>
          <w:lang w:val="en-US" w:eastAsia="zh-CN"/>
        </w:rPr>
        <w:t>380000.00</w:t>
      </w:r>
      <w:r>
        <w:rPr>
          <w:rFonts w:hint="eastAsia" w:ascii="仿宋" w:hAnsi="仿宋" w:eastAsia="仿宋" w:cs="仿宋"/>
          <w:color w:val="auto"/>
          <w:sz w:val="24"/>
          <w:szCs w:val="32"/>
          <w:highlight w:val="none"/>
        </w:rPr>
        <w:t> </w:t>
      </w:r>
    </w:p>
    <w:p w14:paraId="18F42C4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最高限价（元）：</w:t>
      </w:r>
      <w:r>
        <w:rPr>
          <w:rFonts w:hint="eastAsia" w:ascii="仿宋" w:hAnsi="仿宋" w:eastAsia="仿宋" w:cs="仿宋"/>
          <w:color w:val="auto"/>
          <w:sz w:val="24"/>
          <w:szCs w:val="32"/>
          <w:highlight w:val="none"/>
          <w:lang w:val="en-US" w:eastAsia="zh-CN"/>
        </w:rPr>
        <w:t>380000.00</w:t>
      </w:r>
    </w:p>
    <w:p w14:paraId="0F799F97">
      <w:pPr>
        <w:spacing w:line="360" w:lineRule="auto"/>
        <w:ind w:firstLine="480" w:firstLineChars="200"/>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u w:val="none"/>
        </w:rPr>
        <w:t>简要规格描述：</w:t>
      </w:r>
      <w:r>
        <w:rPr>
          <w:rFonts w:hint="eastAsia" w:ascii="仿宋" w:hAnsi="仿宋" w:eastAsia="仿宋" w:cs="仿宋"/>
          <w:color w:val="auto"/>
          <w:sz w:val="24"/>
          <w:szCs w:val="32"/>
          <w:highlight w:val="none"/>
          <w:lang w:eastAsia="zh-CN"/>
        </w:rPr>
        <w:t>应用系统运维服务</w:t>
      </w:r>
    </w:p>
    <w:p w14:paraId="0CC7013F">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合同履约期限：</w:t>
      </w:r>
      <w:r>
        <w:rPr>
          <w:rFonts w:hint="eastAsia" w:ascii="仿宋" w:hAnsi="仿宋" w:eastAsia="仿宋" w:cs="仿宋"/>
          <w:color w:val="auto"/>
          <w:sz w:val="24"/>
          <w:szCs w:val="32"/>
          <w:highlight w:val="none"/>
          <w:u w:val="none"/>
          <w:lang w:val="en-US" w:eastAsia="zh-CN"/>
        </w:rPr>
        <w:t>成交供应商须提供一年运维服务，维护起始日期从合同签订后开始计算</w:t>
      </w:r>
    </w:p>
    <w:p w14:paraId="23714E5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本项目（</w:t>
      </w:r>
      <w:r>
        <w:rPr>
          <w:rFonts w:hint="eastAsia" w:ascii="仿宋" w:hAnsi="仿宋" w:eastAsia="仿宋" w:cs="仿宋"/>
          <w:color w:val="auto"/>
          <w:sz w:val="24"/>
          <w:szCs w:val="32"/>
          <w:highlight w:val="none"/>
          <w:lang w:val="en-US" w:eastAsia="zh-CN"/>
        </w:rPr>
        <w:t>否</w:t>
      </w:r>
      <w:r>
        <w:rPr>
          <w:rFonts w:hint="eastAsia" w:ascii="仿宋" w:hAnsi="仿宋" w:eastAsia="仿宋" w:cs="仿宋"/>
          <w:color w:val="auto"/>
          <w:sz w:val="24"/>
          <w:szCs w:val="32"/>
          <w:highlight w:val="none"/>
        </w:rPr>
        <w:t>）接受联合体</w:t>
      </w:r>
      <w:r>
        <w:rPr>
          <w:rFonts w:hint="eastAsia" w:ascii="仿宋" w:hAnsi="仿宋" w:eastAsia="仿宋" w:cs="仿宋"/>
          <w:color w:val="auto"/>
          <w:sz w:val="24"/>
          <w:szCs w:val="32"/>
          <w:highlight w:val="none"/>
          <w:lang w:val="en-US" w:eastAsia="zh-CN"/>
        </w:rPr>
        <w:t>响应</w:t>
      </w:r>
      <w:r>
        <w:rPr>
          <w:rFonts w:hint="eastAsia" w:ascii="仿宋" w:hAnsi="仿宋" w:eastAsia="仿宋" w:cs="仿宋"/>
          <w:color w:val="auto"/>
          <w:sz w:val="24"/>
          <w:szCs w:val="32"/>
          <w:highlight w:val="none"/>
        </w:rPr>
        <w:t>。</w:t>
      </w:r>
    </w:p>
    <w:p w14:paraId="2E612019">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二、供应商的资格要求：</w:t>
      </w:r>
    </w:p>
    <w:p w14:paraId="66C9185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6D03D3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2" w:name="OLE_LINK1"/>
      <w:bookmarkStart w:id="3" w:name="OLE_LINK2"/>
      <w:r>
        <w:rPr>
          <w:rFonts w:hint="eastAsia" w:ascii="仿宋" w:hAnsi="仿宋" w:eastAsia="仿宋" w:cs="仿宋"/>
          <w:color w:val="auto"/>
          <w:sz w:val="24"/>
          <w:szCs w:val="24"/>
          <w:highlight w:val="none"/>
        </w:rPr>
        <w:t>供应商为中小企业。</w:t>
      </w:r>
      <w:bookmarkEnd w:id="2"/>
      <w:bookmarkEnd w:id="3"/>
    </w:p>
    <w:p w14:paraId="4AE59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如在“信用中国”网站（www.creditchina.gov.cn）、中国政府采购网（www.ccgp.gov.cn）等渠道被列入失信被执行人、重大税收违法失信主体、政府采购严重违法失信行为记录名单，尚在处罚期内的将被拒绝参加本次采购活动。</w:t>
      </w:r>
    </w:p>
    <w:p w14:paraId="265C84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p>
    <w:p w14:paraId="13E35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2026年05月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日至2026年05月20日</w:t>
      </w:r>
      <w:r>
        <w:rPr>
          <w:rFonts w:hint="eastAsia" w:ascii="仿宋" w:hAnsi="仿宋" w:eastAsia="仿宋" w:cs="仿宋"/>
          <w:color w:val="auto"/>
          <w:sz w:val="24"/>
          <w:szCs w:val="24"/>
          <w:highlight w:val="none"/>
        </w:rPr>
        <w:t>，每天上午00:00至14:00，下午14:00至23:59（北京时间，法定节假日除外）</w:t>
      </w:r>
    </w:p>
    <w:p w14:paraId="13BA5CF9">
      <w:pPr>
        <w:spacing w:line="360" w:lineRule="auto"/>
        <w:ind w:firstLine="480" w:firstLineChars="200"/>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地点：政采云平台线上 </w:t>
      </w:r>
    </w:p>
    <w:p w14:paraId="302CF1BA">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29318E5">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售价（元）： 0 </w:t>
      </w:r>
    </w:p>
    <w:p w14:paraId="5D7F8617">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四、响应文件提交 </w:t>
      </w:r>
    </w:p>
    <w:p w14:paraId="3212431E">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截止时间：</w:t>
      </w:r>
      <w:r>
        <w:rPr>
          <w:rFonts w:hint="eastAsia" w:ascii="仿宋" w:hAnsi="仿宋" w:eastAsia="仿宋" w:cs="仿宋"/>
          <w:color w:val="auto"/>
          <w:sz w:val="24"/>
          <w:szCs w:val="32"/>
          <w:highlight w:val="none"/>
          <w:lang w:eastAsia="zh-CN"/>
        </w:rPr>
        <w:t>2026年05月26日 10:30</w:t>
      </w:r>
      <w:r>
        <w:rPr>
          <w:rFonts w:hint="eastAsia" w:ascii="仿宋" w:hAnsi="仿宋" w:eastAsia="仿宋" w:cs="仿宋"/>
          <w:color w:val="auto"/>
          <w:sz w:val="24"/>
          <w:szCs w:val="32"/>
          <w:highlight w:val="none"/>
        </w:rPr>
        <w:t>（北京时间）</w:t>
      </w:r>
    </w:p>
    <w:p w14:paraId="6DC020D8">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地点：请登录政采云投标客户端投标 </w:t>
      </w:r>
    </w:p>
    <w:p w14:paraId="0730FD9D">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五、响应文件开启 </w:t>
      </w:r>
    </w:p>
    <w:p w14:paraId="4E35D825">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开启时间：</w:t>
      </w:r>
      <w:r>
        <w:rPr>
          <w:rFonts w:hint="eastAsia" w:ascii="仿宋" w:hAnsi="仿宋" w:eastAsia="仿宋" w:cs="仿宋"/>
          <w:color w:val="auto"/>
          <w:sz w:val="24"/>
          <w:szCs w:val="32"/>
          <w:highlight w:val="none"/>
          <w:lang w:eastAsia="zh-CN"/>
        </w:rPr>
        <w:t>2026年05月26日 10:30</w:t>
      </w:r>
      <w:r>
        <w:rPr>
          <w:rFonts w:hint="eastAsia" w:ascii="仿宋" w:hAnsi="仿宋" w:eastAsia="仿宋" w:cs="仿宋"/>
          <w:color w:val="auto"/>
          <w:sz w:val="24"/>
          <w:szCs w:val="32"/>
          <w:highlight w:val="none"/>
        </w:rPr>
        <w:t> （北京时间）</w:t>
      </w:r>
    </w:p>
    <w:p w14:paraId="4CD1EA30">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地点：</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rPr>
        <w:t>登录政采云平台https://www.zcygov.cn/，进入“项目采购-开标评标-右边选择对应项目点击“进入项目”进入开标大厅。 </w:t>
      </w:r>
    </w:p>
    <w:p w14:paraId="606AC1BA">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六、公告期限</w:t>
      </w:r>
    </w:p>
    <w:p w14:paraId="7D096B5C">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    自本公告发布之日起3个工作日。</w:t>
      </w:r>
    </w:p>
    <w:p w14:paraId="68CAA1C6">
      <w:pPr>
        <w:spacing w:line="360" w:lineRule="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七、凡对本次</w:t>
      </w:r>
      <w:r>
        <w:rPr>
          <w:rFonts w:hint="eastAsia" w:ascii="仿宋" w:hAnsi="仿宋" w:eastAsia="仿宋" w:cs="仿宋"/>
          <w:color w:val="auto"/>
          <w:sz w:val="24"/>
          <w:szCs w:val="32"/>
          <w:highlight w:val="none"/>
          <w:lang w:eastAsia="zh-CN"/>
        </w:rPr>
        <w:t>采购</w:t>
      </w:r>
      <w:r>
        <w:rPr>
          <w:rFonts w:hint="eastAsia" w:ascii="仿宋" w:hAnsi="仿宋" w:eastAsia="仿宋" w:cs="仿宋"/>
          <w:color w:val="auto"/>
          <w:sz w:val="24"/>
          <w:szCs w:val="32"/>
          <w:highlight w:val="none"/>
        </w:rPr>
        <w:t>提出询问，请按以下方式联系</w:t>
      </w:r>
    </w:p>
    <w:p w14:paraId="372E23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8ED0CC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新疆维吾尔自治区药物警戒中心</w:t>
      </w:r>
    </w:p>
    <w:p w14:paraId="15337808">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 址：乌鲁木齐新市区西八家户路518号</w:t>
      </w:r>
    </w:p>
    <w:p w14:paraId="7764686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18199192028</w:t>
      </w:r>
    </w:p>
    <w:p w14:paraId="72B163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5E4192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05F4E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bookmarkStart w:id="4" w:name="OLE_LINK8"/>
      <w:bookmarkStart w:id="5" w:name="OLE_LINK7"/>
      <w:r>
        <w:rPr>
          <w:rFonts w:hint="eastAsia" w:ascii="仿宋" w:hAnsi="仿宋" w:eastAsia="仿宋" w:cs="仿宋"/>
          <w:color w:val="auto"/>
          <w:sz w:val="24"/>
          <w:szCs w:val="24"/>
          <w:highlight w:val="none"/>
        </w:rPr>
        <w:t>乌鲁木齐市新兴街20号</w:t>
      </w:r>
      <w:bookmarkEnd w:id="4"/>
      <w:bookmarkEnd w:id="5"/>
    </w:p>
    <w:p w14:paraId="167596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18040795080、</w:t>
      </w:r>
      <w:r>
        <w:rPr>
          <w:rFonts w:hint="eastAsia" w:ascii="仿宋" w:hAnsi="仿宋" w:eastAsia="仿宋" w:cs="仿宋"/>
          <w:color w:val="auto"/>
          <w:sz w:val="24"/>
          <w:szCs w:val="24"/>
          <w:highlight w:val="none"/>
          <w:lang w:val="en-US" w:eastAsia="zh-CN"/>
        </w:rPr>
        <w:t>18690890996</w:t>
      </w:r>
    </w:p>
    <w:p w14:paraId="2E0B72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606F017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甘江涛、马丹阳</w:t>
      </w:r>
    </w:p>
    <w:p w14:paraId="7BE15590">
      <w:pPr>
        <w:spacing w:line="360" w:lineRule="auto"/>
        <w:ind w:firstLine="480" w:firstLineChars="200"/>
        <w:rPr>
          <w:rFonts w:hint="eastAsia" w:ascii="仿宋" w:hAnsi="仿宋" w:eastAsia="仿宋" w:cs="仿宋"/>
          <w:color w:val="auto"/>
          <w:highlight w:val="none"/>
          <w:lang w:eastAsia="zh-CN"/>
        </w:rPr>
        <w:sectPr>
          <w:footerReference r:id="rId7" w:type="default"/>
          <w:pgSz w:w="11910" w:h="16840"/>
          <w:pgMar w:top="1440" w:right="1080" w:bottom="1440" w:left="1080" w:header="850" w:footer="850" w:gutter="0"/>
          <w:pgNumType w:fmt="decimal" w:start="1"/>
          <w:cols w:space="720" w:num="1"/>
        </w:sect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0991-4661782、18040795080</w:t>
      </w:r>
    </w:p>
    <w:p w14:paraId="4C8B8492">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bookmarkStart w:id="6" w:name="_Toc10649"/>
      <w:r>
        <w:rPr>
          <w:rFonts w:hint="eastAsia" w:ascii="仿宋" w:hAnsi="仿宋" w:eastAsia="仿宋" w:cs="仿宋"/>
          <w:b/>
          <w:color w:val="auto"/>
          <w:sz w:val="24"/>
          <w:szCs w:val="24"/>
          <w:highlight w:val="none"/>
          <w:shd w:val="clear" w:color="auto" w:fill="FFFFFF" w:themeFill="background1"/>
        </w:rPr>
        <w:t>供应商须知前附表</w:t>
      </w:r>
      <w:bookmarkEnd w:id="6"/>
    </w:p>
    <w:tbl>
      <w:tblPr>
        <w:tblStyle w:val="44"/>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1512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5E9F88">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550842B2">
            <w:pPr>
              <w:spacing w:line="288"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45A1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6A8813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0824E4C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688" w:type="dxa"/>
            <w:vAlign w:val="center"/>
          </w:tcPr>
          <w:p w14:paraId="1BAA433D">
            <w:pPr>
              <w:spacing w:line="288" w:lineRule="auto"/>
              <w:jc w:val="left"/>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新疆维吾尔自治区药品监督管理局应用系统运维服务项目</w:t>
            </w:r>
          </w:p>
        </w:tc>
      </w:tr>
      <w:tr w14:paraId="65EE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B09C1">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FEBF63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6688" w:type="dxa"/>
            <w:vAlign w:val="center"/>
          </w:tcPr>
          <w:p w14:paraId="3298096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eastAsia="zh-CN"/>
              </w:rPr>
              <w:t>XJXSJ-2026 (</w:t>
            </w:r>
            <w:r>
              <w:rPr>
                <w:rFonts w:hint="eastAsia" w:ascii="仿宋" w:hAnsi="仿宋" w:eastAsia="仿宋" w:cs="仿宋"/>
                <w:color w:val="auto"/>
                <w:kern w:val="0"/>
                <w:szCs w:val="21"/>
                <w:highlight w:val="none"/>
                <w:shd w:val="clear" w:color="auto" w:fill="FFFFFF" w:themeFill="background1"/>
                <w:lang w:val="en-US" w:eastAsia="zh-CN"/>
              </w:rPr>
              <w:t>ZC</w:t>
            </w:r>
            <w:r>
              <w:rPr>
                <w:rFonts w:hint="eastAsia" w:ascii="仿宋" w:hAnsi="仿宋" w:eastAsia="仿宋" w:cs="仿宋"/>
                <w:color w:val="auto"/>
                <w:kern w:val="0"/>
                <w:szCs w:val="21"/>
                <w:highlight w:val="none"/>
                <w:shd w:val="clear" w:color="auto" w:fill="FFFFFF" w:themeFill="background1"/>
                <w:lang w:eastAsia="zh-CN"/>
              </w:rPr>
              <w:t>)-274</w:t>
            </w:r>
          </w:p>
        </w:tc>
      </w:tr>
      <w:tr w14:paraId="0EE9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0A7C7">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0A85A8A">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6688" w:type="dxa"/>
            <w:vAlign w:val="center"/>
          </w:tcPr>
          <w:p w14:paraId="116B579A">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新疆维吾尔自治区药物警戒中心</w:t>
            </w:r>
          </w:p>
        </w:tc>
      </w:tr>
      <w:tr w14:paraId="057B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57CCF8">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991419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6688" w:type="dxa"/>
            <w:vAlign w:val="center"/>
          </w:tcPr>
          <w:p w14:paraId="6070584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726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FD10C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2ACD3C3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6688" w:type="dxa"/>
            <w:vAlign w:val="center"/>
          </w:tcPr>
          <w:p w14:paraId="202FA07C">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乌鲁木齐市</w:t>
            </w:r>
          </w:p>
        </w:tc>
      </w:tr>
      <w:tr w14:paraId="35D6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B38DD3">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808D7F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6688" w:type="dxa"/>
            <w:vAlign w:val="center"/>
          </w:tcPr>
          <w:p w14:paraId="086A486A">
            <w:pPr>
              <w:keepLines w:val="0"/>
              <w:pageBreakBefore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财政资金</w:t>
            </w:r>
          </w:p>
        </w:tc>
      </w:tr>
      <w:tr w14:paraId="3A83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F27B9">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480BD2D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6688" w:type="dxa"/>
            <w:vAlign w:val="center"/>
          </w:tcPr>
          <w:p w14:paraId="2EEF0E10">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380000.00</w:t>
            </w:r>
            <w:r>
              <w:rPr>
                <w:rFonts w:hint="eastAsia" w:ascii="仿宋" w:hAnsi="仿宋" w:eastAsia="仿宋" w:cs="仿宋"/>
                <w:color w:val="auto"/>
                <w:kern w:val="0"/>
                <w:szCs w:val="21"/>
                <w:highlight w:val="none"/>
                <w:shd w:val="clear" w:color="auto" w:fill="FFFFFF" w:themeFill="background1"/>
                <w:lang w:eastAsia="zh-CN"/>
              </w:rPr>
              <w:t>元</w:t>
            </w:r>
          </w:p>
        </w:tc>
      </w:tr>
      <w:tr w14:paraId="1900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E2ED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348028F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6688" w:type="dxa"/>
            <w:vAlign w:val="center"/>
          </w:tcPr>
          <w:p w14:paraId="7045FA74">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380000.00</w:t>
            </w:r>
            <w:r>
              <w:rPr>
                <w:rFonts w:hint="eastAsia" w:ascii="仿宋" w:hAnsi="仿宋" w:eastAsia="仿宋" w:cs="仿宋"/>
                <w:color w:val="auto"/>
                <w:kern w:val="0"/>
                <w:szCs w:val="21"/>
                <w:highlight w:val="none"/>
                <w:shd w:val="clear" w:color="auto" w:fill="FFFFFF" w:themeFill="background1"/>
                <w:lang w:eastAsia="zh-CN"/>
              </w:rPr>
              <w:t>元</w:t>
            </w:r>
          </w:p>
        </w:tc>
      </w:tr>
      <w:tr w14:paraId="1341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FF20F5">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549EF31C">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6688" w:type="dxa"/>
            <w:vAlign w:val="center"/>
          </w:tcPr>
          <w:p w14:paraId="59D74FD7">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成交供应商须提供一年运维服务，维护起始日期从合同签订后开始计算</w:t>
            </w:r>
          </w:p>
        </w:tc>
      </w:tr>
      <w:tr w14:paraId="5506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C7C152">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11CA8D13">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服务地点</w:t>
            </w:r>
          </w:p>
        </w:tc>
        <w:tc>
          <w:tcPr>
            <w:tcW w:w="6688" w:type="dxa"/>
            <w:vAlign w:val="center"/>
          </w:tcPr>
          <w:p w14:paraId="448DE3E4">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采购人指定地点</w:t>
            </w:r>
          </w:p>
        </w:tc>
      </w:tr>
      <w:tr w14:paraId="3AA5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98EEC6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7CE7F281">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6688" w:type="dxa"/>
            <w:vAlign w:val="center"/>
          </w:tcPr>
          <w:p w14:paraId="13F2345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新疆维吾尔自治区药品监督管理局应用系统运维服务项目</w:t>
            </w:r>
            <w:r>
              <w:rPr>
                <w:rFonts w:hint="eastAsia" w:ascii="仿宋" w:hAnsi="仿宋" w:eastAsia="仿宋" w:cs="仿宋"/>
                <w:color w:val="auto"/>
                <w:kern w:val="0"/>
                <w:szCs w:val="21"/>
                <w:highlight w:val="none"/>
              </w:rPr>
              <w:t>范围内的所有工作内容，关于</w:t>
            </w:r>
            <w:r>
              <w:rPr>
                <w:rFonts w:hint="eastAsia" w:ascii="仿宋" w:hAnsi="仿宋" w:eastAsia="仿宋" w:cs="仿宋"/>
                <w:color w:val="auto"/>
                <w:kern w:val="0"/>
                <w:szCs w:val="21"/>
                <w:highlight w:val="none"/>
                <w:lang w:eastAsia="zh-CN"/>
              </w:rPr>
              <w:t>采购</w:t>
            </w:r>
            <w:r>
              <w:rPr>
                <w:rFonts w:hint="eastAsia" w:ascii="仿宋" w:hAnsi="仿宋" w:eastAsia="仿宋" w:cs="仿宋"/>
                <w:color w:val="auto"/>
                <w:kern w:val="0"/>
                <w:szCs w:val="21"/>
                <w:highlight w:val="none"/>
              </w:rPr>
              <w:t>范围的详细说明见</w:t>
            </w: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第四章“</w:t>
            </w:r>
            <w:r>
              <w:rPr>
                <w:rFonts w:hint="eastAsia" w:ascii="仿宋" w:hAnsi="仿宋" w:eastAsia="仿宋" w:cs="仿宋"/>
                <w:color w:val="auto"/>
                <w:kern w:val="0"/>
                <w:szCs w:val="21"/>
                <w:highlight w:val="none"/>
                <w:lang w:eastAsia="zh-CN"/>
              </w:rPr>
              <w:t>服务标准和要求</w:t>
            </w:r>
            <w:r>
              <w:rPr>
                <w:rFonts w:hint="eastAsia" w:ascii="仿宋" w:hAnsi="仿宋" w:eastAsia="仿宋" w:cs="仿宋"/>
                <w:color w:val="auto"/>
                <w:kern w:val="0"/>
                <w:szCs w:val="21"/>
                <w:highlight w:val="none"/>
              </w:rPr>
              <w:t>”。</w:t>
            </w:r>
          </w:p>
        </w:tc>
      </w:tr>
      <w:tr w14:paraId="3E01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487EFF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6DD230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6688" w:type="dxa"/>
            <w:vAlign w:val="center"/>
          </w:tcPr>
          <w:p w14:paraId="7FDE446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1D6D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DCBCDD">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0C5DBFFE">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6688" w:type="dxa"/>
            <w:vAlign w:val="center"/>
          </w:tcPr>
          <w:p w14:paraId="215BBA0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51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B448E62">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39B21D7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6688" w:type="dxa"/>
            <w:vAlign w:val="center"/>
          </w:tcPr>
          <w:p w14:paraId="0D1CB9FF">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78F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068FF">
            <w:pPr>
              <w:spacing w:line="288" w:lineRule="auto"/>
              <w:jc w:val="center"/>
              <w:rPr>
                <w:rFonts w:hint="eastAsia" w:ascii="仿宋" w:hAnsi="仿宋" w:eastAsia="仿宋" w:cs="仿宋"/>
                <w:color w:val="auto"/>
                <w:kern w:val="0"/>
                <w:szCs w:val="21"/>
                <w:highlight w:val="none"/>
                <w:shd w:val="clear" w:color="auto" w:fill="FFFFFF" w:themeFill="background1"/>
              </w:rPr>
            </w:pPr>
          </w:p>
        </w:tc>
        <w:tc>
          <w:tcPr>
            <w:tcW w:w="1795" w:type="dxa"/>
            <w:vAlign w:val="center"/>
          </w:tcPr>
          <w:p w14:paraId="7E57270D">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6688" w:type="dxa"/>
            <w:vAlign w:val="center"/>
          </w:tcPr>
          <w:p w14:paraId="5403B393">
            <w:pPr>
              <w:keepNext/>
              <w:widowControl/>
              <w:spacing w:line="288" w:lineRule="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0D0C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372308B">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vAlign w:val="center"/>
          </w:tcPr>
          <w:p w14:paraId="3A3AA866">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供应商的资格要求</w:t>
            </w:r>
          </w:p>
        </w:tc>
        <w:tc>
          <w:tcPr>
            <w:tcW w:w="6688" w:type="dxa"/>
            <w:vAlign w:val="center"/>
          </w:tcPr>
          <w:p w14:paraId="07266BC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1、满足《中华人民共和国政府采购法》第二十二条规定。</w:t>
            </w:r>
          </w:p>
          <w:p w14:paraId="0557B81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2、供应商为中小企业。</w:t>
            </w:r>
          </w:p>
          <w:p w14:paraId="172468CA">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如在“信用中国”网站（www.creditchina.gov.cn）、中国政府采购网（www.ccgp.gov.cn）等渠道被列入失信被执行人、重大税收违法失信主体、政府采购严重违法失信行为记录名单，尚在处罚期内的将被拒绝参加本次采购活动。</w:t>
            </w:r>
          </w:p>
        </w:tc>
      </w:tr>
      <w:tr w14:paraId="7814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C6183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vAlign w:val="center"/>
          </w:tcPr>
          <w:p w14:paraId="7D36721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供应商不得存在的情形</w:t>
            </w:r>
          </w:p>
        </w:tc>
        <w:tc>
          <w:tcPr>
            <w:tcW w:w="6688" w:type="dxa"/>
            <w:vAlign w:val="center"/>
          </w:tcPr>
          <w:p w14:paraId="3180F4B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42A8C36D">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2、为采购项目提供整体设计、规范编制或者项目管理、监理、检测等服务的供应商，不得再参加该采购项目的其他采购活动。</w:t>
            </w:r>
          </w:p>
          <w:p w14:paraId="0424072B">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3、单位负责人为同一人或者存在直接控股、管理关系的不同供应商不得参加本项目同一包的采购活动。</w:t>
            </w:r>
          </w:p>
          <w:p w14:paraId="6D321CBF">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4、供应商处于被责令停业、财产被接管、冻结和破产状态，以及</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资格被取消或者被暂停且在暂停期内。</w:t>
            </w:r>
          </w:p>
          <w:p w14:paraId="6347740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5、法律法规及</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规定的其他情形。</w:t>
            </w:r>
          </w:p>
        </w:tc>
      </w:tr>
      <w:tr w14:paraId="391F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60F2620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w:t>
            </w:r>
          </w:p>
        </w:tc>
        <w:tc>
          <w:tcPr>
            <w:tcW w:w="1795" w:type="dxa"/>
            <w:vAlign w:val="center"/>
          </w:tcPr>
          <w:p w14:paraId="06B6B8DF">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采购文件</w:t>
            </w:r>
            <w:r>
              <w:rPr>
                <w:rFonts w:hint="eastAsia" w:ascii="仿宋" w:hAnsi="仿宋" w:eastAsia="仿宋" w:cs="仿宋"/>
                <w:color w:val="auto"/>
                <w:kern w:val="0"/>
                <w:szCs w:val="21"/>
                <w:highlight w:val="none"/>
              </w:rPr>
              <w:t>费</w:t>
            </w:r>
          </w:p>
        </w:tc>
        <w:tc>
          <w:tcPr>
            <w:tcW w:w="6688" w:type="dxa"/>
            <w:vAlign w:val="center"/>
          </w:tcPr>
          <w:p w14:paraId="2CFA41D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60C0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91AB0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8</w:t>
            </w:r>
          </w:p>
        </w:tc>
        <w:tc>
          <w:tcPr>
            <w:tcW w:w="1795" w:type="dxa"/>
            <w:vAlign w:val="center"/>
          </w:tcPr>
          <w:p w14:paraId="559BE8B8">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响应保证金</w:t>
            </w:r>
          </w:p>
        </w:tc>
        <w:tc>
          <w:tcPr>
            <w:tcW w:w="6688" w:type="dxa"/>
            <w:vAlign w:val="center"/>
          </w:tcPr>
          <w:p w14:paraId="16EEA756">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val="en-US" w:eastAsia="zh-CN"/>
              </w:rPr>
              <w:t>响应保证金</w:t>
            </w:r>
            <w:r>
              <w:rPr>
                <w:rFonts w:hint="eastAsia" w:ascii="仿宋" w:hAnsi="仿宋" w:eastAsia="仿宋" w:cs="仿宋"/>
                <w:color w:val="auto"/>
                <w:kern w:val="0"/>
                <w:szCs w:val="21"/>
                <w:highlight w:val="none"/>
                <w:shd w:val="clear" w:color="auto" w:fill="FFFFFF" w:themeFill="background1"/>
              </w:rPr>
              <w:t>金额：</w:t>
            </w:r>
            <w:r>
              <w:rPr>
                <w:rFonts w:hint="eastAsia" w:ascii="仿宋" w:hAnsi="仿宋" w:eastAsia="仿宋" w:cs="仿宋"/>
                <w:color w:val="auto"/>
                <w:kern w:val="0"/>
                <w:szCs w:val="21"/>
                <w:highlight w:val="none"/>
                <w:shd w:val="clear" w:color="auto" w:fill="FFFFFF" w:themeFill="background1"/>
                <w:lang w:val="en-US" w:eastAsia="zh-CN"/>
              </w:rPr>
              <w:t>7600.00元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w:t>
            </w:r>
            <w:r>
              <w:rPr>
                <w:rFonts w:hint="eastAsia" w:ascii="仿宋" w:hAnsi="仿宋" w:eastAsia="仿宋" w:cs="仿宋"/>
                <w:color w:val="auto"/>
                <w:kern w:val="0"/>
                <w:szCs w:val="21"/>
                <w:highlight w:val="none"/>
                <w:shd w:val="clear" w:color="auto" w:fill="FFFFFF" w:themeFill="background1"/>
                <w:lang w:eastAsia="zh-CN"/>
              </w:rPr>
              <w:t>响应文件</w:t>
            </w:r>
            <w:r>
              <w:rPr>
                <w:rFonts w:hint="eastAsia" w:ascii="仿宋" w:hAnsi="仿宋" w:eastAsia="仿宋" w:cs="仿宋"/>
                <w:color w:val="auto"/>
                <w:kern w:val="0"/>
                <w:szCs w:val="21"/>
                <w:highlight w:val="none"/>
                <w:shd w:val="clear" w:color="auto" w:fill="FFFFFF" w:themeFill="background1"/>
              </w:rPr>
              <w:t>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2FA8D833">
            <w:pPr>
              <w:keepNext/>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r>
              <w:rPr>
                <w:rFonts w:hint="eastAsia" w:ascii="仿宋" w:hAnsi="仿宋" w:eastAsia="仿宋" w:cs="仿宋"/>
                <w:color w:val="auto"/>
                <w:kern w:val="0"/>
                <w:szCs w:val="21"/>
                <w:highlight w:val="none"/>
                <w:shd w:val="clear" w:color="auto" w:fill="FFFFFF" w:themeFill="background1"/>
                <w:lang w:eastAsia="zh-CN"/>
              </w:rPr>
              <w:t>供应商</w:t>
            </w:r>
            <w:r>
              <w:rPr>
                <w:rFonts w:hint="eastAsia" w:ascii="仿宋" w:hAnsi="仿宋" w:eastAsia="仿宋" w:cs="仿宋"/>
                <w:color w:val="auto"/>
                <w:kern w:val="0"/>
                <w:szCs w:val="21"/>
                <w:highlight w:val="none"/>
                <w:shd w:val="clear" w:color="auto" w:fill="FFFFFF" w:themeFill="background1"/>
              </w:rPr>
              <w:t>在提交</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时需备注项目名称简称。</w:t>
            </w:r>
          </w:p>
        </w:tc>
      </w:tr>
      <w:tr w14:paraId="7144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DFC48F">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9</w:t>
            </w:r>
          </w:p>
        </w:tc>
        <w:tc>
          <w:tcPr>
            <w:tcW w:w="1795" w:type="dxa"/>
            <w:vAlign w:val="center"/>
          </w:tcPr>
          <w:p w14:paraId="04ECA9F8">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6688" w:type="dxa"/>
            <w:vAlign w:val="center"/>
          </w:tcPr>
          <w:p w14:paraId="632A8DD7">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0D2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5E725">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10</w:t>
            </w:r>
          </w:p>
        </w:tc>
        <w:tc>
          <w:tcPr>
            <w:tcW w:w="1795" w:type="dxa"/>
            <w:vAlign w:val="center"/>
          </w:tcPr>
          <w:p w14:paraId="6E617D9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采购答疑</w:t>
            </w:r>
          </w:p>
        </w:tc>
        <w:tc>
          <w:tcPr>
            <w:tcW w:w="6688" w:type="dxa"/>
            <w:vAlign w:val="center"/>
          </w:tcPr>
          <w:p w14:paraId="35561904">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1、提出询问的，应当在响应文件递交截止时间6日前以书面形式（加盖公章）递交至新疆新世纪招标有限公司，否则采购人不作任何解释。</w:t>
            </w:r>
          </w:p>
          <w:p w14:paraId="1E7DFC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提出质疑的，应当在获取</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或者</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公告期限届满之日起7个工作日内一次性以书面形式（按照财政部制定的质疑函范本编写）提出并递交至采购代理机构。</w:t>
            </w:r>
          </w:p>
          <w:p w14:paraId="4C2A87E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w:t>
            </w:r>
            <w:r>
              <w:rPr>
                <w:rFonts w:hint="eastAsia" w:ascii="仿宋" w:hAnsi="仿宋" w:eastAsia="仿宋" w:cs="仿宋"/>
                <w:color w:val="auto"/>
                <w:kern w:val="0"/>
                <w:szCs w:val="21"/>
                <w:highlight w:val="none"/>
                <w:shd w:val="clear" w:color="auto" w:fill="FFFFFF" w:themeFill="background1"/>
                <w:lang w:eastAsia="zh-CN"/>
              </w:rPr>
              <w:t>甘江涛、马丹阳</w:t>
            </w:r>
            <w:r>
              <w:rPr>
                <w:rFonts w:hint="eastAsia" w:ascii="仿宋" w:hAnsi="仿宋" w:eastAsia="仿宋" w:cs="仿宋"/>
                <w:color w:val="auto"/>
                <w:kern w:val="0"/>
                <w:szCs w:val="21"/>
                <w:highlight w:val="none"/>
                <w:shd w:val="clear" w:color="auto" w:fill="FFFFFF" w:themeFill="background1"/>
              </w:rPr>
              <w:t>；联系方式：</w:t>
            </w:r>
            <w:r>
              <w:rPr>
                <w:rFonts w:hint="eastAsia" w:ascii="仿宋" w:hAnsi="仿宋" w:eastAsia="仿宋" w:cs="仿宋"/>
                <w:color w:val="auto"/>
                <w:kern w:val="0"/>
                <w:szCs w:val="21"/>
                <w:highlight w:val="none"/>
                <w:shd w:val="clear" w:color="auto" w:fill="FFFFFF" w:themeFill="background1"/>
                <w:lang w:eastAsia="zh-CN"/>
              </w:rPr>
              <w:t>0991-4661782、18040795080</w:t>
            </w:r>
            <w:r>
              <w:rPr>
                <w:rFonts w:hint="eastAsia" w:ascii="仿宋" w:hAnsi="仿宋" w:eastAsia="仿宋" w:cs="仿宋"/>
                <w:color w:val="auto"/>
                <w:kern w:val="0"/>
                <w:szCs w:val="21"/>
                <w:highlight w:val="none"/>
                <w:shd w:val="clear" w:color="auto" w:fill="FFFFFF" w:themeFill="background1"/>
              </w:rPr>
              <w:t>。</w:t>
            </w:r>
          </w:p>
          <w:p w14:paraId="2EC6B993">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的服务要求、资格条件、评审方法、合同文本等所有内容无异议。</w:t>
            </w:r>
          </w:p>
        </w:tc>
      </w:tr>
      <w:tr w14:paraId="7629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A46A1A">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11</w:t>
            </w:r>
          </w:p>
        </w:tc>
        <w:tc>
          <w:tcPr>
            <w:tcW w:w="1795" w:type="dxa"/>
            <w:vAlign w:val="center"/>
          </w:tcPr>
          <w:p w14:paraId="7217BC86">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响应文件份数</w:t>
            </w:r>
          </w:p>
        </w:tc>
        <w:tc>
          <w:tcPr>
            <w:tcW w:w="6688" w:type="dxa"/>
            <w:vAlign w:val="center"/>
          </w:tcPr>
          <w:p w14:paraId="1B5691C9">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或</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 xml:space="preserve">失败等后果由供应商自行承担。 </w:t>
            </w:r>
          </w:p>
          <w:p w14:paraId="74DF9C28">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639C16AE">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前须提前配置好电脑浏览器，</w:t>
            </w:r>
            <w:r>
              <w:rPr>
                <w:rFonts w:hint="eastAsia" w:ascii="仿宋" w:hAnsi="仿宋" w:eastAsia="仿宋" w:cs="仿宋"/>
                <w:color w:val="auto"/>
                <w:kern w:val="0"/>
                <w:szCs w:val="21"/>
                <w:highlight w:val="none"/>
                <w:shd w:val="clear" w:color="auto" w:fill="FFFFFF" w:themeFill="background1"/>
                <w:lang w:eastAsia="zh-CN"/>
              </w:rPr>
              <w:t>开启</w:t>
            </w:r>
            <w:r>
              <w:rPr>
                <w:rFonts w:hint="eastAsia" w:ascii="仿宋" w:hAnsi="仿宋" w:eastAsia="仿宋" w:cs="仿宋"/>
                <w:color w:val="auto"/>
                <w:kern w:val="0"/>
                <w:szCs w:val="21"/>
                <w:highlight w:val="none"/>
                <w:shd w:val="clear" w:color="auto" w:fill="FFFFFF" w:themeFill="background1"/>
              </w:rPr>
              <w:t>时请使用制作加密电子响应文件的CA锁进行解密及报价确认。本项目响应文件解密时间定为30分钟，如因自身原因导致无法正常解密，后果由供应商自行承担。</w:t>
            </w:r>
          </w:p>
          <w:p w14:paraId="684029C1">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4、如遇电子交易平台的交易规则调整，以最新要求为准。</w:t>
            </w:r>
          </w:p>
        </w:tc>
      </w:tr>
      <w:tr w14:paraId="0AE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45192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12</w:t>
            </w:r>
          </w:p>
        </w:tc>
        <w:tc>
          <w:tcPr>
            <w:tcW w:w="1795" w:type="dxa"/>
            <w:vAlign w:val="center"/>
          </w:tcPr>
          <w:p w14:paraId="42BF96AC">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响应文件递交</w:t>
            </w:r>
          </w:p>
        </w:tc>
        <w:tc>
          <w:tcPr>
            <w:tcW w:w="6688" w:type="dxa"/>
            <w:vAlign w:val="center"/>
          </w:tcPr>
          <w:p w14:paraId="22BAFB0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2026年05月26日 10:30</w:t>
            </w:r>
            <w:r>
              <w:rPr>
                <w:rFonts w:hint="eastAsia" w:ascii="仿宋" w:hAnsi="仿宋" w:eastAsia="仿宋" w:cs="仿宋"/>
                <w:color w:val="auto"/>
                <w:kern w:val="0"/>
                <w:szCs w:val="21"/>
                <w:highlight w:val="none"/>
                <w:shd w:val="clear" w:color="auto" w:fill="FFFFFF" w:themeFill="background1"/>
              </w:rPr>
              <w:t>（北京时间）</w:t>
            </w:r>
          </w:p>
          <w:p w14:paraId="64EC48D0">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BFD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C16EB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13</w:t>
            </w:r>
          </w:p>
        </w:tc>
        <w:tc>
          <w:tcPr>
            <w:tcW w:w="1795" w:type="dxa"/>
            <w:vAlign w:val="center"/>
          </w:tcPr>
          <w:p w14:paraId="351F0390">
            <w:pPr>
              <w:keepNext/>
              <w:widowControl/>
              <w:spacing w:line="288"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开启</w:t>
            </w:r>
          </w:p>
        </w:tc>
        <w:tc>
          <w:tcPr>
            <w:tcW w:w="6688" w:type="dxa"/>
            <w:vAlign w:val="center"/>
          </w:tcPr>
          <w:p w14:paraId="13A8E394">
            <w:pPr>
              <w:spacing w:line="288" w:lineRule="auto"/>
              <w:jc w:val="left"/>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2026年05月26日 10:30</w:t>
            </w:r>
            <w:r>
              <w:rPr>
                <w:rFonts w:hint="eastAsia" w:ascii="仿宋" w:hAnsi="仿宋" w:eastAsia="仿宋" w:cs="仿宋"/>
                <w:color w:val="auto"/>
                <w:kern w:val="0"/>
                <w:szCs w:val="21"/>
                <w:highlight w:val="none"/>
                <w:shd w:val="clear" w:color="auto" w:fill="FFFFFF" w:themeFill="background1"/>
              </w:rPr>
              <w:t>（北京时间）</w:t>
            </w:r>
          </w:p>
          <w:p w14:paraId="115FBE6D">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63E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7B3CDDD">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14</w:t>
            </w:r>
          </w:p>
        </w:tc>
        <w:tc>
          <w:tcPr>
            <w:tcW w:w="1795" w:type="dxa"/>
            <w:vAlign w:val="center"/>
          </w:tcPr>
          <w:p w14:paraId="410F5AB4">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响应有效期</w:t>
            </w:r>
          </w:p>
        </w:tc>
        <w:tc>
          <w:tcPr>
            <w:tcW w:w="6688" w:type="dxa"/>
            <w:vAlign w:val="center"/>
          </w:tcPr>
          <w:p w14:paraId="2852D299">
            <w:pPr>
              <w:keepNext/>
              <w:widowControl/>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w:t>
            </w:r>
            <w:r>
              <w:rPr>
                <w:rFonts w:hint="eastAsia" w:ascii="仿宋" w:hAnsi="仿宋" w:eastAsia="仿宋" w:cs="仿宋"/>
                <w:color w:val="auto"/>
                <w:kern w:val="0"/>
                <w:szCs w:val="21"/>
                <w:highlight w:val="none"/>
                <w:shd w:val="clear" w:color="auto" w:fill="FFFFFF" w:themeFill="background1"/>
                <w:lang w:val="en-US" w:eastAsia="zh-CN"/>
              </w:rPr>
              <w:t>响应</w:t>
            </w:r>
            <w:r>
              <w:rPr>
                <w:rFonts w:hint="eastAsia" w:ascii="仿宋" w:hAnsi="仿宋" w:eastAsia="仿宋" w:cs="仿宋"/>
                <w:color w:val="auto"/>
                <w:kern w:val="0"/>
                <w:szCs w:val="21"/>
                <w:highlight w:val="none"/>
                <w:shd w:val="clear" w:color="auto" w:fill="FFFFFF" w:themeFill="background1"/>
              </w:rPr>
              <w:t>截止之日90日历日</w:t>
            </w:r>
          </w:p>
        </w:tc>
      </w:tr>
      <w:tr w14:paraId="3D55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56E589">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15</w:t>
            </w:r>
          </w:p>
        </w:tc>
        <w:tc>
          <w:tcPr>
            <w:tcW w:w="1795" w:type="dxa"/>
            <w:vAlign w:val="center"/>
          </w:tcPr>
          <w:p w14:paraId="5ED3E92B">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6688" w:type="dxa"/>
            <w:vAlign w:val="center"/>
          </w:tcPr>
          <w:p w14:paraId="72884FA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新疆政府采购网（http://www.ccgp-xinjiang.gov.cn/home.html）</w:t>
            </w:r>
          </w:p>
        </w:tc>
      </w:tr>
      <w:tr w14:paraId="5A1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D9BA98">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16</w:t>
            </w:r>
          </w:p>
        </w:tc>
        <w:tc>
          <w:tcPr>
            <w:tcW w:w="1795" w:type="dxa"/>
            <w:vAlign w:val="center"/>
          </w:tcPr>
          <w:p w14:paraId="00880C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6688" w:type="dxa"/>
            <w:vAlign w:val="center"/>
          </w:tcPr>
          <w:p w14:paraId="31471930">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合同金额的10%</w:t>
            </w:r>
            <w:r>
              <w:rPr>
                <w:rFonts w:hint="eastAsia" w:ascii="仿宋" w:hAnsi="仿宋" w:eastAsia="仿宋" w:cs="仿宋"/>
                <w:color w:val="auto"/>
                <w:kern w:val="0"/>
                <w:szCs w:val="21"/>
                <w:highlight w:val="none"/>
                <w:shd w:val="clear" w:color="auto" w:fill="FFFFFF" w:themeFill="background1"/>
              </w:rPr>
              <w:t>。</w:t>
            </w:r>
          </w:p>
          <w:p w14:paraId="0A1045E0">
            <w:pPr>
              <w:spacing w:line="288"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rPr>
              <w:t>2、供应商应当以支票、汇票、本票或者金融机构、担保机构出具的保函等非现金形式提交履约保证金。</w:t>
            </w:r>
          </w:p>
        </w:tc>
      </w:tr>
      <w:tr w14:paraId="2A9D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BB1F346">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17</w:t>
            </w:r>
          </w:p>
        </w:tc>
        <w:tc>
          <w:tcPr>
            <w:tcW w:w="1795" w:type="dxa"/>
            <w:vAlign w:val="center"/>
          </w:tcPr>
          <w:p w14:paraId="4F981522">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6688" w:type="dxa"/>
            <w:vAlign w:val="center"/>
          </w:tcPr>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4FFF08E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1288B277">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7</w:t>
            </w:r>
            <w:r>
              <w:rPr>
                <w:rFonts w:hint="eastAsia" w:ascii="仿宋" w:hAnsi="仿宋" w:eastAsia="仿宋" w:cs="仿宋"/>
                <w:color w:val="auto"/>
                <w:kern w:val="0"/>
                <w:szCs w:val="21"/>
                <w:highlight w:val="none"/>
                <w:shd w:val="clear" w:color="auto" w:fill="FFFFFF" w:themeFill="background1"/>
              </w:rPr>
              <w:t>、根据“关于印发中小企业划型标准规定的通知(工信部联企业〔2011〕300号)”等有关规定，本项目标的所属行业为软件和信息技术服务业。</w:t>
            </w:r>
          </w:p>
        </w:tc>
      </w:tr>
      <w:tr w14:paraId="7EB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CA1001">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18</w:t>
            </w:r>
          </w:p>
        </w:tc>
        <w:tc>
          <w:tcPr>
            <w:tcW w:w="1795" w:type="dxa"/>
            <w:vAlign w:val="center"/>
          </w:tcPr>
          <w:p w14:paraId="672B4F15">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是否允许分包</w:t>
            </w:r>
          </w:p>
        </w:tc>
        <w:tc>
          <w:tcPr>
            <w:tcW w:w="6688" w:type="dxa"/>
            <w:vAlign w:val="center"/>
          </w:tcPr>
          <w:p w14:paraId="0E8719FF">
            <w:pPr>
              <w:keepNext/>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94904B2">
            <w:pPr>
              <w:keepNext/>
              <w:widowControl/>
              <w:spacing w:line="288" w:lineRule="auto"/>
              <w:ind w:firstLine="420" w:firstLineChars="200"/>
              <w:jc w:val="left"/>
              <w:rPr>
                <w:rFonts w:hint="eastAsia" w:ascii="仿宋" w:hAnsi="仿宋" w:eastAsia="仿宋" w:cs="仿宋"/>
                <w:color w:val="auto"/>
                <w:kern w:val="0"/>
                <w:szCs w:val="21"/>
                <w:highlight w:val="none"/>
                <w:u w:val="single"/>
                <w:shd w:val="clear" w:color="auto" w:fill="FFFFFF" w:themeFill="background1"/>
                <w:lang w:val="en-US" w:eastAsia="zh-CN"/>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p>
        </w:tc>
      </w:tr>
      <w:tr w14:paraId="7B34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829365E">
            <w:pPr>
              <w:spacing w:line="288"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19</w:t>
            </w:r>
          </w:p>
        </w:tc>
        <w:tc>
          <w:tcPr>
            <w:tcW w:w="1795" w:type="dxa"/>
            <w:vAlign w:val="center"/>
          </w:tcPr>
          <w:p w14:paraId="091DD299">
            <w:pPr>
              <w:keepNext/>
              <w:widowControl/>
              <w:spacing w:line="288"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6688" w:type="dxa"/>
            <w:vAlign w:val="center"/>
          </w:tcPr>
          <w:p w14:paraId="1E4722B0">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Cs w:val="21"/>
                <w:highlight w:val="none"/>
                <w:lang w:val="en-US" w:eastAsia="zh-CN"/>
              </w:rPr>
              <w:t>采购文件中所述政策法规、标准规范等文件，如有新文件则按新文件执行，如已废止则仅为参考。</w:t>
            </w:r>
          </w:p>
          <w:p w14:paraId="2712D73A">
            <w:pPr>
              <w:keepNext/>
              <w:widowControl/>
              <w:numPr>
                <w:ilvl w:val="0"/>
                <w:numId w:val="0"/>
              </w:numPr>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Cs w:val="21"/>
                <w:highlight w:val="none"/>
                <w:lang w:val="en-US" w:eastAsia="zh-CN"/>
              </w:rPr>
              <w:t>供应商须根据采购文件要求在响应文件中提供评审所需的相应证明材料扫描件。</w:t>
            </w:r>
          </w:p>
          <w:p w14:paraId="171B51C8">
            <w:pPr>
              <w:keepNext/>
              <w:widowControl/>
              <w:numPr>
                <w:ilvl w:val="0"/>
                <w:numId w:val="0"/>
              </w:numPr>
              <w:ind w:firstLine="420" w:firstLineChars="200"/>
              <w:jc w:val="left"/>
              <w:rPr>
                <w:rFonts w:hint="eastAsia" w:ascii="仿宋" w:hAnsi="仿宋" w:eastAsia="仿宋" w:cs="仿宋"/>
                <w:color w:val="auto"/>
                <w:kern w:val="0"/>
                <w:sz w:val="21"/>
                <w:szCs w:val="21"/>
                <w:highlight w:val="none"/>
                <w:shd w:val="clear" w:fill="FFFFFF" w:themeFill="background1"/>
                <w:lang w:val="en-US" w:eastAsia="zh-CN" w:bidi="ar-SA"/>
              </w:rPr>
            </w:pPr>
            <w:r>
              <w:rPr>
                <w:rFonts w:hint="eastAsia" w:ascii="仿宋" w:hAnsi="仿宋" w:eastAsia="仿宋" w:cs="仿宋"/>
                <w:color w:val="auto"/>
                <w:kern w:val="0"/>
                <w:sz w:val="21"/>
                <w:szCs w:val="21"/>
                <w:highlight w:val="none"/>
                <w:shd w:val="clear" w:fill="FFFFFF" w:themeFill="background1"/>
                <w:lang w:val="en-US" w:eastAsia="zh-CN" w:bidi="ar-SA"/>
              </w:rPr>
              <w:t>3、</w:t>
            </w:r>
            <w:r>
              <w:rPr>
                <w:rFonts w:hint="eastAsia" w:ascii="仿宋" w:hAnsi="仿宋" w:eastAsia="仿宋" w:cs="仿宋"/>
                <w:color w:val="auto"/>
                <w:kern w:val="0"/>
                <w:szCs w:val="21"/>
                <w:highlight w:val="none"/>
                <w:lang w:val="en-US" w:eastAsia="zh-CN"/>
              </w:rPr>
              <w:t>最低报价不能作为中标的保证。</w:t>
            </w:r>
          </w:p>
          <w:p w14:paraId="393C2011">
            <w:pPr>
              <w:keepNext/>
              <w:widowControl/>
              <w:numPr>
                <w:ilvl w:val="0"/>
                <w:numId w:val="0"/>
              </w:numPr>
              <w:ind w:firstLine="420" w:firstLineChars="200"/>
              <w:jc w:val="left"/>
              <w:rPr>
                <w:rFonts w:hint="eastAsia" w:ascii="仿宋" w:hAnsi="仿宋" w:eastAsia="仿宋" w:cs="仿宋"/>
                <w:color w:val="auto"/>
                <w:highlight w:val="none"/>
                <w:lang w:val="en-US"/>
              </w:rPr>
            </w:pPr>
            <w:r>
              <w:rPr>
                <w:rFonts w:hint="eastAsia" w:ascii="仿宋" w:hAnsi="仿宋" w:eastAsia="仿宋" w:cs="仿宋"/>
                <w:color w:val="auto"/>
                <w:kern w:val="0"/>
                <w:sz w:val="21"/>
                <w:szCs w:val="21"/>
                <w:highlight w:val="none"/>
                <w:shd w:val="clear" w:fill="FFFFFF" w:themeFill="background1"/>
                <w:lang w:val="en-US" w:eastAsia="zh-CN" w:bidi="ar-SA"/>
              </w:rPr>
              <w:t>4、</w:t>
            </w:r>
            <w:r>
              <w:rPr>
                <w:rFonts w:hint="eastAsia" w:ascii="仿宋" w:hAnsi="仿宋" w:eastAsia="仿宋" w:cs="仿宋"/>
                <w:color w:val="auto"/>
                <w:kern w:val="0"/>
                <w:szCs w:val="21"/>
                <w:highlight w:val="none"/>
                <w:lang w:val="en-US" w:eastAsia="zh-CN"/>
              </w:rPr>
              <w:t>本表内容如与后文内容不一致处，以本表为准。</w:t>
            </w:r>
          </w:p>
        </w:tc>
      </w:tr>
    </w:tbl>
    <w:p w14:paraId="15470D41">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7" w:name="_BookMark_3"/>
      <w:bookmarkEnd w:id="7"/>
      <w:r>
        <w:rPr>
          <w:rFonts w:hint="eastAsia" w:ascii="仿宋" w:hAnsi="仿宋" w:eastAsia="仿宋" w:cs="仿宋"/>
          <w:color w:val="auto"/>
          <w:kern w:val="0"/>
          <w:sz w:val="24"/>
          <w:szCs w:val="24"/>
          <w:highlight w:val="none"/>
          <w:shd w:val="clear" w:color="auto" w:fill="FFFFFF" w:themeFill="background1"/>
        </w:rPr>
        <w:br w:type="page"/>
      </w:r>
      <w:bookmarkStart w:id="8" w:name="_Toc32670"/>
      <w:r>
        <w:rPr>
          <w:rFonts w:hint="eastAsia" w:ascii="仿宋" w:hAnsi="仿宋" w:eastAsia="仿宋" w:cs="仿宋"/>
          <w:b/>
          <w:color w:val="auto"/>
          <w:sz w:val="24"/>
          <w:szCs w:val="24"/>
          <w:highlight w:val="none"/>
          <w:shd w:val="clear" w:color="auto" w:fill="FFFFFF" w:themeFill="background1"/>
        </w:rPr>
        <w:t>第一章 供应商须知</w:t>
      </w:r>
      <w:bookmarkEnd w:id="8"/>
      <w:bookmarkStart w:id="9" w:name="_BookMark_2"/>
      <w:bookmarkEnd w:id="9"/>
    </w:p>
    <w:p w14:paraId="4B91F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0" w:name="_Toc6429"/>
      <w:r>
        <w:rPr>
          <w:rFonts w:hint="eastAsia" w:ascii="仿宋" w:hAnsi="仿宋" w:eastAsia="仿宋" w:cs="仿宋"/>
          <w:b/>
          <w:color w:val="auto"/>
          <w:sz w:val="24"/>
          <w:szCs w:val="24"/>
          <w:highlight w:val="none"/>
          <w:shd w:val="clear" w:color="auto" w:fill="FFFFFF" w:themeFill="background1"/>
        </w:rPr>
        <w:t>一、总则</w:t>
      </w:r>
      <w:bookmarkEnd w:id="10"/>
    </w:p>
    <w:p w14:paraId="651AD5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 采购项目概况</w:t>
      </w:r>
    </w:p>
    <w:p w14:paraId="030EB1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1.1.1项目名称：见供应商须知前附表。</w:t>
      </w:r>
    </w:p>
    <w:p w14:paraId="2D0E13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1.1.2项目编号：见供应商须知前附表。</w:t>
      </w:r>
    </w:p>
    <w:p w14:paraId="152A6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1.1.3采购人：见供应商须知前附表。</w:t>
      </w:r>
    </w:p>
    <w:p w14:paraId="5BBB2C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1.1.4采购代理机构：见供应商须知前附表。</w:t>
      </w:r>
    </w:p>
    <w:p w14:paraId="7DA0B6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1.1.5项目地点：见供应商须知前附表。</w:t>
      </w:r>
    </w:p>
    <w:p w14:paraId="1E0D73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1.1.6资金来源：见供应商须知前附表。</w:t>
      </w:r>
    </w:p>
    <w:p w14:paraId="2D037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1.1.7采购预算金额：见供应商须知前附表。</w:t>
      </w:r>
    </w:p>
    <w:p w14:paraId="2DCB97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1.1.8</w:t>
      </w:r>
      <w:r>
        <w:rPr>
          <w:rFonts w:hint="eastAsia" w:ascii="仿宋" w:hAnsi="仿宋" w:eastAsia="仿宋" w:cs="仿宋"/>
          <w:color w:val="auto"/>
          <w:kern w:val="0"/>
          <w:sz w:val="24"/>
          <w:szCs w:val="24"/>
          <w:highlight w:val="none"/>
          <w:shd w:val="clear" w:color="auto" w:fill="FFFFFF" w:themeFill="background1"/>
          <w:lang w:val="en-US" w:eastAsia="zh-CN"/>
        </w:rPr>
        <w:t>最高限价</w:t>
      </w:r>
      <w:r>
        <w:rPr>
          <w:rFonts w:hint="eastAsia" w:ascii="仿宋" w:hAnsi="仿宋" w:eastAsia="仿宋" w:cs="仿宋"/>
          <w:color w:val="auto"/>
          <w:kern w:val="0"/>
          <w:sz w:val="24"/>
          <w:szCs w:val="24"/>
          <w:highlight w:val="none"/>
          <w:shd w:val="clear" w:color="auto" w:fill="FFFFFF" w:themeFill="background1"/>
        </w:rPr>
        <w:t>：见供应商须知前附表。</w:t>
      </w:r>
    </w:p>
    <w:p w14:paraId="1985A3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lang w:eastAsia="zh-CN"/>
        </w:rPr>
        <w:t>合同履约期限</w:t>
      </w:r>
      <w:r>
        <w:rPr>
          <w:rFonts w:hint="eastAsia" w:ascii="仿宋" w:hAnsi="仿宋" w:eastAsia="仿宋" w:cs="仿宋"/>
          <w:color w:val="auto"/>
          <w:kern w:val="0"/>
          <w:sz w:val="24"/>
          <w:szCs w:val="24"/>
          <w:highlight w:val="none"/>
          <w:shd w:val="clear" w:color="auto" w:fill="FFFFFF" w:themeFill="background1"/>
        </w:rPr>
        <w:t>：见供应商须知前附表。</w:t>
      </w:r>
    </w:p>
    <w:p w14:paraId="30EE5A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服务地点：见供应商须知前附表。</w:t>
      </w:r>
    </w:p>
    <w:p w14:paraId="6B54F6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1.2采购范围：见供应商须知前附表。</w:t>
      </w:r>
    </w:p>
    <w:p w14:paraId="1BB24B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 采购方式和资格审查方式</w:t>
      </w:r>
    </w:p>
    <w:p w14:paraId="6230ED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1.3.1 采购方式：见供应商须知前附表。</w:t>
      </w:r>
    </w:p>
    <w:p w14:paraId="7F576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1.3.2 资格审查方式：见供应商须知前附表。</w:t>
      </w:r>
    </w:p>
    <w:p w14:paraId="653E71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 评审办法及定标方法</w:t>
      </w:r>
    </w:p>
    <w:p w14:paraId="6392EE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1.4.1 评审办法：见供应商须知前附表。</w:t>
      </w:r>
    </w:p>
    <w:p w14:paraId="58396D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1.4.2 定标方法：见供应商须知前附表。</w:t>
      </w:r>
    </w:p>
    <w:p w14:paraId="3B28A4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1.5 </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：见供应商须知前附表。</w:t>
      </w:r>
    </w:p>
    <w:p w14:paraId="051C9F04">
      <w:pPr>
        <w:widowControl/>
        <w:shd w:val="clear" w:color="auto" w:fill="FFFFFF"/>
        <w:snapToGrid w:val="0"/>
        <w:spacing w:line="360" w:lineRule="auto"/>
        <w:ind w:firstLine="480" w:firstLineChars="200"/>
        <w:rPr>
          <w:rFonts w:hint="eastAsia" w:ascii="仿宋" w:hAnsi="仿宋" w:eastAsia="仿宋" w:cs="仿宋"/>
          <w:b/>
          <w:bCs/>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1.6 供应商不得存在的情形：见供应商须知前附表。</w:t>
      </w:r>
    </w:p>
    <w:p w14:paraId="18D3DF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1.7费用承担</w:t>
      </w:r>
    </w:p>
    <w:p w14:paraId="54BD8A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费：见供应商须知前附表。</w:t>
      </w:r>
    </w:p>
    <w:p w14:paraId="2D9885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1.7.2供应商应承担其编制响应文件与递交响应文件所涉及的一切费用，无论</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结果如何，采购人及采购代理机构对上述费用不作任何补偿。</w:t>
      </w:r>
      <w:r>
        <w:rPr>
          <w:rFonts w:hint="eastAsia" w:ascii="仿宋" w:hAnsi="仿宋" w:eastAsia="仿宋" w:cs="仿宋"/>
          <w:color w:val="auto"/>
          <w:kern w:val="0"/>
          <w:sz w:val="24"/>
          <w:szCs w:val="24"/>
          <w:highlight w:val="none"/>
          <w:shd w:val="clear" w:color="auto" w:fill="FFFFFF" w:themeFill="background1"/>
          <w:lang w:eastAsia="zh-CN"/>
        </w:rPr>
        <w:t>代理服务费</w:t>
      </w:r>
      <w:r>
        <w:rPr>
          <w:rFonts w:hint="eastAsia" w:ascii="仿宋" w:hAnsi="仿宋" w:eastAsia="仿宋" w:cs="仿宋"/>
          <w:color w:val="auto"/>
          <w:kern w:val="0"/>
          <w:sz w:val="24"/>
          <w:szCs w:val="24"/>
          <w:highlight w:val="none"/>
          <w:shd w:val="clear" w:color="auto" w:fill="FFFFFF" w:themeFill="background1"/>
        </w:rPr>
        <w:t>由成交供应商支付。</w:t>
      </w:r>
    </w:p>
    <w:p w14:paraId="26BDD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1.8</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：见供应商须知前附表。</w:t>
      </w:r>
    </w:p>
    <w:p w14:paraId="185FDF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1.9现场踏勘</w:t>
      </w:r>
    </w:p>
    <w:p w14:paraId="0C5F3A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1.9.1 供应商须知前附表规定组织踏勘现场的，采购人或采购代理机构按供应商须知前附表规定的时间、地点组织供应商踏勘项目现场。 </w:t>
      </w:r>
    </w:p>
    <w:p w14:paraId="65A8B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1.9.2 供应商踏勘现场发生的费用自理。</w:t>
      </w:r>
    </w:p>
    <w:p w14:paraId="1EA03C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1.9.3 除采购人或采购代理机构的原因外，供应商自行负责在踏勘现场中所发生的人员伤亡和财产损失。</w:t>
      </w:r>
    </w:p>
    <w:p w14:paraId="4CDC45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1.9.4 采购人或采购代理机构在踏勘现场中介绍的项目有关情况，供应商在编制响应文件时参考，采购人或采购代理机构不对供应商据此作出的判断和决策负责。</w:t>
      </w:r>
    </w:p>
    <w:p w14:paraId="371337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 采购答疑</w:t>
      </w:r>
    </w:p>
    <w:p w14:paraId="5E573F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1.10.1 供应商若有疑问，应按规定的时间、方式向采购人或采购代理机构提出，要求采购人对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6B17FF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1.10.2 采购人或采购代理机构将按规定的时间方式对供应商的疑问作出统一的解答。</w:t>
      </w:r>
    </w:p>
    <w:p w14:paraId="3F2A2C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1.11响应文件份数：见供应商须知前附表。</w:t>
      </w:r>
    </w:p>
    <w:p w14:paraId="783B1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1.12响应文件递交：见供应商须知前附表。</w:t>
      </w:r>
    </w:p>
    <w:p w14:paraId="460BB0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：见供应商须知前附表。</w:t>
      </w:r>
    </w:p>
    <w:p w14:paraId="2F476D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1.14响应有效期：见供应商须知前附表。</w:t>
      </w:r>
    </w:p>
    <w:p w14:paraId="15ECE7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1.15公告发布媒体：见供应商须知前附表。</w:t>
      </w:r>
    </w:p>
    <w:p w14:paraId="29AAEA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1.16履约保证金：见供应商须知前附表。</w:t>
      </w:r>
    </w:p>
    <w:p w14:paraId="519907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1.17中小企业政策说明：见供应商须知前附表。</w:t>
      </w:r>
    </w:p>
    <w:p w14:paraId="5DAE75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1.18是否允许分包：见供应商须知前附表。</w:t>
      </w:r>
    </w:p>
    <w:p w14:paraId="27416E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1.19保密</w:t>
      </w:r>
    </w:p>
    <w:p w14:paraId="20B8F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参与</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的各方应当对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和响应文件中的商业和技术等秘密保密，否则应当承担相应的法律责任。</w:t>
      </w:r>
    </w:p>
    <w:p w14:paraId="38D4DF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1.20语言文字</w:t>
      </w:r>
    </w:p>
    <w:p w14:paraId="087F31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除专用术语外，与</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有关的语言均应当使用中文。必要时专用术语应附有中文注释。</w:t>
      </w:r>
    </w:p>
    <w:p w14:paraId="305259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1.21 计量单位</w:t>
      </w:r>
    </w:p>
    <w:p w14:paraId="1BB5E0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所有计量均采用中华人民共和国法定计量单位。</w:t>
      </w:r>
    </w:p>
    <w:p w14:paraId="1AB0C2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1.22 偏离</w:t>
      </w:r>
    </w:p>
    <w:p w14:paraId="6C954C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响应文件与</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某些要求产生偏离的，偏离应当符合</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规定的偏离范围和幅度。</w:t>
      </w:r>
    </w:p>
    <w:p w14:paraId="00811E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1" w:name="_Toc27496"/>
      <w:r>
        <w:rPr>
          <w:rFonts w:hint="eastAsia" w:ascii="仿宋" w:hAnsi="仿宋" w:eastAsia="仿宋" w:cs="仿宋"/>
          <w:b/>
          <w:color w:val="auto"/>
          <w:sz w:val="24"/>
          <w:szCs w:val="24"/>
          <w:highlight w:val="none"/>
          <w:shd w:val="clear" w:color="auto" w:fill="FFFFFF" w:themeFill="background1"/>
        </w:rPr>
        <w:t>二、</w:t>
      </w:r>
      <w:r>
        <w:rPr>
          <w:rFonts w:hint="eastAsia" w:ascii="仿宋" w:hAnsi="仿宋" w:eastAsia="仿宋" w:cs="仿宋"/>
          <w:b/>
          <w:color w:val="auto"/>
          <w:sz w:val="24"/>
          <w:szCs w:val="24"/>
          <w:highlight w:val="none"/>
          <w:shd w:val="clear" w:color="auto" w:fill="FFFFFF" w:themeFill="background1"/>
          <w:lang w:eastAsia="zh-CN"/>
        </w:rPr>
        <w:t>采购文件</w:t>
      </w:r>
      <w:bookmarkEnd w:id="11"/>
    </w:p>
    <w:p w14:paraId="19B72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w:t>
      </w:r>
    </w:p>
    <w:p w14:paraId="346282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（1）磋商公告</w:t>
      </w:r>
    </w:p>
    <w:p w14:paraId="376D48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72627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707364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（4）评审办法</w:t>
      </w:r>
    </w:p>
    <w:p w14:paraId="286E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5775E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服务标准和要求</w:t>
      </w:r>
      <w:r>
        <w:rPr>
          <w:rFonts w:hint="eastAsia" w:ascii="仿宋" w:hAnsi="仿宋" w:eastAsia="仿宋" w:cs="仿宋"/>
          <w:color w:val="auto"/>
          <w:kern w:val="0"/>
          <w:sz w:val="24"/>
          <w:szCs w:val="24"/>
          <w:highlight w:val="none"/>
        </w:rPr>
        <w:t>；</w:t>
      </w:r>
    </w:p>
    <w:p w14:paraId="4FF967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（7）响应文件格式；</w:t>
      </w:r>
    </w:p>
    <w:p w14:paraId="2A3493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7E6AE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根据本章第2.3款和第2.4款对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所作的澄清、修改，构成</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w:t>
      </w:r>
    </w:p>
    <w:p w14:paraId="77A588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的获取</w:t>
      </w:r>
    </w:p>
    <w:p w14:paraId="2188F2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凡有意参加并符合供应商须知前附表“</w:t>
      </w:r>
      <w:r>
        <w:rPr>
          <w:rFonts w:hint="eastAsia" w:ascii="仿宋" w:hAnsi="仿宋" w:eastAsia="仿宋" w:cs="仿宋"/>
          <w:color w:val="auto"/>
          <w:kern w:val="0"/>
          <w:sz w:val="24"/>
          <w:szCs w:val="24"/>
          <w:highlight w:val="none"/>
          <w:shd w:val="clear" w:color="auto" w:fill="FFFFFF" w:themeFill="background1"/>
          <w:lang w:eastAsia="zh-CN"/>
        </w:rPr>
        <w:t>供应商的资格要求</w:t>
      </w:r>
      <w:r>
        <w:rPr>
          <w:rFonts w:hint="eastAsia" w:ascii="仿宋" w:hAnsi="仿宋" w:eastAsia="仿宋" w:cs="仿宋"/>
          <w:color w:val="auto"/>
          <w:kern w:val="0"/>
          <w:sz w:val="24"/>
          <w:szCs w:val="24"/>
          <w:highlight w:val="none"/>
          <w:shd w:val="clear" w:color="auto" w:fill="FFFFFF" w:themeFill="background1"/>
        </w:rPr>
        <w:t>”的供应商，均可获取</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68884F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w:t>
      </w:r>
    </w:p>
    <w:p w14:paraId="6FEEFB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 供应商应当仔细阅读和检查</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予以澄清。</w:t>
      </w:r>
    </w:p>
    <w:p w14:paraId="5D035D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的澄清将按照供应商须知前附表规定的时间、方式发布，但不指明澄清问题的来源。</w:t>
      </w:r>
    </w:p>
    <w:p w14:paraId="7BCB5C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w:t>
      </w:r>
    </w:p>
    <w:p w14:paraId="39FE5B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2.4.1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的修改将按照供应商须知前附表规定的时间、方式发布，但不指明澄清问题的来源。</w:t>
      </w:r>
    </w:p>
    <w:p w14:paraId="6C1556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进行修改。</w:t>
      </w:r>
    </w:p>
    <w:p w14:paraId="649ACC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2.4.3 </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的修改部分是</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的组成部分对供应商具有约束力。</w:t>
      </w:r>
    </w:p>
    <w:p w14:paraId="4E623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时有充分时间对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的修改部分进行研究，采购人可适当推迟</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043705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的答疑文件、修改文件、补充文件前后不一致，发生矛盾情况时，以最后发出的为准。</w:t>
      </w:r>
    </w:p>
    <w:p w14:paraId="4F94BE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65147E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74C248F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2" w:name="_BookMark_6"/>
      <w:bookmarkEnd w:id="12"/>
      <w:bookmarkStart w:id="13" w:name="_Toc994"/>
      <w:r>
        <w:rPr>
          <w:rFonts w:hint="eastAsia" w:ascii="仿宋" w:hAnsi="仿宋" w:eastAsia="仿宋" w:cs="仿宋"/>
          <w:b/>
          <w:color w:val="auto"/>
          <w:sz w:val="24"/>
          <w:szCs w:val="24"/>
          <w:highlight w:val="none"/>
          <w:shd w:val="clear" w:color="auto" w:fill="FFFFFF" w:themeFill="background1"/>
        </w:rPr>
        <w:t>三、响应文件</w:t>
      </w:r>
      <w:bookmarkEnd w:id="13"/>
    </w:p>
    <w:p w14:paraId="02806D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响应文件的组成</w:t>
      </w:r>
    </w:p>
    <w:p w14:paraId="18CD37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3.1.1响应文件应包括下列内容：</w:t>
      </w:r>
    </w:p>
    <w:p w14:paraId="4BD70EF4">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w:t>
      </w:r>
      <w:r>
        <w:rPr>
          <w:rFonts w:hint="eastAsia" w:ascii="仿宋" w:hAnsi="仿宋" w:eastAsia="仿宋" w:cs="仿宋"/>
          <w:color w:val="auto"/>
          <w:kern w:val="0"/>
          <w:sz w:val="24"/>
          <w:szCs w:val="24"/>
          <w:highlight w:val="none"/>
          <w:shd w:val="clear" w:color="auto" w:fill="FFFFFF" w:themeFill="background1"/>
          <w:lang w:val="en-US" w:eastAsia="zh-CN"/>
        </w:rPr>
        <w:t>启</w:t>
      </w:r>
      <w:r>
        <w:rPr>
          <w:rFonts w:hint="eastAsia" w:ascii="仿宋" w:hAnsi="仿宋" w:eastAsia="仿宋" w:cs="仿宋"/>
          <w:color w:val="auto"/>
          <w:kern w:val="0"/>
          <w:sz w:val="24"/>
          <w:szCs w:val="24"/>
          <w:highlight w:val="none"/>
          <w:shd w:val="clear" w:color="auto" w:fill="FFFFFF" w:themeFill="background1"/>
        </w:rPr>
        <w:t>一览表</w:t>
      </w:r>
    </w:p>
    <w:p w14:paraId="7B77848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、响应函</w:t>
      </w:r>
    </w:p>
    <w:p w14:paraId="7050342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价格明细表</w:t>
      </w:r>
    </w:p>
    <w:p w14:paraId="6B55EA1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商务条款偏离表</w:t>
      </w:r>
    </w:p>
    <w:p w14:paraId="57DEFD6D">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技术条款偏离表</w:t>
      </w:r>
    </w:p>
    <w:p w14:paraId="64103B9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法定代表人身份证明书</w:t>
      </w:r>
    </w:p>
    <w:p w14:paraId="6B245D90">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法定代表人授权委托书</w:t>
      </w:r>
    </w:p>
    <w:p w14:paraId="0E479437">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资格条件证明材料</w:t>
      </w:r>
    </w:p>
    <w:p w14:paraId="3E53CF5B">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近年类似项目情况表</w:t>
      </w:r>
    </w:p>
    <w:p w14:paraId="7D0BA9F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项目负责人简历表</w:t>
      </w:r>
    </w:p>
    <w:p w14:paraId="7290DAB8">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拟派主要服务人员情况表</w:t>
      </w:r>
    </w:p>
    <w:p w14:paraId="5E10021E">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服务方案</w:t>
      </w:r>
    </w:p>
    <w:p w14:paraId="07E4798F">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保证金缴纳证明材料</w:t>
      </w:r>
    </w:p>
    <w:p w14:paraId="564FEC66">
      <w:pPr>
        <w:widowControl/>
        <w:numPr>
          <w:ilvl w:val="0"/>
          <w:numId w:val="1"/>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其它需要提交的资料</w:t>
      </w:r>
    </w:p>
    <w:p w14:paraId="7FB361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3.2 </w:t>
      </w:r>
      <w:r>
        <w:rPr>
          <w:rFonts w:hint="eastAsia" w:ascii="仿宋" w:hAnsi="仿宋" w:eastAsia="仿宋" w:cs="仿宋"/>
          <w:color w:val="auto"/>
          <w:kern w:val="0"/>
          <w:sz w:val="24"/>
          <w:szCs w:val="24"/>
          <w:highlight w:val="none"/>
          <w:shd w:val="clear" w:color="auto" w:fill="FFFFFF" w:themeFill="background1"/>
          <w:lang w:eastAsia="zh-CN"/>
        </w:rPr>
        <w:t>响应价格</w:t>
      </w:r>
    </w:p>
    <w:p w14:paraId="7F2576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 供应商应当按第四章“</w:t>
      </w:r>
      <w:r>
        <w:rPr>
          <w:rFonts w:hint="eastAsia" w:ascii="仿宋" w:hAnsi="仿宋" w:eastAsia="仿宋" w:cs="仿宋"/>
          <w:color w:val="auto"/>
          <w:kern w:val="0"/>
          <w:sz w:val="24"/>
          <w:szCs w:val="24"/>
          <w:highlight w:val="none"/>
          <w:shd w:val="clear" w:color="auto" w:fill="FFFFFF" w:themeFill="background1"/>
          <w:lang w:eastAsia="zh-CN"/>
        </w:rPr>
        <w:t>服务标准和要求</w:t>
      </w:r>
      <w:r>
        <w:rPr>
          <w:rFonts w:hint="eastAsia" w:ascii="仿宋" w:hAnsi="仿宋" w:eastAsia="仿宋" w:cs="仿宋"/>
          <w:color w:val="auto"/>
          <w:kern w:val="0"/>
          <w:sz w:val="24"/>
          <w:szCs w:val="24"/>
          <w:highlight w:val="none"/>
          <w:shd w:val="clear" w:color="auto" w:fill="FFFFFF" w:themeFill="background1"/>
        </w:rPr>
        <w:t>”的规定进行报价，并填写第五章“响应文件格式”中的</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明细表。</w:t>
      </w:r>
    </w:p>
    <w:p w14:paraId="76C131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3.2.2本次磋商采用二轮报价法，第二轮报价时长由磋商小组成员根据现场情况设定，供应商必须在规定时间内报价，超时无效；若供应商未进行第二轮报价，视为放弃响应资格；其响应无效；不在参与后续评审。</w:t>
      </w:r>
    </w:p>
    <w:p w14:paraId="53FEA6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3.2.3供应商递交的响应文件中的报价为第一轮报价，第一轮报价与第二轮报价超出本项目</w:t>
      </w:r>
      <w:r>
        <w:rPr>
          <w:rFonts w:hint="eastAsia" w:ascii="仿宋" w:hAnsi="仿宋" w:eastAsia="仿宋" w:cs="仿宋"/>
          <w:color w:val="auto"/>
          <w:kern w:val="0"/>
          <w:sz w:val="24"/>
          <w:szCs w:val="24"/>
          <w:highlight w:val="none"/>
          <w:shd w:val="clear" w:color="auto" w:fill="FFFFFF" w:themeFill="background1"/>
          <w:lang w:eastAsia="zh-CN"/>
        </w:rPr>
        <w:t>最高限价</w:t>
      </w:r>
      <w:r>
        <w:rPr>
          <w:rFonts w:hint="eastAsia" w:ascii="仿宋" w:hAnsi="仿宋" w:eastAsia="仿宋" w:cs="仿宋"/>
          <w:color w:val="auto"/>
          <w:kern w:val="0"/>
          <w:sz w:val="24"/>
          <w:szCs w:val="24"/>
          <w:highlight w:val="none"/>
          <w:shd w:val="clear" w:color="auto" w:fill="FFFFFF" w:themeFill="background1"/>
        </w:rPr>
        <w:t>的视为无效磋商。</w:t>
      </w:r>
    </w:p>
    <w:p w14:paraId="6EEB78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3.2.4供应商提供的服务一律用人民币报价。</w:t>
      </w:r>
    </w:p>
    <w:p w14:paraId="3422AD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3.2.5供应商的服务只允许有一个报价，采购人不接受有任何选择的报价。</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中。</w:t>
      </w:r>
    </w:p>
    <w:p w14:paraId="6059DB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 响应有效期</w:t>
      </w:r>
    </w:p>
    <w:p w14:paraId="1A032F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3.3.1 在供应商须知前附表规定的响应有效期内，供应商不得要求撤销或修改其响应文件。</w:t>
      </w:r>
    </w:p>
    <w:p w14:paraId="271DF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3.3.2 出现特殊情况需要延长响应有效期的，采购人将通知所有供应商延长响应有效期。供应商同意延长的，应当相应延长其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的有效期，但不得要求或被允许修改或撤销其响应文件；供应商拒绝延长的，其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失效，但供应商有权收回其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 xml:space="preserve">。 </w:t>
      </w:r>
    </w:p>
    <w:p w14:paraId="1C4C24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3.4 </w:t>
      </w:r>
      <w:r>
        <w:rPr>
          <w:rFonts w:hint="eastAsia" w:ascii="仿宋" w:hAnsi="仿宋" w:eastAsia="仿宋" w:cs="仿宋"/>
          <w:color w:val="auto"/>
          <w:kern w:val="0"/>
          <w:sz w:val="24"/>
          <w:szCs w:val="24"/>
          <w:highlight w:val="none"/>
          <w:shd w:val="clear" w:color="auto" w:fill="FFFFFF" w:themeFill="background1"/>
          <w:lang w:eastAsia="zh-CN"/>
        </w:rPr>
        <w:t>响应保证金</w:t>
      </w:r>
    </w:p>
    <w:p w14:paraId="28B7C3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供应商应于响应文件递交截止时间前按供应商须知前附表规定数额提交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。未提交</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的，将被视为非响应性</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而予以拒绝。联合体磋商</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的，其</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由牵头人递交，并应符合供应商须知前附表的规定。</w:t>
      </w:r>
    </w:p>
    <w:p w14:paraId="4ABB288A">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w:t>
      </w:r>
      <w:r>
        <w:rPr>
          <w:rFonts w:hint="eastAsia" w:ascii="仿宋" w:hAnsi="仿宋" w:eastAsia="仿宋" w:cs="仿宋"/>
          <w:color w:val="auto"/>
          <w:sz w:val="24"/>
          <w:szCs w:val="24"/>
          <w:highlight w:val="none"/>
          <w:shd w:val="clear" w:color="auto" w:fill="FFFFFF" w:themeFill="background1"/>
          <w:lang w:eastAsia="zh-CN"/>
        </w:rPr>
        <w:t>响应保证金</w:t>
      </w:r>
      <w:r>
        <w:rPr>
          <w:rFonts w:hint="eastAsia" w:ascii="仿宋" w:hAnsi="仿宋" w:eastAsia="仿宋" w:cs="仿宋"/>
          <w:color w:val="auto"/>
          <w:sz w:val="24"/>
          <w:szCs w:val="24"/>
          <w:highlight w:val="none"/>
          <w:shd w:val="clear" w:color="auto" w:fill="FFFFFF" w:themeFill="background1"/>
        </w:rPr>
        <w:t>以支票、汇票、本票或者金融机构、担保机构出具的保函等非现金形式提交至采购代理机构。</w:t>
      </w:r>
    </w:p>
    <w:p w14:paraId="1818A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3.4.3 </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是为了保护采购人免遭因供应商的行为而蒙受损失。采购人在因供应商的行为受到损害时可根据相关法律规定没收供应商的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135BE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3.4.4 采购人或者采购代理机构应当自成交通知书发出之日起5个工作日内退还未成交供应商的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，自采购合同签订之日起5个工作日内退还成交供应商的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w:t>
      </w:r>
    </w:p>
    <w:p w14:paraId="41F4F5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3.4.5</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有效期与响应有效期一致。</w:t>
      </w:r>
    </w:p>
    <w:p w14:paraId="7F591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3.4.6有下列情形之一的，</w:t>
      </w:r>
      <w:r>
        <w:rPr>
          <w:rFonts w:hint="eastAsia" w:ascii="仿宋" w:hAnsi="仿宋" w:eastAsia="仿宋" w:cs="仿宋"/>
          <w:color w:val="auto"/>
          <w:kern w:val="0"/>
          <w:sz w:val="24"/>
          <w:szCs w:val="24"/>
          <w:highlight w:val="none"/>
          <w:shd w:val="clear" w:color="auto" w:fill="FFFFFF" w:themeFill="background1"/>
          <w:lang w:eastAsia="zh-CN"/>
        </w:rPr>
        <w:t>响应保证金</w:t>
      </w:r>
      <w:r>
        <w:rPr>
          <w:rFonts w:hint="eastAsia" w:ascii="仿宋" w:hAnsi="仿宋" w:eastAsia="仿宋" w:cs="仿宋"/>
          <w:color w:val="auto"/>
          <w:kern w:val="0"/>
          <w:sz w:val="24"/>
          <w:szCs w:val="24"/>
          <w:highlight w:val="none"/>
          <w:shd w:val="clear" w:color="auto" w:fill="FFFFFF" w:themeFill="background1"/>
        </w:rPr>
        <w:t>不予退还：</w:t>
      </w:r>
    </w:p>
    <w:p w14:paraId="6D7037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（1）供应商在规定的响应有效期内撤销或修改其响应文件的；</w:t>
      </w:r>
    </w:p>
    <w:p w14:paraId="1BF604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EB551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（3）未按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规定提交履约保证金的。</w:t>
      </w:r>
    </w:p>
    <w:p w14:paraId="34007D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4" w:name="_BookMark_7"/>
      <w:bookmarkEnd w:id="14"/>
      <w:bookmarkStart w:id="15" w:name="_Toc139809021"/>
      <w:bookmarkStart w:id="16" w:name="_Toc10597"/>
      <w:r>
        <w:rPr>
          <w:rFonts w:hint="eastAsia" w:ascii="仿宋" w:hAnsi="仿宋" w:eastAsia="仿宋" w:cs="仿宋"/>
          <w:color w:val="auto"/>
          <w:kern w:val="0"/>
          <w:sz w:val="24"/>
          <w:szCs w:val="24"/>
          <w:highlight w:val="none"/>
          <w:shd w:val="clear" w:color="auto" w:fill="FFFFFF" w:themeFill="background1"/>
        </w:rPr>
        <w:t>3.5 响应文件的编制</w:t>
      </w:r>
    </w:p>
    <w:p w14:paraId="1A53AC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710EDD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3.5.2响应文件应当对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有关采购范围、技术与服务要求等实质性内容做出响应。</w:t>
      </w:r>
    </w:p>
    <w:p w14:paraId="59717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3.5.3电子响应文件使用政采云平台响应文件制作工具以及</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要求进行制作编制。响应文件制作时，按照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中明确的响应文件目录和格式进行编制，保证目录清晰、内容完整。</w:t>
      </w:r>
    </w:p>
    <w:p w14:paraId="50168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具有法律效力，与其他形式的招</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在内容和格式上等同，若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与招标文件要求不一致，其内容影响成交结果时，责任由</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自行承担。</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递交的电子</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因</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自身原因而导致无法导入电子辅助评标系统，该</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视为无效</w:t>
      </w:r>
      <w:r>
        <w:rPr>
          <w:rFonts w:hint="eastAsia" w:ascii="仿宋" w:hAnsi="仿宋" w:eastAsia="仿宋" w:cs="仿宋"/>
          <w:color w:val="auto"/>
          <w:kern w:val="0"/>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，将导致其投标被拒绝</w:t>
      </w:r>
      <w:r>
        <w:rPr>
          <w:rFonts w:hint="eastAsia" w:ascii="仿宋" w:hAnsi="仿宋" w:eastAsia="仿宋" w:cs="仿宋"/>
          <w:color w:val="auto"/>
          <w:sz w:val="24"/>
          <w:highlight w:val="none"/>
          <w:shd w:val="clear" w:color="auto" w:fill="FFFFFF" w:themeFill="background1"/>
        </w:rPr>
        <w:t>。</w:t>
      </w:r>
    </w:p>
    <w:p w14:paraId="5DEA7B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17" w:name="_Toc2388"/>
      <w:r>
        <w:rPr>
          <w:rFonts w:hint="eastAsia" w:ascii="仿宋" w:hAnsi="仿宋" w:eastAsia="仿宋" w:cs="仿宋"/>
          <w:b/>
          <w:color w:val="auto"/>
          <w:sz w:val="24"/>
          <w:szCs w:val="24"/>
          <w:highlight w:val="none"/>
          <w:shd w:val="clear" w:color="auto" w:fill="FFFFFF" w:themeFill="background1"/>
        </w:rPr>
        <w:t>四、</w:t>
      </w:r>
      <w:bookmarkEnd w:id="15"/>
      <w:r>
        <w:rPr>
          <w:rFonts w:hint="eastAsia" w:ascii="仿宋" w:hAnsi="仿宋" w:eastAsia="仿宋" w:cs="仿宋"/>
          <w:b/>
          <w:color w:val="auto"/>
          <w:sz w:val="24"/>
          <w:szCs w:val="24"/>
          <w:highlight w:val="none"/>
          <w:shd w:val="clear" w:color="auto" w:fill="FFFFFF" w:themeFill="background1"/>
          <w:lang w:val="en-US" w:eastAsia="zh-CN"/>
        </w:rPr>
        <w:t>响应</w:t>
      </w:r>
      <w:bookmarkEnd w:id="17"/>
    </w:p>
    <w:p w14:paraId="1BC011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 xml:space="preserve">失败等后果由供应商自行承担。 </w:t>
      </w:r>
    </w:p>
    <w:p w14:paraId="3C58DA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D6E7E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4.3响应文件的递交</w:t>
      </w:r>
    </w:p>
    <w:p w14:paraId="322087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0AA30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4.3.2采购人事先约定延长响应文件递交截止时间的，采购人与供应商以前的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截止期方面的全部权利、责任和义务，将适用延长至新的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截止期。</w:t>
      </w:r>
    </w:p>
    <w:p w14:paraId="74EC6C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4.3.3供应商或其响应文件存在下列情形之一的，采购人对其响应文件不予受理：</w:t>
      </w:r>
    </w:p>
    <w:p w14:paraId="7759B1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（1）逾期上传的响应文件；</w:t>
      </w:r>
    </w:p>
    <w:p w14:paraId="05D59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（2）未按本章第4.3.1款要求加密的响应文件。</w:t>
      </w:r>
    </w:p>
    <w:p w14:paraId="07384D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8" w:name="_BookMark_8"/>
      <w:bookmarkEnd w:id="18"/>
      <w:r>
        <w:rPr>
          <w:rFonts w:hint="eastAsia" w:ascii="仿宋" w:hAnsi="仿宋" w:eastAsia="仿宋" w:cs="仿宋"/>
          <w:color w:val="auto"/>
          <w:kern w:val="0"/>
          <w:sz w:val="24"/>
          <w:szCs w:val="24"/>
          <w:highlight w:val="none"/>
          <w:shd w:val="clear" w:color="auto" w:fill="FFFFFF" w:themeFill="background1"/>
        </w:rPr>
        <w:t>4.4响应文件的修改与撤回</w:t>
      </w:r>
    </w:p>
    <w:p w14:paraId="4AE5A228">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4.4.1</w:t>
      </w:r>
      <w:r>
        <w:rPr>
          <w:rFonts w:hint="eastAsia" w:ascii="仿宋" w:hAnsi="仿宋" w:eastAsia="仿宋" w:cs="仿宋"/>
          <w:color w:val="auto"/>
          <w:sz w:val="24"/>
          <w:highlight w:val="none"/>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0A5F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4.5响应文件格式</w:t>
      </w:r>
    </w:p>
    <w:p w14:paraId="06950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4.5.1响应文件格式见第五章。</w:t>
      </w:r>
    </w:p>
    <w:p w14:paraId="240605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4.5.2供应商应使用本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后面提供的响应文件格式填写，如不够用时，供应商可按同样格式自行编制和填补，如果本</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未提供格式的，供应商可自行编制。</w:t>
      </w:r>
    </w:p>
    <w:bookmarkEnd w:id="16"/>
    <w:p w14:paraId="1EBA0A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lang w:eastAsia="zh-CN"/>
        </w:rPr>
      </w:pPr>
      <w:bookmarkStart w:id="19" w:name="_Toc16294"/>
      <w:r>
        <w:rPr>
          <w:rFonts w:hint="eastAsia" w:ascii="仿宋" w:hAnsi="仿宋" w:eastAsia="仿宋" w:cs="仿宋"/>
          <w:b/>
          <w:color w:val="auto"/>
          <w:sz w:val="24"/>
          <w:szCs w:val="24"/>
          <w:highlight w:val="none"/>
          <w:shd w:val="clear" w:color="auto" w:fill="FFFFFF" w:themeFill="background1"/>
        </w:rPr>
        <w:t>五、</w:t>
      </w:r>
      <w:r>
        <w:rPr>
          <w:rFonts w:hint="eastAsia" w:ascii="仿宋" w:hAnsi="仿宋" w:eastAsia="仿宋" w:cs="仿宋"/>
          <w:b/>
          <w:color w:val="auto"/>
          <w:sz w:val="24"/>
          <w:szCs w:val="24"/>
          <w:highlight w:val="none"/>
          <w:shd w:val="clear" w:color="auto" w:fill="FFFFFF" w:themeFill="background1"/>
          <w:lang w:eastAsia="zh-CN"/>
        </w:rPr>
        <w:t>开启</w:t>
      </w:r>
      <w:bookmarkEnd w:id="19"/>
    </w:p>
    <w:p w14:paraId="438F067B">
      <w:pPr>
        <w:spacing w:line="360" w:lineRule="auto"/>
        <w:ind w:firstLine="480" w:firstLineChars="200"/>
        <w:rPr>
          <w:rFonts w:hint="eastAsia" w:ascii="仿宋" w:hAnsi="仿宋" w:eastAsia="仿宋" w:cs="仿宋"/>
          <w:color w:val="auto"/>
          <w:sz w:val="24"/>
          <w:szCs w:val="28"/>
          <w:highlight w:val="none"/>
        </w:rPr>
      </w:pPr>
      <w:bookmarkStart w:id="20" w:name="_BookMark_9"/>
      <w:bookmarkEnd w:id="20"/>
      <w:r>
        <w:rPr>
          <w:rFonts w:hint="eastAsia" w:ascii="仿宋" w:hAnsi="仿宋" w:eastAsia="仿宋" w:cs="仿宋"/>
          <w:color w:val="auto"/>
          <w:sz w:val="24"/>
          <w:szCs w:val="28"/>
          <w:highlight w:val="none"/>
        </w:rPr>
        <w:t>5.1</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时间和地点</w:t>
      </w:r>
    </w:p>
    <w:p w14:paraId="4CF2AC9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w:t>
      </w:r>
      <w:r>
        <w:rPr>
          <w:rFonts w:hint="eastAsia" w:ascii="仿宋" w:hAnsi="仿宋" w:eastAsia="仿宋" w:cs="仿宋"/>
          <w:color w:val="auto"/>
          <w:sz w:val="24"/>
          <w:szCs w:val="28"/>
          <w:highlight w:val="none"/>
          <w:lang w:eastAsia="zh-CN"/>
        </w:rPr>
        <w:t>开启</w:t>
      </w:r>
      <w:r>
        <w:rPr>
          <w:rFonts w:hint="eastAsia" w:ascii="仿宋" w:hAnsi="仿宋" w:eastAsia="仿宋" w:cs="仿宋"/>
          <w:color w:val="auto"/>
          <w:sz w:val="24"/>
          <w:szCs w:val="28"/>
          <w:highlight w:val="none"/>
        </w:rPr>
        <w:t>，并邀请所有供应商的法定代表人或其授权委托人参加。</w:t>
      </w:r>
    </w:p>
    <w:p w14:paraId="544B3BEA">
      <w:pPr>
        <w:widowControl/>
        <w:shd w:val="clear" w:color="auto" w:fill="FFFFFF"/>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1AEED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注：根据政府采购法及有关政策规定，竞争性磋商采购方式不能公开供应商的技术资料、价格和其他信息，因此对于上述内容不予唱标。</w:t>
      </w:r>
    </w:p>
    <w:p w14:paraId="49857E9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1" w:name="_Toc10172"/>
      <w:r>
        <w:rPr>
          <w:rFonts w:hint="eastAsia" w:ascii="仿宋" w:hAnsi="仿宋" w:eastAsia="仿宋" w:cs="仿宋"/>
          <w:b/>
          <w:color w:val="auto"/>
          <w:sz w:val="24"/>
          <w:szCs w:val="24"/>
          <w:highlight w:val="none"/>
          <w:shd w:val="clear" w:color="auto" w:fill="FFFFFF" w:themeFill="background1"/>
        </w:rPr>
        <w:t>六、评审</w:t>
      </w:r>
      <w:bookmarkEnd w:id="21"/>
    </w:p>
    <w:p w14:paraId="132403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 磋商小组</w:t>
      </w:r>
    </w:p>
    <w:p w14:paraId="19E81A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C25A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6.2 评审原则 </w:t>
      </w:r>
    </w:p>
    <w:p w14:paraId="667333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评审活动遵循公平、公正、科学和择优的原则。</w:t>
      </w:r>
    </w:p>
    <w:p w14:paraId="67F82F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6.3 评审</w:t>
      </w:r>
    </w:p>
    <w:p w14:paraId="431FB9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磋商小组按照</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中规定的方法、评审因素、标准和程序对响应文件进行评审。</w:t>
      </w:r>
    </w:p>
    <w:p w14:paraId="5FA1BFF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2" w:name="_BookMark_10"/>
      <w:bookmarkEnd w:id="22"/>
      <w:bookmarkStart w:id="23" w:name="_Toc113902767"/>
      <w:bookmarkStart w:id="24" w:name="_Toc1096"/>
      <w:r>
        <w:rPr>
          <w:rFonts w:hint="eastAsia" w:ascii="仿宋" w:hAnsi="仿宋" w:eastAsia="仿宋" w:cs="仿宋"/>
          <w:b/>
          <w:color w:val="auto"/>
          <w:sz w:val="24"/>
          <w:szCs w:val="24"/>
          <w:highlight w:val="none"/>
          <w:shd w:val="clear" w:color="auto" w:fill="FFFFFF" w:themeFill="background1"/>
        </w:rPr>
        <w:t>七、定标及合同授予</w:t>
      </w:r>
      <w:bookmarkEnd w:id="23"/>
      <w:bookmarkEnd w:id="24"/>
    </w:p>
    <w:p w14:paraId="655145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按照招标文件中规定的方法、评标因素、标准和程序对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进行评标，并按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须知前附表的规定向采购人推荐</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。采购人依据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确定</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中确定出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的原则：采购人应当确定排名第一的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、因不可抗力不能履行合同、拒绝与采购人签订合同，不按照招标文件要求提交履约保证金、或者被查实存在影响</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结果的违法行为等情形，不符合</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条件的，采购人可以按照</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名单排名依次确定其他</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结果的同时，采购人或者采购代理机构向</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发出</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通知书；对未通过资格审查的</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须知前附表规定的金额、形式向采购人提交履约保证金。联合体</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的，其履约保证金由牵头人提交，并应符合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未按要求提交履约保证金的，视为放弃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通知书发出之日起30日内，按照招标文件和</w:t>
      </w:r>
      <w:r>
        <w:rPr>
          <w:rFonts w:hint="eastAsia" w:ascii="仿宋" w:hAnsi="仿宋" w:eastAsia="仿宋" w:cs="仿宋"/>
          <w:color w:val="auto"/>
          <w:kern w:val="0"/>
          <w:sz w:val="24"/>
          <w:szCs w:val="24"/>
          <w:highlight w:val="none"/>
          <w:lang w:eastAsia="zh-CN"/>
        </w:rPr>
        <w:t>成交供应商响应文件</w:t>
      </w:r>
      <w:r>
        <w:rPr>
          <w:rFonts w:hint="eastAsia" w:ascii="仿宋" w:hAnsi="仿宋" w:eastAsia="仿宋" w:cs="仿宋"/>
          <w:color w:val="auto"/>
          <w:kern w:val="0"/>
          <w:sz w:val="24"/>
          <w:szCs w:val="24"/>
          <w:highlight w:val="none"/>
        </w:rPr>
        <w:t>的规定，与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通知书后，采购人无正当理由拒签合同的，给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造成损失的，还应当赔偿</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无正当理由拒签合同的，采购人将取消其</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资格，其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拒绝与采购人签订合同的，采购人可以按照评标报告推荐的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名单排序，确定下一候选人为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，也可以重新开展政府采购活动。</w:t>
      </w:r>
    </w:p>
    <w:p w14:paraId="5B0E76E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25" w:name="_BookMark_11"/>
      <w:bookmarkEnd w:id="25"/>
      <w:bookmarkStart w:id="26" w:name="_Toc22638"/>
      <w:r>
        <w:rPr>
          <w:rFonts w:hint="eastAsia" w:ascii="仿宋" w:hAnsi="仿宋" w:eastAsia="仿宋" w:cs="仿宋"/>
          <w:b/>
          <w:color w:val="auto"/>
          <w:sz w:val="24"/>
          <w:szCs w:val="24"/>
          <w:highlight w:val="none"/>
          <w:shd w:val="clear" w:color="auto" w:fill="FFFFFF" w:themeFill="background1"/>
        </w:rPr>
        <w:t>八、纪律和监督</w:t>
      </w:r>
      <w:bookmarkEnd w:id="26"/>
    </w:p>
    <w:p w14:paraId="3FA20E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45A2F9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2798B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或者与采购人串通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，不得向采购人或者磋商小组成员行贿谋取中标（成交），不得以他人名义</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7FE075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7A066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49F0B38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及其相关当事人应当接受有管辖权的监督部门依法实施的监督。</w:t>
      </w:r>
      <w:bookmarkStart w:id="27" w:name="_BookMark_12"/>
      <w:bookmarkEnd w:id="27"/>
    </w:p>
    <w:p w14:paraId="570C0649">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0CAB81">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8" w:name="_Toc26123"/>
      <w:r>
        <w:rPr>
          <w:rFonts w:hint="eastAsia" w:ascii="仿宋" w:hAnsi="仿宋" w:eastAsia="仿宋" w:cs="仿宋"/>
          <w:b/>
          <w:color w:val="auto"/>
          <w:sz w:val="24"/>
          <w:szCs w:val="24"/>
          <w:highlight w:val="none"/>
          <w:shd w:val="clear" w:color="auto" w:fill="FFFFFF" w:themeFill="background1"/>
        </w:rPr>
        <w:t>第二章 评审办法</w:t>
      </w:r>
      <w:bookmarkEnd w:id="28"/>
    </w:p>
    <w:p w14:paraId="4521741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29" w:name="_BookMark_1"/>
      <w:bookmarkEnd w:id="29"/>
      <w:bookmarkStart w:id="30" w:name="_Toc2233"/>
      <w:bookmarkStart w:id="31" w:name="_Toc501719166"/>
      <w:r>
        <w:rPr>
          <w:rFonts w:hint="eastAsia" w:ascii="仿宋" w:hAnsi="仿宋" w:eastAsia="仿宋" w:cs="仿宋"/>
          <w:b/>
          <w:color w:val="auto"/>
          <w:sz w:val="24"/>
          <w:szCs w:val="24"/>
          <w:highlight w:val="none"/>
          <w:shd w:val="clear" w:color="auto" w:fill="FFFFFF" w:themeFill="background1"/>
        </w:rPr>
        <w:t>评审办法前附表</w:t>
      </w:r>
      <w:bookmarkEnd w:id="30"/>
    </w:p>
    <w:tbl>
      <w:tblPr>
        <w:tblStyle w:val="43"/>
        <w:tblpPr w:leftFromText="180" w:rightFromText="180" w:vertAnchor="text" w:horzAnchor="page" w:tblpX="1359" w:tblpY="455"/>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27B5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610" w:type="dxa"/>
            <w:tcMar>
              <w:top w:w="0" w:type="dxa"/>
              <w:left w:w="28" w:type="dxa"/>
              <w:bottom w:w="0" w:type="dxa"/>
              <w:right w:w="28" w:type="dxa"/>
            </w:tcMar>
            <w:vAlign w:val="center"/>
          </w:tcPr>
          <w:p w14:paraId="62AE1C8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47FC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3859697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759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10" w:type="dxa"/>
            <w:tcMar>
              <w:top w:w="0" w:type="dxa"/>
              <w:left w:w="28" w:type="dxa"/>
              <w:bottom w:w="0" w:type="dxa"/>
              <w:right w:w="28" w:type="dxa"/>
            </w:tcMar>
            <w:vAlign w:val="center"/>
          </w:tcPr>
          <w:p w14:paraId="3A4D34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3D57727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0BBB693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5832" w:type="dxa"/>
            <w:shd w:val="clear" w:color="auto" w:fill="auto"/>
            <w:tcMar>
              <w:top w:w="0" w:type="dxa"/>
              <w:left w:w="28" w:type="dxa"/>
              <w:bottom w:w="0" w:type="dxa"/>
              <w:right w:w="28" w:type="dxa"/>
            </w:tcMar>
            <w:vAlign w:val="center"/>
          </w:tcPr>
          <w:p w14:paraId="06397AE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w:t>
            </w:r>
            <w:r>
              <w:rPr>
                <w:rFonts w:hint="eastAsia" w:ascii="仿宋" w:hAnsi="仿宋" w:eastAsia="仿宋" w:cs="仿宋"/>
                <w:color w:val="auto"/>
                <w:szCs w:val="21"/>
                <w:highlight w:val="none"/>
                <w:shd w:val="clear" w:color="auto" w:fill="FFFFFF" w:themeFill="background1"/>
                <w:lang w:val="en-US" w:eastAsia="zh-CN"/>
              </w:rPr>
              <w:t>80</w:t>
            </w:r>
            <w:r>
              <w:rPr>
                <w:rFonts w:hint="eastAsia" w:ascii="仿宋" w:hAnsi="仿宋" w:eastAsia="仿宋" w:cs="仿宋"/>
                <w:color w:val="auto"/>
                <w:szCs w:val="21"/>
                <w:highlight w:val="none"/>
                <w:shd w:val="clear" w:color="auto" w:fill="FFFFFF" w:themeFill="background1"/>
              </w:rPr>
              <w:t>分</w:t>
            </w:r>
          </w:p>
          <w:p w14:paraId="675459B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r>
              <w:rPr>
                <w:rFonts w:hint="eastAsia" w:ascii="仿宋" w:hAnsi="仿宋" w:eastAsia="仿宋" w:cs="仿宋"/>
                <w:color w:val="auto"/>
                <w:szCs w:val="21"/>
                <w:highlight w:val="none"/>
                <w:shd w:val="clear" w:color="auto" w:fill="FFFFFF" w:themeFill="background1"/>
                <w:lang w:eastAsia="zh-CN"/>
              </w:rPr>
              <w:t>响应报价</w:t>
            </w:r>
            <w:r>
              <w:rPr>
                <w:rFonts w:hint="eastAsia" w:ascii="仿宋" w:hAnsi="仿宋" w:eastAsia="仿宋" w:cs="仿宋"/>
                <w:color w:val="auto"/>
                <w:szCs w:val="21"/>
                <w:highlight w:val="none"/>
                <w:shd w:val="clear" w:color="auto" w:fill="FFFFFF" w:themeFill="background1"/>
              </w:rPr>
              <w:t>部分</w:t>
            </w:r>
            <w:r>
              <w:rPr>
                <w:rFonts w:hint="eastAsia" w:ascii="仿宋" w:hAnsi="仿宋" w:eastAsia="仿宋" w:cs="仿宋"/>
                <w:color w:val="auto"/>
                <w:szCs w:val="21"/>
                <w:highlight w:val="none"/>
                <w:shd w:val="clear" w:color="auto" w:fill="FFFFFF" w:themeFill="background1"/>
                <w:lang w:val="en-US" w:eastAsia="zh-CN"/>
              </w:rPr>
              <w:t>20</w:t>
            </w:r>
            <w:r>
              <w:rPr>
                <w:rFonts w:hint="eastAsia" w:ascii="仿宋" w:hAnsi="仿宋" w:eastAsia="仿宋" w:cs="仿宋"/>
                <w:color w:val="auto"/>
                <w:szCs w:val="21"/>
                <w:highlight w:val="none"/>
                <w:shd w:val="clear" w:color="auto" w:fill="FFFFFF" w:themeFill="background1"/>
              </w:rPr>
              <w:t>分</w:t>
            </w:r>
          </w:p>
        </w:tc>
      </w:tr>
      <w:tr w14:paraId="03A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610" w:type="dxa"/>
            <w:tcMar>
              <w:top w:w="0" w:type="dxa"/>
              <w:left w:w="28" w:type="dxa"/>
              <w:bottom w:w="0" w:type="dxa"/>
              <w:right w:w="28" w:type="dxa"/>
            </w:tcMar>
            <w:vAlign w:val="center"/>
          </w:tcPr>
          <w:p w14:paraId="3165330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9861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3AA0976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3466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tcMar>
              <w:top w:w="0" w:type="dxa"/>
              <w:left w:w="28" w:type="dxa"/>
              <w:bottom w:w="0" w:type="dxa"/>
              <w:right w:w="28" w:type="dxa"/>
            </w:tcMar>
            <w:vAlign w:val="center"/>
          </w:tcPr>
          <w:p w14:paraId="2191008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5078FA6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2B4A8F2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4EE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shd w:val="clear" w:color="auto" w:fill="auto"/>
            <w:tcMar>
              <w:top w:w="0" w:type="dxa"/>
              <w:left w:w="28" w:type="dxa"/>
              <w:bottom w:w="0" w:type="dxa"/>
              <w:right w:w="28" w:type="dxa"/>
            </w:tcMar>
            <w:vAlign w:val="center"/>
          </w:tcPr>
          <w:p w14:paraId="276599D5">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4</w:t>
            </w:r>
          </w:p>
        </w:tc>
        <w:tc>
          <w:tcPr>
            <w:tcW w:w="2770" w:type="dxa"/>
            <w:shd w:val="clear" w:color="auto" w:fill="auto"/>
            <w:tcMar>
              <w:top w:w="0" w:type="dxa"/>
              <w:left w:w="28" w:type="dxa"/>
              <w:bottom w:w="0" w:type="dxa"/>
              <w:right w:w="28" w:type="dxa"/>
            </w:tcMar>
            <w:vAlign w:val="center"/>
          </w:tcPr>
          <w:p w14:paraId="4746DBD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5C5793BC">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bl>
    <w:p w14:paraId="42C9BED6">
      <w:pPr>
        <w:widowControl/>
        <w:shd w:val="clear" w:color="auto" w:fill="FFFFFF"/>
        <w:snapToGrid w:val="0"/>
        <w:spacing w:line="360" w:lineRule="auto"/>
        <w:rPr>
          <w:rFonts w:hint="eastAsia" w:ascii="仿宋" w:hAnsi="仿宋" w:eastAsia="仿宋" w:cs="仿宋"/>
          <w:b/>
          <w:color w:val="auto"/>
          <w:kern w:val="0"/>
          <w:szCs w:val="21"/>
          <w:highlight w:val="none"/>
          <w:shd w:val="clear" w:color="auto" w:fill="FFFFFF" w:themeFill="background1"/>
        </w:rPr>
      </w:pPr>
    </w:p>
    <w:p w14:paraId="4038BFEA">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p>
    <w:p w14:paraId="6706AE96">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《资格审查标准》</w:t>
      </w:r>
      <w:bookmarkEnd w:id="31"/>
    </w:p>
    <w:tbl>
      <w:tblPr>
        <w:tblStyle w:val="4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1D96974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17100CC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E2EADF6">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是企业（包括合伙企业)，应提供在工商部门注册的有效“企业法人营业执照”或“营业执照”;</w:t>
            </w:r>
          </w:p>
          <w:p w14:paraId="478C250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是事业单位，应提供有效的“事业单位法人证书”;</w:t>
            </w:r>
          </w:p>
          <w:p w14:paraId="032F1704">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是非企业专业服务机构的，应提供执业许可证等证明文件;</w:t>
            </w:r>
          </w:p>
          <w:p w14:paraId="780EA58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是个体工商户，应提供有效的“个体工商户营业执照”;</w:t>
            </w:r>
          </w:p>
          <w:p w14:paraId="5C185091">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是自然人，应提供有效的自然人身份证明。</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D77A81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满足下述一条要求即可：</w:t>
            </w:r>
          </w:p>
          <w:p w14:paraId="6CB5900B">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要求1、经审计的财务报告（</w:t>
            </w:r>
            <w:r>
              <w:rPr>
                <w:rFonts w:hint="eastAsia" w:ascii="仿宋" w:hAnsi="仿宋" w:eastAsia="仿宋" w:cs="仿宋"/>
                <w:color w:val="auto"/>
                <w:kern w:val="0"/>
                <w:szCs w:val="21"/>
                <w:highlight w:val="none"/>
                <w:lang w:eastAsia="zh-CN"/>
              </w:rPr>
              <w:t>2024年度或2025年度</w:t>
            </w:r>
            <w:r>
              <w:rPr>
                <w:rFonts w:hint="eastAsia" w:ascii="仿宋" w:hAnsi="仿宋" w:eastAsia="仿宋" w:cs="仿宋"/>
                <w:color w:val="auto"/>
                <w:kern w:val="0"/>
                <w:szCs w:val="21"/>
                <w:highlight w:val="none"/>
              </w:rPr>
              <w:t>，包括“四表-注”，即资产负债表、利润表、现金流量表、所有者权益变动表及其附注）或银行出具的资信证明（响应文件递交截止之日前六个月内任意一个月</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不限制采购人主体</w:t>
            </w:r>
            <w:r>
              <w:rPr>
                <w:rFonts w:hint="eastAsia" w:ascii="仿宋" w:hAnsi="仿宋" w:eastAsia="仿宋" w:cs="仿宋"/>
                <w:color w:val="auto"/>
                <w:kern w:val="0"/>
                <w:szCs w:val="21"/>
                <w:highlight w:val="none"/>
              </w:rPr>
              <w:t>）。</w:t>
            </w:r>
          </w:p>
          <w:p w14:paraId="4925A70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要求2、成立不足六个月（以</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递交截止之日为期限）的</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6A9B9F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提供《具有履行合同所必需的设备和专业技术能力的承诺函》，加盖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D5562A9">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DE3CC6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递交截止之日前六个月内任一个月）内缴纳税收的完税凭证（指各种完税证、缴款书、印花税票、扣（收）税凭证以及其他完税证明，提供上述任意一种即可）。</w:t>
            </w:r>
          </w:p>
          <w:p w14:paraId="5B5A103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1627149E">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参加政府采购活动前一段时间（</w:t>
            </w:r>
            <w:r>
              <w:rPr>
                <w:rFonts w:hint="eastAsia" w:ascii="仿宋" w:hAnsi="仿宋" w:eastAsia="仿宋" w:cs="仿宋"/>
                <w:color w:val="auto"/>
                <w:szCs w:val="21"/>
                <w:highlight w:val="none"/>
                <w:shd w:val="clear" w:color="auto" w:fill="FFFFFF" w:themeFill="background1"/>
                <w:lang w:eastAsia="zh-CN"/>
              </w:rPr>
              <w:t>响应文件</w:t>
            </w:r>
            <w:r>
              <w:rPr>
                <w:rFonts w:hint="eastAsia" w:ascii="仿宋" w:hAnsi="仿宋" w:eastAsia="仿宋" w:cs="仿宋"/>
                <w:color w:val="auto"/>
                <w:szCs w:val="21"/>
                <w:highlight w:val="none"/>
                <w:shd w:val="clear" w:color="auto" w:fill="FFFFFF" w:themeFill="background1"/>
              </w:rPr>
              <w:t>递交截止之日前六个月内任一个月）内缴纳社会保险的凭据，其他组织和自然人也需要提供缴纳税收的凭据和缴纳社会保险的凭据。</w:t>
            </w:r>
          </w:p>
          <w:p w14:paraId="4B65DF3F">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w:t>
            </w:r>
            <w:r>
              <w:rPr>
                <w:rFonts w:hint="eastAsia" w:ascii="仿宋" w:hAnsi="仿宋" w:eastAsia="仿宋" w:cs="仿宋"/>
                <w:color w:val="auto"/>
                <w:szCs w:val="21"/>
                <w:highlight w:val="none"/>
                <w:shd w:val="clear" w:color="auto" w:fill="FFFFFF" w:themeFill="background1"/>
                <w:lang w:eastAsia="zh-CN"/>
              </w:rPr>
              <w:t>供应商</w:t>
            </w:r>
            <w:r>
              <w:rPr>
                <w:rFonts w:hint="eastAsia" w:ascii="仿宋" w:hAnsi="仿宋" w:eastAsia="仿宋" w:cs="仿宋"/>
                <w:color w:val="auto"/>
                <w:szCs w:val="21"/>
                <w:highlight w:val="none"/>
                <w:shd w:val="clear" w:color="auto" w:fill="FFFFFF" w:themeFill="background1"/>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763C2B3A">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1"/>
                <w:highlight w:val="none"/>
              </w:rPr>
              <w:t>提供《参加政府采购活动前3年内在经营活动中没有重大违法记录的书面声明》，加盖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Cs w:val="21"/>
                <w:highlight w:val="none"/>
              </w:rPr>
              <w:t>。</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供应商为中小企业。</w:t>
            </w:r>
          </w:p>
        </w:tc>
        <w:tc>
          <w:tcPr>
            <w:tcW w:w="4935" w:type="dxa"/>
            <w:shd w:val="clear" w:color="auto" w:fill="auto"/>
            <w:vAlign w:val="center"/>
          </w:tcPr>
          <w:p w14:paraId="02F6EE47">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4"/>
                <w:highlight w:val="none"/>
                <w:lang w:val="en-US" w:eastAsia="zh-CN" w:bidi="ar-SA"/>
              </w:rPr>
              <w:t>按采购文件要求提供声明函，</w:t>
            </w:r>
            <w:r>
              <w:rPr>
                <w:rFonts w:hint="eastAsia" w:ascii="仿宋" w:hAnsi="仿宋" w:eastAsia="仿宋" w:cs="仿宋"/>
                <w:color w:val="auto"/>
                <w:kern w:val="0"/>
                <w:szCs w:val="21"/>
                <w:highlight w:val="none"/>
              </w:rPr>
              <w:t>加盖</w:t>
            </w:r>
            <w:r>
              <w:rPr>
                <w:rFonts w:hint="eastAsia" w:ascii="仿宋" w:hAnsi="仿宋" w:eastAsia="仿宋" w:cs="仿宋"/>
                <w:color w:val="auto"/>
                <w:kern w:val="0"/>
                <w:szCs w:val="21"/>
                <w:highlight w:val="none"/>
                <w:lang w:eastAsia="zh-CN"/>
              </w:rPr>
              <w:t>供应商章</w:t>
            </w:r>
            <w:r>
              <w:rPr>
                <w:rFonts w:hint="eastAsia" w:ascii="仿宋" w:hAnsi="仿宋" w:eastAsia="仿宋" w:cs="仿宋"/>
                <w:color w:val="auto"/>
                <w:kern w:val="0"/>
                <w:sz w:val="21"/>
                <w:szCs w:val="24"/>
                <w:highlight w:val="none"/>
                <w:lang w:val="en-US" w:eastAsia="zh-CN" w:bidi="ar-SA"/>
              </w:rPr>
              <w:t>。</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3659" w:type="dxa"/>
            <w:shd w:val="clear" w:color="auto" w:fill="auto"/>
            <w:vAlign w:val="center"/>
          </w:tcPr>
          <w:p w14:paraId="034FA33B">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1936D70">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08CAF33D">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bookmarkStart w:id="32" w:name="_Toc501719167"/>
    </w:p>
    <w:p w14:paraId="7E863419">
      <w:pPr>
        <w:widowControl/>
        <w:shd w:val="clear" w:color="auto" w:fill="FFFFFF"/>
        <w:snapToGrid w:val="0"/>
        <w:spacing w:line="360" w:lineRule="auto"/>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《完备性及符合性审查标准》</w:t>
      </w:r>
      <w:bookmarkEnd w:id="32"/>
    </w:p>
    <w:tbl>
      <w:tblPr>
        <w:tblStyle w:val="4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4922"/>
        <w:gridCol w:w="3457"/>
      </w:tblGrid>
      <w:tr w14:paraId="7C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3EB272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4922" w:type="dxa"/>
            <w:vAlign w:val="center"/>
          </w:tcPr>
          <w:p w14:paraId="65D7DA6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3457" w:type="dxa"/>
            <w:vAlign w:val="center"/>
          </w:tcPr>
          <w:p w14:paraId="5ED69B3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C3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FC6174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4922" w:type="dxa"/>
            <w:vAlign w:val="center"/>
          </w:tcPr>
          <w:p w14:paraId="2023D90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响应文件必须按</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要求加盖</w:t>
            </w:r>
            <w:r>
              <w:rPr>
                <w:rFonts w:hint="eastAsia" w:ascii="仿宋" w:hAnsi="仿宋" w:eastAsia="仿宋" w:cs="仿宋"/>
                <w:color w:val="auto"/>
                <w:szCs w:val="21"/>
                <w:highlight w:val="none"/>
                <w:shd w:val="clear" w:color="auto" w:fill="FFFFFF" w:themeFill="background1"/>
                <w:lang w:eastAsia="zh-CN"/>
              </w:rPr>
              <w:t>供应商章</w:t>
            </w:r>
            <w:r>
              <w:rPr>
                <w:rFonts w:hint="eastAsia" w:ascii="仿宋" w:hAnsi="仿宋" w:eastAsia="仿宋" w:cs="仿宋"/>
                <w:color w:val="auto"/>
                <w:szCs w:val="21"/>
                <w:highlight w:val="none"/>
                <w:shd w:val="clear" w:color="auto" w:fill="FFFFFF" w:themeFill="background1"/>
              </w:rPr>
              <w:t>、</w:t>
            </w:r>
            <w:r>
              <w:rPr>
                <w:rFonts w:hint="eastAsia" w:ascii="仿宋" w:hAnsi="仿宋" w:eastAsia="仿宋" w:cs="仿宋"/>
                <w:color w:val="auto"/>
                <w:szCs w:val="21"/>
                <w:highlight w:val="none"/>
                <w:shd w:val="clear" w:color="auto" w:fill="FFFFFF" w:themeFill="background1"/>
                <w:lang w:eastAsia="zh-CN"/>
              </w:rPr>
              <w:t>法定代表人章（或签字）</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5365F37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79F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vAlign w:val="center"/>
          </w:tcPr>
          <w:p w14:paraId="5CA66B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4922" w:type="dxa"/>
            <w:vAlign w:val="center"/>
          </w:tcPr>
          <w:p w14:paraId="0B664427">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项目负责人</w:t>
            </w:r>
            <w:r>
              <w:rPr>
                <w:rFonts w:hint="eastAsia" w:ascii="仿宋" w:hAnsi="仿宋" w:eastAsia="仿宋" w:cs="仿宋"/>
                <w:color w:val="auto"/>
                <w:szCs w:val="21"/>
                <w:highlight w:val="none"/>
                <w:shd w:val="clear" w:color="auto" w:fill="FFFFFF" w:themeFill="background1"/>
              </w:rPr>
              <w:t>简历表必须提供。</w:t>
            </w:r>
          </w:p>
        </w:tc>
        <w:tc>
          <w:tcPr>
            <w:tcW w:w="3457" w:type="dxa"/>
            <w:vAlign w:val="center"/>
          </w:tcPr>
          <w:p w14:paraId="54CF4F4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6EE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35DAA3E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4922" w:type="dxa"/>
            <w:vAlign w:val="center"/>
          </w:tcPr>
          <w:p w14:paraId="5262203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合同履约期限</w:t>
            </w:r>
            <w:r>
              <w:rPr>
                <w:rFonts w:hint="eastAsia" w:ascii="仿宋" w:hAnsi="仿宋" w:eastAsia="仿宋" w:cs="仿宋"/>
                <w:color w:val="auto"/>
                <w:szCs w:val="21"/>
                <w:highlight w:val="none"/>
                <w:shd w:val="clear" w:color="auto" w:fill="FFFFFF" w:themeFill="background1"/>
              </w:rPr>
              <w:t>必须满足</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w:t>
            </w:r>
          </w:p>
        </w:tc>
        <w:tc>
          <w:tcPr>
            <w:tcW w:w="3457" w:type="dxa"/>
            <w:vAlign w:val="center"/>
          </w:tcPr>
          <w:p w14:paraId="30BD786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3D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25D5176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4922" w:type="dxa"/>
            <w:vAlign w:val="center"/>
          </w:tcPr>
          <w:p w14:paraId="6258FC1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响应价格</w:t>
            </w:r>
            <w:r>
              <w:rPr>
                <w:rFonts w:hint="eastAsia" w:ascii="仿宋" w:hAnsi="仿宋" w:eastAsia="仿宋" w:cs="仿宋"/>
                <w:color w:val="auto"/>
                <w:szCs w:val="21"/>
                <w:highlight w:val="none"/>
                <w:shd w:val="clear" w:color="auto" w:fill="FFFFFF" w:themeFill="background1"/>
              </w:rPr>
              <w:t>不得超过供应商须知前附表中的</w:t>
            </w:r>
            <w:r>
              <w:rPr>
                <w:rFonts w:hint="eastAsia" w:ascii="仿宋" w:hAnsi="仿宋" w:eastAsia="仿宋" w:cs="仿宋"/>
                <w:color w:val="auto"/>
                <w:szCs w:val="21"/>
                <w:highlight w:val="none"/>
                <w:shd w:val="clear" w:color="auto" w:fill="FFFFFF" w:themeFill="background1"/>
                <w:lang w:eastAsia="zh-CN"/>
              </w:rPr>
              <w:t>最高限价</w:t>
            </w:r>
            <w:r>
              <w:rPr>
                <w:rFonts w:hint="eastAsia" w:ascii="仿宋" w:hAnsi="仿宋" w:eastAsia="仿宋" w:cs="仿宋"/>
                <w:color w:val="auto"/>
                <w:szCs w:val="21"/>
                <w:highlight w:val="none"/>
                <w:shd w:val="clear" w:color="auto" w:fill="FFFFFF" w:themeFill="background1"/>
              </w:rPr>
              <w:t>。</w:t>
            </w:r>
          </w:p>
        </w:tc>
        <w:tc>
          <w:tcPr>
            <w:tcW w:w="3457" w:type="dxa"/>
            <w:vAlign w:val="center"/>
          </w:tcPr>
          <w:p w14:paraId="6DD4106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E4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676" w:type="dxa"/>
            <w:vAlign w:val="center"/>
          </w:tcPr>
          <w:p w14:paraId="5EEA6E8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4922" w:type="dxa"/>
            <w:shd w:val="clear" w:color="auto" w:fill="auto"/>
            <w:vAlign w:val="center"/>
          </w:tcPr>
          <w:p w14:paraId="22B8E4E7">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rPr>
              <w:t>必须按照</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要求缴纳。</w:t>
            </w:r>
          </w:p>
        </w:tc>
        <w:tc>
          <w:tcPr>
            <w:tcW w:w="3457" w:type="dxa"/>
            <w:shd w:val="clear" w:color="auto" w:fill="auto"/>
            <w:vAlign w:val="center"/>
          </w:tcPr>
          <w:p w14:paraId="4E8A4BF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4F9E0C07">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shd w:val="clear" w:color="auto" w:fill="FFFFFF" w:themeFill="background1"/>
                <w:lang w:val="en-US" w:eastAsia="zh-CN"/>
              </w:rPr>
              <w:t>注：采用电汇方式缴纳</w:t>
            </w: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lang w:val="en-US" w:eastAsia="zh-CN"/>
              </w:rPr>
              <w:t>的，以采购代理机构查询结果为准。</w:t>
            </w:r>
          </w:p>
        </w:tc>
      </w:tr>
      <w:tr w14:paraId="3AD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0A7EE060">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4922" w:type="dxa"/>
            <w:shd w:val="clear" w:color="auto" w:fill="auto"/>
            <w:vAlign w:val="center"/>
          </w:tcPr>
          <w:p w14:paraId="2D04D59F">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响应文件符合</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全部实质性要求。</w:t>
            </w:r>
          </w:p>
        </w:tc>
        <w:tc>
          <w:tcPr>
            <w:tcW w:w="3457" w:type="dxa"/>
            <w:shd w:val="clear" w:color="auto" w:fill="auto"/>
            <w:vAlign w:val="center"/>
          </w:tcPr>
          <w:p w14:paraId="282D439F">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351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55" w:type="dxa"/>
            <w:gridSpan w:val="3"/>
            <w:vAlign w:val="center"/>
          </w:tcPr>
          <w:p w14:paraId="702762F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17A6AEC0">
      <w:pPr>
        <w:rPr>
          <w:rFonts w:hint="eastAsia" w:ascii="仿宋" w:hAnsi="仿宋" w:eastAsia="仿宋" w:cs="仿宋"/>
          <w:b/>
          <w:color w:val="auto"/>
          <w:kern w:val="0"/>
          <w:szCs w:val="21"/>
          <w:highlight w:val="none"/>
          <w:shd w:val="clear" w:color="auto" w:fill="FFFFFF" w:themeFill="background1"/>
        </w:rPr>
      </w:pPr>
    </w:p>
    <w:p w14:paraId="618B19DB">
      <w:pPr>
        <w:jc w:val="center"/>
        <w:rPr>
          <w:rFonts w:hint="eastAsia"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《详细评审标准》</w:t>
      </w:r>
    </w:p>
    <w:tbl>
      <w:tblPr>
        <w:tblStyle w:val="43"/>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515"/>
        <w:gridCol w:w="5923"/>
        <w:gridCol w:w="900"/>
      </w:tblGrid>
      <w:tr w14:paraId="546C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noWrap w:val="0"/>
            <w:vAlign w:val="center"/>
          </w:tcPr>
          <w:p w14:paraId="72286BB0">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15" w:type="dxa"/>
            <w:noWrap w:val="0"/>
            <w:vAlign w:val="center"/>
          </w:tcPr>
          <w:p w14:paraId="301230AB">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评分内容</w:t>
            </w:r>
          </w:p>
        </w:tc>
        <w:tc>
          <w:tcPr>
            <w:tcW w:w="5923" w:type="dxa"/>
            <w:noWrap w:val="0"/>
            <w:vAlign w:val="center"/>
          </w:tcPr>
          <w:p w14:paraId="4E1032F9">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c>
          <w:tcPr>
            <w:tcW w:w="900" w:type="dxa"/>
            <w:noWrap w:val="0"/>
            <w:vAlign w:val="center"/>
          </w:tcPr>
          <w:p w14:paraId="50010EC1">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r>
      <w:tr w14:paraId="13D4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589" w:type="dxa"/>
            <w:noWrap w:val="0"/>
            <w:vAlign w:val="center"/>
          </w:tcPr>
          <w:p w14:paraId="45F3725E">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515" w:type="dxa"/>
            <w:noWrap w:val="0"/>
            <w:vAlign w:val="center"/>
          </w:tcPr>
          <w:p w14:paraId="6E1C0589">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5923" w:type="dxa"/>
            <w:noWrap w:val="0"/>
            <w:vAlign w:val="center"/>
          </w:tcPr>
          <w:p w14:paraId="244F85C9">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价格分采用低价优先法计算，即满足本招标文件要求的最低投标报价为评标基准价，其价格分为满分，其它投标人的价格分统一按照下列公式计算：</w:t>
            </w:r>
          </w:p>
          <w:p w14:paraId="5F8458BB">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投标报价得分=（评标基准价／投标报价）×价格分分值（精确到小数点后两位）。</w:t>
            </w:r>
          </w:p>
          <w:p w14:paraId="459637BC">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超过了采购项目预算或最高限价的，为无效投标。</w:t>
            </w:r>
          </w:p>
        </w:tc>
        <w:tc>
          <w:tcPr>
            <w:tcW w:w="900" w:type="dxa"/>
            <w:noWrap w:val="0"/>
            <w:vAlign w:val="center"/>
          </w:tcPr>
          <w:p w14:paraId="23A7EEC8">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r w14:paraId="5EDD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89" w:type="dxa"/>
            <w:vMerge w:val="restart"/>
            <w:shd w:val="clear" w:color="auto" w:fill="auto"/>
            <w:noWrap w:val="0"/>
            <w:vAlign w:val="center"/>
          </w:tcPr>
          <w:p w14:paraId="0E29302A">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515" w:type="dxa"/>
            <w:shd w:val="clear" w:color="auto" w:fill="auto"/>
            <w:noWrap w:val="0"/>
            <w:vAlign w:val="center"/>
          </w:tcPr>
          <w:p w14:paraId="783A10B7">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企业资质</w:t>
            </w:r>
          </w:p>
        </w:tc>
        <w:tc>
          <w:tcPr>
            <w:tcW w:w="5923" w:type="dxa"/>
            <w:shd w:val="clear" w:color="000000" w:fill="FFFFFF"/>
            <w:noWrap w:val="0"/>
            <w:vAlign w:val="center"/>
          </w:tcPr>
          <w:p w14:paraId="382A5B21">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投标人具备质量管理体系认证证书（ISO9001）、IT 服务管理体系认证证书（ISO/IEC20000）、信息安全管理体系认证证书（ISO/IEC27001）、职业健康安全管理体系统认证证书（ISO/45001），每有1 个得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分，共</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分。 </w:t>
            </w:r>
          </w:p>
          <w:p w14:paraId="4C83550E">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（以上证书要求在有效期内，否则不得分）</w:t>
            </w:r>
          </w:p>
        </w:tc>
        <w:tc>
          <w:tcPr>
            <w:tcW w:w="900" w:type="dxa"/>
            <w:shd w:val="clear" w:color="000000" w:fill="FFFFFF"/>
            <w:noWrap w:val="0"/>
            <w:vAlign w:val="center"/>
          </w:tcPr>
          <w:p w14:paraId="3497B8EE">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p>
        </w:tc>
      </w:tr>
      <w:tr w14:paraId="714C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89" w:type="dxa"/>
            <w:vMerge w:val="continue"/>
            <w:shd w:val="clear" w:color="auto" w:fill="auto"/>
            <w:noWrap w:val="0"/>
            <w:vAlign w:val="center"/>
          </w:tcPr>
          <w:p w14:paraId="068EFEA4">
            <w:pPr>
              <w:spacing w:before="34" w:line="240" w:lineRule="auto"/>
              <w:ind w:left="176" w:right="226" w:firstLine="2"/>
              <w:rPr>
                <w:rFonts w:hint="eastAsia" w:ascii="仿宋" w:hAnsi="仿宋" w:eastAsia="仿宋" w:cs="仿宋"/>
                <w:color w:val="auto"/>
                <w:sz w:val="21"/>
                <w:szCs w:val="21"/>
                <w:highlight w:val="none"/>
              </w:rPr>
            </w:pPr>
          </w:p>
        </w:tc>
        <w:tc>
          <w:tcPr>
            <w:tcW w:w="1515" w:type="dxa"/>
            <w:shd w:val="clear" w:color="auto" w:fill="auto"/>
            <w:noWrap w:val="0"/>
            <w:vAlign w:val="center"/>
          </w:tcPr>
          <w:p w14:paraId="428B4685">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tc>
        <w:tc>
          <w:tcPr>
            <w:tcW w:w="5923" w:type="dxa"/>
            <w:shd w:val="clear" w:color="auto" w:fill="auto"/>
            <w:noWrap w:val="0"/>
            <w:vAlign w:val="center"/>
          </w:tcPr>
          <w:p w14:paraId="1BE31836">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日以来</w:t>
            </w:r>
            <w:r>
              <w:rPr>
                <w:rFonts w:hint="eastAsia" w:ascii="仿宋" w:hAnsi="仿宋" w:eastAsia="仿宋" w:cs="仿宋"/>
                <w:color w:val="auto"/>
                <w:sz w:val="21"/>
                <w:szCs w:val="21"/>
                <w:highlight w:val="none"/>
                <w:lang w:val="en-US" w:eastAsia="zh-CN"/>
              </w:rPr>
              <w:t>的类似业绩，</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分，满分共</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 xml:space="preserve">分。 </w:t>
            </w:r>
          </w:p>
          <w:p w14:paraId="56E979EF">
            <w:pPr>
              <w:spacing w:before="34" w:line="240" w:lineRule="auto"/>
              <w:ind w:right="226"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注：合同要求必须提供加盖公章的合同首页、合同金额页、签字盖章页</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，同一用户的同类型合同不得重复计分。</w:t>
            </w:r>
          </w:p>
        </w:tc>
        <w:tc>
          <w:tcPr>
            <w:tcW w:w="900" w:type="dxa"/>
            <w:shd w:val="clear" w:color="000000" w:fill="FFFFFF"/>
            <w:noWrap w:val="0"/>
            <w:vAlign w:val="center"/>
          </w:tcPr>
          <w:p w14:paraId="27C2590E">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r>
      <w:tr w14:paraId="7273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589" w:type="dxa"/>
            <w:vMerge w:val="continue"/>
            <w:shd w:val="clear" w:color="auto" w:fill="auto"/>
            <w:noWrap w:val="0"/>
            <w:vAlign w:val="center"/>
          </w:tcPr>
          <w:p w14:paraId="181D4DA7">
            <w:pPr>
              <w:spacing w:before="34" w:line="240" w:lineRule="auto"/>
              <w:ind w:left="176" w:right="226" w:firstLine="2"/>
              <w:rPr>
                <w:rFonts w:hint="eastAsia" w:ascii="仿宋" w:hAnsi="仿宋" w:eastAsia="仿宋" w:cs="仿宋"/>
                <w:color w:val="auto"/>
                <w:sz w:val="21"/>
                <w:szCs w:val="21"/>
                <w:highlight w:val="none"/>
              </w:rPr>
            </w:pPr>
          </w:p>
        </w:tc>
        <w:tc>
          <w:tcPr>
            <w:tcW w:w="1515" w:type="dxa"/>
            <w:shd w:val="clear" w:color="auto" w:fill="auto"/>
            <w:noWrap w:val="0"/>
            <w:vAlign w:val="center"/>
          </w:tcPr>
          <w:p w14:paraId="72840A2D">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人员配置</w:t>
            </w:r>
          </w:p>
        </w:tc>
        <w:tc>
          <w:tcPr>
            <w:tcW w:w="5923" w:type="dxa"/>
            <w:shd w:val="clear" w:color="auto" w:fill="auto"/>
            <w:noWrap w:val="0"/>
            <w:vAlign w:val="center"/>
          </w:tcPr>
          <w:p w14:paraId="06E098B8">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 xml:space="preserve">项目经理具备信息系统管理师（高级）的，得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分，否则得 0 分。 </w:t>
            </w:r>
          </w:p>
          <w:p w14:paraId="48E1E701">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sz w:val="21"/>
                <w:szCs w:val="21"/>
                <w:highlight w:val="none"/>
              </w:rPr>
              <w:t>项目团队成员</w:t>
            </w:r>
            <w:r>
              <w:rPr>
                <w:rFonts w:hint="eastAsia" w:ascii="仿宋" w:hAnsi="仿宋" w:eastAsia="仿宋" w:cs="仿宋"/>
                <w:color w:val="auto"/>
                <w:sz w:val="21"/>
                <w:szCs w:val="21"/>
                <w:highlight w:val="none"/>
                <w:lang w:val="en-US" w:eastAsia="zh-CN"/>
              </w:rPr>
              <w:t>每提供1个</w:t>
            </w:r>
            <w:r>
              <w:rPr>
                <w:rFonts w:hint="eastAsia" w:ascii="仿宋" w:hAnsi="仿宋" w:eastAsia="仿宋" w:cs="仿宋"/>
                <w:color w:val="auto"/>
                <w:sz w:val="21"/>
                <w:szCs w:val="21"/>
                <w:highlight w:val="none"/>
              </w:rPr>
              <w:t>具有系统架构师</w:t>
            </w:r>
            <w:r>
              <w:rPr>
                <w:rFonts w:hint="eastAsia" w:ascii="仿宋" w:hAnsi="仿宋" w:eastAsia="仿宋" w:cs="仿宋"/>
                <w:color w:val="auto"/>
                <w:sz w:val="21"/>
                <w:szCs w:val="21"/>
                <w:highlight w:val="none"/>
                <w:u w:val="none"/>
                <w:lang w:eastAsia="zh-CN"/>
              </w:rPr>
              <w:t>或</w:t>
            </w:r>
            <w:r>
              <w:rPr>
                <w:rFonts w:hint="eastAsia" w:ascii="仿宋" w:hAnsi="仿宋" w:eastAsia="仿宋" w:cs="仿宋"/>
                <w:color w:val="auto"/>
                <w:sz w:val="21"/>
                <w:szCs w:val="21"/>
                <w:highlight w:val="none"/>
                <w:lang w:val="en-US" w:eastAsia="zh-CN"/>
              </w:rPr>
              <w:t>软件设计师</w:t>
            </w:r>
            <w:r>
              <w:rPr>
                <w:rFonts w:hint="eastAsia" w:ascii="仿宋" w:hAnsi="仿宋" w:eastAsia="仿宋" w:cs="仿宋"/>
                <w:color w:val="auto"/>
                <w:sz w:val="21"/>
                <w:szCs w:val="21"/>
                <w:highlight w:val="none"/>
              </w:rPr>
              <w:t xml:space="preserve">资质证书的得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最高得6分。</w:t>
            </w:r>
          </w:p>
          <w:p w14:paraId="38503ADD">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3、项目团队人员数量不少于 </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 xml:space="preserve"> 人的得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分，否则得 0 分。 </w:t>
            </w:r>
          </w:p>
          <w:p w14:paraId="47C96487">
            <w:pPr>
              <w:numPr>
                <w:ilvl w:val="0"/>
                <w:numId w:val="0"/>
              </w:numPr>
              <w:spacing w:before="34" w:line="240" w:lineRule="auto"/>
              <w:ind w:right="226" w:righ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（以上人员要求提供相关资质证书</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及</w:t>
            </w:r>
            <w:r>
              <w:rPr>
                <w:rFonts w:hint="eastAsia" w:ascii="仿宋" w:hAnsi="仿宋" w:eastAsia="仿宋" w:cs="仿宋"/>
                <w:color w:val="auto"/>
                <w:sz w:val="21"/>
                <w:szCs w:val="21"/>
                <w:highlight w:val="none"/>
                <w:lang w:val="en-US" w:eastAsia="zh-CN"/>
              </w:rPr>
              <w:t>近3个月的</w:t>
            </w:r>
            <w:r>
              <w:rPr>
                <w:rFonts w:hint="eastAsia" w:ascii="仿宋" w:hAnsi="仿宋" w:eastAsia="仿宋" w:cs="仿宋"/>
                <w:color w:val="auto"/>
                <w:sz w:val="21"/>
                <w:szCs w:val="21"/>
                <w:highlight w:val="none"/>
              </w:rPr>
              <w:t>社保证明并加盖投标人公章，缺少其中任何一项不得分）</w:t>
            </w:r>
          </w:p>
        </w:tc>
        <w:tc>
          <w:tcPr>
            <w:tcW w:w="900" w:type="dxa"/>
            <w:shd w:val="clear" w:color="000000" w:fill="FFFFFF"/>
            <w:noWrap w:val="0"/>
            <w:vAlign w:val="center"/>
          </w:tcPr>
          <w:p w14:paraId="3C3B8D50">
            <w:pPr>
              <w:spacing w:before="34" w:line="240" w:lineRule="auto"/>
              <w:ind w:left="176" w:right="226" w:firstLine="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369A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9" w:type="dxa"/>
            <w:shd w:val="clear" w:color="auto" w:fill="auto"/>
            <w:noWrap w:val="0"/>
            <w:vAlign w:val="center"/>
          </w:tcPr>
          <w:p w14:paraId="204BB652">
            <w:pPr>
              <w:spacing w:before="34" w:line="240" w:lineRule="auto"/>
              <w:ind w:left="176" w:right="226" w:firstLine="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515" w:type="dxa"/>
            <w:shd w:val="clear" w:color="auto" w:fill="auto"/>
            <w:noWrap w:val="0"/>
            <w:vAlign w:val="center"/>
          </w:tcPr>
          <w:p w14:paraId="421735A3">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驻场人员</w:t>
            </w:r>
          </w:p>
        </w:tc>
        <w:tc>
          <w:tcPr>
            <w:tcW w:w="5923" w:type="dxa"/>
            <w:shd w:val="clear" w:color="auto" w:fill="auto"/>
            <w:noWrap w:val="0"/>
            <w:vAlign w:val="center"/>
          </w:tcPr>
          <w:p w14:paraId="6F774AF8">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承诺</w:t>
            </w:r>
            <w:r>
              <w:rPr>
                <w:rFonts w:hint="eastAsia" w:ascii="仿宋" w:hAnsi="仿宋" w:eastAsia="仿宋" w:cs="仿宋"/>
                <w:color w:val="auto"/>
                <w:sz w:val="21"/>
                <w:szCs w:val="21"/>
                <w:highlight w:val="none"/>
                <w:lang w:val="en-US" w:eastAsia="zh-CN"/>
              </w:rPr>
              <w:t>在运维期间</w:t>
            </w:r>
            <w:r>
              <w:rPr>
                <w:rFonts w:hint="eastAsia" w:ascii="仿宋" w:hAnsi="仿宋" w:eastAsia="仿宋" w:cs="仿宋"/>
                <w:color w:val="auto"/>
                <w:sz w:val="21"/>
                <w:szCs w:val="21"/>
                <w:highlight w:val="none"/>
              </w:rPr>
              <w:t xml:space="preserve">提供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名</w:t>
            </w:r>
            <w:r>
              <w:rPr>
                <w:rFonts w:hint="eastAsia" w:ascii="仿宋" w:hAnsi="仿宋" w:eastAsia="仿宋" w:cs="仿宋"/>
                <w:color w:val="auto"/>
                <w:sz w:val="21"/>
                <w:szCs w:val="21"/>
                <w:highlight w:val="none"/>
                <w:lang w:val="en-US" w:eastAsia="zh-CN"/>
              </w:rPr>
              <w:t>及以上</w:t>
            </w:r>
            <w:r>
              <w:rPr>
                <w:rFonts w:hint="eastAsia" w:ascii="仿宋" w:hAnsi="仿宋" w:eastAsia="仿宋" w:cs="仿宋"/>
                <w:color w:val="auto"/>
                <w:sz w:val="21"/>
                <w:szCs w:val="21"/>
                <w:highlight w:val="none"/>
              </w:rPr>
              <w:t xml:space="preserve">驻场开发工程师的，得 </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否则不得分。</w:t>
            </w:r>
          </w:p>
        </w:tc>
        <w:tc>
          <w:tcPr>
            <w:tcW w:w="900" w:type="dxa"/>
            <w:shd w:val="clear" w:color="000000" w:fill="FFFFFF"/>
            <w:noWrap w:val="0"/>
            <w:vAlign w:val="center"/>
          </w:tcPr>
          <w:p w14:paraId="3A2BF0E3">
            <w:pPr>
              <w:spacing w:before="34" w:line="240" w:lineRule="auto"/>
              <w:ind w:left="176" w:right="226" w:firstLine="2"/>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r>
      <w:tr w14:paraId="310E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589" w:type="dxa"/>
            <w:vMerge w:val="restart"/>
            <w:noWrap w:val="0"/>
            <w:vAlign w:val="center"/>
          </w:tcPr>
          <w:p w14:paraId="7F03FC17">
            <w:pPr>
              <w:spacing w:before="34" w:line="240" w:lineRule="auto"/>
              <w:ind w:left="176" w:right="226" w:firstLine="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1515" w:type="dxa"/>
            <w:vMerge w:val="restart"/>
            <w:noWrap w:val="0"/>
            <w:vAlign w:val="center"/>
          </w:tcPr>
          <w:p w14:paraId="79E50E4E">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5923" w:type="dxa"/>
            <w:tcBorders>
              <w:bottom w:val="single" w:color="auto" w:sz="4" w:space="0"/>
            </w:tcBorders>
            <w:noWrap w:val="0"/>
            <w:vAlign w:val="center"/>
          </w:tcPr>
          <w:p w14:paraId="4BDD4205">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方案结合采购人信息化现状和《网络安全法》《数据安全法》、国家药监局相关要求，充分考虑相关应用系统的技术构架和功能设置，得10分；服务方案为通用方案，与运维的系统功能、技术构架和采购人需求结合不紧密，得5分；未提供服务方案的，不得分。</w:t>
            </w:r>
          </w:p>
        </w:tc>
        <w:tc>
          <w:tcPr>
            <w:tcW w:w="900" w:type="dxa"/>
            <w:tcBorders>
              <w:bottom w:val="single" w:color="auto" w:sz="4" w:space="0"/>
            </w:tcBorders>
            <w:noWrap w:val="0"/>
            <w:vAlign w:val="center"/>
          </w:tcPr>
          <w:p w14:paraId="1816702E">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p>
        </w:tc>
      </w:tr>
      <w:tr w14:paraId="4D7E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89" w:type="dxa"/>
            <w:vMerge w:val="continue"/>
            <w:noWrap w:val="0"/>
            <w:vAlign w:val="center"/>
          </w:tcPr>
          <w:p w14:paraId="3BDAA65C">
            <w:pPr>
              <w:spacing w:before="34" w:line="240" w:lineRule="auto"/>
              <w:ind w:left="176" w:right="226" w:firstLine="2"/>
              <w:rPr>
                <w:rFonts w:hint="eastAsia" w:ascii="仿宋" w:hAnsi="仿宋" w:eastAsia="仿宋" w:cs="仿宋"/>
                <w:color w:val="auto"/>
                <w:sz w:val="21"/>
                <w:szCs w:val="21"/>
                <w:highlight w:val="none"/>
              </w:rPr>
            </w:pPr>
          </w:p>
        </w:tc>
        <w:tc>
          <w:tcPr>
            <w:tcW w:w="1515" w:type="dxa"/>
            <w:vMerge w:val="continue"/>
            <w:tcBorders>
              <w:bottom w:val="single" w:color="auto" w:sz="4" w:space="0"/>
            </w:tcBorders>
            <w:noWrap w:val="0"/>
            <w:vAlign w:val="center"/>
          </w:tcPr>
          <w:p w14:paraId="2289FEC1">
            <w:pPr>
              <w:spacing w:before="34" w:line="240" w:lineRule="auto"/>
              <w:ind w:left="176" w:right="226" w:firstLine="2"/>
              <w:rPr>
                <w:rFonts w:hint="eastAsia" w:ascii="仿宋" w:hAnsi="仿宋" w:eastAsia="仿宋" w:cs="仿宋"/>
                <w:color w:val="auto"/>
                <w:sz w:val="21"/>
                <w:szCs w:val="21"/>
                <w:highlight w:val="none"/>
              </w:rPr>
            </w:pPr>
          </w:p>
        </w:tc>
        <w:tc>
          <w:tcPr>
            <w:tcW w:w="5923" w:type="dxa"/>
            <w:tcBorders>
              <w:bottom w:val="single" w:color="auto" w:sz="4" w:space="0"/>
            </w:tcBorders>
            <w:noWrap w:val="0"/>
            <w:vAlign w:val="center"/>
          </w:tcPr>
          <w:p w14:paraId="24665AAA">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服务内容全部响应，得7分，每出现1项负偏离扣3分，扣完为止。</w:t>
            </w:r>
          </w:p>
        </w:tc>
        <w:tc>
          <w:tcPr>
            <w:tcW w:w="900" w:type="dxa"/>
            <w:tcBorders>
              <w:bottom w:val="single" w:color="auto" w:sz="4" w:space="0"/>
            </w:tcBorders>
            <w:noWrap w:val="0"/>
            <w:vAlign w:val="center"/>
          </w:tcPr>
          <w:p w14:paraId="1005355C">
            <w:pPr>
              <w:spacing w:before="34" w:line="240" w:lineRule="auto"/>
              <w:ind w:left="176" w:right="226" w:firstLine="2"/>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p>
        </w:tc>
      </w:tr>
      <w:tr w14:paraId="629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589" w:type="dxa"/>
            <w:noWrap w:val="0"/>
            <w:vAlign w:val="center"/>
          </w:tcPr>
          <w:p w14:paraId="1A931C47">
            <w:pPr>
              <w:spacing w:before="34" w:line="240" w:lineRule="auto"/>
              <w:ind w:left="176" w:right="226" w:firstLine="2"/>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1515" w:type="dxa"/>
            <w:noWrap w:val="0"/>
            <w:vAlign w:val="center"/>
          </w:tcPr>
          <w:p w14:paraId="0F29DFB6">
            <w:pPr>
              <w:spacing w:before="34" w:line="240" w:lineRule="auto"/>
              <w:ind w:left="176" w:right="226" w:firstLine="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现场演示</w:t>
            </w:r>
          </w:p>
          <w:p w14:paraId="2D81F17F">
            <w:pPr>
              <w:spacing w:before="34" w:line="240" w:lineRule="auto"/>
              <w:ind w:left="176" w:right="226" w:firstLine="2"/>
              <w:rPr>
                <w:rFonts w:hint="eastAsia" w:ascii="仿宋" w:hAnsi="仿宋" w:eastAsia="仿宋" w:cs="仿宋"/>
                <w:color w:val="auto"/>
                <w:sz w:val="21"/>
                <w:szCs w:val="21"/>
                <w:highlight w:val="none"/>
              </w:rPr>
            </w:pPr>
          </w:p>
        </w:tc>
        <w:tc>
          <w:tcPr>
            <w:tcW w:w="5923" w:type="dxa"/>
            <w:noWrap w:val="0"/>
            <w:vAlign w:val="center"/>
          </w:tcPr>
          <w:p w14:paraId="0D7D6040">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演示内容包括自治区药品监督管理局政府网站等4个系统的前后端技术构架、功能设置、运维思路、人员管理等，逻辑清楚、内容完整，得20分；</w:t>
            </w:r>
          </w:p>
          <w:p w14:paraId="054CC3D8">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演示内容有缺项，或不熟悉运维的5个系统的技术构架、功能设置的，得10分；</w:t>
            </w:r>
          </w:p>
          <w:p w14:paraId="219A4021">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演示内容未结合采购人需求的，得5分；</w:t>
            </w:r>
          </w:p>
          <w:p w14:paraId="52037AB3">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未进行系统演示，或仅采用PPT、原型等形式进行现场演示，不得分。</w:t>
            </w:r>
          </w:p>
          <w:p w14:paraId="2A7464CD">
            <w:pPr>
              <w:spacing w:before="34" w:line="240" w:lineRule="auto"/>
              <w:ind w:right="226"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采用腾讯会议进行演示，演示时间不得超过10分钟。</w:t>
            </w:r>
          </w:p>
          <w:p w14:paraId="71B02E57">
            <w:pPr>
              <w:spacing w:before="34" w:line="240" w:lineRule="auto"/>
              <w:ind w:right="226" w:firstLine="422" w:firstLineChars="200"/>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请参与本项目的各供应商在开标前自行测试其视屏会议设备，保证视屏会议正常开展。</w:t>
            </w:r>
            <w:r>
              <w:rPr>
                <w:rFonts w:hint="eastAsia" w:ascii="仿宋" w:hAnsi="仿宋" w:eastAsia="仿宋" w:cs="仿宋"/>
                <w:b/>
                <w:bCs/>
                <w:color w:val="auto"/>
                <w:sz w:val="21"/>
                <w:szCs w:val="21"/>
                <w:highlight w:val="none"/>
                <w:lang w:eastAsia="zh-CN"/>
              </w:rPr>
              <w:t>）</w:t>
            </w:r>
          </w:p>
        </w:tc>
        <w:tc>
          <w:tcPr>
            <w:tcW w:w="900" w:type="dxa"/>
            <w:noWrap w:val="0"/>
            <w:vAlign w:val="center"/>
          </w:tcPr>
          <w:p w14:paraId="05730587">
            <w:pPr>
              <w:spacing w:before="34" w:line="240" w:lineRule="auto"/>
              <w:ind w:left="176" w:right="226" w:firstLine="2"/>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r>
    </w:tbl>
    <w:p w14:paraId="72576102">
      <w:pPr>
        <w:rPr>
          <w:rFonts w:hint="eastAsia" w:ascii="仿宋" w:hAnsi="仿宋" w:eastAsia="仿宋" w:cs="仿宋"/>
          <w:color w:val="auto"/>
          <w:highlight w:val="none"/>
        </w:rPr>
      </w:pPr>
    </w:p>
    <w:p w14:paraId="4D03BB7B">
      <w:pPr>
        <w:tabs>
          <w:tab w:val="center" w:pos="4832"/>
          <w:tab w:val="left" w:pos="7140"/>
        </w:tabs>
        <w:spacing w:line="360" w:lineRule="auto"/>
        <w:ind w:firstLine="472" w:firstLineChars="196"/>
        <w:jc w:val="left"/>
        <w:outlineLvl w:val="1"/>
        <w:rPr>
          <w:rFonts w:hint="eastAsia" w:ascii="仿宋" w:hAnsi="仿宋" w:eastAsia="仿宋" w:cs="仿宋"/>
          <w:color w:val="auto"/>
          <w:highlight w:val="none"/>
        </w:rPr>
      </w:pPr>
      <w:bookmarkStart w:id="33" w:name="_Toc16659"/>
      <w:r>
        <w:rPr>
          <w:rFonts w:hint="eastAsia" w:ascii="仿宋" w:hAnsi="仿宋" w:eastAsia="仿宋" w:cs="仿宋"/>
          <w:b/>
          <w:color w:val="auto"/>
          <w:sz w:val="24"/>
          <w:szCs w:val="24"/>
          <w:highlight w:val="none"/>
          <w:shd w:val="clear" w:color="auto" w:fill="FFFFFF" w:themeFill="background1"/>
        </w:rPr>
        <w:t>一、评审方法</w:t>
      </w:r>
      <w:bookmarkEnd w:id="33"/>
    </w:p>
    <w:p w14:paraId="297C5F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20525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4" w:name="_Toc28167"/>
      <w:r>
        <w:rPr>
          <w:rFonts w:hint="eastAsia" w:ascii="仿宋" w:hAnsi="仿宋" w:eastAsia="仿宋" w:cs="仿宋"/>
          <w:b/>
          <w:color w:val="auto"/>
          <w:sz w:val="24"/>
          <w:szCs w:val="24"/>
          <w:highlight w:val="none"/>
          <w:shd w:val="clear" w:color="auto" w:fill="FFFFFF" w:themeFill="background1"/>
        </w:rPr>
        <w:t>二、评审标准</w:t>
      </w:r>
      <w:bookmarkEnd w:id="34"/>
    </w:p>
    <w:p w14:paraId="1E3633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23C2CC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6890D3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44353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1C028A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2.3.2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评分标准：</w:t>
      </w:r>
    </w:p>
    <w:p w14:paraId="07F0EB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51F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（2）基准价计算：见评审办法前附表。</w:t>
      </w:r>
    </w:p>
    <w:p w14:paraId="0C3062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得分的计算：见评审办法前附表。</w:t>
      </w:r>
    </w:p>
    <w:p w14:paraId="7DBFC3A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shd w:val="clear" w:color="auto" w:fill="FFFFFF" w:themeFill="background1"/>
        </w:rPr>
      </w:pPr>
      <w:bookmarkStart w:id="35" w:name="_Toc32655"/>
      <w:r>
        <w:rPr>
          <w:rFonts w:hint="eastAsia" w:ascii="仿宋" w:hAnsi="仿宋" w:eastAsia="仿宋" w:cs="仿宋"/>
          <w:b/>
          <w:color w:val="auto"/>
          <w:sz w:val="24"/>
          <w:szCs w:val="24"/>
          <w:highlight w:val="none"/>
          <w:shd w:val="clear" w:color="auto" w:fill="FFFFFF" w:themeFill="background1"/>
        </w:rPr>
        <w:t>三、评审程序</w:t>
      </w:r>
      <w:bookmarkEnd w:id="35"/>
    </w:p>
    <w:p w14:paraId="7BCCB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569B9E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7F1DE51E">
      <w:pPr>
        <w:pStyle w:val="67"/>
        <w:widowControl/>
        <w:numPr>
          <w:ilvl w:val="0"/>
          <w:numId w:val="2"/>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2B74B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3E534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577AEE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4C7F17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6867AA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00C738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04B4EF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864AF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175E60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956A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69C62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4F65D0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08B19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2DEF34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DC08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2D84CA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6B936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77CC2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347332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028F6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2BFB9D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，了解和熟悉</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E5AF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69F87E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补充；</w:t>
      </w:r>
    </w:p>
    <w:p w14:paraId="7CB05D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会上当场拒绝的各响应文件；</w:t>
      </w:r>
    </w:p>
    <w:p w14:paraId="3BBC9B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会记录；</w:t>
      </w:r>
    </w:p>
    <w:p w14:paraId="6136A0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197035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7B9E82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484349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19916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349F7A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响应文件</w:t>
      </w:r>
      <w:r>
        <w:rPr>
          <w:rFonts w:hint="eastAsia" w:ascii="仿宋" w:hAnsi="仿宋" w:eastAsia="仿宋" w:cs="仿宋"/>
          <w:color w:val="auto"/>
          <w:kern w:val="0"/>
          <w:sz w:val="24"/>
          <w:szCs w:val="24"/>
          <w:highlight w:val="none"/>
          <w:shd w:val="clear" w:color="auto" w:fill="FFFFFF" w:themeFill="background1"/>
        </w:rPr>
        <w:t>。</w:t>
      </w:r>
    </w:p>
    <w:p w14:paraId="7AFAF4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的其他供应商的竞争地位产生不公正的影响。</w:t>
      </w:r>
    </w:p>
    <w:p w14:paraId="265C49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277F28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12BADC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3.5.1、按照供应商递交响应文件的逆顺序，由磋商小组与各供应商进行磋商，对响应文件中的漏项、错误等问题进行统一补充和修正并告知供应商，在此基础上进行第二轮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w:t>
      </w:r>
    </w:p>
    <w:p w14:paraId="0A76C0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，作为最终</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的依据。若供应商未进行第二轮报价，视为放弃响应资格；其响应无效；不在参与后续评审。</w:t>
      </w:r>
    </w:p>
    <w:p w14:paraId="27F884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7C722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 只有通过了第二轮报价方可进入详细评审。</w:t>
      </w:r>
    </w:p>
    <w:p w14:paraId="6118FF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 澄清、说明和补正</w:t>
      </w:r>
    </w:p>
    <w:p w14:paraId="72524B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的算术性错误、错漏项、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构成不合理、不平衡报价等存在明显异常的问题。</w:t>
      </w:r>
    </w:p>
    <w:p w14:paraId="6F923D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98AB2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550BCE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66D5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65E43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1DA36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一览表与响应文件中相应内容不一致的，以开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一览表为准；</w:t>
      </w:r>
    </w:p>
    <w:p w14:paraId="44BDC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一览表的总价为准，并修改单价；</w:t>
      </w:r>
    </w:p>
    <w:p w14:paraId="70264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37C6EF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修正后的报价经供应商确认后产生约束力，供应商不确认或不接受的，其</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rPr>
        <w:t>无效。</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9F2C4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58EE2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汇总评分结果，评分分值计算保留小数点后两位，小数点后第三位“四舍五入”。</w:t>
      </w:r>
    </w:p>
    <w:p w14:paraId="79DF4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36E123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69B4E8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647471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.3总得分相同</w:t>
      </w:r>
      <w:r>
        <w:rPr>
          <w:rFonts w:hint="eastAsia" w:ascii="仿宋" w:hAnsi="仿宋" w:eastAsia="仿宋" w:cs="仿宋"/>
          <w:color w:val="auto"/>
          <w:kern w:val="0"/>
          <w:sz w:val="24"/>
          <w:szCs w:val="24"/>
          <w:highlight w:val="none"/>
        </w:rPr>
        <w:t>且报价相同</w:t>
      </w:r>
      <w:r>
        <w:rPr>
          <w:rFonts w:hint="eastAsia" w:ascii="仿宋" w:hAnsi="仿宋" w:eastAsia="仿宋" w:cs="仿宋"/>
          <w:color w:val="auto"/>
          <w:kern w:val="0"/>
          <w:sz w:val="24"/>
          <w:szCs w:val="24"/>
          <w:highlight w:val="none"/>
          <w:shd w:val="clear" w:color="auto" w:fill="FFFFFF" w:themeFill="background1"/>
        </w:rPr>
        <w:t>的供应商，</w:t>
      </w:r>
      <w:r>
        <w:rPr>
          <w:rFonts w:hint="eastAsia" w:ascii="仿宋" w:hAnsi="仿宋" w:eastAsia="仿宋" w:cs="仿宋"/>
          <w:color w:val="auto"/>
          <w:kern w:val="0"/>
          <w:sz w:val="24"/>
          <w:szCs w:val="24"/>
          <w:highlight w:val="none"/>
        </w:rPr>
        <w:t>采取随机抽取方式确定排序顺序。</w:t>
      </w:r>
    </w:p>
    <w:p w14:paraId="657401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p>
    <w:p w14:paraId="1DE034C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3.7.1磋商小组推荐成交候选人，总得分排序第一的供应商将被确定为第一成交候选人，以此类推确定出规定数量的的成交候选人。</w:t>
      </w:r>
    </w:p>
    <w:p w14:paraId="7CBF67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w:t>
      </w:r>
    </w:p>
    <w:p w14:paraId="12F6A7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52685A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1F1243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4517FE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B514F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469C8E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3565AC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02ACCB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468486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1212D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7275AC7C">
      <w:pPr>
        <w:widowControl/>
        <w:spacing w:line="360" w:lineRule="auto"/>
        <w:jc w:val="left"/>
        <w:rPr>
          <w:rFonts w:hint="eastAsia" w:ascii="仿宋" w:hAnsi="仿宋" w:eastAsia="仿宋" w:cs="仿宋"/>
          <w:b/>
          <w:color w:val="auto"/>
          <w:sz w:val="24"/>
          <w:szCs w:val="24"/>
          <w:highlight w:val="none"/>
          <w:shd w:val="clear" w:color="auto" w:fill="FFFFFF" w:themeFill="background1"/>
        </w:rPr>
      </w:pPr>
      <w:bookmarkStart w:id="36" w:name="_Toc485312286"/>
      <w:r>
        <w:rPr>
          <w:rFonts w:hint="eastAsia" w:ascii="仿宋" w:hAnsi="仿宋" w:eastAsia="仿宋" w:cs="仿宋"/>
          <w:b/>
          <w:color w:val="auto"/>
          <w:sz w:val="24"/>
          <w:szCs w:val="24"/>
          <w:highlight w:val="none"/>
          <w:shd w:val="clear" w:color="auto" w:fill="FFFFFF" w:themeFill="background1"/>
        </w:rPr>
        <w:br w:type="page"/>
      </w:r>
    </w:p>
    <w:p w14:paraId="0FA33D26">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24A4A0AB">
      <w:pPr>
        <w:spacing w:line="360" w:lineRule="auto"/>
        <w:rPr>
          <w:rFonts w:hint="eastAsia" w:ascii="仿宋" w:hAnsi="仿宋" w:eastAsia="仿宋" w:cs="仿宋"/>
          <w:color w:val="auto"/>
          <w:sz w:val="24"/>
          <w:szCs w:val="24"/>
          <w:highlight w:val="none"/>
          <w:shd w:val="clear" w:color="auto" w:fill="FFFFFF" w:themeFill="background1"/>
        </w:rPr>
      </w:pPr>
    </w:p>
    <w:p w14:paraId="3CDEAB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43F9FB6A">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的磋商小组，对你方的响应文件进行了仔细的审查，现需你方对本通知所附质疑问卷中的问题以书面形式予以澄清、说明或者补正。</w:t>
      </w:r>
    </w:p>
    <w:p w14:paraId="1DB3CD0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66B6287D">
      <w:pPr>
        <w:spacing w:line="360" w:lineRule="auto"/>
        <w:rPr>
          <w:rFonts w:hint="eastAsia" w:ascii="仿宋" w:hAnsi="仿宋" w:eastAsia="仿宋" w:cs="仿宋"/>
          <w:color w:val="auto"/>
          <w:kern w:val="0"/>
          <w:sz w:val="24"/>
          <w:szCs w:val="24"/>
          <w:highlight w:val="none"/>
          <w:shd w:val="clear" w:color="auto" w:fill="FFFFFF" w:themeFill="background1"/>
        </w:rPr>
      </w:pPr>
    </w:p>
    <w:p w14:paraId="612A90D3">
      <w:pPr>
        <w:spacing w:line="360" w:lineRule="auto"/>
        <w:rPr>
          <w:rFonts w:hint="eastAsia" w:ascii="仿宋" w:hAnsi="仿宋" w:eastAsia="仿宋" w:cs="仿宋"/>
          <w:color w:val="auto"/>
          <w:kern w:val="0"/>
          <w:sz w:val="24"/>
          <w:szCs w:val="24"/>
          <w:highlight w:val="none"/>
          <w:shd w:val="clear" w:color="auto" w:fill="FFFFFF" w:themeFill="background1"/>
        </w:rPr>
      </w:pPr>
    </w:p>
    <w:p w14:paraId="2B9B9385">
      <w:pPr>
        <w:spacing w:line="360" w:lineRule="auto"/>
        <w:rPr>
          <w:rFonts w:hint="eastAsia" w:ascii="仿宋" w:hAnsi="仿宋" w:eastAsia="仿宋" w:cs="仿宋"/>
          <w:color w:val="auto"/>
          <w:kern w:val="0"/>
          <w:sz w:val="24"/>
          <w:szCs w:val="24"/>
          <w:highlight w:val="none"/>
          <w:shd w:val="clear" w:color="auto" w:fill="FFFFFF" w:themeFill="background1"/>
        </w:rPr>
      </w:pPr>
    </w:p>
    <w:p w14:paraId="4DE6DF67">
      <w:pPr>
        <w:spacing w:line="360" w:lineRule="auto"/>
        <w:rPr>
          <w:rFonts w:hint="eastAsia" w:ascii="仿宋" w:hAnsi="仿宋" w:eastAsia="仿宋" w:cs="仿宋"/>
          <w:color w:val="auto"/>
          <w:kern w:val="0"/>
          <w:sz w:val="24"/>
          <w:szCs w:val="24"/>
          <w:highlight w:val="none"/>
          <w:shd w:val="clear" w:color="auto" w:fill="FFFFFF" w:themeFill="background1"/>
        </w:rPr>
      </w:pPr>
    </w:p>
    <w:p w14:paraId="15314702">
      <w:pPr>
        <w:spacing w:line="360" w:lineRule="auto"/>
        <w:rPr>
          <w:rFonts w:hint="eastAsia" w:ascii="仿宋" w:hAnsi="仿宋" w:eastAsia="仿宋" w:cs="仿宋"/>
          <w:color w:val="auto"/>
          <w:kern w:val="0"/>
          <w:sz w:val="24"/>
          <w:szCs w:val="24"/>
          <w:highlight w:val="none"/>
          <w:shd w:val="clear" w:color="auto" w:fill="FFFFFF" w:themeFill="background1"/>
        </w:rPr>
      </w:pPr>
    </w:p>
    <w:p w14:paraId="5FC13D46">
      <w:pPr>
        <w:spacing w:line="360" w:lineRule="auto"/>
        <w:rPr>
          <w:rFonts w:hint="eastAsia" w:ascii="仿宋" w:hAnsi="仿宋" w:eastAsia="仿宋" w:cs="仿宋"/>
          <w:color w:val="auto"/>
          <w:kern w:val="0"/>
          <w:sz w:val="24"/>
          <w:szCs w:val="24"/>
          <w:highlight w:val="none"/>
          <w:shd w:val="clear" w:color="auto" w:fill="FFFFFF" w:themeFill="background1"/>
        </w:rPr>
      </w:pPr>
    </w:p>
    <w:p w14:paraId="16CE3047">
      <w:pPr>
        <w:spacing w:line="360" w:lineRule="auto"/>
        <w:rPr>
          <w:rFonts w:hint="eastAsia" w:ascii="仿宋" w:hAnsi="仿宋" w:eastAsia="仿宋" w:cs="仿宋"/>
          <w:color w:val="auto"/>
          <w:kern w:val="0"/>
          <w:sz w:val="24"/>
          <w:szCs w:val="24"/>
          <w:highlight w:val="none"/>
          <w:shd w:val="clear" w:color="auto" w:fill="FFFFFF" w:themeFill="background1"/>
        </w:rPr>
      </w:pPr>
    </w:p>
    <w:p w14:paraId="19765679">
      <w:pPr>
        <w:spacing w:line="360" w:lineRule="auto"/>
        <w:rPr>
          <w:rFonts w:hint="eastAsia" w:ascii="仿宋" w:hAnsi="仿宋" w:eastAsia="仿宋" w:cs="仿宋"/>
          <w:color w:val="auto"/>
          <w:kern w:val="0"/>
          <w:sz w:val="24"/>
          <w:szCs w:val="24"/>
          <w:highlight w:val="none"/>
          <w:shd w:val="clear" w:color="auto" w:fill="FFFFFF" w:themeFill="background1"/>
        </w:rPr>
      </w:pPr>
    </w:p>
    <w:p w14:paraId="75D80367">
      <w:pPr>
        <w:spacing w:line="360" w:lineRule="auto"/>
        <w:rPr>
          <w:rFonts w:hint="eastAsia" w:ascii="仿宋" w:hAnsi="仿宋" w:eastAsia="仿宋" w:cs="仿宋"/>
          <w:color w:val="auto"/>
          <w:kern w:val="0"/>
          <w:sz w:val="24"/>
          <w:szCs w:val="24"/>
          <w:highlight w:val="none"/>
          <w:shd w:val="clear" w:color="auto" w:fill="FFFFFF" w:themeFill="background1"/>
        </w:rPr>
      </w:pPr>
    </w:p>
    <w:p w14:paraId="34025378">
      <w:pPr>
        <w:spacing w:line="360" w:lineRule="auto"/>
        <w:rPr>
          <w:rFonts w:hint="eastAsia" w:ascii="仿宋" w:hAnsi="仿宋" w:eastAsia="仿宋" w:cs="仿宋"/>
          <w:color w:val="auto"/>
          <w:kern w:val="0"/>
          <w:sz w:val="24"/>
          <w:szCs w:val="24"/>
          <w:highlight w:val="none"/>
          <w:shd w:val="clear" w:color="auto" w:fill="FFFFFF" w:themeFill="background1"/>
        </w:rPr>
      </w:pPr>
    </w:p>
    <w:p w14:paraId="03DA27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0D811D1B">
      <w:pPr>
        <w:spacing w:line="360" w:lineRule="auto"/>
        <w:rPr>
          <w:rFonts w:hint="eastAsia" w:ascii="仿宋" w:hAnsi="仿宋" w:eastAsia="仿宋" w:cs="仿宋"/>
          <w:color w:val="auto"/>
          <w:kern w:val="0"/>
          <w:sz w:val="24"/>
          <w:szCs w:val="24"/>
          <w:highlight w:val="none"/>
          <w:shd w:val="clear" w:color="auto" w:fill="FFFFFF" w:themeFill="background1"/>
        </w:rPr>
      </w:pPr>
    </w:p>
    <w:p w14:paraId="3C0573D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71563130">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795FF43B">
      <w:pPr>
        <w:spacing w:line="360" w:lineRule="auto"/>
        <w:rPr>
          <w:rFonts w:hint="eastAsia" w:ascii="仿宋" w:hAnsi="仿宋" w:eastAsia="仿宋" w:cs="仿宋"/>
          <w:color w:val="auto"/>
          <w:kern w:val="0"/>
          <w:sz w:val="24"/>
          <w:szCs w:val="24"/>
          <w:highlight w:val="none"/>
          <w:shd w:val="clear" w:color="auto" w:fill="FFFFFF" w:themeFill="background1"/>
        </w:rPr>
      </w:pPr>
    </w:p>
    <w:p w14:paraId="013E5D7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0891D86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513B454A">
      <w:pPr>
        <w:spacing w:line="360" w:lineRule="auto"/>
        <w:rPr>
          <w:rFonts w:hint="eastAsia" w:ascii="仿宋" w:hAnsi="仿宋" w:eastAsia="仿宋" w:cs="仿宋"/>
          <w:color w:val="auto"/>
          <w:kern w:val="0"/>
          <w:sz w:val="24"/>
          <w:szCs w:val="24"/>
          <w:highlight w:val="none"/>
          <w:shd w:val="clear" w:color="auto" w:fill="FFFFFF" w:themeFill="background1"/>
        </w:rPr>
      </w:pPr>
    </w:p>
    <w:p w14:paraId="31CDAEAB">
      <w:pPr>
        <w:spacing w:line="360" w:lineRule="auto"/>
        <w:rPr>
          <w:rFonts w:hint="eastAsia" w:ascii="仿宋" w:hAnsi="仿宋" w:eastAsia="仿宋" w:cs="仿宋"/>
          <w:color w:val="auto"/>
          <w:kern w:val="0"/>
          <w:sz w:val="24"/>
          <w:szCs w:val="24"/>
          <w:highlight w:val="none"/>
          <w:shd w:val="clear" w:color="auto" w:fill="FFFFFF" w:themeFill="background1"/>
        </w:rPr>
      </w:pPr>
    </w:p>
    <w:p w14:paraId="30F0FC98">
      <w:pPr>
        <w:spacing w:line="360" w:lineRule="auto"/>
        <w:rPr>
          <w:rFonts w:hint="eastAsia" w:ascii="仿宋" w:hAnsi="仿宋" w:eastAsia="仿宋" w:cs="仿宋"/>
          <w:color w:val="auto"/>
          <w:kern w:val="0"/>
          <w:sz w:val="24"/>
          <w:szCs w:val="24"/>
          <w:highlight w:val="none"/>
          <w:shd w:val="clear" w:color="auto" w:fill="FFFFFF" w:themeFill="background1"/>
        </w:rPr>
      </w:pPr>
    </w:p>
    <w:p w14:paraId="36D1BFA9">
      <w:pPr>
        <w:spacing w:line="360" w:lineRule="auto"/>
        <w:rPr>
          <w:rFonts w:hint="eastAsia" w:ascii="仿宋" w:hAnsi="仿宋" w:eastAsia="仿宋" w:cs="仿宋"/>
          <w:color w:val="auto"/>
          <w:kern w:val="0"/>
          <w:sz w:val="24"/>
          <w:szCs w:val="24"/>
          <w:highlight w:val="none"/>
          <w:shd w:val="clear" w:color="auto" w:fill="FFFFFF" w:themeFill="background1"/>
        </w:rPr>
      </w:pPr>
    </w:p>
    <w:p w14:paraId="675E3224">
      <w:pPr>
        <w:spacing w:line="360" w:lineRule="auto"/>
        <w:rPr>
          <w:rFonts w:hint="eastAsia" w:ascii="仿宋" w:hAnsi="仿宋" w:eastAsia="仿宋" w:cs="仿宋"/>
          <w:color w:val="auto"/>
          <w:kern w:val="0"/>
          <w:sz w:val="24"/>
          <w:szCs w:val="24"/>
          <w:highlight w:val="none"/>
          <w:shd w:val="clear" w:color="auto" w:fill="FFFFFF" w:themeFill="background1"/>
        </w:rPr>
      </w:pPr>
    </w:p>
    <w:p w14:paraId="3521B9F9">
      <w:pPr>
        <w:spacing w:line="360" w:lineRule="auto"/>
        <w:rPr>
          <w:rFonts w:hint="eastAsia" w:ascii="仿宋" w:hAnsi="仿宋" w:eastAsia="仿宋" w:cs="仿宋"/>
          <w:color w:val="auto"/>
          <w:kern w:val="0"/>
          <w:sz w:val="24"/>
          <w:szCs w:val="24"/>
          <w:highlight w:val="none"/>
          <w:shd w:val="clear" w:color="auto" w:fill="FFFFFF" w:themeFill="background1"/>
        </w:rPr>
      </w:pPr>
    </w:p>
    <w:p w14:paraId="5E106A18">
      <w:pPr>
        <w:spacing w:line="360" w:lineRule="auto"/>
        <w:rPr>
          <w:rFonts w:hint="eastAsia" w:ascii="仿宋" w:hAnsi="仿宋" w:eastAsia="仿宋" w:cs="仿宋"/>
          <w:color w:val="auto"/>
          <w:kern w:val="0"/>
          <w:sz w:val="24"/>
          <w:szCs w:val="24"/>
          <w:highlight w:val="none"/>
          <w:shd w:val="clear" w:color="auto" w:fill="FFFFFF" w:themeFill="background1"/>
        </w:rPr>
      </w:pPr>
    </w:p>
    <w:p w14:paraId="674988AE">
      <w:pPr>
        <w:spacing w:line="360" w:lineRule="auto"/>
        <w:rPr>
          <w:rFonts w:hint="eastAsia" w:ascii="仿宋" w:hAnsi="仿宋" w:eastAsia="仿宋" w:cs="仿宋"/>
          <w:color w:val="auto"/>
          <w:kern w:val="0"/>
          <w:sz w:val="24"/>
          <w:szCs w:val="24"/>
          <w:highlight w:val="none"/>
          <w:shd w:val="clear" w:color="auto" w:fill="FFFFFF" w:themeFill="background1"/>
        </w:rPr>
      </w:pPr>
    </w:p>
    <w:p w14:paraId="5D32AFC2">
      <w:pPr>
        <w:spacing w:line="360" w:lineRule="auto"/>
        <w:rPr>
          <w:rFonts w:hint="eastAsia" w:ascii="仿宋" w:hAnsi="仿宋" w:eastAsia="仿宋" w:cs="仿宋"/>
          <w:color w:val="auto"/>
          <w:kern w:val="0"/>
          <w:sz w:val="24"/>
          <w:szCs w:val="24"/>
          <w:highlight w:val="none"/>
          <w:shd w:val="clear" w:color="auto" w:fill="FFFFFF" w:themeFill="background1"/>
        </w:rPr>
      </w:pPr>
    </w:p>
    <w:p w14:paraId="507F6784">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72C1E1F1">
      <w:pPr>
        <w:spacing w:line="360" w:lineRule="auto"/>
        <w:rPr>
          <w:rFonts w:hint="eastAsia" w:ascii="仿宋" w:hAnsi="仿宋" w:eastAsia="仿宋" w:cs="仿宋"/>
          <w:color w:val="auto"/>
          <w:kern w:val="0"/>
          <w:sz w:val="24"/>
          <w:szCs w:val="24"/>
          <w:highlight w:val="none"/>
          <w:shd w:val="clear" w:color="auto" w:fill="FFFFFF" w:themeFill="background1"/>
        </w:rPr>
      </w:pPr>
    </w:p>
    <w:p w14:paraId="505C390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9A757EE">
      <w:pPr>
        <w:widowControl/>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br w:type="page"/>
      </w:r>
      <w:bookmarkEnd w:id="36"/>
      <w:bookmarkStart w:id="37" w:name="_Toc507586162"/>
      <w:bookmarkStart w:id="38" w:name="_Toc38446459"/>
      <w:bookmarkStart w:id="39" w:name="_Toc29306"/>
      <w:r>
        <w:rPr>
          <w:rFonts w:hint="eastAsia" w:ascii="仿宋" w:hAnsi="仿宋" w:eastAsia="仿宋" w:cs="仿宋"/>
          <w:b/>
          <w:color w:val="auto"/>
          <w:sz w:val="24"/>
          <w:szCs w:val="24"/>
          <w:highlight w:val="none"/>
          <w:shd w:val="clear" w:color="auto" w:fill="FFFFFF" w:themeFill="background1"/>
        </w:rPr>
        <w:t xml:space="preserve">第三章 </w:t>
      </w:r>
      <w:bookmarkEnd w:id="37"/>
      <w:bookmarkEnd w:id="38"/>
      <w:r>
        <w:rPr>
          <w:rFonts w:hint="eastAsia" w:ascii="仿宋" w:hAnsi="仿宋" w:eastAsia="仿宋" w:cs="仿宋"/>
          <w:b/>
          <w:color w:val="auto"/>
          <w:sz w:val="24"/>
          <w:szCs w:val="24"/>
          <w:highlight w:val="none"/>
          <w:shd w:val="clear" w:color="auto" w:fill="FFFFFF" w:themeFill="background1"/>
        </w:rPr>
        <w:t>合同文本</w:t>
      </w:r>
      <w:bookmarkEnd w:id="39"/>
    </w:p>
    <w:p w14:paraId="68530622">
      <w:pPr>
        <w:jc w:val="center"/>
        <w:rPr>
          <w:rFonts w:hint="eastAsia" w:ascii="仿宋" w:hAnsi="仿宋" w:eastAsia="仿宋" w:cs="仿宋"/>
          <w:b w:val="0"/>
          <w:bCs w:val="0"/>
          <w:color w:val="auto"/>
          <w:sz w:val="24"/>
          <w:szCs w:val="24"/>
          <w:highlight w:val="none"/>
        </w:rPr>
      </w:pPr>
      <w:bookmarkStart w:id="40" w:name="_Toc4387"/>
      <w:r>
        <w:rPr>
          <w:rFonts w:hint="eastAsia" w:ascii="仿宋" w:hAnsi="仿宋" w:eastAsia="仿宋" w:cs="仿宋"/>
          <w:b w:val="0"/>
          <w:bCs w:val="0"/>
          <w:color w:val="auto"/>
          <w:sz w:val="24"/>
          <w:szCs w:val="24"/>
          <w:highlight w:val="none"/>
        </w:rPr>
        <w:t>注：本合同文本供参考，具体内容以双方签订的为准。</w:t>
      </w:r>
    </w:p>
    <w:p w14:paraId="02F37D97">
      <w:pPr>
        <w:spacing w:line="360" w:lineRule="auto"/>
        <w:ind w:firstLine="560" w:firstLineChars="0"/>
        <w:rPr>
          <w:rFonts w:hint="eastAsia" w:ascii="仿宋" w:hAnsi="仿宋" w:eastAsia="仿宋" w:cs="仿宋"/>
          <w:color w:val="auto"/>
          <w:sz w:val="24"/>
          <w:szCs w:val="24"/>
          <w:highlight w:val="none"/>
          <w:lang w:eastAsia="zh-CN"/>
        </w:rPr>
      </w:pPr>
    </w:p>
    <w:p w14:paraId="7531173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第一条  总  则</w:t>
      </w:r>
    </w:p>
    <w:p w14:paraId="0249D94F">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乙双方根据《中华人民共和国民法典》《中华人民共和国著作权法》《计算机软件保护条例》及相关法律、法规的规定，经过平等友好协商，就乙方为甲方提供新疆维吾尔自治区药品监督管理局应用系统运维服务项目合同事宜达成如下协议，以资共同遵守。</w:t>
      </w:r>
    </w:p>
    <w:p w14:paraId="4BFB81AF">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根据项目名称 新疆维吾尔自治区药品监督管理局应用系统运维服务项目（以下简称：“本项目”）的招标结果，乙方为成交供应商。现经甲乙双方友好协商，就以下事项达成一致并签订本合同。</w:t>
      </w:r>
    </w:p>
    <w:p w14:paraId="2A4565F7">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第二条  维护内容</w:t>
      </w:r>
    </w:p>
    <w:p w14:paraId="6A5BFDF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（一）运维内容：全部超出质保期的业务系统，主要包括以下内容：</w:t>
      </w:r>
    </w:p>
    <w:tbl>
      <w:tblPr>
        <w:tblStyle w:val="4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778"/>
        <w:gridCol w:w="3817"/>
      </w:tblGrid>
      <w:tr w14:paraId="5604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604" w:type="dxa"/>
          </w:tcPr>
          <w:p w14:paraId="3488D66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3778" w:type="dxa"/>
          </w:tcPr>
          <w:p w14:paraId="734D359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系统名称</w:t>
            </w:r>
          </w:p>
        </w:tc>
        <w:tc>
          <w:tcPr>
            <w:tcW w:w="3817" w:type="dxa"/>
          </w:tcPr>
          <w:p w14:paraId="6F49A5C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重点维护内容</w:t>
            </w:r>
          </w:p>
        </w:tc>
      </w:tr>
      <w:tr w14:paraId="74B1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2270A9F4">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4AD231D3">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0DDF5D1D">
            <w:pPr>
              <w:spacing w:line="360" w:lineRule="auto"/>
              <w:ind w:firstLine="560" w:firstLineChars="0"/>
              <w:rPr>
                <w:rFonts w:hint="eastAsia" w:ascii="仿宋" w:hAnsi="仿宋" w:eastAsia="仿宋" w:cs="仿宋"/>
                <w:color w:val="auto"/>
                <w:sz w:val="24"/>
                <w:szCs w:val="24"/>
                <w:highlight w:val="none"/>
                <w:lang w:val="en-US" w:eastAsia="zh-CN"/>
              </w:rPr>
            </w:pPr>
          </w:p>
        </w:tc>
      </w:tr>
      <w:tr w14:paraId="4C27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604" w:type="dxa"/>
            <w:vAlign w:val="center"/>
          </w:tcPr>
          <w:p w14:paraId="40461FB3">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0D1C1FF7">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389E0ABC">
            <w:pPr>
              <w:spacing w:line="360" w:lineRule="auto"/>
              <w:ind w:firstLine="560" w:firstLineChars="0"/>
              <w:rPr>
                <w:rFonts w:hint="eastAsia" w:ascii="仿宋" w:hAnsi="仿宋" w:eastAsia="仿宋" w:cs="仿宋"/>
                <w:color w:val="auto"/>
                <w:sz w:val="24"/>
                <w:szCs w:val="24"/>
                <w:highlight w:val="none"/>
                <w:lang w:val="en-US" w:eastAsia="zh-CN"/>
              </w:rPr>
            </w:pPr>
          </w:p>
        </w:tc>
      </w:tr>
      <w:tr w14:paraId="582E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37FE794F">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0DE889C5">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13618F72">
            <w:pPr>
              <w:spacing w:line="360" w:lineRule="auto"/>
              <w:ind w:firstLine="560" w:firstLineChars="0"/>
              <w:rPr>
                <w:rFonts w:hint="eastAsia" w:ascii="仿宋" w:hAnsi="仿宋" w:eastAsia="仿宋" w:cs="仿宋"/>
                <w:color w:val="auto"/>
                <w:sz w:val="24"/>
                <w:szCs w:val="24"/>
                <w:highlight w:val="none"/>
                <w:lang w:val="en-US" w:eastAsia="zh-CN"/>
              </w:rPr>
            </w:pPr>
          </w:p>
        </w:tc>
      </w:tr>
      <w:tr w14:paraId="4805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604" w:type="dxa"/>
            <w:vAlign w:val="center"/>
          </w:tcPr>
          <w:p w14:paraId="169A3F4C">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132C8AED">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591D7411">
            <w:pPr>
              <w:spacing w:line="360" w:lineRule="auto"/>
              <w:ind w:firstLine="560" w:firstLineChars="0"/>
              <w:rPr>
                <w:rFonts w:hint="eastAsia" w:ascii="仿宋" w:hAnsi="仿宋" w:eastAsia="仿宋" w:cs="仿宋"/>
                <w:color w:val="auto"/>
                <w:sz w:val="24"/>
                <w:szCs w:val="24"/>
                <w:highlight w:val="none"/>
                <w:lang w:val="en-US" w:eastAsia="zh-CN"/>
              </w:rPr>
            </w:pPr>
          </w:p>
        </w:tc>
      </w:tr>
      <w:tr w14:paraId="206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604" w:type="dxa"/>
            <w:vAlign w:val="center"/>
          </w:tcPr>
          <w:p w14:paraId="6D618B7D">
            <w:pPr>
              <w:spacing w:line="360" w:lineRule="auto"/>
              <w:ind w:firstLine="560" w:firstLineChars="0"/>
              <w:rPr>
                <w:rFonts w:hint="eastAsia" w:ascii="仿宋" w:hAnsi="仿宋" w:eastAsia="仿宋" w:cs="仿宋"/>
                <w:color w:val="auto"/>
                <w:sz w:val="24"/>
                <w:szCs w:val="24"/>
                <w:highlight w:val="none"/>
                <w:lang w:val="en-US" w:eastAsia="zh-CN"/>
              </w:rPr>
            </w:pPr>
          </w:p>
        </w:tc>
        <w:tc>
          <w:tcPr>
            <w:tcW w:w="3778" w:type="dxa"/>
            <w:vAlign w:val="center"/>
          </w:tcPr>
          <w:p w14:paraId="6E82B137">
            <w:pPr>
              <w:spacing w:line="360" w:lineRule="auto"/>
              <w:ind w:firstLine="560" w:firstLineChars="0"/>
              <w:rPr>
                <w:rFonts w:hint="default" w:ascii="仿宋" w:hAnsi="仿宋" w:eastAsia="仿宋" w:cs="仿宋"/>
                <w:color w:val="auto"/>
                <w:sz w:val="24"/>
                <w:szCs w:val="24"/>
                <w:highlight w:val="none"/>
                <w:lang w:val="en-US" w:eastAsia="zh-CN"/>
              </w:rPr>
            </w:pPr>
          </w:p>
        </w:tc>
        <w:tc>
          <w:tcPr>
            <w:tcW w:w="3817" w:type="dxa"/>
          </w:tcPr>
          <w:p w14:paraId="62448448">
            <w:pPr>
              <w:spacing w:line="360" w:lineRule="auto"/>
              <w:ind w:firstLine="560" w:firstLineChars="0"/>
              <w:rPr>
                <w:rFonts w:hint="eastAsia" w:ascii="仿宋" w:hAnsi="仿宋" w:eastAsia="仿宋" w:cs="仿宋"/>
                <w:color w:val="auto"/>
                <w:sz w:val="24"/>
                <w:szCs w:val="24"/>
                <w:highlight w:val="none"/>
                <w:lang w:val="en-US" w:eastAsia="zh-CN"/>
              </w:rPr>
            </w:pPr>
          </w:p>
        </w:tc>
      </w:tr>
    </w:tbl>
    <w:p w14:paraId="4EB81F40">
      <w:pPr>
        <w:spacing w:line="360" w:lineRule="auto"/>
        <w:ind w:firstLine="560" w:firstLineChars="0"/>
        <w:rPr>
          <w:rFonts w:hint="eastAsia" w:ascii="仿宋" w:hAnsi="仿宋" w:eastAsia="仿宋" w:cs="仿宋"/>
          <w:color w:val="auto"/>
          <w:sz w:val="24"/>
          <w:szCs w:val="24"/>
          <w:highlight w:val="none"/>
          <w:lang w:val="en-US" w:eastAsia="zh-CN"/>
        </w:rPr>
      </w:pPr>
      <w:bookmarkStart w:id="41" w:name="_Toc101433279"/>
    </w:p>
    <w:p w14:paraId="63F387D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针对维护范围内的应用系统在保障系统正常运行前提下</w:t>
      </w:r>
      <w:bookmarkEnd w:id="41"/>
      <w:r>
        <w:rPr>
          <w:rFonts w:hint="eastAsia" w:ascii="仿宋" w:hAnsi="仿宋" w:eastAsia="仿宋" w:cs="仿宋"/>
          <w:color w:val="auto"/>
          <w:sz w:val="24"/>
          <w:szCs w:val="24"/>
          <w:highlight w:val="none"/>
          <w:lang w:val="en-US" w:eastAsia="zh-CN"/>
        </w:rPr>
        <w:t>，需完成如下工作：</w:t>
      </w:r>
    </w:p>
    <w:p w14:paraId="5D1EE04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（1）对各系统进行故障检测及排除，全面记录系统bug,更新维护记录。</w:t>
      </w:r>
    </w:p>
    <w:p w14:paraId="43294B61">
      <w:pPr>
        <w:spacing w:line="360" w:lineRule="auto"/>
        <w:ind w:firstLine="56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（2）进行系统在线用户分析、日志查看、补丁升级，系统资源优化调整。及时上报网络安全方面的异常情况。</w:t>
      </w:r>
    </w:p>
    <w:p w14:paraId="0AD451D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（3）对发现的漏洞、系统安全风险及时修补。</w:t>
      </w:r>
    </w:p>
    <w:p w14:paraId="17E853D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（4）根据要求进行系统重新部署。</w:t>
      </w:r>
    </w:p>
    <w:p w14:paraId="1203589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（5）定期备份数据与配置文件，建立数据备份记录。出现故障及时恢复数据，最大限度减少数据损失。</w:t>
      </w:r>
    </w:p>
    <w:p w14:paraId="5F6BD10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（6）根据用户需求进行软件功能微调，并实现相关系统与“两个档案”系统接口或库表的对接，在结束后及时提交最新代码。</w:t>
      </w:r>
    </w:p>
    <w:p w14:paraId="2E584843">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（二）运维人员：</w:t>
      </w:r>
      <w:r>
        <w:rPr>
          <w:rFonts w:hint="eastAsia" w:ascii="仿宋" w:hAnsi="仿宋" w:eastAsia="仿宋" w:cs="仿宋"/>
          <w:color w:val="auto"/>
          <w:sz w:val="24"/>
          <w:szCs w:val="24"/>
          <w:highlight w:val="none"/>
          <w:lang w:eastAsia="zh-CN"/>
        </w:rPr>
        <w:t>服务团队包括驻现场服务和二线技术支持，</w:t>
      </w:r>
      <w:r>
        <w:rPr>
          <w:rFonts w:hint="eastAsia" w:ascii="仿宋" w:hAnsi="仿宋" w:eastAsia="仿宋" w:cs="仿宋"/>
          <w:color w:val="auto"/>
          <w:sz w:val="24"/>
          <w:szCs w:val="24"/>
          <w:highlight w:val="none"/>
          <w:lang w:val="en-US" w:eastAsia="zh-CN"/>
        </w:rPr>
        <w:t>驻场人员的日常工作向采购人直接汇报，项目经理须及时跟进项目各项工作的完成情况</w:t>
      </w:r>
      <w:r>
        <w:rPr>
          <w:rFonts w:hint="eastAsia" w:ascii="仿宋" w:hAnsi="仿宋" w:eastAsia="仿宋" w:cs="仿宋"/>
          <w:color w:val="auto"/>
          <w:sz w:val="24"/>
          <w:szCs w:val="24"/>
          <w:highlight w:val="none"/>
          <w:lang w:eastAsia="zh-CN"/>
        </w:rPr>
        <w:t>。</w:t>
      </w:r>
    </w:p>
    <w:tbl>
      <w:tblPr>
        <w:tblStyle w:val="4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2147"/>
        <w:gridCol w:w="3129"/>
        <w:gridCol w:w="2794"/>
      </w:tblGrid>
      <w:tr w14:paraId="55BD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6C5C428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人员组成</w:t>
            </w:r>
          </w:p>
        </w:tc>
        <w:tc>
          <w:tcPr>
            <w:tcW w:w="1078" w:type="pct"/>
            <w:vAlign w:val="center"/>
          </w:tcPr>
          <w:p w14:paraId="2B2828F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服务时限及方式</w:t>
            </w:r>
          </w:p>
        </w:tc>
        <w:tc>
          <w:tcPr>
            <w:tcW w:w="1571" w:type="pct"/>
            <w:vAlign w:val="center"/>
          </w:tcPr>
          <w:p w14:paraId="2507321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主要职责</w:t>
            </w:r>
          </w:p>
        </w:tc>
        <w:tc>
          <w:tcPr>
            <w:tcW w:w="1402" w:type="pct"/>
            <w:vAlign w:val="center"/>
          </w:tcPr>
          <w:p w14:paraId="61D4D23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人员要求</w:t>
            </w:r>
          </w:p>
        </w:tc>
      </w:tr>
      <w:tr w14:paraId="0748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096C5ADD">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5C9050D6">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211417E8">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159FFEA9">
            <w:pPr>
              <w:spacing w:line="360" w:lineRule="auto"/>
              <w:rPr>
                <w:rFonts w:hint="eastAsia" w:ascii="仿宋" w:hAnsi="仿宋" w:eastAsia="仿宋" w:cs="仿宋"/>
                <w:color w:val="auto"/>
                <w:sz w:val="24"/>
                <w:szCs w:val="24"/>
                <w:highlight w:val="none"/>
                <w:lang w:eastAsia="zh-CN"/>
              </w:rPr>
            </w:pPr>
          </w:p>
        </w:tc>
      </w:tr>
      <w:tr w14:paraId="6C3A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74F82EF0">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6B57714A">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3D1BF843">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06E2334B">
            <w:pPr>
              <w:spacing w:line="360" w:lineRule="auto"/>
              <w:rPr>
                <w:rFonts w:hint="eastAsia" w:ascii="仿宋" w:hAnsi="仿宋" w:eastAsia="仿宋" w:cs="仿宋"/>
                <w:color w:val="auto"/>
                <w:sz w:val="24"/>
                <w:szCs w:val="24"/>
                <w:highlight w:val="none"/>
                <w:lang w:eastAsia="zh-CN"/>
              </w:rPr>
            </w:pPr>
          </w:p>
        </w:tc>
      </w:tr>
      <w:tr w14:paraId="5DFC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4E63ACF9">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2722972E">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7411DC36">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5545A3D8">
            <w:pPr>
              <w:spacing w:line="360" w:lineRule="auto"/>
              <w:rPr>
                <w:rFonts w:hint="eastAsia" w:ascii="仿宋" w:hAnsi="仿宋" w:eastAsia="仿宋" w:cs="仿宋"/>
                <w:color w:val="auto"/>
                <w:sz w:val="24"/>
                <w:szCs w:val="24"/>
                <w:highlight w:val="none"/>
                <w:lang w:eastAsia="zh-CN"/>
              </w:rPr>
            </w:pPr>
          </w:p>
        </w:tc>
      </w:tr>
      <w:tr w14:paraId="12C8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7" w:type="pct"/>
            <w:vAlign w:val="center"/>
          </w:tcPr>
          <w:p w14:paraId="48A81B0D">
            <w:pPr>
              <w:spacing w:line="360" w:lineRule="auto"/>
              <w:ind w:firstLine="560" w:firstLineChars="0"/>
              <w:rPr>
                <w:rFonts w:hint="eastAsia" w:ascii="仿宋" w:hAnsi="仿宋" w:eastAsia="仿宋" w:cs="仿宋"/>
                <w:color w:val="auto"/>
                <w:sz w:val="24"/>
                <w:szCs w:val="24"/>
                <w:highlight w:val="none"/>
                <w:lang w:eastAsia="zh-CN"/>
              </w:rPr>
            </w:pPr>
          </w:p>
        </w:tc>
        <w:tc>
          <w:tcPr>
            <w:tcW w:w="1078" w:type="pct"/>
            <w:vAlign w:val="center"/>
          </w:tcPr>
          <w:p w14:paraId="775A64D6">
            <w:pPr>
              <w:spacing w:line="360" w:lineRule="auto"/>
              <w:rPr>
                <w:rFonts w:hint="eastAsia" w:ascii="仿宋" w:hAnsi="仿宋" w:eastAsia="仿宋" w:cs="仿宋"/>
                <w:color w:val="auto"/>
                <w:sz w:val="24"/>
                <w:szCs w:val="24"/>
                <w:highlight w:val="none"/>
                <w:lang w:eastAsia="zh-CN"/>
              </w:rPr>
            </w:pPr>
          </w:p>
        </w:tc>
        <w:tc>
          <w:tcPr>
            <w:tcW w:w="1571" w:type="pct"/>
            <w:vAlign w:val="center"/>
          </w:tcPr>
          <w:p w14:paraId="408A4B3B">
            <w:pPr>
              <w:spacing w:line="360" w:lineRule="auto"/>
              <w:rPr>
                <w:rFonts w:hint="eastAsia" w:ascii="仿宋" w:hAnsi="仿宋" w:eastAsia="仿宋" w:cs="仿宋"/>
                <w:color w:val="auto"/>
                <w:sz w:val="24"/>
                <w:szCs w:val="24"/>
                <w:highlight w:val="none"/>
                <w:lang w:eastAsia="zh-CN"/>
              </w:rPr>
            </w:pPr>
          </w:p>
        </w:tc>
        <w:tc>
          <w:tcPr>
            <w:tcW w:w="1402" w:type="pct"/>
            <w:vAlign w:val="center"/>
          </w:tcPr>
          <w:p w14:paraId="23B52929">
            <w:pPr>
              <w:spacing w:line="360" w:lineRule="auto"/>
              <w:rPr>
                <w:rFonts w:hint="eastAsia" w:ascii="仿宋" w:hAnsi="仿宋" w:eastAsia="仿宋" w:cs="仿宋"/>
                <w:color w:val="auto"/>
                <w:sz w:val="24"/>
                <w:szCs w:val="24"/>
                <w:highlight w:val="none"/>
                <w:lang w:eastAsia="zh-CN"/>
              </w:rPr>
            </w:pPr>
          </w:p>
        </w:tc>
      </w:tr>
    </w:tbl>
    <w:p w14:paraId="2EF6064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工作要求</w:t>
      </w:r>
    </w:p>
    <w:p w14:paraId="601FCC5B">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）驻场人员自合同签订之日起必须到岗，到岗时须同时提供无犯罪记录证明，</w:t>
      </w:r>
      <w:r>
        <w:rPr>
          <w:rFonts w:hint="eastAsia" w:ascii="仿宋" w:hAnsi="仿宋" w:eastAsia="仿宋" w:cs="仿宋"/>
          <w:color w:val="auto"/>
          <w:sz w:val="24"/>
          <w:szCs w:val="24"/>
          <w:highlight w:val="none"/>
          <w:lang w:val="en-US" w:eastAsia="zh-CN"/>
        </w:rPr>
        <w:t>签订保密协议</w:t>
      </w:r>
      <w:r>
        <w:rPr>
          <w:rFonts w:hint="eastAsia" w:ascii="仿宋" w:hAnsi="仿宋" w:eastAsia="仿宋" w:cs="仿宋"/>
          <w:color w:val="auto"/>
          <w:sz w:val="24"/>
          <w:szCs w:val="24"/>
          <w:highlight w:val="none"/>
          <w:lang w:eastAsia="zh-CN"/>
        </w:rPr>
        <w:t>。未经甲方书面同意，不得更换驻场人员;如果驻场人员存在工作态度、责任心、技术能力、协调能力等方面之一的问题时，甲方有权要求乙方更换驻场人员，并且乙方在收到甲方书面通知之日起7个工作日内必须无条件更换，接替人员必须经过甲方面试同意后才能开始试用，如果有两次以上的试用不合适，要求乙方进行整改，乙方以公司名义正式提交整改报告。</w:t>
      </w:r>
    </w:p>
    <w:p w14:paraId="4076C2BB">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采购人须为成交供应商提供必要的办公场所和网络环境。中标方须</w:t>
      </w:r>
      <w:r>
        <w:rPr>
          <w:rFonts w:hint="eastAsia" w:ascii="仿宋" w:hAnsi="仿宋" w:eastAsia="仿宋" w:cs="仿宋"/>
          <w:color w:val="auto"/>
          <w:sz w:val="24"/>
          <w:szCs w:val="24"/>
          <w:highlight w:val="none"/>
          <w:lang w:eastAsia="zh-CN"/>
        </w:rPr>
        <w:t>为维护人员（</w:t>
      </w:r>
      <w:r>
        <w:rPr>
          <w:rFonts w:hint="eastAsia" w:ascii="仿宋" w:hAnsi="仿宋" w:eastAsia="仿宋" w:cs="仿宋"/>
          <w:color w:val="auto"/>
          <w:sz w:val="24"/>
          <w:szCs w:val="24"/>
          <w:highlight w:val="none"/>
          <w:lang w:val="en-US" w:eastAsia="zh-CN"/>
        </w:rPr>
        <w:t>含驻场人员和非驻场人员</w:t>
      </w:r>
      <w:r>
        <w:rPr>
          <w:rFonts w:hint="eastAsia" w:ascii="仿宋" w:hAnsi="仿宋" w:eastAsia="仿宋" w:cs="仿宋"/>
          <w:color w:val="auto"/>
          <w:sz w:val="24"/>
          <w:szCs w:val="24"/>
          <w:highlight w:val="none"/>
          <w:lang w:eastAsia="zh-CN"/>
        </w:rPr>
        <w:t>）购买必要的</w:t>
      </w:r>
      <w:r>
        <w:rPr>
          <w:rFonts w:hint="eastAsia" w:ascii="仿宋" w:hAnsi="仿宋" w:eastAsia="仿宋" w:cs="仿宋"/>
          <w:color w:val="auto"/>
          <w:sz w:val="24"/>
          <w:szCs w:val="24"/>
          <w:highlight w:val="none"/>
          <w:lang w:val="en-US" w:eastAsia="zh-CN"/>
        </w:rPr>
        <w:t>人身</w:t>
      </w:r>
      <w:r>
        <w:rPr>
          <w:rFonts w:hint="eastAsia" w:ascii="仿宋" w:hAnsi="仿宋" w:eastAsia="仿宋" w:cs="仿宋"/>
          <w:color w:val="auto"/>
          <w:sz w:val="24"/>
          <w:szCs w:val="24"/>
          <w:highlight w:val="none"/>
          <w:lang w:eastAsia="zh-CN"/>
        </w:rPr>
        <w:t>保险，并必须声明</w:t>
      </w:r>
      <w:r>
        <w:rPr>
          <w:rFonts w:hint="eastAsia" w:ascii="仿宋" w:hAnsi="仿宋" w:eastAsia="仿宋" w:cs="仿宋"/>
          <w:color w:val="auto"/>
          <w:sz w:val="24"/>
          <w:szCs w:val="24"/>
          <w:highlight w:val="none"/>
          <w:lang w:val="en-US" w:eastAsia="zh-CN"/>
        </w:rPr>
        <w:t>在为采购人提供运维服务期间，</w:t>
      </w:r>
      <w:r>
        <w:rPr>
          <w:rFonts w:hint="eastAsia" w:ascii="仿宋" w:hAnsi="仿宋" w:eastAsia="仿宋" w:cs="仿宋"/>
          <w:color w:val="auto"/>
          <w:sz w:val="24"/>
          <w:szCs w:val="24"/>
          <w:highlight w:val="none"/>
          <w:lang w:eastAsia="zh-CN"/>
        </w:rPr>
        <w:t>维护人员</w:t>
      </w:r>
      <w:r>
        <w:rPr>
          <w:rFonts w:hint="eastAsia" w:ascii="仿宋" w:hAnsi="仿宋" w:eastAsia="仿宋" w:cs="仿宋"/>
          <w:color w:val="auto"/>
          <w:sz w:val="24"/>
          <w:szCs w:val="24"/>
          <w:highlight w:val="none"/>
          <w:lang w:val="en-US" w:eastAsia="zh-CN"/>
        </w:rPr>
        <w:t>发生的一切</w:t>
      </w:r>
      <w:r>
        <w:rPr>
          <w:rFonts w:hint="eastAsia" w:ascii="仿宋" w:hAnsi="仿宋" w:eastAsia="仿宋" w:cs="仿宋"/>
          <w:color w:val="auto"/>
          <w:sz w:val="24"/>
          <w:szCs w:val="24"/>
          <w:highlight w:val="none"/>
          <w:lang w:eastAsia="zh-CN"/>
        </w:rPr>
        <w:t>安全事故、财产损失和其他任何事故，</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lang w:val="en-US" w:eastAsia="zh-CN"/>
        </w:rPr>
        <w:t>中标方</w:t>
      </w:r>
      <w:r>
        <w:rPr>
          <w:rFonts w:hint="eastAsia" w:ascii="仿宋" w:hAnsi="仿宋" w:eastAsia="仿宋" w:cs="仿宋"/>
          <w:color w:val="auto"/>
          <w:sz w:val="24"/>
          <w:szCs w:val="24"/>
          <w:highlight w:val="none"/>
          <w:lang w:eastAsia="zh-CN"/>
        </w:rPr>
        <w:t>承担全部责任，</w:t>
      </w:r>
      <w:r>
        <w:rPr>
          <w:rFonts w:hint="eastAsia" w:ascii="仿宋" w:hAnsi="仿宋" w:eastAsia="仿宋" w:cs="仿宋"/>
          <w:color w:val="auto"/>
          <w:sz w:val="24"/>
          <w:szCs w:val="24"/>
          <w:highlight w:val="none"/>
          <w:lang w:val="en-US" w:eastAsia="zh-CN"/>
        </w:rPr>
        <w:t>和采购人无关</w:t>
      </w:r>
      <w:r>
        <w:rPr>
          <w:rFonts w:hint="eastAsia" w:ascii="仿宋" w:hAnsi="仿宋" w:eastAsia="仿宋" w:cs="仿宋"/>
          <w:color w:val="auto"/>
          <w:sz w:val="24"/>
          <w:szCs w:val="24"/>
          <w:highlight w:val="none"/>
          <w:lang w:eastAsia="zh-CN"/>
        </w:rPr>
        <w:t>。</w:t>
      </w:r>
    </w:p>
    <w:p w14:paraId="540B8111">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）乙方不得以为</w:t>
      </w:r>
      <w:r>
        <w:rPr>
          <w:rFonts w:hint="eastAsia" w:ascii="仿宋" w:hAnsi="仿宋" w:eastAsia="仿宋" w:cs="仿宋"/>
          <w:color w:val="auto"/>
          <w:sz w:val="24"/>
          <w:szCs w:val="24"/>
          <w:highlight w:val="none"/>
          <w:lang w:val="en-US" w:eastAsia="zh-CN"/>
        </w:rPr>
        <w:t>采购人提供</w:t>
      </w:r>
      <w:r>
        <w:rPr>
          <w:rFonts w:hint="eastAsia" w:ascii="仿宋" w:hAnsi="仿宋" w:eastAsia="仿宋" w:cs="仿宋"/>
          <w:color w:val="auto"/>
          <w:sz w:val="24"/>
          <w:szCs w:val="24"/>
          <w:highlight w:val="none"/>
          <w:lang w:eastAsia="zh-CN"/>
        </w:rPr>
        <w:t>服务为理由开展任何形式的商业活动，包括但不限于向被服务人宣传自身及自身的产品或服务、向被服务人收取运行维护费等，一经发现，甲方有权解除合同，并要求乙方无条件退回上述费用，因此给甲方造成损失的，乙方应当双倍赔偿甲方损失。</w:t>
      </w:r>
    </w:p>
    <w:p w14:paraId="7A9311A7">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（三）服务</w:t>
      </w:r>
      <w:r>
        <w:rPr>
          <w:rFonts w:hint="eastAsia" w:ascii="仿宋" w:hAnsi="仿宋" w:eastAsia="仿宋" w:cs="仿宋"/>
          <w:color w:val="auto"/>
          <w:sz w:val="24"/>
          <w:szCs w:val="24"/>
          <w:highlight w:val="none"/>
          <w:lang w:eastAsia="zh-CN"/>
        </w:rPr>
        <w:t>时间要求</w:t>
      </w:r>
    </w:p>
    <w:p w14:paraId="334CBEE5">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）系统服务可用性:</w:t>
      </w:r>
      <w:r>
        <w:rPr>
          <w:rFonts w:hint="eastAsia" w:ascii="仿宋" w:hAnsi="仿宋" w:eastAsia="仿宋" w:cs="仿宋"/>
          <w:color w:val="auto"/>
          <w:sz w:val="24"/>
          <w:szCs w:val="24"/>
          <w:highlight w:val="none"/>
          <w:lang w:val="en-US" w:eastAsia="zh-CN"/>
        </w:rPr>
        <w:t>提供7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小时</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平均恢复时间≤1小时，最大</w:t>
      </w:r>
      <w:r>
        <w:rPr>
          <w:rFonts w:hint="eastAsia" w:ascii="仿宋" w:hAnsi="仿宋" w:eastAsia="仿宋" w:cs="仿宋"/>
          <w:color w:val="auto"/>
          <w:sz w:val="24"/>
          <w:szCs w:val="24"/>
          <w:highlight w:val="none"/>
          <w:lang w:val="en-US" w:eastAsia="zh-CN"/>
        </w:rPr>
        <w:t>恢</w:t>
      </w:r>
      <w:r>
        <w:rPr>
          <w:rFonts w:hint="eastAsia" w:ascii="仿宋" w:hAnsi="仿宋" w:eastAsia="仿宋" w:cs="仿宋"/>
          <w:color w:val="auto"/>
          <w:sz w:val="24"/>
          <w:szCs w:val="24"/>
          <w:highlight w:val="none"/>
          <w:lang w:eastAsia="zh-CN"/>
        </w:rPr>
        <w:t>复时间≤8小时。</w:t>
      </w:r>
    </w:p>
    <w:p w14:paraId="59B30EA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）派驻的驻场人员须遵守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的工作制度和办公时间，服从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的监督和管理，不得以节假日或非办公时间为由拒绝</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安排。</w:t>
      </w:r>
      <w:r>
        <w:rPr>
          <w:rFonts w:hint="eastAsia" w:ascii="仿宋" w:hAnsi="仿宋" w:eastAsia="仿宋" w:cs="仿宋"/>
          <w:color w:val="auto"/>
          <w:sz w:val="24"/>
          <w:szCs w:val="24"/>
          <w:highlight w:val="none"/>
          <w:lang w:val="en-US" w:eastAsia="zh-CN"/>
        </w:rPr>
        <w:t>采购人提出更换</w:t>
      </w:r>
      <w:r>
        <w:rPr>
          <w:rFonts w:hint="eastAsia" w:ascii="仿宋" w:hAnsi="仿宋" w:eastAsia="仿宋" w:cs="仿宋"/>
          <w:color w:val="auto"/>
          <w:sz w:val="24"/>
          <w:szCs w:val="24"/>
          <w:highlight w:val="none"/>
          <w:lang w:eastAsia="zh-CN"/>
        </w:rPr>
        <w:t>驻场人员</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中标方须保证平滑过渡、不得影响运维工作并及时完成更换。</w:t>
      </w:r>
    </w:p>
    <w:p w14:paraId="5EA3E939">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质量保障</w:t>
      </w:r>
    </w:p>
    <w:p w14:paraId="0BC63E4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方应提供详实完备的系统质量管理及保障措施实施方案。本项目要求采用国际通用的规范化的项目管理方法，对项目实施的全过程进行监控和管理，对项目进度和工程实施项目进度进行控制。本项目所有文档应该按照所使用的质量管理体系要求编写。项目验收通过后，</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lang w:eastAsia="zh-CN"/>
        </w:rPr>
        <w:t>向</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交付项目的全部资料，包括纸质资料及</w:t>
      </w:r>
      <w:r>
        <w:rPr>
          <w:rFonts w:hint="eastAsia" w:ascii="仿宋" w:hAnsi="仿宋" w:eastAsia="仿宋" w:cs="仿宋"/>
          <w:color w:val="auto"/>
          <w:sz w:val="24"/>
          <w:szCs w:val="24"/>
          <w:highlight w:val="none"/>
          <w:lang w:val="en-US" w:eastAsia="zh-CN"/>
        </w:rPr>
        <w:t>电子文档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并无条件</w:t>
      </w:r>
      <w:r>
        <w:rPr>
          <w:rFonts w:hint="eastAsia" w:ascii="仿宋" w:hAnsi="仿宋" w:eastAsia="仿宋" w:cs="仿宋"/>
          <w:color w:val="auto"/>
          <w:sz w:val="24"/>
          <w:szCs w:val="24"/>
          <w:highlight w:val="none"/>
          <w:lang w:eastAsia="zh-CN"/>
        </w:rPr>
        <w:t>提供质量保证和技术支持、技术服务。</w:t>
      </w:r>
    </w:p>
    <w:p w14:paraId="52A956F1">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知识产权</w:t>
      </w:r>
    </w:p>
    <w:p w14:paraId="79A12E5A">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项目实施不得侵犯第三方权利，项目实施使用第三方技术和产品（包括图片）的，</w:t>
      </w:r>
      <w:r>
        <w:rPr>
          <w:rFonts w:hint="eastAsia" w:ascii="仿宋" w:hAnsi="仿宋" w:eastAsia="仿宋" w:cs="仿宋"/>
          <w:color w:val="auto"/>
          <w:sz w:val="24"/>
          <w:szCs w:val="24"/>
          <w:highlight w:val="none"/>
          <w:lang w:val="en-US" w:eastAsia="zh-CN"/>
        </w:rPr>
        <w:t>成交供应商须</w:t>
      </w:r>
      <w:r>
        <w:rPr>
          <w:rFonts w:hint="eastAsia" w:ascii="仿宋" w:hAnsi="仿宋" w:eastAsia="仿宋" w:cs="仿宋"/>
          <w:color w:val="auto"/>
          <w:sz w:val="24"/>
          <w:szCs w:val="24"/>
          <w:highlight w:val="none"/>
          <w:lang w:eastAsia="zh-CN"/>
        </w:rPr>
        <w:t>向采购人进行书面详细说明，并提供相关处理措施和处理结果。</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CN"/>
        </w:rPr>
        <w:t>项目相关</w:t>
      </w:r>
      <w:r>
        <w:rPr>
          <w:rFonts w:hint="eastAsia" w:ascii="仿宋" w:hAnsi="仿宋" w:eastAsia="仿宋" w:cs="仿宋"/>
          <w:color w:val="auto"/>
          <w:sz w:val="24"/>
          <w:szCs w:val="24"/>
          <w:highlight w:val="none"/>
          <w:lang w:val="en-US" w:eastAsia="zh-CN"/>
        </w:rPr>
        <w:t>的全部</w:t>
      </w:r>
      <w:r>
        <w:rPr>
          <w:rFonts w:hint="eastAsia" w:ascii="仿宋" w:hAnsi="仿宋" w:eastAsia="仿宋" w:cs="仿宋"/>
          <w:color w:val="auto"/>
          <w:sz w:val="24"/>
          <w:szCs w:val="24"/>
          <w:highlight w:val="none"/>
          <w:lang w:eastAsia="zh-CN"/>
        </w:rPr>
        <w:t>知识产权</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归属</w:t>
      </w:r>
      <w:r>
        <w:rPr>
          <w:rFonts w:hint="eastAsia" w:ascii="仿宋" w:hAnsi="仿宋" w:eastAsia="仿宋" w:cs="仿宋"/>
          <w:color w:val="auto"/>
          <w:sz w:val="24"/>
          <w:szCs w:val="24"/>
          <w:highlight w:val="none"/>
          <w:lang w:val="en-US" w:eastAsia="zh-CN"/>
        </w:rPr>
        <w:t>采购人所有</w:t>
      </w:r>
      <w:r>
        <w:rPr>
          <w:rFonts w:hint="eastAsia" w:ascii="仿宋" w:hAnsi="仿宋" w:eastAsia="仿宋" w:cs="仿宋"/>
          <w:color w:val="auto"/>
          <w:sz w:val="24"/>
          <w:szCs w:val="24"/>
          <w:highlight w:val="none"/>
          <w:lang w:eastAsia="zh-CN"/>
        </w:rPr>
        <w:t>。</w:t>
      </w:r>
    </w:p>
    <w:p w14:paraId="7F3570BC">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培训要求</w:t>
      </w:r>
    </w:p>
    <w:p w14:paraId="3C11AB9C">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lang w:val="en-US" w:eastAsia="zh-CN"/>
        </w:rPr>
        <w:t>须按照采购人相关要求完成培训，税金、</w:t>
      </w:r>
      <w:r>
        <w:rPr>
          <w:rFonts w:hint="eastAsia" w:ascii="仿宋" w:hAnsi="仿宋" w:eastAsia="仿宋" w:cs="仿宋"/>
          <w:color w:val="auto"/>
          <w:sz w:val="24"/>
          <w:szCs w:val="24"/>
          <w:highlight w:val="none"/>
          <w:lang w:eastAsia="zh-CN"/>
        </w:rPr>
        <w:t>培训</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CN"/>
        </w:rPr>
        <w:t>相关费用</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包含在本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合同价款中，</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不再另行支付培训费</w:t>
      </w:r>
      <w:r>
        <w:rPr>
          <w:rFonts w:hint="eastAsia" w:ascii="仿宋" w:hAnsi="仿宋" w:eastAsia="仿宋" w:cs="仿宋"/>
          <w:color w:val="auto"/>
          <w:sz w:val="24"/>
          <w:szCs w:val="24"/>
          <w:highlight w:val="none"/>
          <w:lang w:val="en-US" w:eastAsia="zh-CN"/>
        </w:rPr>
        <w:t>等任何费用</w:t>
      </w:r>
      <w:r>
        <w:rPr>
          <w:rFonts w:hint="eastAsia" w:ascii="仿宋" w:hAnsi="仿宋" w:eastAsia="仿宋" w:cs="仿宋"/>
          <w:color w:val="auto"/>
          <w:sz w:val="24"/>
          <w:szCs w:val="24"/>
          <w:highlight w:val="none"/>
          <w:lang w:eastAsia="zh-CN"/>
        </w:rPr>
        <w:t>。</w:t>
      </w:r>
    </w:p>
    <w:p w14:paraId="50CB5A56">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验收要求</w:t>
      </w:r>
    </w:p>
    <w:p w14:paraId="443CF74D">
      <w:pPr>
        <w:spacing w:line="360" w:lineRule="auto"/>
        <w:ind w:firstLine="56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项目运维完成后成交供应商可书面申请验收，验收前须进行满意度调查，验收由采购人负责组织，验收专家不少于3人，因组织验收产生的相关费用均由成交供应商承担。</w:t>
      </w:r>
    </w:p>
    <w:p w14:paraId="3CAB87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第三条  运维服务期限</w:t>
      </w:r>
    </w:p>
    <w:p w14:paraId="0FF504C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运维服务期限：乙方须提供一年运维服务，即运维服务自合同签订之日起满一年。</w:t>
      </w:r>
    </w:p>
    <w:p w14:paraId="48B304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第四条  合同额及支付方式</w:t>
      </w:r>
    </w:p>
    <w:p w14:paraId="2C43373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1、合同额：本合同总金额为人民币（小写）：XXX元，（大写）：XXX元整 ，上述费用包括税费、交通费、运维费、培训费、组织验收产生的费用等乙方提供本合同约定全部服务，除该费用外，甲方不再另行支付其他任何费用。</w:t>
      </w:r>
    </w:p>
    <w:p w14:paraId="3CB6A00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2、支付方式：本项目合同额分叁笔支付：</w:t>
      </w:r>
    </w:p>
    <w:p w14:paraId="385ED6D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（1）第一笔：自本合同签订后，甲方收到乙方支付申请和对应项目总额60%的等额增值税普通发票后15个工作日内，甲方向乙方约定账户支付项目总额60%的费用，即人民币（小写）：XXX元，（大写）：XXX元整。</w:t>
      </w:r>
    </w:p>
    <w:p w14:paraId="1FDBDD5D">
      <w:pPr>
        <w:spacing w:line="360" w:lineRule="auto"/>
        <w:ind w:firstLine="56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（2）第二笔：运维服务满6个月后，经甲方确认乙方工作合格后，支付合同总额30%，即人民币（小写）：XXX元，（大写）XXX元整。</w:t>
      </w:r>
    </w:p>
    <w:p w14:paraId="7CDDAE7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第三笔：运维服务期满，经过终验合格后，经甲方确认并收到乙方支付申请和对应项目总额10%等额的增值税普通发票后15个工作日内，甲方向乙方约定账户支付项目总额10%的费用，即人民币（小写）：XXX元，（大写）：XXX元整。</w:t>
      </w:r>
    </w:p>
    <w:p w14:paraId="0611E6A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（2）账号账户信息</w:t>
      </w:r>
    </w:p>
    <w:p w14:paraId="2204DA1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w:t>
      </w:r>
    </w:p>
    <w:p w14:paraId="6D59121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单位名称：</w:t>
      </w:r>
    </w:p>
    <w:p w14:paraId="533379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账号：3002015129200129181</w:t>
      </w:r>
    </w:p>
    <w:p w14:paraId="3AD3470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p>
    <w:p w14:paraId="6713B08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行号：</w:t>
      </w:r>
    </w:p>
    <w:p w14:paraId="2D88381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社会信用统一代码：</w:t>
      </w:r>
    </w:p>
    <w:p w14:paraId="551C6FB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w:t>
      </w:r>
    </w:p>
    <w:p w14:paraId="62BAA0E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14:paraId="4229122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w:t>
      </w:r>
    </w:p>
    <w:p w14:paraId="1B80028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公司名称：</w:t>
      </w:r>
    </w:p>
    <w:p w14:paraId="4535529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p>
    <w:p w14:paraId="688AA22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p>
    <w:p w14:paraId="6B92D82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p>
    <w:p w14:paraId="336515F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w:t>
      </w:r>
    </w:p>
    <w:p w14:paraId="36809C3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甲方付款前，乙方应向甲方开具等额有效的发票，甲方未收到发票的，有权不予支付相应款项直至乙方提供合格发票，并不承担延迟付款责任。发票认证通过是付款的必要前提之一。</w:t>
      </w:r>
    </w:p>
    <w:p w14:paraId="128414A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第五条  甲方的权利义务</w:t>
      </w:r>
    </w:p>
    <w:p w14:paraId="36F67E8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1、甲方有权要求乙方按照本合同约定提供各项服务。</w:t>
      </w:r>
    </w:p>
    <w:p w14:paraId="4A758A3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2、甲方有权对乙方提供各项服务的情况进行监督和检查，有权对不符合合同或要求的行为责令改正并处以相应的处罚。</w:t>
      </w:r>
    </w:p>
    <w:p w14:paraId="04B7C29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3、甲方应按照本合同约定向乙方支付服务费。</w:t>
      </w:r>
    </w:p>
    <w:p w14:paraId="4FF078F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第六条  乙方的权利义务</w:t>
      </w:r>
    </w:p>
    <w:p w14:paraId="7CCFB4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1、乙方应按照本合同约定向甲方提供各项服务，确保服务质量符合本合同约定。</w:t>
      </w:r>
    </w:p>
    <w:p w14:paraId="09C7699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2、如确有需要，经过甲方书面同意乙方可以选择第三方提供优于自身能力的协作服务。</w:t>
      </w:r>
    </w:p>
    <w:p w14:paraId="13F5146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3、乙方保证其向甲方提供的服务不存在任何侵犯第三方著作权、商标权、专利权等合法权益的情形。</w:t>
      </w:r>
    </w:p>
    <w:p w14:paraId="00B92A5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4、乙方有义务配合甲方或相关单位根据工作需要，对其提供服务情况及项目服务费支出、使用情况进行的监督和检查，出现问题的应及时整改并出具书面汇报，如给甲方造成损失的赔偿一切损失。</w:t>
      </w:r>
    </w:p>
    <w:p w14:paraId="22AE12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5、乙方应保证为甲方提供服务的员工具备提供本合同项下服务所需的相应资质和许可，并保证乙方人员在为甲方提供服务的过程中，严格遵守甲方已提前书面告知的各项规定、服从甲方安排。</w:t>
      </w:r>
    </w:p>
    <w:p w14:paraId="68593BF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6、如因乙方人员原因，给甲方或第三方造成人员人身伤害或财产损失的，乙方应承担全部赔偿责任。</w:t>
      </w:r>
    </w:p>
    <w:p w14:paraId="70FBAC8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7、未经甲方的书面许可，乙方不得以任何形式将其在本合同项下的权利义务全部或部分转让给任何第三方。</w:t>
      </w:r>
    </w:p>
    <w:p w14:paraId="02C5D5B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8、合同终止或不再续签，乙方应配合甲方另行选择承担商，并以维持系统的安全稳定运行为原则，与新的承担商做好工作交接。</w:t>
      </w:r>
    </w:p>
    <w:p w14:paraId="7F967CA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9、乙方负责乙方人员的劳动保护和管理工作，在工作期间严格执行甲方事先已书面告知的操作规程和各项安全规定、管理制度。因乙方原因导致的损害乙方承担全部责任。</w:t>
      </w:r>
    </w:p>
    <w:p w14:paraId="5478B6F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第七条 保密义务</w:t>
      </w:r>
    </w:p>
    <w:p w14:paraId="501F612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因承接本合同约定项目所知悉的该项目信息或甲方信息，一切以政府工作有关的信息资料、甲方技术秘密，包括但不限于组织机构、财务资料、通讯录、管理资料、业务数据、系统数据、技术指标、信息系统情况、网络架构、信息安全体系结构、软件和数据库系统使用情况、安全拓扑图、设备配置、系统配置数据以及在项目实施过程中获取的、所产生的有关数据、流程、分析成果及与该项目有关的全部信息均为甲方的保密信息；上述保密信息的表现形式不限，无论是书面的、口头的、图形的或其他任何形式的信息，乙方应对上述保密信息承担保密义务。</w:t>
      </w:r>
    </w:p>
    <w:p w14:paraId="7729716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7B817F6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3、乙方保证将保密信息的披露范围严格控制在直接从事该项目工作且因工作需要有必要知悉保密信息的工作人员范围内，对乙方非从事该项目的人员一律严格保密。</w:t>
      </w:r>
    </w:p>
    <w:p w14:paraId="55A8F59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应保证在向其工作人员披露甲方的保密信息前，认真做好员工的保密教育工作，明确告知其将知悉的为甲方的保密信息，并明确告知其需承担的保密义务及泄密所应承担的法律责任，并要求参与该项目的人员签署书面《保密协议》。</w:t>
      </w:r>
    </w:p>
    <w:p w14:paraId="2BFFF0EB">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参与本项目乙方工作之人员，不得将保密信息透露给其他无关或任何第三方，且不得将载有保密信息的任何文档、图纸、资料、磁盘、移动介质、胶片等任何介质，带离甲方工作场所。且任何时间内，一经甲方提出要求，乙方应按照甲方指示在收到甲方书面通知后七日内将含有保密信息的所有文件或其他资料归还甲方，且不得擅自复制留存。</w:t>
      </w:r>
    </w:p>
    <w:p w14:paraId="2924018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6、非经甲方特别授权，甲方向乙方提供的任何保密信息并不包括授予乙方该保密信息包含的任何专利权、商标权、著作权、商业秘密或其它类型的知识产权。</w:t>
      </w:r>
    </w:p>
    <w:p w14:paraId="3BBE497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7、乙方及乙方人员承担上述保密义务，不因从原单位离职而免除，保密期限为永久。</w:t>
      </w:r>
    </w:p>
    <w:p w14:paraId="4FBDD67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8、承担上述保密义务的责任主体为乙方（含乙方工作人员）。如乙方或乙方工作人员违反了上述保密义务，给甲方造成损失或触犯法律的，乙方承担相应责任，并赔偿因此给甲方造成的直接损失。</w:t>
      </w:r>
    </w:p>
    <w:p w14:paraId="59AE099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9、本条款不因合同变更、修改、解除或终止而失效。</w:t>
      </w:r>
    </w:p>
    <w:p w14:paraId="77BC75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第八条 知识产权归属</w:t>
      </w:r>
    </w:p>
    <w:p w14:paraId="0A7BFD9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应保证项目实施不得侵犯第三方权利，同时，在其向甲方交付的本合同项下的技术成果中也不会非法地包含或使用第三方的知识产权或其它权利，项目实施使用第三方技术和产品（包括图片）的，乙方须向甲方进行书面详细说明，并提供相关处理措施和处理结果。</w:t>
      </w:r>
    </w:p>
    <w:p w14:paraId="56D0875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2、本项目全部知识产权均归属甲方所有。未经甲方的事先书面许可，乙方不得将上述属于甲方的知识产权以任何方式透露给任何第三方或用于本合同以外的其他事项。</w:t>
      </w:r>
    </w:p>
    <w:p w14:paraId="504E21E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果有人提出法律或行政程序（合称“侵权指控”），声称甲方使用服务成果侵犯了其合法权益（包括但不限于知识产权），乙方应当负责解决，并赔偿甲方就此所承担的一切损失和费用，包括但不限于上述侵权指控中所产生的一切诉讼费用、调查费用、律师费用、公证费用、和解金额、甲方向任意第三方支付的费用或生效法律文书中规定的赔偿金额，并有权单方解除合同。</w:t>
      </w:r>
    </w:p>
    <w:p w14:paraId="43D2FAA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第九条  违约责任及合同的解除</w:t>
      </w:r>
    </w:p>
    <w:p w14:paraId="6DCD5992">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1、甲乙双方均应全面履行本合同，任何一方不履行或不按约定履行均构成违约，违约方应赔偿因此给对方造成的全部损失。</w:t>
      </w:r>
    </w:p>
    <w:p w14:paraId="032068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2、因乙方原因提供服务不符合本合同约定标准的，乙方应当在甲方规定的合理期限内进行返工、修改，并重新提交甲方验收。因返工导致项目延误的，乙方应按本条款第 5 项承担逾期违约责任。</w:t>
      </w:r>
    </w:p>
    <w:p w14:paraId="6617DD0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3、除经过甲方同意外，未按照本合同约定提供专业技术人员团队，或擅自更换人员的，经甲方通知后，应及时予以改正，经甲方通知后仍不改正的，甲方有权解除合同。</w:t>
      </w:r>
    </w:p>
    <w:p w14:paraId="4EF3D66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乙方不接受甲方和相关审计部门对本项目进行监督检查的，或经检查发现存在违法违规情况的，按照国家和本市有关规定处理。</w:t>
      </w:r>
    </w:p>
    <w:p w14:paraId="04269AE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未按时交付工作成果的，每逾期一日，甲方扣除合同总金额百分之五的违约金，逾期超过10日的，甲方有权解除本合同，自解除合同的通知到达乙方时合同解除，乙方应当退还所有已经收取的服务费并向甲方支付合同约定总金额30%的违约金，违约金不足以弥补甲方损失的，乙方应承担因此给甲方造成的所有实际损失。</w:t>
      </w:r>
    </w:p>
    <w:p w14:paraId="2B4E2F2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乙方所提供的服务不符合约定的标准，甲方有权拒收；乙方应当在甲方指定的时间内完成更换整改，造成项目逾期的，按照前款的约定承担违约责任。乙方逾期或不及时提供安装调试督导、保修等服务，则乙方应从逾期之日起，每迟延一日向甲方支付合同总金额千分之五的违约金。</w:t>
      </w:r>
    </w:p>
    <w:p w14:paraId="2CF6078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7、乙方违约的，除按照本条的约定承担对应的违约责任外，还应承担甲方为实现合同权益而支出的诉讼费、律师代理费、评估费、鉴定费等维权支出。</w:t>
      </w:r>
    </w:p>
    <w:p w14:paraId="709CA02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甲方未按本合同约定向乙方支付服务费的，逾期30日仍未向乙方支付费用的，乙方有权要求甲方支付应付的服务费用，并以应付未付款项为基数，按照合同签订时壹年期贷款市场报价利率计算，向乙方支付逾期利息。</w:t>
      </w:r>
    </w:p>
    <w:p w14:paraId="1F70E0C5">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第十条  争议的解决</w:t>
      </w:r>
    </w:p>
    <w:p w14:paraId="65A1685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1、因履行合同所发生的一切争议，双方应友好协商解决，协商不成的，依法向甲方所在地的人民法院起诉方式解决。</w:t>
      </w:r>
    </w:p>
    <w:p w14:paraId="223548FF">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2、因实现本合同争议发生的费用（包括但不限于违约金、诉讼费用、律师费、差旅费、执行费、调查费、保全费、服务费、咨询费诉讼担保费等）由违约方承担。</w:t>
      </w:r>
    </w:p>
    <w:p w14:paraId="6DFD698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第十一条  廉政承诺</w:t>
      </w:r>
    </w:p>
    <w:p w14:paraId="66C1888C">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1、合同双方承诺共同加强廉洁自律、反对商业贿赂。   </w:t>
      </w:r>
    </w:p>
    <w:p w14:paraId="4B52CDB0">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0E748B8A">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756F0AA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第十二条  其他</w:t>
      </w:r>
    </w:p>
    <w:p w14:paraId="7F5A59B4">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1、本合同自双方法定代表人或授权代表签字盖章之日起生效。</w:t>
      </w:r>
    </w:p>
    <w:p w14:paraId="19BE45B9">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2、未尽事宜，经双方协商一致，签订补充协议，补充协议与本合同不一致或相冲突的内容，以补充协议为准。</w:t>
      </w:r>
    </w:p>
    <w:p w14:paraId="624B778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3、本合同一式  陆  份，甲方执   叁   份，乙方执  叁  份，具有同等法律效力。</w:t>
      </w:r>
    </w:p>
    <w:p w14:paraId="03EB38E6">
      <w:pPr>
        <w:spacing w:line="360" w:lineRule="auto"/>
        <w:ind w:firstLine="560" w:firstLineChars="0"/>
        <w:rPr>
          <w:rFonts w:hint="eastAsia" w:ascii="仿宋" w:hAnsi="仿宋" w:eastAsia="仿宋" w:cs="仿宋"/>
          <w:color w:val="auto"/>
          <w:sz w:val="24"/>
          <w:szCs w:val="24"/>
          <w:highlight w:val="none"/>
          <w:lang w:val="en-US" w:eastAsia="zh-CN"/>
        </w:rPr>
      </w:pPr>
    </w:p>
    <w:p w14:paraId="57D673AF">
      <w:pPr>
        <w:spacing w:line="360" w:lineRule="auto"/>
        <w:ind w:firstLine="560" w:firstLineChars="0"/>
        <w:rPr>
          <w:rFonts w:hint="eastAsia" w:ascii="仿宋" w:hAnsi="仿宋" w:eastAsia="仿宋" w:cs="仿宋"/>
          <w:color w:val="auto"/>
          <w:sz w:val="24"/>
          <w:szCs w:val="24"/>
          <w:highlight w:val="none"/>
          <w:lang w:val="en-US" w:eastAsia="zh-CN"/>
        </w:rPr>
      </w:pPr>
    </w:p>
    <w:p w14:paraId="01A829B8">
      <w:pPr>
        <w:spacing w:line="360" w:lineRule="auto"/>
        <w:ind w:firstLine="560" w:firstLineChars="0"/>
        <w:rPr>
          <w:rFonts w:hint="eastAsia" w:ascii="仿宋" w:hAnsi="仿宋" w:eastAsia="仿宋" w:cs="仿宋"/>
          <w:color w:val="auto"/>
          <w:sz w:val="24"/>
          <w:szCs w:val="24"/>
          <w:highlight w:val="none"/>
          <w:lang w:val="en-US" w:eastAsia="zh-CN"/>
        </w:rPr>
      </w:pPr>
    </w:p>
    <w:p w14:paraId="05FFC29F">
      <w:pPr>
        <w:spacing w:line="360" w:lineRule="auto"/>
        <w:ind w:firstLine="560" w:firstLineChars="0"/>
        <w:rPr>
          <w:rFonts w:hint="eastAsia" w:ascii="仿宋" w:hAnsi="仿宋" w:eastAsia="仿宋" w:cs="仿宋"/>
          <w:color w:val="auto"/>
          <w:sz w:val="24"/>
          <w:szCs w:val="24"/>
          <w:highlight w:val="none"/>
          <w:lang w:val="en-US" w:eastAsia="zh-CN"/>
        </w:rPr>
      </w:pPr>
    </w:p>
    <w:p w14:paraId="72EC1863">
      <w:pPr>
        <w:spacing w:line="360" w:lineRule="auto"/>
        <w:ind w:firstLine="560" w:firstLineChars="0"/>
        <w:rPr>
          <w:rFonts w:hint="eastAsia" w:ascii="仿宋" w:hAnsi="仿宋" w:eastAsia="仿宋" w:cs="仿宋"/>
          <w:color w:val="auto"/>
          <w:sz w:val="24"/>
          <w:szCs w:val="24"/>
          <w:highlight w:val="none"/>
          <w:lang w:val="en-US" w:eastAsia="zh-CN"/>
        </w:rPr>
      </w:pPr>
    </w:p>
    <w:p w14:paraId="3ED6411D">
      <w:pPr>
        <w:spacing w:line="360" w:lineRule="auto"/>
        <w:ind w:firstLine="560" w:firstLineChars="0"/>
        <w:rPr>
          <w:rFonts w:hint="eastAsia" w:ascii="仿宋" w:hAnsi="仿宋" w:eastAsia="仿宋" w:cs="仿宋"/>
          <w:color w:val="auto"/>
          <w:sz w:val="24"/>
          <w:szCs w:val="24"/>
          <w:highlight w:val="none"/>
          <w:lang w:val="en-US" w:eastAsia="zh-CN"/>
        </w:rPr>
      </w:pPr>
    </w:p>
    <w:p w14:paraId="7EDEA7B9">
      <w:pPr>
        <w:spacing w:line="360" w:lineRule="auto"/>
        <w:ind w:firstLine="560" w:firstLineChars="0"/>
        <w:rPr>
          <w:rFonts w:hint="eastAsia" w:ascii="仿宋" w:hAnsi="仿宋" w:eastAsia="仿宋" w:cs="仿宋"/>
          <w:color w:val="auto"/>
          <w:sz w:val="24"/>
          <w:szCs w:val="24"/>
          <w:highlight w:val="none"/>
          <w:lang w:val="en-US" w:eastAsia="zh-CN"/>
        </w:rPr>
      </w:pPr>
    </w:p>
    <w:p w14:paraId="3322A762">
      <w:pPr>
        <w:spacing w:line="360" w:lineRule="auto"/>
        <w:ind w:firstLine="560" w:firstLineChars="0"/>
        <w:rPr>
          <w:rFonts w:hint="eastAsia" w:ascii="仿宋" w:hAnsi="仿宋" w:eastAsia="仿宋" w:cs="仿宋"/>
          <w:color w:val="auto"/>
          <w:sz w:val="24"/>
          <w:szCs w:val="24"/>
          <w:highlight w:val="none"/>
          <w:lang w:val="en-US" w:eastAsia="zh-CN"/>
        </w:rPr>
      </w:pPr>
    </w:p>
    <w:p w14:paraId="05E29DC1">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（本页为签字页，无正文）</w:t>
      </w:r>
    </w:p>
    <w:p w14:paraId="448DF7DE">
      <w:pPr>
        <w:spacing w:line="360" w:lineRule="auto"/>
        <w:ind w:firstLine="560" w:firstLineChars="0"/>
        <w:rPr>
          <w:rFonts w:hint="eastAsia" w:ascii="仿宋" w:hAnsi="仿宋" w:eastAsia="仿宋" w:cs="仿宋"/>
          <w:color w:val="auto"/>
          <w:sz w:val="24"/>
          <w:szCs w:val="24"/>
          <w:highlight w:val="none"/>
          <w:lang w:val="en-US" w:eastAsia="zh-CN"/>
        </w:rPr>
      </w:pPr>
    </w:p>
    <w:p w14:paraId="79C40307">
      <w:pPr>
        <w:spacing w:line="360" w:lineRule="auto"/>
        <w:ind w:firstLine="560" w:firstLineChars="0"/>
        <w:rPr>
          <w:rFonts w:hint="eastAsia" w:ascii="仿宋" w:hAnsi="仿宋" w:eastAsia="仿宋" w:cs="仿宋"/>
          <w:color w:val="auto"/>
          <w:sz w:val="24"/>
          <w:szCs w:val="24"/>
          <w:highlight w:val="none"/>
          <w:lang w:val="en-US" w:eastAsia="zh-CN"/>
        </w:rPr>
      </w:pPr>
    </w:p>
    <w:p w14:paraId="48472B47">
      <w:pPr>
        <w:spacing w:line="360" w:lineRule="auto"/>
        <w:ind w:firstLine="560" w:firstLineChars="0"/>
        <w:rPr>
          <w:rFonts w:hint="eastAsia" w:ascii="仿宋" w:hAnsi="仿宋" w:eastAsia="仿宋" w:cs="仿宋"/>
          <w:color w:val="auto"/>
          <w:sz w:val="24"/>
          <w:szCs w:val="24"/>
          <w:highlight w:val="none"/>
          <w:lang w:val="en-US" w:eastAsia="zh-CN"/>
        </w:rPr>
      </w:pPr>
    </w:p>
    <w:p w14:paraId="5DB31247">
      <w:pPr>
        <w:spacing w:line="360" w:lineRule="auto"/>
        <w:ind w:firstLine="560" w:firstLineChars="0"/>
        <w:rPr>
          <w:rFonts w:hint="eastAsia" w:ascii="仿宋" w:hAnsi="仿宋" w:eastAsia="仿宋" w:cs="仿宋"/>
          <w:color w:val="auto"/>
          <w:sz w:val="24"/>
          <w:szCs w:val="24"/>
          <w:highlight w:val="none"/>
          <w:lang w:val="en-US" w:eastAsia="zh-CN"/>
        </w:rPr>
      </w:pPr>
    </w:p>
    <w:p w14:paraId="3A9931A8">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甲方：（盖章）                </w:t>
      </w:r>
    </w:p>
    <w:p w14:paraId="2B872D0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法定代表人／委托代理人：（签名）</w:t>
      </w:r>
    </w:p>
    <w:p w14:paraId="2C1A57A3">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1049F64E">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年     月     日</w:t>
      </w:r>
    </w:p>
    <w:p w14:paraId="6CB6696F">
      <w:pPr>
        <w:spacing w:line="360" w:lineRule="auto"/>
        <w:ind w:firstLine="560" w:firstLineChars="0"/>
        <w:rPr>
          <w:rFonts w:hint="eastAsia" w:ascii="仿宋" w:hAnsi="仿宋" w:eastAsia="仿宋" w:cs="仿宋"/>
          <w:color w:val="auto"/>
          <w:sz w:val="24"/>
          <w:szCs w:val="24"/>
          <w:highlight w:val="none"/>
          <w:lang w:val="en-US" w:eastAsia="zh-CN"/>
        </w:rPr>
      </w:pPr>
    </w:p>
    <w:p w14:paraId="0EF7B464">
      <w:pPr>
        <w:spacing w:line="360" w:lineRule="auto"/>
        <w:ind w:firstLine="560" w:firstLineChars="0"/>
        <w:rPr>
          <w:rFonts w:hint="eastAsia" w:ascii="仿宋" w:hAnsi="仿宋" w:eastAsia="仿宋" w:cs="仿宋"/>
          <w:color w:val="auto"/>
          <w:sz w:val="24"/>
          <w:szCs w:val="24"/>
          <w:highlight w:val="none"/>
          <w:lang w:val="en-US" w:eastAsia="zh-CN"/>
        </w:rPr>
      </w:pPr>
    </w:p>
    <w:p w14:paraId="0306EB4F">
      <w:pPr>
        <w:spacing w:line="360" w:lineRule="auto"/>
        <w:ind w:firstLine="560" w:firstLineChars="0"/>
        <w:rPr>
          <w:rFonts w:hint="eastAsia" w:ascii="仿宋" w:hAnsi="仿宋" w:eastAsia="仿宋" w:cs="仿宋"/>
          <w:color w:val="auto"/>
          <w:sz w:val="24"/>
          <w:szCs w:val="24"/>
          <w:highlight w:val="none"/>
          <w:lang w:val="en-US" w:eastAsia="zh-CN"/>
        </w:rPr>
      </w:pPr>
    </w:p>
    <w:p w14:paraId="22896F2D">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乙方：（盖章）                </w:t>
      </w:r>
    </w:p>
    <w:p w14:paraId="51E3E7E7">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法定代表人／委托代理人：（签名）</w:t>
      </w:r>
    </w:p>
    <w:p w14:paraId="282BDD56">
      <w:pPr>
        <w:spacing w:line="360" w:lineRule="auto"/>
        <w:ind w:firstLine="56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7346F459">
      <w:pPr>
        <w:spacing w:line="360" w:lineRule="auto"/>
        <w:ind w:firstLine="56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年     月     日</w:t>
      </w:r>
    </w:p>
    <w:p w14:paraId="3386F8BC">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10CD24B">
      <w:pPr>
        <w:spacing w:line="360" w:lineRule="auto"/>
        <w:jc w:val="center"/>
        <w:outlineLvl w:val="0"/>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rPr>
        <w:t xml:space="preserve">第四章 </w:t>
      </w:r>
      <w:r>
        <w:rPr>
          <w:rFonts w:hint="eastAsia" w:ascii="仿宋" w:hAnsi="仿宋" w:eastAsia="仿宋" w:cs="仿宋"/>
          <w:b/>
          <w:color w:val="auto"/>
          <w:sz w:val="24"/>
          <w:szCs w:val="24"/>
          <w:highlight w:val="none"/>
          <w:shd w:val="clear" w:color="auto" w:fill="FFFFFF" w:themeFill="background1"/>
          <w:lang w:eastAsia="zh-CN"/>
        </w:rPr>
        <w:t>服务标准和要求</w:t>
      </w:r>
      <w:bookmarkEnd w:id="40"/>
    </w:p>
    <w:p w14:paraId="454978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一、总体要求</w:t>
      </w:r>
    </w:p>
    <w:p w14:paraId="639818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根据《国务院办公厅关于全面深化药品医疗器械监管改革 促进医药产业高质量发展的意见》《新疆维吾尔自治区药品安全“十四五”规划》《国家药监局综合司关于印发省级药品智慧监管重点任务清单（2024-2025）的通知》等文件要求，切实加强业务系统的日常运维保障。</w:t>
      </w:r>
    </w:p>
    <w:p w14:paraId="1A9DAF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二、服务内容</w:t>
      </w:r>
    </w:p>
    <w:p w14:paraId="2B0ACF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1.运维内容：</w:t>
      </w:r>
      <w:r>
        <w:rPr>
          <w:rFonts w:hint="eastAsia" w:ascii="仿宋" w:hAnsi="仿宋" w:eastAsia="仿宋" w:cs="仿宋"/>
          <w:color w:val="auto"/>
          <w:sz w:val="24"/>
          <w:szCs w:val="24"/>
          <w:highlight w:val="none"/>
          <w:lang w:eastAsia="zh-CN"/>
        </w:rPr>
        <w:t>自治区药监局政府网站及自治区药品智慧监管平台</w:t>
      </w:r>
      <w:r>
        <w:rPr>
          <w:rFonts w:hint="eastAsia" w:ascii="仿宋" w:hAnsi="仿宋" w:eastAsia="仿宋" w:cs="仿宋"/>
          <w:color w:val="auto"/>
          <w:sz w:val="24"/>
          <w:szCs w:val="24"/>
          <w:highlight w:val="none"/>
        </w:rPr>
        <w:t>业务</w:t>
      </w:r>
      <w:r>
        <w:rPr>
          <w:rFonts w:hint="eastAsia" w:ascii="仿宋" w:hAnsi="仿宋" w:eastAsia="仿宋" w:cs="仿宋"/>
          <w:color w:val="auto"/>
          <w:sz w:val="24"/>
          <w:szCs w:val="24"/>
          <w:highlight w:val="none"/>
          <w:lang w:eastAsia="zh-CN"/>
        </w:rPr>
        <w:t>子</w:t>
      </w:r>
      <w:r>
        <w:rPr>
          <w:rFonts w:hint="eastAsia" w:ascii="仿宋" w:hAnsi="仿宋" w:eastAsia="仿宋" w:cs="仿宋"/>
          <w:color w:val="auto"/>
          <w:sz w:val="24"/>
          <w:szCs w:val="24"/>
          <w:highlight w:val="none"/>
        </w:rPr>
        <w:t>系统，主要包括以下内容：</w:t>
      </w:r>
    </w:p>
    <w:tbl>
      <w:tblPr>
        <w:tblStyle w:val="4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2760"/>
        <w:gridCol w:w="5625"/>
      </w:tblGrid>
      <w:tr w14:paraId="37B1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060" w:type="dxa"/>
            <w:noWrap w:val="0"/>
            <w:vAlign w:val="center"/>
          </w:tcPr>
          <w:p w14:paraId="18F23432">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序号</w:t>
            </w:r>
          </w:p>
        </w:tc>
        <w:tc>
          <w:tcPr>
            <w:tcW w:w="2760" w:type="dxa"/>
            <w:noWrap w:val="0"/>
            <w:vAlign w:val="center"/>
          </w:tcPr>
          <w:p w14:paraId="0EB6D1AB">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系统名称</w:t>
            </w:r>
          </w:p>
        </w:tc>
        <w:tc>
          <w:tcPr>
            <w:tcW w:w="5625" w:type="dxa"/>
            <w:noWrap w:val="0"/>
            <w:vAlign w:val="top"/>
          </w:tcPr>
          <w:p w14:paraId="688033F3">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重点维护内容</w:t>
            </w:r>
          </w:p>
        </w:tc>
      </w:tr>
      <w:tr w14:paraId="7EE3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noWrap w:val="0"/>
            <w:vAlign w:val="center"/>
          </w:tcPr>
          <w:p w14:paraId="0CF67251">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1</w:t>
            </w:r>
          </w:p>
        </w:tc>
        <w:tc>
          <w:tcPr>
            <w:tcW w:w="2760" w:type="dxa"/>
            <w:noWrap w:val="0"/>
            <w:vAlign w:val="center"/>
          </w:tcPr>
          <w:p w14:paraId="6CC13239">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局政府网站运维</w:t>
            </w:r>
          </w:p>
        </w:tc>
        <w:tc>
          <w:tcPr>
            <w:tcW w:w="5625" w:type="dxa"/>
            <w:noWrap w:val="0"/>
            <w:vAlign w:val="top"/>
          </w:tcPr>
          <w:p w14:paraId="29B8F53A">
            <w:pPr>
              <w:keepNext w:val="0"/>
              <w:keepLines w:val="0"/>
              <w:pageBreakBefore w:val="0"/>
              <w:widowControl/>
              <w:kinsoku w:val="0"/>
              <w:wordWrap/>
              <w:overflowPunct/>
              <w:topLinePunct w:val="0"/>
              <w:autoSpaceDE w:val="0"/>
              <w:autoSpaceDN w:val="0"/>
              <w:bidi w:val="0"/>
              <w:adjustRightInd/>
              <w:snapToGrid w:val="0"/>
              <w:spacing w:before="288" w:line="240" w:lineRule="auto"/>
              <w:ind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为支撑局政府网站稳定运行，对网站中栏目进行日常更新调整及维护，确保网站安全稳定高效运行。</w:t>
            </w:r>
          </w:p>
        </w:tc>
      </w:tr>
      <w:tr w14:paraId="3C33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noWrap w:val="0"/>
            <w:vAlign w:val="center"/>
          </w:tcPr>
          <w:p w14:paraId="158D57E9">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2</w:t>
            </w:r>
          </w:p>
        </w:tc>
        <w:tc>
          <w:tcPr>
            <w:tcW w:w="2760" w:type="dxa"/>
            <w:noWrap w:val="0"/>
            <w:vAlign w:val="center"/>
          </w:tcPr>
          <w:p w14:paraId="52AB6721">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错敏字监测</w:t>
            </w:r>
          </w:p>
        </w:tc>
        <w:tc>
          <w:tcPr>
            <w:tcW w:w="5625" w:type="dxa"/>
            <w:noWrap w:val="0"/>
            <w:vAlign w:val="top"/>
          </w:tcPr>
          <w:p w14:paraId="1FF0E256">
            <w:pPr>
              <w:keepNext w:val="0"/>
              <w:keepLines w:val="0"/>
              <w:pageBreakBefore w:val="0"/>
              <w:widowControl/>
              <w:kinsoku w:val="0"/>
              <w:wordWrap/>
              <w:overflowPunct/>
              <w:topLinePunct w:val="0"/>
              <w:autoSpaceDE w:val="0"/>
              <w:autoSpaceDN w:val="0"/>
              <w:bidi w:val="0"/>
              <w:adjustRightInd/>
              <w:snapToGrid w:val="0"/>
              <w:spacing w:before="288" w:line="240" w:lineRule="auto"/>
              <w:ind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为支撑局政府网站稳定运行，对网站全站及栏目内容开展常态化错敏字监测与排查纠错工作，确保网站信息发布准确、规范、权威。</w:t>
            </w:r>
          </w:p>
        </w:tc>
      </w:tr>
      <w:tr w14:paraId="3CCC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noWrap w:val="0"/>
            <w:vAlign w:val="center"/>
          </w:tcPr>
          <w:p w14:paraId="01B91831">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3</w:t>
            </w:r>
          </w:p>
        </w:tc>
        <w:tc>
          <w:tcPr>
            <w:tcW w:w="2760" w:type="dxa"/>
            <w:noWrap w:val="0"/>
            <w:vAlign w:val="center"/>
          </w:tcPr>
          <w:p w14:paraId="15D168AC">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政务公开监测</w:t>
            </w:r>
          </w:p>
        </w:tc>
        <w:tc>
          <w:tcPr>
            <w:tcW w:w="5625" w:type="dxa"/>
            <w:noWrap w:val="0"/>
            <w:vAlign w:val="top"/>
          </w:tcPr>
          <w:p w14:paraId="07627A39">
            <w:pPr>
              <w:keepNext w:val="0"/>
              <w:keepLines w:val="0"/>
              <w:pageBreakBefore w:val="0"/>
              <w:widowControl/>
              <w:kinsoku w:val="0"/>
              <w:wordWrap/>
              <w:overflowPunct/>
              <w:topLinePunct w:val="0"/>
              <w:autoSpaceDE w:val="0"/>
              <w:autoSpaceDN w:val="0"/>
              <w:bidi w:val="0"/>
              <w:adjustRightInd/>
              <w:snapToGrid w:val="0"/>
              <w:spacing w:before="288" w:line="240" w:lineRule="auto"/>
              <w:ind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为支撑局政府网站稳定运行，对网站中政务公开栏目开展公开时效性、内容完整性、格式规范性等监测工作，确保政务信息依法、及时、准确公开。</w:t>
            </w:r>
          </w:p>
        </w:tc>
      </w:tr>
      <w:tr w14:paraId="40CB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60" w:type="dxa"/>
            <w:noWrap w:val="0"/>
            <w:vAlign w:val="center"/>
          </w:tcPr>
          <w:p w14:paraId="206D96AA">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4</w:t>
            </w:r>
          </w:p>
        </w:tc>
        <w:tc>
          <w:tcPr>
            <w:tcW w:w="2760" w:type="dxa"/>
            <w:noWrap w:val="0"/>
            <w:vAlign w:val="center"/>
          </w:tcPr>
          <w:p w14:paraId="52509386">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UDI追溯监管系统运维</w:t>
            </w:r>
          </w:p>
        </w:tc>
        <w:tc>
          <w:tcPr>
            <w:tcW w:w="5625" w:type="dxa"/>
            <w:noWrap w:val="0"/>
            <w:vAlign w:val="top"/>
          </w:tcPr>
          <w:p w14:paraId="375D06B0">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支撑全区医疗器械监管部门使用该系统开展医疗器械唯一标识（UDI）的追溯、监管与分析工作，并确保系统安全稳定高效运行。</w:t>
            </w:r>
          </w:p>
        </w:tc>
      </w:tr>
      <w:tr w14:paraId="1A94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60" w:type="dxa"/>
            <w:noWrap w:val="0"/>
            <w:vAlign w:val="center"/>
          </w:tcPr>
          <w:p w14:paraId="193A06AE">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5</w:t>
            </w:r>
          </w:p>
        </w:tc>
        <w:tc>
          <w:tcPr>
            <w:tcW w:w="2760" w:type="dxa"/>
            <w:noWrap w:val="0"/>
            <w:vAlign w:val="center"/>
          </w:tcPr>
          <w:p w14:paraId="6643F628">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自治区疫苗药品追溯监管子系统</w:t>
            </w:r>
          </w:p>
        </w:tc>
        <w:tc>
          <w:tcPr>
            <w:tcW w:w="5625" w:type="dxa"/>
            <w:noWrap w:val="0"/>
            <w:vAlign w:val="top"/>
          </w:tcPr>
          <w:p w14:paraId="74739BA5">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支撑全区药品监管部门使用该系统开展疫苗、重点品种追溯监管工作，并确保系统安全稳定高效运行。</w:t>
            </w:r>
          </w:p>
        </w:tc>
      </w:tr>
      <w:tr w14:paraId="3BED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60" w:type="dxa"/>
            <w:noWrap w:val="0"/>
            <w:vAlign w:val="center"/>
          </w:tcPr>
          <w:p w14:paraId="4DB684F1">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6</w:t>
            </w:r>
          </w:p>
        </w:tc>
        <w:tc>
          <w:tcPr>
            <w:tcW w:w="2760" w:type="dxa"/>
            <w:noWrap w:val="0"/>
            <w:vAlign w:val="center"/>
          </w:tcPr>
          <w:p w14:paraId="76E6EC05">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自治区药品和医疗器械不良反应数据分析系统</w:t>
            </w:r>
          </w:p>
        </w:tc>
        <w:tc>
          <w:tcPr>
            <w:tcW w:w="5625" w:type="dxa"/>
            <w:noWrap w:val="0"/>
            <w:vAlign w:val="top"/>
          </w:tcPr>
          <w:p w14:paraId="114F1CDF">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left"/>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支撑自治区药物警戒中心使用该系统开展不良反应数据分析工作，并确保系统安全稳定高效运行。</w:t>
            </w:r>
          </w:p>
        </w:tc>
      </w:tr>
    </w:tbl>
    <w:p w14:paraId="545DC2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针对维护范围内的应用系统在保障系统正常运行前提下，需完成如下工作：</w:t>
      </w:r>
    </w:p>
    <w:p w14:paraId="2BB4A6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（1）对各系统进行故障检测及排除，全面记录系统bug,更新维护记录。</w:t>
      </w:r>
    </w:p>
    <w:p w14:paraId="0732DA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（2）进行系统在线用户分析、日志查看、补丁升级，系统资源优化调整。及时上报网络安全方面的异常情况。</w:t>
      </w:r>
    </w:p>
    <w:p w14:paraId="2B5C032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（3）对发现的漏洞、系统安全风险及时修补。</w:t>
      </w:r>
    </w:p>
    <w:p w14:paraId="332BDC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（4）根据要求进行系统重新部署。</w:t>
      </w:r>
    </w:p>
    <w:p w14:paraId="78A9D3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（5）定期备份数据与配置文件，建立数据备份记录。出现故障及时恢复数据，最大限度减少数据损失。</w:t>
      </w:r>
    </w:p>
    <w:p w14:paraId="2DC56B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系统数据源发生变更或系统部署环境发生变更时，成交供应商应无条件免费配合完成相关工作。</w:t>
      </w:r>
    </w:p>
    <w:p w14:paraId="5D7FDD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2.运维人员：服务团队包括驻现场服务和二线技术支持，驻场人员的日常工作向采购人直接汇报，项目经理须及时跟进项目各项工作的完成情况。</w:t>
      </w:r>
    </w:p>
    <w:tbl>
      <w:tblPr>
        <w:tblStyle w:val="4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690"/>
        <w:gridCol w:w="2740"/>
        <w:gridCol w:w="2215"/>
      </w:tblGrid>
      <w:tr w14:paraId="23E8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215" w:type="dxa"/>
            <w:noWrap w:val="0"/>
            <w:vAlign w:val="center"/>
          </w:tcPr>
          <w:p w14:paraId="15DD11A6">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人员组成</w:t>
            </w:r>
          </w:p>
        </w:tc>
        <w:tc>
          <w:tcPr>
            <w:tcW w:w="1690" w:type="dxa"/>
            <w:noWrap w:val="0"/>
            <w:vAlign w:val="center"/>
          </w:tcPr>
          <w:p w14:paraId="60B7449E">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服务时限及方式</w:t>
            </w:r>
          </w:p>
        </w:tc>
        <w:tc>
          <w:tcPr>
            <w:tcW w:w="2740" w:type="dxa"/>
            <w:noWrap w:val="0"/>
            <w:vAlign w:val="center"/>
          </w:tcPr>
          <w:p w14:paraId="0673E42A">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主要职责</w:t>
            </w:r>
          </w:p>
        </w:tc>
        <w:tc>
          <w:tcPr>
            <w:tcW w:w="2215" w:type="dxa"/>
            <w:noWrap w:val="0"/>
            <w:vAlign w:val="center"/>
          </w:tcPr>
          <w:p w14:paraId="50C88ACC">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人员要求</w:t>
            </w:r>
          </w:p>
        </w:tc>
      </w:tr>
      <w:tr w14:paraId="0E90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215" w:type="dxa"/>
            <w:noWrap w:val="0"/>
            <w:vAlign w:val="center"/>
          </w:tcPr>
          <w:p w14:paraId="149686FC">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项目经理1名</w:t>
            </w:r>
          </w:p>
        </w:tc>
        <w:tc>
          <w:tcPr>
            <w:tcW w:w="1690" w:type="dxa"/>
            <w:noWrap w:val="0"/>
            <w:vAlign w:val="center"/>
          </w:tcPr>
          <w:p w14:paraId="5A4EE469">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1年，非驻场</w:t>
            </w:r>
          </w:p>
        </w:tc>
        <w:tc>
          <w:tcPr>
            <w:tcW w:w="2740" w:type="dxa"/>
            <w:noWrap w:val="0"/>
            <w:vAlign w:val="center"/>
          </w:tcPr>
          <w:p w14:paraId="0FEED2A6">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lang w:val="en-US" w:eastAsia="zh-CN"/>
              </w:rPr>
              <w:t>负</w:t>
            </w:r>
            <w:r>
              <w:rPr>
                <w:rFonts w:hint="eastAsia" w:ascii="仿宋" w:hAnsi="仿宋" w:eastAsia="仿宋" w:cs="仿宋"/>
                <w:color w:val="auto"/>
                <w:spacing w:val="10"/>
                <w:position w:val="15"/>
                <w:sz w:val="24"/>
                <w:szCs w:val="24"/>
                <w:highlight w:val="none"/>
              </w:rPr>
              <w:t>责整个服务团队的整体运作，协调处理团队内部工作安排;制订运维/计划;参与需求分析制定</w:t>
            </w:r>
          </w:p>
        </w:tc>
        <w:tc>
          <w:tcPr>
            <w:tcW w:w="2215" w:type="dxa"/>
            <w:noWrap w:val="0"/>
            <w:vAlign w:val="center"/>
          </w:tcPr>
          <w:p w14:paraId="1FE94401">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w:t>
            </w:r>
          </w:p>
        </w:tc>
      </w:tr>
      <w:tr w14:paraId="650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2" w:hRule="atLeast"/>
          <w:jc w:val="center"/>
        </w:trPr>
        <w:tc>
          <w:tcPr>
            <w:tcW w:w="2215" w:type="dxa"/>
            <w:noWrap w:val="0"/>
            <w:vAlign w:val="center"/>
          </w:tcPr>
          <w:p w14:paraId="6FE7525C">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应用系统驻场工程师</w:t>
            </w:r>
            <w:r>
              <w:rPr>
                <w:rFonts w:hint="eastAsia" w:ascii="仿宋" w:hAnsi="仿宋" w:eastAsia="仿宋" w:cs="仿宋"/>
                <w:color w:val="auto"/>
                <w:spacing w:val="10"/>
                <w:position w:val="15"/>
                <w:sz w:val="24"/>
                <w:szCs w:val="24"/>
                <w:highlight w:val="none"/>
                <w:lang w:val="en-US" w:eastAsia="zh-CN"/>
              </w:rPr>
              <w:t>1</w:t>
            </w:r>
            <w:r>
              <w:rPr>
                <w:rFonts w:hint="eastAsia" w:ascii="仿宋" w:hAnsi="仿宋" w:eastAsia="仿宋" w:cs="仿宋"/>
                <w:color w:val="auto"/>
                <w:spacing w:val="10"/>
                <w:position w:val="15"/>
                <w:sz w:val="24"/>
                <w:szCs w:val="24"/>
                <w:highlight w:val="none"/>
              </w:rPr>
              <w:t>名</w:t>
            </w:r>
          </w:p>
        </w:tc>
        <w:tc>
          <w:tcPr>
            <w:tcW w:w="1690" w:type="dxa"/>
            <w:noWrap w:val="0"/>
            <w:vAlign w:val="center"/>
          </w:tcPr>
          <w:p w14:paraId="74E07D3B">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1年，驻场</w:t>
            </w:r>
          </w:p>
        </w:tc>
        <w:tc>
          <w:tcPr>
            <w:tcW w:w="2740" w:type="dxa"/>
            <w:noWrap w:val="0"/>
            <w:vAlign w:val="center"/>
          </w:tcPr>
          <w:p w14:paraId="64178C0A">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1.执行漏洞修复任务;</w:t>
            </w:r>
          </w:p>
          <w:p w14:paraId="67FF1493">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2．处理应用系统故障;</w:t>
            </w:r>
          </w:p>
          <w:p w14:paraId="54B0B1F2">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3.巡检和维护应用系统部署应用系统的相关设备;</w:t>
            </w:r>
          </w:p>
          <w:p w14:paraId="585A80AF">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4.提交每周运维工作报告。</w:t>
            </w:r>
          </w:p>
          <w:p w14:paraId="544364DD">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5.执行数据管理相关工作。</w:t>
            </w:r>
          </w:p>
        </w:tc>
        <w:tc>
          <w:tcPr>
            <w:tcW w:w="2215" w:type="dxa"/>
            <w:noWrap w:val="0"/>
            <w:vAlign w:val="center"/>
          </w:tcPr>
          <w:p w14:paraId="222BBEF9">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lang w:val="en-US" w:eastAsia="zh-CN"/>
              </w:rPr>
              <w:t>/</w:t>
            </w:r>
          </w:p>
        </w:tc>
      </w:tr>
      <w:tr w14:paraId="3E20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2215" w:type="dxa"/>
            <w:noWrap w:val="0"/>
            <w:vAlign w:val="center"/>
          </w:tcPr>
          <w:p w14:paraId="61522C0F">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lang w:val="en-US" w:eastAsia="zh-CN"/>
              </w:rPr>
            </w:pPr>
            <w:r>
              <w:rPr>
                <w:rFonts w:hint="eastAsia" w:ascii="仿宋" w:hAnsi="仿宋" w:eastAsia="仿宋" w:cs="仿宋"/>
                <w:color w:val="auto"/>
                <w:spacing w:val="10"/>
                <w:position w:val="15"/>
                <w:sz w:val="24"/>
                <w:szCs w:val="24"/>
                <w:highlight w:val="none"/>
              </w:rPr>
              <w:t>二线技术支持工程师</w:t>
            </w:r>
            <w:r>
              <w:rPr>
                <w:rFonts w:hint="eastAsia" w:ascii="仿宋" w:hAnsi="仿宋" w:eastAsia="仿宋" w:cs="仿宋"/>
                <w:color w:val="auto"/>
                <w:spacing w:val="10"/>
                <w:position w:val="15"/>
                <w:sz w:val="24"/>
                <w:szCs w:val="24"/>
                <w:highlight w:val="none"/>
                <w:lang w:val="en-US" w:eastAsia="zh-CN"/>
              </w:rPr>
              <w:t>3名</w:t>
            </w:r>
          </w:p>
        </w:tc>
        <w:tc>
          <w:tcPr>
            <w:tcW w:w="1690" w:type="dxa"/>
            <w:noWrap w:val="0"/>
            <w:vAlign w:val="center"/>
          </w:tcPr>
          <w:p w14:paraId="4FA6AA09">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1年，非驻场</w:t>
            </w:r>
          </w:p>
        </w:tc>
        <w:tc>
          <w:tcPr>
            <w:tcW w:w="2740" w:type="dxa"/>
            <w:noWrap w:val="0"/>
            <w:vAlign w:val="center"/>
          </w:tcPr>
          <w:p w14:paraId="75294D0A">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1.负责二线技术支持。</w:t>
            </w:r>
          </w:p>
          <w:p w14:paraId="5035D5CE">
            <w:pPr>
              <w:keepNext w:val="0"/>
              <w:keepLines w:val="0"/>
              <w:pageBreakBefore w:val="0"/>
              <w:widowControl/>
              <w:kinsoku w:val="0"/>
              <w:wordWrap/>
              <w:overflowPunct/>
              <w:topLinePunct w:val="0"/>
              <w:autoSpaceDE w:val="0"/>
              <w:autoSpaceDN w:val="0"/>
              <w:bidi w:val="0"/>
              <w:adjustRightInd/>
              <w:snapToGrid w:val="0"/>
              <w:spacing w:before="288" w:line="240" w:lineRule="auto"/>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2.负责应急服务。</w:t>
            </w:r>
          </w:p>
        </w:tc>
        <w:tc>
          <w:tcPr>
            <w:tcW w:w="2215" w:type="dxa"/>
            <w:noWrap w:val="0"/>
            <w:vAlign w:val="center"/>
          </w:tcPr>
          <w:p w14:paraId="030562C4">
            <w:pPr>
              <w:keepNext w:val="0"/>
              <w:keepLines w:val="0"/>
              <w:pageBreakBefore w:val="0"/>
              <w:widowControl/>
              <w:kinsoku w:val="0"/>
              <w:wordWrap/>
              <w:overflowPunct/>
              <w:topLinePunct w:val="0"/>
              <w:autoSpaceDE w:val="0"/>
              <w:autoSpaceDN w:val="0"/>
              <w:bidi w:val="0"/>
              <w:adjustRightInd/>
              <w:snapToGrid w:val="0"/>
              <w:spacing w:before="288" w:line="240" w:lineRule="auto"/>
              <w:ind w:left="0" w:leftChars="0" w:firstLine="520" w:firstLineChars="200"/>
              <w:jc w:val="center"/>
              <w:textAlignment w:val="baseline"/>
              <w:rPr>
                <w:rFonts w:hint="eastAsia" w:ascii="仿宋" w:hAnsi="仿宋" w:eastAsia="仿宋" w:cs="仿宋"/>
                <w:color w:val="auto"/>
                <w:spacing w:val="10"/>
                <w:position w:val="15"/>
                <w:sz w:val="24"/>
                <w:szCs w:val="24"/>
                <w:highlight w:val="none"/>
              </w:rPr>
            </w:pPr>
            <w:r>
              <w:rPr>
                <w:rFonts w:hint="eastAsia" w:ascii="仿宋" w:hAnsi="仿宋" w:eastAsia="仿宋" w:cs="仿宋"/>
                <w:color w:val="auto"/>
                <w:spacing w:val="10"/>
                <w:position w:val="15"/>
                <w:sz w:val="24"/>
                <w:szCs w:val="24"/>
                <w:highlight w:val="none"/>
              </w:rPr>
              <w:t>要求在驻场人员缺席时，甲方要求相关人员现场支持,</w:t>
            </w:r>
            <w:r>
              <w:rPr>
                <w:rFonts w:hint="eastAsia" w:ascii="仿宋" w:hAnsi="仿宋" w:eastAsia="仿宋" w:cs="仿宋"/>
                <w:color w:val="auto"/>
                <w:spacing w:val="10"/>
                <w:position w:val="15"/>
                <w:sz w:val="24"/>
                <w:szCs w:val="24"/>
                <w:highlight w:val="none"/>
                <w:lang w:val="en-US" w:eastAsia="zh-CN"/>
              </w:rPr>
              <w:t>熟悉项目代码，</w:t>
            </w:r>
            <w:r>
              <w:rPr>
                <w:rFonts w:hint="eastAsia" w:ascii="仿宋" w:hAnsi="仿宋" w:eastAsia="仿宋" w:cs="仿宋"/>
                <w:color w:val="auto"/>
                <w:spacing w:val="10"/>
                <w:position w:val="15"/>
                <w:sz w:val="24"/>
                <w:szCs w:val="24"/>
                <w:highlight w:val="none"/>
              </w:rPr>
              <w:t>60分钟内到解决</w:t>
            </w:r>
            <w:r>
              <w:rPr>
                <w:rFonts w:hint="eastAsia" w:ascii="仿宋" w:hAnsi="仿宋" w:eastAsia="仿宋" w:cs="仿宋"/>
                <w:color w:val="auto"/>
                <w:spacing w:val="10"/>
                <w:position w:val="15"/>
                <w:sz w:val="24"/>
                <w:szCs w:val="24"/>
                <w:highlight w:val="none"/>
                <w:lang w:val="en-US" w:eastAsia="zh-CN"/>
              </w:rPr>
              <w:t>系统</w:t>
            </w:r>
            <w:r>
              <w:rPr>
                <w:rFonts w:hint="eastAsia" w:ascii="仿宋" w:hAnsi="仿宋" w:eastAsia="仿宋" w:cs="仿宋"/>
                <w:color w:val="auto"/>
                <w:spacing w:val="10"/>
                <w:position w:val="15"/>
                <w:sz w:val="24"/>
                <w:szCs w:val="24"/>
                <w:highlight w:val="none"/>
              </w:rPr>
              <w:t>问题</w:t>
            </w:r>
          </w:p>
        </w:tc>
      </w:tr>
    </w:tbl>
    <w:p w14:paraId="588C189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p>
    <w:p w14:paraId="0C67ED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工作要求</w:t>
      </w:r>
    </w:p>
    <w:p w14:paraId="3642B3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驻场人员自合同签订之日起必须到岗，到岗时须同时提供无犯罪记录证明，签订保密协议。未经甲方书面同意，不得更换驻场人员;如果驻场人员存在工作态度、责任心、技术能力、协调能力等方面之一的问题时，甲方有权要求乙方更换驻场人员，并且乙方在收到甲方书面通知之日起7个工作日内必须无条件更换，接替人员必须经过甲方面试同意后才能开始试用，如果有两次以上的试用不合适，要求乙方进行整改，乙方以公司名义正式提交整改报告。</w:t>
      </w:r>
    </w:p>
    <w:p w14:paraId="29D6E1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（2）采购人须为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提供必要的办公场所和网络环境。中标方须为维护人员（含驻场人员和非驻场人员）购买必要的人身保险，并必须声明在为采购人提供运维服务期间，维护人员发生的一切安全事故、财产损失和其他任何事故，均由中标方承担全部责任，和采购人无关。</w:t>
      </w:r>
    </w:p>
    <w:p w14:paraId="54AB70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以为采购人提供服务为理由开展任何形式的商业活动，包括但不限于向被服务人宣传自身及自身的产品或服务、向被服务人收取运行维护费等，一经发现，甲方有权解除合同，并要求乙方无条件退回上述费用，因此给甲方造成损失的，乙方应当双倍赔偿甲方损失。</w:t>
      </w:r>
    </w:p>
    <w:p w14:paraId="61819B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3.时间要求</w:t>
      </w:r>
    </w:p>
    <w:p w14:paraId="24D0E8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（1）系统服务可用性:提供7×24小时服务，平均恢复时间≤1小时，最大恢复时间≤8小时。</w:t>
      </w:r>
    </w:p>
    <w:p w14:paraId="5B2622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派驻的驻场人员须遵守采购人的工作制度和办公时间，服从采购人的监督和管理，不得以节假日或非办公时间为由拒绝采购人安排。采购人提出更换驻场人员的，中标方须保证平滑过渡、不得影响运维工作并及时完成更换。</w:t>
      </w:r>
    </w:p>
    <w:p w14:paraId="0F80422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三、质量保障</w:t>
      </w:r>
    </w:p>
    <w:p w14:paraId="669A15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方应提供详实完备的系统质量管理及保障措施实施方案。本项目要求采用国际通用的规范化的项目管理方法，对项目实施的全过程进行监控和管理，对项目进度和工程实施项目进度进行控制。本项目所有文档应该按照所使用的质量管理体系要求编写。项目验收通过后，须向采购人交付项目的全部资料，包括纸质资料及电子文档，并无条件提供质量保证和技术支持、技术服务。</w:t>
      </w:r>
    </w:p>
    <w:p w14:paraId="607FDD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四、知识产权</w:t>
      </w:r>
    </w:p>
    <w:p w14:paraId="4EE487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项目实施不得侵犯第三方权利，项目实施使用第三方技术和产品（包括图片）的，</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须向采购人进行书面详细说明，并提供相关处理措施和处理结果。本项目相关的全部知识产权均归属采购人所有。</w:t>
      </w:r>
    </w:p>
    <w:p w14:paraId="195870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五、培训要求</w:t>
      </w:r>
    </w:p>
    <w:p w14:paraId="12DBE4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须按照采购人相关要求完成培训，税金、培训等相关费用均包含在本项目合同价款中，采购人不再另行支付培训费等任何费用。</w:t>
      </w:r>
    </w:p>
    <w:p w14:paraId="632D6E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六、验收要求</w:t>
      </w:r>
    </w:p>
    <w:p w14:paraId="254E57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项目运维完成后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可书面申请验收，验收前须进行满意度调查，验收由采购人负责组织，验收专家不少于3人，因组织验收产生的相关费用均由</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承担。</w:t>
      </w:r>
    </w:p>
    <w:p w14:paraId="7F1F6C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七、时限要求</w:t>
      </w:r>
    </w:p>
    <w:p w14:paraId="65DA88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须提供一年运维服务，维护起始日期从合同签订后开始计算。</w:t>
      </w:r>
    </w:p>
    <w:p w14:paraId="44E322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付款方式：以实际签订合同为准。</w:t>
      </w:r>
    </w:p>
    <w:p w14:paraId="65E87677">
      <w:pPr>
        <w:pStyle w:val="15"/>
        <w:ind w:left="0" w:leftChars="0" w:firstLine="0" w:firstLineChars="0"/>
        <w:rPr>
          <w:rFonts w:hint="eastAsia" w:ascii="仿宋_GB2312" w:hAnsi="仿宋_GB2312" w:eastAsia="仿宋_GB2312" w:cs="仿宋_GB2312"/>
          <w:color w:val="auto"/>
          <w:sz w:val="36"/>
          <w:szCs w:val="36"/>
          <w:highlight w:val="none"/>
        </w:rPr>
      </w:pPr>
    </w:p>
    <w:p w14:paraId="45A9EB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14:paraId="66EEA7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color w:val="auto"/>
          <w:sz w:val="24"/>
          <w:szCs w:val="24"/>
          <w:highlight w:val="none"/>
        </w:rPr>
      </w:pPr>
    </w:p>
    <w:p w14:paraId="0D011A1E">
      <w:pPr>
        <w:pStyle w:val="14"/>
        <w:rPr>
          <w:rFonts w:hint="eastAsia" w:ascii="仿宋" w:hAnsi="仿宋" w:eastAsia="仿宋" w:cs="仿宋"/>
          <w:color w:val="auto"/>
          <w:sz w:val="24"/>
          <w:szCs w:val="32"/>
          <w:highlight w:val="none"/>
          <w:u w:val="none"/>
          <w:lang w:eastAsia="zh-CN"/>
        </w:rPr>
      </w:pPr>
    </w:p>
    <w:p w14:paraId="18C3AF44">
      <w:pPr>
        <w:rPr>
          <w:rFonts w:hint="eastAsia" w:ascii="仿宋" w:hAnsi="仿宋" w:eastAsia="仿宋" w:cs="仿宋"/>
          <w:color w:val="auto"/>
          <w:sz w:val="24"/>
          <w:szCs w:val="32"/>
          <w:highlight w:val="none"/>
          <w:u w:val="none"/>
          <w:lang w:eastAsia="zh-CN"/>
        </w:rPr>
      </w:pPr>
    </w:p>
    <w:p w14:paraId="7691925A">
      <w:pPr>
        <w:pStyle w:val="14"/>
        <w:rPr>
          <w:rFonts w:hint="eastAsia" w:ascii="仿宋" w:hAnsi="仿宋" w:eastAsia="仿宋" w:cs="仿宋"/>
          <w:color w:val="auto"/>
          <w:sz w:val="24"/>
          <w:szCs w:val="32"/>
          <w:highlight w:val="none"/>
          <w:u w:val="none"/>
          <w:lang w:eastAsia="zh-CN"/>
        </w:rPr>
      </w:pPr>
    </w:p>
    <w:p w14:paraId="02D7F608">
      <w:pPr>
        <w:rPr>
          <w:rFonts w:hint="eastAsia" w:ascii="仿宋" w:hAnsi="仿宋" w:eastAsia="仿宋" w:cs="仿宋"/>
          <w:color w:val="auto"/>
          <w:highlight w:val="none"/>
          <w:lang w:eastAsia="zh-CN"/>
        </w:rPr>
      </w:pPr>
    </w:p>
    <w:p w14:paraId="21A8E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br w:type="page"/>
      </w:r>
    </w:p>
    <w:p w14:paraId="1FC9BAA4">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42" w:name="_Toc17696"/>
      <w:r>
        <w:rPr>
          <w:rFonts w:hint="eastAsia" w:ascii="仿宋" w:hAnsi="仿宋" w:eastAsia="仿宋" w:cs="仿宋"/>
          <w:b/>
          <w:color w:val="auto"/>
          <w:sz w:val="24"/>
          <w:szCs w:val="24"/>
          <w:highlight w:val="none"/>
          <w:shd w:val="clear" w:color="auto" w:fill="FFFFFF" w:themeFill="background1"/>
        </w:rPr>
        <w:t>第五章 响应文件格式</w:t>
      </w:r>
      <w:bookmarkEnd w:id="42"/>
    </w:p>
    <w:p w14:paraId="58DA57B4">
      <w:pPr>
        <w:spacing w:line="360" w:lineRule="auto"/>
        <w:rPr>
          <w:rFonts w:hint="eastAsia" w:ascii="仿宋" w:hAnsi="仿宋" w:eastAsia="仿宋" w:cs="仿宋"/>
          <w:b/>
          <w:color w:val="auto"/>
          <w:sz w:val="24"/>
          <w:szCs w:val="24"/>
          <w:highlight w:val="none"/>
          <w:shd w:val="clear" w:color="auto" w:fill="FFFFFF" w:themeFill="background1"/>
        </w:rPr>
      </w:pPr>
    </w:p>
    <w:p w14:paraId="2153CF87">
      <w:pPr>
        <w:spacing w:line="360" w:lineRule="auto"/>
        <w:rPr>
          <w:rFonts w:hint="eastAsia" w:ascii="仿宋" w:hAnsi="仿宋" w:eastAsia="仿宋" w:cs="仿宋"/>
          <w:b/>
          <w:color w:val="auto"/>
          <w:sz w:val="24"/>
          <w:szCs w:val="24"/>
          <w:highlight w:val="none"/>
          <w:shd w:val="clear" w:color="auto" w:fill="FFFFFF" w:themeFill="background1"/>
        </w:rPr>
      </w:pPr>
    </w:p>
    <w:p w14:paraId="006F246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197A03D3">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CA3008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1B693C00">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3CCD6B3">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2EF415F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08870">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56BA818B">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30F9A47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2ED13C2B">
      <w:pPr>
        <w:spacing w:line="360" w:lineRule="auto"/>
        <w:rPr>
          <w:rFonts w:hint="eastAsia" w:ascii="仿宋" w:hAnsi="仿宋" w:eastAsia="仿宋" w:cs="仿宋"/>
          <w:color w:val="auto"/>
          <w:sz w:val="24"/>
          <w:szCs w:val="24"/>
          <w:highlight w:val="none"/>
          <w:shd w:val="clear" w:color="auto" w:fill="FFFFFF" w:themeFill="background1"/>
        </w:rPr>
      </w:pPr>
    </w:p>
    <w:p w14:paraId="309368BC">
      <w:pPr>
        <w:spacing w:line="360" w:lineRule="auto"/>
        <w:rPr>
          <w:rFonts w:hint="eastAsia" w:ascii="仿宋" w:hAnsi="仿宋" w:eastAsia="仿宋" w:cs="仿宋"/>
          <w:color w:val="auto"/>
          <w:sz w:val="24"/>
          <w:szCs w:val="24"/>
          <w:highlight w:val="none"/>
          <w:shd w:val="clear" w:color="auto" w:fill="FFFFFF" w:themeFill="background1"/>
        </w:rPr>
      </w:pPr>
    </w:p>
    <w:p w14:paraId="7A990FA7">
      <w:pPr>
        <w:spacing w:line="360" w:lineRule="auto"/>
        <w:rPr>
          <w:rFonts w:hint="eastAsia" w:ascii="仿宋" w:hAnsi="仿宋" w:eastAsia="仿宋" w:cs="仿宋"/>
          <w:color w:val="auto"/>
          <w:sz w:val="24"/>
          <w:szCs w:val="24"/>
          <w:highlight w:val="none"/>
          <w:shd w:val="clear" w:color="auto" w:fill="FFFFFF" w:themeFill="background1"/>
        </w:rPr>
      </w:pPr>
    </w:p>
    <w:p w14:paraId="53A078E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3FF4D81A">
      <w:pPr>
        <w:spacing w:line="360" w:lineRule="auto"/>
        <w:rPr>
          <w:rFonts w:hint="eastAsia" w:ascii="仿宋" w:hAnsi="仿宋" w:eastAsia="仿宋" w:cs="仿宋"/>
          <w:color w:val="auto"/>
          <w:sz w:val="24"/>
          <w:szCs w:val="24"/>
          <w:highlight w:val="none"/>
          <w:shd w:val="clear" w:color="auto" w:fill="FFFFFF" w:themeFill="background1"/>
        </w:rPr>
      </w:pPr>
    </w:p>
    <w:p w14:paraId="6244285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0EB9A3F">
      <w:pPr>
        <w:spacing w:line="360" w:lineRule="auto"/>
        <w:rPr>
          <w:rFonts w:hint="eastAsia" w:ascii="仿宋" w:hAnsi="仿宋" w:eastAsia="仿宋" w:cs="仿宋"/>
          <w:color w:val="auto"/>
          <w:sz w:val="24"/>
          <w:szCs w:val="24"/>
          <w:highlight w:val="none"/>
          <w:shd w:val="clear" w:color="auto" w:fill="FFFFFF" w:themeFill="background1"/>
        </w:rPr>
      </w:pPr>
    </w:p>
    <w:p w14:paraId="1E8BD01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232168C5">
      <w:pPr>
        <w:spacing w:line="360" w:lineRule="auto"/>
        <w:rPr>
          <w:rFonts w:hint="eastAsia" w:ascii="仿宋" w:hAnsi="仿宋" w:eastAsia="仿宋" w:cs="仿宋"/>
          <w:color w:val="auto"/>
          <w:sz w:val="24"/>
          <w:szCs w:val="24"/>
          <w:highlight w:val="none"/>
          <w:shd w:val="clear" w:color="auto" w:fill="FFFFFF" w:themeFill="background1"/>
        </w:rPr>
      </w:pPr>
    </w:p>
    <w:p w14:paraId="71FED771">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32335CD0">
      <w:pPr>
        <w:spacing w:line="360" w:lineRule="auto"/>
        <w:rPr>
          <w:rFonts w:hint="eastAsia" w:ascii="仿宋" w:hAnsi="仿宋" w:eastAsia="仿宋" w:cs="仿宋"/>
          <w:color w:val="auto"/>
          <w:sz w:val="24"/>
          <w:szCs w:val="24"/>
          <w:highlight w:val="none"/>
          <w:shd w:val="clear" w:color="auto" w:fill="FFFFFF" w:themeFill="background1"/>
        </w:rPr>
      </w:pPr>
    </w:p>
    <w:p w14:paraId="6EA937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7BD9C36A">
      <w:pPr>
        <w:spacing w:line="360" w:lineRule="auto"/>
        <w:rPr>
          <w:rFonts w:hint="eastAsia" w:ascii="仿宋" w:hAnsi="仿宋" w:eastAsia="仿宋" w:cs="仿宋"/>
          <w:color w:val="auto"/>
          <w:sz w:val="24"/>
          <w:szCs w:val="24"/>
          <w:highlight w:val="none"/>
          <w:shd w:val="clear" w:color="auto" w:fill="FFFFFF" w:themeFill="background1"/>
        </w:rPr>
      </w:pPr>
    </w:p>
    <w:p w14:paraId="4592903B">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26B7992">
      <w:pPr>
        <w:spacing w:line="360" w:lineRule="auto"/>
        <w:rPr>
          <w:rFonts w:hint="eastAsia" w:ascii="仿宋" w:hAnsi="仿宋" w:eastAsia="仿宋" w:cs="仿宋"/>
          <w:color w:val="auto"/>
          <w:sz w:val="24"/>
          <w:szCs w:val="24"/>
          <w:highlight w:val="none"/>
          <w:shd w:val="clear" w:color="auto" w:fill="FFFFFF" w:themeFill="background1"/>
        </w:rPr>
      </w:pPr>
    </w:p>
    <w:p w14:paraId="671CF031">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67F3C657">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337F41B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3" w:name="_Toc38446469"/>
      <w:bookmarkStart w:id="44" w:name="_Toc38910521"/>
      <w:r>
        <w:rPr>
          <w:rFonts w:hint="eastAsia" w:ascii="仿宋" w:hAnsi="仿宋" w:eastAsia="仿宋" w:cs="仿宋"/>
          <w:color w:val="auto"/>
          <w:sz w:val="24"/>
          <w:szCs w:val="24"/>
          <w:highlight w:val="none"/>
          <w:shd w:val="clear" w:color="auto" w:fill="FFFFFF" w:themeFill="background1"/>
        </w:rPr>
        <w:t>目录</w:t>
      </w:r>
      <w:bookmarkEnd w:id="43"/>
      <w:bookmarkEnd w:id="44"/>
    </w:p>
    <w:p w14:paraId="57062FE9">
      <w:pPr>
        <w:spacing w:line="360" w:lineRule="auto"/>
        <w:rPr>
          <w:rFonts w:hint="eastAsia" w:ascii="仿宋" w:hAnsi="仿宋" w:eastAsia="仿宋" w:cs="仿宋"/>
          <w:bCs/>
          <w:color w:val="auto"/>
          <w:sz w:val="24"/>
          <w:szCs w:val="24"/>
          <w:highlight w:val="none"/>
          <w:shd w:val="clear" w:color="auto" w:fill="FFFFFF" w:themeFill="background1"/>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w:t>
      </w:r>
      <w:r>
        <w:rPr>
          <w:rFonts w:hint="eastAsia" w:ascii="仿宋" w:hAnsi="仿宋" w:eastAsia="仿宋" w:cs="仿宋"/>
          <w:color w:val="auto"/>
          <w:kern w:val="0"/>
          <w:sz w:val="24"/>
          <w:szCs w:val="24"/>
          <w:highlight w:val="none"/>
          <w:lang w:val="en-US" w:eastAsia="zh-CN"/>
        </w:rPr>
        <w:t>启</w:t>
      </w:r>
      <w:r>
        <w:rPr>
          <w:rFonts w:hint="eastAsia" w:ascii="仿宋" w:hAnsi="仿宋" w:eastAsia="仿宋" w:cs="仿宋"/>
          <w:color w:val="auto"/>
          <w:kern w:val="0"/>
          <w:sz w:val="24"/>
          <w:szCs w:val="24"/>
          <w:highlight w:val="none"/>
        </w:rPr>
        <w:t>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r>
        <w:rPr>
          <w:rFonts w:hint="eastAsia" w:ascii="仿宋" w:hAnsi="仿宋" w:eastAsia="仿宋" w:cs="仿宋"/>
          <w:bCs/>
          <w:color w:val="auto"/>
          <w:sz w:val="24"/>
          <w:szCs w:val="24"/>
          <w:highlight w:val="none"/>
          <w:shd w:val="clear" w:color="auto" w:fill="FFFFFF" w:themeFill="background1"/>
          <w:lang w:eastAsia="zh-CN"/>
        </w:rPr>
        <w:t>响应函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w:t>
      </w:r>
      <w:r>
        <w:rPr>
          <w:rFonts w:hint="eastAsia" w:ascii="仿宋" w:hAnsi="仿宋" w:eastAsia="仿宋" w:cs="仿宋"/>
          <w:bCs/>
          <w:color w:val="auto"/>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rPr>
        <w:t>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近年类似项目情况表</w:t>
      </w:r>
    </w:p>
    <w:p w14:paraId="266195C6">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十、项目负责人简历表</w:t>
      </w:r>
    </w:p>
    <w:p w14:paraId="0A8775A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十一、拟派主要服务人员情况表</w:t>
      </w:r>
    </w:p>
    <w:p w14:paraId="7769A88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十二、服务方案</w:t>
      </w:r>
    </w:p>
    <w:p w14:paraId="345D7C08">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十三、保证金缴纳证明材料</w:t>
      </w:r>
    </w:p>
    <w:p w14:paraId="1CA196E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十四、</w:t>
      </w:r>
      <w:r>
        <w:rPr>
          <w:rFonts w:hint="eastAsia" w:ascii="仿宋" w:hAnsi="仿宋" w:eastAsia="仿宋" w:cs="仿宋"/>
          <w:color w:val="auto"/>
          <w:kern w:val="0"/>
          <w:sz w:val="24"/>
          <w:szCs w:val="24"/>
          <w:highlight w:val="none"/>
        </w:rPr>
        <w:t>其它需要提交的资料</w:t>
      </w:r>
    </w:p>
    <w:p w14:paraId="02D8371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ab/>
      </w:r>
    </w:p>
    <w:p w14:paraId="6505B67D">
      <w:pPr>
        <w:spacing w:line="360" w:lineRule="auto"/>
        <w:rPr>
          <w:rFonts w:hint="eastAsia" w:ascii="仿宋" w:hAnsi="仿宋" w:eastAsia="仿宋" w:cs="仿宋"/>
          <w:bCs/>
          <w:color w:val="auto"/>
          <w:sz w:val="24"/>
          <w:szCs w:val="24"/>
          <w:highlight w:val="none"/>
          <w:shd w:val="clear" w:color="auto" w:fill="FFFFFF" w:themeFill="background1"/>
        </w:rPr>
      </w:pPr>
    </w:p>
    <w:p w14:paraId="5BACEB8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61C54233">
      <w:pP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br w:type="page"/>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bookmarkStart w:id="45" w:name="_Toc22190"/>
      <w:bookmarkStart w:id="46" w:name="_Toc1962"/>
      <w:bookmarkStart w:id="47" w:name="_Toc664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eastAsia="zh-CN"/>
        </w:rPr>
        <w:t>启</w:t>
      </w:r>
      <w:r>
        <w:rPr>
          <w:rFonts w:hint="eastAsia" w:ascii="仿宋" w:hAnsi="仿宋" w:eastAsia="仿宋" w:cs="仿宋"/>
          <w:b/>
          <w:color w:val="auto"/>
          <w:sz w:val="24"/>
          <w:szCs w:val="24"/>
          <w:highlight w:val="none"/>
        </w:rPr>
        <w:t>一览表</w:t>
      </w:r>
      <w:bookmarkEnd w:id="45"/>
      <w:bookmarkEnd w:id="46"/>
      <w:bookmarkEnd w:id="47"/>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43"/>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eastAsia"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2"/>
              <w:ind w:left="0" w:leftChars="0" w:firstLine="0" w:firstLineChars="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lang w:val="en-US" w:eastAsia="zh-CN" w:bidi="ar-SA"/>
              </w:rPr>
              <w:t>小写：</w:t>
            </w:r>
            <w:r>
              <w:rPr>
                <w:rFonts w:hint="eastAsia" w:ascii="仿宋" w:hAnsi="仿宋" w:eastAsia="仿宋" w:cs="仿宋"/>
                <w:bCs/>
                <w:color w:val="auto"/>
                <w:kern w:val="2"/>
                <w:sz w:val="24"/>
                <w:szCs w:val="24"/>
                <w:highlight w:val="none"/>
                <w:u w:val="single"/>
                <w:lang w:val="en-US" w:eastAsia="zh-CN" w:bidi="ar-SA"/>
              </w:rPr>
              <w:t xml:space="preserve">             元</w:t>
            </w:r>
          </w:p>
          <w:p w14:paraId="04AED564">
            <w:pPr>
              <w:rPr>
                <w:rFonts w:hint="eastAsia" w:ascii="仿宋" w:hAnsi="仿宋" w:eastAsia="仿宋" w:cs="仿宋"/>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大写：</w:t>
            </w:r>
            <w:r>
              <w:rPr>
                <w:rFonts w:hint="eastAsia" w:ascii="仿宋" w:hAnsi="仿宋" w:eastAsia="仿宋" w:cs="仿宋"/>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1DE7F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32"/>
                <w:highlight w:val="none"/>
                <w:u w:val="none"/>
                <w:lang w:val="en-US" w:eastAsia="zh-CN"/>
              </w:rPr>
              <w:t>成交供应商须提供一年运维服务，维护起始日期从合同签订后开始计算</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自响应截止之日</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42"/>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C23F43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48" w:name="_Toc507586166"/>
      <w:bookmarkStart w:id="49" w:name="_Toc533503181"/>
      <w:bookmarkStart w:id="50" w:name="_Toc38446470"/>
      <w:bookmarkStart w:id="51" w:name="_Toc16674"/>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48"/>
      <w:bookmarkEnd w:id="49"/>
      <w:bookmarkEnd w:id="50"/>
      <w:r>
        <w:rPr>
          <w:rFonts w:hint="eastAsia" w:ascii="仿宋" w:hAnsi="仿宋" w:eastAsia="仿宋" w:cs="仿宋"/>
          <w:b/>
          <w:color w:val="auto"/>
          <w:sz w:val="24"/>
          <w:szCs w:val="24"/>
          <w:highlight w:val="none"/>
          <w:shd w:val="clear" w:color="auto" w:fill="FFFFFF" w:themeFill="background1"/>
          <w:lang w:eastAsia="zh-CN"/>
        </w:rPr>
        <w:t>响应函</w:t>
      </w:r>
      <w:bookmarkEnd w:id="51"/>
    </w:p>
    <w:p w14:paraId="12F1D0C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，遵照《中华人民共和国政府采购法》等有关法律法规的规定，经考察现场和充分研究贵方的</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lang w:eastAsia="zh-CN"/>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有效期内对我方具有约束力，如果我方在</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有效期内撤销</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8、我方愿意提供贵方可能要求的与采购有关的一切数据或资料，完全理解贵方不一定接受最低报价的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24289400">
      <w:pP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52" w:name="_Toc507586169"/>
      <w:bookmarkStart w:id="53" w:name="_Toc533503184"/>
      <w:bookmarkStart w:id="54" w:name="_Toc38446474"/>
    </w:p>
    <w:p w14:paraId="0077770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5" w:name="_Toc27997"/>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eastAsia="zh-CN"/>
        </w:rPr>
        <w:t>响应价格</w:t>
      </w:r>
      <w:r>
        <w:rPr>
          <w:rFonts w:hint="eastAsia" w:ascii="仿宋" w:hAnsi="仿宋" w:eastAsia="仿宋" w:cs="仿宋"/>
          <w:b/>
          <w:color w:val="auto"/>
          <w:sz w:val="24"/>
          <w:szCs w:val="24"/>
          <w:highlight w:val="none"/>
          <w:shd w:val="clear" w:color="auto" w:fill="FFFFFF" w:themeFill="background1"/>
        </w:rPr>
        <w:t>明细表</w:t>
      </w:r>
      <w:bookmarkEnd w:id="55"/>
    </w:p>
    <w:tbl>
      <w:tblPr>
        <w:tblStyle w:val="43"/>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EFB527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3282" w:type="dxa"/>
            <w:vAlign w:val="center"/>
          </w:tcPr>
          <w:p w14:paraId="5653C1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名称</w:t>
            </w:r>
          </w:p>
        </w:tc>
        <w:tc>
          <w:tcPr>
            <w:tcW w:w="2194" w:type="dxa"/>
            <w:vAlign w:val="center"/>
          </w:tcPr>
          <w:p w14:paraId="6DDB210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小计（元）</w:t>
            </w:r>
          </w:p>
        </w:tc>
        <w:tc>
          <w:tcPr>
            <w:tcW w:w="1560" w:type="dxa"/>
            <w:vAlign w:val="center"/>
          </w:tcPr>
          <w:p w14:paraId="0875F1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D7BB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3282" w:type="dxa"/>
            <w:vAlign w:val="center"/>
          </w:tcPr>
          <w:p w14:paraId="1C5522E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C9D0E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E9B42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3A3053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3282" w:type="dxa"/>
            <w:vAlign w:val="center"/>
          </w:tcPr>
          <w:p w14:paraId="3A2CBEA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40CD96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A8FB1F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AFA7F8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3282" w:type="dxa"/>
            <w:vAlign w:val="center"/>
          </w:tcPr>
          <w:p w14:paraId="60570C5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0F8808D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53D322D6">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1DBEB1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3282" w:type="dxa"/>
            <w:vAlign w:val="center"/>
          </w:tcPr>
          <w:p w14:paraId="5576394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287977D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401ED9E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C91A64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c>
          <w:tcPr>
            <w:tcW w:w="3282" w:type="dxa"/>
            <w:vAlign w:val="center"/>
          </w:tcPr>
          <w:p w14:paraId="205BC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94" w:type="dxa"/>
            <w:vAlign w:val="center"/>
          </w:tcPr>
          <w:p w14:paraId="77DE4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08BC9AB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6887679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合计</w:t>
            </w:r>
            <w:r>
              <w:rPr>
                <w:rFonts w:hint="eastAsia" w:ascii="仿宋" w:hAnsi="仿宋" w:eastAsia="仿宋" w:cs="仿宋"/>
                <w:color w:val="auto"/>
                <w:szCs w:val="21"/>
                <w:highlight w:val="none"/>
                <w:shd w:val="clear" w:color="auto" w:fill="FFFFFF" w:themeFill="background1"/>
              </w:rPr>
              <w:t>（元）</w:t>
            </w:r>
          </w:p>
        </w:tc>
        <w:tc>
          <w:tcPr>
            <w:tcW w:w="2194" w:type="dxa"/>
            <w:vAlign w:val="center"/>
          </w:tcPr>
          <w:p w14:paraId="763DD20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560" w:type="dxa"/>
            <w:vAlign w:val="center"/>
          </w:tcPr>
          <w:p w14:paraId="75C7F45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47AE9F4">
      <w:pPr>
        <w:spacing w:line="360" w:lineRule="auto"/>
        <w:rPr>
          <w:rFonts w:hint="eastAsia" w:ascii="仿宋" w:hAnsi="仿宋" w:eastAsia="仿宋" w:cs="仿宋"/>
          <w:color w:val="auto"/>
          <w:highlight w:val="none"/>
          <w:shd w:val="clear" w:color="auto" w:fill="FFFFFF" w:themeFill="background1"/>
        </w:rPr>
      </w:pPr>
    </w:p>
    <w:p w14:paraId="4B1A5A59">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注：</w:t>
      </w:r>
    </w:p>
    <w:p w14:paraId="5AB18B59">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1、供应商填报</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合计应与</w:t>
      </w:r>
      <w:r>
        <w:rPr>
          <w:rFonts w:hint="eastAsia" w:ascii="仿宋" w:hAnsi="仿宋" w:eastAsia="仿宋" w:cs="仿宋"/>
          <w:color w:val="auto"/>
          <w:highlight w:val="none"/>
          <w:shd w:val="clear" w:color="auto" w:fill="FFFFFF" w:themeFill="background1"/>
          <w:lang w:eastAsia="zh-CN"/>
        </w:rPr>
        <w:t>响应函</w:t>
      </w:r>
      <w:r>
        <w:rPr>
          <w:rFonts w:hint="eastAsia" w:ascii="仿宋" w:hAnsi="仿宋" w:eastAsia="仿宋" w:cs="仿宋"/>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2、供应商的服务只允许有一个报价，采购人不接受有任何选择的报价。</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color w:val="auto"/>
          <w:highlight w:val="none"/>
          <w:shd w:val="clear" w:color="auto" w:fill="FFFFFF" w:themeFill="background1"/>
          <w:lang w:eastAsia="zh-CN"/>
        </w:rPr>
        <w:t>响应价格</w:t>
      </w:r>
      <w:r>
        <w:rPr>
          <w:rFonts w:hint="eastAsia" w:ascii="仿宋" w:hAnsi="仿宋" w:eastAsia="仿宋" w:cs="仿宋"/>
          <w:color w:val="auto"/>
          <w:highlight w:val="none"/>
          <w:shd w:val="clear" w:color="auto" w:fill="FFFFFF" w:themeFill="background1"/>
        </w:rPr>
        <w:t>中。</w:t>
      </w:r>
    </w:p>
    <w:p w14:paraId="60479090">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84AE30E">
      <w:pPr>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C37369D">
      <w:pPr>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917A5EC">
      <w:pP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DDAB73B">
      <w:pPr>
        <w:rPr>
          <w:rFonts w:hint="eastAsia" w:ascii="仿宋" w:hAnsi="仿宋" w:eastAsia="仿宋" w:cs="仿宋"/>
          <w:color w:val="auto"/>
          <w:highlight w:val="none"/>
          <w:lang w:val="en-US" w:eastAsia="zh-CN"/>
        </w:rPr>
        <w:sectPr>
          <w:headerReference r:id="rId8" w:type="default"/>
          <w:footerReference r:id="rId9" w:type="default"/>
          <w:pgSz w:w="11910" w:h="16840"/>
          <w:pgMar w:top="1440" w:right="1080" w:bottom="1440" w:left="1080" w:header="0" w:footer="1036" w:gutter="0"/>
          <w:pgNumType w:fmt="decimal"/>
          <w:cols w:space="720" w:num="1"/>
        </w:sectPr>
      </w:pPr>
    </w:p>
    <w:p w14:paraId="765377CD">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6" w:name="_Toc2836"/>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、商务条款偏离表</w:t>
      </w:r>
      <w:bookmarkEnd w:id="52"/>
      <w:bookmarkEnd w:id="53"/>
      <w:bookmarkEnd w:id="54"/>
      <w:bookmarkEnd w:id="56"/>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E9C479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56105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758D134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6C3787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4023B4F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BF2A9A">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65C4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AA954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7A0E5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2E7A1B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3C067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A721C8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49609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0DA44F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71C2F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F714D4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96DCC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5587D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79B9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A55C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573CE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ED40CE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0B268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349A7F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95952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E5447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7DBF4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A18F9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18B51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18A0D5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97D1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AF59DB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2E2DD6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D0791E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6E6B01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31E081F">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32F7FA2">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133A362">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105F65B">
      <w:pPr>
        <w:spacing w:line="360" w:lineRule="auto"/>
        <w:jc w:val="left"/>
        <w:rPr>
          <w:rFonts w:hint="eastAsia" w:ascii="仿宋" w:hAnsi="仿宋" w:eastAsia="仿宋" w:cs="仿宋"/>
          <w:color w:val="auto"/>
          <w:sz w:val="24"/>
          <w:szCs w:val="24"/>
          <w:highlight w:val="none"/>
          <w:shd w:val="clear" w:color="auto" w:fill="FFFFFF" w:themeFill="background1"/>
        </w:rPr>
      </w:pPr>
    </w:p>
    <w:p w14:paraId="078786B6">
      <w:pPr>
        <w:spacing w:line="360" w:lineRule="auto"/>
        <w:jc w:val="left"/>
        <w:rPr>
          <w:rFonts w:hint="eastAsia" w:ascii="仿宋" w:hAnsi="仿宋" w:eastAsia="仿宋" w:cs="仿宋"/>
          <w:color w:val="auto"/>
          <w:sz w:val="24"/>
          <w:szCs w:val="24"/>
          <w:highlight w:val="none"/>
          <w:shd w:val="clear" w:color="auto" w:fill="FFFFFF" w:themeFill="background1"/>
        </w:rPr>
      </w:pPr>
    </w:p>
    <w:p w14:paraId="21FE42AE">
      <w:pPr>
        <w:spacing w:line="360" w:lineRule="auto"/>
        <w:jc w:val="left"/>
        <w:rPr>
          <w:rFonts w:hint="eastAsia" w:ascii="仿宋" w:hAnsi="仿宋" w:eastAsia="仿宋" w:cs="仿宋"/>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20CE190">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57" w:name="_Toc23331"/>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、技术条款偏离表</w:t>
      </w:r>
      <w:bookmarkEnd w:id="57"/>
    </w:p>
    <w:tbl>
      <w:tblPr>
        <w:tblStyle w:val="43"/>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987421">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2CB02C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5A1AC8D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7FA4950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3BB147EE">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68436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57C6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F86DB6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D75A48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7A801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6343A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06F6C5">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D2296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CF98C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78D22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DAAD4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23FE63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7D260203">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3F8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073897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354A9F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3C1DD5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6A7CC5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140789B">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B8492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D6E10A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812C3A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7AFF503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E62E0E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057F72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E42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F6494D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A7D6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F592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9D0C0B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F462C5">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6868626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1A2ECC4D">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FC40B80">
      <w:pPr>
        <w:spacing w:line="360" w:lineRule="auto"/>
        <w:jc w:val="left"/>
        <w:rPr>
          <w:rFonts w:hint="eastAsia" w:ascii="仿宋" w:hAnsi="仿宋" w:eastAsia="仿宋" w:cs="仿宋"/>
          <w:color w:val="auto"/>
          <w:sz w:val="24"/>
          <w:szCs w:val="24"/>
          <w:highlight w:val="none"/>
          <w:shd w:val="clear" w:color="auto" w:fill="FFFFFF" w:themeFill="background1"/>
        </w:rPr>
      </w:pPr>
    </w:p>
    <w:p w14:paraId="28FBC943">
      <w:pPr>
        <w:spacing w:line="360" w:lineRule="auto"/>
        <w:jc w:val="left"/>
        <w:rPr>
          <w:rFonts w:hint="eastAsia" w:ascii="仿宋" w:hAnsi="仿宋" w:eastAsia="仿宋" w:cs="仿宋"/>
          <w:color w:val="auto"/>
          <w:sz w:val="24"/>
          <w:szCs w:val="24"/>
          <w:highlight w:val="none"/>
          <w:shd w:val="clear" w:color="auto" w:fill="FFFFFF" w:themeFill="background1"/>
        </w:rPr>
      </w:pPr>
    </w:p>
    <w:p w14:paraId="50FE12D4">
      <w:pPr>
        <w:spacing w:line="360" w:lineRule="auto"/>
        <w:jc w:val="left"/>
        <w:rPr>
          <w:rFonts w:hint="eastAsia" w:ascii="仿宋" w:hAnsi="仿宋" w:eastAsia="仿宋" w:cs="仿宋"/>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602672D">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58" w:name="_Toc32267"/>
      <w:bookmarkStart w:id="59" w:name="_Toc38446475"/>
      <w:bookmarkStart w:id="60" w:name="_Toc507586170"/>
      <w:bookmarkStart w:id="61" w:name="_Toc533503185"/>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58"/>
      <w:bookmarkEnd w:id="59"/>
      <w:bookmarkEnd w:id="60"/>
      <w:bookmarkEnd w:id="61"/>
    </w:p>
    <w:p w14:paraId="504D0D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BC8F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ABD29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531BAC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A9CF3F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0B27A94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185B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616E2A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4331D71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04090F5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AA7A25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00965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C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88DFB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p w14:paraId="09EF157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3"/>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B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CC0E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19FF5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740D00C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CCFB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D0071F">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958253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88F907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2449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71739C6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62" w:name="_Toc507586171"/>
      <w:bookmarkStart w:id="63" w:name="_Toc38446476"/>
      <w:bookmarkStart w:id="64" w:name="_Toc533503186"/>
      <w:bookmarkStart w:id="65" w:name="_Toc28679"/>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、法定代表人授权委托书</w:t>
      </w:r>
      <w:bookmarkEnd w:id="62"/>
      <w:bookmarkEnd w:id="63"/>
      <w:bookmarkEnd w:id="64"/>
      <w:bookmarkEnd w:id="65"/>
    </w:p>
    <w:p w14:paraId="0F58F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562C63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项目名称）的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，以本公司名义处理一切与之有关的事务，其法律后果由我方承担。</w:t>
      </w:r>
    </w:p>
    <w:p w14:paraId="1B201CC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E7A7E41">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C9944F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CB7AD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8218A6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81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10748C">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（正面）</w:t>
            </w:r>
          </w:p>
        </w:tc>
      </w:tr>
    </w:tbl>
    <w:tbl>
      <w:tblPr>
        <w:tblStyle w:val="43"/>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7D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BE8828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w:t>
            </w:r>
            <w:r>
              <w:rPr>
                <w:rFonts w:hint="eastAsia" w:ascii="仿宋" w:hAnsi="仿宋" w:eastAsia="仿宋" w:cs="仿宋"/>
                <w:color w:val="auto"/>
                <w:kern w:val="0"/>
                <w:sz w:val="24"/>
                <w:szCs w:val="24"/>
                <w:highlight w:val="none"/>
                <w:shd w:val="clear" w:color="auto" w:fill="FFFFFF" w:themeFill="background1"/>
                <w:lang w:eastAsia="zh-CN"/>
              </w:rPr>
              <w:t>扫描件</w:t>
            </w:r>
            <w:r>
              <w:rPr>
                <w:rFonts w:hint="eastAsia" w:ascii="仿宋" w:hAnsi="仿宋" w:eastAsia="仿宋" w:cs="仿宋"/>
                <w:color w:val="auto"/>
                <w:kern w:val="0"/>
                <w:sz w:val="24"/>
                <w:szCs w:val="24"/>
                <w:highlight w:val="none"/>
                <w:shd w:val="clear" w:color="auto" w:fill="FFFFFF" w:themeFill="background1"/>
              </w:rPr>
              <w:t>（反面）</w:t>
            </w:r>
          </w:p>
        </w:tc>
      </w:tr>
    </w:tbl>
    <w:p w14:paraId="4217791E">
      <w:pPr>
        <w:spacing w:line="360" w:lineRule="auto"/>
        <w:rPr>
          <w:rFonts w:hint="eastAsia" w:ascii="仿宋" w:hAnsi="仿宋" w:eastAsia="仿宋" w:cs="仿宋"/>
          <w:vanish/>
          <w:color w:val="auto"/>
          <w:sz w:val="24"/>
          <w:szCs w:val="24"/>
          <w:highlight w:val="none"/>
          <w:shd w:val="clear" w:color="auto" w:fill="FFFFFF" w:themeFill="background1"/>
        </w:rPr>
      </w:pPr>
    </w:p>
    <w:p w14:paraId="28366B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740841A">
      <w:pPr>
        <w:widowControl/>
        <w:shd w:val="clear" w:color="auto" w:fill="FFFFFF"/>
        <w:snapToGrid w:val="0"/>
        <w:spacing w:line="360" w:lineRule="auto"/>
        <w:jc w:val="left"/>
        <w:rPr>
          <w:rFonts w:hint="eastAsia" w:ascii="仿宋" w:hAnsi="仿宋" w:eastAsia="仿宋" w:cs="仿宋"/>
          <w:b/>
          <w:bCs/>
          <w:color w:val="auto"/>
          <w:kern w:val="0"/>
          <w:sz w:val="24"/>
          <w:szCs w:val="24"/>
          <w:highlight w:val="none"/>
          <w:shd w:val="clear" w:color="auto" w:fill="FFFFFF" w:themeFill="background1"/>
        </w:rPr>
      </w:pPr>
    </w:p>
    <w:p w14:paraId="5DB811E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BA280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93F20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DE0AD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3F7BC1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763D54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58ABC4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75A9D0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6" w:name="_Toc507586173"/>
      <w:r>
        <w:rPr>
          <w:rFonts w:hint="eastAsia" w:ascii="仿宋" w:hAnsi="仿宋" w:eastAsia="仿宋" w:cs="仿宋"/>
          <w:b/>
          <w:color w:val="auto"/>
          <w:sz w:val="24"/>
          <w:szCs w:val="24"/>
          <w:highlight w:val="none"/>
          <w:shd w:val="clear" w:color="auto" w:fill="FFFFFF" w:themeFill="background1"/>
        </w:rPr>
        <w:br w:type="page"/>
      </w:r>
      <w:bookmarkStart w:id="67" w:name="_Toc533503189"/>
      <w:bookmarkStart w:id="68" w:name="_Toc3624"/>
      <w:bookmarkStart w:id="69" w:name="_Toc38446478"/>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供应商资格条件证明材料</w:t>
      </w:r>
      <w:bookmarkEnd w:id="66"/>
      <w:bookmarkEnd w:id="67"/>
      <w:bookmarkEnd w:id="68"/>
      <w:bookmarkEnd w:id="69"/>
    </w:p>
    <w:p w14:paraId="2B4E6D9D">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7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FD67D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508E7D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068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1067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2CBE02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7EF09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421860B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9F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BFE36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1D5FFA4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8CEE49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FE384C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E3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ACDA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2A203CA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5DC874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554A2D8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9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DB4F8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4583D53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3411EC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DF1C63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0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AD7B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417C5CF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EE9CEE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7DCCB1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A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3BC7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1612D67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D35E82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2BCF878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C0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9C0C2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46F2E0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92F649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60A4F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3B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6326A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51E3B65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BD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49C60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3B2552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6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F45FB5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0833449C">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2EE31FDC">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CDC569C">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B9E3FB6">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B740391">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1FC3216B">
      <w:pPr>
        <w:rPr>
          <w:rFonts w:hint="eastAsia" w:ascii="仿宋" w:hAnsi="仿宋" w:eastAsia="仿宋" w:cs="仿宋"/>
          <w:color w:val="auto"/>
          <w:highlight w:val="none"/>
          <w:shd w:val="clear" w:color="auto" w:fill="FFFFFF" w:themeFill="background1"/>
        </w:rPr>
      </w:pPr>
      <w:bookmarkStart w:id="70" w:name="_Toc107422184"/>
      <w:bookmarkStart w:id="71" w:name="_Toc11207"/>
      <w:bookmarkStart w:id="72" w:name="_Toc32366"/>
      <w:bookmarkStart w:id="73" w:name="_Toc109143671"/>
      <w:bookmarkStart w:id="74" w:name="_Toc111556487"/>
    </w:p>
    <w:p w14:paraId="2E4ADFE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5" w:name="_Toc11608"/>
      <w:bookmarkStart w:id="76" w:name="_Toc29377"/>
      <w:bookmarkStart w:id="77" w:name="_Toc8342"/>
      <w:bookmarkStart w:id="78" w:name="_Toc17516"/>
      <w:bookmarkStart w:id="79" w:name="_Toc24572"/>
      <w:bookmarkStart w:id="80" w:name="_Toc18532"/>
      <w:bookmarkStart w:id="81" w:name="_Toc2804"/>
      <w:bookmarkStart w:id="82" w:name="_Toc156750399"/>
      <w:bookmarkStart w:id="83" w:name="_Toc15861"/>
      <w:bookmarkStart w:id="84" w:name="_Toc6417"/>
      <w:bookmarkStart w:id="85" w:name="_Toc30680"/>
      <w:bookmarkStart w:id="86" w:name="_Toc20683"/>
      <w:bookmarkStart w:id="87" w:name="_Toc19929"/>
      <w:bookmarkStart w:id="88" w:name="_Toc18683"/>
      <w:bookmarkStart w:id="89" w:name="_Toc20057"/>
      <w:bookmarkStart w:id="90" w:name="_Toc22428"/>
      <w:bookmarkStart w:id="91" w:name="_Toc113901849"/>
      <w:bookmarkStart w:id="92" w:name="_Toc1895"/>
      <w:bookmarkStart w:id="93" w:name="_Toc9314"/>
      <w:bookmarkStart w:id="94" w:name="_Toc128476878"/>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.1、</w:t>
      </w:r>
      <w:bookmarkEnd w:id="70"/>
      <w:bookmarkEnd w:id="71"/>
      <w:bookmarkEnd w:id="72"/>
      <w:bookmarkEnd w:id="73"/>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E9BE812">
      <w:pPr>
        <w:spacing w:line="360" w:lineRule="auto"/>
        <w:rPr>
          <w:rFonts w:hint="eastAsia" w:ascii="仿宋" w:hAnsi="仿宋" w:eastAsia="仿宋" w:cs="仿宋"/>
          <w:color w:val="auto"/>
          <w:sz w:val="24"/>
          <w:szCs w:val="24"/>
          <w:highlight w:val="none"/>
          <w:shd w:val="clear" w:color="auto" w:fill="FFFFFF" w:themeFill="background1"/>
        </w:rPr>
      </w:pPr>
    </w:p>
    <w:p w14:paraId="19EF005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2226D53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1DC5C9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611FF4D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3469A60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52B99C1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A82D7A">
      <w:pPr>
        <w:spacing w:line="360" w:lineRule="auto"/>
        <w:rPr>
          <w:rFonts w:hint="eastAsia" w:ascii="仿宋" w:hAnsi="仿宋" w:eastAsia="仿宋" w:cs="仿宋"/>
          <w:color w:val="auto"/>
          <w:sz w:val="24"/>
          <w:szCs w:val="24"/>
          <w:highlight w:val="none"/>
          <w:shd w:val="clear" w:color="auto" w:fill="FFFFFF" w:themeFill="background1"/>
        </w:rPr>
      </w:pPr>
    </w:p>
    <w:p w14:paraId="48EBA028">
      <w:pPr>
        <w:spacing w:line="360" w:lineRule="auto"/>
        <w:rPr>
          <w:rFonts w:hint="eastAsia" w:ascii="仿宋" w:hAnsi="仿宋" w:eastAsia="仿宋" w:cs="仿宋"/>
          <w:color w:val="auto"/>
          <w:sz w:val="24"/>
          <w:szCs w:val="24"/>
          <w:highlight w:val="none"/>
          <w:shd w:val="clear" w:color="auto" w:fill="FFFFFF" w:themeFill="background1"/>
        </w:rPr>
      </w:pPr>
    </w:p>
    <w:p w14:paraId="48BE3BA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9992F3">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95" w:name="_Toc11592"/>
      <w:bookmarkStart w:id="96" w:name="_Toc20271"/>
      <w:bookmarkStart w:id="97" w:name="_Toc2389"/>
      <w:bookmarkStart w:id="98" w:name="_Toc18595"/>
      <w:bookmarkStart w:id="99" w:name="_Toc113901850"/>
      <w:bookmarkStart w:id="100" w:name="_Toc32279"/>
      <w:bookmarkStart w:id="101" w:name="_Toc18504"/>
      <w:bookmarkStart w:id="102" w:name="_Toc13496"/>
      <w:bookmarkStart w:id="103" w:name="_Toc4484"/>
      <w:bookmarkStart w:id="104" w:name="_Toc128476879"/>
      <w:bookmarkStart w:id="105" w:name="_Toc22474"/>
      <w:bookmarkStart w:id="106" w:name="_Toc9294"/>
      <w:bookmarkStart w:id="107" w:name="_Toc10010"/>
      <w:bookmarkStart w:id="108" w:name="_Toc156750400"/>
      <w:bookmarkStart w:id="109" w:name="_Toc31191"/>
      <w:bookmarkStart w:id="110" w:name="_Toc21646"/>
      <w:bookmarkStart w:id="111" w:name="_Toc15683"/>
      <w:bookmarkStart w:id="112" w:name="_Toc24966"/>
      <w:bookmarkStart w:id="113" w:name="_Toc25980"/>
      <w:bookmarkStart w:id="114" w:name="_Toc10441"/>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.2、</w:t>
      </w:r>
      <w:bookmarkEnd w:id="74"/>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0CC6935">
      <w:pPr>
        <w:pStyle w:val="14"/>
        <w:spacing w:after="0" w:line="360" w:lineRule="auto"/>
        <w:rPr>
          <w:rFonts w:hint="eastAsia" w:ascii="仿宋" w:hAnsi="仿宋" w:eastAsia="仿宋" w:cs="仿宋"/>
          <w:color w:val="auto"/>
          <w:spacing w:val="10"/>
          <w:szCs w:val="24"/>
          <w:highlight w:val="none"/>
          <w:shd w:val="clear" w:color="auto" w:fill="FFFFFF" w:themeFill="background1"/>
        </w:rPr>
      </w:pPr>
    </w:p>
    <w:p w14:paraId="230E55BA">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69E3D49E">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w:t>
      </w:r>
      <w:r>
        <w:rPr>
          <w:rFonts w:hint="eastAsia" w:ascii="仿宋" w:hAnsi="仿宋" w:eastAsia="仿宋" w:cs="仿宋"/>
          <w:color w:val="auto"/>
          <w:spacing w:val="10"/>
          <w:szCs w:val="24"/>
          <w:highlight w:val="none"/>
          <w:shd w:val="clear" w:color="auto" w:fill="FFFFFF" w:themeFill="background1"/>
          <w:lang w:eastAsia="zh-CN"/>
        </w:rPr>
        <w:t>2024年度或2025年度</w:t>
      </w:r>
      <w:r>
        <w:rPr>
          <w:rFonts w:hint="eastAsia" w:ascii="仿宋" w:hAnsi="仿宋" w:eastAsia="仿宋" w:cs="仿宋"/>
          <w:color w:val="auto"/>
          <w:spacing w:val="10"/>
          <w:szCs w:val="24"/>
          <w:highlight w:val="none"/>
          <w:shd w:val="clear" w:color="auto" w:fill="FFFFFF" w:themeFill="background1"/>
        </w:rPr>
        <w:t>，包括“四表-注”，即资产负债表、利润表、现金流量表、所有者权益变动表及其附注）或</w:t>
      </w:r>
      <w:r>
        <w:rPr>
          <w:rFonts w:hint="eastAsia" w:ascii="仿宋" w:hAnsi="仿宋" w:eastAsia="仿宋" w:cs="仿宋"/>
          <w:color w:val="auto"/>
          <w:spacing w:val="10"/>
          <w:szCs w:val="24"/>
          <w:highlight w:val="none"/>
          <w:shd w:val="clear" w:color="auto" w:fill="FFFFFF" w:themeFill="background1"/>
          <w:lang w:eastAsia="zh-CN"/>
        </w:rPr>
        <w:t>银行出具的资信证明（响应文件递交截止之日前六个月内任意一个月，不限制采购人主体）</w:t>
      </w:r>
      <w:r>
        <w:rPr>
          <w:rFonts w:hint="eastAsia" w:ascii="仿宋" w:hAnsi="仿宋" w:eastAsia="仿宋" w:cs="仿宋"/>
          <w:color w:val="auto"/>
          <w:spacing w:val="10"/>
          <w:szCs w:val="24"/>
          <w:highlight w:val="none"/>
          <w:shd w:val="clear" w:color="auto" w:fill="FFFFFF" w:themeFill="background1"/>
        </w:rPr>
        <w:t>。</w:t>
      </w:r>
    </w:p>
    <w:p w14:paraId="0B81C351">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kern w:val="0"/>
          <w:szCs w:val="21"/>
          <w:highlight w:val="none"/>
        </w:rPr>
        <w:t>六</w:t>
      </w:r>
      <w:r>
        <w:rPr>
          <w:rFonts w:hint="eastAsia" w:ascii="仿宋" w:hAnsi="仿宋" w:eastAsia="仿宋" w:cs="仿宋"/>
          <w:color w:val="auto"/>
          <w:spacing w:val="10"/>
          <w:szCs w:val="24"/>
          <w:highlight w:val="none"/>
          <w:shd w:val="clear" w:color="auto" w:fill="FFFFFF" w:themeFill="background1"/>
        </w:rPr>
        <w:t>个月（以响应文件递交截止之日为期限）的供应商无需提供。</w:t>
      </w:r>
    </w:p>
    <w:p w14:paraId="5DC6259D">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145BCBE7">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AB1D9AD">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2F06A9A0">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7579B10">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8DE1185">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4C9968B">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595FC5B9">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794E0A6B">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6393C13A">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161DFE6">
      <w:pPr>
        <w:pStyle w:val="14"/>
        <w:spacing w:after="0"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E44C0E6">
      <w:pPr>
        <w:widowControl/>
        <w:jc w:val="left"/>
        <w:rPr>
          <w:rFonts w:hint="eastAsia" w:ascii="仿宋" w:hAnsi="仿宋" w:eastAsia="仿宋" w:cs="仿宋"/>
          <w:b/>
          <w:color w:val="auto"/>
          <w:sz w:val="24"/>
          <w:szCs w:val="24"/>
          <w:highlight w:val="none"/>
          <w:shd w:val="clear" w:color="auto" w:fill="FFFFFF" w:themeFill="background1"/>
        </w:rPr>
      </w:pPr>
      <w:bookmarkStart w:id="115" w:name="_Toc128476880"/>
      <w:bookmarkStart w:id="116" w:name="_Toc30348"/>
      <w:bookmarkStart w:id="117" w:name="_Toc113901851"/>
      <w:bookmarkStart w:id="118" w:name="_Toc111556488"/>
      <w:r>
        <w:rPr>
          <w:rFonts w:hint="eastAsia" w:ascii="仿宋" w:hAnsi="仿宋" w:eastAsia="仿宋" w:cs="仿宋"/>
          <w:b/>
          <w:color w:val="auto"/>
          <w:sz w:val="24"/>
          <w:szCs w:val="24"/>
          <w:highlight w:val="none"/>
          <w:shd w:val="clear" w:color="auto" w:fill="FFFFFF" w:themeFill="background1"/>
        </w:rPr>
        <w:br w:type="page"/>
      </w:r>
    </w:p>
    <w:p w14:paraId="5A8C16C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9" w:name="_Toc25066"/>
      <w:bookmarkStart w:id="120" w:name="_Toc25022"/>
      <w:bookmarkStart w:id="121" w:name="_Toc14318"/>
      <w:bookmarkStart w:id="122" w:name="_Toc10694"/>
      <w:bookmarkStart w:id="123" w:name="_Toc6914"/>
      <w:bookmarkStart w:id="124" w:name="_Toc26412"/>
      <w:bookmarkStart w:id="125" w:name="_Toc10802"/>
      <w:bookmarkStart w:id="126" w:name="_Toc15227"/>
      <w:bookmarkStart w:id="127" w:name="_Toc12437"/>
      <w:bookmarkStart w:id="128" w:name="_Toc30026"/>
      <w:bookmarkStart w:id="129" w:name="_Toc31257"/>
      <w:bookmarkStart w:id="130" w:name="_Toc19026"/>
      <w:bookmarkStart w:id="131" w:name="_Toc156750401"/>
      <w:bookmarkStart w:id="132" w:name="_Toc26275"/>
      <w:bookmarkStart w:id="133" w:name="_Toc11771"/>
      <w:bookmarkStart w:id="134" w:name="_Toc19442"/>
      <w:bookmarkStart w:id="135" w:name="_Toc9702"/>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115"/>
      <w:bookmarkEnd w:id="116"/>
      <w:bookmarkEnd w:id="11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20B5F29">
      <w:pPr>
        <w:spacing w:line="360" w:lineRule="auto"/>
        <w:rPr>
          <w:rFonts w:hint="eastAsia" w:ascii="仿宋" w:hAnsi="仿宋" w:eastAsia="仿宋" w:cs="仿宋"/>
          <w:color w:val="auto"/>
          <w:sz w:val="24"/>
          <w:szCs w:val="24"/>
          <w:highlight w:val="none"/>
          <w:shd w:val="clear" w:color="auto" w:fill="FFFFFF" w:themeFill="background1"/>
        </w:rPr>
      </w:pPr>
    </w:p>
    <w:p w14:paraId="17E15A21">
      <w:pPr>
        <w:spacing w:line="360" w:lineRule="auto"/>
        <w:rPr>
          <w:rFonts w:hint="eastAsia" w:ascii="仿宋" w:hAnsi="仿宋" w:eastAsia="仿宋" w:cs="仿宋"/>
          <w:color w:val="auto"/>
          <w:sz w:val="24"/>
          <w:szCs w:val="24"/>
          <w:highlight w:val="none"/>
          <w:shd w:val="clear" w:color="auto" w:fill="FFFFFF" w:themeFill="background1"/>
        </w:rPr>
      </w:pPr>
    </w:p>
    <w:p w14:paraId="2302CC0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18"/>
      <w:r>
        <w:rPr>
          <w:rFonts w:hint="eastAsia" w:ascii="仿宋" w:hAnsi="仿宋" w:eastAsia="仿宋" w:cs="仿宋"/>
          <w:b/>
          <w:color w:val="auto"/>
          <w:sz w:val="24"/>
          <w:szCs w:val="24"/>
          <w:highlight w:val="none"/>
          <w:shd w:val="clear" w:color="auto" w:fill="FFFFFF" w:themeFill="background1"/>
        </w:rPr>
        <w:t>函</w:t>
      </w:r>
    </w:p>
    <w:p w14:paraId="7B76D96A">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5099C83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9336BB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23B94D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6E5BC87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609653C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3702713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DA1E66E">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5AA773D">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F2A4C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0F63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2D4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45819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9B293E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705479A">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F1319F6">
      <w:pPr>
        <w:spacing w:line="360" w:lineRule="auto"/>
        <w:rPr>
          <w:rFonts w:hint="eastAsia" w:ascii="仿宋" w:hAnsi="仿宋" w:eastAsia="仿宋" w:cs="仿宋"/>
          <w:color w:val="auto"/>
          <w:sz w:val="24"/>
          <w:szCs w:val="24"/>
          <w:highlight w:val="none"/>
          <w:shd w:val="clear" w:color="auto" w:fill="FFFFFF" w:themeFill="background1"/>
        </w:rPr>
      </w:pPr>
    </w:p>
    <w:p w14:paraId="317B0A14">
      <w:pPr>
        <w:spacing w:line="360" w:lineRule="auto"/>
        <w:rPr>
          <w:rFonts w:hint="eastAsia" w:ascii="仿宋" w:hAnsi="仿宋" w:eastAsia="仿宋" w:cs="仿宋"/>
          <w:color w:val="auto"/>
          <w:sz w:val="24"/>
          <w:szCs w:val="24"/>
          <w:highlight w:val="none"/>
          <w:shd w:val="clear" w:color="auto" w:fill="FFFFFF" w:themeFill="background1"/>
        </w:rPr>
      </w:pPr>
    </w:p>
    <w:p w14:paraId="45BED777">
      <w:pPr>
        <w:spacing w:line="360" w:lineRule="auto"/>
        <w:rPr>
          <w:rFonts w:hint="eastAsia" w:ascii="仿宋" w:hAnsi="仿宋" w:eastAsia="仿宋" w:cs="仿宋"/>
          <w:color w:val="auto"/>
          <w:sz w:val="24"/>
          <w:szCs w:val="24"/>
          <w:highlight w:val="none"/>
          <w:shd w:val="clear" w:color="auto" w:fill="FFFFFF" w:themeFill="background1"/>
        </w:rPr>
      </w:pPr>
    </w:p>
    <w:p w14:paraId="09059CD9">
      <w:pPr>
        <w:spacing w:line="360" w:lineRule="auto"/>
        <w:rPr>
          <w:rFonts w:hint="eastAsia" w:ascii="仿宋" w:hAnsi="仿宋" w:eastAsia="仿宋" w:cs="仿宋"/>
          <w:color w:val="auto"/>
          <w:sz w:val="24"/>
          <w:szCs w:val="24"/>
          <w:highlight w:val="none"/>
          <w:shd w:val="clear" w:color="auto" w:fill="FFFFFF" w:themeFill="background1"/>
        </w:rPr>
      </w:pPr>
    </w:p>
    <w:p w14:paraId="78A165AA">
      <w:pPr>
        <w:spacing w:line="360" w:lineRule="auto"/>
        <w:rPr>
          <w:rFonts w:hint="eastAsia" w:ascii="仿宋" w:hAnsi="仿宋" w:eastAsia="仿宋" w:cs="仿宋"/>
          <w:color w:val="auto"/>
          <w:sz w:val="24"/>
          <w:szCs w:val="24"/>
          <w:highlight w:val="none"/>
          <w:shd w:val="clear" w:color="auto" w:fill="FFFFFF" w:themeFill="background1"/>
        </w:rPr>
      </w:pPr>
    </w:p>
    <w:p w14:paraId="189A1248">
      <w:pPr>
        <w:spacing w:line="360" w:lineRule="auto"/>
        <w:rPr>
          <w:rFonts w:hint="eastAsia" w:ascii="仿宋" w:hAnsi="仿宋" w:eastAsia="仿宋" w:cs="仿宋"/>
          <w:color w:val="auto"/>
          <w:sz w:val="24"/>
          <w:szCs w:val="24"/>
          <w:highlight w:val="none"/>
          <w:shd w:val="clear" w:color="auto" w:fill="FFFFFF" w:themeFill="background1"/>
        </w:rPr>
      </w:pPr>
    </w:p>
    <w:p w14:paraId="307DD524">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7D72BDFA">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6" w:name="_Toc29214"/>
      <w:bookmarkStart w:id="137" w:name="_Toc18306"/>
      <w:bookmarkStart w:id="138" w:name="_Toc23067"/>
      <w:bookmarkStart w:id="139" w:name="_Toc16084"/>
      <w:bookmarkStart w:id="140" w:name="_Toc25190"/>
      <w:bookmarkStart w:id="141" w:name="_Toc113901852"/>
      <w:bookmarkStart w:id="142" w:name="_Toc8030"/>
      <w:bookmarkStart w:id="143" w:name="_Toc156750402"/>
      <w:bookmarkStart w:id="144" w:name="_Toc128476881"/>
      <w:bookmarkStart w:id="145" w:name="_Toc27352"/>
      <w:bookmarkStart w:id="146" w:name="_Toc16168"/>
      <w:bookmarkStart w:id="147" w:name="_Toc16519"/>
      <w:bookmarkStart w:id="148" w:name="_Toc24077"/>
      <w:bookmarkStart w:id="149" w:name="_Toc2931"/>
      <w:bookmarkStart w:id="150" w:name="_Toc9191"/>
      <w:bookmarkStart w:id="151" w:name="_Toc2437"/>
      <w:bookmarkStart w:id="152" w:name="_Toc24173"/>
      <w:bookmarkStart w:id="153" w:name="_Toc30447"/>
      <w:bookmarkStart w:id="154" w:name="_Toc5703"/>
      <w:bookmarkStart w:id="155" w:name="_Toc18842"/>
      <w:bookmarkStart w:id="156" w:name="_Toc111556490"/>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bookmarkEnd w:id="156"/>
    <w:p w14:paraId="13E7692B">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A80F3C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1F8F1F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389163A">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43718B14">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sz w:val="24"/>
          <w:szCs w:val="24"/>
          <w:highlight w:val="none"/>
          <w:shd w:val="clear" w:color="auto" w:fill="FFFFFF" w:themeFill="background1"/>
        </w:rPr>
        <w:t>，并承担因此引起的一切后果。我方对此声明负全部法律责任。</w:t>
      </w:r>
    </w:p>
    <w:p w14:paraId="16E1F870">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19D7AA01">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5C8B34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414758">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注：</w:t>
      </w:r>
    </w:p>
    <w:p w14:paraId="78E59336">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3C9A8A85">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5CC600E3">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65DFE9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C04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4043847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4971FAE">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CAB78E2">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D45087E">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9D1EB40">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57" w:name="_Toc3248"/>
      <w:bookmarkStart w:id="158" w:name="_Toc25682"/>
      <w:bookmarkStart w:id="159" w:name="_Toc23458"/>
      <w:bookmarkStart w:id="160" w:name="_Toc4228"/>
      <w:bookmarkStart w:id="161" w:name="_Toc156750403"/>
      <w:bookmarkStart w:id="162" w:name="_Toc15699"/>
      <w:bookmarkStart w:id="163" w:name="_Toc27822"/>
      <w:bookmarkStart w:id="164" w:name="_Toc128476882"/>
      <w:bookmarkStart w:id="165" w:name="_Toc22511"/>
      <w:bookmarkStart w:id="166" w:name="_Toc1758"/>
      <w:bookmarkStart w:id="167" w:name="_Toc10130"/>
      <w:bookmarkStart w:id="168" w:name="_Toc16470"/>
      <w:bookmarkStart w:id="169" w:name="_Toc21901"/>
      <w:bookmarkStart w:id="170" w:name="_Toc8918"/>
      <w:bookmarkStart w:id="171" w:name="_Toc113901853"/>
      <w:bookmarkStart w:id="172" w:name="_Toc31476"/>
      <w:bookmarkStart w:id="173" w:name="_Toc6166"/>
      <w:bookmarkStart w:id="174" w:name="_Toc16785"/>
      <w:bookmarkStart w:id="175" w:name="_Toc22191"/>
      <w:bookmarkStart w:id="176" w:name="_Toc5886"/>
      <w:r>
        <w:rPr>
          <w:rFonts w:hint="eastAsia" w:ascii="仿宋" w:hAnsi="仿宋" w:eastAsia="仿宋" w:cs="仿宋"/>
          <w:b/>
          <w:color w:val="auto"/>
          <w:sz w:val="24"/>
          <w:szCs w:val="24"/>
          <w:highlight w:val="none"/>
          <w:shd w:val="clear" w:color="auto" w:fill="FFFFFF" w:themeFill="background1"/>
          <w:lang w:val="en-US" w:eastAsia="zh-CN"/>
        </w:rPr>
        <w:t>8</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B79E490">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AE2489E">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1、国家有关主管部门的行政许可（如有时）。</w:t>
      </w:r>
    </w:p>
    <w:p w14:paraId="5E37EAC3">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rPr>
        <w:t>2、中小企业声明函/残疾人福利性单位声明函/监狱企业证明文件（如有时）。</w:t>
      </w:r>
      <w:r>
        <w:rPr>
          <w:rFonts w:hint="eastAsia" w:ascii="仿宋" w:hAnsi="仿宋" w:eastAsia="仿宋" w:cs="仿宋"/>
          <w:color w:val="auto"/>
          <w:sz w:val="24"/>
          <w:szCs w:val="24"/>
          <w:highlight w:val="none"/>
        </w:rPr>
        <w:br w:type="page"/>
      </w:r>
    </w:p>
    <w:p w14:paraId="51216385">
      <w:pPr>
        <w:pStyle w:val="38"/>
        <w:spacing w:before="0" w:beforeAutospacing="0" w:after="0" w:afterAutospacing="0" w:line="360" w:lineRule="auto"/>
        <w:rPr>
          <w:rStyle w:val="46"/>
          <w:rFonts w:hint="eastAsia" w:ascii="仿宋" w:hAnsi="仿宋" w:eastAsia="仿宋" w:cs="仿宋"/>
          <w:color w:val="auto"/>
          <w:highlight w:val="none"/>
          <w:shd w:val="clear" w:color="auto" w:fill="FFFFFF" w:themeFill="background1"/>
        </w:rPr>
      </w:pPr>
      <w:r>
        <w:rPr>
          <w:rStyle w:val="46"/>
          <w:rFonts w:hint="eastAsia" w:ascii="仿宋" w:hAnsi="仿宋" w:eastAsia="仿宋" w:cs="仿宋"/>
          <w:color w:val="auto"/>
          <w:highlight w:val="none"/>
          <w:shd w:val="clear" w:color="auto" w:fill="FFFFFF" w:themeFill="background1"/>
        </w:rPr>
        <w:t xml:space="preserve">附表一、                  </w:t>
      </w:r>
    </w:p>
    <w:p w14:paraId="67B0BCD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6A7478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BC7C534">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309CEDF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 xml:space="preserve">  （联合体）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 xml:space="preserve">   （单位名称）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 xml:space="preserve">   （项目名称）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FAA2E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25B5AAB">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5BC08F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46E624A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3C5E39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6D758188">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p>
    <w:p w14:paraId="43C34824">
      <w:pPr>
        <w:spacing w:line="360" w:lineRule="auto"/>
        <w:ind w:firstLine="480" w:firstLineChars="20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企业名称（盖章）：</w:t>
      </w:r>
    </w:p>
    <w:p w14:paraId="109233E8">
      <w:pPr>
        <w:spacing w:line="360" w:lineRule="auto"/>
        <w:ind w:right="480" w:firstLine="480" w:firstLineChars="200"/>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w:t>
      </w:r>
    </w:p>
    <w:p w14:paraId="4D53F36A">
      <w:pPr>
        <w:spacing w:line="360" w:lineRule="auto"/>
        <w:rPr>
          <w:rFonts w:hint="eastAsia" w:ascii="仿宋" w:hAnsi="仿宋" w:eastAsia="仿宋" w:cs="仿宋"/>
          <w:color w:val="auto"/>
          <w:kern w:val="0"/>
          <w:sz w:val="24"/>
          <w:szCs w:val="24"/>
          <w:highlight w:val="none"/>
          <w:shd w:val="clear" w:color="auto" w:fill="FFFFFF" w:themeFill="background1"/>
        </w:rPr>
      </w:pPr>
    </w:p>
    <w:p w14:paraId="188F74CF">
      <w:pPr>
        <w:spacing w:line="360" w:lineRule="auto"/>
        <w:rPr>
          <w:rStyle w:val="46"/>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7FC77F9B">
      <w:pPr>
        <w:pStyle w:val="14"/>
        <w:spacing w:after="0"/>
        <w:ind w:firstLine="480" w:firstLineChars="200"/>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p>
    <w:p w14:paraId="344A281D">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附表二、</w:t>
      </w:r>
    </w:p>
    <w:p w14:paraId="185417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621CCFCA">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444BB2C2">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0159A5EB">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399A51D9">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5A2426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B8E1CAC">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66DCA1EB">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175A8D2D">
      <w:pPr>
        <w:spacing w:line="360" w:lineRule="auto"/>
        <w:rPr>
          <w:rFonts w:hint="eastAsia" w:ascii="仿宋" w:hAnsi="仿宋" w:eastAsia="仿宋" w:cs="仿宋"/>
          <w:color w:val="auto"/>
          <w:sz w:val="24"/>
          <w:szCs w:val="24"/>
          <w:highlight w:val="none"/>
          <w:shd w:val="clear" w:color="auto" w:fill="FFFFFF" w:themeFill="background1"/>
        </w:rPr>
      </w:pPr>
    </w:p>
    <w:p w14:paraId="4A8BD7CA">
      <w:pPr>
        <w:spacing w:line="360" w:lineRule="auto"/>
        <w:rPr>
          <w:rFonts w:hint="eastAsia" w:ascii="仿宋" w:hAnsi="仿宋" w:eastAsia="仿宋" w:cs="仿宋"/>
          <w:color w:val="auto"/>
          <w:sz w:val="24"/>
          <w:szCs w:val="24"/>
          <w:highlight w:val="none"/>
          <w:shd w:val="clear" w:color="auto" w:fill="FFFFFF" w:themeFill="background1"/>
        </w:rPr>
      </w:pPr>
    </w:p>
    <w:p w14:paraId="118C2B6D">
      <w:pPr>
        <w:spacing w:line="360" w:lineRule="auto"/>
        <w:rPr>
          <w:rFonts w:hint="eastAsia" w:ascii="仿宋" w:hAnsi="仿宋" w:eastAsia="仿宋" w:cs="仿宋"/>
          <w:color w:val="auto"/>
          <w:sz w:val="24"/>
          <w:szCs w:val="24"/>
          <w:highlight w:val="none"/>
          <w:shd w:val="clear" w:color="auto" w:fill="FFFFFF" w:themeFill="background1"/>
        </w:rPr>
      </w:pPr>
    </w:p>
    <w:p w14:paraId="4053A49F">
      <w:pPr>
        <w:widowControl/>
        <w:spacing w:line="360" w:lineRule="auto"/>
        <w:jc w:val="left"/>
        <w:rPr>
          <w:rStyle w:val="46"/>
          <w:rFonts w:hint="eastAsia" w:ascii="仿宋" w:hAnsi="仿宋" w:eastAsia="仿宋" w:cs="仿宋"/>
          <w:b w:val="0"/>
          <w:color w:val="auto"/>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附表三、</w:t>
      </w:r>
    </w:p>
    <w:p w14:paraId="2AB43E7F">
      <w:pPr>
        <w:spacing w:line="360" w:lineRule="auto"/>
        <w:jc w:val="center"/>
        <w:rPr>
          <w:rStyle w:val="46"/>
          <w:rFonts w:hint="eastAsia" w:ascii="仿宋" w:hAnsi="仿宋" w:eastAsia="仿宋" w:cs="仿宋"/>
          <w:b w:val="0"/>
          <w:color w:val="auto"/>
          <w:kern w:val="0"/>
          <w:sz w:val="24"/>
          <w:szCs w:val="24"/>
          <w:highlight w:val="none"/>
          <w:shd w:val="clear" w:color="auto" w:fill="FFFFFF" w:themeFill="background1"/>
        </w:rPr>
      </w:pPr>
      <w:r>
        <w:rPr>
          <w:rStyle w:val="46"/>
          <w:rFonts w:hint="eastAsia" w:ascii="仿宋" w:hAnsi="仿宋" w:eastAsia="仿宋" w:cs="仿宋"/>
          <w:color w:val="auto"/>
          <w:kern w:val="0"/>
          <w:sz w:val="24"/>
          <w:szCs w:val="24"/>
          <w:highlight w:val="none"/>
          <w:shd w:val="clear" w:color="auto" w:fill="FFFFFF" w:themeFill="background1"/>
        </w:rPr>
        <w:t>监狱企业证明文件</w:t>
      </w:r>
    </w:p>
    <w:p w14:paraId="2EDBF17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6454E1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2438C638">
      <w:pPr>
        <w:rPr>
          <w:rFonts w:hint="eastAsia" w:ascii="仿宋" w:hAnsi="仿宋" w:eastAsia="仿宋" w:cs="仿宋"/>
          <w:b/>
          <w:color w:val="auto"/>
          <w:sz w:val="24"/>
          <w:szCs w:val="24"/>
          <w:highlight w:val="none"/>
          <w:shd w:val="clear" w:color="auto" w:fill="FFFFFF" w:themeFill="background1"/>
        </w:rPr>
      </w:pPr>
    </w:p>
    <w:p w14:paraId="1B6F49D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4FF9F8B6">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8E84925">
      <w:pPr>
        <w:rPr>
          <w:rFonts w:hint="eastAsia" w:ascii="仿宋" w:hAnsi="仿宋" w:eastAsia="仿宋" w:cs="仿宋"/>
          <w:b/>
          <w:color w:val="auto"/>
          <w:sz w:val="24"/>
          <w:szCs w:val="24"/>
          <w:highlight w:val="none"/>
          <w:shd w:val="clear" w:color="auto" w:fill="FFFFFF" w:themeFill="background1"/>
        </w:rPr>
      </w:pPr>
      <w:bookmarkStart w:id="177" w:name="_Toc533503190"/>
      <w:bookmarkStart w:id="178" w:name="_Toc507586174"/>
      <w:bookmarkStart w:id="179" w:name="_Toc38446479"/>
      <w:r>
        <w:rPr>
          <w:rFonts w:hint="eastAsia" w:ascii="仿宋" w:hAnsi="仿宋" w:eastAsia="仿宋" w:cs="仿宋"/>
          <w:b/>
          <w:color w:val="auto"/>
          <w:sz w:val="24"/>
          <w:szCs w:val="24"/>
          <w:highlight w:val="none"/>
          <w:shd w:val="clear" w:color="auto" w:fill="FFFFFF" w:themeFill="background1"/>
        </w:rPr>
        <w:br w:type="page"/>
      </w:r>
    </w:p>
    <w:p w14:paraId="0A94C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0" w:name="_Toc5131"/>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供应商近年类似项目业绩表</w:t>
      </w:r>
      <w:bookmarkEnd w:id="177"/>
      <w:bookmarkEnd w:id="178"/>
      <w:bookmarkEnd w:id="179"/>
      <w:bookmarkEnd w:id="180"/>
    </w:p>
    <w:p w14:paraId="3B143F0C">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4"/>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020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E0E94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CC8987C">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D4279">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80426B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4F3795F4">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FAA5BA3">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A39BC7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807B26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0E007F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00A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F3D688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9096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2761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085B0C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2B8233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3D5DB2">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CDD28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8960C06">
            <w:pPr>
              <w:jc w:val="center"/>
              <w:rPr>
                <w:rFonts w:hint="eastAsia" w:ascii="仿宋" w:hAnsi="仿宋" w:eastAsia="仿宋" w:cs="仿宋"/>
                <w:color w:val="auto"/>
                <w:kern w:val="0"/>
                <w:sz w:val="24"/>
                <w:szCs w:val="24"/>
                <w:highlight w:val="none"/>
                <w:shd w:val="clear" w:color="auto" w:fill="FFFFFF" w:themeFill="background1"/>
              </w:rPr>
            </w:pPr>
          </w:p>
        </w:tc>
      </w:tr>
      <w:tr w14:paraId="5E7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0A8720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CD670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8A92A">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E2B8A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CD90D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97E64">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66D5">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32F20E">
            <w:pPr>
              <w:jc w:val="center"/>
              <w:rPr>
                <w:rFonts w:hint="eastAsia" w:ascii="仿宋" w:hAnsi="仿宋" w:eastAsia="仿宋" w:cs="仿宋"/>
                <w:color w:val="auto"/>
                <w:kern w:val="0"/>
                <w:sz w:val="24"/>
                <w:szCs w:val="24"/>
                <w:highlight w:val="none"/>
                <w:shd w:val="clear" w:color="auto" w:fill="FFFFFF" w:themeFill="background1"/>
              </w:rPr>
            </w:pPr>
          </w:p>
        </w:tc>
      </w:tr>
      <w:tr w14:paraId="6C63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B02D30">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046382">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1418BF">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DD4E7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0B3BF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42EF3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22B20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F1DDE4">
            <w:pPr>
              <w:jc w:val="center"/>
              <w:rPr>
                <w:rFonts w:hint="eastAsia" w:ascii="仿宋" w:hAnsi="仿宋" w:eastAsia="仿宋" w:cs="仿宋"/>
                <w:color w:val="auto"/>
                <w:kern w:val="0"/>
                <w:sz w:val="24"/>
                <w:szCs w:val="24"/>
                <w:highlight w:val="none"/>
                <w:shd w:val="clear" w:color="auto" w:fill="FFFFFF" w:themeFill="background1"/>
              </w:rPr>
            </w:pPr>
          </w:p>
        </w:tc>
      </w:tr>
      <w:tr w14:paraId="1E41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C53402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B0E04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F554B2">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33F4F8">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14B2C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C432E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57245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97A4A">
            <w:pPr>
              <w:jc w:val="center"/>
              <w:rPr>
                <w:rFonts w:hint="eastAsia" w:ascii="仿宋" w:hAnsi="仿宋" w:eastAsia="仿宋" w:cs="仿宋"/>
                <w:color w:val="auto"/>
                <w:kern w:val="0"/>
                <w:sz w:val="24"/>
                <w:szCs w:val="24"/>
                <w:highlight w:val="none"/>
                <w:shd w:val="clear" w:color="auto" w:fill="FFFFFF" w:themeFill="background1"/>
              </w:rPr>
            </w:pPr>
          </w:p>
        </w:tc>
      </w:tr>
      <w:tr w14:paraId="3942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8EA7E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20085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1BF34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2293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8AD17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1F983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B7E96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C1F95B">
            <w:pPr>
              <w:jc w:val="center"/>
              <w:rPr>
                <w:rFonts w:hint="eastAsia" w:ascii="仿宋" w:hAnsi="仿宋" w:eastAsia="仿宋" w:cs="仿宋"/>
                <w:color w:val="auto"/>
                <w:kern w:val="0"/>
                <w:sz w:val="24"/>
                <w:szCs w:val="24"/>
                <w:highlight w:val="none"/>
                <w:shd w:val="clear" w:color="auto" w:fill="FFFFFF" w:themeFill="background1"/>
              </w:rPr>
            </w:pPr>
          </w:p>
        </w:tc>
      </w:tr>
    </w:tbl>
    <w:p w14:paraId="0340220D">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49093C1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2B92E538">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36640A7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1" w:name="_Toc31395"/>
      <w:bookmarkStart w:id="182" w:name="_Toc507586175"/>
      <w:bookmarkStart w:id="183" w:name="_Toc533503191"/>
      <w:bookmarkStart w:id="184" w:name="_Toc38446480"/>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项目负责人</w:t>
      </w:r>
      <w:r>
        <w:rPr>
          <w:rFonts w:hint="eastAsia" w:ascii="仿宋" w:hAnsi="仿宋" w:eastAsia="仿宋" w:cs="仿宋"/>
          <w:b/>
          <w:bCs/>
          <w:color w:val="auto"/>
          <w:sz w:val="24"/>
          <w:szCs w:val="24"/>
          <w:highlight w:val="none"/>
          <w:shd w:val="clear" w:color="auto" w:fill="FFFFFF" w:themeFill="background1"/>
        </w:rPr>
        <w:t>简历表</w:t>
      </w:r>
      <w:bookmarkEnd w:id="181"/>
      <w:bookmarkEnd w:id="182"/>
      <w:bookmarkEnd w:id="183"/>
      <w:bookmarkEnd w:id="184"/>
    </w:p>
    <w:p w14:paraId="5ED9ACC1">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F4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9A56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73AEC9B4">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6BF29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0514D785">
            <w:pPr>
              <w:spacing w:line="360" w:lineRule="auto"/>
              <w:jc w:val="center"/>
              <w:rPr>
                <w:rFonts w:hint="eastAsia" w:ascii="仿宋" w:hAnsi="仿宋" w:eastAsia="仿宋" w:cs="仿宋"/>
                <w:color w:val="auto"/>
                <w:szCs w:val="21"/>
                <w:highlight w:val="none"/>
                <w:shd w:val="clear" w:color="auto" w:fill="FFFFFF" w:themeFill="background1"/>
              </w:rPr>
            </w:pPr>
          </w:p>
        </w:tc>
      </w:tr>
      <w:tr w14:paraId="15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C4B22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541D95D">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11B318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76643739">
            <w:pPr>
              <w:spacing w:line="360" w:lineRule="auto"/>
              <w:jc w:val="center"/>
              <w:rPr>
                <w:rFonts w:hint="eastAsia" w:ascii="仿宋" w:hAnsi="仿宋" w:eastAsia="仿宋" w:cs="仿宋"/>
                <w:color w:val="auto"/>
                <w:szCs w:val="21"/>
                <w:highlight w:val="none"/>
                <w:shd w:val="clear" w:color="auto" w:fill="FFFFFF" w:themeFill="background1"/>
              </w:rPr>
            </w:pPr>
          </w:p>
        </w:tc>
      </w:tr>
      <w:tr w14:paraId="423E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D6F0A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0C8EB69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B64415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0BB476D">
            <w:pPr>
              <w:spacing w:line="360" w:lineRule="auto"/>
              <w:jc w:val="center"/>
              <w:rPr>
                <w:rFonts w:hint="eastAsia" w:ascii="仿宋" w:hAnsi="仿宋" w:eastAsia="仿宋" w:cs="仿宋"/>
                <w:color w:val="auto"/>
                <w:szCs w:val="21"/>
                <w:highlight w:val="none"/>
                <w:shd w:val="clear" w:color="auto" w:fill="FFFFFF" w:themeFill="background1"/>
              </w:rPr>
            </w:pPr>
          </w:p>
        </w:tc>
      </w:tr>
      <w:tr w14:paraId="63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2C604E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6B125267">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8E758B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从事相关工作年限</w:t>
            </w:r>
          </w:p>
        </w:tc>
        <w:tc>
          <w:tcPr>
            <w:tcW w:w="2639" w:type="dxa"/>
            <w:gridSpan w:val="2"/>
            <w:vAlign w:val="center"/>
          </w:tcPr>
          <w:p w14:paraId="27CE47E3">
            <w:pPr>
              <w:spacing w:line="360" w:lineRule="auto"/>
              <w:jc w:val="center"/>
              <w:rPr>
                <w:rFonts w:hint="eastAsia" w:ascii="仿宋" w:hAnsi="仿宋" w:eastAsia="仿宋" w:cs="仿宋"/>
                <w:color w:val="auto"/>
                <w:szCs w:val="21"/>
                <w:highlight w:val="none"/>
                <w:shd w:val="clear" w:color="auto" w:fill="FFFFFF" w:themeFill="background1"/>
              </w:rPr>
            </w:pPr>
          </w:p>
        </w:tc>
      </w:tr>
      <w:tr w14:paraId="1CD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87208D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7A94A04B">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816565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26DD8D28">
            <w:pPr>
              <w:spacing w:line="360" w:lineRule="auto"/>
              <w:jc w:val="center"/>
              <w:rPr>
                <w:rFonts w:hint="eastAsia" w:ascii="仿宋" w:hAnsi="仿宋" w:eastAsia="仿宋" w:cs="仿宋"/>
                <w:color w:val="auto"/>
                <w:szCs w:val="21"/>
                <w:highlight w:val="none"/>
                <w:shd w:val="clear" w:color="auto" w:fill="FFFFFF" w:themeFill="background1"/>
              </w:rPr>
            </w:pPr>
          </w:p>
        </w:tc>
      </w:tr>
      <w:tr w14:paraId="460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D489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0E0473F5">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0007C8C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235B4271">
            <w:pPr>
              <w:spacing w:line="360" w:lineRule="auto"/>
              <w:jc w:val="center"/>
              <w:rPr>
                <w:rFonts w:hint="eastAsia" w:ascii="仿宋" w:hAnsi="仿宋" w:eastAsia="仿宋" w:cs="仿宋"/>
                <w:color w:val="auto"/>
                <w:szCs w:val="21"/>
                <w:highlight w:val="none"/>
                <w:shd w:val="clear" w:color="auto" w:fill="FFFFFF" w:themeFill="background1"/>
              </w:rPr>
            </w:pPr>
          </w:p>
        </w:tc>
      </w:tr>
      <w:tr w14:paraId="48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BD2322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144B05D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3617510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06DC984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6A8DC84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7B07C28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008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B211774">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2AC098E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0CB193D9">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4B942B89">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10134AE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2DE8A1D">
            <w:pPr>
              <w:spacing w:line="360" w:lineRule="auto"/>
              <w:jc w:val="center"/>
              <w:rPr>
                <w:rFonts w:hint="eastAsia" w:ascii="仿宋" w:hAnsi="仿宋" w:eastAsia="仿宋" w:cs="仿宋"/>
                <w:color w:val="auto"/>
                <w:szCs w:val="21"/>
                <w:highlight w:val="none"/>
                <w:shd w:val="clear" w:color="auto" w:fill="FFFFFF" w:themeFill="background1"/>
              </w:rPr>
            </w:pPr>
          </w:p>
        </w:tc>
      </w:tr>
      <w:tr w14:paraId="26C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7AA0A">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505EDD78">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339585B">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59D3404E">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27D4681">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35FCFE31">
            <w:pPr>
              <w:spacing w:line="360" w:lineRule="auto"/>
              <w:jc w:val="center"/>
              <w:rPr>
                <w:rFonts w:hint="eastAsia" w:ascii="仿宋" w:hAnsi="仿宋" w:eastAsia="仿宋" w:cs="仿宋"/>
                <w:color w:val="auto"/>
                <w:szCs w:val="21"/>
                <w:highlight w:val="none"/>
                <w:shd w:val="clear" w:color="auto" w:fill="FFFFFF" w:themeFill="background1"/>
              </w:rPr>
            </w:pPr>
          </w:p>
        </w:tc>
      </w:tr>
      <w:tr w14:paraId="171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00D42C">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74DAB23A">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D9515ED">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AF974B5">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7A2EEE4">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7AB52F63">
            <w:pPr>
              <w:spacing w:line="360" w:lineRule="auto"/>
              <w:jc w:val="center"/>
              <w:rPr>
                <w:rFonts w:hint="eastAsia" w:ascii="仿宋" w:hAnsi="仿宋" w:eastAsia="仿宋" w:cs="仿宋"/>
                <w:color w:val="auto"/>
                <w:szCs w:val="21"/>
                <w:highlight w:val="none"/>
                <w:shd w:val="clear" w:color="auto" w:fill="FFFFFF" w:themeFill="background1"/>
              </w:rPr>
            </w:pPr>
          </w:p>
        </w:tc>
      </w:tr>
      <w:tr w14:paraId="447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114BA2B">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4ABF2AA4">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59C67E9E">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06065733">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6E14E9C7">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CC6C006">
            <w:pPr>
              <w:spacing w:line="360" w:lineRule="auto"/>
              <w:jc w:val="center"/>
              <w:rPr>
                <w:rFonts w:hint="eastAsia" w:ascii="仿宋" w:hAnsi="仿宋" w:eastAsia="仿宋" w:cs="仿宋"/>
                <w:color w:val="auto"/>
                <w:szCs w:val="21"/>
                <w:highlight w:val="none"/>
                <w:shd w:val="clear" w:color="auto" w:fill="FFFFFF" w:themeFill="background1"/>
              </w:rPr>
            </w:pPr>
          </w:p>
        </w:tc>
      </w:tr>
      <w:tr w14:paraId="635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F5997EF">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00C78B2B">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1E3D1BA">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1540F324">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5624513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2F7F6ADB">
            <w:pPr>
              <w:spacing w:line="360" w:lineRule="auto"/>
              <w:jc w:val="center"/>
              <w:rPr>
                <w:rFonts w:hint="eastAsia" w:ascii="仿宋" w:hAnsi="仿宋" w:eastAsia="仿宋" w:cs="仿宋"/>
                <w:color w:val="auto"/>
                <w:szCs w:val="21"/>
                <w:highlight w:val="none"/>
                <w:shd w:val="clear" w:color="auto" w:fill="FFFFFF" w:themeFill="background1"/>
              </w:rPr>
            </w:pPr>
          </w:p>
        </w:tc>
      </w:tr>
    </w:tbl>
    <w:p w14:paraId="072A4860">
      <w:pPr>
        <w:spacing w:line="360" w:lineRule="auto"/>
        <w:ind w:firstLine="420" w:firstLineChars="200"/>
        <w:rPr>
          <w:rFonts w:hint="eastAsia" w:ascii="仿宋" w:hAnsi="仿宋" w:eastAsia="仿宋" w:cs="仿宋"/>
          <w:color w:val="auto"/>
          <w:sz w:val="22"/>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注：附身份证等其它相关材料扫描件</w:t>
      </w:r>
      <w:r>
        <w:rPr>
          <w:rFonts w:hint="eastAsia" w:ascii="仿宋" w:hAnsi="仿宋" w:eastAsia="仿宋" w:cs="仿宋"/>
          <w:color w:val="auto"/>
          <w:sz w:val="22"/>
          <w:highlight w:val="none"/>
          <w:shd w:val="clear" w:color="auto" w:fill="FFFFFF" w:themeFill="background1"/>
        </w:rPr>
        <w:t>。</w:t>
      </w:r>
    </w:p>
    <w:p w14:paraId="23FAB982">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5" w:name="_Toc507586176"/>
      <w:r>
        <w:rPr>
          <w:rFonts w:hint="eastAsia" w:ascii="仿宋" w:hAnsi="仿宋" w:eastAsia="仿宋" w:cs="仿宋"/>
          <w:b/>
          <w:bCs/>
          <w:color w:val="auto"/>
          <w:sz w:val="24"/>
          <w:szCs w:val="24"/>
          <w:highlight w:val="none"/>
          <w:shd w:val="clear" w:color="auto" w:fill="FFFFFF" w:themeFill="background1"/>
        </w:rPr>
        <w:br w:type="page"/>
      </w:r>
      <w:bookmarkStart w:id="186" w:name="_Toc144993319"/>
      <w:bookmarkStart w:id="187" w:name="_Toc767"/>
      <w:bookmarkStart w:id="188" w:name="_Toc533503192"/>
      <w:bookmarkStart w:id="189" w:name="_Toc38446481"/>
      <w:r>
        <w:rPr>
          <w:rFonts w:hint="eastAsia" w:ascii="仿宋" w:hAnsi="仿宋" w:eastAsia="仿宋" w:cs="仿宋"/>
          <w:b/>
          <w:bCs/>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lang w:val="en-US" w:eastAsia="zh-CN"/>
        </w:rPr>
        <w:t>一</w:t>
      </w:r>
      <w:r>
        <w:rPr>
          <w:rFonts w:hint="eastAsia" w:ascii="仿宋" w:hAnsi="仿宋" w:eastAsia="仿宋" w:cs="仿宋"/>
          <w:b/>
          <w:bCs/>
          <w:color w:val="auto"/>
          <w:sz w:val="24"/>
          <w:szCs w:val="24"/>
          <w:highlight w:val="none"/>
          <w:shd w:val="clear" w:color="auto" w:fill="FFFFFF" w:themeFill="background1"/>
        </w:rPr>
        <w:t>、</w:t>
      </w:r>
      <w:bookmarkEnd w:id="186"/>
      <w:r>
        <w:rPr>
          <w:rFonts w:hint="eastAsia" w:ascii="仿宋" w:hAnsi="仿宋" w:eastAsia="仿宋" w:cs="仿宋"/>
          <w:b/>
          <w:bCs/>
          <w:color w:val="auto"/>
          <w:sz w:val="24"/>
          <w:szCs w:val="24"/>
          <w:highlight w:val="none"/>
          <w:shd w:val="clear" w:color="auto" w:fill="FFFFFF" w:themeFill="background1"/>
        </w:rPr>
        <w:t>拟派主要服务人员</w:t>
      </w:r>
      <w:bookmarkEnd w:id="187"/>
    </w:p>
    <w:p w14:paraId="42BBCBC8">
      <w:pPr>
        <w:rPr>
          <w:rFonts w:hint="eastAsia" w:ascii="仿宋" w:hAnsi="仿宋" w:eastAsia="仿宋" w:cs="仿宋"/>
          <w:color w:val="auto"/>
          <w:sz w:val="24"/>
          <w:szCs w:val="24"/>
          <w:highlight w:val="none"/>
        </w:rPr>
      </w:pPr>
    </w:p>
    <w:tbl>
      <w:tblPr>
        <w:tblStyle w:val="4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0"/>
        <w:gridCol w:w="1172"/>
        <w:gridCol w:w="1144"/>
        <w:gridCol w:w="1172"/>
        <w:gridCol w:w="1172"/>
        <w:gridCol w:w="1146"/>
        <w:gridCol w:w="1172"/>
        <w:gridCol w:w="1138"/>
      </w:tblGrid>
      <w:tr w14:paraId="236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5B2F6D7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170" w:type="dxa"/>
            <w:vAlign w:val="center"/>
          </w:tcPr>
          <w:p w14:paraId="522B36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72" w:type="dxa"/>
            <w:vAlign w:val="center"/>
          </w:tcPr>
          <w:p w14:paraId="7D1FC4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4" w:type="dxa"/>
            <w:vAlign w:val="center"/>
          </w:tcPr>
          <w:p w14:paraId="48C494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72" w:type="dxa"/>
            <w:vAlign w:val="center"/>
          </w:tcPr>
          <w:p w14:paraId="64ECDE6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72" w:type="dxa"/>
            <w:vAlign w:val="center"/>
          </w:tcPr>
          <w:p w14:paraId="1C346C9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46" w:type="dxa"/>
            <w:vAlign w:val="center"/>
          </w:tcPr>
          <w:p w14:paraId="32DC8D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172" w:type="dxa"/>
            <w:vAlign w:val="center"/>
          </w:tcPr>
          <w:p w14:paraId="437E3A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从事相关工作年限</w:t>
            </w:r>
          </w:p>
        </w:tc>
        <w:tc>
          <w:tcPr>
            <w:tcW w:w="1138" w:type="dxa"/>
            <w:vAlign w:val="center"/>
          </w:tcPr>
          <w:p w14:paraId="79DFC28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4D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EF93878">
            <w:pPr>
              <w:jc w:val="center"/>
              <w:rPr>
                <w:rFonts w:hint="eastAsia" w:ascii="仿宋" w:hAnsi="仿宋" w:eastAsia="仿宋" w:cs="仿宋"/>
                <w:color w:val="auto"/>
                <w:sz w:val="24"/>
                <w:szCs w:val="24"/>
                <w:highlight w:val="none"/>
              </w:rPr>
            </w:pPr>
          </w:p>
        </w:tc>
        <w:tc>
          <w:tcPr>
            <w:tcW w:w="1170" w:type="dxa"/>
            <w:vAlign w:val="center"/>
          </w:tcPr>
          <w:p w14:paraId="75A04231">
            <w:pPr>
              <w:jc w:val="center"/>
              <w:rPr>
                <w:rFonts w:hint="eastAsia" w:ascii="仿宋" w:hAnsi="仿宋" w:eastAsia="仿宋" w:cs="仿宋"/>
                <w:color w:val="auto"/>
                <w:sz w:val="24"/>
                <w:szCs w:val="24"/>
                <w:highlight w:val="none"/>
              </w:rPr>
            </w:pPr>
          </w:p>
        </w:tc>
        <w:tc>
          <w:tcPr>
            <w:tcW w:w="1172" w:type="dxa"/>
            <w:vAlign w:val="center"/>
          </w:tcPr>
          <w:p w14:paraId="3B8C21D2">
            <w:pPr>
              <w:jc w:val="center"/>
              <w:rPr>
                <w:rFonts w:hint="eastAsia" w:ascii="仿宋" w:hAnsi="仿宋" w:eastAsia="仿宋" w:cs="仿宋"/>
                <w:color w:val="auto"/>
                <w:sz w:val="24"/>
                <w:szCs w:val="24"/>
                <w:highlight w:val="none"/>
              </w:rPr>
            </w:pPr>
          </w:p>
        </w:tc>
        <w:tc>
          <w:tcPr>
            <w:tcW w:w="1144" w:type="dxa"/>
            <w:vAlign w:val="center"/>
          </w:tcPr>
          <w:p w14:paraId="4287A37A">
            <w:pPr>
              <w:jc w:val="center"/>
              <w:rPr>
                <w:rFonts w:hint="eastAsia" w:ascii="仿宋" w:hAnsi="仿宋" w:eastAsia="仿宋" w:cs="仿宋"/>
                <w:color w:val="auto"/>
                <w:sz w:val="24"/>
                <w:szCs w:val="24"/>
                <w:highlight w:val="none"/>
              </w:rPr>
            </w:pPr>
          </w:p>
        </w:tc>
        <w:tc>
          <w:tcPr>
            <w:tcW w:w="1172" w:type="dxa"/>
            <w:vAlign w:val="center"/>
          </w:tcPr>
          <w:p w14:paraId="285A2486">
            <w:pPr>
              <w:jc w:val="center"/>
              <w:rPr>
                <w:rFonts w:hint="eastAsia" w:ascii="仿宋" w:hAnsi="仿宋" w:eastAsia="仿宋" w:cs="仿宋"/>
                <w:color w:val="auto"/>
                <w:sz w:val="24"/>
                <w:szCs w:val="24"/>
                <w:highlight w:val="none"/>
              </w:rPr>
            </w:pPr>
          </w:p>
        </w:tc>
        <w:tc>
          <w:tcPr>
            <w:tcW w:w="1172" w:type="dxa"/>
            <w:vAlign w:val="center"/>
          </w:tcPr>
          <w:p w14:paraId="052B5100">
            <w:pPr>
              <w:jc w:val="center"/>
              <w:rPr>
                <w:rFonts w:hint="eastAsia" w:ascii="仿宋" w:hAnsi="仿宋" w:eastAsia="仿宋" w:cs="仿宋"/>
                <w:color w:val="auto"/>
                <w:sz w:val="24"/>
                <w:szCs w:val="24"/>
                <w:highlight w:val="none"/>
              </w:rPr>
            </w:pPr>
          </w:p>
        </w:tc>
        <w:tc>
          <w:tcPr>
            <w:tcW w:w="1146" w:type="dxa"/>
            <w:vAlign w:val="center"/>
          </w:tcPr>
          <w:p w14:paraId="571BB2B3">
            <w:pPr>
              <w:jc w:val="center"/>
              <w:rPr>
                <w:rFonts w:hint="eastAsia" w:ascii="仿宋" w:hAnsi="仿宋" w:eastAsia="仿宋" w:cs="仿宋"/>
                <w:color w:val="auto"/>
                <w:sz w:val="24"/>
                <w:szCs w:val="24"/>
                <w:highlight w:val="none"/>
              </w:rPr>
            </w:pPr>
          </w:p>
        </w:tc>
        <w:tc>
          <w:tcPr>
            <w:tcW w:w="1172" w:type="dxa"/>
            <w:vAlign w:val="center"/>
          </w:tcPr>
          <w:p w14:paraId="0BC7CBC9">
            <w:pPr>
              <w:jc w:val="center"/>
              <w:rPr>
                <w:rFonts w:hint="eastAsia" w:ascii="仿宋" w:hAnsi="仿宋" w:eastAsia="仿宋" w:cs="仿宋"/>
                <w:color w:val="auto"/>
                <w:sz w:val="24"/>
                <w:szCs w:val="24"/>
                <w:highlight w:val="none"/>
              </w:rPr>
            </w:pPr>
          </w:p>
        </w:tc>
        <w:tc>
          <w:tcPr>
            <w:tcW w:w="1138" w:type="dxa"/>
            <w:vAlign w:val="center"/>
          </w:tcPr>
          <w:p w14:paraId="11CFBF76">
            <w:pPr>
              <w:jc w:val="center"/>
              <w:rPr>
                <w:rFonts w:hint="eastAsia" w:ascii="仿宋" w:hAnsi="仿宋" w:eastAsia="仿宋" w:cs="仿宋"/>
                <w:color w:val="auto"/>
                <w:sz w:val="24"/>
                <w:szCs w:val="24"/>
                <w:highlight w:val="none"/>
              </w:rPr>
            </w:pPr>
          </w:p>
        </w:tc>
      </w:tr>
      <w:tr w14:paraId="12E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CA88E1F">
            <w:pPr>
              <w:jc w:val="center"/>
              <w:rPr>
                <w:rFonts w:hint="eastAsia" w:ascii="仿宋" w:hAnsi="仿宋" w:eastAsia="仿宋" w:cs="仿宋"/>
                <w:color w:val="auto"/>
                <w:sz w:val="24"/>
                <w:szCs w:val="24"/>
                <w:highlight w:val="none"/>
              </w:rPr>
            </w:pPr>
          </w:p>
        </w:tc>
        <w:tc>
          <w:tcPr>
            <w:tcW w:w="1170" w:type="dxa"/>
            <w:vAlign w:val="center"/>
          </w:tcPr>
          <w:p w14:paraId="6BCA6F34">
            <w:pPr>
              <w:jc w:val="center"/>
              <w:rPr>
                <w:rFonts w:hint="eastAsia" w:ascii="仿宋" w:hAnsi="仿宋" w:eastAsia="仿宋" w:cs="仿宋"/>
                <w:color w:val="auto"/>
                <w:sz w:val="24"/>
                <w:szCs w:val="24"/>
                <w:highlight w:val="none"/>
              </w:rPr>
            </w:pPr>
          </w:p>
        </w:tc>
        <w:tc>
          <w:tcPr>
            <w:tcW w:w="1172" w:type="dxa"/>
            <w:vAlign w:val="center"/>
          </w:tcPr>
          <w:p w14:paraId="3B3AA379">
            <w:pPr>
              <w:jc w:val="center"/>
              <w:rPr>
                <w:rFonts w:hint="eastAsia" w:ascii="仿宋" w:hAnsi="仿宋" w:eastAsia="仿宋" w:cs="仿宋"/>
                <w:color w:val="auto"/>
                <w:sz w:val="24"/>
                <w:szCs w:val="24"/>
                <w:highlight w:val="none"/>
              </w:rPr>
            </w:pPr>
          </w:p>
        </w:tc>
        <w:tc>
          <w:tcPr>
            <w:tcW w:w="1144" w:type="dxa"/>
            <w:vAlign w:val="center"/>
          </w:tcPr>
          <w:p w14:paraId="4D29F78D">
            <w:pPr>
              <w:jc w:val="center"/>
              <w:rPr>
                <w:rFonts w:hint="eastAsia" w:ascii="仿宋" w:hAnsi="仿宋" w:eastAsia="仿宋" w:cs="仿宋"/>
                <w:color w:val="auto"/>
                <w:sz w:val="24"/>
                <w:szCs w:val="24"/>
                <w:highlight w:val="none"/>
              </w:rPr>
            </w:pPr>
          </w:p>
        </w:tc>
        <w:tc>
          <w:tcPr>
            <w:tcW w:w="1172" w:type="dxa"/>
            <w:vAlign w:val="center"/>
          </w:tcPr>
          <w:p w14:paraId="5ACA7401">
            <w:pPr>
              <w:jc w:val="center"/>
              <w:rPr>
                <w:rFonts w:hint="eastAsia" w:ascii="仿宋" w:hAnsi="仿宋" w:eastAsia="仿宋" w:cs="仿宋"/>
                <w:color w:val="auto"/>
                <w:sz w:val="24"/>
                <w:szCs w:val="24"/>
                <w:highlight w:val="none"/>
              </w:rPr>
            </w:pPr>
          </w:p>
        </w:tc>
        <w:tc>
          <w:tcPr>
            <w:tcW w:w="1172" w:type="dxa"/>
            <w:vAlign w:val="center"/>
          </w:tcPr>
          <w:p w14:paraId="36E5E1C7">
            <w:pPr>
              <w:jc w:val="center"/>
              <w:rPr>
                <w:rFonts w:hint="eastAsia" w:ascii="仿宋" w:hAnsi="仿宋" w:eastAsia="仿宋" w:cs="仿宋"/>
                <w:color w:val="auto"/>
                <w:sz w:val="24"/>
                <w:szCs w:val="24"/>
                <w:highlight w:val="none"/>
              </w:rPr>
            </w:pPr>
          </w:p>
        </w:tc>
        <w:tc>
          <w:tcPr>
            <w:tcW w:w="1146" w:type="dxa"/>
            <w:vAlign w:val="center"/>
          </w:tcPr>
          <w:p w14:paraId="08F804C0">
            <w:pPr>
              <w:jc w:val="center"/>
              <w:rPr>
                <w:rFonts w:hint="eastAsia" w:ascii="仿宋" w:hAnsi="仿宋" w:eastAsia="仿宋" w:cs="仿宋"/>
                <w:color w:val="auto"/>
                <w:sz w:val="24"/>
                <w:szCs w:val="24"/>
                <w:highlight w:val="none"/>
              </w:rPr>
            </w:pPr>
          </w:p>
        </w:tc>
        <w:tc>
          <w:tcPr>
            <w:tcW w:w="1172" w:type="dxa"/>
            <w:vAlign w:val="center"/>
          </w:tcPr>
          <w:p w14:paraId="4870EE3F">
            <w:pPr>
              <w:jc w:val="center"/>
              <w:rPr>
                <w:rFonts w:hint="eastAsia" w:ascii="仿宋" w:hAnsi="仿宋" w:eastAsia="仿宋" w:cs="仿宋"/>
                <w:color w:val="auto"/>
                <w:sz w:val="24"/>
                <w:szCs w:val="24"/>
                <w:highlight w:val="none"/>
              </w:rPr>
            </w:pPr>
          </w:p>
        </w:tc>
        <w:tc>
          <w:tcPr>
            <w:tcW w:w="1138" w:type="dxa"/>
            <w:vAlign w:val="center"/>
          </w:tcPr>
          <w:p w14:paraId="41C3FBA8">
            <w:pPr>
              <w:jc w:val="center"/>
              <w:rPr>
                <w:rFonts w:hint="eastAsia" w:ascii="仿宋" w:hAnsi="仿宋" w:eastAsia="仿宋" w:cs="仿宋"/>
                <w:color w:val="auto"/>
                <w:sz w:val="24"/>
                <w:szCs w:val="24"/>
                <w:highlight w:val="none"/>
              </w:rPr>
            </w:pPr>
          </w:p>
        </w:tc>
      </w:tr>
      <w:tr w14:paraId="118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3151C07">
            <w:pPr>
              <w:jc w:val="center"/>
              <w:rPr>
                <w:rFonts w:hint="eastAsia" w:ascii="仿宋" w:hAnsi="仿宋" w:eastAsia="仿宋" w:cs="仿宋"/>
                <w:color w:val="auto"/>
                <w:sz w:val="24"/>
                <w:szCs w:val="24"/>
                <w:highlight w:val="none"/>
              </w:rPr>
            </w:pPr>
          </w:p>
        </w:tc>
        <w:tc>
          <w:tcPr>
            <w:tcW w:w="1170" w:type="dxa"/>
            <w:vAlign w:val="center"/>
          </w:tcPr>
          <w:p w14:paraId="6C221815">
            <w:pPr>
              <w:jc w:val="center"/>
              <w:rPr>
                <w:rFonts w:hint="eastAsia" w:ascii="仿宋" w:hAnsi="仿宋" w:eastAsia="仿宋" w:cs="仿宋"/>
                <w:color w:val="auto"/>
                <w:sz w:val="24"/>
                <w:szCs w:val="24"/>
                <w:highlight w:val="none"/>
              </w:rPr>
            </w:pPr>
          </w:p>
        </w:tc>
        <w:tc>
          <w:tcPr>
            <w:tcW w:w="1172" w:type="dxa"/>
            <w:vAlign w:val="center"/>
          </w:tcPr>
          <w:p w14:paraId="093BCBDF">
            <w:pPr>
              <w:jc w:val="center"/>
              <w:rPr>
                <w:rFonts w:hint="eastAsia" w:ascii="仿宋" w:hAnsi="仿宋" w:eastAsia="仿宋" w:cs="仿宋"/>
                <w:color w:val="auto"/>
                <w:sz w:val="24"/>
                <w:szCs w:val="24"/>
                <w:highlight w:val="none"/>
              </w:rPr>
            </w:pPr>
          </w:p>
        </w:tc>
        <w:tc>
          <w:tcPr>
            <w:tcW w:w="1144" w:type="dxa"/>
            <w:vAlign w:val="center"/>
          </w:tcPr>
          <w:p w14:paraId="3431A0AD">
            <w:pPr>
              <w:jc w:val="center"/>
              <w:rPr>
                <w:rFonts w:hint="eastAsia" w:ascii="仿宋" w:hAnsi="仿宋" w:eastAsia="仿宋" w:cs="仿宋"/>
                <w:color w:val="auto"/>
                <w:sz w:val="24"/>
                <w:szCs w:val="24"/>
                <w:highlight w:val="none"/>
              </w:rPr>
            </w:pPr>
          </w:p>
        </w:tc>
        <w:tc>
          <w:tcPr>
            <w:tcW w:w="1172" w:type="dxa"/>
            <w:vAlign w:val="center"/>
          </w:tcPr>
          <w:p w14:paraId="538781AB">
            <w:pPr>
              <w:jc w:val="center"/>
              <w:rPr>
                <w:rFonts w:hint="eastAsia" w:ascii="仿宋" w:hAnsi="仿宋" w:eastAsia="仿宋" w:cs="仿宋"/>
                <w:color w:val="auto"/>
                <w:sz w:val="24"/>
                <w:szCs w:val="24"/>
                <w:highlight w:val="none"/>
              </w:rPr>
            </w:pPr>
          </w:p>
        </w:tc>
        <w:tc>
          <w:tcPr>
            <w:tcW w:w="1172" w:type="dxa"/>
            <w:vAlign w:val="center"/>
          </w:tcPr>
          <w:p w14:paraId="37FCE958">
            <w:pPr>
              <w:jc w:val="center"/>
              <w:rPr>
                <w:rFonts w:hint="eastAsia" w:ascii="仿宋" w:hAnsi="仿宋" w:eastAsia="仿宋" w:cs="仿宋"/>
                <w:color w:val="auto"/>
                <w:sz w:val="24"/>
                <w:szCs w:val="24"/>
                <w:highlight w:val="none"/>
              </w:rPr>
            </w:pPr>
          </w:p>
        </w:tc>
        <w:tc>
          <w:tcPr>
            <w:tcW w:w="1146" w:type="dxa"/>
            <w:vAlign w:val="center"/>
          </w:tcPr>
          <w:p w14:paraId="09E08CD8">
            <w:pPr>
              <w:jc w:val="center"/>
              <w:rPr>
                <w:rFonts w:hint="eastAsia" w:ascii="仿宋" w:hAnsi="仿宋" w:eastAsia="仿宋" w:cs="仿宋"/>
                <w:color w:val="auto"/>
                <w:sz w:val="24"/>
                <w:szCs w:val="24"/>
                <w:highlight w:val="none"/>
              </w:rPr>
            </w:pPr>
          </w:p>
        </w:tc>
        <w:tc>
          <w:tcPr>
            <w:tcW w:w="1172" w:type="dxa"/>
            <w:vAlign w:val="center"/>
          </w:tcPr>
          <w:p w14:paraId="4B6FE918">
            <w:pPr>
              <w:jc w:val="center"/>
              <w:rPr>
                <w:rFonts w:hint="eastAsia" w:ascii="仿宋" w:hAnsi="仿宋" w:eastAsia="仿宋" w:cs="仿宋"/>
                <w:color w:val="auto"/>
                <w:sz w:val="24"/>
                <w:szCs w:val="24"/>
                <w:highlight w:val="none"/>
              </w:rPr>
            </w:pPr>
          </w:p>
        </w:tc>
        <w:tc>
          <w:tcPr>
            <w:tcW w:w="1138" w:type="dxa"/>
            <w:vAlign w:val="center"/>
          </w:tcPr>
          <w:p w14:paraId="4893DE94">
            <w:pPr>
              <w:jc w:val="center"/>
              <w:rPr>
                <w:rFonts w:hint="eastAsia" w:ascii="仿宋" w:hAnsi="仿宋" w:eastAsia="仿宋" w:cs="仿宋"/>
                <w:color w:val="auto"/>
                <w:sz w:val="24"/>
                <w:szCs w:val="24"/>
                <w:highlight w:val="none"/>
              </w:rPr>
            </w:pPr>
          </w:p>
        </w:tc>
      </w:tr>
      <w:tr w14:paraId="701B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290C9335">
            <w:pPr>
              <w:jc w:val="center"/>
              <w:rPr>
                <w:rFonts w:hint="eastAsia" w:ascii="仿宋" w:hAnsi="仿宋" w:eastAsia="仿宋" w:cs="仿宋"/>
                <w:color w:val="auto"/>
                <w:sz w:val="24"/>
                <w:szCs w:val="24"/>
                <w:highlight w:val="none"/>
              </w:rPr>
            </w:pPr>
          </w:p>
        </w:tc>
        <w:tc>
          <w:tcPr>
            <w:tcW w:w="1170" w:type="dxa"/>
            <w:vAlign w:val="center"/>
          </w:tcPr>
          <w:p w14:paraId="649319EB">
            <w:pPr>
              <w:jc w:val="center"/>
              <w:rPr>
                <w:rFonts w:hint="eastAsia" w:ascii="仿宋" w:hAnsi="仿宋" w:eastAsia="仿宋" w:cs="仿宋"/>
                <w:color w:val="auto"/>
                <w:sz w:val="24"/>
                <w:szCs w:val="24"/>
                <w:highlight w:val="none"/>
              </w:rPr>
            </w:pPr>
          </w:p>
        </w:tc>
        <w:tc>
          <w:tcPr>
            <w:tcW w:w="1172" w:type="dxa"/>
            <w:vAlign w:val="center"/>
          </w:tcPr>
          <w:p w14:paraId="2096C2B0">
            <w:pPr>
              <w:jc w:val="center"/>
              <w:rPr>
                <w:rFonts w:hint="eastAsia" w:ascii="仿宋" w:hAnsi="仿宋" w:eastAsia="仿宋" w:cs="仿宋"/>
                <w:color w:val="auto"/>
                <w:sz w:val="24"/>
                <w:szCs w:val="24"/>
                <w:highlight w:val="none"/>
              </w:rPr>
            </w:pPr>
          </w:p>
        </w:tc>
        <w:tc>
          <w:tcPr>
            <w:tcW w:w="1144" w:type="dxa"/>
            <w:vAlign w:val="center"/>
          </w:tcPr>
          <w:p w14:paraId="0A1A163A">
            <w:pPr>
              <w:jc w:val="center"/>
              <w:rPr>
                <w:rFonts w:hint="eastAsia" w:ascii="仿宋" w:hAnsi="仿宋" w:eastAsia="仿宋" w:cs="仿宋"/>
                <w:color w:val="auto"/>
                <w:sz w:val="24"/>
                <w:szCs w:val="24"/>
                <w:highlight w:val="none"/>
              </w:rPr>
            </w:pPr>
          </w:p>
        </w:tc>
        <w:tc>
          <w:tcPr>
            <w:tcW w:w="1172" w:type="dxa"/>
            <w:vAlign w:val="center"/>
          </w:tcPr>
          <w:p w14:paraId="369EF209">
            <w:pPr>
              <w:jc w:val="center"/>
              <w:rPr>
                <w:rFonts w:hint="eastAsia" w:ascii="仿宋" w:hAnsi="仿宋" w:eastAsia="仿宋" w:cs="仿宋"/>
                <w:color w:val="auto"/>
                <w:sz w:val="24"/>
                <w:szCs w:val="24"/>
                <w:highlight w:val="none"/>
              </w:rPr>
            </w:pPr>
          </w:p>
        </w:tc>
        <w:tc>
          <w:tcPr>
            <w:tcW w:w="1172" w:type="dxa"/>
            <w:vAlign w:val="center"/>
          </w:tcPr>
          <w:p w14:paraId="76C78B0F">
            <w:pPr>
              <w:jc w:val="center"/>
              <w:rPr>
                <w:rFonts w:hint="eastAsia" w:ascii="仿宋" w:hAnsi="仿宋" w:eastAsia="仿宋" w:cs="仿宋"/>
                <w:color w:val="auto"/>
                <w:sz w:val="24"/>
                <w:szCs w:val="24"/>
                <w:highlight w:val="none"/>
              </w:rPr>
            </w:pPr>
          </w:p>
        </w:tc>
        <w:tc>
          <w:tcPr>
            <w:tcW w:w="1146" w:type="dxa"/>
            <w:vAlign w:val="center"/>
          </w:tcPr>
          <w:p w14:paraId="331BA356">
            <w:pPr>
              <w:jc w:val="center"/>
              <w:rPr>
                <w:rFonts w:hint="eastAsia" w:ascii="仿宋" w:hAnsi="仿宋" w:eastAsia="仿宋" w:cs="仿宋"/>
                <w:color w:val="auto"/>
                <w:sz w:val="24"/>
                <w:szCs w:val="24"/>
                <w:highlight w:val="none"/>
              </w:rPr>
            </w:pPr>
          </w:p>
        </w:tc>
        <w:tc>
          <w:tcPr>
            <w:tcW w:w="1172" w:type="dxa"/>
            <w:vAlign w:val="center"/>
          </w:tcPr>
          <w:p w14:paraId="3976FFD5">
            <w:pPr>
              <w:jc w:val="center"/>
              <w:rPr>
                <w:rFonts w:hint="eastAsia" w:ascii="仿宋" w:hAnsi="仿宋" w:eastAsia="仿宋" w:cs="仿宋"/>
                <w:color w:val="auto"/>
                <w:sz w:val="24"/>
                <w:szCs w:val="24"/>
                <w:highlight w:val="none"/>
              </w:rPr>
            </w:pPr>
          </w:p>
        </w:tc>
        <w:tc>
          <w:tcPr>
            <w:tcW w:w="1138" w:type="dxa"/>
            <w:vAlign w:val="center"/>
          </w:tcPr>
          <w:p w14:paraId="03AF2E43">
            <w:pPr>
              <w:jc w:val="center"/>
              <w:rPr>
                <w:rFonts w:hint="eastAsia" w:ascii="仿宋" w:hAnsi="仿宋" w:eastAsia="仿宋" w:cs="仿宋"/>
                <w:color w:val="auto"/>
                <w:sz w:val="24"/>
                <w:szCs w:val="24"/>
                <w:highlight w:val="none"/>
              </w:rPr>
            </w:pPr>
          </w:p>
        </w:tc>
      </w:tr>
      <w:tr w14:paraId="47A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2946EC96">
            <w:pPr>
              <w:jc w:val="center"/>
              <w:rPr>
                <w:rFonts w:hint="eastAsia" w:ascii="仿宋" w:hAnsi="仿宋" w:eastAsia="仿宋" w:cs="仿宋"/>
                <w:color w:val="auto"/>
                <w:sz w:val="24"/>
                <w:szCs w:val="24"/>
                <w:highlight w:val="none"/>
              </w:rPr>
            </w:pPr>
          </w:p>
        </w:tc>
        <w:tc>
          <w:tcPr>
            <w:tcW w:w="1170" w:type="dxa"/>
            <w:vAlign w:val="center"/>
          </w:tcPr>
          <w:p w14:paraId="25C3CBC5">
            <w:pPr>
              <w:jc w:val="center"/>
              <w:rPr>
                <w:rFonts w:hint="eastAsia" w:ascii="仿宋" w:hAnsi="仿宋" w:eastAsia="仿宋" w:cs="仿宋"/>
                <w:color w:val="auto"/>
                <w:sz w:val="24"/>
                <w:szCs w:val="24"/>
                <w:highlight w:val="none"/>
              </w:rPr>
            </w:pPr>
          </w:p>
        </w:tc>
        <w:tc>
          <w:tcPr>
            <w:tcW w:w="1172" w:type="dxa"/>
            <w:vAlign w:val="center"/>
          </w:tcPr>
          <w:p w14:paraId="43B38D58">
            <w:pPr>
              <w:jc w:val="center"/>
              <w:rPr>
                <w:rFonts w:hint="eastAsia" w:ascii="仿宋" w:hAnsi="仿宋" w:eastAsia="仿宋" w:cs="仿宋"/>
                <w:color w:val="auto"/>
                <w:sz w:val="24"/>
                <w:szCs w:val="24"/>
                <w:highlight w:val="none"/>
              </w:rPr>
            </w:pPr>
          </w:p>
        </w:tc>
        <w:tc>
          <w:tcPr>
            <w:tcW w:w="1144" w:type="dxa"/>
            <w:vAlign w:val="center"/>
          </w:tcPr>
          <w:p w14:paraId="49E58810">
            <w:pPr>
              <w:jc w:val="center"/>
              <w:rPr>
                <w:rFonts w:hint="eastAsia" w:ascii="仿宋" w:hAnsi="仿宋" w:eastAsia="仿宋" w:cs="仿宋"/>
                <w:color w:val="auto"/>
                <w:sz w:val="24"/>
                <w:szCs w:val="24"/>
                <w:highlight w:val="none"/>
              </w:rPr>
            </w:pPr>
          </w:p>
        </w:tc>
        <w:tc>
          <w:tcPr>
            <w:tcW w:w="1172" w:type="dxa"/>
            <w:vAlign w:val="center"/>
          </w:tcPr>
          <w:p w14:paraId="4BFE7ED0">
            <w:pPr>
              <w:jc w:val="center"/>
              <w:rPr>
                <w:rFonts w:hint="eastAsia" w:ascii="仿宋" w:hAnsi="仿宋" w:eastAsia="仿宋" w:cs="仿宋"/>
                <w:color w:val="auto"/>
                <w:sz w:val="24"/>
                <w:szCs w:val="24"/>
                <w:highlight w:val="none"/>
              </w:rPr>
            </w:pPr>
          </w:p>
        </w:tc>
        <w:tc>
          <w:tcPr>
            <w:tcW w:w="1172" w:type="dxa"/>
            <w:vAlign w:val="center"/>
          </w:tcPr>
          <w:p w14:paraId="6F5C977B">
            <w:pPr>
              <w:jc w:val="center"/>
              <w:rPr>
                <w:rFonts w:hint="eastAsia" w:ascii="仿宋" w:hAnsi="仿宋" w:eastAsia="仿宋" w:cs="仿宋"/>
                <w:color w:val="auto"/>
                <w:sz w:val="24"/>
                <w:szCs w:val="24"/>
                <w:highlight w:val="none"/>
              </w:rPr>
            </w:pPr>
          </w:p>
        </w:tc>
        <w:tc>
          <w:tcPr>
            <w:tcW w:w="1146" w:type="dxa"/>
            <w:vAlign w:val="center"/>
          </w:tcPr>
          <w:p w14:paraId="18057A9B">
            <w:pPr>
              <w:jc w:val="center"/>
              <w:rPr>
                <w:rFonts w:hint="eastAsia" w:ascii="仿宋" w:hAnsi="仿宋" w:eastAsia="仿宋" w:cs="仿宋"/>
                <w:color w:val="auto"/>
                <w:sz w:val="24"/>
                <w:szCs w:val="24"/>
                <w:highlight w:val="none"/>
              </w:rPr>
            </w:pPr>
          </w:p>
        </w:tc>
        <w:tc>
          <w:tcPr>
            <w:tcW w:w="1172" w:type="dxa"/>
            <w:vAlign w:val="center"/>
          </w:tcPr>
          <w:p w14:paraId="38537B33">
            <w:pPr>
              <w:jc w:val="center"/>
              <w:rPr>
                <w:rFonts w:hint="eastAsia" w:ascii="仿宋" w:hAnsi="仿宋" w:eastAsia="仿宋" w:cs="仿宋"/>
                <w:color w:val="auto"/>
                <w:sz w:val="24"/>
                <w:szCs w:val="24"/>
                <w:highlight w:val="none"/>
              </w:rPr>
            </w:pPr>
          </w:p>
        </w:tc>
        <w:tc>
          <w:tcPr>
            <w:tcW w:w="1138" w:type="dxa"/>
            <w:vAlign w:val="center"/>
          </w:tcPr>
          <w:p w14:paraId="668CB84D">
            <w:pPr>
              <w:jc w:val="center"/>
              <w:rPr>
                <w:rFonts w:hint="eastAsia" w:ascii="仿宋" w:hAnsi="仿宋" w:eastAsia="仿宋" w:cs="仿宋"/>
                <w:color w:val="auto"/>
                <w:sz w:val="24"/>
                <w:szCs w:val="24"/>
                <w:highlight w:val="none"/>
              </w:rPr>
            </w:pPr>
          </w:p>
        </w:tc>
      </w:tr>
      <w:tr w14:paraId="7CB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419F4779">
            <w:pPr>
              <w:jc w:val="center"/>
              <w:rPr>
                <w:rFonts w:hint="eastAsia" w:ascii="仿宋" w:hAnsi="仿宋" w:eastAsia="仿宋" w:cs="仿宋"/>
                <w:color w:val="auto"/>
                <w:sz w:val="24"/>
                <w:szCs w:val="24"/>
                <w:highlight w:val="none"/>
              </w:rPr>
            </w:pPr>
          </w:p>
        </w:tc>
        <w:tc>
          <w:tcPr>
            <w:tcW w:w="1170" w:type="dxa"/>
            <w:vAlign w:val="center"/>
          </w:tcPr>
          <w:p w14:paraId="4F8549B8">
            <w:pPr>
              <w:jc w:val="center"/>
              <w:rPr>
                <w:rFonts w:hint="eastAsia" w:ascii="仿宋" w:hAnsi="仿宋" w:eastAsia="仿宋" w:cs="仿宋"/>
                <w:color w:val="auto"/>
                <w:sz w:val="24"/>
                <w:szCs w:val="24"/>
                <w:highlight w:val="none"/>
              </w:rPr>
            </w:pPr>
          </w:p>
        </w:tc>
        <w:tc>
          <w:tcPr>
            <w:tcW w:w="1172" w:type="dxa"/>
            <w:vAlign w:val="center"/>
          </w:tcPr>
          <w:p w14:paraId="6B2452EF">
            <w:pPr>
              <w:jc w:val="center"/>
              <w:rPr>
                <w:rFonts w:hint="eastAsia" w:ascii="仿宋" w:hAnsi="仿宋" w:eastAsia="仿宋" w:cs="仿宋"/>
                <w:color w:val="auto"/>
                <w:sz w:val="24"/>
                <w:szCs w:val="24"/>
                <w:highlight w:val="none"/>
              </w:rPr>
            </w:pPr>
          </w:p>
        </w:tc>
        <w:tc>
          <w:tcPr>
            <w:tcW w:w="1144" w:type="dxa"/>
            <w:vAlign w:val="center"/>
          </w:tcPr>
          <w:p w14:paraId="20ADC356">
            <w:pPr>
              <w:jc w:val="center"/>
              <w:rPr>
                <w:rFonts w:hint="eastAsia" w:ascii="仿宋" w:hAnsi="仿宋" w:eastAsia="仿宋" w:cs="仿宋"/>
                <w:color w:val="auto"/>
                <w:sz w:val="24"/>
                <w:szCs w:val="24"/>
                <w:highlight w:val="none"/>
              </w:rPr>
            </w:pPr>
          </w:p>
        </w:tc>
        <w:tc>
          <w:tcPr>
            <w:tcW w:w="1172" w:type="dxa"/>
            <w:vAlign w:val="center"/>
          </w:tcPr>
          <w:p w14:paraId="1BA825B4">
            <w:pPr>
              <w:jc w:val="center"/>
              <w:rPr>
                <w:rFonts w:hint="eastAsia" w:ascii="仿宋" w:hAnsi="仿宋" w:eastAsia="仿宋" w:cs="仿宋"/>
                <w:color w:val="auto"/>
                <w:sz w:val="24"/>
                <w:szCs w:val="24"/>
                <w:highlight w:val="none"/>
              </w:rPr>
            </w:pPr>
          </w:p>
        </w:tc>
        <w:tc>
          <w:tcPr>
            <w:tcW w:w="1172" w:type="dxa"/>
            <w:vAlign w:val="center"/>
          </w:tcPr>
          <w:p w14:paraId="645ED0C1">
            <w:pPr>
              <w:jc w:val="center"/>
              <w:rPr>
                <w:rFonts w:hint="eastAsia" w:ascii="仿宋" w:hAnsi="仿宋" w:eastAsia="仿宋" w:cs="仿宋"/>
                <w:color w:val="auto"/>
                <w:sz w:val="24"/>
                <w:szCs w:val="24"/>
                <w:highlight w:val="none"/>
              </w:rPr>
            </w:pPr>
          </w:p>
        </w:tc>
        <w:tc>
          <w:tcPr>
            <w:tcW w:w="1146" w:type="dxa"/>
            <w:vAlign w:val="center"/>
          </w:tcPr>
          <w:p w14:paraId="47E66508">
            <w:pPr>
              <w:jc w:val="center"/>
              <w:rPr>
                <w:rFonts w:hint="eastAsia" w:ascii="仿宋" w:hAnsi="仿宋" w:eastAsia="仿宋" w:cs="仿宋"/>
                <w:color w:val="auto"/>
                <w:sz w:val="24"/>
                <w:szCs w:val="24"/>
                <w:highlight w:val="none"/>
              </w:rPr>
            </w:pPr>
          </w:p>
        </w:tc>
        <w:tc>
          <w:tcPr>
            <w:tcW w:w="1172" w:type="dxa"/>
            <w:vAlign w:val="center"/>
          </w:tcPr>
          <w:p w14:paraId="2990FAD8">
            <w:pPr>
              <w:jc w:val="center"/>
              <w:rPr>
                <w:rFonts w:hint="eastAsia" w:ascii="仿宋" w:hAnsi="仿宋" w:eastAsia="仿宋" w:cs="仿宋"/>
                <w:color w:val="auto"/>
                <w:sz w:val="24"/>
                <w:szCs w:val="24"/>
                <w:highlight w:val="none"/>
              </w:rPr>
            </w:pPr>
          </w:p>
        </w:tc>
        <w:tc>
          <w:tcPr>
            <w:tcW w:w="1138" w:type="dxa"/>
            <w:vAlign w:val="center"/>
          </w:tcPr>
          <w:p w14:paraId="17C066CF">
            <w:pPr>
              <w:jc w:val="center"/>
              <w:rPr>
                <w:rFonts w:hint="eastAsia" w:ascii="仿宋" w:hAnsi="仿宋" w:eastAsia="仿宋" w:cs="仿宋"/>
                <w:color w:val="auto"/>
                <w:sz w:val="24"/>
                <w:szCs w:val="24"/>
                <w:highlight w:val="none"/>
              </w:rPr>
            </w:pPr>
          </w:p>
        </w:tc>
      </w:tr>
      <w:tr w14:paraId="70A5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75069363">
            <w:pPr>
              <w:jc w:val="center"/>
              <w:rPr>
                <w:rFonts w:hint="eastAsia" w:ascii="仿宋" w:hAnsi="仿宋" w:eastAsia="仿宋" w:cs="仿宋"/>
                <w:color w:val="auto"/>
                <w:sz w:val="24"/>
                <w:szCs w:val="24"/>
                <w:highlight w:val="none"/>
              </w:rPr>
            </w:pPr>
          </w:p>
        </w:tc>
        <w:tc>
          <w:tcPr>
            <w:tcW w:w="1170" w:type="dxa"/>
            <w:vAlign w:val="center"/>
          </w:tcPr>
          <w:p w14:paraId="3FACC929">
            <w:pPr>
              <w:jc w:val="center"/>
              <w:rPr>
                <w:rFonts w:hint="eastAsia" w:ascii="仿宋" w:hAnsi="仿宋" w:eastAsia="仿宋" w:cs="仿宋"/>
                <w:color w:val="auto"/>
                <w:sz w:val="24"/>
                <w:szCs w:val="24"/>
                <w:highlight w:val="none"/>
              </w:rPr>
            </w:pPr>
          </w:p>
        </w:tc>
        <w:tc>
          <w:tcPr>
            <w:tcW w:w="1172" w:type="dxa"/>
            <w:vAlign w:val="center"/>
          </w:tcPr>
          <w:p w14:paraId="44F72460">
            <w:pPr>
              <w:jc w:val="center"/>
              <w:rPr>
                <w:rFonts w:hint="eastAsia" w:ascii="仿宋" w:hAnsi="仿宋" w:eastAsia="仿宋" w:cs="仿宋"/>
                <w:color w:val="auto"/>
                <w:sz w:val="24"/>
                <w:szCs w:val="24"/>
                <w:highlight w:val="none"/>
              </w:rPr>
            </w:pPr>
          </w:p>
        </w:tc>
        <w:tc>
          <w:tcPr>
            <w:tcW w:w="1144" w:type="dxa"/>
            <w:vAlign w:val="center"/>
          </w:tcPr>
          <w:p w14:paraId="78C5E60B">
            <w:pPr>
              <w:jc w:val="center"/>
              <w:rPr>
                <w:rFonts w:hint="eastAsia" w:ascii="仿宋" w:hAnsi="仿宋" w:eastAsia="仿宋" w:cs="仿宋"/>
                <w:color w:val="auto"/>
                <w:sz w:val="24"/>
                <w:szCs w:val="24"/>
                <w:highlight w:val="none"/>
              </w:rPr>
            </w:pPr>
          </w:p>
        </w:tc>
        <w:tc>
          <w:tcPr>
            <w:tcW w:w="1172" w:type="dxa"/>
            <w:vAlign w:val="center"/>
          </w:tcPr>
          <w:p w14:paraId="116AE6E6">
            <w:pPr>
              <w:jc w:val="center"/>
              <w:rPr>
                <w:rFonts w:hint="eastAsia" w:ascii="仿宋" w:hAnsi="仿宋" w:eastAsia="仿宋" w:cs="仿宋"/>
                <w:color w:val="auto"/>
                <w:sz w:val="24"/>
                <w:szCs w:val="24"/>
                <w:highlight w:val="none"/>
              </w:rPr>
            </w:pPr>
          </w:p>
        </w:tc>
        <w:tc>
          <w:tcPr>
            <w:tcW w:w="1172" w:type="dxa"/>
            <w:vAlign w:val="center"/>
          </w:tcPr>
          <w:p w14:paraId="780D9D60">
            <w:pPr>
              <w:jc w:val="center"/>
              <w:rPr>
                <w:rFonts w:hint="eastAsia" w:ascii="仿宋" w:hAnsi="仿宋" w:eastAsia="仿宋" w:cs="仿宋"/>
                <w:color w:val="auto"/>
                <w:sz w:val="24"/>
                <w:szCs w:val="24"/>
                <w:highlight w:val="none"/>
              </w:rPr>
            </w:pPr>
          </w:p>
        </w:tc>
        <w:tc>
          <w:tcPr>
            <w:tcW w:w="1146" w:type="dxa"/>
            <w:vAlign w:val="center"/>
          </w:tcPr>
          <w:p w14:paraId="3DF4FABD">
            <w:pPr>
              <w:jc w:val="center"/>
              <w:rPr>
                <w:rFonts w:hint="eastAsia" w:ascii="仿宋" w:hAnsi="仿宋" w:eastAsia="仿宋" w:cs="仿宋"/>
                <w:color w:val="auto"/>
                <w:sz w:val="24"/>
                <w:szCs w:val="24"/>
                <w:highlight w:val="none"/>
              </w:rPr>
            </w:pPr>
          </w:p>
        </w:tc>
        <w:tc>
          <w:tcPr>
            <w:tcW w:w="1172" w:type="dxa"/>
            <w:vAlign w:val="center"/>
          </w:tcPr>
          <w:p w14:paraId="40AAE4B6">
            <w:pPr>
              <w:jc w:val="center"/>
              <w:rPr>
                <w:rFonts w:hint="eastAsia" w:ascii="仿宋" w:hAnsi="仿宋" w:eastAsia="仿宋" w:cs="仿宋"/>
                <w:color w:val="auto"/>
                <w:sz w:val="24"/>
                <w:szCs w:val="24"/>
                <w:highlight w:val="none"/>
              </w:rPr>
            </w:pPr>
          </w:p>
        </w:tc>
        <w:tc>
          <w:tcPr>
            <w:tcW w:w="1138" w:type="dxa"/>
            <w:vAlign w:val="center"/>
          </w:tcPr>
          <w:p w14:paraId="7BFF1135">
            <w:pPr>
              <w:jc w:val="center"/>
              <w:rPr>
                <w:rFonts w:hint="eastAsia" w:ascii="仿宋" w:hAnsi="仿宋" w:eastAsia="仿宋" w:cs="仿宋"/>
                <w:color w:val="auto"/>
                <w:sz w:val="24"/>
                <w:szCs w:val="24"/>
                <w:highlight w:val="none"/>
              </w:rPr>
            </w:pPr>
          </w:p>
        </w:tc>
      </w:tr>
    </w:tbl>
    <w:p w14:paraId="6893455A">
      <w:pPr>
        <w:widowControl/>
        <w:jc w:val="left"/>
        <w:rPr>
          <w:rFonts w:hint="eastAsia" w:ascii="仿宋" w:hAnsi="仿宋" w:eastAsia="仿宋" w:cs="仿宋"/>
          <w:color w:val="auto"/>
          <w:highlight w:val="none"/>
        </w:rPr>
      </w:pPr>
    </w:p>
    <w:p w14:paraId="52839E32">
      <w:pPr>
        <w:spacing w:line="360" w:lineRule="auto"/>
        <w:ind w:firstLine="420" w:firstLineChars="200"/>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供应商</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附身份证等其他相关材料</w:t>
      </w:r>
      <w:r>
        <w:rPr>
          <w:rFonts w:hint="eastAsia" w:ascii="仿宋" w:hAnsi="仿宋" w:eastAsia="仿宋" w:cs="仿宋"/>
          <w:color w:val="auto"/>
          <w:sz w:val="21"/>
          <w:szCs w:val="21"/>
          <w:highlight w:val="none"/>
          <w:shd w:val="clear" w:color="auto" w:fill="FFFFFF" w:themeFill="background1"/>
          <w:lang w:eastAsia="zh-CN"/>
        </w:rPr>
        <w:t>。</w:t>
      </w:r>
    </w:p>
    <w:p w14:paraId="4DFF263D">
      <w:pPr>
        <w:spacing w:line="360" w:lineRule="auto"/>
        <w:ind w:firstLine="482" w:firstLineChars="20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br w:type="page"/>
      </w:r>
    </w:p>
    <w:bookmarkEnd w:id="185"/>
    <w:bookmarkEnd w:id="188"/>
    <w:bookmarkEnd w:id="189"/>
    <w:p w14:paraId="43012606">
      <w:pPr>
        <w:tabs>
          <w:tab w:val="center" w:pos="4832"/>
          <w:tab w:val="left" w:pos="7140"/>
        </w:tabs>
        <w:spacing w:line="360" w:lineRule="auto"/>
        <w:ind w:firstLine="482" w:firstLineChars="200"/>
        <w:jc w:val="center"/>
        <w:outlineLvl w:val="1"/>
        <w:rPr>
          <w:rFonts w:hint="eastAsia" w:ascii="仿宋" w:hAnsi="仿宋" w:eastAsia="仿宋" w:cs="仿宋"/>
          <w:b/>
          <w:color w:val="auto"/>
          <w:sz w:val="24"/>
          <w:szCs w:val="24"/>
          <w:highlight w:val="none"/>
          <w:shd w:val="clear" w:color="auto" w:fill="FFFFFF" w:themeFill="background1"/>
        </w:rPr>
      </w:pPr>
      <w:bookmarkStart w:id="190" w:name="_Toc32498"/>
      <w:bookmarkStart w:id="191" w:name="_Toc507586177"/>
      <w:bookmarkStart w:id="192" w:name="_Toc38446482"/>
      <w:bookmarkStart w:id="193" w:name="_Toc533503193"/>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服务方案</w:t>
      </w:r>
      <w:bookmarkEnd w:id="190"/>
      <w:bookmarkEnd w:id="191"/>
      <w:bookmarkEnd w:id="192"/>
      <w:bookmarkEnd w:id="193"/>
    </w:p>
    <w:p w14:paraId="0C4C81D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3A16DCB">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color w:val="auto"/>
          <w:sz w:val="24"/>
          <w:szCs w:val="24"/>
          <w:highlight w:val="none"/>
          <w:shd w:val="clear" w:color="auto" w:fill="FFFFFF" w:themeFill="background1"/>
          <w:lang w:val="en-US" w:eastAsia="zh-CN"/>
        </w:rPr>
        <w:t>供应商</w:t>
      </w:r>
      <w:r>
        <w:rPr>
          <w:rFonts w:hint="eastAsia" w:ascii="仿宋" w:hAnsi="仿宋" w:eastAsia="仿宋" w:cs="仿宋"/>
          <w:bCs/>
          <w:color w:val="auto"/>
          <w:sz w:val="24"/>
          <w:szCs w:val="24"/>
          <w:highlight w:val="none"/>
          <w:shd w:val="clear" w:color="auto" w:fill="FFFFFF" w:themeFill="background1"/>
        </w:rPr>
        <w:t>根据本项目的具体情况自行拟定。</w:t>
      </w:r>
    </w:p>
    <w:p w14:paraId="1A447725">
      <w:pPr>
        <w:rPr>
          <w:rFonts w:hint="eastAsia" w:ascii="仿宋" w:hAnsi="仿宋" w:eastAsia="仿宋" w:cs="仿宋"/>
          <w:b/>
          <w:color w:val="auto"/>
          <w:sz w:val="24"/>
          <w:szCs w:val="24"/>
          <w:highlight w:val="none"/>
          <w:shd w:val="clear" w:color="auto" w:fill="FFFFFF" w:themeFill="background1"/>
        </w:rPr>
      </w:pPr>
      <w:bookmarkStart w:id="194" w:name="_Toc533503194"/>
      <w:bookmarkStart w:id="195" w:name="_Toc38446484"/>
      <w:bookmarkStart w:id="196" w:name="_Toc507586178"/>
    </w:p>
    <w:p w14:paraId="77C65BEB">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bookmarkEnd w:id="194"/>
    <w:bookmarkEnd w:id="195"/>
    <w:bookmarkEnd w:id="196"/>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197" w:name="_Toc12216"/>
      <w:bookmarkStart w:id="198" w:name="_Toc12468"/>
      <w:bookmarkStart w:id="199" w:name="_Toc77455658"/>
      <w:bookmarkStart w:id="200" w:name="_Toc6092566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197"/>
      <w:bookmarkEnd w:id="198"/>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201" w:name="_Toc109941775"/>
      <w:bookmarkStart w:id="202" w:name="_Toc130252630"/>
      <w:bookmarkStart w:id="203" w:name="_Toc14156"/>
      <w:bookmarkStart w:id="204" w:name="_Toc24108"/>
      <w:bookmarkStart w:id="205" w:name="_Toc110707975"/>
      <w:bookmarkStart w:id="206" w:name="_Toc109921168"/>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207" w:name="_Toc17524"/>
      <w:bookmarkStart w:id="208" w:name="_Toc2908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201"/>
      <w:bookmarkEnd w:id="202"/>
      <w:bookmarkEnd w:id="203"/>
      <w:bookmarkEnd w:id="204"/>
      <w:bookmarkEnd w:id="205"/>
      <w:bookmarkEnd w:id="206"/>
      <w:bookmarkEnd w:id="207"/>
      <w:bookmarkEnd w:id="208"/>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认为需要提供的资料</w:t>
      </w:r>
      <w:r>
        <w:rPr>
          <w:rFonts w:hint="eastAsia" w:ascii="仿宋" w:hAnsi="仿宋" w:eastAsia="仿宋" w:cs="仿宋"/>
          <w:color w:val="auto"/>
          <w:sz w:val="24"/>
          <w:szCs w:val="24"/>
          <w:highlight w:val="none"/>
          <w:lang w:val="en-US" w:eastAsia="zh-CN"/>
        </w:rPr>
        <w:t>。</w:t>
      </w:r>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8EC4C6">
      <w:pPr>
        <w:numPr>
          <w:ilvl w:val="0"/>
          <w:numId w:val="3"/>
        </w:num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09" w:name="_Toc4679"/>
      <w:r>
        <w:rPr>
          <w:rFonts w:hint="eastAsia" w:ascii="仿宋" w:hAnsi="仿宋" w:eastAsia="仿宋" w:cs="仿宋"/>
          <w:b/>
          <w:color w:val="auto"/>
          <w:sz w:val="24"/>
          <w:szCs w:val="24"/>
          <w:highlight w:val="none"/>
          <w:shd w:val="clear" w:color="auto" w:fill="FFFFFF" w:themeFill="background1"/>
        </w:rPr>
        <w:t>补充条款</w:t>
      </w:r>
      <w:bookmarkEnd w:id="199"/>
      <w:bookmarkEnd w:id="200"/>
      <w:bookmarkEnd w:id="209"/>
    </w:p>
    <w:p w14:paraId="54CBE0F5">
      <w:pPr>
        <w:spacing w:line="360" w:lineRule="auto"/>
        <w:outlineLvl w:val="1"/>
        <w:rPr>
          <w:rFonts w:hint="eastAsia" w:ascii="仿宋" w:hAnsi="仿宋" w:eastAsia="仿宋" w:cs="仿宋"/>
          <w:color w:val="auto"/>
          <w:spacing w:val="6"/>
          <w:sz w:val="24"/>
          <w:szCs w:val="24"/>
          <w:highlight w:val="none"/>
        </w:rPr>
      </w:pPr>
      <w:bookmarkStart w:id="210" w:name="_Toc15921"/>
      <w:bookmarkStart w:id="211" w:name="_Toc5592"/>
      <w:bookmarkStart w:id="212" w:name="_Toc1668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210"/>
      <w:bookmarkEnd w:id="211"/>
      <w:bookmarkEnd w:id="212"/>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213" w:name="_Toc30202"/>
      <w:bookmarkStart w:id="214" w:name="_Toc20667"/>
      <w:bookmarkStart w:id="215" w:name="_Toc37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213"/>
      <w:bookmarkEnd w:id="214"/>
      <w:bookmarkEnd w:id="215"/>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9"/>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216" w:name="_Toc244"/>
      <w:bookmarkStart w:id="217" w:name="_Toc13048"/>
      <w:bookmarkStart w:id="218" w:name="_Toc11453"/>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216"/>
      <w:bookmarkEnd w:id="217"/>
      <w:bookmarkEnd w:id="218"/>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9"/>
        <w:rPr>
          <w:rFonts w:hint="eastAsia" w:ascii="仿宋" w:hAnsi="仿宋" w:eastAsia="仿宋" w:cs="仿宋"/>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51B58EF">
      <w:pPr>
        <w:spacing w:line="360" w:lineRule="auto"/>
        <w:rPr>
          <w:rFonts w:hint="eastAsia" w:ascii="仿宋" w:hAnsi="仿宋" w:eastAsia="仿宋" w:cs="仿宋"/>
          <w:color w:val="auto"/>
          <w:sz w:val="24"/>
          <w:szCs w:val="24"/>
          <w:highlight w:val="none"/>
          <w:shd w:val="clear" w:color="auto" w:fill="FFFFFF" w:themeFill="background1"/>
        </w:rPr>
      </w:pPr>
    </w:p>
    <w:p w14:paraId="0540D77B">
      <w:pPr>
        <w:rPr>
          <w:rFonts w:hint="eastAsia" w:ascii="仿宋" w:hAnsi="仿宋" w:eastAsia="仿宋" w:cs="仿宋"/>
          <w:color w:val="auto"/>
          <w:highlight w:val="none"/>
        </w:rPr>
      </w:pPr>
    </w:p>
    <w:sectPr>
      <w:headerReference r:id="rId10" w:type="default"/>
      <w:footerReference r:id="rId11"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726">
    <w:pPr>
      <w:pStyle w:val="24"/>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612F">
    <w:pPr>
      <w:pStyle w:val="24"/>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68</w:t>
    </w:r>
    <w:r>
      <w:rPr>
        <w:rStyle w:val="47"/>
      </w:rPr>
      <w:fldChar w:fldCharType="end"/>
    </w:r>
  </w:p>
  <w:p w14:paraId="69FDF088">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63">
    <w:pPr>
      <w:pStyle w:val="24"/>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C45">
    <w:pPr>
      <w:pStyle w:val="24"/>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3AE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33AE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502">
                          <w:pPr>
                            <w:pStyle w:val="2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35E502">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270">
    <w:pPr>
      <w:pStyle w:val="24"/>
      <w:ind w:right="360"/>
      <w:rPr>
        <w:rFonts w:ascii="仿宋" w:hAnsi="仿宋" w:eastAsia="仿宋" w:cs="仿宋"/>
        <w:sz w:val="24"/>
        <w:szCs w:val="24"/>
        <w:lang w:val="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88C92">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C88C92">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BAD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FE57">
    <w:pPr>
      <w:spacing w:line="227" w:lineRule="auto"/>
      <w:ind w:left="222"/>
      <w:rPr>
        <w:rFonts w:hint="eastAsia" w:ascii="宋体" w:hAnsi="宋体" w:eastAsia="宋体" w:cs="宋体"/>
        <w:sz w:val="20"/>
        <w:szCs w:val="20"/>
        <w:lang w:eastAsia="zh-CN"/>
      </w:rPr>
    </w:pPr>
    <w:r>
      <mc:AlternateContent>
        <mc:Choice Requires="wps">
          <w:drawing>
            <wp:anchor distT="0" distB="0" distL="114300" distR="114300" simplePos="0" relativeHeight="251659264" behindDoc="0" locked="0" layoutInCell="1" allowOverlap="1">
              <wp:simplePos x="0" y="0"/>
              <wp:positionH relativeFrom="column">
                <wp:posOffset>5328920</wp:posOffset>
              </wp:positionH>
              <wp:positionV relativeFrom="paragraph">
                <wp:posOffset>-12065</wp:posOffset>
              </wp:positionV>
              <wp:extent cx="952500" cy="182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2500" cy="182245"/>
                      </a:xfrm>
                      <a:prstGeom prst="rect">
                        <a:avLst/>
                      </a:prstGeom>
                      <a:noFill/>
                      <a:ln>
                        <a:noFill/>
                      </a:ln>
                    </wps:spPr>
                    <wps:txbx>
                      <w:txbxContent>
                        <w:p w14:paraId="29C88B86">
                          <w:pPr>
                            <w:spacing w:before="19" w:line="228" w:lineRule="auto"/>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419.6pt;margin-top:-0.95pt;height:14.35pt;width:75pt;z-index:251659264;mso-width-relative:page;mso-height-relative:page;" filled="f" stroked="f" coordsize="21600,21600" o:gfxdata="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CpWJl2AAAAAkBAAAPAAAAAAAAAAEAIAAAACIAAABkcnMvZG93bnJldi54bWxQSwECFAAU&#10;AAAACACHTuJAIlbOB7gBAABxAwAADgAAAAAAAAABACAAAAAnAQAAZHJzL2Uyb0RvYy54bWxQSwUG&#10;AAAAAAYABgBZAQAAUQUAAAAA&#10;">
              <v:fill on="f" focussize="0,0"/>
              <v:stroke on="f"/>
              <v:imagedata o:title=""/>
              <o:lock v:ext="edit" aspectratio="f"/>
              <v:textbox inset="0mm,0mm,0mm,0mm">
                <w:txbxContent>
                  <w:p w14:paraId="29C88B86">
                    <w:pPr>
                      <w:spacing w:before="19" w:line="228" w:lineRule="auto"/>
                      <w:rPr>
                        <w:rFonts w:ascii="宋体" w:hAnsi="宋体" w:eastAsia="宋体" w:cs="宋体"/>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6D5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95FB1"/>
    <w:multiLevelType w:val="singleLevel"/>
    <w:tmpl w:val="E7995FB1"/>
    <w:lvl w:ilvl="0" w:tentative="0">
      <w:start w:val="6"/>
      <w:numFmt w:val="chineseCounting"/>
      <w:suff w:val="space"/>
      <w:lvlText w:val="第%1章"/>
      <w:lvlJc w:val="left"/>
      <w:rPr>
        <w:rFonts w:hint="eastAsia"/>
      </w:rPr>
    </w:lvl>
  </w:abstractNum>
  <w:abstractNum w:abstractNumId="1">
    <w:nsid w:val="51D3F462"/>
    <w:multiLevelType w:val="singleLevel"/>
    <w:tmpl w:val="51D3F462"/>
    <w:lvl w:ilvl="0" w:tentative="0">
      <w:start w:val="1"/>
      <w:numFmt w:val="decimal"/>
      <w:suff w:val="nothing"/>
      <w:lvlText w:val="（%1）"/>
      <w:lvlJc w:val="left"/>
    </w:lvl>
  </w:abstractNum>
  <w:abstractNum w:abstractNumId="2">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6244"/>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0A1"/>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27C7"/>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2B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70F"/>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2D64"/>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5EA1"/>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07DA"/>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CDB"/>
    <w:rsid w:val="0072037A"/>
    <w:rsid w:val="00721DA0"/>
    <w:rsid w:val="00722364"/>
    <w:rsid w:val="00725381"/>
    <w:rsid w:val="0072662D"/>
    <w:rsid w:val="007277B0"/>
    <w:rsid w:val="00727EAB"/>
    <w:rsid w:val="007306DD"/>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389A"/>
    <w:rsid w:val="007C5747"/>
    <w:rsid w:val="007C5ABC"/>
    <w:rsid w:val="007C66D2"/>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76"/>
    <w:rsid w:val="00892DE8"/>
    <w:rsid w:val="008931EB"/>
    <w:rsid w:val="008946FE"/>
    <w:rsid w:val="00894F41"/>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366A1"/>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6DB8"/>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4C1B"/>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A54C7"/>
    <w:rsid w:val="00CA7EEA"/>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24"/>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2BF"/>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12E2284"/>
    <w:rsid w:val="014A102B"/>
    <w:rsid w:val="01541EA9"/>
    <w:rsid w:val="018362EB"/>
    <w:rsid w:val="018F2EE2"/>
    <w:rsid w:val="019422A6"/>
    <w:rsid w:val="01AC5842"/>
    <w:rsid w:val="02377801"/>
    <w:rsid w:val="02741E8A"/>
    <w:rsid w:val="029307AF"/>
    <w:rsid w:val="02AB78A7"/>
    <w:rsid w:val="02B32C00"/>
    <w:rsid w:val="02C44E0D"/>
    <w:rsid w:val="030376E3"/>
    <w:rsid w:val="03415CF6"/>
    <w:rsid w:val="03465822"/>
    <w:rsid w:val="034877EC"/>
    <w:rsid w:val="03791753"/>
    <w:rsid w:val="03F23E6F"/>
    <w:rsid w:val="04702B56"/>
    <w:rsid w:val="048815E2"/>
    <w:rsid w:val="04B862AB"/>
    <w:rsid w:val="04BC368C"/>
    <w:rsid w:val="04C3537C"/>
    <w:rsid w:val="04FD5688"/>
    <w:rsid w:val="051A5D86"/>
    <w:rsid w:val="054B35C3"/>
    <w:rsid w:val="0580326D"/>
    <w:rsid w:val="05816FE5"/>
    <w:rsid w:val="05C64F69"/>
    <w:rsid w:val="05D62C76"/>
    <w:rsid w:val="06B50CF4"/>
    <w:rsid w:val="06CA0F4B"/>
    <w:rsid w:val="06CB684B"/>
    <w:rsid w:val="0701218C"/>
    <w:rsid w:val="07397B77"/>
    <w:rsid w:val="07403B48"/>
    <w:rsid w:val="078B42EC"/>
    <w:rsid w:val="07E01DA1"/>
    <w:rsid w:val="07FC5C4D"/>
    <w:rsid w:val="0884412C"/>
    <w:rsid w:val="08B5190C"/>
    <w:rsid w:val="08DD121D"/>
    <w:rsid w:val="08DD4532"/>
    <w:rsid w:val="090546AC"/>
    <w:rsid w:val="091B505B"/>
    <w:rsid w:val="096802A0"/>
    <w:rsid w:val="096909F8"/>
    <w:rsid w:val="099F5881"/>
    <w:rsid w:val="09CD0A4B"/>
    <w:rsid w:val="09EB7C1C"/>
    <w:rsid w:val="0A4A3E4A"/>
    <w:rsid w:val="0A5D7472"/>
    <w:rsid w:val="0A6B478F"/>
    <w:rsid w:val="0A7C0731"/>
    <w:rsid w:val="0A934F00"/>
    <w:rsid w:val="0AAA48E8"/>
    <w:rsid w:val="0AD11E75"/>
    <w:rsid w:val="0B5A00BC"/>
    <w:rsid w:val="0B8A6024"/>
    <w:rsid w:val="0BC67500"/>
    <w:rsid w:val="0BE12CEF"/>
    <w:rsid w:val="0BF73B5D"/>
    <w:rsid w:val="0C0F70F9"/>
    <w:rsid w:val="0C1069CD"/>
    <w:rsid w:val="0C442D39"/>
    <w:rsid w:val="0C774C9E"/>
    <w:rsid w:val="0CF137AD"/>
    <w:rsid w:val="0D38442D"/>
    <w:rsid w:val="0D6916C7"/>
    <w:rsid w:val="0DF20A80"/>
    <w:rsid w:val="0E4868F2"/>
    <w:rsid w:val="0E5E1C72"/>
    <w:rsid w:val="0E7E40C2"/>
    <w:rsid w:val="0E8B5099"/>
    <w:rsid w:val="0EF84D38"/>
    <w:rsid w:val="0F5D017B"/>
    <w:rsid w:val="0F83329A"/>
    <w:rsid w:val="0FB71F81"/>
    <w:rsid w:val="0FC3503C"/>
    <w:rsid w:val="0FCE32B0"/>
    <w:rsid w:val="103203DE"/>
    <w:rsid w:val="10710382"/>
    <w:rsid w:val="1125116C"/>
    <w:rsid w:val="114C494B"/>
    <w:rsid w:val="11553800"/>
    <w:rsid w:val="11934328"/>
    <w:rsid w:val="11943BFC"/>
    <w:rsid w:val="11A80796"/>
    <w:rsid w:val="11BC011F"/>
    <w:rsid w:val="11CE710E"/>
    <w:rsid w:val="11E62C1D"/>
    <w:rsid w:val="11E903EC"/>
    <w:rsid w:val="120945EA"/>
    <w:rsid w:val="120E39AF"/>
    <w:rsid w:val="12255CB7"/>
    <w:rsid w:val="12371157"/>
    <w:rsid w:val="123F24AA"/>
    <w:rsid w:val="125A2040"/>
    <w:rsid w:val="12785A55"/>
    <w:rsid w:val="1283439D"/>
    <w:rsid w:val="12902616"/>
    <w:rsid w:val="12D86756"/>
    <w:rsid w:val="135C4810"/>
    <w:rsid w:val="137B1518"/>
    <w:rsid w:val="139B5716"/>
    <w:rsid w:val="13A20852"/>
    <w:rsid w:val="14551D69"/>
    <w:rsid w:val="14643D5A"/>
    <w:rsid w:val="146855F8"/>
    <w:rsid w:val="14702016"/>
    <w:rsid w:val="148E7DB7"/>
    <w:rsid w:val="14AD5701"/>
    <w:rsid w:val="14C64A14"/>
    <w:rsid w:val="15545B7C"/>
    <w:rsid w:val="15D90A9B"/>
    <w:rsid w:val="160E6673"/>
    <w:rsid w:val="16526560"/>
    <w:rsid w:val="16EF0253"/>
    <w:rsid w:val="16FE2244"/>
    <w:rsid w:val="17082A40"/>
    <w:rsid w:val="17101F77"/>
    <w:rsid w:val="172D2B29"/>
    <w:rsid w:val="17544559"/>
    <w:rsid w:val="1776488C"/>
    <w:rsid w:val="17793FC0"/>
    <w:rsid w:val="17996410"/>
    <w:rsid w:val="17A45E25"/>
    <w:rsid w:val="17B44FF8"/>
    <w:rsid w:val="17EE6794"/>
    <w:rsid w:val="1816180F"/>
    <w:rsid w:val="18421C82"/>
    <w:rsid w:val="1853036D"/>
    <w:rsid w:val="18932E60"/>
    <w:rsid w:val="18F71640"/>
    <w:rsid w:val="19742C91"/>
    <w:rsid w:val="199B021E"/>
    <w:rsid w:val="19AD646C"/>
    <w:rsid w:val="19B90EF2"/>
    <w:rsid w:val="19E219A9"/>
    <w:rsid w:val="1A02029D"/>
    <w:rsid w:val="1A2E40E5"/>
    <w:rsid w:val="1A6352C4"/>
    <w:rsid w:val="1A89451A"/>
    <w:rsid w:val="1A961EAB"/>
    <w:rsid w:val="1AAB623F"/>
    <w:rsid w:val="1AB62CA6"/>
    <w:rsid w:val="1B040045"/>
    <w:rsid w:val="1B661967"/>
    <w:rsid w:val="1BA550D1"/>
    <w:rsid w:val="1BA96177"/>
    <w:rsid w:val="1C00080C"/>
    <w:rsid w:val="1C016E0E"/>
    <w:rsid w:val="1C44694B"/>
    <w:rsid w:val="1C5D5C5E"/>
    <w:rsid w:val="1C6A7A58"/>
    <w:rsid w:val="1C76287C"/>
    <w:rsid w:val="1CAB5593"/>
    <w:rsid w:val="1CC21F65"/>
    <w:rsid w:val="1CDB1137"/>
    <w:rsid w:val="1CDC489E"/>
    <w:rsid w:val="1CF739BD"/>
    <w:rsid w:val="1CFA525B"/>
    <w:rsid w:val="1CFE623E"/>
    <w:rsid w:val="1D1B1F25"/>
    <w:rsid w:val="1D1C78C7"/>
    <w:rsid w:val="1D2207B9"/>
    <w:rsid w:val="1D4026A8"/>
    <w:rsid w:val="1D436C02"/>
    <w:rsid w:val="1D4448D9"/>
    <w:rsid w:val="1D6A0633"/>
    <w:rsid w:val="1D794057"/>
    <w:rsid w:val="1D8B2357"/>
    <w:rsid w:val="1DD12460"/>
    <w:rsid w:val="1E1665EA"/>
    <w:rsid w:val="1E19760E"/>
    <w:rsid w:val="1E2277E6"/>
    <w:rsid w:val="1E2A35D7"/>
    <w:rsid w:val="1E37603B"/>
    <w:rsid w:val="1E522E75"/>
    <w:rsid w:val="1EC15C9C"/>
    <w:rsid w:val="1F106FB8"/>
    <w:rsid w:val="1F2111C5"/>
    <w:rsid w:val="1F861028"/>
    <w:rsid w:val="1FBA5176"/>
    <w:rsid w:val="1FBF278C"/>
    <w:rsid w:val="20071E19"/>
    <w:rsid w:val="200F101E"/>
    <w:rsid w:val="20286583"/>
    <w:rsid w:val="203543E6"/>
    <w:rsid w:val="2040730C"/>
    <w:rsid w:val="208F03B0"/>
    <w:rsid w:val="20994D8B"/>
    <w:rsid w:val="209B4FA7"/>
    <w:rsid w:val="20A918DB"/>
    <w:rsid w:val="20C938C2"/>
    <w:rsid w:val="20DA787E"/>
    <w:rsid w:val="20EA3839"/>
    <w:rsid w:val="213F3B84"/>
    <w:rsid w:val="21457AA6"/>
    <w:rsid w:val="215F5FD5"/>
    <w:rsid w:val="2160757F"/>
    <w:rsid w:val="21617F9F"/>
    <w:rsid w:val="2169425B"/>
    <w:rsid w:val="21701F90"/>
    <w:rsid w:val="21817CF9"/>
    <w:rsid w:val="21DC13D3"/>
    <w:rsid w:val="220821C8"/>
    <w:rsid w:val="224F6049"/>
    <w:rsid w:val="22633F3F"/>
    <w:rsid w:val="22661210"/>
    <w:rsid w:val="229C1B6E"/>
    <w:rsid w:val="22A719E1"/>
    <w:rsid w:val="22B44975"/>
    <w:rsid w:val="22EB2BDA"/>
    <w:rsid w:val="230B2DFF"/>
    <w:rsid w:val="233C481F"/>
    <w:rsid w:val="23566F63"/>
    <w:rsid w:val="236E69A3"/>
    <w:rsid w:val="23827D58"/>
    <w:rsid w:val="23DF164F"/>
    <w:rsid w:val="23FA0237"/>
    <w:rsid w:val="244871F4"/>
    <w:rsid w:val="24586AC6"/>
    <w:rsid w:val="24732C75"/>
    <w:rsid w:val="24816262"/>
    <w:rsid w:val="24A00DDE"/>
    <w:rsid w:val="24A51F50"/>
    <w:rsid w:val="24B0423F"/>
    <w:rsid w:val="24CF417D"/>
    <w:rsid w:val="24DD17C0"/>
    <w:rsid w:val="24E65B35"/>
    <w:rsid w:val="24E707BB"/>
    <w:rsid w:val="25237319"/>
    <w:rsid w:val="255676EF"/>
    <w:rsid w:val="2566249D"/>
    <w:rsid w:val="25696723"/>
    <w:rsid w:val="25EF714A"/>
    <w:rsid w:val="25FA2770"/>
    <w:rsid w:val="261F3F85"/>
    <w:rsid w:val="2629095F"/>
    <w:rsid w:val="26345C82"/>
    <w:rsid w:val="26393298"/>
    <w:rsid w:val="269D1521"/>
    <w:rsid w:val="26A12BEB"/>
    <w:rsid w:val="26C03072"/>
    <w:rsid w:val="26F25034"/>
    <w:rsid w:val="26F2791B"/>
    <w:rsid w:val="278F0C96"/>
    <w:rsid w:val="27B9274C"/>
    <w:rsid w:val="27E9484A"/>
    <w:rsid w:val="27FF5E1C"/>
    <w:rsid w:val="284B5B2B"/>
    <w:rsid w:val="2852419D"/>
    <w:rsid w:val="28AA222B"/>
    <w:rsid w:val="28C21D69"/>
    <w:rsid w:val="290D4D9A"/>
    <w:rsid w:val="2946482C"/>
    <w:rsid w:val="2963618A"/>
    <w:rsid w:val="29870F46"/>
    <w:rsid w:val="2989303D"/>
    <w:rsid w:val="29E51041"/>
    <w:rsid w:val="2A1E44A1"/>
    <w:rsid w:val="2A24600D"/>
    <w:rsid w:val="2A4E308A"/>
    <w:rsid w:val="2A9A62D0"/>
    <w:rsid w:val="2AF52EA6"/>
    <w:rsid w:val="2B2F07C6"/>
    <w:rsid w:val="2B7345A8"/>
    <w:rsid w:val="2B8A00F2"/>
    <w:rsid w:val="2BB94533"/>
    <w:rsid w:val="2BDB094E"/>
    <w:rsid w:val="2C1520B2"/>
    <w:rsid w:val="2C167BD8"/>
    <w:rsid w:val="2C73041D"/>
    <w:rsid w:val="2C792640"/>
    <w:rsid w:val="2CA174A1"/>
    <w:rsid w:val="2CAD22EA"/>
    <w:rsid w:val="2CD258AD"/>
    <w:rsid w:val="2CD3268A"/>
    <w:rsid w:val="2CD87B57"/>
    <w:rsid w:val="2D033D08"/>
    <w:rsid w:val="2D1759B5"/>
    <w:rsid w:val="2D1B68AA"/>
    <w:rsid w:val="2D662499"/>
    <w:rsid w:val="2D8172D3"/>
    <w:rsid w:val="2D856CCB"/>
    <w:rsid w:val="2D9E1C33"/>
    <w:rsid w:val="2DBD030B"/>
    <w:rsid w:val="2DC93154"/>
    <w:rsid w:val="2E0028ED"/>
    <w:rsid w:val="2E031E2E"/>
    <w:rsid w:val="2E04418C"/>
    <w:rsid w:val="2E130F54"/>
    <w:rsid w:val="2E4B1DBB"/>
    <w:rsid w:val="2E5A0250"/>
    <w:rsid w:val="2E5E1B7B"/>
    <w:rsid w:val="2E8048AF"/>
    <w:rsid w:val="2EA4771D"/>
    <w:rsid w:val="2EA65A14"/>
    <w:rsid w:val="2EB96AE5"/>
    <w:rsid w:val="2EF97A69"/>
    <w:rsid w:val="2F083808"/>
    <w:rsid w:val="2F1C4306"/>
    <w:rsid w:val="2F266384"/>
    <w:rsid w:val="2F3E7229"/>
    <w:rsid w:val="2FE37DD1"/>
    <w:rsid w:val="30140C31"/>
    <w:rsid w:val="306B04F2"/>
    <w:rsid w:val="30977539"/>
    <w:rsid w:val="309D2676"/>
    <w:rsid w:val="30A41222"/>
    <w:rsid w:val="31085D41"/>
    <w:rsid w:val="31321010"/>
    <w:rsid w:val="313F54DB"/>
    <w:rsid w:val="31556AAC"/>
    <w:rsid w:val="3175714F"/>
    <w:rsid w:val="31B41A25"/>
    <w:rsid w:val="31B62D44"/>
    <w:rsid w:val="322E7A29"/>
    <w:rsid w:val="324816C4"/>
    <w:rsid w:val="3262491A"/>
    <w:rsid w:val="326F3B9E"/>
    <w:rsid w:val="327318E0"/>
    <w:rsid w:val="32B53CA7"/>
    <w:rsid w:val="32C53F54"/>
    <w:rsid w:val="32C959A4"/>
    <w:rsid w:val="33024A12"/>
    <w:rsid w:val="331035D3"/>
    <w:rsid w:val="33174961"/>
    <w:rsid w:val="331E1B39"/>
    <w:rsid w:val="33324FAE"/>
    <w:rsid w:val="3337078A"/>
    <w:rsid w:val="33A501AB"/>
    <w:rsid w:val="33F16F60"/>
    <w:rsid w:val="34104626"/>
    <w:rsid w:val="34125129"/>
    <w:rsid w:val="34465710"/>
    <w:rsid w:val="3450057F"/>
    <w:rsid w:val="345D45F6"/>
    <w:rsid w:val="34A57D4B"/>
    <w:rsid w:val="34B03AD6"/>
    <w:rsid w:val="34E24AFB"/>
    <w:rsid w:val="35150A2C"/>
    <w:rsid w:val="35337105"/>
    <w:rsid w:val="353D61D5"/>
    <w:rsid w:val="35571045"/>
    <w:rsid w:val="35777939"/>
    <w:rsid w:val="35846E2F"/>
    <w:rsid w:val="35935DF5"/>
    <w:rsid w:val="3598300D"/>
    <w:rsid w:val="359E6B64"/>
    <w:rsid w:val="35A95619"/>
    <w:rsid w:val="35ED7BFB"/>
    <w:rsid w:val="35FB40C6"/>
    <w:rsid w:val="3656754F"/>
    <w:rsid w:val="36716136"/>
    <w:rsid w:val="36820344"/>
    <w:rsid w:val="36B64491"/>
    <w:rsid w:val="36E27034"/>
    <w:rsid w:val="36E96615"/>
    <w:rsid w:val="37103BA1"/>
    <w:rsid w:val="371442C0"/>
    <w:rsid w:val="37585548"/>
    <w:rsid w:val="37672E6A"/>
    <w:rsid w:val="37B95FE7"/>
    <w:rsid w:val="37BB6822"/>
    <w:rsid w:val="37CD77F5"/>
    <w:rsid w:val="37D72911"/>
    <w:rsid w:val="380D6333"/>
    <w:rsid w:val="383438BF"/>
    <w:rsid w:val="38431D54"/>
    <w:rsid w:val="38445935"/>
    <w:rsid w:val="387704DC"/>
    <w:rsid w:val="387719FE"/>
    <w:rsid w:val="3894435E"/>
    <w:rsid w:val="38ED3A6E"/>
    <w:rsid w:val="3909523B"/>
    <w:rsid w:val="39A405D1"/>
    <w:rsid w:val="39A64349"/>
    <w:rsid w:val="39A84849"/>
    <w:rsid w:val="39AE1450"/>
    <w:rsid w:val="39B50A30"/>
    <w:rsid w:val="3A0948D8"/>
    <w:rsid w:val="3A63223A"/>
    <w:rsid w:val="3A6D30B9"/>
    <w:rsid w:val="3A7A7584"/>
    <w:rsid w:val="3AFE262F"/>
    <w:rsid w:val="3B3E6803"/>
    <w:rsid w:val="3BA23236"/>
    <w:rsid w:val="3BB05953"/>
    <w:rsid w:val="3BC62A80"/>
    <w:rsid w:val="3BD66A3C"/>
    <w:rsid w:val="3BF45E43"/>
    <w:rsid w:val="3C0435A9"/>
    <w:rsid w:val="3C1F6635"/>
    <w:rsid w:val="3C3F2403"/>
    <w:rsid w:val="3C5A58BF"/>
    <w:rsid w:val="3CC6146E"/>
    <w:rsid w:val="3CFC24D2"/>
    <w:rsid w:val="3D2F28A7"/>
    <w:rsid w:val="3D6844FA"/>
    <w:rsid w:val="3D6D7F4C"/>
    <w:rsid w:val="3D7F382F"/>
    <w:rsid w:val="3DF00289"/>
    <w:rsid w:val="3E5D4C7A"/>
    <w:rsid w:val="3E9458E4"/>
    <w:rsid w:val="3E990920"/>
    <w:rsid w:val="3E99447C"/>
    <w:rsid w:val="3E9A0E65"/>
    <w:rsid w:val="3EDB51F8"/>
    <w:rsid w:val="3F0062A9"/>
    <w:rsid w:val="3F0A0758"/>
    <w:rsid w:val="3F0C172B"/>
    <w:rsid w:val="3F2C0AE5"/>
    <w:rsid w:val="3F516B05"/>
    <w:rsid w:val="3F7D5B4C"/>
    <w:rsid w:val="3FAC00F9"/>
    <w:rsid w:val="3FCF3A3E"/>
    <w:rsid w:val="3FCF3ECE"/>
    <w:rsid w:val="4024421A"/>
    <w:rsid w:val="40503261"/>
    <w:rsid w:val="40525E10"/>
    <w:rsid w:val="4070547F"/>
    <w:rsid w:val="408D0011"/>
    <w:rsid w:val="408D6263"/>
    <w:rsid w:val="408E5B37"/>
    <w:rsid w:val="409A0980"/>
    <w:rsid w:val="409C46F8"/>
    <w:rsid w:val="40A73392"/>
    <w:rsid w:val="40A80AB7"/>
    <w:rsid w:val="40B530C4"/>
    <w:rsid w:val="40F33877"/>
    <w:rsid w:val="40F956A6"/>
    <w:rsid w:val="41043009"/>
    <w:rsid w:val="41320BB8"/>
    <w:rsid w:val="41E9571B"/>
    <w:rsid w:val="421D53C4"/>
    <w:rsid w:val="4258464E"/>
    <w:rsid w:val="425863FC"/>
    <w:rsid w:val="42B75819"/>
    <w:rsid w:val="42BA70B7"/>
    <w:rsid w:val="42F00D2B"/>
    <w:rsid w:val="430D368B"/>
    <w:rsid w:val="43662FA4"/>
    <w:rsid w:val="43860D47"/>
    <w:rsid w:val="43882D11"/>
    <w:rsid w:val="43B9111D"/>
    <w:rsid w:val="43D1290A"/>
    <w:rsid w:val="43F03E56"/>
    <w:rsid w:val="43F6411F"/>
    <w:rsid w:val="440D2025"/>
    <w:rsid w:val="44207E0E"/>
    <w:rsid w:val="44316C9F"/>
    <w:rsid w:val="44701859"/>
    <w:rsid w:val="44BC4DD3"/>
    <w:rsid w:val="44C50125"/>
    <w:rsid w:val="44D41900"/>
    <w:rsid w:val="44DF6E38"/>
    <w:rsid w:val="44DF74EB"/>
    <w:rsid w:val="44E64193"/>
    <w:rsid w:val="44F51BD1"/>
    <w:rsid w:val="450B59A8"/>
    <w:rsid w:val="455455A1"/>
    <w:rsid w:val="45561319"/>
    <w:rsid w:val="456826CA"/>
    <w:rsid w:val="45BB5620"/>
    <w:rsid w:val="45C51FFB"/>
    <w:rsid w:val="45C83899"/>
    <w:rsid w:val="45CD0EAF"/>
    <w:rsid w:val="4650424D"/>
    <w:rsid w:val="46C04255"/>
    <w:rsid w:val="46D74504"/>
    <w:rsid w:val="471C7AE0"/>
    <w:rsid w:val="47451645"/>
    <w:rsid w:val="47685334"/>
    <w:rsid w:val="476A10AC"/>
    <w:rsid w:val="47B642F1"/>
    <w:rsid w:val="481D7ECC"/>
    <w:rsid w:val="482A4397"/>
    <w:rsid w:val="482C6361"/>
    <w:rsid w:val="482D19C9"/>
    <w:rsid w:val="482E032B"/>
    <w:rsid w:val="48345216"/>
    <w:rsid w:val="48355EC6"/>
    <w:rsid w:val="483D056E"/>
    <w:rsid w:val="48541414"/>
    <w:rsid w:val="485E04E5"/>
    <w:rsid w:val="486378A9"/>
    <w:rsid w:val="486908F2"/>
    <w:rsid w:val="492359B6"/>
    <w:rsid w:val="492434DC"/>
    <w:rsid w:val="49325BF9"/>
    <w:rsid w:val="4989333F"/>
    <w:rsid w:val="49E63B8C"/>
    <w:rsid w:val="4A3A6AD6"/>
    <w:rsid w:val="4A3E412A"/>
    <w:rsid w:val="4A4C4A99"/>
    <w:rsid w:val="4A5D6CA6"/>
    <w:rsid w:val="4A7B537E"/>
    <w:rsid w:val="4AC5484B"/>
    <w:rsid w:val="4AD131F0"/>
    <w:rsid w:val="4AF64A04"/>
    <w:rsid w:val="4B0709C0"/>
    <w:rsid w:val="4B1706C2"/>
    <w:rsid w:val="4B374E90"/>
    <w:rsid w:val="4B5005B9"/>
    <w:rsid w:val="4B5700E4"/>
    <w:rsid w:val="4B5F25AA"/>
    <w:rsid w:val="4B991F60"/>
    <w:rsid w:val="4BBF1EF3"/>
    <w:rsid w:val="4C1B2975"/>
    <w:rsid w:val="4C3457E4"/>
    <w:rsid w:val="4C762224"/>
    <w:rsid w:val="4CE03BBE"/>
    <w:rsid w:val="4D1B1945"/>
    <w:rsid w:val="4D2373BA"/>
    <w:rsid w:val="4D673998"/>
    <w:rsid w:val="4D73233C"/>
    <w:rsid w:val="4D7E765F"/>
    <w:rsid w:val="4D827EB9"/>
    <w:rsid w:val="4D9662FF"/>
    <w:rsid w:val="4E045E55"/>
    <w:rsid w:val="4ECC61A8"/>
    <w:rsid w:val="4EE86E84"/>
    <w:rsid w:val="4EF61477"/>
    <w:rsid w:val="4F1E0688"/>
    <w:rsid w:val="4F4B3D3E"/>
    <w:rsid w:val="4F7A5C04"/>
    <w:rsid w:val="4F9D18F3"/>
    <w:rsid w:val="4FB235F0"/>
    <w:rsid w:val="4FB56C3C"/>
    <w:rsid w:val="4FC2067F"/>
    <w:rsid w:val="4FDA48F5"/>
    <w:rsid w:val="4FE31FFC"/>
    <w:rsid w:val="4FEB6B02"/>
    <w:rsid w:val="50175B49"/>
    <w:rsid w:val="50412BC6"/>
    <w:rsid w:val="50B41558"/>
    <w:rsid w:val="51581F75"/>
    <w:rsid w:val="516A7EFA"/>
    <w:rsid w:val="51750D79"/>
    <w:rsid w:val="517D3175"/>
    <w:rsid w:val="519A07DF"/>
    <w:rsid w:val="51C846F3"/>
    <w:rsid w:val="51D174B1"/>
    <w:rsid w:val="51DC2BA6"/>
    <w:rsid w:val="522B58DB"/>
    <w:rsid w:val="524B3888"/>
    <w:rsid w:val="52742DDF"/>
    <w:rsid w:val="527F631B"/>
    <w:rsid w:val="5283316D"/>
    <w:rsid w:val="528943B0"/>
    <w:rsid w:val="52AA6A41"/>
    <w:rsid w:val="52D910E5"/>
    <w:rsid w:val="52DB0D18"/>
    <w:rsid w:val="52F65BC8"/>
    <w:rsid w:val="53193986"/>
    <w:rsid w:val="534A1D91"/>
    <w:rsid w:val="538C4158"/>
    <w:rsid w:val="53EC4BF7"/>
    <w:rsid w:val="53F35F85"/>
    <w:rsid w:val="54065CB8"/>
    <w:rsid w:val="541D7610"/>
    <w:rsid w:val="542425E2"/>
    <w:rsid w:val="543547EF"/>
    <w:rsid w:val="549459BA"/>
    <w:rsid w:val="549B3399"/>
    <w:rsid w:val="54B61B71"/>
    <w:rsid w:val="54DB0444"/>
    <w:rsid w:val="550348EE"/>
    <w:rsid w:val="5503669C"/>
    <w:rsid w:val="55197C6D"/>
    <w:rsid w:val="552B25EE"/>
    <w:rsid w:val="55525C11"/>
    <w:rsid w:val="556C4241"/>
    <w:rsid w:val="55986DE4"/>
    <w:rsid w:val="55B81234"/>
    <w:rsid w:val="55CF47D0"/>
    <w:rsid w:val="55CF5EF1"/>
    <w:rsid w:val="5622559B"/>
    <w:rsid w:val="562875A6"/>
    <w:rsid w:val="563C00B7"/>
    <w:rsid w:val="56462CE4"/>
    <w:rsid w:val="56CD6F61"/>
    <w:rsid w:val="56FE35BF"/>
    <w:rsid w:val="57081D47"/>
    <w:rsid w:val="57193F55"/>
    <w:rsid w:val="571C57F3"/>
    <w:rsid w:val="57200B83"/>
    <w:rsid w:val="57555DE6"/>
    <w:rsid w:val="57711FE2"/>
    <w:rsid w:val="57B123DF"/>
    <w:rsid w:val="57B74395"/>
    <w:rsid w:val="57B95737"/>
    <w:rsid w:val="57C87729"/>
    <w:rsid w:val="57E427B4"/>
    <w:rsid w:val="57F535F0"/>
    <w:rsid w:val="58101160"/>
    <w:rsid w:val="58663728"/>
    <w:rsid w:val="58B27195"/>
    <w:rsid w:val="58E40592"/>
    <w:rsid w:val="58FC1D80"/>
    <w:rsid w:val="596811C3"/>
    <w:rsid w:val="598A113A"/>
    <w:rsid w:val="59D6437F"/>
    <w:rsid w:val="59E06FAB"/>
    <w:rsid w:val="59E36A9C"/>
    <w:rsid w:val="59FD5DAF"/>
    <w:rsid w:val="5A4C6CD8"/>
    <w:rsid w:val="5A4E03B9"/>
    <w:rsid w:val="5A58296B"/>
    <w:rsid w:val="5A5D23AA"/>
    <w:rsid w:val="5A7823A2"/>
    <w:rsid w:val="5A787D76"/>
    <w:rsid w:val="5AD56B5A"/>
    <w:rsid w:val="5B2F1F99"/>
    <w:rsid w:val="5B555777"/>
    <w:rsid w:val="5B597015"/>
    <w:rsid w:val="5BA364E3"/>
    <w:rsid w:val="5BBB1A7E"/>
    <w:rsid w:val="5BC22E0D"/>
    <w:rsid w:val="5BD20B76"/>
    <w:rsid w:val="5BE977B3"/>
    <w:rsid w:val="5BF15A06"/>
    <w:rsid w:val="5BF25068"/>
    <w:rsid w:val="5C030AA8"/>
    <w:rsid w:val="5C084598"/>
    <w:rsid w:val="5C090F2F"/>
    <w:rsid w:val="5C693288"/>
    <w:rsid w:val="5C6E4DC9"/>
    <w:rsid w:val="5CA50038"/>
    <w:rsid w:val="5CB94A17"/>
    <w:rsid w:val="5CFF3BED"/>
    <w:rsid w:val="5D221689"/>
    <w:rsid w:val="5D414205"/>
    <w:rsid w:val="5D50269A"/>
    <w:rsid w:val="5D7E1EC0"/>
    <w:rsid w:val="5DA87DE0"/>
    <w:rsid w:val="5DFE5C52"/>
    <w:rsid w:val="5E4919D3"/>
    <w:rsid w:val="5EB32EE1"/>
    <w:rsid w:val="5EE96902"/>
    <w:rsid w:val="5EFF6126"/>
    <w:rsid w:val="5F092B01"/>
    <w:rsid w:val="5F1A4D0E"/>
    <w:rsid w:val="5F323AA6"/>
    <w:rsid w:val="5F4E6765"/>
    <w:rsid w:val="5F7C1524"/>
    <w:rsid w:val="5F9C5723"/>
    <w:rsid w:val="5FAF18FA"/>
    <w:rsid w:val="600532C8"/>
    <w:rsid w:val="6036191B"/>
    <w:rsid w:val="6040150D"/>
    <w:rsid w:val="60477D84"/>
    <w:rsid w:val="606E3563"/>
    <w:rsid w:val="609603C4"/>
    <w:rsid w:val="60A96349"/>
    <w:rsid w:val="60F82E2D"/>
    <w:rsid w:val="60FD48E7"/>
    <w:rsid w:val="61001CE1"/>
    <w:rsid w:val="6118527D"/>
    <w:rsid w:val="612F6320"/>
    <w:rsid w:val="61734BA9"/>
    <w:rsid w:val="61AD3C17"/>
    <w:rsid w:val="61B45646"/>
    <w:rsid w:val="61EE40B9"/>
    <w:rsid w:val="62214205"/>
    <w:rsid w:val="623F6839"/>
    <w:rsid w:val="627E7362"/>
    <w:rsid w:val="62B15989"/>
    <w:rsid w:val="62E3561A"/>
    <w:rsid w:val="62E52BF0"/>
    <w:rsid w:val="630006BE"/>
    <w:rsid w:val="63500CFE"/>
    <w:rsid w:val="63A4104A"/>
    <w:rsid w:val="63BA261B"/>
    <w:rsid w:val="63BC2837"/>
    <w:rsid w:val="63C16BEA"/>
    <w:rsid w:val="63DC4C88"/>
    <w:rsid w:val="642E107D"/>
    <w:rsid w:val="642F1B54"/>
    <w:rsid w:val="645C1924"/>
    <w:rsid w:val="6477675E"/>
    <w:rsid w:val="6490560B"/>
    <w:rsid w:val="64942E6C"/>
    <w:rsid w:val="64EA33D4"/>
    <w:rsid w:val="64FC57C2"/>
    <w:rsid w:val="651B7271"/>
    <w:rsid w:val="657C2D0E"/>
    <w:rsid w:val="659417A4"/>
    <w:rsid w:val="659D726C"/>
    <w:rsid w:val="65B37C6A"/>
    <w:rsid w:val="65C94540"/>
    <w:rsid w:val="65F8742B"/>
    <w:rsid w:val="65FF2424"/>
    <w:rsid w:val="664D59C9"/>
    <w:rsid w:val="6663130C"/>
    <w:rsid w:val="668F6040"/>
    <w:rsid w:val="66B028AC"/>
    <w:rsid w:val="66B73179"/>
    <w:rsid w:val="66C11F13"/>
    <w:rsid w:val="66D103A8"/>
    <w:rsid w:val="66EF082E"/>
    <w:rsid w:val="66F67E0E"/>
    <w:rsid w:val="674F5770"/>
    <w:rsid w:val="677953F6"/>
    <w:rsid w:val="6784541A"/>
    <w:rsid w:val="67CA4DF7"/>
    <w:rsid w:val="67F500C6"/>
    <w:rsid w:val="6804655B"/>
    <w:rsid w:val="68250567"/>
    <w:rsid w:val="688D47A2"/>
    <w:rsid w:val="68AA5354"/>
    <w:rsid w:val="68AB69D7"/>
    <w:rsid w:val="68E1689C"/>
    <w:rsid w:val="690D7691"/>
    <w:rsid w:val="691B3B5C"/>
    <w:rsid w:val="69205616"/>
    <w:rsid w:val="69231D99"/>
    <w:rsid w:val="69531548"/>
    <w:rsid w:val="697B45FB"/>
    <w:rsid w:val="6981521F"/>
    <w:rsid w:val="6996429D"/>
    <w:rsid w:val="69A51678"/>
    <w:rsid w:val="6A541451"/>
    <w:rsid w:val="6A8C11F2"/>
    <w:rsid w:val="6AAB7162"/>
    <w:rsid w:val="6ADE12E5"/>
    <w:rsid w:val="6B431148"/>
    <w:rsid w:val="6B6F018F"/>
    <w:rsid w:val="6BA73DCD"/>
    <w:rsid w:val="6BF3491C"/>
    <w:rsid w:val="6C2E180A"/>
    <w:rsid w:val="6C3F4E4E"/>
    <w:rsid w:val="6C560CAF"/>
    <w:rsid w:val="6C5D26DE"/>
    <w:rsid w:val="6CB30550"/>
    <w:rsid w:val="6CB57E24"/>
    <w:rsid w:val="6CBF6EF4"/>
    <w:rsid w:val="6D095228"/>
    <w:rsid w:val="6D1D48B7"/>
    <w:rsid w:val="6D4425D2"/>
    <w:rsid w:val="6D891452"/>
    <w:rsid w:val="6D920165"/>
    <w:rsid w:val="6D9D5488"/>
    <w:rsid w:val="6DDB33BB"/>
    <w:rsid w:val="6E1F2C65"/>
    <w:rsid w:val="6E9C573F"/>
    <w:rsid w:val="6EE844E0"/>
    <w:rsid w:val="6EFC61DE"/>
    <w:rsid w:val="6F0D2199"/>
    <w:rsid w:val="6FF46EB5"/>
    <w:rsid w:val="6FFD045F"/>
    <w:rsid w:val="702C664F"/>
    <w:rsid w:val="704240C4"/>
    <w:rsid w:val="70721977"/>
    <w:rsid w:val="708B5A6B"/>
    <w:rsid w:val="708F2650"/>
    <w:rsid w:val="70B14DA6"/>
    <w:rsid w:val="70C66AA3"/>
    <w:rsid w:val="70D958BC"/>
    <w:rsid w:val="713A08A9"/>
    <w:rsid w:val="71866233"/>
    <w:rsid w:val="71A010A2"/>
    <w:rsid w:val="71B96608"/>
    <w:rsid w:val="71C34D91"/>
    <w:rsid w:val="71E929E5"/>
    <w:rsid w:val="72231CD3"/>
    <w:rsid w:val="7229553C"/>
    <w:rsid w:val="722A12B4"/>
    <w:rsid w:val="7235379B"/>
    <w:rsid w:val="723D2D95"/>
    <w:rsid w:val="72402057"/>
    <w:rsid w:val="72451C4A"/>
    <w:rsid w:val="724A3704"/>
    <w:rsid w:val="727A2DEB"/>
    <w:rsid w:val="72AE77EF"/>
    <w:rsid w:val="72B1108D"/>
    <w:rsid w:val="7346211D"/>
    <w:rsid w:val="73614861"/>
    <w:rsid w:val="737A5923"/>
    <w:rsid w:val="7393283D"/>
    <w:rsid w:val="73B88F80"/>
    <w:rsid w:val="73C03C7E"/>
    <w:rsid w:val="73D86C91"/>
    <w:rsid w:val="73EF00BF"/>
    <w:rsid w:val="741E09A4"/>
    <w:rsid w:val="74212243"/>
    <w:rsid w:val="749649DF"/>
    <w:rsid w:val="749857BF"/>
    <w:rsid w:val="74AB0A44"/>
    <w:rsid w:val="74AD776E"/>
    <w:rsid w:val="74C652C4"/>
    <w:rsid w:val="74C94E19"/>
    <w:rsid w:val="75054F76"/>
    <w:rsid w:val="759251A6"/>
    <w:rsid w:val="760D6F22"/>
    <w:rsid w:val="76263B40"/>
    <w:rsid w:val="76937428"/>
    <w:rsid w:val="769431A0"/>
    <w:rsid w:val="769A6A08"/>
    <w:rsid w:val="76C16F73"/>
    <w:rsid w:val="76DD69CC"/>
    <w:rsid w:val="76E01F41"/>
    <w:rsid w:val="772047AB"/>
    <w:rsid w:val="77A318EC"/>
    <w:rsid w:val="77E15F71"/>
    <w:rsid w:val="78025A15"/>
    <w:rsid w:val="78767001"/>
    <w:rsid w:val="787A073D"/>
    <w:rsid w:val="789254BD"/>
    <w:rsid w:val="78947487"/>
    <w:rsid w:val="78CD4747"/>
    <w:rsid w:val="78DE6954"/>
    <w:rsid w:val="78E04567"/>
    <w:rsid w:val="790A14F7"/>
    <w:rsid w:val="791D56CF"/>
    <w:rsid w:val="7931117A"/>
    <w:rsid w:val="793D7B1F"/>
    <w:rsid w:val="798C1249"/>
    <w:rsid w:val="7A0643B5"/>
    <w:rsid w:val="7A4078C7"/>
    <w:rsid w:val="7A523156"/>
    <w:rsid w:val="7A85352B"/>
    <w:rsid w:val="7A8C43C6"/>
    <w:rsid w:val="7AA2698F"/>
    <w:rsid w:val="7AAC0AB8"/>
    <w:rsid w:val="7AAD65DE"/>
    <w:rsid w:val="7AE00762"/>
    <w:rsid w:val="7AFB3B2F"/>
    <w:rsid w:val="7B783090"/>
    <w:rsid w:val="7BAE6AB2"/>
    <w:rsid w:val="7BB340C8"/>
    <w:rsid w:val="7BE25154"/>
    <w:rsid w:val="7BE7708B"/>
    <w:rsid w:val="7BF73FB5"/>
    <w:rsid w:val="7C1032C9"/>
    <w:rsid w:val="7C350F81"/>
    <w:rsid w:val="7C43369E"/>
    <w:rsid w:val="7C851F6D"/>
    <w:rsid w:val="7CB974BC"/>
    <w:rsid w:val="7D4C20DE"/>
    <w:rsid w:val="7D503278"/>
    <w:rsid w:val="7D6A5E50"/>
    <w:rsid w:val="7D8C6BBD"/>
    <w:rsid w:val="7DA57DB2"/>
    <w:rsid w:val="7DA963CF"/>
    <w:rsid w:val="7DD16A88"/>
    <w:rsid w:val="7DFA7D8C"/>
    <w:rsid w:val="7E1A3F8B"/>
    <w:rsid w:val="7EB02B41"/>
    <w:rsid w:val="7F8E2E8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widowControl/>
      <w:spacing w:before="340" w:after="330" w:line="576" w:lineRule="auto"/>
    </w:pPr>
    <w:rPr>
      <w:rFonts w:ascii="???" w:hAnsi="???" w:eastAsia="宋体" w:cs="Arial"/>
      <w:color w:val="020000"/>
      <w:kern w:val="36"/>
      <w:sz w:val="44"/>
      <w:szCs w:val="44"/>
    </w:rPr>
  </w:style>
  <w:style w:type="paragraph" w:styleId="3">
    <w:name w:val="heading 2"/>
    <w:basedOn w:val="1"/>
    <w:next w:val="1"/>
    <w:link w:val="61"/>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3"/>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6">
    <w:name w:val="heading 5"/>
    <w:basedOn w:val="1"/>
    <w:next w:val="1"/>
    <w:link w:val="220"/>
    <w:unhideWhenUsed/>
    <w:qFormat/>
    <w:uiPriority w:val="0"/>
    <w:pPr>
      <w:keepNext/>
      <w:keepLines/>
      <w:spacing w:before="280" w:after="290" w:line="376" w:lineRule="auto"/>
      <w:outlineLvl w:val="4"/>
    </w:pPr>
    <w:rPr>
      <w:b/>
      <w:bCs/>
      <w:sz w:val="28"/>
      <w:szCs w:val="2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Times New Roman" w:hAnsi="Times New Roman" w:eastAsia="宋体" w:cs="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next w:val="1"/>
    <w:link w:val="114"/>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32"/>
    <w:qFormat/>
    <w:uiPriority w:val="0"/>
    <w:rPr>
      <w:rFonts w:ascii="宋体" w:hAnsi="Calibri" w:eastAsia="宋体" w:cs="Times New Roman"/>
      <w:kern w:val="0"/>
      <w:sz w:val="18"/>
      <w:szCs w:val="20"/>
    </w:rPr>
  </w:style>
  <w:style w:type="paragraph" w:styleId="11">
    <w:name w:val="toa heading"/>
    <w:basedOn w:val="1"/>
    <w:next w:val="1"/>
    <w:unhideWhenUsed/>
    <w:qFormat/>
    <w:uiPriority w:val="0"/>
    <w:pPr>
      <w:spacing w:before="120"/>
    </w:pPr>
    <w:rPr>
      <w:rFonts w:ascii="Cambria" w:hAnsi="Cambria" w:eastAsia="宋体" w:cs="Times New Roman"/>
      <w:sz w:val="24"/>
    </w:rPr>
  </w:style>
  <w:style w:type="paragraph" w:styleId="12">
    <w:name w:val="annotation text"/>
    <w:basedOn w:val="1"/>
    <w:link w:val="160"/>
    <w:qFormat/>
    <w:uiPriority w:val="0"/>
    <w:pPr>
      <w:jc w:val="left"/>
    </w:pPr>
  </w:style>
  <w:style w:type="paragraph" w:styleId="13">
    <w:name w:val="Salutation"/>
    <w:basedOn w:val="1"/>
    <w:next w:val="1"/>
    <w:link w:val="221"/>
    <w:qFormat/>
    <w:uiPriority w:val="0"/>
    <w:rPr>
      <w:rFonts w:ascii="宋体" w:hAnsi="Times New Roman" w:eastAsia="宋体" w:cs="Times New Roman"/>
      <w:b/>
      <w:sz w:val="28"/>
      <w:szCs w:val="24"/>
    </w:rPr>
  </w:style>
  <w:style w:type="paragraph" w:styleId="14">
    <w:name w:val="Body Text"/>
    <w:basedOn w:val="1"/>
    <w:next w:val="15"/>
    <w:link w:val="135"/>
    <w:qFormat/>
    <w:uiPriority w:val="99"/>
    <w:pPr>
      <w:spacing w:after="120"/>
    </w:pPr>
    <w:rPr>
      <w:rFonts w:ascii="Calibri" w:hAnsi="Calibri" w:eastAsia="宋体" w:cs="Times New Roman"/>
      <w:kern w:val="0"/>
      <w:sz w:val="24"/>
      <w:szCs w:val="20"/>
    </w:rPr>
  </w:style>
  <w:style w:type="paragraph" w:styleId="15">
    <w:name w:val="Body Text First Indent"/>
    <w:basedOn w:val="14"/>
    <w:link w:val="223"/>
    <w:qFormat/>
    <w:uiPriority w:val="0"/>
    <w:pPr>
      <w:autoSpaceDE w:val="0"/>
      <w:autoSpaceDN w:val="0"/>
      <w:adjustRightInd w:val="0"/>
      <w:spacing w:line="360" w:lineRule="auto"/>
      <w:ind w:firstLine="420" w:firstLineChars="200"/>
    </w:pPr>
    <w:rPr>
      <w:rFonts w:ascii="Arial" w:hAnsi="Arial"/>
      <w:sz w:val="20"/>
      <w:szCs w:val="21"/>
    </w:rPr>
  </w:style>
  <w:style w:type="paragraph" w:styleId="16">
    <w:name w:val="Body Text Indent"/>
    <w:basedOn w:val="1"/>
    <w:link w:val="66"/>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0"/>
    <w:rPr>
      <w:rFonts w:ascii="宋体" w:hAnsi="Courier New" w:eastAsia="宋体" w:cs="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5"/>
    <w:qFormat/>
    <w:uiPriority w:val="0"/>
    <w:rPr>
      <w:szCs w:val="21"/>
    </w:rPr>
  </w:style>
  <w:style w:type="paragraph" w:styleId="22">
    <w:name w:val="Body Text Indent 2"/>
    <w:basedOn w:val="1"/>
    <w:link w:val="12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78"/>
    <w:qFormat/>
    <w:uiPriority w:val="0"/>
    <w:rPr>
      <w:rFonts w:ascii="Calibri" w:hAnsi="Calibri" w:eastAsia="宋体" w:cs="Times New Roman"/>
      <w:sz w:val="18"/>
      <w:szCs w:val="18"/>
    </w:rPr>
  </w:style>
  <w:style w:type="paragraph" w:styleId="24">
    <w:name w:val="footer"/>
    <w:basedOn w:val="1"/>
    <w:link w:val="65"/>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link w:val="222"/>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29">
    <w:name w:val="footnote text"/>
    <w:basedOn w:val="1"/>
    <w:link w:val="172"/>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0"/>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Body Text 2"/>
    <w:basedOn w:val="1"/>
    <w:link w:val="205"/>
    <w:unhideWhenUsed/>
    <w:qFormat/>
    <w:uiPriority w:val="99"/>
    <w:pPr>
      <w:spacing w:after="120" w:line="480" w:lineRule="auto"/>
    </w:pPr>
  </w:style>
  <w:style w:type="paragraph" w:styleId="36">
    <w:name w:val="List Continue 2"/>
    <w:basedOn w:val="1"/>
    <w:qFormat/>
    <w:uiPriority w:val="99"/>
    <w:pPr>
      <w:spacing w:after="120"/>
      <w:ind w:left="840" w:leftChars="400"/>
    </w:pPr>
    <w:rPr>
      <w:rFonts w:ascii="Times New Roman" w:hAnsi="Times New Roman" w:eastAsia="宋体" w:cs="Times New Roman"/>
      <w:szCs w:val="24"/>
    </w:rPr>
  </w:style>
  <w:style w:type="paragraph" w:styleId="37">
    <w:name w:val="HTML Preformatted"/>
    <w:basedOn w:val="1"/>
    <w:link w:val="21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9">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0">
    <w:name w:val="Title"/>
    <w:basedOn w:val="1"/>
    <w:next w:val="1"/>
    <w:link w:val="158"/>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2"/>
    <w:next w:val="12"/>
    <w:link w:val="165"/>
    <w:qFormat/>
    <w:uiPriority w:val="0"/>
    <w:rPr>
      <w:b/>
      <w:bCs/>
    </w:rPr>
  </w:style>
  <w:style w:type="paragraph" w:styleId="42">
    <w:name w:val="Body Text First Indent 2"/>
    <w:basedOn w:val="16"/>
    <w:next w:val="14"/>
    <w:link w:val="20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qFormat/>
    <w:uiPriority w:val="22"/>
    <w:rPr>
      <w:rFonts w:cs="Times New Roman"/>
      <w:b/>
    </w:rPr>
  </w:style>
  <w:style w:type="character" w:styleId="47">
    <w:name w:val="page number"/>
    <w:basedOn w:val="45"/>
    <w:qFormat/>
    <w:uiPriority w:val="0"/>
    <w:rPr>
      <w:rFonts w:cs="Times New Roman"/>
    </w:rPr>
  </w:style>
  <w:style w:type="character" w:styleId="48">
    <w:name w:val="FollowedHyperlink"/>
    <w:basedOn w:val="45"/>
    <w:qFormat/>
    <w:uiPriority w:val="99"/>
    <w:rPr>
      <w:rFonts w:cs="Times New Roman"/>
      <w:color w:val="555555"/>
      <w:u w:val="none"/>
    </w:rPr>
  </w:style>
  <w:style w:type="character" w:styleId="49">
    <w:name w:val="Emphasis"/>
    <w:basedOn w:val="45"/>
    <w:qFormat/>
    <w:uiPriority w:val="0"/>
    <w:rPr>
      <w:rFonts w:cs="Times New Roman"/>
      <w:i/>
    </w:rPr>
  </w:style>
  <w:style w:type="character" w:styleId="50">
    <w:name w:val="HTML Definition"/>
    <w:basedOn w:val="45"/>
    <w:qFormat/>
    <w:uiPriority w:val="99"/>
    <w:rPr>
      <w:rFonts w:cs="Times New Roman"/>
    </w:rPr>
  </w:style>
  <w:style w:type="character" w:styleId="51">
    <w:name w:val="HTML Acronym"/>
    <w:basedOn w:val="45"/>
    <w:qFormat/>
    <w:uiPriority w:val="99"/>
    <w:rPr>
      <w:rFonts w:cs="Times New Roman"/>
    </w:rPr>
  </w:style>
  <w:style w:type="character" w:styleId="52">
    <w:name w:val="HTML Variable"/>
    <w:basedOn w:val="45"/>
    <w:qFormat/>
    <w:uiPriority w:val="99"/>
    <w:rPr>
      <w:rFonts w:cs="Times New Roman"/>
    </w:rPr>
  </w:style>
  <w:style w:type="character" w:styleId="53">
    <w:name w:val="Hyperlink"/>
    <w:basedOn w:val="45"/>
    <w:qFormat/>
    <w:uiPriority w:val="99"/>
    <w:rPr>
      <w:rFonts w:cs="Times New Roman"/>
      <w:color w:val="555555"/>
      <w:u w:val="none"/>
    </w:rPr>
  </w:style>
  <w:style w:type="character" w:styleId="54">
    <w:name w:val="HTML Code"/>
    <w:basedOn w:val="45"/>
    <w:qFormat/>
    <w:uiPriority w:val="99"/>
    <w:rPr>
      <w:rFonts w:ascii="monospace" w:hAnsi="monospace" w:cs="Times New Roman"/>
      <w:sz w:val="24"/>
    </w:rPr>
  </w:style>
  <w:style w:type="character" w:styleId="55">
    <w:name w:val="annotation reference"/>
    <w:qFormat/>
    <w:uiPriority w:val="0"/>
    <w:rPr>
      <w:sz w:val="21"/>
      <w:szCs w:val="21"/>
    </w:rPr>
  </w:style>
  <w:style w:type="character" w:styleId="56">
    <w:name w:val="HTML Cite"/>
    <w:basedOn w:val="45"/>
    <w:qFormat/>
    <w:uiPriority w:val="99"/>
    <w:rPr>
      <w:rFonts w:cs="Times New Roman"/>
    </w:rPr>
  </w:style>
  <w:style w:type="character" w:styleId="57">
    <w:name w:val="footnote reference"/>
    <w:semiHidden/>
    <w:qFormat/>
    <w:uiPriority w:val="0"/>
    <w:rPr>
      <w:vertAlign w:val="superscript"/>
    </w:rPr>
  </w:style>
  <w:style w:type="character" w:styleId="58">
    <w:name w:val="HTML Keyboard"/>
    <w:basedOn w:val="45"/>
    <w:qFormat/>
    <w:uiPriority w:val="99"/>
    <w:rPr>
      <w:rFonts w:ascii="monospace" w:hAnsi="monospace" w:cs="Times New Roman"/>
      <w:sz w:val="24"/>
    </w:rPr>
  </w:style>
  <w:style w:type="character" w:styleId="59">
    <w:name w:val="HTML Sample"/>
    <w:basedOn w:val="45"/>
    <w:qFormat/>
    <w:uiPriority w:val="99"/>
    <w:rPr>
      <w:rFonts w:ascii="monospace" w:hAnsi="monospace" w:cs="Times New Roman"/>
      <w:sz w:val="24"/>
    </w:rPr>
  </w:style>
  <w:style w:type="paragraph" w:customStyle="1" w:styleId="60">
    <w:name w:val="目录 81"/>
    <w:basedOn w:val="1"/>
    <w:next w:val="1"/>
    <w:qFormat/>
    <w:uiPriority w:val="99"/>
    <w:pPr>
      <w:ind w:left="1470"/>
      <w:jc w:val="left"/>
    </w:pPr>
  </w:style>
  <w:style w:type="character" w:customStyle="1" w:styleId="61">
    <w:name w:val="标题 2 Char"/>
    <w:basedOn w:val="45"/>
    <w:link w:val="3"/>
    <w:qFormat/>
    <w:uiPriority w:val="99"/>
    <w:rPr>
      <w:rFonts w:ascii="???" w:hAnsi="???" w:eastAsia="宋体" w:cs="Arial"/>
      <w:b/>
      <w:bCs/>
      <w:color w:val="020000"/>
      <w:kern w:val="0"/>
      <w:sz w:val="32"/>
      <w:szCs w:val="32"/>
    </w:rPr>
  </w:style>
  <w:style w:type="character" w:customStyle="1" w:styleId="62">
    <w:name w:val="标题 1 Char"/>
    <w:basedOn w:val="45"/>
    <w:link w:val="2"/>
    <w:qFormat/>
    <w:uiPriority w:val="9"/>
    <w:rPr>
      <w:rFonts w:ascii="???" w:hAnsi="???" w:eastAsia="宋体" w:cs="Arial"/>
      <w:b/>
      <w:bCs/>
      <w:color w:val="020000"/>
      <w:kern w:val="36"/>
      <w:sz w:val="44"/>
      <w:szCs w:val="44"/>
    </w:rPr>
  </w:style>
  <w:style w:type="character" w:customStyle="1" w:styleId="63">
    <w:name w:val="标题 3 Char"/>
    <w:basedOn w:val="45"/>
    <w:link w:val="4"/>
    <w:qFormat/>
    <w:uiPriority w:val="99"/>
    <w:rPr>
      <w:rFonts w:ascii="??" w:hAnsi="??" w:eastAsia="宋体" w:cs="Arial"/>
      <w:b/>
      <w:bCs/>
      <w:color w:val="000000"/>
      <w:kern w:val="0"/>
      <w:sz w:val="32"/>
      <w:szCs w:val="32"/>
    </w:rPr>
  </w:style>
  <w:style w:type="character" w:customStyle="1" w:styleId="64">
    <w:name w:val="页眉 Char"/>
    <w:basedOn w:val="45"/>
    <w:link w:val="25"/>
    <w:qFormat/>
    <w:uiPriority w:val="99"/>
    <w:rPr>
      <w:rFonts w:ascii="Calibri" w:hAnsi="Calibri" w:eastAsia="宋体" w:cs="Times New Roman"/>
      <w:sz w:val="18"/>
      <w:szCs w:val="18"/>
    </w:rPr>
  </w:style>
  <w:style w:type="character" w:customStyle="1" w:styleId="65">
    <w:name w:val="页脚 Char"/>
    <w:basedOn w:val="45"/>
    <w:link w:val="24"/>
    <w:qFormat/>
    <w:uiPriority w:val="99"/>
    <w:rPr>
      <w:rFonts w:ascii="Calibri" w:hAnsi="Calibri" w:eastAsia="宋体" w:cs="Times New Roman"/>
      <w:sz w:val="18"/>
      <w:szCs w:val="18"/>
    </w:rPr>
  </w:style>
  <w:style w:type="character" w:customStyle="1" w:styleId="66">
    <w:name w:val="正文文本缩进 Char"/>
    <w:basedOn w:val="45"/>
    <w:link w:val="16"/>
    <w:qFormat/>
    <w:uiPriority w:val="0"/>
    <w:rPr>
      <w:rFonts w:ascii="??" w:hAnsi="??" w:eastAsia="宋体" w:cs="Arial"/>
      <w:kern w:val="0"/>
      <w:sz w:val="24"/>
      <w:szCs w:val="24"/>
    </w:rPr>
  </w:style>
  <w:style w:type="paragraph" w:customStyle="1" w:styleId="67">
    <w:name w:val="列出段落1"/>
    <w:basedOn w:val="1"/>
    <w:link w:val="208"/>
    <w:qFormat/>
    <w:uiPriority w:val="0"/>
    <w:pPr>
      <w:ind w:firstLine="420" w:firstLineChars="200"/>
    </w:pPr>
    <w:rPr>
      <w:rFonts w:ascii="Calibri" w:hAnsi="Calibri" w:eastAsia="宋体" w:cs="Times New Roman"/>
    </w:rPr>
  </w:style>
  <w:style w:type="character" w:customStyle="1" w:styleId="68">
    <w:name w:val="标题 2 Char Char"/>
    <w:qFormat/>
    <w:uiPriority w:val="99"/>
    <w:rPr>
      <w:rFonts w:ascii="Arial" w:hAnsi="Arial" w:eastAsia="黑体"/>
      <w:b/>
      <w:kern w:val="2"/>
      <w:sz w:val="32"/>
      <w:lang w:val="en-US" w:eastAsia="zh-CN"/>
    </w:rPr>
  </w:style>
  <w:style w:type="character" w:customStyle="1" w:styleId="69">
    <w:name w:val="2charchar"/>
    <w:basedOn w:val="45"/>
    <w:qFormat/>
    <w:uiPriority w:val="99"/>
    <w:rPr>
      <w:rFonts w:cs="Times New Roman"/>
    </w:rPr>
  </w:style>
  <w:style w:type="paragraph" w:customStyle="1" w:styleId="70">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1">
    <w:name w:val="z-窗体顶端1"/>
    <w:basedOn w:val="1"/>
    <w:next w:val="1"/>
    <w:link w:val="7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2">
    <w:name w:val="z-窗体顶端 Char"/>
    <w:basedOn w:val="45"/>
    <w:link w:val="71"/>
    <w:semiHidden/>
    <w:qFormat/>
    <w:uiPriority w:val="99"/>
    <w:rPr>
      <w:rFonts w:ascii="Arial" w:hAnsi="Arial" w:eastAsia="宋体" w:cs="Arial"/>
      <w:vanish/>
      <w:kern w:val="0"/>
      <w:sz w:val="16"/>
      <w:szCs w:val="16"/>
    </w:rPr>
  </w:style>
  <w:style w:type="paragraph" w:customStyle="1" w:styleId="73">
    <w:name w:val="z-窗体底端1"/>
    <w:basedOn w:val="1"/>
    <w:next w:val="1"/>
    <w:link w:val="7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4">
    <w:name w:val="z-窗体底端 Char"/>
    <w:basedOn w:val="45"/>
    <w:link w:val="73"/>
    <w:semiHidden/>
    <w:qFormat/>
    <w:uiPriority w:val="99"/>
    <w:rPr>
      <w:rFonts w:ascii="Arial" w:hAnsi="Arial" w:eastAsia="宋体" w:cs="Arial"/>
      <w:vanish/>
      <w:kern w:val="0"/>
      <w:sz w:val="16"/>
      <w:szCs w:val="16"/>
    </w:rPr>
  </w:style>
  <w:style w:type="paragraph" w:customStyle="1" w:styleId="75">
    <w:name w:val="hu正文"/>
    <w:basedOn w:val="1"/>
    <w:link w:val="7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6">
    <w:name w:val="hu正文 Char"/>
    <w:link w:val="75"/>
    <w:qFormat/>
    <w:locked/>
    <w:uiPriority w:val="99"/>
    <w:rPr>
      <w:rFonts w:ascii="Times New Roman" w:hAnsi="Times New Roman" w:eastAsia="宋体" w:cs="Times New Roman"/>
      <w:kern w:val="0"/>
      <w:sz w:val="24"/>
      <w:szCs w:val="20"/>
    </w:rPr>
  </w:style>
  <w:style w:type="paragraph" w:customStyle="1" w:styleId="7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8">
    <w:name w:val="批注框文本 Char"/>
    <w:basedOn w:val="45"/>
    <w:link w:val="23"/>
    <w:qFormat/>
    <w:uiPriority w:val="0"/>
    <w:rPr>
      <w:rFonts w:ascii="Calibri" w:hAnsi="Calibri" w:eastAsia="宋体" w:cs="Times New Roman"/>
      <w:sz w:val="18"/>
      <w:szCs w:val="18"/>
    </w:rPr>
  </w:style>
  <w:style w:type="character" w:customStyle="1" w:styleId="79">
    <w:name w:val="ui-bz-bg-hover1"/>
    <w:basedOn w:val="45"/>
    <w:qFormat/>
    <w:uiPriority w:val="99"/>
    <w:rPr>
      <w:rFonts w:cs="Times New Roman"/>
    </w:rPr>
  </w:style>
  <w:style w:type="character" w:customStyle="1" w:styleId="80">
    <w:name w:val="批注框文本 Char1"/>
    <w:qFormat/>
    <w:uiPriority w:val="99"/>
    <w:rPr>
      <w:rFonts w:ascii="Times New Roman" w:hAnsi="Times New Roman" w:eastAsia="宋体"/>
      <w:sz w:val="18"/>
    </w:rPr>
  </w:style>
  <w:style w:type="character" w:customStyle="1" w:styleId="81">
    <w:name w:val="bds_nopic"/>
    <w:basedOn w:val="45"/>
    <w:qFormat/>
    <w:uiPriority w:val="99"/>
    <w:rPr>
      <w:rFonts w:cs="Times New Roman"/>
    </w:rPr>
  </w:style>
  <w:style w:type="character" w:customStyle="1" w:styleId="82">
    <w:name w:val="tip12"/>
    <w:qFormat/>
    <w:uiPriority w:val="99"/>
    <w:rPr>
      <w:vanish/>
      <w:color w:val="FF0000"/>
      <w:sz w:val="18"/>
    </w:rPr>
  </w:style>
  <w:style w:type="character" w:customStyle="1" w:styleId="83">
    <w:name w:val="Body Text Indent 3 Char"/>
    <w:qFormat/>
    <w:locked/>
    <w:uiPriority w:val="99"/>
    <w:rPr>
      <w:rFonts w:ascii="宋体" w:eastAsia="宋体"/>
    </w:rPr>
  </w:style>
  <w:style w:type="character" w:customStyle="1" w:styleId="84">
    <w:name w:val="HTML Markup"/>
    <w:qFormat/>
    <w:uiPriority w:val="99"/>
    <w:rPr>
      <w:vanish/>
      <w:color w:val="FF0000"/>
    </w:rPr>
  </w:style>
  <w:style w:type="character" w:customStyle="1" w:styleId="85">
    <w:name w:val="tip7"/>
    <w:qFormat/>
    <w:uiPriority w:val="99"/>
    <w:rPr>
      <w:vanish/>
      <w:color w:val="FF0000"/>
      <w:sz w:val="18"/>
    </w:rPr>
  </w:style>
  <w:style w:type="character" w:customStyle="1" w:styleId="86">
    <w:name w:val="f-star"/>
    <w:qFormat/>
    <w:uiPriority w:val="99"/>
    <w:rPr>
      <w:color w:val="999999"/>
      <w:sz w:val="21"/>
    </w:rPr>
  </w:style>
  <w:style w:type="character" w:customStyle="1" w:styleId="87">
    <w:name w:val="Document Map Char1"/>
    <w:qFormat/>
    <w:uiPriority w:val="99"/>
    <w:rPr>
      <w:rFonts w:ascii="Times New Roman" w:hAnsi="Times New Roman"/>
      <w:kern w:val="2"/>
      <w:sz w:val="2"/>
    </w:rPr>
  </w:style>
  <w:style w:type="character" w:customStyle="1" w:styleId="88">
    <w:name w:val="my-class2"/>
    <w:basedOn w:val="45"/>
    <w:qFormat/>
    <w:uiPriority w:val="99"/>
    <w:rPr>
      <w:rFonts w:cs="Times New Roman"/>
    </w:rPr>
  </w:style>
  <w:style w:type="character" w:customStyle="1" w:styleId="89">
    <w:name w:val="no52"/>
    <w:basedOn w:val="45"/>
    <w:qFormat/>
    <w:uiPriority w:val="99"/>
    <w:rPr>
      <w:rFonts w:cs="Times New Roman"/>
    </w:rPr>
  </w:style>
  <w:style w:type="character" w:customStyle="1" w:styleId="90">
    <w:name w:val="no4"/>
    <w:basedOn w:val="45"/>
    <w:qFormat/>
    <w:uiPriority w:val="99"/>
    <w:rPr>
      <w:rFonts w:cs="Times New Roman"/>
    </w:rPr>
  </w:style>
  <w:style w:type="character" w:customStyle="1" w:styleId="91">
    <w:name w:val="my-notice"/>
    <w:basedOn w:val="45"/>
    <w:qFormat/>
    <w:uiPriority w:val="99"/>
    <w:rPr>
      <w:rFonts w:cs="Times New Roman"/>
    </w:rPr>
  </w:style>
  <w:style w:type="character" w:customStyle="1" w:styleId="92">
    <w:name w:val="ico-jiang"/>
    <w:basedOn w:val="45"/>
    <w:qFormat/>
    <w:uiPriority w:val="99"/>
    <w:rPr>
      <w:rFonts w:cs="Times New Roman"/>
    </w:rPr>
  </w:style>
  <w:style w:type="character" w:customStyle="1" w:styleId="93">
    <w:name w:val="ico-jiang2"/>
    <w:basedOn w:val="45"/>
    <w:qFormat/>
    <w:uiPriority w:val="99"/>
    <w:rPr>
      <w:rFonts w:cs="Times New Roman"/>
    </w:rPr>
  </w:style>
  <w:style w:type="character" w:customStyle="1" w:styleId="94">
    <w:name w:val="bds_more1"/>
    <w:qFormat/>
    <w:uiPriority w:val="99"/>
    <w:rPr>
      <w:rFonts w:ascii="宋体" w:hAnsi="宋体" w:eastAsia="宋体"/>
    </w:rPr>
  </w:style>
  <w:style w:type="character" w:customStyle="1" w:styleId="95">
    <w:name w:val="Body Text Indent 2 Char"/>
    <w:qFormat/>
    <w:locked/>
    <w:uiPriority w:val="99"/>
    <w:rPr>
      <w:rFonts w:ascii="宋体" w:eastAsia="宋体"/>
      <w:sz w:val="24"/>
    </w:rPr>
  </w:style>
  <w:style w:type="character" w:customStyle="1" w:styleId="96">
    <w:name w:val="org_name"/>
    <w:basedOn w:val="45"/>
    <w:qFormat/>
    <w:uiPriority w:val="99"/>
    <w:rPr>
      <w:rFonts w:cs="Times New Roman"/>
    </w:rPr>
  </w:style>
  <w:style w:type="character" w:customStyle="1" w:styleId="97">
    <w:name w:val="org_name2"/>
    <w:basedOn w:val="45"/>
    <w:qFormat/>
    <w:uiPriority w:val="99"/>
    <w:rPr>
      <w:rFonts w:cs="Times New Roman"/>
    </w:rPr>
  </w:style>
  <w:style w:type="character" w:customStyle="1" w:styleId="98">
    <w:name w:val="tip10"/>
    <w:qFormat/>
    <w:uiPriority w:val="99"/>
    <w:rPr>
      <w:vanish/>
      <w:color w:val="FF0000"/>
      <w:sz w:val="18"/>
    </w:rPr>
  </w:style>
  <w:style w:type="character" w:customStyle="1" w:styleId="99">
    <w:name w:val="orange"/>
    <w:qFormat/>
    <w:uiPriority w:val="99"/>
    <w:rPr>
      <w:color w:val="3FB58F"/>
    </w:rPr>
  </w:style>
  <w:style w:type="character" w:customStyle="1" w:styleId="100">
    <w:name w:val="bds_more"/>
    <w:basedOn w:val="45"/>
    <w:qFormat/>
    <w:uiPriority w:val="99"/>
    <w:rPr>
      <w:rFonts w:cs="Times New Roman"/>
    </w:rPr>
  </w:style>
  <w:style w:type="character" w:customStyle="1" w:styleId="101">
    <w:name w:val="t-tag"/>
    <w:qFormat/>
    <w:uiPriority w:val="99"/>
    <w:rPr>
      <w:color w:val="FFFFFF"/>
      <w:sz w:val="18"/>
      <w:shd w:val="clear" w:color="auto" w:fill="FE8833"/>
    </w:rPr>
  </w:style>
  <w:style w:type="character" w:customStyle="1" w:styleId="102">
    <w:name w:val="top-icon"/>
    <w:basedOn w:val="45"/>
    <w:qFormat/>
    <w:uiPriority w:val="99"/>
    <w:rPr>
      <w:rFonts w:cs="Times New Roman"/>
    </w:rPr>
  </w:style>
  <w:style w:type="character" w:customStyle="1" w:styleId="103">
    <w:name w:val="Body Text Char"/>
    <w:qFormat/>
    <w:locked/>
    <w:uiPriority w:val="99"/>
    <w:rPr>
      <w:sz w:val="24"/>
    </w:rPr>
  </w:style>
  <w:style w:type="character" w:customStyle="1" w:styleId="104">
    <w:name w:val="no72"/>
    <w:basedOn w:val="45"/>
    <w:qFormat/>
    <w:uiPriority w:val="99"/>
    <w:rPr>
      <w:rFonts w:cs="Times New Roman"/>
    </w:rPr>
  </w:style>
  <w:style w:type="character" w:customStyle="1" w:styleId="105">
    <w:name w:val="bds_nopic2"/>
    <w:basedOn w:val="45"/>
    <w:qFormat/>
    <w:uiPriority w:val="99"/>
    <w:rPr>
      <w:rFonts w:cs="Times New Roman"/>
    </w:rPr>
  </w:style>
  <w:style w:type="character" w:customStyle="1" w:styleId="106">
    <w:name w:val="Document Map Char"/>
    <w:qFormat/>
    <w:uiPriority w:val="99"/>
    <w:rPr>
      <w:rFonts w:ascii="宋体"/>
      <w:sz w:val="18"/>
    </w:rPr>
  </w:style>
  <w:style w:type="character" w:customStyle="1" w:styleId="107">
    <w:name w:val="no6"/>
    <w:basedOn w:val="45"/>
    <w:qFormat/>
    <w:uiPriority w:val="99"/>
    <w:rPr>
      <w:rFonts w:cs="Times New Roman"/>
    </w:rPr>
  </w:style>
  <w:style w:type="character" w:customStyle="1" w:styleId="108">
    <w:name w:val="tip"/>
    <w:qFormat/>
    <w:uiPriority w:val="99"/>
    <w:rPr>
      <w:vanish/>
      <w:color w:val="FF0000"/>
      <w:sz w:val="18"/>
    </w:rPr>
  </w:style>
  <w:style w:type="character" w:customStyle="1" w:styleId="109">
    <w:name w:val="apple-converted-space"/>
    <w:basedOn w:val="45"/>
    <w:qFormat/>
    <w:uiPriority w:val="99"/>
    <w:rPr>
      <w:rFonts w:cs="Times New Roman"/>
    </w:rPr>
  </w:style>
  <w:style w:type="character" w:customStyle="1" w:styleId="110">
    <w:name w:val="bds_more2"/>
    <w:basedOn w:val="45"/>
    <w:qFormat/>
    <w:uiPriority w:val="99"/>
    <w:rPr>
      <w:rFonts w:cs="Times New Roman"/>
    </w:rPr>
  </w:style>
  <w:style w:type="character" w:customStyle="1" w:styleId="111">
    <w:name w:val="my-class"/>
    <w:basedOn w:val="45"/>
    <w:qFormat/>
    <w:uiPriority w:val="99"/>
    <w:rPr>
      <w:rFonts w:cs="Times New Roman"/>
    </w:rPr>
  </w:style>
  <w:style w:type="character" w:customStyle="1" w:styleId="112">
    <w:name w:val="ui-bz-bg-hover"/>
    <w:qFormat/>
    <w:uiPriority w:val="99"/>
    <w:rPr>
      <w:shd w:val="clear" w:color="auto" w:fill="000000"/>
    </w:rPr>
  </w:style>
  <w:style w:type="character" w:customStyle="1" w:styleId="113">
    <w:name w:val="no7"/>
    <w:basedOn w:val="45"/>
    <w:qFormat/>
    <w:uiPriority w:val="99"/>
    <w:rPr>
      <w:rFonts w:cs="Times New Roman"/>
    </w:rPr>
  </w:style>
  <w:style w:type="character" w:customStyle="1" w:styleId="114">
    <w:name w:val="正文缩进 Char"/>
    <w:link w:val="9"/>
    <w:qFormat/>
    <w:locked/>
    <w:uiPriority w:val="0"/>
    <w:rPr>
      <w:rFonts w:ascii="Times New Roman" w:hAnsi="Times New Roman" w:eastAsia="宋体" w:cs="Times New Roman"/>
      <w:kern w:val="0"/>
      <w:sz w:val="24"/>
      <w:szCs w:val="20"/>
    </w:rPr>
  </w:style>
  <w:style w:type="character" w:customStyle="1" w:styleId="115">
    <w:name w:val="ico-jiang1"/>
    <w:basedOn w:val="45"/>
    <w:qFormat/>
    <w:uiPriority w:val="99"/>
    <w:rPr>
      <w:rFonts w:cs="Times New Roman"/>
    </w:rPr>
  </w:style>
  <w:style w:type="character" w:customStyle="1" w:styleId="116">
    <w:name w:val="no62"/>
    <w:basedOn w:val="45"/>
    <w:qFormat/>
    <w:uiPriority w:val="99"/>
    <w:rPr>
      <w:rFonts w:cs="Times New Roman"/>
    </w:rPr>
  </w:style>
  <w:style w:type="character" w:customStyle="1" w:styleId="117">
    <w:name w:val="orange5"/>
    <w:qFormat/>
    <w:uiPriority w:val="99"/>
    <w:rPr>
      <w:color w:val="3FB58F"/>
    </w:rPr>
  </w:style>
  <w:style w:type="character" w:customStyle="1" w:styleId="118">
    <w:name w:val="bds_more4"/>
    <w:basedOn w:val="45"/>
    <w:qFormat/>
    <w:uiPriority w:val="99"/>
    <w:rPr>
      <w:rFonts w:cs="Times New Roman"/>
    </w:rPr>
  </w:style>
  <w:style w:type="character" w:customStyle="1" w:styleId="119">
    <w:name w:val="no5"/>
    <w:basedOn w:val="45"/>
    <w:qFormat/>
    <w:uiPriority w:val="99"/>
    <w:rPr>
      <w:rFonts w:cs="Times New Roman"/>
    </w:rPr>
  </w:style>
  <w:style w:type="character" w:customStyle="1" w:styleId="120">
    <w:name w:val="bds_more3"/>
    <w:basedOn w:val="45"/>
    <w:qFormat/>
    <w:uiPriority w:val="99"/>
    <w:rPr>
      <w:rFonts w:cs="Times New Roman"/>
    </w:rPr>
  </w:style>
  <w:style w:type="character" w:customStyle="1" w:styleId="121">
    <w:name w:val="no42"/>
    <w:basedOn w:val="45"/>
    <w:qFormat/>
    <w:uiPriority w:val="99"/>
    <w:rPr>
      <w:rFonts w:cs="Times New Roman"/>
    </w:rPr>
  </w:style>
  <w:style w:type="character" w:customStyle="1" w:styleId="122">
    <w:name w:val="bds_nopic1"/>
    <w:basedOn w:val="45"/>
    <w:qFormat/>
    <w:uiPriority w:val="99"/>
    <w:rPr>
      <w:rFonts w:cs="Times New Roman"/>
    </w:rPr>
  </w:style>
  <w:style w:type="character" w:customStyle="1" w:styleId="123">
    <w:name w:val="my-notice1"/>
    <w:basedOn w:val="45"/>
    <w:qFormat/>
    <w:uiPriority w:val="99"/>
    <w:rPr>
      <w:rFonts w:cs="Times New Roman"/>
    </w:rPr>
  </w:style>
  <w:style w:type="character" w:customStyle="1" w:styleId="124">
    <w:name w:val="orange6"/>
    <w:qFormat/>
    <w:uiPriority w:val="99"/>
    <w:rPr>
      <w:color w:val="3FB58F"/>
    </w:rPr>
  </w:style>
  <w:style w:type="character" w:customStyle="1" w:styleId="125">
    <w:name w:val="Document Map Char2"/>
    <w:qFormat/>
    <w:locked/>
    <w:uiPriority w:val="99"/>
    <w:rPr>
      <w:rFonts w:ascii="宋体"/>
      <w:sz w:val="18"/>
    </w:rPr>
  </w:style>
  <w:style w:type="character" w:customStyle="1" w:styleId="126">
    <w:name w:val="ico-jiang3"/>
    <w:basedOn w:val="45"/>
    <w:qFormat/>
    <w:uiPriority w:val="99"/>
    <w:rPr>
      <w:rFonts w:cs="Times New Roman"/>
    </w:rPr>
  </w:style>
  <w:style w:type="character" w:customStyle="1" w:styleId="127">
    <w:name w:val="tip13"/>
    <w:qFormat/>
    <w:uiPriority w:val="99"/>
    <w:rPr>
      <w:vanish/>
      <w:color w:val="FF0000"/>
      <w:sz w:val="18"/>
    </w:rPr>
  </w:style>
  <w:style w:type="character" w:customStyle="1" w:styleId="128">
    <w:name w:val="正文文本缩进 2 Char"/>
    <w:basedOn w:val="45"/>
    <w:link w:val="22"/>
    <w:qFormat/>
    <w:uiPriority w:val="99"/>
    <w:rPr>
      <w:rFonts w:ascii="宋体" w:hAnsi="Calibri" w:eastAsia="宋体" w:cs="Times New Roman"/>
      <w:kern w:val="0"/>
      <w:sz w:val="24"/>
      <w:szCs w:val="20"/>
    </w:rPr>
  </w:style>
  <w:style w:type="character" w:customStyle="1" w:styleId="129">
    <w:name w:val="Body Text Indent 2 Char1"/>
    <w:basedOn w:val="45"/>
    <w:semiHidden/>
    <w:qFormat/>
    <w:locked/>
    <w:uiPriority w:val="99"/>
    <w:rPr>
      <w:rFonts w:cs="Times New Roman"/>
    </w:rPr>
  </w:style>
  <w:style w:type="character" w:customStyle="1" w:styleId="130">
    <w:name w:val="正文文本缩进 3 Char"/>
    <w:basedOn w:val="45"/>
    <w:link w:val="31"/>
    <w:qFormat/>
    <w:uiPriority w:val="99"/>
    <w:rPr>
      <w:rFonts w:ascii="宋体" w:hAnsi="Calibri" w:eastAsia="宋体" w:cs="Times New Roman"/>
      <w:kern w:val="0"/>
      <w:sz w:val="20"/>
      <w:szCs w:val="20"/>
    </w:rPr>
  </w:style>
  <w:style w:type="character" w:customStyle="1" w:styleId="131">
    <w:name w:val="Body Text Indent 3 Char1"/>
    <w:basedOn w:val="45"/>
    <w:semiHidden/>
    <w:qFormat/>
    <w:locked/>
    <w:uiPriority w:val="99"/>
    <w:rPr>
      <w:rFonts w:cs="Times New Roman"/>
      <w:sz w:val="16"/>
      <w:szCs w:val="16"/>
    </w:rPr>
  </w:style>
  <w:style w:type="character" w:customStyle="1" w:styleId="132">
    <w:name w:val="文档结构图 Char"/>
    <w:basedOn w:val="45"/>
    <w:link w:val="10"/>
    <w:qFormat/>
    <w:uiPriority w:val="99"/>
    <w:rPr>
      <w:rFonts w:ascii="宋体" w:hAnsi="Calibri" w:eastAsia="宋体" w:cs="Times New Roman"/>
      <w:kern w:val="0"/>
      <w:sz w:val="18"/>
      <w:szCs w:val="20"/>
    </w:rPr>
  </w:style>
  <w:style w:type="character" w:customStyle="1" w:styleId="133">
    <w:name w:val="Document Map Char3"/>
    <w:basedOn w:val="45"/>
    <w:semiHidden/>
    <w:qFormat/>
    <w:locked/>
    <w:uiPriority w:val="99"/>
    <w:rPr>
      <w:rFonts w:ascii="Times New Roman" w:hAnsi="Times New Roman" w:cs="Times New Roman"/>
      <w:sz w:val="2"/>
    </w:rPr>
  </w:style>
  <w:style w:type="paragraph" w:customStyle="1" w:styleId="134">
    <w:name w:val="_Style 1"/>
    <w:basedOn w:val="1"/>
    <w:qFormat/>
    <w:uiPriority w:val="99"/>
    <w:pPr>
      <w:ind w:firstLine="420" w:firstLineChars="200"/>
    </w:pPr>
    <w:rPr>
      <w:rFonts w:ascii="Times New Roman" w:hAnsi="Times New Roman" w:eastAsia="宋体" w:cs="Times New Roman"/>
      <w:szCs w:val="24"/>
    </w:rPr>
  </w:style>
  <w:style w:type="character" w:customStyle="1" w:styleId="135">
    <w:name w:val="正文文本 Char"/>
    <w:basedOn w:val="45"/>
    <w:link w:val="14"/>
    <w:qFormat/>
    <w:uiPriority w:val="99"/>
    <w:rPr>
      <w:rFonts w:ascii="Calibri" w:hAnsi="Calibri" w:eastAsia="宋体" w:cs="Times New Roman"/>
      <w:kern w:val="0"/>
      <w:sz w:val="24"/>
      <w:szCs w:val="20"/>
    </w:rPr>
  </w:style>
  <w:style w:type="character" w:customStyle="1" w:styleId="136">
    <w:name w:val="Body Text Char1"/>
    <w:basedOn w:val="45"/>
    <w:semiHidden/>
    <w:qFormat/>
    <w:locked/>
    <w:uiPriority w:val="99"/>
    <w:rPr>
      <w:rFonts w:cs="Times New Roman"/>
    </w:rPr>
  </w:style>
  <w:style w:type="paragraph" w:customStyle="1" w:styleId="137">
    <w:name w:val="_Style 21"/>
    <w:basedOn w:val="1"/>
    <w:qFormat/>
    <w:uiPriority w:val="99"/>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4">
    <w:name w:val="_Style 2"/>
    <w:basedOn w:val="1"/>
    <w:qFormat/>
    <w:uiPriority w:val="34"/>
    <w:pPr>
      <w:ind w:firstLine="420" w:firstLineChars="200"/>
    </w:pPr>
    <w:rPr>
      <w:rFonts w:ascii="Calibri" w:hAnsi="Calibri" w:eastAsia="宋体" w:cs="Times New Roman"/>
    </w:rPr>
  </w:style>
  <w:style w:type="paragraph" w:customStyle="1" w:styleId="14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99"/>
    <w:rPr>
      <w:rFonts w:ascii="Times New Roman" w:hAnsi="Times New Roman" w:eastAsia="宋体" w:cs="Times New Roman"/>
      <w:szCs w:val="24"/>
    </w:rPr>
  </w:style>
  <w:style w:type="paragraph" w:customStyle="1" w:styleId="147">
    <w:name w:val="Char"/>
    <w:basedOn w:val="1"/>
    <w:qFormat/>
    <w:uiPriority w:val="99"/>
    <w:rPr>
      <w:rFonts w:ascii="Times New Roman" w:hAnsi="Times New Roman" w:eastAsia="宋体" w:cs="Times New Roman"/>
      <w:szCs w:val="21"/>
    </w:rPr>
  </w:style>
  <w:style w:type="paragraph" w:customStyle="1" w:styleId="148">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9">
    <w:name w:val="列出段落2"/>
    <w:basedOn w:val="1"/>
    <w:qFormat/>
    <w:uiPriority w:val="99"/>
    <w:pPr>
      <w:ind w:firstLine="420" w:firstLineChars="200"/>
    </w:pPr>
    <w:rPr>
      <w:rFonts w:ascii="Times New Roman" w:hAnsi="Times New Roman" w:eastAsia="宋体" w:cs="Times New Roman"/>
      <w:szCs w:val="24"/>
    </w:rPr>
  </w:style>
  <w:style w:type="paragraph" w:customStyle="1" w:styleId="150">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0"/>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日期 Char"/>
    <w:link w:val="21"/>
    <w:qFormat/>
    <w:uiPriority w:val="0"/>
    <w:rPr>
      <w:szCs w:val="21"/>
    </w:rPr>
  </w:style>
  <w:style w:type="character" w:customStyle="1" w:styleId="156">
    <w:name w:val="font01"/>
    <w:qFormat/>
    <w:uiPriority w:val="99"/>
    <w:rPr>
      <w:rFonts w:hint="eastAsia" w:ascii="宋体" w:hAnsi="宋体" w:eastAsia="宋体" w:cs="宋体"/>
      <w:color w:val="000000"/>
      <w:sz w:val="22"/>
      <w:szCs w:val="22"/>
      <w:u w:val="none"/>
    </w:rPr>
  </w:style>
  <w:style w:type="character" w:customStyle="1" w:styleId="157">
    <w:name w:val="Char Char1"/>
    <w:qFormat/>
    <w:uiPriority w:val="0"/>
    <w:rPr>
      <w:rFonts w:eastAsia="宋体"/>
      <w:kern w:val="2"/>
      <w:sz w:val="18"/>
      <w:szCs w:val="18"/>
      <w:lang w:val="en-US" w:eastAsia="zh-CN" w:bidi="ar-SA"/>
    </w:rPr>
  </w:style>
  <w:style w:type="character" w:customStyle="1" w:styleId="158">
    <w:name w:val="标题 Char"/>
    <w:link w:val="40"/>
    <w:qFormat/>
    <w:uiPriority w:val="0"/>
    <w:rPr>
      <w:rFonts w:ascii="Cambria" w:hAnsi="Cambria" w:cs="Times New Roman"/>
      <w:b/>
      <w:bCs/>
      <w:sz w:val="32"/>
      <w:szCs w:val="32"/>
    </w:rPr>
  </w:style>
  <w:style w:type="character" w:customStyle="1" w:styleId="159">
    <w:name w:val="hei141"/>
    <w:qFormat/>
    <w:uiPriority w:val="0"/>
    <w:rPr>
      <w:rFonts w:hint="eastAsia" w:ascii="宋体" w:hAnsi="宋体" w:eastAsia="宋体"/>
      <w:color w:val="000000"/>
      <w:sz w:val="19"/>
      <w:szCs w:val="19"/>
      <w:u w:val="none"/>
    </w:rPr>
  </w:style>
  <w:style w:type="character" w:customStyle="1" w:styleId="160">
    <w:name w:val="批注文字 Char"/>
    <w:link w:val="12"/>
    <w:qFormat/>
    <w:uiPriority w:val="0"/>
  </w:style>
  <w:style w:type="character" w:customStyle="1" w:styleId="161">
    <w:name w:val="apple-style-span"/>
    <w:basedOn w:val="45"/>
    <w:qFormat/>
    <w:uiPriority w:val="0"/>
  </w:style>
  <w:style w:type="character" w:customStyle="1" w:styleId="162">
    <w:name w:val="param-value"/>
    <w:qFormat/>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41"/>
    <w:qFormat/>
    <w:uiPriority w:val="0"/>
    <w:rPr>
      <w:b/>
      <w:bCs/>
    </w:rPr>
  </w:style>
  <w:style w:type="character" w:customStyle="1" w:styleId="166">
    <w:name w:val="批注文字 Char1"/>
    <w:basedOn w:val="45"/>
    <w:semiHidden/>
    <w:qFormat/>
    <w:uiPriority w:val="99"/>
  </w:style>
  <w:style w:type="paragraph" w:customStyle="1" w:styleId="167">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8">
    <w:name w:val="批注主题 Char1"/>
    <w:basedOn w:val="166"/>
    <w:semiHidden/>
    <w:qFormat/>
    <w:uiPriority w:val="99"/>
    <w:rPr>
      <w:b/>
      <w:bCs/>
    </w:rPr>
  </w:style>
  <w:style w:type="paragraph" w:customStyle="1" w:styleId="169">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日期 Char1"/>
    <w:basedOn w:val="45"/>
    <w:semiHidden/>
    <w:qFormat/>
    <w:uiPriority w:val="99"/>
  </w:style>
  <w:style w:type="paragraph" w:customStyle="1" w:styleId="1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脚注文本 Char"/>
    <w:basedOn w:val="45"/>
    <w:link w:val="29"/>
    <w:semiHidden/>
    <w:qFormat/>
    <w:uiPriority w:val="0"/>
    <w:rPr>
      <w:rFonts w:ascii="Times New Roman" w:hAnsi="Times New Roman" w:eastAsia="宋体" w:cs="Times New Roman"/>
      <w:sz w:val="18"/>
      <w:szCs w:val="18"/>
    </w:rPr>
  </w:style>
  <w:style w:type="paragraph" w:customStyle="1" w:styleId="173">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标题 Char1"/>
    <w:basedOn w:val="45"/>
    <w:qFormat/>
    <w:uiPriority w:val="10"/>
    <w:rPr>
      <w:rFonts w:eastAsia="宋体" w:asciiTheme="majorHAnsi" w:hAnsiTheme="majorHAnsi" w:cstheme="majorBidi"/>
      <w:b/>
      <w:bCs/>
      <w:sz w:val="32"/>
      <w:szCs w:val="32"/>
    </w:rPr>
  </w:style>
  <w:style w:type="paragraph" w:customStyle="1" w:styleId="176">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7">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9">
    <w:name w:val="Default"/>
    <w:basedOn w:val="40"/>
    <w:next w:val="2"/>
    <w:qFormat/>
    <w:uiPriority w:val="0"/>
    <w:pPr>
      <w:autoSpaceDE w:val="0"/>
      <w:autoSpaceDN w:val="0"/>
      <w:adjustRightInd w:val="0"/>
      <w:jc w:val="both"/>
    </w:pPr>
    <w:rPr>
      <w:rFonts w:ascii="黑体" w:hAnsi="黑体" w:eastAsia="宋体" w:cs="黑体"/>
      <w:color w:val="000000"/>
      <w:sz w:val="24"/>
      <w:szCs w:val="24"/>
    </w:rPr>
  </w:style>
  <w:style w:type="paragraph" w:customStyle="1" w:styleId="180">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列出段落3"/>
    <w:basedOn w:val="1"/>
    <w:qFormat/>
    <w:uiPriority w:val="0"/>
    <w:pPr>
      <w:ind w:firstLine="420" w:firstLineChars="200"/>
    </w:pPr>
    <w:rPr>
      <w:rFonts w:ascii="Times New Roman" w:hAnsi="Times New Roman" w:eastAsia="宋体" w:cs="Times New Roman"/>
      <w:szCs w:val="24"/>
    </w:rPr>
  </w:style>
  <w:style w:type="character" w:customStyle="1" w:styleId="188">
    <w:name w:val="Char Char12"/>
    <w:qFormat/>
    <w:uiPriority w:val="0"/>
    <w:rPr>
      <w:rFonts w:eastAsia="宋体"/>
      <w:kern w:val="2"/>
      <w:sz w:val="18"/>
      <w:szCs w:val="18"/>
      <w:lang w:val="en-US" w:eastAsia="zh-CN" w:bidi="ar-SA"/>
    </w:rPr>
  </w:style>
  <w:style w:type="paragraph" w:customStyle="1" w:styleId="18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4"/>
    <w:basedOn w:val="1"/>
    <w:qFormat/>
    <w:uiPriority w:val="0"/>
    <w:pPr>
      <w:ind w:firstLine="420" w:firstLineChars="200"/>
    </w:pPr>
    <w:rPr>
      <w:rFonts w:ascii="Times New Roman" w:hAnsi="Times New Roman" w:eastAsia="宋体" w:cs="Times New Roman"/>
      <w:szCs w:val="24"/>
    </w:rPr>
  </w:style>
  <w:style w:type="character" w:customStyle="1" w:styleId="192">
    <w:name w:val="Char Char11"/>
    <w:qFormat/>
    <w:uiPriority w:val="0"/>
    <w:rPr>
      <w:rFonts w:eastAsia="宋体"/>
      <w:kern w:val="2"/>
      <w:sz w:val="18"/>
      <w:szCs w:val="18"/>
      <w:lang w:val="en-US" w:eastAsia="zh-CN" w:bidi="ar-SA"/>
    </w:rPr>
  </w:style>
  <w:style w:type="paragraph" w:customStyle="1" w:styleId="19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5"/>
    <w:basedOn w:val="1"/>
    <w:qFormat/>
    <w:uiPriority w:val="0"/>
    <w:pPr>
      <w:ind w:firstLine="420" w:firstLineChars="200"/>
    </w:pPr>
    <w:rPr>
      <w:rFonts w:ascii="Times New Roman" w:hAnsi="Times New Roman" w:eastAsia="宋体" w:cs="Times New Roman"/>
      <w:szCs w:val="24"/>
    </w:rPr>
  </w:style>
  <w:style w:type="character" w:customStyle="1" w:styleId="196">
    <w:name w:val="bookmark-item"/>
    <w:basedOn w:val="45"/>
    <w:qFormat/>
    <w:uiPriority w:val="0"/>
  </w:style>
  <w:style w:type="paragraph" w:customStyle="1" w:styleId="197">
    <w:name w:val="列出段落6"/>
    <w:basedOn w:val="1"/>
    <w:qFormat/>
    <w:uiPriority w:val="34"/>
    <w:pPr>
      <w:ind w:firstLine="420" w:firstLineChars="200"/>
    </w:pPr>
    <w:rPr>
      <w:rFonts w:ascii="Calibri" w:hAnsi="Calibri" w:eastAsia="宋体" w:cs="Times New Roman"/>
    </w:rPr>
  </w:style>
  <w:style w:type="character" w:customStyle="1" w:styleId="198">
    <w:name w:val="纯文本 Char"/>
    <w:basedOn w:val="45"/>
    <w:link w:val="19"/>
    <w:qFormat/>
    <w:uiPriority w:val="0"/>
    <w:rPr>
      <w:rFonts w:ascii="宋体" w:hAnsi="Courier New" w:eastAsia="宋体" w:cs="宋体"/>
      <w:kern w:val="2"/>
      <w:sz w:val="21"/>
      <w:szCs w:val="21"/>
    </w:rPr>
  </w:style>
  <w:style w:type="paragraph" w:customStyle="1" w:styleId="199">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0">
    <w:name w:val="Table Paragraph"/>
    <w:basedOn w:val="1"/>
    <w:qFormat/>
    <w:uiPriority w:val="1"/>
    <w:pPr>
      <w:jc w:val="left"/>
    </w:pPr>
    <w:rPr>
      <w:rFonts w:ascii="Calibri" w:hAnsi="Calibri" w:eastAsia="Calibri" w:cs="Times New Roman"/>
      <w:kern w:val="0"/>
      <w:sz w:val="22"/>
      <w:lang w:eastAsia="en-US"/>
    </w:rPr>
  </w:style>
  <w:style w:type="paragraph" w:customStyle="1" w:styleId="201">
    <w:name w:val="_Style 3"/>
    <w:basedOn w:val="1"/>
    <w:qFormat/>
    <w:uiPriority w:val="34"/>
    <w:pPr>
      <w:ind w:firstLine="420" w:firstLineChars="200"/>
    </w:pPr>
    <w:rPr>
      <w:rFonts w:ascii="Times New Roman" w:hAnsi="Times New Roman" w:eastAsia="宋体" w:cs="黑体"/>
      <w:szCs w:val="24"/>
    </w:rPr>
  </w:style>
  <w:style w:type="character" w:customStyle="1" w:styleId="202">
    <w:name w:val="正文首行缩进 2 Char"/>
    <w:basedOn w:val="66"/>
    <w:link w:val="42"/>
    <w:semiHidden/>
    <w:qFormat/>
    <w:uiPriority w:val="99"/>
    <w:rPr>
      <w:rFonts w:ascii="??" w:hAnsi="??" w:eastAsia="宋体" w:cs="Arial"/>
      <w:kern w:val="2"/>
      <w:sz w:val="21"/>
      <w:szCs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文本 2 Char"/>
    <w:basedOn w:val="45"/>
    <w:link w:val="35"/>
    <w:semiHidden/>
    <w:qFormat/>
    <w:uiPriority w:val="99"/>
    <w:rPr>
      <w:rFonts w:asciiTheme="minorHAnsi" w:hAnsiTheme="minorHAnsi" w:eastAsiaTheme="minorEastAsia" w:cstheme="minorBidi"/>
      <w:kern w:val="2"/>
      <w:sz w:val="21"/>
      <w:szCs w:val="22"/>
    </w:rPr>
  </w:style>
  <w:style w:type="paragraph" w:customStyle="1" w:styleId="20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7">
    <w:name w:val="列表段落1"/>
    <w:basedOn w:val="1"/>
    <w:qFormat/>
    <w:uiPriority w:val="0"/>
    <w:pPr>
      <w:ind w:firstLine="420" w:firstLineChars="200"/>
    </w:pPr>
    <w:rPr>
      <w:rFonts w:ascii="Times New Roman" w:hAnsi="Times New Roman" w:eastAsia="宋体" w:cs="Times New Roman"/>
    </w:rPr>
  </w:style>
  <w:style w:type="character" w:customStyle="1" w:styleId="208">
    <w:name w:val="列表段落 字符"/>
    <w:link w:val="67"/>
    <w:qFormat/>
    <w:uiPriority w:val="0"/>
    <w:rPr>
      <w:rFonts w:ascii="Calibri" w:hAnsi="Calibri"/>
      <w:kern w:val="2"/>
      <w:sz w:val="21"/>
      <w:szCs w:val="22"/>
    </w:rPr>
  </w:style>
  <w:style w:type="paragraph" w:customStyle="1" w:styleId="209">
    <w:name w:val="列出段落7"/>
    <w:basedOn w:val="1"/>
    <w:unhideWhenUsed/>
    <w:qFormat/>
    <w:uiPriority w:val="99"/>
    <w:pPr>
      <w:ind w:firstLine="420" w:firstLineChars="200"/>
    </w:pPr>
  </w:style>
  <w:style w:type="character" w:customStyle="1" w:styleId="210">
    <w:name w:val="HTML 预设格式 Char"/>
    <w:basedOn w:val="45"/>
    <w:link w:val="37"/>
    <w:qFormat/>
    <w:uiPriority w:val="0"/>
    <w:rPr>
      <w:rFonts w:ascii="Arial" w:hAnsi="Arial" w:cs="Arial" w:eastAsiaTheme="minorEastAsia"/>
      <w:sz w:val="28"/>
      <w:szCs w:val="28"/>
    </w:rPr>
  </w:style>
  <w:style w:type="paragraph" w:customStyle="1" w:styleId="211">
    <w:name w:val="BodyText"/>
    <w:basedOn w:val="1"/>
    <w:next w:val="212"/>
    <w:qFormat/>
    <w:uiPriority w:val="0"/>
    <w:pPr>
      <w:spacing w:line="300" w:lineRule="auto"/>
      <w:jc w:val="center"/>
      <w:textAlignment w:val="baseline"/>
    </w:pPr>
    <w:rPr>
      <w:rFonts w:ascii="宋体" w:hAnsi="宋体" w:eastAsia="宋体"/>
      <w:sz w:val="24"/>
      <w:szCs w:val="24"/>
    </w:rPr>
  </w:style>
  <w:style w:type="paragraph" w:customStyle="1" w:styleId="212">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3">
    <w:name w:val="纯文本 Char1"/>
    <w:qFormat/>
    <w:uiPriority w:val="0"/>
    <w:rPr>
      <w:rFonts w:eastAsia="宋体"/>
      <w:kern w:val="2"/>
      <w:sz w:val="24"/>
      <w:lang w:val="en-US" w:eastAsia="zh-CN" w:bidi="ar-SA"/>
    </w:rPr>
  </w:style>
  <w:style w:type="character" w:customStyle="1" w:styleId="214">
    <w:name w:val="页脚 Char1"/>
    <w:qFormat/>
    <w:uiPriority w:val="0"/>
    <w:rPr>
      <w:rFonts w:eastAsia="宋体"/>
      <w:kern w:val="2"/>
      <w:sz w:val="18"/>
      <w:szCs w:val="18"/>
      <w:lang w:val="en-US" w:eastAsia="zh-CN" w:bidi="ar-SA"/>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正文缩进 Char1"/>
    <w:link w:val="217"/>
    <w:qFormat/>
    <w:uiPriority w:val="0"/>
    <w:rPr>
      <w:rFonts w:ascii="宋体"/>
      <w:sz w:val="24"/>
    </w:rPr>
  </w:style>
  <w:style w:type="paragraph" w:customStyle="1" w:styleId="217">
    <w:name w:val="正文缩进1"/>
    <w:basedOn w:val="1"/>
    <w:link w:val="216"/>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8">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19">
    <w:name w:val="纯文本1"/>
    <w:basedOn w:val="1"/>
    <w:qFormat/>
    <w:uiPriority w:val="0"/>
    <w:rPr>
      <w:rFonts w:ascii="宋体" w:hAnsi="Courier New" w:eastAsia="宋体" w:cs="Times New Roman"/>
      <w:kern w:val="0"/>
      <w:sz w:val="20"/>
      <w:szCs w:val="20"/>
    </w:rPr>
  </w:style>
  <w:style w:type="character" w:customStyle="1" w:styleId="220">
    <w:name w:val="标题 5 Char"/>
    <w:basedOn w:val="45"/>
    <w:link w:val="6"/>
    <w:semiHidden/>
    <w:qFormat/>
    <w:uiPriority w:val="9"/>
    <w:rPr>
      <w:rFonts w:asciiTheme="minorHAnsi" w:hAnsiTheme="minorHAnsi" w:eastAsiaTheme="minorEastAsia" w:cstheme="minorBidi"/>
      <w:b/>
      <w:bCs/>
      <w:kern w:val="2"/>
      <w:sz w:val="28"/>
      <w:szCs w:val="28"/>
    </w:rPr>
  </w:style>
  <w:style w:type="character" w:customStyle="1" w:styleId="221">
    <w:name w:val="称呼 Char"/>
    <w:basedOn w:val="45"/>
    <w:link w:val="13"/>
    <w:qFormat/>
    <w:uiPriority w:val="0"/>
    <w:rPr>
      <w:rFonts w:ascii="宋体"/>
      <w:b/>
      <w:kern w:val="2"/>
      <w:sz w:val="28"/>
      <w:szCs w:val="24"/>
    </w:rPr>
  </w:style>
  <w:style w:type="character" w:customStyle="1" w:styleId="222">
    <w:name w:val="副标题 Char"/>
    <w:basedOn w:val="45"/>
    <w:link w:val="28"/>
    <w:qFormat/>
    <w:uiPriority w:val="11"/>
    <w:rPr>
      <w:rFonts w:ascii="Cambria" w:hAnsi="Cambria" w:eastAsia="仿宋"/>
      <w:b/>
      <w:bCs/>
      <w:kern w:val="28"/>
      <w:sz w:val="32"/>
      <w:szCs w:val="32"/>
    </w:rPr>
  </w:style>
  <w:style w:type="character" w:customStyle="1" w:styleId="223">
    <w:name w:val="正文首行缩进 Char"/>
    <w:basedOn w:val="135"/>
    <w:link w:val="15"/>
    <w:qFormat/>
    <w:uiPriority w:val="0"/>
    <w:rPr>
      <w:rFonts w:ascii="Arial" w:hAnsi="Arial" w:eastAsia="宋体" w:cs="Times New Roman"/>
      <w:kern w:val="0"/>
      <w:sz w:val="24"/>
      <w:szCs w:val="21"/>
    </w:rPr>
  </w:style>
  <w:style w:type="paragraph" w:customStyle="1" w:styleId="224">
    <w:name w:val="测评方案正文"/>
    <w:basedOn w:val="225"/>
    <w:qFormat/>
    <w:uiPriority w:val="0"/>
    <w:pPr>
      <w:ind w:firstLine="200" w:firstLineChars="200"/>
    </w:pPr>
    <w:rPr>
      <w:b w:val="0"/>
      <w:sz w:val="21"/>
    </w:rPr>
  </w:style>
  <w:style w:type="paragraph" w:customStyle="1" w:styleId="225">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6">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7">
    <w:name w:val="测评方案3级"/>
    <w:basedOn w:val="225"/>
    <w:qFormat/>
    <w:uiPriority w:val="0"/>
    <w:pPr>
      <w:spacing w:before="156" w:after="156"/>
    </w:pPr>
    <w:rPr>
      <w:rFonts w:ascii="黑体" w:eastAsia="黑体"/>
      <w:sz w:val="24"/>
    </w:rPr>
  </w:style>
  <w:style w:type="paragraph" w:customStyle="1" w:styleId="228">
    <w:name w:val="Body text|7"/>
    <w:basedOn w:val="1"/>
    <w:qFormat/>
    <w:uiPriority w:val="0"/>
    <w:rPr>
      <w:rFonts w:ascii="Times New Roman" w:hAnsi="Times New Roman" w:eastAsia="宋体" w:cs="Times New Roman"/>
      <w:sz w:val="32"/>
      <w:szCs w:val="32"/>
      <w:shd w:val="clear" w:color="auto" w:fill="FFFFFF"/>
    </w:rPr>
  </w:style>
  <w:style w:type="paragraph" w:customStyle="1" w:styleId="229">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0">
    <w:name w:val="Body text|2"/>
    <w:basedOn w:val="1"/>
    <w:qFormat/>
    <w:uiPriority w:val="0"/>
    <w:pPr>
      <w:spacing w:after="60"/>
    </w:pPr>
    <w:rPr>
      <w:rFonts w:ascii="宋体" w:hAnsi="宋体" w:eastAsia="宋体" w:cs="宋体"/>
      <w:sz w:val="54"/>
      <w:szCs w:val="54"/>
    </w:rPr>
  </w:style>
  <w:style w:type="paragraph" w:customStyle="1" w:styleId="231">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2">
    <w:name w:val="正文首行缩进1"/>
    <w:basedOn w:val="14"/>
    <w:qFormat/>
    <w:uiPriority w:val="0"/>
    <w:pPr>
      <w:ind w:firstLine="420" w:firstLineChars="100"/>
    </w:pPr>
    <w:rPr>
      <w:rFonts w:ascii="宋体" w:hAnsi="宋体"/>
      <w:sz w:val="21"/>
      <w:szCs w:val="18"/>
    </w:rPr>
  </w:style>
  <w:style w:type="table" w:customStyle="1" w:styleId="233">
    <w:name w:val="样式9"/>
    <w:basedOn w:val="43"/>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4">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5">
    <w:name w:val="null3"/>
    <w:qFormat/>
    <w:uiPriority w:val="0"/>
    <w:rPr>
      <w:rFonts w:hint="eastAsia" w:ascii="Calibri" w:hAnsi="Calibri" w:eastAsia="宋体" w:cs="Times New Roman"/>
      <w:lang w:val="en-US" w:eastAsia="zh-Hans" w:bidi="ar-SA"/>
    </w:rPr>
  </w:style>
  <w:style w:type="character" w:customStyle="1" w:styleId="236">
    <w:name w:val="15"/>
    <w:qFormat/>
    <w:uiPriority w:val="0"/>
    <w:rPr>
      <w:rFonts w:hint="eastAsia" w:ascii="宋体" w:hAnsi="宋体" w:eastAsia="宋体"/>
      <w:color w:val="000000"/>
      <w:sz w:val="22"/>
      <w:szCs w:val="22"/>
    </w:rPr>
  </w:style>
  <w:style w:type="paragraph" w:customStyle="1" w:styleId="237">
    <w:name w:val="答复表头"/>
    <w:basedOn w:val="238"/>
    <w:next w:val="1"/>
    <w:qFormat/>
    <w:uiPriority w:val="0"/>
    <w:pPr>
      <w:tabs>
        <w:tab w:val="left" w:pos="480"/>
      </w:tabs>
    </w:pPr>
    <w:rPr>
      <w:b/>
    </w:rPr>
  </w:style>
  <w:style w:type="paragraph" w:customStyle="1" w:styleId="238">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39">
    <w:name w:val="表格文字2"/>
    <w:basedOn w:val="240"/>
    <w:qFormat/>
    <w:uiPriority w:val="99"/>
    <w:pPr>
      <w:spacing w:before="25" w:after="25"/>
      <w:jc w:val="left"/>
    </w:pPr>
    <w:rPr>
      <w:bCs/>
      <w:spacing w:val="10"/>
      <w:kern w:val="0"/>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41">
    <w:name w:val="Table Normal"/>
    <w:unhideWhenUsed/>
    <w:qFormat/>
    <w:uiPriority w:val="0"/>
    <w:tblPr>
      <w:tblCellMar>
        <w:top w:w="0" w:type="dxa"/>
        <w:left w:w="0" w:type="dxa"/>
        <w:bottom w:w="0" w:type="dxa"/>
        <w:right w:w="0" w:type="dxa"/>
      </w:tblCellMar>
    </w:tblPr>
  </w:style>
  <w:style w:type="paragraph" w:customStyle="1" w:styleId="242">
    <w:name w:val="Normal_6"/>
    <w:qFormat/>
    <w:uiPriority w:val="0"/>
    <w:rPr>
      <w:rFonts w:ascii="宋体" w:hAnsi="宋体" w:eastAsia="宋体" w:cs="Times New Roman"/>
      <w:sz w:val="24"/>
      <w:szCs w:val="24"/>
      <w:lang w:val="en-US" w:eastAsia="zh-CN" w:bidi="ar-SA"/>
    </w:rPr>
  </w:style>
  <w:style w:type="paragraph" w:customStyle="1" w:styleId="243">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44">
    <w:name w:val="No Spacing"/>
    <w:qFormat/>
    <w:uiPriority w:val="1"/>
    <w:pPr>
      <w:jc w:val="both"/>
    </w:pPr>
    <w:rPr>
      <w:rFonts w:ascii="Times New Roman" w:hAnsi="Times New Roman" w:eastAsia="宋体" w:cs="Times New Roman"/>
      <w:kern w:val="2"/>
      <w:sz w:val="21"/>
      <w:szCs w:val="21"/>
      <w:lang w:val="en-US" w:eastAsia="zh-CN" w:bidi="ar-SA"/>
    </w:rPr>
  </w:style>
  <w:style w:type="paragraph" w:customStyle="1" w:styleId="245">
    <w:name w:val="Table Text"/>
    <w:basedOn w:val="1"/>
    <w:semiHidden/>
    <w:qFormat/>
    <w:uiPriority w:val="0"/>
    <w:pPr>
      <w:widowControl w:val="0"/>
      <w:jc w:val="both"/>
    </w:pPr>
    <w:rPr>
      <w:rFonts w:ascii="仿宋" w:hAnsi="仿宋" w:eastAsia="仿宋" w:cs="仿宋"/>
      <w:kern w:val="2"/>
      <w:sz w:val="28"/>
      <w:szCs w:val="28"/>
      <w:lang w:eastAsia="en-US"/>
    </w:rPr>
  </w:style>
  <w:style w:type="paragraph" w:customStyle="1" w:styleId="246">
    <w:name w:val="目录 62"/>
    <w:next w:val="1"/>
    <w:qFormat/>
    <w:uiPriority w:val="0"/>
    <w:rPr>
      <w:rFonts w:ascii="Times New Roman" w:hAnsi="Times New Roman" w:eastAsia="宋体" w:cs="Times New Roman"/>
      <w:sz w:val="21"/>
      <w:lang w:val="en-US" w:eastAsia="zh-CN" w:bidi="ar-SA"/>
    </w:rPr>
  </w:style>
  <w:style w:type="character" w:customStyle="1" w:styleId="247">
    <w:name w:val="font212"/>
    <w:basedOn w:val="45"/>
    <w:qFormat/>
    <w:uiPriority w:val="0"/>
    <w:rPr>
      <w:rFonts w:hint="eastAsia" w:ascii="宋体" w:hAnsi="宋体" w:eastAsia="宋体" w:cs="宋体"/>
      <w:color w:val="000000"/>
      <w:sz w:val="22"/>
      <w:szCs w:val="22"/>
      <w:u w:val="none"/>
    </w:rPr>
  </w:style>
  <w:style w:type="character" w:customStyle="1" w:styleId="248">
    <w:name w:val="font241"/>
    <w:basedOn w:val="45"/>
    <w:qFormat/>
    <w:uiPriority w:val="0"/>
    <w:rPr>
      <w:rFonts w:hint="eastAsia" w:ascii="方正小标宋简体" w:hAnsi="方正小标宋简体" w:eastAsia="方正小标宋简体" w:cs="方正小标宋简体"/>
      <w:color w:val="000000"/>
      <w:sz w:val="40"/>
      <w:szCs w:val="40"/>
      <w:u w:val="single"/>
    </w:rPr>
  </w:style>
  <w:style w:type="character" w:customStyle="1" w:styleId="249">
    <w:name w:val="font51"/>
    <w:basedOn w:val="45"/>
    <w:qFormat/>
    <w:uiPriority w:val="0"/>
    <w:rPr>
      <w:rFonts w:hint="default" w:ascii="Times New Roman" w:hAnsi="Times New Roman" w:cs="Times New Roman"/>
      <w:color w:val="000000"/>
      <w:sz w:val="20"/>
      <w:szCs w:val="20"/>
      <w:u w:val="none"/>
    </w:rPr>
  </w:style>
  <w:style w:type="character" w:customStyle="1" w:styleId="250">
    <w:name w:val="font101"/>
    <w:basedOn w:val="45"/>
    <w:qFormat/>
    <w:uiPriority w:val="0"/>
    <w:rPr>
      <w:rFonts w:hint="eastAsia" w:ascii="宋体" w:hAnsi="宋体" w:eastAsia="宋体" w:cs="宋体"/>
      <w:color w:val="000000"/>
      <w:sz w:val="20"/>
      <w:szCs w:val="20"/>
      <w:u w:val="none"/>
    </w:rPr>
  </w:style>
  <w:style w:type="character" w:customStyle="1" w:styleId="251">
    <w:name w:val="font251"/>
    <w:basedOn w:val="45"/>
    <w:qFormat/>
    <w:uiPriority w:val="0"/>
    <w:rPr>
      <w:rFonts w:hint="eastAsia" w:ascii="宋体" w:hAnsi="宋体" w:eastAsia="宋体" w:cs="宋体"/>
      <w:color w:val="000000"/>
      <w:sz w:val="20"/>
      <w:szCs w:val="20"/>
      <w:u w:val="none"/>
      <w:vertAlign w:val="superscript"/>
    </w:rPr>
  </w:style>
  <w:style w:type="character" w:customStyle="1" w:styleId="252">
    <w:name w:val="font91"/>
    <w:basedOn w:val="45"/>
    <w:qFormat/>
    <w:uiPriority w:val="0"/>
    <w:rPr>
      <w:rFonts w:hint="eastAsia" w:ascii="宋体" w:hAnsi="宋体" w:eastAsia="宋体" w:cs="宋体"/>
      <w:color w:val="000000"/>
      <w:sz w:val="20"/>
      <w:szCs w:val="20"/>
      <w:u w:val="none"/>
    </w:rPr>
  </w:style>
  <w:style w:type="character" w:customStyle="1" w:styleId="253">
    <w:name w:val="font261"/>
    <w:basedOn w:val="45"/>
    <w:qFormat/>
    <w:uiPriority w:val="0"/>
    <w:rPr>
      <w:rFonts w:hint="eastAsia" w:ascii="宋体" w:hAnsi="宋体" w:eastAsia="宋体" w:cs="宋体"/>
      <w:color w:val="000000"/>
      <w:sz w:val="20"/>
      <w:szCs w:val="20"/>
      <w:u w:val="none"/>
      <w:vertAlign w:val="superscript"/>
    </w:rPr>
  </w:style>
  <w:style w:type="character" w:customStyle="1" w:styleId="254">
    <w:name w:val="font271"/>
    <w:basedOn w:val="45"/>
    <w:qFormat/>
    <w:uiPriority w:val="0"/>
    <w:rPr>
      <w:rFonts w:hint="eastAsia" w:ascii="宋体" w:hAnsi="宋体" w:eastAsia="宋体" w:cs="宋体"/>
      <w:color w:val="000000"/>
      <w:sz w:val="20"/>
      <w:szCs w:val="20"/>
      <w:u w:val="none"/>
      <w:vertAlign w:val="subscript"/>
    </w:rPr>
  </w:style>
  <w:style w:type="character" w:customStyle="1" w:styleId="255">
    <w:name w:val="font161"/>
    <w:basedOn w:val="45"/>
    <w:qFormat/>
    <w:uiPriority w:val="0"/>
    <w:rPr>
      <w:rFonts w:hint="eastAsia" w:ascii="仿宋" w:hAnsi="仿宋" w:eastAsia="仿宋" w:cs="仿宋"/>
      <w:color w:val="000000"/>
      <w:sz w:val="20"/>
      <w:szCs w:val="20"/>
      <w:u w:val="none"/>
    </w:rPr>
  </w:style>
  <w:style w:type="character" w:customStyle="1" w:styleId="256">
    <w:name w:val="font151"/>
    <w:basedOn w:val="45"/>
    <w:qFormat/>
    <w:uiPriority w:val="0"/>
    <w:rPr>
      <w:rFonts w:hint="eastAsia" w:ascii="仿宋" w:hAnsi="仿宋" w:eastAsia="仿宋" w:cs="仿宋"/>
      <w:color w:val="000000"/>
      <w:sz w:val="20"/>
      <w:szCs w:val="20"/>
      <w:u w:val="none"/>
    </w:rPr>
  </w:style>
  <w:style w:type="character" w:customStyle="1" w:styleId="257">
    <w:name w:val="font171"/>
    <w:basedOn w:val="45"/>
    <w:qFormat/>
    <w:uiPriority w:val="0"/>
    <w:rPr>
      <w:rFonts w:hint="default" w:ascii="Arial" w:hAnsi="Arial" w:cs="Arial"/>
      <w:color w:val="000000"/>
      <w:sz w:val="20"/>
      <w:szCs w:val="20"/>
      <w:u w:val="none"/>
    </w:rPr>
  </w:style>
  <w:style w:type="character" w:customStyle="1" w:styleId="258">
    <w:name w:val="font281"/>
    <w:basedOn w:val="45"/>
    <w:qFormat/>
    <w:uiPriority w:val="0"/>
    <w:rPr>
      <w:rFonts w:hint="eastAsia" w:ascii="仿宋" w:hAnsi="仿宋" w:eastAsia="仿宋" w:cs="仿宋"/>
      <w:color w:val="000000"/>
      <w:sz w:val="20"/>
      <w:szCs w:val="20"/>
      <w:u w:val="none"/>
      <w:vertAlign w:val="subscript"/>
    </w:rPr>
  </w:style>
  <w:style w:type="character" w:customStyle="1" w:styleId="259">
    <w:name w:val="font291"/>
    <w:basedOn w:val="45"/>
    <w:qFormat/>
    <w:uiPriority w:val="0"/>
    <w:rPr>
      <w:rFonts w:hint="default" w:ascii="Arial" w:hAnsi="Arial" w:cs="Arial"/>
      <w:color w:val="000000"/>
      <w:sz w:val="20"/>
      <w:szCs w:val="20"/>
      <w:u w:val="none"/>
    </w:rPr>
  </w:style>
  <w:style w:type="character" w:customStyle="1" w:styleId="260">
    <w:name w:val="font181"/>
    <w:basedOn w:val="45"/>
    <w:qFormat/>
    <w:uiPriority w:val="0"/>
    <w:rPr>
      <w:rFonts w:hint="eastAsia" w:ascii="仿宋" w:hAnsi="仿宋" w:eastAsia="仿宋" w:cs="仿宋"/>
      <w:color w:val="000000"/>
      <w:sz w:val="20"/>
      <w:szCs w:val="20"/>
      <w:u w:val="none"/>
    </w:rPr>
  </w:style>
  <w:style w:type="character" w:customStyle="1" w:styleId="261">
    <w:name w:val="font301"/>
    <w:basedOn w:val="45"/>
    <w:qFormat/>
    <w:uiPriority w:val="0"/>
    <w:rPr>
      <w:rFonts w:ascii="微软雅黑" w:hAnsi="微软雅黑" w:eastAsia="微软雅黑" w:cs="微软雅黑"/>
      <w:color w:val="000000"/>
      <w:sz w:val="22"/>
      <w:szCs w:val="22"/>
      <w:u w:val="none"/>
    </w:rPr>
  </w:style>
  <w:style w:type="character" w:customStyle="1" w:styleId="262">
    <w:name w:val="font312"/>
    <w:basedOn w:val="45"/>
    <w:qFormat/>
    <w:uiPriority w:val="0"/>
    <w:rPr>
      <w:rFonts w:hint="eastAsia" w:ascii="微软雅黑" w:hAnsi="微软雅黑" w:eastAsia="微软雅黑" w:cs="微软雅黑"/>
      <w:color w:val="000000"/>
      <w:sz w:val="20"/>
      <w:szCs w:val="20"/>
      <w:u w:val="none"/>
    </w:rPr>
  </w:style>
  <w:style w:type="character" w:customStyle="1" w:styleId="263">
    <w:name w:val="font221"/>
    <w:basedOn w:val="45"/>
    <w:qFormat/>
    <w:uiPriority w:val="0"/>
    <w:rPr>
      <w:rFonts w:hint="default" w:ascii="Times New Roman" w:hAnsi="Times New Roman" w:cs="Times New Roman"/>
      <w:color w:val="000000"/>
      <w:sz w:val="20"/>
      <w:szCs w:val="20"/>
      <w:u w:val="none"/>
    </w:rPr>
  </w:style>
  <w:style w:type="character" w:customStyle="1" w:styleId="264">
    <w:name w:val="font321"/>
    <w:basedOn w:val="45"/>
    <w:qFormat/>
    <w:uiPriority w:val="0"/>
    <w:rPr>
      <w:rFonts w:hint="eastAsia" w:ascii="仿宋" w:hAnsi="仿宋" w:eastAsia="仿宋" w:cs="仿宋"/>
      <w:color w:val="000000"/>
      <w:sz w:val="20"/>
      <w:szCs w:val="20"/>
      <w:u w:val="none"/>
    </w:rPr>
  </w:style>
  <w:style w:type="character" w:customStyle="1" w:styleId="265">
    <w:name w:val="font191"/>
    <w:basedOn w:val="45"/>
    <w:qFormat/>
    <w:uiPriority w:val="0"/>
    <w:rPr>
      <w:rFonts w:hint="eastAsia" w:ascii="仿宋" w:hAnsi="仿宋" w:eastAsia="仿宋" w:cs="仿宋"/>
      <w:color w:val="000000"/>
      <w:sz w:val="20"/>
      <w:szCs w:val="20"/>
      <w:u w:val="none"/>
    </w:rPr>
  </w:style>
  <w:style w:type="character" w:customStyle="1" w:styleId="266">
    <w:name w:val="font331"/>
    <w:basedOn w:val="45"/>
    <w:qFormat/>
    <w:uiPriority w:val="0"/>
    <w:rPr>
      <w:rFonts w:hint="eastAsia" w:ascii="仿宋" w:hAnsi="仿宋" w:eastAsia="仿宋" w:cs="仿宋"/>
      <w:color w:val="000000"/>
      <w:sz w:val="20"/>
      <w:szCs w:val="20"/>
      <w:u w:val="none"/>
      <w:vertAlign w:val="superscript"/>
    </w:rPr>
  </w:style>
  <w:style w:type="paragraph" w:styleId="267">
    <w:name w:val="List Paragraph"/>
    <w:basedOn w:val="1"/>
    <w:qFormat/>
    <w:uiPriority w:val="0"/>
    <w:pPr>
      <w:ind w:firstLine="420" w:firstLineChars="200"/>
    </w:pPr>
  </w:style>
  <w:style w:type="character" w:customStyle="1" w:styleId="268">
    <w:name w:val="font341"/>
    <w:basedOn w:val="45"/>
    <w:qFormat/>
    <w:uiPriority w:val="0"/>
    <w:rPr>
      <w:rFonts w:hint="eastAsia" w:ascii="仿宋" w:hAnsi="仿宋" w:eastAsia="仿宋" w:cs="仿宋"/>
      <w:color w:val="000000"/>
      <w:sz w:val="20"/>
      <w:szCs w:val="20"/>
      <w:u w:val="none"/>
    </w:rPr>
  </w:style>
  <w:style w:type="character" w:customStyle="1" w:styleId="269">
    <w:name w:val="font351"/>
    <w:basedOn w:val="45"/>
    <w:qFormat/>
    <w:uiPriority w:val="0"/>
    <w:rPr>
      <w:rFonts w:hint="eastAsia" w:ascii="仿宋" w:hAnsi="仿宋" w:eastAsia="仿宋" w:cs="仿宋"/>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23492</Words>
  <Characters>24905</Characters>
  <Lines>245</Lines>
  <Paragraphs>68</Paragraphs>
  <TotalTime>44</TotalTime>
  <ScaleCrop>false</ScaleCrop>
  <LinksUpToDate>false</LinksUpToDate>
  <CharactersWithSpaces>25437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2026-05-11T17:57:00Z</cp:lastPrinted>
  <dcterms:modified xsi:type="dcterms:W3CDTF">2026-05-13T08:51:18Z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0F619F0FF879497B8CA1319042BF6418_13</vt:lpwstr>
  </property>
  <property fmtid="{D5CDD505-2E9C-101B-9397-08002B2CF9AE}" pid="4" name="KSOTemplateDocerSaveRecord">
    <vt:lpwstr>eyJoZGlkIjoiYzE5M2NlMWI0ZmI4MTMyOTFjNDg1ODY2YTdiMDE0NzAiLCJ1c2VySWQiOiIyMDc2NjcyMDcifQ==</vt:lpwstr>
  </property>
</Properties>
</file>