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AB6BE">
      <w:pPr>
        <w:adjustRightInd w:val="0"/>
        <w:snapToGrid w:val="0"/>
        <w:spacing w:line="276" w:lineRule="auto"/>
        <w:jc w:val="left"/>
        <w:rPr>
          <w:rFonts w:hint="eastAsia" w:ascii="仿宋" w:hAnsi="仿宋" w:eastAsia="仿宋" w:cs="仿宋"/>
          <w:b/>
          <w:bCs/>
          <w:color w:val="auto"/>
          <w:sz w:val="48"/>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drawing>
          <wp:inline distT="0" distB="0" distL="0" distR="0">
            <wp:extent cx="981075" cy="7905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981075" cy="790575"/>
                    </a:xfrm>
                    <a:prstGeom prst="rect">
                      <a:avLst/>
                    </a:prstGeom>
                    <a:noFill/>
                    <a:ln>
                      <a:noFill/>
                    </a:ln>
                  </pic:spPr>
                </pic:pic>
              </a:graphicData>
            </a:graphic>
          </wp:inline>
        </w:drawing>
      </w:r>
      <w:r>
        <w:rPr>
          <w:rFonts w:hint="eastAsia" w:ascii="仿宋" w:hAnsi="仿宋" w:eastAsia="仿宋" w:cs="仿宋"/>
          <w:color w:val="auto"/>
          <w:sz w:val="24"/>
          <w:szCs w:val="24"/>
          <w:highlight w:val="none"/>
          <w:shd w:val="clear" w:color="auto" w:fill="FFFFFF" w:themeFill="background1"/>
        </w:rPr>
        <w:t xml:space="preserve"> </w:t>
      </w:r>
    </w:p>
    <w:p w14:paraId="48A5AD2C">
      <w:pPr>
        <w:adjustRightInd w:val="0"/>
        <w:snapToGrid w:val="0"/>
        <w:spacing w:line="276" w:lineRule="auto"/>
        <w:jc w:val="center"/>
        <w:rPr>
          <w:rFonts w:hint="eastAsia" w:ascii="仿宋" w:hAnsi="仿宋" w:eastAsia="仿宋" w:cs="仿宋"/>
          <w:b/>
          <w:bCs/>
          <w:color w:val="auto"/>
          <w:sz w:val="48"/>
          <w:szCs w:val="24"/>
          <w:highlight w:val="none"/>
          <w:shd w:val="clear" w:color="auto" w:fill="FFFFFF" w:themeFill="background1"/>
        </w:rPr>
      </w:pPr>
    </w:p>
    <w:p w14:paraId="56E9C053">
      <w:pPr>
        <w:adjustRightInd w:val="0"/>
        <w:snapToGrid w:val="0"/>
        <w:spacing w:line="276" w:lineRule="auto"/>
        <w:jc w:val="center"/>
        <w:rPr>
          <w:rFonts w:hint="eastAsia" w:ascii="仿宋" w:hAnsi="仿宋" w:eastAsia="仿宋" w:cs="仿宋"/>
          <w:b/>
          <w:bCs/>
          <w:color w:val="auto"/>
          <w:sz w:val="48"/>
          <w:szCs w:val="24"/>
          <w:highlight w:val="none"/>
          <w:shd w:val="clear" w:color="auto" w:fill="FFFFFF" w:themeFill="background1"/>
          <w:lang w:val="en-US" w:eastAsia="zh-CN"/>
        </w:rPr>
      </w:pPr>
      <w:r>
        <w:rPr>
          <w:rFonts w:hint="eastAsia" w:ascii="仿宋" w:hAnsi="仿宋" w:eastAsia="仿宋" w:cs="仿宋"/>
          <w:b/>
          <w:bCs/>
          <w:color w:val="auto"/>
          <w:sz w:val="52"/>
          <w:szCs w:val="28"/>
          <w:highlight w:val="none"/>
          <w:shd w:val="clear" w:color="auto" w:fill="FFFFFF" w:themeFill="background1"/>
          <w:lang w:val="en-US" w:eastAsia="zh-CN"/>
        </w:rPr>
        <w:t>采 购 文 件</w:t>
      </w:r>
    </w:p>
    <w:p w14:paraId="0CAA0BB0">
      <w:pPr>
        <w:pStyle w:val="29"/>
        <w:jc w:val="center"/>
        <w:rPr>
          <w:rFonts w:hint="eastAsia" w:ascii="仿宋" w:hAnsi="仿宋" w:eastAsia="仿宋" w:cs="仿宋"/>
          <w:color w:val="auto"/>
          <w:sz w:val="16"/>
          <w:szCs w:val="16"/>
          <w:highlight w:val="none"/>
        </w:rPr>
      </w:pPr>
      <w:r>
        <w:rPr>
          <w:rFonts w:hint="eastAsia" w:ascii="仿宋" w:hAnsi="仿宋" w:eastAsia="仿宋" w:cs="仿宋"/>
          <w:b/>
          <w:bCs/>
          <w:color w:val="auto"/>
          <w:sz w:val="28"/>
          <w:szCs w:val="16"/>
          <w:highlight w:val="none"/>
          <w:shd w:val="clear" w:color="auto" w:fill="FFFFFF" w:themeFill="background1"/>
          <w:lang w:val="en-US" w:eastAsia="zh-CN"/>
        </w:rPr>
        <w:t>（竞争性磋商-服务）</w:t>
      </w:r>
    </w:p>
    <w:p w14:paraId="005CE09B">
      <w:pPr>
        <w:spacing w:line="276" w:lineRule="auto"/>
        <w:ind w:left="1181" w:right="-191" w:rightChars="-91" w:hanging="1180" w:hangingChars="492"/>
        <w:rPr>
          <w:rFonts w:hint="eastAsia" w:ascii="仿宋" w:hAnsi="仿宋" w:eastAsia="仿宋" w:cs="仿宋"/>
          <w:bCs/>
          <w:color w:val="auto"/>
          <w:kern w:val="0"/>
          <w:sz w:val="24"/>
          <w:szCs w:val="24"/>
          <w:highlight w:val="none"/>
          <w:shd w:val="clear" w:color="auto" w:fill="FFFFFF" w:themeFill="background1"/>
        </w:rPr>
      </w:pPr>
    </w:p>
    <w:p w14:paraId="51E5F915">
      <w:pPr>
        <w:spacing w:line="276" w:lineRule="auto"/>
        <w:ind w:left="1181" w:right="-191" w:rightChars="-91" w:hanging="1180" w:hangingChars="492"/>
        <w:rPr>
          <w:rFonts w:hint="eastAsia" w:ascii="仿宋" w:hAnsi="仿宋" w:eastAsia="仿宋" w:cs="仿宋"/>
          <w:bCs/>
          <w:color w:val="auto"/>
          <w:kern w:val="0"/>
          <w:sz w:val="24"/>
          <w:szCs w:val="24"/>
          <w:highlight w:val="none"/>
          <w:shd w:val="clear" w:color="auto" w:fill="FFFFFF" w:themeFill="background1"/>
        </w:rPr>
      </w:pPr>
    </w:p>
    <w:p w14:paraId="779FC9EC">
      <w:pPr>
        <w:spacing w:line="276" w:lineRule="auto"/>
        <w:ind w:left="1181" w:right="-191" w:rightChars="-91" w:hanging="1180" w:hangingChars="492"/>
        <w:rPr>
          <w:rFonts w:hint="eastAsia" w:ascii="仿宋" w:hAnsi="仿宋" w:eastAsia="仿宋" w:cs="仿宋"/>
          <w:bCs/>
          <w:color w:val="auto"/>
          <w:kern w:val="0"/>
          <w:sz w:val="24"/>
          <w:szCs w:val="24"/>
          <w:highlight w:val="none"/>
          <w:shd w:val="clear" w:color="auto" w:fill="FFFFFF" w:themeFill="background1"/>
        </w:rPr>
      </w:pPr>
    </w:p>
    <w:p w14:paraId="575C6934">
      <w:pPr>
        <w:spacing w:line="276" w:lineRule="auto"/>
        <w:ind w:left="1574" w:right="-191" w:rightChars="-91" w:hanging="1574" w:hangingChars="492"/>
        <w:rPr>
          <w:rFonts w:hint="eastAsia" w:ascii="仿宋" w:hAnsi="仿宋" w:eastAsia="仿宋" w:cs="仿宋"/>
          <w:bCs/>
          <w:color w:val="auto"/>
          <w:sz w:val="32"/>
          <w:szCs w:val="24"/>
          <w:highlight w:val="none"/>
          <w:shd w:val="clear" w:color="auto" w:fill="FFFFFF" w:themeFill="background1"/>
          <w:lang w:eastAsia="zh-CN"/>
        </w:rPr>
      </w:pPr>
      <w:r>
        <w:rPr>
          <w:rFonts w:hint="eastAsia" w:ascii="仿宋" w:hAnsi="仿宋" w:eastAsia="仿宋" w:cs="仿宋"/>
          <w:bCs/>
          <w:color w:val="auto"/>
          <w:kern w:val="0"/>
          <w:sz w:val="32"/>
          <w:szCs w:val="24"/>
          <w:highlight w:val="none"/>
          <w:shd w:val="clear" w:color="auto" w:fill="FFFFFF" w:themeFill="background1"/>
        </w:rPr>
        <w:t>项目名称：</w:t>
      </w:r>
      <w:r>
        <w:rPr>
          <w:rFonts w:hint="eastAsia" w:ascii="仿宋" w:hAnsi="仿宋" w:eastAsia="仿宋" w:cs="仿宋"/>
          <w:bCs/>
          <w:color w:val="auto"/>
          <w:kern w:val="0"/>
          <w:sz w:val="32"/>
          <w:szCs w:val="32"/>
          <w:highlight w:val="none"/>
          <w:lang w:eastAsia="zh-CN"/>
        </w:rPr>
        <w:t>新疆维吾尔自治区药品监督管理局财务内控管理平台系统运维服务项目</w:t>
      </w:r>
    </w:p>
    <w:p w14:paraId="30521B80">
      <w:pPr>
        <w:adjustRightInd w:val="0"/>
        <w:snapToGrid w:val="0"/>
        <w:spacing w:line="276" w:lineRule="auto"/>
        <w:jc w:val="center"/>
        <w:rPr>
          <w:rFonts w:hint="eastAsia" w:ascii="仿宋" w:hAnsi="仿宋" w:eastAsia="仿宋" w:cs="仿宋"/>
          <w:bCs/>
          <w:color w:val="auto"/>
          <w:sz w:val="32"/>
          <w:szCs w:val="24"/>
          <w:highlight w:val="none"/>
          <w:shd w:val="clear" w:color="auto" w:fill="FFFFFF" w:themeFill="background1"/>
        </w:rPr>
      </w:pPr>
    </w:p>
    <w:p w14:paraId="6DD801E8">
      <w:pPr>
        <w:adjustRightInd w:val="0"/>
        <w:snapToGrid w:val="0"/>
        <w:spacing w:line="480" w:lineRule="exact"/>
        <w:ind w:left="2240" w:hanging="2240" w:hangingChars="700"/>
        <w:rPr>
          <w:rFonts w:hint="eastAsia" w:ascii="仿宋" w:hAnsi="仿宋" w:eastAsia="仿宋" w:cs="仿宋"/>
          <w:bCs/>
          <w:color w:val="auto"/>
          <w:kern w:val="0"/>
          <w:sz w:val="32"/>
          <w:szCs w:val="32"/>
          <w:highlight w:val="none"/>
          <w:lang w:eastAsia="zh-CN"/>
        </w:rPr>
      </w:pPr>
      <w:r>
        <w:rPr>
          <w:rFonts w:hint="eastAsia" w:ascii="仿宋" w:hAnsi="仿宋" w:eastAsia="仿宋" w:cs="仿宋"/>
          <w:bCs/>
          <w:color w:val="auto"/>
          <w:kern w:val="0"/>
          <w:sz w:val="32"/>
          <w:szCs w:val="32"/>
          <w:highlight w:val="none"/>
        </w:rPr>
        <w:t>采购人(盖章)：</w:t>
      </w:r>
      <w:r>
        <w:rPr>
          <w:rFonts w:hint="eastAsia" w:ascii="仿宋" w:hAnsi="仿宋" w:eastAsia="仿宋" w:cs="仿宋"/>
          <w:bCs/>
          <w:color w:val="auto"/>
          <w:kern w:val="0"/>
          <w:sz w:val="32"/>
          <w:szCs w:val="32"/>
          <w:highlight w:val="none"/>
          <w:lang w:eastAsia="zh-CN"/>
        </w:rPr>
        <w:t>新疆维吾尔自治区药物警戒中心</w:t>
      </w:r>
    </w:p>
    <w:p w14:paraId="7C1A42F2">
      <w:pPr>
        <w:adjustRightInd w:val="0"/>
        <w:snapToGrid w:val="0"/>
        <w:spacing w:line="480" w:lineRule="exact"/>
        <w:rPr>
          <w:rFonts w:hint="eastAsia" w:ascii="仿宋" w:hAnsi="仿宋" w:eastAsia="仿宋" w:cs="仿宋"/>
          <w:bCs/>
          <w:color w:val="auto"/>
          <w:sz w:val="32"/>
          <w:szCs w:val="32"/>
          <w:highlight w:val="none"/>
        </w:rPr>
      </w:pPr>
    </w:p>
    <w:p w14:paraId="79154B15">
      <w:pPr>
        <w:adjustRightInd w:val="0"/>
        <w:snapToGrid w:val="0"/>
        <w:spacing w:line="480" w:lineRule="exact"/>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联系人：</w:t>
      </w:r>
      <w:r>
        <w:rPr>
          <w:rFonts w:hint="eastAsia" w:ascii="仿宋" w:hAnsi="仿宋" w:eastAsia="仿宋" w:cs="仿宋"/>
          <w:bCs/>
          <w:color w:val="auto"/>
          <w:sz w:val="32"/>
          <w:szCs w:val="32"/>
          <w:highlight w:val="none"/>
          <w:lang w:eastAsia="zh-CN"/>
        </w:rPr>
        <w:t>王戎</w:t>
      </w:r>
      <w:r>
        <w:rPr>
          <w:rFonts w:hint="eastAsia" w:ascii="仿宋" w:hAnsi="仿宋" w:eastAsia="仿宋" w:cs="仿宋"/>
          <w:bCs/>
          <w:color w:val="auto"/>
          <w:sz w:val="32"/>
          <w:szCs w:val="32"/>
          <w:highlight w:val="none"/>
        </w:rPr>
        <w:t xml:space="preserve"> </w:t>
      </w:r>
    </w:p>
    <w:p w14:paraId="712B16E4">
      <w:pPr>
        <w:adjustRightInd w:val="0"/>
        <w:snapToGrid w:val="0"/>
        <w:spacing w:line="480" w:lineRule="exact"/>
        <w:rPr>
          <w:rFonts w:hint="eastAsia" w:ascii="仿宋" w:hAnsi="仿宋" w:eastAsia="仿宋" w:cs="仿宋"/>
          <w:bCs/>
          <w:color w:val="auto"/>
          <w:sz w:val="32"/>
          <w:szCs w:val="32"/>
          <w:highlight w:val="none"/>
        </w:rPr>
      </w:pPr>
    </w:p>
    <w:p w14:paraId="349F1BCA">
      <w:pPr>
        <w:adjustRightInd w:val="0"/>
        <w:snapToGrid w:val="0"/>
        <w:spacing w:line="480" w:lineRule="exact"/>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电话：</w:t>
      </w:r>
      <w:r>
        <w:rPr>
          <w:rFonts w:hint="eastAsia" w:ascii="仿宋" w:hAnsi="仿宋" w:eastAsia="仿宋" w:cs="仿宋"/>
          <w:bCs/>
          <w:color w:val="auto"/>
          <w:sz w:val="32"/>
          <w:szCs w:val="32"/>
          <w:highlight w:val="none"/>
          <w:lang w:eastAsia="zh-CN"/>
        </w:rPr>
        <w:t>18199192028</w:t>
      </w:r>
    </w:p>
    <w:p w14:paraId="6779A676">
      <w:pPr>
        <w:pBdr>
          <w:bottom w:val="single" w:color="auto" w:sz="4" w:space="0"/>
        </w:pBdr>
        <w:adjustRightInd w:val="0"/>
        <w:snapToGrid w:val="0"/>
        <w:spacing w:line="480" w:lineRule="exact"/>
        <w:rPr>
          <w:rFonts w:hint="eastAsia" w:ascii="仿宋" w:hAnsi="仿宋" w:eastAsia="仿宋" w:cs="仿宋"/>
          <w:bCs/>
          <w:color w:val="auto"/>
          <w:sz w:val="32"/>
          <w:szCs w:val="32"/>
          <w:highlight w:val="none"/>
        </w:rPr>
      </w:pPr>
    </w:p>
    <w:p w14:paraId="0169925A">
      <w:pPr>
        <w:pBdr>
          <w:bottom w:val="single" w:color="auto" w:sz="4" w:space="0"/>
        </w:pBdr>
        <w:adjustRightInd w:val="0"/>
        <w:snapToGrid w:val="0"/>
        <w:spacing w:line="480" w:lineRule="exact"/>
        <w:rPr>
          <w:rFonts w:hint="eastAsia" w:ascii="仿宋" w:hAnsi="仿宋" w:eastAsia="仿宋" w:cs="仿宋"/>
          <w:bCs/>
          <w:color w:val="auto"/>
          <w:sz w:val="32"/>
          <w:szCs w:val="32"/>
          <w:highlight w:val="none"/>
        </w:rPr>
      </w:pPr>
      <w:bookmarkStart w:id="219" w:name="_GoBack"/>
      <w:bookmarkEnd w:id="219"/>
    </w:p>
    <w:p w14:paraId="5F403989">
      <w:pPr>
        <w:adjustRightInd w:val="0"/>
        <w:snapToGrid w:val="0"/>
        <w:spacing w:line="480" w:lineRule="exact"/>
        <w:rPr>
          <w:rFonts w:hint="eastAsia" w:ascii="仿宋" w:hAnsi="仿宋" w:eastAsia="仿宋" w:cs="仿宋"/>
          <w:bCs/>
          <w:color w:val="auto"/>
          <w:kern w:val="0"/>
          <w:sz w:val="32"/>
          <w:szCs w:val="32"/>
          <w:highlight w:val="none"/>
        </w:rPr>
      </w:pPr>
    </w:p>
    <w:p w14:paraId="1019C600">
      <w:pPr>
        <w:adjustRightInd w:val="0"/>
        <w:snapToGrid w:val="0"/>
        <w:spacing w:line="480" w:lineRule="exact"/>
        <w:rPr>
          <w:rFonts w:hint="eastAsia" w:ascii="仿宋" w:hAnsi="仿宋" w:eastAsia="仿宋" w:cs="仿宋"/>
          <w:bCs/>
          <w:color w:val="auto"/>
          <w:kern w:val="0"/>
          <w:sz w:val="32"/>
          <w:szCs w:val="32"/>
          <w:highlight w:val="none"/>
        </w:rPr>
      </w:pPr>
    </w:p>
    <w:p w14:paraId="6E0EDD57">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采购代理机构</w:t>
      </w:r>
      <w:r>
        <w:rPr>
          <w:rFonts w:hint="eastAsia" w:ascii="仿宋" w:hAnsi="仿宋" w:eastAsia="仿宋" w:cs="仿宋"/>
          <w:color w:val="auto"/>
          <w:sz w:val="32"/>
          <w:szCs w:val="32"/>
          <w:highlight w:val="none"/>
        </w:rPr>
        <w:t>(盖章)</w:t>
      </w:r>
      <w:r>
        <w:rPr>
          <w:rFonts w:hint="eastAsia" w:ascii="仿宋" w:hAnsi="仿宋" w:eastAsia="仿宋" w:cs="仿宋"/>
          <w:bCs/>
          <w:color w:val="auto"/>
          <w:sz w:val="32"/>
          <w:szCs w:val="32"/>
          <w:highlight w:val="none"/>
        </w:rPr>
        <w:t>：新疆新世纪招标有限公司</w:t>
      </w:r>
    </w:p>
    <w:p w14:paraId="3AD2AFC4">
      <w:pPr>
        <w:adjustRightInd w:val="0"/>
        <w:snapToGrid w:val="0"/>
        <w:spacing w:line="480" w:lineRule="exact"/>
        <w:rPr>
          <w:rFonts w:hint="eastAsia" w:ascii="仿宋" w:hAnsi="仿宋" w:eastAsia="仿宋" w:cs="仿宋"/>
          <w:bCs/>
          <w:color w:val="auto"/>
          <w:sz w:val="32"/>
          <w:szCs w:val="32"/>
          <w:highlight w:val="none"/>
        </w:rPr>
      </w:pPr>
    </w:p>
    <w:p w14:paraId="7BD0E10F">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联系人：</w:t>
      </w:r>
      <w:r>
        <w:rPr>
          <w:rFonts w:hint="eastAsia" w:ascii="仿宋" w:hAnsi="仿宋" w:eastAsia="仿宋" w:cs="仿宋"/>
          <w:bCs/>
          <w:color w:val="auto"/>
          <w:sz w:val="32"/>
          <w:szCs w:val="32"/>
          <w:highlight w:val="none"/>
          <w:lang w:eastAsia="zh-CN"/>
        </w:rPr>
        <w:t>甘江涛、马丹阳</w:t>
      </w:r>
      <w:r>
        <w:rPr>
          <w:rFonts w:hint="eastAsia" w:ascii="仿宋" w:hAnsi="仿宋" w:eastAsia="仿宋" w:cs="仿宋"/>
          <w:bCs/>
          <w:color w:val="auto"/>
          <w:sz w:val="32"/>
          <w:szCs w:val="32"/>
          <w:highlight w:val="none"/>
        </w:rPr>
        <w:t xml:space="preserve"> </w:t>
      </w:r>
    </w:p>
    <w:p w14:paraId="27C9BDFA">
      <w:pPr>
        <w:adjustRightInd w:val="0"/>
        <w:snapToGrid w:val="0"/>
        <w:spacing w:line="480" w:lineRule="exact"/>
        <w:jc w:val="center"/>
        <w:rPr>
          <w:rFonts w:hint="eastAsia" w:ascii="仿宋" w:hAnsi="仿宋" w:eastAsia="仿宋" w:cs="仿宋"/>
          <w:bCs/>
          <w:color w:val="auto"/>
          <w:sz w:val="32"/>
          <w:szCs w:val="32"/>
          <w:highlight w:val="none"/>
        </w:rPr>
      </w:pPr>
    </w:p>
    <w:p w14:paraId="336D6EAD">
      <w:pPr>
        <w:adjustRightInd w:val="0"/>
        <w:snapToGrid w:val="0"/>
        <w:spacing w:line="480" w:lineRule="exact"/>
        <w:rPr>
          <w:rFonts w:hint="eastAsia" w:ascii="仿宋" w:hAnsi="仿宋" w:eastAsia="仿宋" w:cs="仿宋"/>
          <w:bCs/>
          <w:color w:val="auto"/>
          <w:sz w:val="32"/>
          <w:szCs w:val="32"/>
          <w:highlight w:val="none"/>
          <w:lang w:eastAsia="zh-CN"/>
        </w:rPr>
      </w:pPr>
      <w:r>
        <w:rPr>
          <w:rFonts w:hint="eastAsia" w:ascii="仿宋" w:hAnsi="仿宋" w:eastAsia="仿宋" w:cs="仿宋"/>
          <w:bCs/>
          <w:color w:val="auto"/>
          <w:kern w:val="0"/>
          <w:sz w:val="32"/>
          <w:szCs w:val="32"/>
          <w:highlight w:val="none"/>
        </w:rPr>
        <w:t>电话</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eastAsia="zh-CN"/>
        </w:rPr>
        <w:t>0991-4661782、18040795080</w:t>
      </w:r>
    </w:p>
    <w:p w14:paraId="48229DFD">
      <w:pPr>
        <w:adjustRightInd w:val="0"/>
        <w:snapToGrid w:val="0"/>
        <w:spacing w:line="480" w:lineRule="exact"/>
        <w:jc w:val="center"/>
        <w:rPr>
          <w:rFonts w:hint="eastAsia" w:ascii="仿宋" w:hAnsi="仿宋" w:eastAsia="仿宋" w:cs="仿宋"/>
          <w:bCs/>
          <w:color w:val="auto"/>
          <w:sz w:val="32"/>
          <w:szCs w:val="32"/>
          <w:highlight w:val="none"/>
        </w:rPr>
      </w:pPr>
    </w:p>
    <w:p w14:paraId="7D9E12C6">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地址：乌鲁木齐市新兴街20号凤凰科技大厦五楼</w:t>
      </w:r>
    </w:p>
    <w:p w14:paraId="670AA78A">
      <w:pPr>
        <w:widowControl/>
        <w:jc w:val="lef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br w:type="page"/>
      </w:r>
    </w:p>
    <w:p w14:paraId="21169A2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bCs/>
          <w:color w:val="auto"/>
          <w:sz w:val="24"/>
          <w:szCs w:val="24"/>
          <w:highlight w:val="none"/>
          <w:shd w:val="clear" w:color="auto" w:fill="FFFFFF" w:themeFill="background1"/>
        </w:rPr>
      </w:pPr>
      <w:r>
        <w:rPr>
          <w:rFonts w:hint="eastAsia" w:ascii="仿宋" w:hAnsi="仿宋" w:eastAsia="仿宋" w:cs="仿宋"/>
          <w:b/>
          <w:bCs/>
          <w:color w:val="auto"/>
          <w:sz w:val="24"/>
          <w:szCs w:val="24"/>
          <w:highlight w:val="none"/>
          <w:shd w:val="clear" w:color="auto" w:fill="FFFFFF" w:themeFill="background1"/>
        </w:rPr>
        <w:t>目 录</w:t>
      </w:r>
    </w:p>
    <w:p w14:paraId="59FE6C35">
      <w:pPr>
        <w:pStyle w:val="26"/>
        <w:tabs>
          <w:tab w:val="right" w:leader="dot" w:pos="9750"/>
        </w:tabs>
        <w:rPr>
          <w:rFonts w:hint="eastAsia" w:ascii="仿宋" w:hAnsi="仿宋" w:eastAsia="仿宋" w:cs="仿宋"/>
          <w:color w:val="auto"/>
          <w:highlight w:val="none"/>
        </w:rPr>
      </w:pPr>
      <w:r>
        <w:rPr>
          <w:rFonts w:hint="eastAsia" w:ascii="仿宋" w:hAnsi="仿宋" w:eastAsia="仿宋" w:cs="仿宋"/>
          <w:color w:val="auto"/>
          <w:sz w:val="24"/>
          <w:highlight w:val="none"/>
          <w:shd w:val="clear" w:color="auto" w:fill="FFFFFF" w:themeFill="background1"/>
        </w:rPr>
        <w:fldChar w:fldCharType="begin"/>
      </w:r>
      <w:r>
        <w:rPr>
          <w:rFonts w:hint="eastAsia" w:ascii="仿宋" w:hAnsi="仿宋" w:eastAsia="仿宋" w:cs="仿宋"/>
          <w:color w:val="auto"/>
          <w:sz w:val="24"/>
          <w:highlight w:val="none"/>
          <w:shd w:val="clear" w:color="auto" w:fill="FFFFFF" w:themeFill="background1"/>
        </w:rPr>
        <w:instrText xml:space="preserve">TOC \o "1-3" \h \u </w:instrText>
      </w:r>
      <w:r>
        <w:rPr>
          <w:rFonts w:hint="eastAsia" w:ascii="仿宋" w:hAnsi="仿宋" w:eastAsia="仿宋" w:cs="仿宋"/>
          <w:color w:val="auto"/>
          <w:sz w:val="24"/>
          <w:highlight w:val="none"/>
          <w:shd w:val="clear" w:color="auto" w:fill="FFFFFF" w:themeFill="background1"/>
        </w:rPr>
        <w:fldChar w:fldCharType="separate"/>
      </w:r>
      <w:r>
        <w:rPr>
          <w:rFonts w:hint="eastAsia" w:ascii="仿宋" w:hAnsi="仿宋" w:eastAsia="仿宋" w:cs="仿宋"/>
          <w:color w:val="auto"/>
          <w:highlight w:val="none"/>
          <w:shd w:val="clear" w:color="auto" w:fill="FFFFFF" w:themeFill="background1"/>
        </w:rPr>
        <w:fldChar w:fldCharType="begin"/>
      </w:r>
      <w:r>
        <w:rPr>
          <w:rFonts w:hint="eastAsia" w:ascii="仿宋" w:hAnsi="仿宋" w:eastAsia="仿宋" w:cs="仿宋"/>
          <w:color w:val="auto"/>
          <w:highlight w:val="none"/>
          <w:shd w:val="clear" w:color="auto" w:fill="FFFFFF" w:themeFill="background1"/>
        </w:rPr>
        <w:instrText xml:space="preserve"> HYPERLINK \l _Toc32592 </w:instrText>
      </w:r>
      <w:r>
        <w:rPr>
          <w:rFonts w:hint="eastAsia" w:ascii="仿宋" w:hAnsi="仿宋" w:eastAsia="仿宋" w:cs="仿宋"/>
          <w:color w:val="auto"/>
          <w:highlight w:val="none"/>
          <w:shd w:val="clear" w:color="auto" w:fill="FFFFFF" w:themeFill="background1"/>
        </w:rPr>
        <w:fldChar w:fldCharType="separate"/>
      </w:r>
      <w:r>
        <w:rPr>
          <w:rFonts w:hint="eastAsia" w:ascii="仿宋" w:hAnsi="仿宋" w:eastAsia="仿宋" w:cs="仿宋"/>
          <w:bCs/>
          <w:color w:val="auto"/>
          <w:szCs w:val="32"/>
          <w:highlight w:val="none"/>
          <w:lang w:val="en-US" w:eastAsia="zh-CN"/>
        </w:rPr>
        <w:t>竞争性</w:t>
      </w:r>
      <w:r>
        <w:rPr>
          <w:rFonts w:hint="eastAsia" w:ascii="仿宋" w:hAnsi="仿宋" w:eastAsia="仿宋" w:cs="仿宋"/>
          <w:bCs/>
          <w:color w:val="auto"/>
          <w:szCs w:val="32"/>
          <w:highlight w:val="none"/>
        </w:rPr>
        <w:t>磋商公告</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_Toc32592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w:t>
      </w:r>
      <w:r>
        <w:rPr>
          <w:rFonts w:hint="eastAsia" w:ascii="仿宋" w:hAnsi="仿宋" w:eastAsia="仿宋" w:cs="仿宋"/>
          <w:color w:val="auto"/>
          <w:highlight w:val="none"/>
        </w:rPr>
        <w:fldChar w:fldCharType="end"/>
      </w:r>
      <w:r>
        <w:rPr>
          <w:rFonts w:hint="eastAsia" w:ascii="仿宋" w:hAnsi="仿宋" w:eastAsia="仿宋" w:cs="仿宋"/>
          <w:color w:val="auto"/>
          <w:highlight w:val="none"/>
          <w:shd w:val="clear" w:color="auto" w:fill="FFFFFF" w:themeFill="background1"/>
        </w:rPr>
        <w:fldChar w:fldCharType="end"/>
      </w:r>
    </w:p>
    <w:p w14:paraId="3D08E25B">
      <w:pPr>
        <w:pStyle w:val="26"/>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_Toc10649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供应商须知前附表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_Toc10649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32A0529F">
      <w:pPr>
        <w:pStyle w:val="26"/>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_Toc32670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第一章 供应商须知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_Toc32670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63F77281">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_Toc6429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一、总则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_Toc6429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3D3F30BA">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_Toc27496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二、</w:t>
      </w:r>
      <w:r>
        <w:rPr>
          <w:rFonts w:hint="eastAsia" w:ascii="仿宋" w:hAnsi="仿宋" w:eastAsia="仿宋" w:cs="仿宋"/>
          <w:color w:val="auto"/>
          <w:szCs w:val="24"/>
          <w:highlight w:val="none"/>
          <w:shd w:val="clear" w:color="auto" w:fill="FFFFFF" w:themeFill="background1"/>
          <w:lang w:eastAsia="zh-CN"/>
        </w:rPr>
        <w:t>采购文件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_Toc27496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27EC91AF">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_Toc994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三、响应文件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_Toc994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9</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4F5BD218">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_Toc2388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四、</w:t>
      </w:r>
      <w:r>
        <w:rPr>
          <w:rFonts w:hint="eastAsia" w:ascii="仿宋" w:hAnsi="仿宋" w:eastAsia="仿宋" w:cs="仿宋"/>
          <w:color w:val="auto"/>
          <w:szCs w:val="24"/>
          <w:highlight w:val="none"/>
          <w:shd w:val="clear" w:color="auto" w:fill="FFFFFF" w:themeFill="background1"/>
          <w:lang w:val="en-US" w:eastAsia="zh-CN"/>
        </w:rPr>
        <w:t>响应</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_Toc2388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11</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6DF3F645">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_Toc16294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五、</w:t>
      </w:r>
      <w:r>
        <w:rPr>
          <w:rFonts w:hint="eastAsia" w:ascii="仿宋" w:hAnsi="仿宋" w:eastAsia="仿宋" w:cs="仿宋"/>
          <w:color w:val="auto"/>
          <w:szCs w:val="24"/>
          <w:highlight w:val="none"/>
          <w:shd w:val="clear" w:color="auto" w:fill="FFFFFF" w:themeFill="background1"/>
          <w:lang w:eastAsia="zh-CN"/>
        </w:rPr>
        <w:t>开启</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_Toc16294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12</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3C8BB47F">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_Toc10172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六、评审</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_Toc10172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12</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0B95FAB3">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_Toc1096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七、定标及合同授予</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_Toc1096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12</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439C5B5F">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_Toc22638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八、纪律和监督</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_Toc22638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13</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01645A46">
      <w:pPr>
        <w:pStyle w:val="26"/>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_Toc26123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第二章 评审办法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_Toc26123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15</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650AEF7A">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_Toc2233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评审办法前附表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_Toc2233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15</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5101E346">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_Toc16659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一、评审方法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_Toc16659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18</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0B8D3074">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_Toc28167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二、评审标准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_Toc28167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18</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0C467CB1">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_Toc32655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三、评审程序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_Toc32655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18</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7FEA458E">
      <w:pPr>
        <w:pStyle w:val="26"/>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_Toc29306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第三章 合同文本</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_Toc29306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26</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410F9633">
      <w:pPr>
        <w:pStyle w:val="26"/>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_Toc4387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 xml:space="preserve">第四章 </w:t>
      </w:r>
      <w:r>
        <w:rPr>
          <w:rFonts w:hint="eastAsia" w:ascii="仿宋" w:hAnsi="仿宋" w:eastAsia="仿宋" w:cs="仿宋"/>
          <w:color w:val="auto"/>
          <w:szCs w:val="24"/>
          <w:highlight w:val="none"/>
          <w:shd w:val="clear" w:color="auto" w:fill="FFFFFF" w:themeFill="background1"/>
          <w:lang w:eastAsia="zh-CN"/>
        </w:rPr>
        <w:t>服务标准和要求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_Toc4387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26</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23478EE5">
      <w:pPr>
        <w:pStyle w:val="26"/>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_Toc17696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第五章 响应文件格式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_Toc17696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37</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04CA8388">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_Toc22190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lang w:val="en-US" w:eastAsia="zh-CN"/>
        </w:rPr>
        <w:t>一、</w:t>
      </w:r>
      <w:r>
        <w:rPr>
          <w:rFonts w:hint="eastAsia" w:ascii="仿宋" w:hAnsi="仿宋" w:eastAsia="仿宋" w:cs="仿宋"/>
          <w:color w:val="auto"/>
          <w:szCs w:val="24"/>
          <w:highlight w:val="none"/>
        </w:rPr>
        <w:t>开</w:t>
      </w:r>
      <w:r>
        <w:rPr>
          <w:rFonts w:hint="eastAsia" w:ascii="仿宋" w:hAnsi="仿宋" w:eastAsia="仿宋" w:cs="仿宋"/>
          <w:color w:val="auto"/>
          <w:szCs w:val="24"/>
          <w:highlight w:val="none"/>
          <w:lang w:val="en-US" w:eastAsia="zh-CN"/>
        </w:rPr>
        <w:t>启</w:t>
      </w:r>
      <w:r>
        <w:rPr>
          <w:rFonts w:hint="eastAsia" w:ascii="仿宋" w:hAnsi="仿宋" w:eastAsia="仿宋" w:cs="仿宋"/>
          <w:color w:val="auto"/>
          <w:szCs w:val="24"/>
          <w:highlight w:val="none"/>
        </w:rPr>
        <w:t>一览表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_Toc22190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39</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775CC90E">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_Toc16674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二</w:t>
      </w:r>
      <w:r>
        <w:rPr>
          <w:rFonts w:hint="eastAsia" w:ascii="仿宋" w:hAnsi="仿宋" w:eastAsia="仿宋" w:cs="仿宋"/>
          <w:color w:val="auto"/>
          <w:szCs w:val="24"/>
          <w:highlight w:val="none"/>
          <w:shd w:val="clear" w:color="auto" w:fill="FFFFFF" w:themeFill="background1"/>
        </w:rPr>
        <w:t>、</w:t>
      </w:r>
      <w:r>
        <w:rPr>
          <w:rFonts w:hint="eastAsia" w:ascii="仿宋" w:hAnsi="仿宋" w:eastAsia="仿宋" w:cs="仿宋"/>
          <w:color w:val="auto"/>
          <w:szCs w:val="24"/>
          <w:highlight w:val="none"/>
          <w:shd w:val="clear" w:color="auto" w:fill="FFFFFF" w:themeFill="background1"/>
          <w:lang w:eastAsia="zh-CN"/>
        </w:rPr>
        <w:t>响应函</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_Toc16674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40</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00E7E5DA">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_Toc27997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三</w:t>
      </w:r>
      <w:r>
        <w:rPr>
          <w:rFonts w:hint="eastAsia" w:ascii="仿宋" w:hAnsi="仿宋" w:eastAsia="仿宋" w:cs="仿宋"/>
          <w:color w:val="auto"/>
          <w:szCs w:val="24"/>
          <w:highlight w:val="none"/>
          <w:shd w:val="clear" w:color="auto" w:fill="FFFFFF" w:themeFill="background1"/>
        </w:rPr>
        <w:t>、</w:t>
      </w:r>
      <w:r>
        <w:rPr>
          <w:rFonts w:hint="eastAsia" w:ascii="仿宋" w:hAnsi="仿宋" w:eastAsia="仿宋" w:cs="仿宋"/>
          <w:color w:val="auto"/>
          <w:szCs w:val="24"/>
          <w:highlight w:val="none"/>
          <w:shd w:val="clear" w:color="auto" w:fill="FFFFFF" w:themeFill="background1"/>
          <w:lang w:eastAsia="zh-CN"/>
        </w:rPr>
        <w:t>响应价格</w:t>
      </w:r>
      <w:r>
        <w:rPr>
          <w:rFonts w:hint="eastAsia" w:ascii="仿宋" w:hAnsi="仿宋" w:eastAsia="仿宋" w:cs="仿宋"/>
          <w:color w:val="auto"/>
          <w:szCs w:val="24"/>
          <w:highlight w:val="none"/>
          <w:shd w:val="clear" w:color="auto" w:fill="FFFFFF" w:themeFill="background1"/>
        </w:rPr>
        <w:t>明细表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_Toc27997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41</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5DD3B36B">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_Toc2836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四</w:t>
      </w:r>
      <w:r>
        <w:rPr>
          <w:rFonts w:hint="eastAsia" w:ascii="仿宋" w:hAnsi="仿宋" w:eastAsia="仿宋" w:cs="仿宋"/>
          <w:color w:val="auto"/>
          <w:szCs w:val="24"/>
          <w:highlight w:val="none"/>
          <w:shd w:val="clear" w:color="auto" w:fill="FFFFFF" w:themeFill="background1"/>
        </w:rPr>
        <w:t>、商务条款偏离表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_Toc2836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42</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239FC3E6">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_Toc23331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五</w:t>
      </w:r>
      <w:r>
        <w:rPr>
          <w:rFonts w:hint="eastAsia" w:ascii="仿宋" w:hAnsi="仿宋" w:eastAsia="仿宋" w:cs="仿宋"/>
          <w:color w:val="auto"/>
          <w:szCs w:val="24"/>
          <w:highlight w:val="none"/>
          <w:shd w:val="clear" w:color="auto" w:fill="FFFFFF" w:themeFill="background1"/>
        </w:rPr>
        <w:t>、技术条款偏离表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_Toc23331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43</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6EB194E6">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_Toc32267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六</w:t>
      </w:r>
      <w:r>
        <w:rPr>
          <w:rFonts w:hint="eastAsia" w:ascii="仿宋" w:hAnsi="仿宋" w:eastAsia="仿宋" w:cs="仿宋"/>
          <w:color w:val="auto"/>
          <w:szCs w:val="24"/>
          <w:highlight w:val="none"/>
          <w:shd w:val="clear" w:color="auto" w:fill="FFFFFF" w:themeFill="background1"/>
        </w:rPr>
        <w:t>、法定代表人身份证明书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_Toc32267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44</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7D141B8C">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_Toc28679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七</w:t>
      </w:r>
      <w:r>
        <w:rPr>
          <w:rFonts w:hint="eastAsia" w:ascii="仿宋" w:hAnsi="仿宋" w:eastAsia="仿宋" w:cs="仿宋"/>
          <w:color w:val="auto"/>
          <w:szCs w:val="24"/>
          <w:highlight w:val="none"/>
          <w:shd w:val="clear" w:color="auto" w:fill="FFFFFF" w:themeFill="background1"/>
        </w:rPr>
        <w:t>、法定代表人授权委托书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_Toc28679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45</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22BC4CAE">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_Toc3624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八</w:t>
      </w:r>
      <w:r>
        <w:rPr>
          <w:rFonts w:hint="eastAsia" w:ascii="仿宋" w:hAnsi="仿宋" w:eastAsia="仿宋" w:cs="仿宋"/>
          <w:color w:val="auto"/>
          <w:szCs w:val="24"/>
          <w:highlight w:val="none"/>
          <w:shd w:val="clear" w:color="auto" w:fill="FFFFFF" w:themeFill="background1"/>
        </w:rPr>
        <w:t>、</w:t>
      </w:r>
      <w:r>
        <w:rPr>
          <w:rFonts w:hint="eastAsia" w:ascii="仿宋" w:hAnsi="仿宋" w:eastAsia="仿宋" w:cs="仿宋"/>
          <w:bCs/>
          <w:color w:val="auto"/>
          <w:szCs w:val="24"/>
          <w:highlight w:val="none"/>
          <w:shd w:val="clear" w:color="auto" w:fill="FFFFFF" w:themeFill="background1"/>
        </w:rPr>
        <w:t>供应商资格条件证明材料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_Toc3624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46</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5DF89E08">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_Toc2804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8</w:t>
      </w:r>
      <w:r>
        <w:rPr>
          <w:rFonts w:hint="eastAsia" w:ascii="仿宋" w:hAnsi="仿宋" w:eastAsia="仿宋" w:cs="仿宋"/>
          <w:color w:val="auto"/>
          <w:szCs w:val="24"/>
          <w:highlight w:val="none"/>
          <w:shd w:val="clear" w:color="auto" w:fill="FFFFFF" w:themeFill="background1"/>
        </w:rPr>
        <w:t>.1、法人或者其他组织的营业执照等证明文件，自然人的身份证明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_Toc2804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47</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22090DDB">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_Toc13496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8</w:t>
      </w:r>
      <w:r>
        <w:rPr>
          <w:rFonts w:hint="eastAsia" w:ascii="仿宋" w:hAnsi="仿宋" w:eastAsia="仿宋" w:cs="仿宋"/>
          <w:color w:val="auto"/>
          <w:szCs w:val="24"/>
          <w:highlight w:val="none"/>
          <w:shd w:val="clear" w:color="auto" w:fill="FFFFFF" w:themeFill="background1"/>
        </w:rPr>
        <w:t>.2、财务状况报告，依法缴纳税收和社会保障资金的相关材料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_Toc13496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48</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2CA8CDC3">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_Toc9702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8</w:t>
      </w:r>
      <w:r>
        <w:rPr>
          <w:rFonts w:hint="eastAsia" w:ascii="仿宋" w:hAnsi="仿宋" w:eastAsia="仿宋" w:cs="仿宋"/>
          <w:color w:val="auto"/>
          <w:szCs w:val="24"/>
          <w:highlight w:val="none"/>
          <w:shd w:val="clear" w:color="auto" w:fill="FFFFFF" w:themeFill="background1"/>
        </w:rPr>
        <w:t>.3、具备履行合同所必需的设备和专业技术能力的证明材料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_Toc9702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49</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7FC1D442">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_Toc23067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8</w:t>
      </w:r>
      <w:r>
        <w:rPr>
          <w:rFonts w:hint="eastAsia" w:ascii="仿宋" w:hAnsi="仿宋" w:eastAsia="仿宋" w:cs="仿宋"/>
          <w:color w:val="auto"/>
          <w:szCs w:val="24"/>
          <w:highlight w:val="none"/>
          <w:shd w:val="clear" w:color="auto" w:fill="FFFFFF" w:themeFill="background1"/>
        </w:rPr>
        <w:t>.4、参加政府采购活动前3年内在经营活动中没有重大违法记录的书面声明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_Toc23067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50</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5A3D34B6">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_Toc27822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8</w:t>
      </w:r>
      <w:r>
        <w:rPr>
          <w:rFonts w:hint="eastAsia" w:ascii="仿宋" w:hAnsi="仿宋" w:eastAsia="仿宋" w:cs="仿宋"/>
          <w:color w:val="auto"/>
          <w:szCs w:val="24"/>
          <w:highlight w:val="none"/>
          <w:shd w:val="clear" w:color="auto" w:fill="FFFFFF" w:themeFill="background1"/>
        </w:rPr>
        <w:t>.5、具备法律、行政法规规定的其他条件的证明材料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_Toc27822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51</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1DD990DF">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_Toc5131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九</w:t>
      </w:r>
      <w:r>
        <w:rPr>
          <w:rFonts w:hint="eastAsia" w:ascii="仿宋" w:hAnsi="仿宋" w:eastAsia="仿宋" w:cs="仿宋"/>
          <w:color w:val="auto"/>
          <w:szCs w:val="24"/>
          <w:highlight w:val="none"/>
          <w:shd w:val="clear" w:color="auto" w:fill="FFFFFF" w:themeFill="background1"/>
        </w:rPr>
        <w:t>、</w:t>
      </w:r>
      <w:r>
        <w:rPr>
          <w:rFonts w:hint="eastAsia" w:ascii="仿宋" w:hAnsi="仿宋" w:eastAsia="仿宋" w:cs="仿宋"/>
          <w:bCs/>
          <w:color w:val="auto"/>
          <w:szCs w:val="24"/>
          <w:highlight w:val="none"/>
          <w:shd w:val="clear" w:color="auto" w:fill="FFFFFF" w:themeFill="background1"/>
        </w:rPr>
        <w:t>供应商近年类似项目业绩表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_Toc5131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54</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37891C70">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_Toc31395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十</w:t>
      </w:r>
      <w:r>
        <w:rPr>
          <w:rFonts w:hint="eastAsia" w:ascii="仿宋" w:hAnsi="仿宋" w:eastAsia="仿宋" w:cs="仿宋"/>
          <w:color w:val="auto"/>
          <w:szCs w:val="24"/>
          <w:highlight w:val="none"/>
          <w:shd w:val="clear" w:color="auto" w:fill="FFFFFF" w:themeFill="background1"/>
        </w:rPr>
        <w:t>、</w:t>
      </w:r>
      <w:r>
        <w:rPr>
          <w:rFonts w:hint="eastAsia" w:ascii="仿宋" w:hAnsi="仿宋" w:eastAsia="仿宋" w:cs="仿宋"/>
          <w:bCs/>
          <w:color w:val="auto"/>
          <w:szCs w:val="24"/>
          <w:highlight w:val="none"/>
          <w:shd w:val="clear" w:color="auto" w:fill="FFFFFF" w:themeFill="background1"/>
          <w:lang w:eastAsia="zh-CN"/>
        </w:rPr>
        <w:t>项目负责人</w:t>
      </w:r>
      <w:r>
        <w:rPr>
          <w:rFonts w:hint="eastAsia" w:ascii="仿宋" w:hAnsi="仿宋" w:eastAsia="仿宋" w:cs="仿宋"/>
          <w:bCs/>
          <w:color w:val="auto"/>
          <w:szCs w:val="24"/>
          <w:highlight w:val="none"/>
          <w:shd w:val="clear" w:color="auto" w:fill="FFFFFF" w:themeFill="background1"/>
        </w:rPr>
        <w:t>简历表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_Toc31395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55</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1F4E1551">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_Toc767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bCs/>
          <w:color w:val="auto"/>
          <w:szCs w:val="24"/>
          <w:highlight w:val="none"/>
          <w:shd w:val="clear" w:color="auto" w:fill="FFFFFF" w:themeFill="background1"/>
        </w:rPr>
        <w:t>十</w:t>
      </w:r>
      <w:r>
        <w:rPr>
          <w:rFonts w:hint="eastAsia" w:ascii="仿宋" w:hAnsi="仿宋" w:eastAsia="仿宋" w:cs="仿宋"/>
          <w:bCs/>
          <w:color w:val="auto"/>
          <w:szCs w:val="24"/>
          <w:highlight w:val="none"/>
          <w:shd w:val="clear" w:color="auto" w:fill="FFFFFF" w:themeFill="background1"/>
          <w:lang w:val="en-US" w:eastAsia="zh-CN"/>
        </w:rPr>
        <w:t>一</w:t>
      </w:r>
      <w:r>
        <w:rPr>
          <w:rFonts w:hint="eastAsia" w:ascii="仿宋" w:hAnsi="仿宋" w:eastAsia="仿宋" w:cs="仿宋"/>
          <w:bCs/>
          <w:color w:val="auto"/>
          <w:szCs w:val="24"/>
          <w:highlight w:val="none"/>
          <w:shd w:val="clear" w:color="auto" w:fill="FFFFFF" w:themeFill="background1"/>
        </w:rPr>
        <w:t>、拟派主要服务人员</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_Toc767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56</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5191CE13">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_Toc32498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十</w:t>
      </w:r>
      <w:r>
        <w:rPr>
          <w:rFonts w:hint="eastAsia" w:ascii="仿宋" w:hAnsi="仿宋" w:eastAsia="仿宋" w:cs="仿宋"/>
          <w:color w:val="auto"/>
          <w:szCs w:val="24"/>
          <w:highlight w:val="none"/>
          <w:shd w:val="clear" w:color="auto" w:fill="FFFFFF" w:themeFill="background1"/>
          <w:lang w:val="en-US" w:eastAsia="zh-CN"/>
        </w:rPr>
        <w:t>二</w:t>
      </w:r>
      <w:r>
        <w:rPr>
          <w:rFonts w:hint="eastAsia" w:ascii="仿宋" w:hAnsi="仿宋" w:eastAsia="仿宋" w:cs="仿宋"/>
          <w:color w:val="auto"/>
          <w:szCs w:val="24"/>
          <w:highlight w:val="none"/>
          <w:shd w:val="clear" w:color="auto" w:fill="FFFFFF" w:themeFill="background1"/>
        </w:rPr>
        <w:t>、</w:t>
      </w:r>
      <w:r>
        <w:rPr>
          <w:rFonts w:hint="eastAsia" w:ascii="仿宋" w:hAnsi="仿宋" w:eastAsia="仿宋" w:cs="仿宋"/>
          <w:bCs/>
          <w:color w:val="auto"/>
          <w:szCs w:val="24"/>
          <w:highlight w:val="none"/>
          <w:shd w:val="clear" w:color="auto" w:fill="FFFFFF" w:themeFill="background1"/>
        </w:rPr>
        <w:t>服务方案</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_Toc32498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57</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14DE6A7C">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_Toc12216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rPr>
        <w:t>十</w:t>
      </w:r>
      <w:r>
        <w:rPr>
          <w:rFonts w:hint="eastAsia" w:ascii="仿宋" w:hAnsi="仿宋" w:eastAsia="仿宋" w:cs="仿宋"/>
          <w:color w:val="auto"/>
          <w:szCs w:val="24"/>
          <w:highlight w:val="none"/>
          <w:lang w:val="en-US" w:eastAsia="zh-CN"/>
        </w:rPr>
        <w:t>三</w:t>
      </w:r>
      <w:r>
        <w:rPr>
          <w:rFonts w:hint="eastAsia" w:ascii="仿宋" w:hAnsi="仿宋" w:eastAsia="仿宋" w:cs="仿宋"/>
          <w:color w:val="auto"/>
          <w:szCs w:val="24"/>
          <w:highlight w:val="none"/>
        </w:rPr>
        <w:t>、保证金缴纳证明材料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_Toc12216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58</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49C39E9F">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_Toc17524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rPr>
        <w:t>十</w:t>
      </w:r>
      <w:r>
        <w:rPr>
          <w:rFonts w:hint="eastAsia" w:ascii="仿宋" w:hAnsi="仿宋" w:eastAsia="仿宋" w:cs="仿宋"/>
          <w:color w:val="auto"/>
          <w:szCs w:val="24"/>
          <w:highlight w:val="none"/>
          <w:lang w:val="en-US" w:eastAsia="zh-CN"/>
        </w:rPr>
        <w:t>四</w:t>
      </w:r>
      <w:r>
        <w:rPr>
          <w:rFonts w:hint="eastAsia" w:ascii="仿宋" w:hAnsi="仿宋" w:eastAsia="仿宋" w:cs="仿宋"/>
          <w:color w:val="auto"/>
          <w:szCs w:val="24"/>
          <w:highlight w:val="none"/>
        </w:rPr>
        <w:t>、其它需要提交的资料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_Toc17524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59</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513FA850">
      <w:pPr>
        <w:pStyle w:val="26"/>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_Toc4679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fill="FFFFFF" w:themeFill="background1"/>
        </w:rPr>
        <w:t xml:space="preserve">第六章 </w:t>
      </w:r>
      <w:r>
        <w:rPr>
          <w:rFonts w:hint="eastAsia" w:ascii="仿宋" w:hAnsi="仿宋" w:eastAsia="仿宋" w:cs="仿宋"/>
          <w:color w:val="auto"/>
          <w:szCs w:val="24"/>
          <w:highlight w:val="none"/>
          <w:shd w:val="clear" w:color="auto" w:fill="FFFFFF" w:themeFill="background1"/>
        </w:rPr>
        <w:t>补充条款</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_Toc4679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60</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1FFFF495">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_Toc16688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1</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中小企业扶持政策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_Toc16688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60</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54280B74">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_Toc30202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2</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残疾人企业扶持政策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_Toc30202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64</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0D5D4DD8">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_Toc13048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3</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监狱扶持政策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_Toc13048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66</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24C68DEB">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fldChar w:fldCharType="end"/>
      </w:r>
    </w:p>
    <w:p w14:paraId="6C91AC47">
      <w:pPr>
        <w:spacing w:line="360" w:lineRule="auto"/>
        <w:rPr>
          <w:rFonts w:hint="eastAsia" w:ascii="仿宋" w:hAnsi="仿宋" w:eastAsia="仿宋" w:cs="仿宋"/>
          <w:b/>
          <w:color w:val="auto"/>
          <w:sz w:val="24"/>
          <w:szCs w:val="24"/>
          <w:highlight w:val="none"/>
          <w:shd w:val="clear" w:color="auto" w:fill="FFFFFF" w:themeFill="background1"/>
        </w:rPr>
        <w:sectPr>
          <w:footerReference r:id="rId6" w:type="first"/>
          <w:headerReference r:id="rId3" w:type="default"/>
          <w:footerReference r:id="rId4" w:type="default"/>
          <w:footerReference r:id="rId5" w:type="even"/>
          <w:pgSz w:w="11910" w:h="16840"/>
          <w:pgMar w:top="1440" w:right="1080" w:bottom="1440" w:left="1080" w:header="0" w:footer="1178" w:gutter="0"/>
          <w:cols w:space="720" w:num="1"/>
        </w:sectPr>
      </w:pPr>
    </w:p>
    <w:p w14:paraId="11D178DE">
      <w:pPr>
        <w:spacing w:line="360" w:lineRule="auto"/>
        <w:jc w:val="center"/>
        <w:outlineLvl w:val="0"/>
        <w:rPr>
          <w:rFonts w:hint="eastAsia" w:ascii="仿宋" w:hAnsi="仿宋" w:eastAsia="仿宋" w:cs="仿宋"/>
          <w:b/>
          <w:bCs/>
          <w:color w:val="auto"/>
          <w:sz w:val="28"/>
          <w:szCs w:val="32"/>
          <w:highlight w:val="none"/>
        </w:rPr>
      </w:pPr>
      <w:bookmarkStart w:id="0" w:name="_Toc32592"/>
      <w:bookmarkStart w:id="1" w:name="_Toc1597"/>
      <w:r>
        <w:rPr>
          <w:rFonts w:hint="eastAsia" w:ascii="仿宋" w:hAnsi="仿宋" w:eastAsia="仿宋" w:cs="仿宋"/>
          <w:b/>
          <w:bCs/>
          <w:color w:val="auto"/>
          <w:sz w:val="28"/>
          <w:szCs w:val="32"/>
          <w:highlight w:val="none"/>
          <w:lang w:val="en-US" w:eastAsia="zh-CN"/>
        </w:rPr>
        <w:t>竞争性</w:t>
      </w:r>
      <w:r>
        <w:rPr>
          <w:rFonts w:hint="eastAsia" w:ascii="仿宋" w:hAnsi="仿宋" w:eastAsia="仿宋" w:cs="仿宋"/>
          <w:b/>
          <w:bCs/>
          <w:color w:val="auto"/>
          <w:sz w:val="28"/>
          <w:szCs w:val="32"/>
          <w:highlight w:val="none"/>
        </w:rPr>
        <w:t>磋商公告</w:t>
      </w:r>
      <w:bookmarkEnd w:id="0"/>
      <w:bookmarkEnd w:id="1"/>
    </w:p>
    <w:p w14:paraId="34B62817">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项目概况</w:t>
      </w:r>
    </w:p>
    <w:p w14:paraId="1DEE8F5E">
      <w:pPr>
        <w:spacing w:line="360" w:lineRule="auto"/>
        <w:ind w:firstLine="335"/>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lang w:eastAsia="zh-CN"/>
        </w:rPr>
        <w:t>新疆维吾尔自治区药品监督管理局财务内控管理平台系统运维服务项目</w:t>
      </w:r>
      <w:r>
        <w:rPr>
          <w:rFonts w:hint="eastAsia" w:ascii="仿宋" w:hAnsi="仿宋" w:eastAsia="仿宋" w:cs="仿宋"/>
          <w:color w:val="auto"/>
          <w:sz w:val="24"/>
          <w:szCs w:val="32"/>
          <w:highlight w:val="none"/>
        </w:rPr>
        <w:t>采购项目的潜在供应商应在政采云平台线上获取采购文件，</w:t>
      </w:r>
      <w:r>
        <w:rPr>
          <w:rFonts w:hint="eastAsia" w:ascii="仿宋" w:hAnsi="仿宋" w:eastAsia="仿宋" w:cs="仿宋"/>
          <w:color w:val="auto"/>
          <w:sz w:val="24"/>
          <w:szCs w:val="32"/>
          <w:highlight w:val="none"/>
          <w:lang w:eastAsia="zh-CN"/>
        </w:rPr>
        <w:t>并于2026年05月26日 10:30</w:t>
      </w:r>
      <w:r>
        <w:rPr>
          <w:rFonts w:hint="eastAsia" w:ascii="仿宋" w:hAnsi="仿宋" w:eastAsia="仿宋" w:cs="仿宋"/>
          <w:color w:val="auto"/>
          <w:sz w:val="24"/>
          <w:szCs w:val="32"/>
          <w:highlight w:val="none"/>
        </w:rPr>
        <w:t>（北京时间）前提交响应文件。</w:t>
      </w:r>
    </w:p>
    <w:p w14:paraId="6DC14116">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一、项目基本情况</w:t>
      </w:r>
    </w:p>
    <w:p w14:paraId="062E498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32"/>
          <w:highlight w:val="none"/>
        </w:rPr>
        <w:t>项目编号：</w:t>
      </w:r>
      <w:r>
        <w:rPr>
          <w:rFonts w:hint="eastAsia" w:ascii="仿宋" w:hAnsi="仿宋" w:eastAsia="仿宋" w:cs="仿宋"/>
          <w:color w:val="auto"/>
          <w:sz w:val="24"/>
          <w:szCs w:val="24"/>
          <w:highlight w:val="none"/>
          <w:lang w:eastAsia="zh-CN"/>
        </w:rPr>
        <w:t>XJXSJ-2026 (</w:t>
      </w:r>
      <w:r>
        <w:rPr>
          <w:rFonts w:hint="eastAsia" w:ascii="仿宋" w:hAnsi="仿宋" w:eastAsia="仿宋" w:cs="仿宋"/>
          <w:color w:val="auto"/>
          <w:sz w:val="24"/>
          <w:szCs w:val="24"/>
          <w:highlight w:val="none"/>
          <w:lang w:val="en-US" w:eastAsia="zh-CN"/>
        </w:rPr>
        <w:t>ZC</w:t>
      </w:r>
      <w:r>
        <w:rPr>
          <w:rFonts w:hint="eastAsia" w:ascii="仿宋" w:hAnsi="仿宋" w:eastAsia="仿宋" w:cs="仿宋"/>
          <w:color w:val="auto"/>
          <w:sz w:val="24"/>
          <w:szCs w:val="24"/>
          <w:highlight w:val="none"/>
          <w:lang w:eastAsia="zh-CN"/>
        </w:rPr>
        <w:t>)-275</w:t>
      </w:r>
      <w:r>
        <w:rPr>
          <w:rFonts w:hint="eastAsia" w:ascii="仿宋" w:hAnsi="仿宋" w:eastAsia="仿宋" w:cs="仿宋"/>
          <w:color w:val="auto"/>
          <w:sz w:val="24"/>
          <w:szCs w:val="24"/>
          <w:highlight w:val="none"/>
          <w:lang w:val="en-US" w:eastAsia="zh-CN"/>
        </w:rPr>
        <w:t xml:space="preserve"> </w:t>
      </w:r>
    </w:p>
    <w:p w14:paraId="187DE9BF">
      <w:pPr>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项目名称：</w:t>
      </w:r>
      <w:r>
        <w:rPr>
          <w:rFonts w:hint="eastAsia" w:ascii="仿宋" w:hAnsi="仿宋" w:eastAsia="仿宋" w:cs="仿宋"/>
          <w:color w:val="auto"/>
          <w:sz w:val="24"/>
          <w:szCs w:val="32"/>
          <w:highlight w:val="none"/>
          <w:lang w:eastAsia="zh-CN"/>
        </w:rPr>
        <w:t>新疆维吾尔自治区药品监督管理局财务内控管理平台系统运维服务项目</w:t>
      </w:r>
      <w:r>
        <w:rPr>
          <w:rFonts w:hint="eastAsia" w:ascii="仿宋" w:hAnsi="仿宋" w:eastAsia="仿宋" w:cs="仿宋"/>
          <w:color w:val="auto"/>
          <w:sz w:val="24"/>
          <w:szCs w:val="32"/>
          <w:highlight w:val="none"/>
        </w:rPr>
        <w:t> </w:t>
      </w:r>
    </w:p>
    <w:p w14:paraId="01A41B61">
      <w:pPr>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采购方式：</w:t>
      </w:r>
      <w:r>
        <w:rPr>
          <w:rFonts w:hint="eastAsia" w:ascii="仿宋" w:hAnsi="仿宋" w:eastAsia="仿宋" w:cs="仿宋"/>
          <w:color w:val="auto"/>
          <w:sz w:val="24"/>
          <w:szCs w:val="32"/>
          <w:highlight w:val="none"/>
        </w:rPr>
        <w:t>竞争性磋商 </w:t>
      </w:r>
    </w:p>
    <w:p w14:paraId="21BE50C7">
      <w:pPr>
        <w:spacing w:line="360" w:lineRule="auto"/>
        <w:ind w:firstLine="480" w:firstLineChars="200"/>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rPr>
        <w:t>预算金额（元）：</w:t>
      </w:r>
      <w:r>
        <w:rPr>
          <w:rFonts w:hint="eastAsia" w:ascii="仿宋" w:hAnsi="仿宋" w:eastAsia="仿宋" w:cs="仿宋"/>
          <w:color w:val="auto"/>
          <w:sz w:val="24"/>
          <w:szCs w:val="32"/>
          <w:highlight w:val="none"/>
          <w:lang w:val="en-US" w:eastAsia="zh-CN"/>
        </w:rPr>
        <w:t>200000.00</w:t>
      </w:r>
    </w:p>
    <w:p w14:paraId="50037A2F">
      <w:pPr>
        <w:spacing w:line="360" w:lineRule="auto"/>
        <w:ind w:firstLine="480" w:firstLineChars="200"/>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rPr>
        <w:t>最高限价（元）：</w:t>
      </w:r>
      <w:r>
        <w:rPr>
          <w:rFonts w:hint="eastAsia" w:ascii="仿宋" w:hAnsi="仿宋" w:eastAsia="仿宋" w:cs="仿宋"/>
          <w:color w:val="auto"/>
          <w:sz w:val="24"/>
          <w:szCs w:val="32"/>
          <w:highlight w:val="none"/>
          <w:lang w:val="en-US" w:eastAsia="zh-CN"/>
        </w:rPr>
        <w:t>200000.00</w:t>
      </w:r>
    </w:p>
    <w:p w14:paraId="43CF4289">
      <w:pPr>
        <w:spacing w:line="360" w:lineRule="auto"/>
        <w:ind w:firstLine="480" w:firstLineChars="200"/>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u w:val="none"/>
        </w:rPr>
        <w:t>简要规格描述：</w:t>
      </w:r>
      <w:r>
        <w:rPr>
          <w:rFonts w:hint="eastAsia" w:ascii="仿宋" w:hAnsi="仿宋" w:eastAsia="仿宋" w:cs="仿宋"/>
          <w:color w:val="auto"/>
          <w:sz w:val="24"/>
          <w:szCs w:val="32"/>
          <w:highlight w:val="none"/>
          <w:u w:val="none"/>
        </w:rPr>
        <w:t>财务</w:t>
      </w:r>
      <w:r>
        <w:rPr>
          <w:rFonts w:hint="eastAsia" w:ascii="仿宋" w:hAnsi="仿宋" w:eastAsia="仿宋" w:cs="仿宋"/>
          <w:color w:val="auto"/>
          <w:sz w:val="24"/>
          <w:szCs w:val="32"/>
          <w:highlight w:val="none"/>
          <w:lang w:eastAsia="zh-CN"/>
        </w:rPr>
        <w:t>内控管理平台系统运维服务</w:t>
      </w:r>
    </w:p>
    <w:p w14:paraId="0CC7013F">
      <w:pPr>
        <w:spacing w:line="360" w:lineRule="auto"/>
        <w:ind w:firstLine="480" w:firstLineChars="200"/>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rPr>
        <w:t>合同履约期限：</w:t>
      </w:r>
      <w:r>
        <w:rPr>
          <w:rFonts w:hint="eastAsia" w:ascii="仿宋" w:hAnsi="仿宋" w:eastAsia="仿宋" w:cs="仿宋"/>
          <w:color w:val="auto"/>
          <w:sz w:val="24"/>
          <w:szCs w:val="32"/>
          <w:highlight w:val="none"/>
          <w:u w:val="none"/>
          <w:lang w:val="en-US" w:eastAsia="zh-CN"/>
        </w:rPr>
        <w:t>成交供应商须提供一年运维服务，维护起始日期从合同签订后开始计算</w:t>
      </w:r>
    </w:p>
    <w:p w14:paraId="23714E50">
      <w:pPr>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本项目（</w:t>
      </w:r>
      <w:r>
        <w:rPr>
          <w:rFonts w:hint="eastAsia" w:ascii="仿宋" w:hAnsi="仿宋" w:eastAsia="仿宋" w:cs="仿宋"/>
          <w:color w:val="auto"/>
          <w:sz w:val="24"/>
          <w:szCs w:val="32"/>
          <w:highlight w:val="none"/>
          <w:lang w:val="en-US" w:eastAsia="zh-CN"/>
        </w:rPr>
        <w:t>否</w:t>
      </w:r>
      <w:r>
        <w:rPr>
          <w:rFonts w:hint="eastAsia" w:ascii="仿宋" w:hAnsi="仿宋" w:eastAsia="仿宋" w:cs="仿宋"/>
          <w:color w:val="auto"/>
          <w:sz w:val="24"/>
          <w:szCs w:val="32"/>
          <w:highlight w:val="none"/>
        </w:rPr>
        <w:t>）接受联合体</w:t>
      </w:r>
      <w:r>
        <w:rPr>
          <w:rFonts w:hint="eastAsia" w:ascii="仿宋" w:hAnsi="仿宋" w:eastAsia="仿宋" w:cs="仿宋"/>
          <w:color w:val="auto"/>
          <w:sz w:val="24"/>
          <w:szCs w:val="32"/>
          <w:highlight w:val="none"/>
          <w:lang w:val="en-US" w:eastAsia="zh-CN"/>
        </w:rPr>
        <w:t>响应</w:t>
      </w:r>
      <w:r>
        <w:rPr>
          <w:rFonts w:hint="eastAsia" w:ascii="仿宋" w:hAnsi="仿宋" w:eastAsia="仿宋" w:cs="仿宋"/>
          <w:color w:val="auto"/>
          <w:sz w:val="24"/>
          <w:szCs w:val="32"/>
          <w:highlight w:val="none"/>
        </w:rPr>
        <w:t>。</w:t>
      </w:r>
    </w:p>
    <w:p w14:paraId="2E612019">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二、供应商的资格要求：</w:t>
      </w:r>
    </w:p>
    <w:p w14:paraId="66C9185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6D03D38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bookmarkStart w:id="2" w:name="OLE_LINK1"/>
      <w:bookmarkStart w:id="3" w:name="OLE_LINK2"/>
      <w:r>
        <w:rPr>
          <w:rFonts w:hint="eastAsia" w:ascii="仿宋" w:hAnsi="仿宋" w:eastAsia="仿宋" w:cs="仿宋"/>
          <w:color w:val="auto"/>
          <w:sz w:val="24"/>
          <w:szCs w:val="24"/>
          <w:highlight w:val="none"/>
        </w:rPr>
        <w:t>供应商为中小企业。</w:t>
      </w:r>
      <w:bookmarkEnd w:id="2"/>
      <w:bookmarkEnd w:id="3"/>
    </w:p>
    <w:p w14:paraId="4AE599E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如在“信用中国”网站（www.creditchina.gov.cn）、中国政府采购网（www.ccgp.gov.cn）等渠道被列入失信被执行人、重大税收违法失信主体、政府采购严重违法失信行为记录名单，尚在处罚期内的将被拒绝参加本次采购活动。</w:t>
      </w:r>
    </w:p>
    <w:p w14:paraId="265C843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三、获取采购文件</w:t>
      </w:r>
    </w:p>
    <w:p w14:paraId="13E3517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2026年05月13日至2026年05月20日</w:t>
      </w:r>
      <w:r>
        <w:rPr>
          <w:rFonts w:hint="eastAsia" w:ascii="仿宋" w:hAnsi="仿宋" w:eastAsia="仿宋" w:cs="仿宋"/>
          <w:color w:val="auto"/>
          <w:sz w:val="24"/>
          <w:szCs w:val="24"/>
          <w:highlight w:val="none"/>
        </w:rPr>
        <w:t>，每天上午00:00至14:00，下午14:00至23:59（北京时间，法定节假日除外）</w:t>
      </w:r>
    </w:p>
    <w:p w14:paraId="13BA5CF9">
      <w:pPr>
        <w:spacing w:line="360" w:lineRule="auto"/>
        <w:ind w:firstLine="480" w:firstLineChars="200"/>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rPr>
        <w:t>地点：政采云平台线上 </w:t>
      </w:r>
    </w:p>
    <w:p w14:paraId="302CF1BA">
      <w:pPr>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729318E5">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    售价（元）： 0 </w:t>
      </w:r>
    </w:p>
    <w:p w14:paraId="5D7F8617">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四、响应文件提交 </w:t>
      </w:r>
    </w:p>
    <w:p w14:paraId="3212431E">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    截止时间：</w:t>
      </w:r>
      <w:r>
        <w:rPr>
          <w:rFonts w:hint="eastAsia" w:ascii="仿宋" w:hAnsi="仿宋" w:eastAsia="仿宋" w:cs="仿宋"/>
          <w:color w:val="auto"/>
          <w:sz w:val="24"/>
          <w:szCs w:val="32"/>
          <w:highlight w:val="none"/>
          <w:lang w:eastAsia="zh-CN"/>
        </w:rPr>
        <w:t>2026年05月26日 10:30（北京时间）</w:t>
      </w:r>
    </w:p>
    <w:p w14:paraId="6DC020D8">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    地点：请登录政采云投标客户端投标 </w:t>
      </w:r>
    </w:p>
    <w:p w14:paraId="0730FD9D">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五、响应文件开启 </w:t>
      </w:r>
    </w:p>
    <w:p w14:paraId="4E35D825">
      <w:pPr>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开启时间：</w:t>
      </w:r>
      <w:r>
        <w:rPr>
          <w:rFonts w:hint="eastAsia" w:ascii="仿宋" w:hAnsi="仿宋" w:eastAsia="仿宋" w:cs="仿宋"/>
          <w:color w:val="auto"/>
          <w:sz w:val="24"/>
          <w:szCs w:val="32"/>
          <w:highlight w:val="none"/>
          <w:lang w:eastAsia="zh-CN"/>
        </w:rPr>
        <w:t>2026年05月26日 10:30（北京时间）</w:t>
      </w:r>
      <w:r>
        <w:rPr>
          <w:rFonts w:hint="eastAsia" w:ascii="仿宋" w:hAnsi="仿宋" w:eastAsia="仿宋" w:cs="仿宋"/>
          <w:color w:val="auto"/>
          <w:sz w:val="24"/>
          <w:szCs w:val="32"/>
          <w:highlight w:val="none"/>
        </w:rPr>
        <w:t>（北京时间）</w:t>
      </w:r>
    </w:p>
    <w:p w14:paraId="4CD1EA30">
      <w:pPr>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地点：</w:t>
      </w:r>
      <w:r>
        <w:rPr>
          <w:rFonts w:hint="eastAsia" w:ascii="仿宋" w:hAnsi="仿宋" w:eastAsia="仿宋" w:cs="仿宋"/>
          <w:color w:val="auto"/>
          <w:sz w:val="24"/>
          <w:szCs w:val="32"/>
          <w:highlight w:val="none"/>
          <w:lang w:val="en-US" w:eastAsia="zh-CN"/>
        </w:rPr>
        <w:t>供应商</w:t>
      </w:r>
      <w:r>
        <w:rPr>
          <w:rFonts w:hint="eastAsia" w:ascii="仿宋" w:hAnsi="仿宋" w:eastAsia="仿宋" w:cs="仿宋"/>
          <w:color w:val="auto"/>
          <w:sz w:val="24"/>
          <w:szCs w:val="32"/>
          <w:highlight w:val="none"/>
        </w:rPr>
        <w:t>登录政采云平台https://www.zcygov.cn/，进入“项目采购-开标评标-右边选择对应项目点击“进入项目”进入开标大厅。 </w:t>
      </w:r>
    </w:p>
    <w:p w14:paraId="606AC1BA">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六、公告期限</w:t>
      </w:r>
    </w:p>
    <w:p w14:paraId="7D096B5C">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    自本公告发布之日起3个工作日。</w:t>
      </w:r>
    </w:p>
    <w:p w14:paraId="68CAA1C6">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七、凡对本次</w:t>
      </w:r>
      <w:r>
        <w:rPr>
          <w:rFonts w:hint="eastAsia" w:ascii="仿宋" w:hAnsi="仿宋" w:eastAsia="仿宋" w:cs="仿宋"/>
          <w:color w:val="auto"/>
          <w:sz w:val="24"/>
          <w:szCs w:val="32"/>
          <w:highlight w:val="none"/>
          <w:lang w:eastAsia="zh-CN"/>
        </w:rPr>
        <w:t>采购</w:t>
      </w:r>
      <w:r>
        <w:rPr>
          <w:rFonts w:hint="eastAsia" w:ascii="仿宋" w:hAnsi="仿宋" w:eastAsia="仿宋" w:cs="仿宋"/>
          <w:color w:val="auto"/>
          <w:sz w:val="24"/>
          <w:szCs w:val="32"/>
          <w:highlight w:val="none"/>
        </w:rPr>
        <w:t>提出询问，请按以下方式联系</w:t>
      </w:r>
    </w:p>
    <w:p w14:paraId="372E23C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08ED0CCF">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新疆维吾尔自治区药物警戒中心</w:t>
      </w:r>
    </w:p>
    <w:p w14:paraId="15337808">
      <w:pPr>
        <w:spacing w:line="360" w:lineRule="auto"/>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地 址：乌鲁木齐新市区西八家户路518号</w:t>
      </w:r>
    </w:p>
    <w:p w14:paraId="7764686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eastAsia="zh-CN"/>
        </w:rPr>
        <w:t>18199192028</w:t>
      </w:r>
    </w:p>
    <w:p w14:paraId="72B1632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5E41925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称：新疆新世纪招标有限公司</w:t>
      </w:r>
    </w:p>
    <w:p w14:paraId="305F4EB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bookmarkStart w:id="4" w:name="OLE_LINK8"/>
      <w:bookmarkStart w:id="5" w:name="OLE_LINK7"/>
      <w:r>
        <w:rPr>
          <w:rFonts w:hint="eastAsia" w:ascii="仿宋" w:hAnsi="仿宋" w:eastAsia="仿宋" w:cs="仿宋"/>
          <w:color w:val="auto"/>
          <w:sz w:val="24"/>
          <w:szCs w:val="24"/>
          <w:highlight w:val="none"/>
        </w:rPr>
        <w:t>乌鲁木齐市新兴街20号</w:t>
      </w:r>
      <w:bookmarkEnd w:id="4"/>
      <w:bookmarkEnd w:id="5"/>
    </w:p>
    <w:p w14:paraId="167596A5">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eastAsia="zh-CN"/>
        </w:rPr>
        <w:t>18040795080、</w:t>
      </w:r>
      <w:r>
        <w:rPr>
          <w:rFonts w:hint="eastAsia" w:ascii="仿宋" w:hAnsi="仿宋" w:eastAsia="仿宋" w:cs="仿宋"/>
          <w:color w:val="auto"/>
          <w:sz w:val="24"/>
          <w:szCs w:val="24"/>
          <w:highlight w:val="none"/>
          <w:lang w:val="en-US" w:eastAsia="zh-CN"/>
        </w:rPr>
        <w:t>18690890996</w:t>
      </w:r>
    </w:p>
    <w:p w14:paraId="2E0B725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606F017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eastAsia="zh-CN"/>
        </w:rPr>
        <w:t>甘江涛、马丹阳</w:t>
      </w:r>
    </w:p>
    <w:p w14:paraId="7BE15590">
      <w:pPr>
        <w:spacing w:line="360" w:lineRule="auto"/>
        <w:ind w:firstLine="480" w:firstLineChars="200"/>
        <w:rPr>
          <w:rFonts w:hint="eastAsia" w:ascii="仿宋" w:hAnsi="仿宋" w:eastAsia="仿宋" w:cs="仿宋"/>
          <w:color w:val="auto"/>
          <w:highlight w:val="none"/>
          <w:lang w:eastAsia="zh-CN"/>
        </w:rPr>
        <w:sectPr>
          <w:footerReference r:id="rId7" w:type="default"/>
          <w:pgSz w:w="11910" w:h="16840"/>
          <w:pgMar w:top="1440" w:right="1080" w:bottom="1440" w:left="1080" w:header="850" w:footer="850" w:gutter="0"/>
          <w:pgNumType w:fmt="decimal" w:start="1"/>
          <w:cols w:space="720" w:num="1"/>
        </w:sect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lang w:eastAsia="zh-CN"/>
        </w:rPr>
        <w:t>0991-4661782、18040795080</w:t>
      </w:r>
    </w:p>
    <w:p w14:paraId="4C8B8492">
      <w:pPr>
        <w:spacing w:line="360" w:lineRule="auto"/>
        <w:jc w:val="center"/>
        <w:outlineLvl w:val="0"/>
        <w:rPr>
          <w:rFonts w:hint="eastAsia" w:ascii="仿宋" w:hAnsi="仿宋" w:eastAsia="仿宋" w:cs="仿宋"/>
          <w:b/>
          <w:bCs/>
          <w:color w:val="auto"/>
          <w:sz w:val="24"/>
          <w:szCs w:val="24"/>
          <w:highlight w:val="none"/>
          <w:shd w:val="clear" w:color="auto" w:fill="FFFFFF" w:themeFill="background1"/>
        </w:rPr>
      </w:pPr>
      <w:bookmarkStart w:id="6" w:name="_Toc10649"/>
      <w:r>
        <w:rPr>
          <w:rFonts w:hint="eastAsia" w:ascii="仿宋" w:hAnsi="仿宋" w:eastAsia="仿宋" w:cs="仿宋"/>
          <w:b/>
          <w:color w:val="auto"/>
          <w:sz w:val="24"/>
          <w:szCs w:val="24"/>
          <w:highlight w:val="none"/>
          <w:shd w:val="clear" w:color="auto" w:fill="FFFFFF" w:themeFill="background1"/>
        </w:rPr>
        <w:t>供应商须知前附表</w:t>
      </w:r>
      <w:bookmarkEnd w:id="6"/>
    </w:p>
    <w:tbl>
      <w:tblPr>
        <w:tblStyle w:val="44"/>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795"/>
        <w:gridCol w:w="6688"/>
      </w:tblGrid>
      <w:tr w14:paraId="1512F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105E9F88">
            <w:pPr>
              <w:spacing w:line="288" w:lineRule="auto"/>
              <w:jc w:val="center"/>
              <w:rPr>
                <w:rFonts w:hint="eastAsia" w:ascii="仿宋" w:hAnsi="仿宋" w:eastAsia="仿宋" w:cs="仿宋"/>
                <w:b/>
                <w:color w:val="auto"/>
                <w:kern w:val="0"/>
                <w:szCs w:val="21"/>
                <w:highlight w:val="none"/>
                <w:shd w:val="clear" w:color="auto" w:fill="FFFFFF" w:themeFill="background1"/>
              </w:rPr>
            </w:pPr>
            <w:r>
              <w:rPr>
                <w:rFonts w:hint="eastAsia" w:ascii="仿宋" w:hAnsi="仿宋" w:eastAsia="仿宋" w:cs="仿宋"/>
                <w:b/>
                <w:color w:val="auto"/>
                <w:kern w:val="0"/>
                <w:szCs w:val="21"/>
                <w:highlight w:val="none"/>
                <w:shd w:val="clear" w:color="auto" w:fill="FFFFFF" w:themeFill="background1"/>
              </w:rPr>
              <w:t>项号</w:t>
            </w:r>
          </w:p>
        </w:tc>
        <w:tc>
          <w:tcPr>
            <w:tcW w:w="8483" w:type="dxa"/>
            <w:gridSpan w:val="2"/>
            <w:vAlign w:val="center"/>
          </w:tcPr>
          <w:p w14:paraId="550842B2">
            <w:pPr>
              <w:spacing w:line="288" w:lineRule="auto"/>
              <w:jc w:val="center"/>
              <w:rPr>
                <w:rFonts w:hint="eastAsia" w:ascii="仿宋" w:hAnsi="仿宋" w:eastAsia="仿宋" w:cs="仿宋"/>
                <w:b/>
                <w:color w:val="auto"/>
                <w:kern w:val="0"/>
                <w:szCs w:val="21"/>
                <w:highlight w:val="none"/>
                <w:shd w:val="clear" w:color="auto" w:fill="FFFFFF" w:themeFill="background1"/>
              </w:rPr>
            </w:pPr>
            <w:r>
              <w:rPr>
                <w:rFonts w:hint="eastAsia" w:ascii="仿宋" w:hAnsi="仿宋" w:eastAsia="仿宋" w:cs="仿宋"/>
                <w:b/>
                <w:color w:val="auto"/>
                <w:kern w:val="0"/>
                <w:szCs w:val="21"/>
                <w:highlight w:val="none"/>
                <w:shd w:val="clear" w:color="auto" w:fill="FFFFFF" w:themeFill="background1"/>
              </w:rPr>
              <w:t>编列内容</w:t>
            </w:r>
          </w:p>
        </w:tc>
      </w:tr>
      <w:tr w14:paraId="45A18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76A88138">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w:t>
            </w:r>
          </w:p>
        </w:tc>
        <w:tc>
          <w:tcPr>
            <w:tcW w:w="1795" w:type="dxa"/>
            <w:vAlign w:val="center"/>
          </w:tcPr>
          <w:p w14:paraId="0824E4C6">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项目名称</w:t>
            </w:r>
          </w:p>
        </w:tc>
        <w:tc>
          <w:tcPr>
            <w:tcW w:w="6688" w:type="dxa"/>
            <w:vAlign w:val="center"/>
          </w:tcPr>
          <w:p w14:paraId="1BAA433D">
            <w:pPr>
              <w:spacing w:line="288" w:lineRule="auto"/>
              <w:jc w:val="left"/>
              <w:rPr>
                <w:rFonts w:hint="eastAsia" w:ascii="仿宋" w:hAnsi="仿宋" w:eastAsia="仿宋" w:cs="仿宋"/>
                <w:color w:val="auto"/>
                <w:highlight w:val="none"/>
                <w:lang w:eastAsia="zh-CN"/>
              </w:rPr>
            </w:pPr>
            <w:r>
              <w:rPr>
                <w:rFonts w:hint="eastAsia" w:ascii="仿宋" w:hAnsi="仿宋" w:eastAsia="仿宋" w:cs="仿宋"/>
                <w:color w:val="auto"/>
                <w:kern w:val="0"/>
                <w:szCs w:val="21"/>
                <w:highlight w:val="none"/>
                <w:shd w:val="clear" w:color="auto" w:fill="FFFFFF" w:themeFill="background1"/>
                <w:lang w:eastAsia="zh-CN"/>
              </w:rPr>
              <w:t>新疆维吾尔自治区药品监督管理局财务内控管理平台系统运维服务项目</w:t>
            </w:r>
          </w:p>
        </w:tc>
      </w:tr>
      <w:tr w14:paraId="65EE9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ADB09C1">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1FEBF63D">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项目编号</w:t>
            </w:r>
          </w:p>
        </w:tc>
        <w:tc>
          <w:tcPr>
            <w:tcW w:w="6688" w:type="dxa"/>
            <w:vAlign w:val="center"/>
          </w:tcPr>
          <w:p w14:paraId="3298096C">
            <w:pPr>
              <w:spacing w:line="288" w:lineRule="auto"/>
              <w:jc w:val="left"/>
              <w:rPr>
                <w:rFonts w:hint="default"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eastAsia="zh-CN"/>
              </w:rPr>
              <w:t>XJXSJ-2026 (</w:t>
            </w:r>
            <w:r>
              <w:rPr>
                <w:rFonts w:hint="eastAsia" w:ascii="仿宋" w:hAnsi="仿宋" w:eastAsia="仿宋" w:cs="仿宋"/>
                <w:color w:val="auto"/>
                <w:kern w:val="0"/>
                <w:szCs w:val="21"/>
                <w:highlight w:val="none"/>
                <w:shd w:val="clear" w:color="auto" w:fill="FFFFFF" w:themeFill="background1"/>
                <w:lang w:val="en-US" w:eastAsia="zh-CN"/>
              </w:rPr>
              <w:t>ZC</w:t>
            </w:r>
            <w:r>
              <w:rPr>
                <w:rFonts w:hint="eastAsia" w:ascii="仿宋" w:hAnsi="仿宋" w:eastAsia="仿宋" w:cs="仿宋"/>
                <w:color w:val="auto"/>
                <w:kern w:val="0"/>
                <w:szCs w:val="21"/>
                <w:highlight w:val="none"/>
                <w:shd w:val="clear" w:color="auto" w:fill="FFFFFF" w:themeFill="background1"/>
                <w:lang w:eastAsia="zh-CN"/>
              </w:rPr>
              <w:t>)-275</w:t>
            </w:r>
          </w:p>
        </w:tc>
      </w:tr>
      <w:tr w14:paraId="0EE98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A60A7C7">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20A85A8A">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采购人</w:t>
            </w:r>
          </w:p>
        </w:tc>
        <w:tc>
          <w:tcPr>
            <w:tcW w:w="6688" w:type="dxa"/>
            <w:vAlign w:val="center"/>
          </w:tcPr>
          <w:p w14:paraId="116B579A">
            <w:pPr>
              <w:spacing w:line="288" w:lineRule="auto"/>
              <w:jc w:val="left"/>
              <w:rPr>
                <w:rFonts w:hint="eastAsia" w:ascii="仿宋" w:hAnsi="仿宋" w:eastAsia="仿宋" w:cs="仿宋"/>
                <w:color w:val="auto"/>
                <w:kern w:val="0"/>
                <w:szCs w:val="21"/>
                <w:highlight w:val="none"/>
                <w:shd w:val="clear" w:color="auto" w:fill="FFFFFF" w:themeFill="background1"/>
                <w:lang w:eastAsia="zh-CN"/>
              </w:rPr>
            </w:pPr>
            <w:r>
              <w:rPr>
                <w:rFonts w:hint="eastAsia" w:ascii="仿宋" w:hAnsi="仿宋" w:eastAsia="仿宋" w:cs="仿宋"/>
                <w:color w:val="auto"/>
                <w:kern w:val="0"/>
                <w:szCs w:val="21"/>
                <w:highlight w:val="none"/>
                <w:shd w:val="clear" w:color="auto" w:fill="FFFFFF" w:themeFill="background1"/>
                <w:lang w:eastAsia="zh-CN"/>
              </w:rPr>
              <w:t>新疆维吾尔自治区药物警戒中心</w:t>
            </w:r>
          </w:p>
        </w:tc>
      </w:tr>
      <w:tr w14:paraId="057B7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057CCF8">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79914191">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采购代理机构</w:t>
            </w:r>
          </w:p>
        </w:tc>
        <w:tc>
          <w:tcPr>
            <w:tcW w:w="6688" w:type="dxa"/>
            <w:vAlign w:val="center"/>
          </w:tcPr>
          <w:p w14:paraId="60705842">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新疆新世纪招标有限公司</w:t>
            </w:r>
          </w:p>
        </w:tc>
      </w:tr>
      <w:tr w14:paraId="7261C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2FD10C3">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2ACD3C3F">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项目地点</w:t>
            </w:r>
          </w:p>
        </w:tc>
        <w:tc>
          <w:tcPr>
            <w:tcW w:w="6688" w:type="dxa"/>
            <w:vAlign w:val="center"/>
          </w:tcPr>
          <w:p w14:paraId="202FA07C">
            <w:pPr>
              <w:spacing w:line="288" w:lineRule="auto"/>
              <w:jc w:val="left"/>
              <w:rPr>
                <w:rFonts w:hint="default"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乌鲁木齐市</w:t>
            </w:r>
          </w:p>
        </w:tc>
      </w:tr>
      <w:tr w14:paraId="35D6B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BB38DD3">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5808D7FB">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资金来源</w:t>
            </w:r>
          </w:p>
        </w:tc>
        <w:tc>
          <w:tcPr>
            <w:tcW w:w="6688" w:type="dxa"/>
            <w:vAlign w:val="center"/>
          </w:tcPr>
          <w:p w14:paraId="086A486A">
            <w:pPr>
              <w:keepLines w:val="0"/>
              <w:pageBreakBefore w:val="0"/>
              <w:kinsoku/>
              <w:wordWrap/>
              <w:overflowPunct/>
              <w:topLinePunct w:val="0"/>
              <w:autoSpaceDE/>
              <w:autoSpaceDN/>
              <w:bidi w:val="0"/>
              <w:adjustRightInd/>
              <w:snapToGrid/>
              <w:spacing w:beforeAutospacing="0" w:afterAutospacing="0" w:line="288" w:lineRule="auto"/>
              <w:jc w:val="left"/>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财政资金</w:t>
            </w:r>
          </w:p>
        </w:tc>
      </w:tr>
      <w:tr w14:paraId="3A83C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90F27B9">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480BD2D2">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采购预算金额</w:t>
            </w:r>
          </w:p>
        </w:tc>
        <w:tc>
          <w:tcPr>
            <w:tcW w:w="6688" w:type="dxa"/>
            <w:vAlign w:val="center"/>
          </w:tcPr>
          <w:p w14:paraId="2EEF0E10">
            <w:pPr>
              <w:spacing w:line="288" w:lineRule="auto"/>
              <w:jc w:val="left"/>
              <w:rPr>
                <w:rFonts w:hint="eastAsia" w:ascii="仿宋" w:hAnsi="仿宋" w:eastAsia="仿宋" w:cs="仿宋"/>
                <w:color w:val="auto"/>
                <w:kern w:val="0"/>
                <w:szCs w:val="21"/>
                <w:highlight w:val="none"/>
                <w:shd w:val="clear" w:color="auto" w:fill="FFFFFF" w:themeFill="background1"/>
                <w:lang w:eastAsia="zh-CN"/>
              </w:rPr>
            </w:pPr>
            <w:r>
              <w:rPr>
                <w:rFonts w:hint="eastAsia" w:ascii="仿宋" w:hAnsi="仿宋" w:eastAsia="仿宋" w:cs="仿宋"/>
                <w:color w:val="auto"/>
                <w:kern w:val="0"/>
                <w:szCs w:val="21"/>
                <w:highlight w:val="none"/>
                <w:shd w:val="clear" w:color="auto" w:fill="FFFFFF" w:themeFill="background1"/>
                <w:lang w:val="en-US" w:eastAsia="zh-CN"/>
              </w:rPr>
              <w:t>200000.00元</w:t>
            </w:r>
          </w:p>
        </w:tc>
      </w:tr>
      <w:tr w14:paraId="19009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4E2ED52">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348028F9">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最高限价</w:t>
            </w:r>
          </w:p>
        </w:tc>
        <w:tc>
          <w:tcPr>
            <w:tcW w:w="6688" w:type="dxa"/>
            <w:vAlign w:val="center"/>
          </w:tcPr>
          <w:p w14:paraId="7045FA74">
            <w:pPr>
              <w:spacing w:line="288" w:lineRule="auto"/>
              <w:jc w:val="left"/>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200000.00元</w:t>
            </w:r>
          </w:p>
        </w:tc>
      </w:tr>
      <w:tr w14:paraId="13413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0FF20F5">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549EF31C">
            <w:pPr>
              <w:keepNext/>
              <w:widowControl/>
              <w:spacing w:line="288" w:lineRule="auto"/>
              <w:jc w:val="distribute"/>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合同履约期限</w:t>
            </w:r>
          </w:p>
        </w:tc>
        <w:tc>
          <w:tcPr>
            <w:tcW w:w="6688" w:type="dxa"/>
            <w:vAlign w:val="center"/>
          </w:tcPr>
          <w:p w14:paraId="59D74FD7">
            <w:pPr>
              <w:spacing w:line="288" w:lineRule="auto"/>
              <w:jc w:val="left"/>
              <w:rPr>
                <w:rFonts w:hint="eastAsia" w:ascii="仿宋" w:hAnsi="仿宋" w:eastAsia="仿宋" w:cs="仿宋"/>
                <w:color w:val="auto"/>
                <w:kern w:val="0"/>
                <w:szCs w:val="21"/>
                <w:highlight w:val="none"/>
                <w:shd w:val="clear" w:color="auto" w:fill="FFFFFF" w:themeFill="background1"/>
                <w:lang w:eastAsia="zh-CN"/>
              </w:rPr>
            </w:pPr>
            <w:r>
              <w:rPr>
                <w:rFonts w:hint="eastAsia" w:ascii="仿宋" w:hAnsi="仿宋" w:eastAsia="仿宋" w:cs="仿宋"/>
                <w:color w:val="auto"/>
                <w:kern w:val="0"/>
                <w:szCs w:val="21"/>
                <w:highlight w:val="none"/>
                <w:shd w:val="clear" w:color="auto" w:fill="FFFFFF" w:themeFill="background1"/>
                <w:lang w:val="en-US" w:eastAsia="zh-CN"/>
              </w:rPr>
              <w:t>成交供应商须提供一年运维服务，维护起始日期从合同签订后开始计算</w:t>
            </w:r>
          </w:p>
        </w:tc>
      </w:tr>
      <w:tr w14:paraId="55067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FC7C152">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11CA8D13">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服务地点</w:t>
            </w:r>
          </w:p>
        </w:tc>
        <w:tc>
          <w:tcPr>
            <w:tcW w:w="6688" w:type="dxa"/>
            <w:vAlign w:val="center"/>
          </w:tcPr>
          <w:p w14:paraId="448DE3E4">
            <w:pPr>
              <w:spacing w:line="288" w:lineRule="auto"/>
              <w:jc w:val="left"/>
              <w:rPr>
                <w:rFonts w:hint="eastAsia" w:ascii="仿宋" w:hAnsi="仿宋" w:eastAsia="仿宋" w:cs="仿宋"/>
                <w:color w:val="auto"/>
                <w:kern w:val="0"/>
                <w:szCs w:val="21"/>
                <w:highlight w:val="none"/>
                <w:shd w:val="clear" w:color="auto" w:fill="FFFFFF" w:themeFill="background1"/>
                <w:lang w:eastAsia="zh-CN"/>
              </w:rPr>
            </w:pPr>
            <w:r>
              <w:rPr>
                <w:rFonts w:hint="eastAsia" w:ascii="仿宋" w:hAnsi="仿宋" w:eastAsia="仿宋" w:cs="仿宋"/>
                <w:color w:val="auto"/>
                <w:kern w:val="0"/>
                <w:szCs w:val="21"/>
                <w:highlight w:val="none"/>
                <w:shd w:val="clear" w:color="auto" w:fill="FFFFFF" w:themeFill="background1"/>
              </w:rPr>
              <w:t>采购人指定地点</w:t>
            </w:r>
          </w:p>
        </w:tc>
      </w:tr>
      <w:tr w14:paraId="3AA51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0" w:hRule="atLeast"/>
          <w:jc w:val="center"/>
        </w:trPr>
        <w:tc>
          <w:tcPr>
            <w:tcW w:w="597" w:type="dxa"/>
            <w:vAlign w:val="center"/>
          </w:tcPr>
          <w:p w14:paraId="398EEC6D">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w:t>
            </w:r>
          </w:p>
        </w:tc>
        <w:tc>
          <w:tcPr>
            <w:tcW w:w="1795" w:type="dxa"/>
            <w:vAlign w:val="center"/>
          </w:tcPr>
          <w:p w14:paraId="7CE7F281">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采购范围</w:t>
            </w:r>
          </w:p>
        </w:tc>
        <w:tc>
          <w:tcPr>
            <w:tcW w:w="6688" w:type="dxa"/>
            <w:vAlign w:val="center"/>
          </w:tcPr>
          <w:p w14:paraId="13F23455">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eastAsia="zh-CN"/>
              </w:rPr>
              <w:t>新疆维吾尔自治区药品监督管理局财务内控管理平台系统运维服务项目</w:t>
            </w:r>
            <w:r>
              <w:rPr>
                <w:rFonts w:hint="eastAsia" w:ascii="仿宋" w:hAnsi="仿宋" w:eastAsia="仿宋" w:cs="仿宋"/>
                <w:color w:val="auto"/>
                <w:kern w:val="0"/>
                <w:szCs w:val="21"/>
                <w:highlight w:val="none"/>
              </w:rPr>
              <w:t>范围内的所有工作内容，关于</w:t>
            </w:r>
            <w:r>
              <w:rPr>
                <w:rFonts w:hint="eastAsia" w:ascii="仿宋" w:hAnsi="仿宋" w:eastAsia="仿宋" w:cs="仿宋"/>
                <w:color w:val="auto"/>
                <w:kern w:val="0"/>
                <w:szCs w:val="21"/>
                <w:highlight w:val="none"/>
                <w:lang w:eastAsia="zh-CN"/>
              </w:rPr>
              <w:t>采购</w:t>
            </w:r>
            <w:r>
              <w:rPr>
                <w:rFonts w:hint="eastAsia" w:ascii="仿宋" w:hAnsi="仿宋" w:eastAsia="仿宋" w:cs="仿宋"/>
                <w:color w:val="auto"/>
                <w:kern w:val="0"/>
                <w:szCs w:val="21"/>
                <w:highlight w:val="none"/>
              </w:rPr>
              <w:t>范围的详细说明见</w:t>
            </w:r>
            <w:r>
              <w:rPr>
                <w:rFonts w:hint="eastAsia" w:ascii="仿宋" w:hAnsi="仿宋" w:eastAsia="仿宋" w:cs="仿宋"/>
                <w:color w:val="auto"/>
                <w:kern w:val="0"/>
                <w:szCs w:val="21"/>
                <w:highlight w:val="none"/>
                <w:lang w:eastAsia="zh-CN"/>
              </w:rPr>
              <w:t>采购文件</w:t>
            </w:r>
            <w:r>
              <w:rPr>
                <w:rFonts w:hint="eastAsia" w:ascii="仿宋" w:hAnsi="仿宋" w:eastAsia="仿宋" w:cs="仿宋"/>
                <w:color w:val="auto"/>
                <w:kern w:val="0"/>
                <w:szCs w:val="21"/>
                <w:highlight w:val="none"/>
              </w:rPr>
              <w:t>第四章“</w:t>
            </w:r>
            <w:r>
              <w:rPr>
                <w:rFonts w:hint="eastAsia" w:ascii="仿宋" w:hAnsi="仿宋" w:eastAsia="仿宋" w:cs="仿宋"/>
                <w:color w:val="auto"/>
                <w:kern w:val="0"/>
                <w:szCs w:val="21"/>
                <w:highlight w:val="none"/>
                <w:lang w:eastAsia="zh-CN"/>
              </w:rPr>
              <w:t>服务标准和要求</w:t>
            </w:r>
            <w:r>
              <w:rPr>
                <w:rFonts w:hint="eastAsia" w:ascii="仿宋" w:hAnsi="仿宋" w:eastAsia="仿宋" w:cs="仿宋"/>
                <w:color w:val="auto"/>
                <w:kern w:val="0"/>
                <w:szCs w:val="21"/>
                <w:highlight w:val="none"/>
              </w:rPr>
              <w:t>”。</w:t>
            </w:r>
          </w:p>
        </w:tc>
      </w:tr>
      <w:tr w14:paraId="3E01A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6487EFF9">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w:t>
            </w:r>
          </w:p>
        </w:tc>
        <w:tc>
          <w:tcPr>
            <w:tcW w:w="1795" w:type="dxa"/>
            <w:vAlign w:val="center"/>
          </w:tcPr>
          <w:p w14:paraId="76DD2304">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采购方式</w:t>
            </w:r>
          </w:p>
        </w:tc>
        <w:tc>
          <w:tcPr>
            <w:tcW w:w="6688" w:type="dxa"/>
            <w:vAlign w:val="center"/>
          </w:tcPr>
          <w:p w14:paraId="7FDE446C">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竞争性磋商</w:t>
            </w:r>
          </w:p>
        </w:tc>
      </w:tr>
      <w:tr w14:paraId="1D6D9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10DCBCDD">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0C5DBFFE">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资格审查方式</w:t>
            </w:r>
          </w:p>
        </w:tc>
        <w:tc>
          <w:tcPr>
            <w:tcW w:w="6688" w:type="dxa"/>
            <w:vAlign w:val="center"/>
          </w:tcPr>
          <w:p w14:paraId="215BBA0B">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资格后审</w:t>
            </w:r>
          </w:p>
        </w:tc>
      </w:tr>
      <w:tr w14:paraId="551F6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4B448E62">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w:t>
            </w:r>
          </w:p>
        </w:tc>
        <w:tc>
          <w:tcPr>
            <w:tcW w:w="1795" w:type="dxa"/>
            <w:vAlign w:val="center"/>
          </w:tcPr>
          <w:p w14:paraId="39B21D7B">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评审办法</w:t>
            </w:r>
          </w:p>
        </w:tc>
        <w:tc>
          <w:tcPr>
            <w:tcW w:w="6688" w:type="dxa"/>
            <w:vAlign w:val="center"/>
          </w:tcPr>
          <w:p w14:paraId="0D1CB9FF">
            <w:pPr>
              <w:keepNext/>
              <w:widowControl/>
              <w:spacing w:line="288" w:lineRule="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综合评分法</w:t>
            </w:r>
          </w:p>
        </w:tc>
      </w:tr>
      <w:tr w14:paraId="78FD8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CA068FF">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7E57270D">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定标方法</w:t>
            </w:r>
          </w:p>
        </w:tc>
        <w:tc>
          <w:tcPr>
            <w:tcW w:w="6688" w:type="dxa"/>
            <w:vAlign w:val="center"/>
          </w:tcPr>
          <w:p w14:paraId="5403B393">
            <w:pPr>
              <w:keepNext/>
              <w:widowControl/>
              <w:spacing w:line="288" w:lineRule="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磋商小组推荐三名成交候选人</w:t>
            </w:r>
          </w:p>
        </w:tc>
      </w:tr>
      <w:tr w14:paraId="0D0CD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0372308B">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5</w:t>
            </w:r>
          </w:p>
        </w:tc>
        <w:tc>
          <w:tcPr>
            <w:tcW w:w="1795" w:type="dxa"/>
            <w:vAlign w:val="center"/>
          </w:tcPr>
          <w:p w14:paraId="3A3AA866">
            <w:pPr>
              <w:keepNext/>
              <w:widowControl/>
              <w:spacing w:line="288" w:lineRule="auto"/>
              <w:jc w:val="distribute"/>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供应商的资格要求</w:t>
            </w:r>
          </w:p>
        </w:tc>
        <w:tc>
          <w:tcPr>
            <w:tcW w:w="6688" w:type="dxa"/>
            <w:vAlign w:val="center"/>
          </w:tcPr>
          <w:p w14:paraId="07266BC0">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1、满足《中华人民共和国政府采购法》第二十二条规定。</w:t>
            </w:r>
          </w:p>
          <w:p w14:paraId="0557B81C">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2、供应商为中小企业。</w:t>
            </w:r>
          </w:p>
          <w:p w14:paraId="172468CA">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供应商如在“信用中国”网站（www.creditchina.gov.cn）、中国政府采购网（www.ccgp.gov.cn）等渠道被列入失信被执行人、重大税收违法失信主体、政府采购严重违法失信行为记录名单，尚在处罚期内的将被拒绝参加本次采购活动。</w:t>
            </w:r>
          </w:p>
        </w:tc>
      </w:tr>
      <w:tr w14:paraId="78140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0C61831A">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6</w:t>
            </w:r>
          </w:p>
        </w:tc>
        <w:tc>
          <w:tcPr>
            <w:tcW w:w="1795" w:type="dxa"/>
            <w:vAlign w:val="center"/>
          </w:tcPr>
          <w:p w14:paraId="7D367218">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供应商不得存在的情形</w:t>
            </w:r>
          </w:p>
        </w:tc>
        <w:tc>
          <w:tcPr>
            <w:tcW w:w="6688" w:type="dxa"/>
            <w:vAlign w:val="center"/>
          </w:tcPr>
          <w:p w14:paraId="3180F4B0">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1、本项目不接受联合体。</w:t>
            </w:r>
          </w:p>
          <w:p w14:paraId="42A8C36D">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2、为采购项目提供整体设计、规范编制或者项目管理、监理、检测等服务的供应商，不得再参加该采购项目的其他采购活动。</w:t>
            </w:r>
          </w:p>
          <w:p w14:paraId="0424072B">
            <w:pPr>
              <w:spacing w:line="288" w:lineRule="auto"/>
              <w:ind w:firstLine="420" w:firstLineChars="200"/>
              <w:jc w:val="left"/>
              <w:rPr>
                <w:rFonts w:hint="eastAsia" w:ascii="仿宋" w:hAnsi="仿宋" w:eastAsia="仿宋" w:cs="仿宋"/>
                <w:color w:val="auto"/>
                <w:highlight w:val="none"/>
              </w:rPr>
            </w:pPr>
            <w:r>
              <w:rPr>
                <w:rFonts w:hint="eastAsia" w:ascii="仿宋" w:hAnsi="仿宋" w:eastAsia="仿宋" w:cs="仿宋"/>
                <w:color w:val="auto"/>
                <w:kern w:val="0"/>
                <w:szCs w:val="21"/>
                <w:highlight w:val="none"/>
                <w:shd w:val="clear" w:color="auto" w:fill="FFFFFF" w:themeFill="background1"/>
              </w:rPr>
              <w:t>3、单位负责人为同一人或者存在直接控股、管理关系的不同供应商不得参加本项目同一包的采购活动。</w:t>
            </w:r>
          </w:p>
          <w:p w14:paraId="6D321CBF">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4、供应商处于被责令停业、财产被接管、冻结和破产状态，以及</w:t>
            </w:r>
            <w:r>
              <w:rPr>
                <w:rFonts w:hint="eastAsia" w:ascii="仿宋" w:hAnsi="仿宋" w:eastAsia="仿宋" w:cs="仿宋"/>
                <w:color w:val="auto"/>
                <w:kern w:val="0"/>
                <w:szCs w:val="21"/>
                <w:highlight w:val="none"/>
                <w:shd w:val="clear" w:color="auto" w:fill="FFFFFF" w:themeFill="background1"/>
                <w:lang w:val="en-US" w:eastAsia="zh-CN"/>
              </w:rPr>
              <w:t>响应</w:t>
            </w:r>
            <w:r>
              <w:rPr>
                <w:rFonts w:hint="eastAsia" w:ascii="仿宋" w:hAnsi="仿宋" w:eastAsia="仿宋" w:cs="仿宋"/>
                <w:color w:val="auto"/>
                <w:kern w:val="0"/>
                <w:szCs w:val="21"/>
                <w:highlight w:val="none"/>
                <w:shd w:val="clear" w:color="auto" w:fill="FFFFFF" w:themeFill="background1"/>
              </w:rPr>
              <w:t>资格被取消或者被暂停且在暂停期内。</w:t>
            </w:r>
          </w:p>
          <w:p w14:paraId="63477408">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5、法律法规及</w:t>
            </w:r>
            <w:r>
              <w:rPr>
                <w:rFonts w:hint="eastAsia" w:ascii="仿宋" w:hAnsi="仿宋" w:eastAsia="仿宋" w:cs="仿宋"/>
                <w:color w:val="auto"/>
                <w:kern w:val="0"/>
                <w:szCs w:val="21"/>
                <w:highlight w:val="none"/>
                <w:shd w:val="clear" w:color="auto" w:fill="FFFFFF" w:themeFill="background1"/>
                <w:lang w:eastAsia="zh-CN"/>
              </w:rPr>
              <w:t>采购文件</w:t>
            </w:r>
            <w:r>
              <w:rPr>
                <w:rFonts w:hint="eastAsia" w:ascii="仿宋" w:hAnsi="仿宋" w:eastAsia="仿宋" w:cs="仿宋"/>
                <w:color w:val="auto"/>
                <w:kern w:val="0"/>
                <w:szCs w:val="21"/>
                <w:highlight w:val="none"/>
                <w:shd w:val="clear" w:color="auto" w:fill="FFFFFF" w:themeFill="background1"/>
              </w:rPr>
              <w:t>规定的其他情形。</w:t>
            </w:r>
          </w:p>
        </w:tc>
      </w:tr>
      <w:tr w14:paraId="391FB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60F26206">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7</w:t>
            </w:r>
          </w:p>
        </w:tc>
        <w:tc>
          <w:tcPr>
            <w:tcW w:w="1795" w:type="dxa"/>
            <w:vAlign w:val="center"/>
          </w:tcPr>
          <w:p w14:paraId="06B6B8DF">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采购文件</w:t>
            </w:r>
            <w:r>
              <w:rPr>
                <w:rFonts w:hint="eastAsia" w:ascii="仿宋" w:hAnsi="仿宋" w:eastAsia="仿宋" w:cs="仿宋"/>
                <w:color w:val="auto"/>
                <w:kern w:val="0"/>
                <w:szCs w:val="21"/>
                <w:highlight w:val="none"/>
              </w:rPr>
              <w:t>费</w:t>
            </w:r>
          </w:p>
        </w:tc>
        <w:tc>
          <w:tcPr>
            <w:tcW w:w="6688" w:type="dxa"/>
            <w:vAlign w:val="center"/>
          </w:tcPr>
          <w:p w14:paraId="2CFA41DE">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0元</w:t>
            </w:r>
          </w:p>
        </w:tc>
      </w:tr>
      <w:tr w14:paraId="60C07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591AB0A">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8</w:t>
            </w:r>
          </w:p>
        </w:tc>
        <w:tc>
          <w:tcPr>
            <w:tcW w:w="1795" w:type="dxa"/>
            <w:vAlign w:val="center"/>
          </w:tcPr>
          <w:p w14:paraId="559BE8B8">
            <w:pPr>
              <w:keepNext/>
              <w:widowControl/>
              <w:spacing w:line="288" w:lineRule="auto"/>
              <w:jc w:val="distribute"/>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响应保证金</w:t>
            </w:r>
          </w:p>
        </w:tc>
        <w:tc>
          <w:tcPr>
            <w:tcW w:w="6688" w:type="dxa"/>
            <w:vAlign w:val="center"/>
          </w:tcPr>
          <w:p w14:paraId="16EEA756">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lang w:val="en-US"/>
              </w:rPr>
            </w:pPr>
            <w:r>
              <w:rPr>
                <w:rFonts w:hint="eastAsia" w:ascii="仿宋" w:hAnsi="仿宋" w:eastAsia="仿宋" w:cs="仿宋"/>
                <w:color w:val="auto"/>
                <w:kern w:val="0"/>
                <w:szCs w:val="21"/>
                <w:highlight w:val="none"/>
                <w:shd w:val="clear" w:color="auto" w:fill="FFFFFF" w:themeFill="background1"/>
              </w:rPr>
              <w:t>1、</w:t>
            </w:r>
            <w:r>
              <w:rPr>
                <w:rFonts w:hint="eastAsia" w:ascii="仿宋" w:hAnsi="仿宋" w:eastAsia="仿宋" w:cs="仿宋"/>
                <w:color w:val="auto"/>
                <w:kern w:val="0"/>
                <w:szCs w:val="21"/>
                <w:highlight w:val="none"/>
                <w:shd w:val="clear" w:color="auto" w:fill="FFFFFF" w:themeFill="background1"/>
                <w:lang w:val="en-US" w:eastAsia="zh-CN"/>
              </w:rPr>
              <w:t>响应保证金</w:t>
            </w:r>
            <w:r>
              <w:rPr>
                <w:rFonts w:hint="eastAsia" w:ascii="仿宋" w:hAnsi="仿宋" w:eastAsia="仿宋" w:cs="仿宋"/>
                <w:color w:val="auto"/>
                <w:kern w:val="0"/>
                <w:szCs w:val="21"/>
                <w:highlight w:val="none"/>
                <w:shd w:val="clear" w:color="auto" w:fill="FFFFFF" w:themeFill="background1"/>
              </w:rPr>
              <w:t>金额：</w:t>
            </w:r>
            <w:r>
              <w:rPr>
                <w:rFonts w:hint="eastAsia" w:ascii="仿宋" w:hAnsi="仿宋" w:eastAsia="仿宋" w:cs="仿宋"/>
                <w:color w:val="auto"/>
                <w:kern w:val="0"/>
                <w:szCs w:val="21"/>
                <w:highlight w:val="none"/>
                <w:shd w:val="clear" w:color="auto" w:fill="FFFFFF" w:themeFill="background1"/>
                <w:lang w:val="en-US" w:eastAsia="zh-CN"/>
              </w:rPr>
              <w:t>4000.00元</w:t>
            </w:r>
          </w:p>
          <w:p w14:paraId="342595B4">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2、提交截止时间：同</w:t>
            </w:r>
            <w:r>
              <w:rPr>
                <w:rFonts w:hint="eastAsia" w:ascii="仿宋" w:hAnsi="仿宋" w:eastAsia="仿宋" w:cs="仿宋"/>
                <w:color w:val="auto"/>
                <w:kern w:val="0"/>
                <w:szCs w:val="21"/>
                <w:highlight w:val="none"/>
                <w:shd w:val="clear" w:color="auto" w:fill="FFFFFF" w:themeFill="background1"/>
                <w:lang w:eastAsia="zh-CN"/>
              </w:rPr>
              <w:t>响应文件</w:t>
            </w:r>
            <w:r>
              <w:rPr>
                <w:rFonts w:hint="eastAsia" w:ascii="仿宋" w:hAnsi="仿宋" w:eastAsia="仿宋" w:cs="仿宋"/>
                <w:color w:val="auto"/>
                <w:kern w:val="0"/>
                <w:szCs w:val="21"/>
                <w:highlight w:val="none"/>
                <w:shd w:val="clear" w:color="auto" w:fill="FFFFFF" w:themeFill="background1"/>
              </w:rPr>
              <w:t>递交截止时间</w:t>
            </w:r>
          </w:p>
          <w:p w14:paraId="6A41B922">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3、提交形式：</w:t>
            </w:r>
            <w:r>
              <w:rPr>
                <w:rFonts w:hint="eastAsia" w:ascii="仿宋" w:hAnsi="仿宋" w:eastAsia="仿宋" w:cs="仿宋"/>
                <w:color w:val="auto"/>
                <w:kern w:val="0"/>
                <w:szCs w:val="21"/>
                <w:highlight w:val="none"/>
                <w:shd w:val="clear" w:color="auto" w:fill="FFFFFF" w:themeFill="background1"/>
                <w:lang w:eastAsia="zh-CN"/>
              </w:rPr>
              <w:t>响应保证金</w:t>
            </w:r>
            <w:r>
              <w:rPr>
                <w:rFonts w:hint="eastAsia" w:ascii="仿宋" w:hAnsi="仿宋" w:eastAsia="仿宋" w:cs="仿宋"/>
                <w:color w:val="auto"/>
                <w:kern w:val="0"/>
                <w:szCs w:val="21"/>
                <w:highlight w:val="none"/>
                <w:shd w:val="clear" w:color="auto" w:fill="FFFFFF" w:themeFill="background1"/>
              </w:rPr>
              <w:t>以支票、汇票、本票或者金融机构、担保机构出具的保函等非现金形式提交至采购代理机构。</w:t>
            </w:r>
          </w:p>
          <w:p w14:paraId="421A5C2C">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4、银行账户信息</w:t>
            </w:r>
          </w:p>
          <w:p w14:paraId="194AD7E2">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采购代理机构名称：新疆新世纪招标有限公司</w:t>
            </w:r>
          </w:p>
          <w:p w14:paraId="24389E02">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纳税人识别号：91650100726988855F</w:t>
            </w:r>
          </w:p>
          <w:p w14:paraId="6C4A07F5">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开户行：中国农业银行乌鲁木齐新民西街支行</w:t>
            </w:r>
          </w:p>
          <w:p w14:paraId="2723FF8D">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账号：30014701040000595</w:t>
            </w:r>
          </w:p>
          <w:p w14:paraId="2FA8D833">
            <w:pPr>
              <w:keepNext/>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5、</w:t>
            </w:r>
            <w:r>
              <w:rPr>
                <w:rFonts w:hint="eastAsia" w:ascii="仿宋" w:hAnsi="仿宋" w:eastAsia="仿宋" w:cs="仿宋"/>
                <w:color w:val="auto"/>
                <w:kern w:val="0"/>
                <w:szCs w:val="21"/>
                <w:highlight w:val="none"/>
                <w:shd w:val="clear" w:color="auto" w:fill="FFFFFF" w:themeFill="background1"/>
                <w:lang w:eastAsia="zh-CN"/>
              </w:rPr>
              <w:t>供应商</w:t>
            </w:r>
            <w:r>
              <w:rPr>
                <w:rFonts w:hint="eastAsia" w:ascii="仿宋" w:hAnsi="仿宋" w:eastAsia="仿宋" w:cs="仿宋"/>
                <w:color w:val="auto"/>
                <w:kern w:val="0"/>
                <w:szCs w:val="21"/>
                <w:highlight w:val="none"/>
                <w:shd w:val="clear" w:color="auto" w:fill="FFFFFF" w:themeFill="background1"/>
              </w:rPr>
              <w:t>在提交</w:t>
            </w:r>
            <w:r>
              <w:rPr>
                <w:rFonts w:hint="eastAsia" w:ascii="仿宋" w:hAnsi="仿宋" w:eastAsia="仿宋" w:cs="仿宋"/>
                <w:color w:val="auto"/>
                <w:kern w:val="0"/>
                <w:szCs w:val="21"/>
                <w:highlight w:val="none"/>
                <w:shd w:val="clear" w:color="auto" w:fill="FFFFFF" w:themeFill="background1"/>
                <w:lang w:eastAsia="zh-CN"/>
              </w:rPr>
              <w:t>响应保证金</w:t>
            </w:r>
            <w:r>
              <w:rPr>
                <w:rFonts w:hint="eastAsia" w:ascii="仿宋" w:hAnsi="仿宋" w:eastAsia="仿宋" w:cs="仿宋"/>
                <w:color w:val="auto"/>
                <w:kern w:val="0"/>
                <w:szCs w:val="21"/>
                <w:highlight w:val="none"/>
                <w:shd w:val="clear" w:color="auto" w:fill="FFFFFF" w:themeFill="background1"/>
              </w:rPr>
              <w:t>时需备注项目名称简称。</w:t>
            </w:r>
          </w:p>
        </w:tc>
      </w:tr>
      <w:tr w14:paraId="7144E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ADFC48F">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9</w:t>
            </w:r>
          </w:p>
        </w:tc>
        <w:tc>
          <w:tcPr>
            <w:tcW w:w="1795" w:type="dxa"/>
            <w:vAlign w:val="center"/>
          </w:tcPr>
          <w:p w14:paraId="04ECA9F8">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现场踏勘</w:t>
            </w:r>
          </w:p>
        </w:tc>
        <w:tc>
          <w:tcPr>
            <w:tcW w:w="6688" w:type="dxa"/>
            <w:vAlign w:val="center"/>
          </w:tcPr>
          <w:p w14:paraId="632A8DD7">
            <w:pPr>
              <w:keepNext/>
              <w:widowControl/>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不组织</w:t>
            </w:r>
          </w:p>
        </w:tc>
      </w:tr>
      <w:tr w14:paraId="0D2EF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4B5E725">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10</w:t>
            </w:r>
          </w:p>
        </w:tc>
        <w:tc>
          <w:tcPr>
            <w:tcW w:w="1795" w:type="dxa"/>
            <w:vAlign w:val="center"/>
          </w:tcPr>
          <w:p w14:paraId="6E617D94">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采购答疑</w:t>
            </w:r>
          </w:p>
        </w:tc>
        <w:tc>
          <w:tcPr>
            <w:tcW w:w="6688" w:type="dxa"/>
            <w:vAlign w:val="center"/>
          </w:tcPr>
          <w:p w14:paraId="35561904">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1、提出询问的，应当在响应文件递交截止时间6日前以书面形式（加盖公章）递交至新疆新世纪招标有限公司，否则采购人不作任何解释。</w:t>
            </w:r>
          </w:p>
          <w:p w14:paraId="1E7DFC93">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2、对</w:t>
            </w:r>
            <w:r>
              <w:rPr>
                <w:rFonts w:hint="eastAsia" w:ascii="仿宋" w:hAnsi="仿宋" w:eastAsia="仿宋" w:cs="仿宋"/>
                <w:color w:val="auto"/>
                <w:kern w:val="0"/>
                <w:szCs w:val="21"/>
                <w:highlight w:val="none"/>
                <w:shd w:val="clear" w:color="auto" w:fill="FFFFFF" w:themeFill="background1"/>
                <w:lang w:eastAsia="zh-CN"/>
              </w:rPr>
              <w:t>采购文件</w:t>
            </w:r>
            <w:r>
              <w:rPr>
                <w:rFonts w:hint="eastAsia" w:ascii="仿宋" w:hAnsi="仿宋" w:eastAsia="仿宋" w:cs="仿宋"/>
                <w:color w:val="auto"/>
                <w:kern w:val="0"/>
                <w:szCs w:val="21"/>
                <w:highlight w:val="none"/>
                <w:shd w:val="clear" w:color="auto" w:fill="FFFFFF" w:themeFill="background1"/>
              </w:rPr>
              <w:t>提出质疑的，应当在获取</w:t>
            </w:r>
            <w:r>
              <w:rPr>
                <w:rFonts w:hint="eastAsia" w:ascii="仿宋" w:hAnsi="仿宋" w:eastAsia="仿宋" w:cs="仿宋"/>
                <w:color w:val="auto"/>
                <w:kern w:val="0"/>
                <w:szCs w:val="21"/>
                <w:highlight w:val="none"/>
                <w:shd w:val="clear" w:color="auto" w:fill="FFFFFF" w:themeFill="background1"/>
                <w:lang w:eastAsia="zh-CN"/>
              </w:rPr>
              <w:t>采购文件</w:t>
            </w:r>
            <w:r>
              <w:rPr>
                <w:rFonts w:hint="eastAsia" w:ascii="仿宋" w:hAnsi="仿宋" w:eastAsia="仿宋" w:cs="仿宋"/>
                <w:color w:val="auto"/>
                <w:kern w:val="0"/>
                <w:szCs w:val="21"/>
                <w:highlight w:val="none"/>
                <w:shd w:val="clear" w:color="auto" w:fill="FFFFFF" w:themeFill="background1"/>
              </w:rPr>
              <w:t>或者</w:t>
            </w:r>
            <w:r>
              <w:rPr>
                <w:rFonts w:hint="eastAsia" w:ascii="仿宋" w:hAnsi="仿宋" w:eastAsia="仿宋" w:cs="仿宋"/>
                <w:color w:val="auto"/>
                <w:kern w:val="0"/>
                <w:szCs w:val="21"/>
                <w:highlight w:val="none"/>
                <w:shd w:val="clear" w:color="auto" w:fill="FFFFFF" w:themeFill="background1"/>
                <w:lang w:eastAsia="zh-CN"/>
              </w:rPr>
              <w:t>采购文件</w:t>
            </w:r>
            <w:r>
              <w:rPr>
                <w:rFonts w:hint="eastAsia" w:ascii="仿宋" w:hAnsi="仿宋" w:eastAsia="仿宋" w:cs="仿宋"/>
                <w:color w:val="auto"/>
                <w:kern w:val="0"/>
                <w:szCs w:val="21"/>
                <w:highlight w:val="none"/>
                <w:shd w:val="clear" w:color="auto" w:fill="FFFFFF" w:themeFill="background1"/>
              </w:rPr>
              <w:t>公告期限届满之日起7个工作日内一次性以书面形式（按照财政部制定的质疑函范本编写）提出并递交至采购代理机构。</w:t>
            </w:r>
          </w:p>
          <w:p w14:paraId="4C2A87E3">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质疑接收人：</w:t>
            </w:r>
            <w:r>
              <w:rPr>
                <w:rFonts w:hint="eastAsia" w:ascii="仿宋" w:hAnsi="仿宋" w:eastAsia="仿宋" w:cs="仿宋"/>
                <w:color w:val="auto"/>
                <w:kern w:val="0"/>
                <w:szCs w:val="21"/>
                <w:highlight w:val="none"/>
                <w:shd w:val="clear" w:color="auto" w:fill="FFFFFF" w:themeFill="background1"/>
                <w:lang w:eastAsia="zh-CN"/>
              </w:rPr>
              <w:t>甘江涛、马丹阳</w:t>
            </w:r>
            <w:r>
              <w:rPr>
                <w:rFonts w:hint="eastAsia" w:ascii="仿宋" w:hAnsi="仿宋" w:eastAsia="仿宋" w:cs="仿宋"/>
                <w:color w:val="auto"/>
                <w:kern w:val="0"/>
                <w:szCs w:val="21"/>
                <w:highlight w:val="none"/>
                <w:shd w:val="clear" w:color="auto" w:fill="FFFFFF" w:themeFill="background1"/>
              </w:rPr>
              <w:t>；联系方式：</w:t>
            </w:r>
            <w:r>
              <w:rPr>
                <w:rFonts w:hint="eastAsia" w:ascii="仿宋" w:hAnsi="仿宋" w:eastAsia="仿宋" w:cs="仿宋"/>
                <w:color w:val="auto"/>
                <w:kern w:val="0"/>
                <w:szCs w:val="21"/>
                <w:highlight w:val="none"/>
                <w:shd w:val="clear" w:color="auto" w:fill="FFFFFF" w:themeFill="background1"/>
                <w:lang w:eastAsia="zh-CN"/>
              </w:rPr>
              <w:t>0991-4661782、18040795080</w:t>
            </w:r>
            <w:r>
              <w:rPr>
                <w:rFonts w:hint="eastAsia" w:ascii="仿宋" w:hAnsi="仿宋" w:eastAsia="仿宋" w:cs="仿宋"/>
                <w:color w:val="auto"/>
                <w:kern w:val="0"/>
                <w:szCs w:val="21"/>
                <w:highlight w:val="none"/>
                <w:shd w:val="clear" w:color="auto" w:fill="FFFFFF" w:themeFill="background1"/>
              </w:rPr>
              <w:t>。</w:t>
            </w:r>
          </w:p>
          <w:p w14:paraId="2EC6B993">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3、注：①、供应商必须在法定质疑期内一次性提出针对同一采购程序环节的质疑；供应商投诉的事项不得超出已质疑事项的范围。②、供应商在国家法律规定的时间内未提出书面疑问，视为对</w:t>
            </w:r>
            <w:r>
              <w:rPr>
                <w:rFonts w:hint="eastAsia" w:ascii="仿宋" w:hAnsi="仿宋" w:eastAsia="仿宋" w:cs="仿宋"/>
                <w:color w:val="auto"/>
                <w:kern w:val="0"/>
                <w:szCs w:val="21"/>
                <w:highlight w:val="none"/>
                <w:shd w:val="clear" w:color="auto" w:fill="FFFFFF" w:themeFill="background1"/>
                <w:lang w:eastAsia="zh-CN"/>
              </w:rPr>
              <w:t>采购文件</w:t>
            </w:r>
            <w:r>
              <w:rPr>
                <w:rFonts w:hint="eastAsia" w:ascii="仿宋" w:hAnsi="仿宋" w:eastAsia="仿宋" w:cs="仿宋"/>
                <w:color w:val="auto"/>
                <w:kern w:val="0"/>
                <w:szCs w:val="21"/>
                <w:highlight w:val="none"/>
                <w:shd w:val="clear" w:color="auto" w:fill="FFFFFF" w:themeFill="background1"/>
              </w:rPr>
              <w:t>的服务要求、资格条件、评审方法、合同文本等所有内容无异议。</w:t>
            </w:r>
          </w:p>
        </w:tc>
      </w:tr>
      <w:tr w14:paraId="76299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DA46A1A">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11</w:t>
            </w:r>
          </w:p>
        </w:tc>
        <w:tc>
          <w:tcPr>
            <w:tcW w:w="1795" w:type="dxa"/>
            <w:vAlign w:val="center"/>
          </w:tcPr>
          <w:p w14:paraId="7217BC86">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响应文件份数</w:t>
            </w:r>
          </w:p>
        </w:tc>
        <w:tc>
          <w:tcPr>
            <w:tcW w:w="6688" w:type="dxa"/>
            <w:vAlign w:val="center"/>
          </w:tcPr>
          <w:p w14:paraId="1B5691C9">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w:t>
            </w:r>
            <w:r>
              <w:rPr>
                <w:rFonts w:hint="eastAsia" w:ascii="仿宋" w:hAnsi="仿宋" w:eastAsia="仿宋" w:cs="仿宋"/>
                <w:color w:val="auto"/>
                <w:kern w:val="0"/>
                <w:szCs w:val="21"/>
                <w:highlight w:val="none"/>
                <w:shd w:val="clear" w:color="auto" w:fill="FFFFFF" w:themeFill="background1"/>
                <w:lang w:val="en-US" w:eastAsia="zh-CN"/>
              </w:rPr>
              <w:t>响应</w:t>
            </w:r>
            <w:r>
              <w:rPr>
                <w:rFonts w:hint="eastAsia" w:ascii="仿宋" w:hAnsi="仿宋" w:eastAsia="仿宋" w:cs="仿宋"/>
                <w:color w:val="auto"/>
                <w:kern w:val="0"/>
                <w:szCs w:val="21"/>
                <w:highlight w:val="none"/>
                <w:shd w:val="clear" w:color="auto" w:fill="FFFFFF" w:themeFill="background1"/>
              </w:rPr>
              <w:t>或</w:t>
            </w:r>
            <w:r>
              <w:rPr>
                <w:rFonts w:hint="eastAsia" w:ascii="仿宋" w:hAnsi="仿宋" w:eastAsia="仿宋" w:cs="仿宋"/>
                <w:color w:val="auto"/>
                <w:kern w:val="0"/>
                <w:szCs w:val="21"/>
                <w:highlight w:val="none"/>
                <w:shd w:val="clear" w:color="auto" w:fill="FFFFFF" w:themeFill="background1"/>
                <w:lang w:val="en-US" w:eastAsia="zh-CN"/>
              </w:rPr>
              <w:t>响应</w:t>
            </w:r>
            <w:r>
              <w:rPr>
                <w:rFonts w:hint="eastAsia" w:ascii="仿宋" w:hAnsi="仿宋" w:eastAsia="仿宋" w:cs="仿宋"/>
                <w:color w:val="auto"/>
                <w:kern w:val="0"/>
                <w:szCs w:val="21"/>
                <w:highlight w:val="none"/>
                <w:shd w:val="clear" w:color="auto" w:fill="FFFFFF" w:themeFill="background1"/>
              </w:rPr>
              <w:t xml:space="preserve">失败等后果由供应商自行承担。 </w:t>
            </w:r>
          </w:p>
          <w:p w14:paraId="74DF9C28">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2、加密的电子响应文件须在响应文件递交截止时间前通过政采云平台上传完成。逾期上传或者未上传至指定地点的响应文件，不予受理。</w:t>
            </w:r>
          </w:p>
          <w:p w14:paraId="639C16AE">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3、供应商在</w:t>
            </w:r>
            <w:r>
              <w:rPr>
                <w:rFonts w:hint="eastAsia" w:ascii="仿宋" w:hAnsi="仿宋" w:eastAsia="仿宋" w:cs="仿宋"/>
                <w:color w:val="auto"/>
                <w:kern w:val="0"/>
                <w:szCs w:val="21"/>
                <w:highlight w:val="none"/>
                <w:shd w:val="clear" w:color="auto" w:fill="FFFFFF" w:themeFill="background1"/>
                <w:lang w:eastAsia="zh-CN"/>
              </w:rPr>
              <w:t>开启</w:t>
            </w:r>
            <w:r>
              <w:rPr>
                <w:rFonts w:hint="eastAsia" w:ascii="仿宋" w:hAnsi="仿宋" w:eastAsia="仿宋" w:cs="仿宋"/>
                <w:color w:val="auto"/>
                <w:kern w:val="0"/>
                <w:szCs w:val="21"/>
                <w:highlight w:val="none"/>
                <w:shd w:val="clear" w:color="auto" w:fill="FFFFFF" w:themeFill="background1"/>
              </w:rPr>
              <w:t>前须提前配置好电脑浏览器，</w:t>
            </w:r>
            <w:r>
              <w:rPr>
                <w:rFonts w:hint="eastAsia" w:ascii="仿宋" w:hAnsi="仿宋" w:eastAsia="仿宋" w:cs="仿宋"/>
                <w:color w:val="auto"/>
                <w:kern w:val="0"/>
                <w:szCs w:val="21"/>
                <w:highlight w:val="none"/>
                <w:shd w:val="clear" w:color="auto" w:fill="FFFFFF" w:themeFill="background1"/>
                <w:lang w:eastAsia="zh-CN"/>
              </w:rPr>
              <w:t>开启</w:t>
            </w:r>
            <w:r>
              <w:rPr>
                <w:rFonts w:hint="eastAsia" w:ascii="仿宋" w:hAnsi="仿宋" w:eastAsia="仿宋" w:cs="仿宋"/>
                <w:color w:val="auto"/>
                <w:kern w:val="0"/>
                <w:szCs w:val="21"/>
                <w:highlight w:val="none"/>
                <w:shd w:val="clear" w:color="auto" w:fill="FFFFFF" w:themeFill="background1"/>
              </w:rPr>
              <w:t>时请使用制作加密电子响应文件的CA锁进行解密及报价确认。本项目响应文件解密时间定为30分钟，如因自身原因导致无法正常解密，后果由供应商自行承担。</w:t>
            </w:r>
          </w:p>
          <w:p w14:paraId="684029C1">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4、如遇电子交易平台的交易规则调整，以最新要求为准。</w:t>
            </w:r>
          </w:p>
        </w:tc>
      </w:tr>
      <w:tr w14:paraId="0AE32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F451926">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12</w:t>
            </w:r>
          </w:p>
        </w:tc>
        <w:tc>
          <w:tcPr>
            <w:tcW w:w="1795" w:type="dxa"/>
            <w:vAlign w:val="center"/>
          </w:tcPr>
          <w:p w14:paraId="42BF96AC">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响应文件递交</w:t>
            </w:r>
          </w:p>
        </w:tc>
        <w:tc>
          <w:tcPr>
            <w:tcW w:w="6688" w:type="dxa"/>
            <w:vAlign w:val="center"/>
          </w:tcPr>
          <w:p w14:paraId="22BAFB0D">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截止时间：</w:t>
            </w:r>
            <w:r>
              <w:rPr>
                <w:rFonts w:hint="eastAsia" w:ascii="仿宋" w:hAnsi="仿宋" w:eastAsia="仿宋" w:cs="仿宋"/>
                <w:color w:val="auto"/>
                <w:kern w:val="0"/>
                <w:szCs w:val="21"/>
                <w:highlight w:val="none"/>
                <w:u w:val="single"/>
                <w:shd w:val="clear" w:color="auto" w:fill="FFFFFF" w:themeFill="background1"/>
                <w:lang w:eastAsia="zh-CN"/>
              </w:rPr>
              <w:t>2026年05月26日 10:30（北京时间）</w:t>
            </w:r>
            <w:r>
              <w:rPr>
                <w:rFonts w:hint="eastAsia" w:ascii="仿宋" w:hAnsi="仿宋" w:eastAsia="仿宋" w:cs="仿宋"/>
                <w:color w:val="auto"/>
                <w:kern w:val="0"/>
                <w:szCs w:val="21"/>
                <w:highlight w:val="none"/>
                <w:shd w:val="clear" w:color="auto" w:fill="FFFFFF" w:themeFill="background1"/>
              </w:rPr>
              <w:t>（北京时间）</w:t>
            </w:r>
          </w:p>
          <w:p w14:paraId="64EC48D0">
            <w:pPr>
              <w:keepNext/>
              <w:widowControl/>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递交地点：政采云平台（https://www.zcygov.cn/）</w:t>
            </w:r>
          </w:p>
        </w:tc>
      </w:tr>
      <w:tr w14:paraId="3BFDC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0C16EBD">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13</w:t>
            </w:r>
          </w:p>
        </w:tc>
        <w:tc>
          <w:tcPr>
            <w:tcW w:w="1795" w:type="dxa"/>
            <w:vAlign w:val="center"/>
          </w:tcPr>
          <w:p w14:paraId="351F0390">
            <w:pPr>
              <w:keepNext/>
              <w:widowControl/>
              <w:spacing w:line="288" w:lineRule="auto"/>
              <w:jc w:val="distribute"/>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开启</w:t>
            </w:r>
          </w:p>
        </w:tc>
        <w:tc>
          <w:tcPr>
            <w:tcW w:w="6688" w:type="dxa"/>
            <w:vAlign w:val="center"/>
          </w:tcPr>
          <w:p w14:paraId="13A8E394">
            <w:pPr>
              <w:spacing w:line="288" w:lineRule="auto"/>
              <w:jc w:val="left"/>
              <w:rPr>
                <w:rFonts w:hint="eastAsia" w:ascii="仿宋" w:hAnsi="仿宋" w:eastAsia="仿宋" w:cs="仿宋"/>
                <w:color w:val="auto"/>
                <w:kern w:val="0"/>
                <w:szCs w:val="21"/>
                <w:highlight w:val="none"/>
                <w:u w:val="singl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时间：</w:t>
            </w:r>
            <w:r>
              <w:rPr>
                <w:rFonts w:hint="eastAsia" w:ascii="仿宋" w:hAnsi="仿宋" w:eastAsia="仿宋" w:cs="仿宋"/>
                <w:color w:val="auto"/>
                <w:kern w:val="0"/>
                <w:szCs w:val="21"/>
                <w:highlight w:val="none"/>
                <w:u w:val="single"/>
                <w:shd w:val="clear" w:color="auto" w:fill="FFFFFF" w:themeFill="background1"/>
                <w:lang w:eastAsia="zh-CN"/>
              </w:rPr>
              <w:t>2026年05月26日 10:30（北京时间）</w:t>
            </w:r>
            <w:r>
              <w:rPr>
                <w:rFonts w:hint="eastAsia" w:ascii="仿宋" w:hAnsi="仿宋" w:eastAsia="仿宋" w:cs="仿宋"/>
                <w:color w:val="auto"/>
                <w:kern w:val="0"/>
                <w:szCs w:val="21"/>
                <w:highlight w:val="none"/>
                <w:shd w:val="clear" w:color="auto" w:fill="FFFFFF" w:themeFill="background1"/>
              </w:rPr>
              <w:t>（北京时间）</w:t>
            </w:r>
          </w:p>
          <w:p w14:paraId="115FBE6D">
            <w:pPr>
              <w:keepNext/>
              <w:widowControl/>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地点：政采云平台（https://www.zcygov.cn/）</w:t>
            </w:r>
          </w:p>
        </w:tc>
      </w:tr>
      <w:tr w14:paraId="63E58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25" w:hRule="atLeast"/>
          <w:jc w:val="center"/>
        </w:trPr>
        <w:tc>
          <w:tcPr>
            <w:tcW w:w="597" w:type="dxa"/>
            <w:vAlign w:val="center"/>
          </w:tcPr>
          <w:p w14:paraId="57B3CDDD">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14</w:t>
            </w:r>
          </w:p>
        </w:tc>
        <w:tc>
          <w:tcPr>
            <w:tcW w:w="1795" w:type="dxa"/>
            <w:vAlign w:val="center"/>
          </w:tcPr>
          <w:p w14:paraId="410F5AB4">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响应有效期</w:t>
            </w:r>
          </w:p>
        </w:tc>
        <w:tc>
          <w:tcPr>
            <w:tcW w:w="6688" w:type="dxa"/>
            <w:vAlign w:val="center"/>
          </w:tcPr>
          <w:p w14:paraId="2852D299">
            <w:pPr>
              <w:keepNext/>
              <w:widowControl/>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自</w:t>
            </w:r>
            <w:r>
              <w:rPr>
                <w:rFonts w:hint="eastAsia" w:ascii="仿宋" w:hAnsi="仿宋" w:eastAsia="仿宋" w:cs="仿宋"/>
                <w:color w:val="auto"/>
                <w:kern w:val="0"/>
                <w:szCs w:val="21"/>
                <w:highlight w:val="none"/>
                <w:shd w:val="clear" w:color="auto" w:fill="FFFFFF" w:themeFill="background1"/>
                <w:lang w:val="en-US" w:eastAsia="zh-CN"/>
              </w:rPr>
              <w:t>响应</w:t>
            </w:r>
            <w:r>
              <w:rPr>
                <w:rFonts w:hint="eastAsia" w:ascii="仿宋" w:hAnsi="仿宋" w:eastAsia="仿宋" w:cs="仿宋"/>
                <w:color w:val="auto"/>
                <w:kern w:val="0"/>
                <w:szCs w:val="21"/>
                <w:highlight w:val="none"/>
                <w:shd w:val="clear" w:color="auto" w:fill="FFFFFF" w:themeFill="background1"/>
              </w:rPr>
              <w:t>截止之日90日历日</w:t>
            </w:r>
          </w:p>
        </w:tc>
      </w:tr>
      <w:tr w14:paraId="3D55F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A56E589">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15</w:t>
            </w:r>
          </w:p>
        </w:tc>
        <w:tc>
          <w:tcPr>
            <w:tcW w:w="1795" w:type="dxa"/>
            <w:vAlign w:val="center"/>
          </w:tcPr>
          <w:p w14:paraId="5ED3E92B">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公告发布媒体</w:t>
            </w:r>
          </w:p>
        </w:tc>
        <w:tc>
          <w:tcPr>
            <w:tcW w:w="6688" w:type="dxa"/>
            <w:vAlign w:val="center"/>
          </w:tcPr>
          <w:p w14:paraId="72884FA8">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新疆政府采购网（http://www.ccgp-xinjiang.gov.cn/home.html）</w:t>
            </w:r>
          </w:p>
        </w:tc>
      </w:tr>
      <w:tr w14:paraId="5A19B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CD9BA98">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16</w:t>
            </w:r>
          </w:p>
        </w:tc>
        <w:tc>
          <w:tcPr>
            <w:tcW w:w="1795" w:type="dxa"/>
            <w:vAlign w:val="center"/>
          </w:tcPr>
          <w:p w14:paraId="00880C22">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履约保证金</w:t>
            </w:r>
          </w:p>
        </w:tc>
        <w:tc>
          <w:tcPr>
            <w:tcW w:w="6688" w:type="dxa"/>
            <w:vAlign w:val="center"/>
          </w:tcPr>
          <w:p w14:paraId="31471930">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1、履约保证金金额：</w:t>
            </w:r>
            <w:r>
              <w:rPr>
                <w:rFonts w:hint="eastAsia" w:ascii="仿宋" w:hAnsi="仿宋" w:eastAsia="仿宋" w:cs="仿宋"/>
                <w:color w:val="auto"/>
                <w:kern w:val="0"/>
                <w:szCs w:val="21"/>
                <w:highlight w:val="none"/>
                <w:shd w:val="clear" w:color="auto" w:fill="FFFFFF" w:themeFill="background1"/>
                <w:lang w:val="en-US" w:eastAsia="zh-CN"/>
              </w:rPr>
              <w:t>合同金额的10%</w:t>
            </w:r>
            <w:r>
              <w:rPr>
                <w:rFonts w:hint="eastAsia" w:ascii="仿宋" w:hAnsi="仿宋" w:eastAsia="仿宋" w:cs="仿宋"/>
                <w:color w:val="auto"/>
                <w:kern w:val="0"/>
                <w:szCs w:val="21"/>
                <w:highlight w:val="none"/>
                <w:shd w:val="clear" w:color="auto" w:fill="FFFFFF" w:themeFill="background1"/>
              </w:rPr>
              <w:t>。</w:t>
            </w:r>
          </w:p>
          <w:p w14:paraId="0A1045E0">
            <w:pPr>
              <w:spacing w:line="288" w:lineRule="auto"/>
              <w:ind w:firstLine="420" w:firstLineChars="200"/>
              <w:jc w:val="left"/>
              <w:rPr>
                <w:rFonts w:hint="eastAsia" w:ascii="仿宋" w:hAnsi="仿宋" w:eastAsia="仿宋" w:cs="仿宋"/>
                <w:color w:val="auto"/>
                <w:highlight w:val="none"/>
              </w:rPr>
            </w:pPr>
            <w:r>
              <w:rPr>
                <w:rFonts w:hint="eastAsia" w:ascii="仿宋" w:hAnsi="仿宋" w:eastAsia="仿宋" w:cs="仿宋"/>
                <w:color w:val="auto"/>
                <w:kern w:val="0"/>
                <w:szCs w:val="21"/>
                <w:highlight w:val="none"/>
                <w:shd w:val="clear" w:color="auto" w:fill="FFFFFF" w:themeFill="background1"/>
              </w:rPr>
              <w:t>2、供应商应当以支票、汇票、本票或者金融机构、担保机构出具的保函等非现金形式提交履约保证金。</w:t>
            </w:r>
          </w:p>
        </w:tc>
      </w:tr>
      <w:tr w14:paraId="2A9D3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BB1F346">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17</w:t>
            </w:r>
          </w:p>
        </w:tc>
        <w:tc>
          <w:tcPr>
            <w:tcW w:w="1795" w:type="dxa"/>
            <w:vAlign w:val="center"/>
          </w:tcPr>
          <w:p w14:paraId="4F981522">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中小企业政策说明</w:t>
            </w:r>
          </w:p>
        </w:tc>
        <w:tc>
          <w:tcPr>
            <w:tcW w:w="6688" w:type="dxa"/>
            <w:vAlign w:val="center"/>
          </w:tcPr>
          <w:p w14:paraId="4E4E312E">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845216A">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2、在政府采购活动中，</w:t>
            </w:r>
            <w:r>
              <w:rPr>
                <w:rFonts w:hint="eastAsia" w:ascii="仿宋" w:hAnsi="仿宋" w:eastAsia="仿宋" w:cs="仿宋"/>
                <w:color w:val="auto"/>
                <w:kern w:val="0"/>
                <w:szCs w:val="21"/>
                <w:highlight w:val="none"/>
                <w:lang w:eastAsia="zh-CN"/>
              </w:rPr>
              <w:t>投标人</w:t>
            </w:r>
            <w:r>
              <w:rPr>
                <w:rFonts w:hint="eastAsia" w:ascii="仿宋" w:hAnsi="仿宋" w:eastAsia="仿宋" w:cs="仿宋"/>
                <w:color w:val="auto"/>
                <w:kern w:val="0"/>
                <w:szCs w:val="21"/>
                <w:highlight w:val="none"/>
              </w:rPr>
              <w:t>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1E8B5ABA">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3、在货物采购项目中，</w:t>
            </w:r>
            <w:r>
              <w:rPr>
                <w:rFonts w:hint="eastAsia" w:ascii="仿宋" w:hAnsi="仿宋" w:eastAsia="仿宋" w:cs="仿宋"/>
                <w:color w:val="auto"/>
                <w:kern w:val="0"/>
                <w:szCs w:val="21"/>
                <w:highlight w:val="none"/>
                <w:lang w:eastAsia="zh-CN"/>
              </w:rPr>
              <w:t>投标人</w:t>
            </w:r>
            <w:r>
              <w:rPr>
                <w:rFonts w:hint="eastAsia" w:ascii="仿宋" w:hAnsi="仿宋" w:eastAsia="仿宋" w:cs="仿宋"/>
                <w:color w:val="auto"/>
                <w:kern w:val="0"/>
                <w:szCs w:val="21"/>
                <w:highlight w:val="none"/>
              </w:rPr>
              <w:t>提供的货物既有中小企业制造货物，也有大型企业制造货物的，不享受本办法规定的中小企业扶持政策。</w:t>
            </w:r>
          </w:p>
          <w:p w14:paraId="0B482C84">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4、以联合体形式参加政府采购活动，联合体各方均为中小企业的，联合体视同中小企业。其中，联合体各方均为小微企业的，联合体视同小微企业。</w:t>
            </w:r>
          </w:p>
          <w:p w14:paraId="5C9ABA26">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r>
              <w:rPr>
                <w:rFonts w:hint="eastAsia" w:ascii="仿宋" w:hAnsi="仿宋" w:eastAsia="仿宋" w:cs="仿宋"/>
                <w:color w:val="auto"/>
                <w:kern w:val="0"/>
                <w:szCs w:val="21"/>
                <w:highlight w:val="none"/>
                <w:lang w:eastAsia="zh-CN"/>
              </w:rPr>
              <w:t>投标人</w:t>
            </w:r>
            <w:r>
              <w:rPr>
                <w:rFonts w:hint="eastAsia" w:ascii="仿宋" w:hAnsi="仿宋" w:eastAsia="仿宋" w:cs="仿宋"/>
                <w:color w:val="auto"/>
                <w:kern w:val="0"/>
                <w:szCs w:val="21"/>
                <w:highlight w:val="none"/>
              </w:rPr>
              <w:t>经享受扶持政策获得政府采购合同的，小微企业不得将合同分包给大中型企业，中型企业不得将合同分包给大型企业；</w:t>
            </w:r>
          </w:p>
          <w:p w14:paraId="4FFF08E0">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6、残疾人福利性单位和监狱企业视同小型、微型企业。</w:t>
            </w:r>
          </w:p>
          <w:p w14:paraId="1288B277">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val="en-US" w:eastAsia="zh-CN"/>
              </w:rPr>
              <w:t>7</w:t>
            </w:r>
            <w:r>
              <w:rPr>
                <w:rFonts w:hint="eastAsia" w:ascii="仿宋" w:hAnsi="仿宋" w:eastAsia="仿宋" w:cs="仿宋"/>
                <w:color w:val="auto"/>
                <w:kern w:val="0"/>
                <w:szCs w:val="21"/>
                <w:highlight w:val="none"/>
                <w:shd w:val="clear" w:color="auto" w:fill="FFFFFF" w:themeFill="background1"/>
              </w:rPr>
              <w:t>、根据“关于印发中小企业划型标准规定的通知(工信部联企业〔2011〕300号)”等有关规定，本项目标的所属行业为软件和信息技术服务业。</w:t>
            </w:r>
          </w:p>
        </w:tc>
      </w:tr>
      <w:tr w14:paraId="7EBCD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FCA1001">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rPr>
              <w:t>18</w:t>
            </w:r>
          </w:p>
        </w:tc>
        <w:tc>
          <w:tcPr>
            <w:tcW w:w="1795" w:type="dxa"/>
            <w:vAlign w:val="center"/>
          </w:tcPr>
          <w:p w14:paraId="672B4F15">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是否允许分包</w:t>
            </w:r>
          </w:p>
        </w:tc>
        <w:tc>
          <w:tcPr>
            <w:tcW w:w="6688" w:type="dxa"/>
            <w:vAlign w:val="center"/>
          </w:tcPr>
          <w:p w14:paraId="0E8719FF">
            <w:pPr>
              <w:keepNext/>
              <w:widowControl/>
              <w:spacing w:line="288"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☑不允许分包</w:t>
            </w:r>
          </w:p>
          <w:p w14:paraId="494904B2">
            <w:pPr>
              <w:keepNext/>
              <w:widowControl/>
              <w:spacing w:line="288" w:lineRule="auto"/>
              <w:ind w:firstLine="420" w:firstLineChars="200"/>
              <w:jc w:val="left"/>
              <w:rPr>
                <w:rFonts w:hint="eastAsia" w:ascii="仿宋" w:hAnsi="仿宋" w:eastAsia="仿宋" w:cs="仿宋"/>
                <w:color w:val="auto"/>
                <w:kern w:val="0"/>
                <w:szCs w:val="21"/>
                <w:highlight w:val="none"/>
                <w:u w:val="single"/>
                <w:shd w:val="clear" w:color="auto" w:fill="FFFFFF" w:themeFill="background1"/>
                <w:lang w:val="en-US" w:eastAsia="zh-CN"/>
              </w:rPr>
            </w:pPr>
            <w:r>
              <w:rPr>
                <w:rFonts w:hint="eastAsia" w:ascii="仿宋" w:hAnsi="仿宋" w:eastAsia="仿宋" w:cs="仿宋"/>
                <w:color w:val="auto"/>
                <w:kern w:val="0"/>
                <w:szCs w:val="21"/>
                <w:highlight w:val="none"/>
              </w:rPr>
              <w:t>□允许分包,要求：</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u w:val="single"/>
                <w:lang w:val="en-US" w:eastAsia="zh-CN"/>
              </w:rPr>
              <w:t xml:space="preserve">/ </w:t>
            </w:r>
          </w:p>
        </w:tc>
      </w:tr>
      <w:tr w14:paraId="7B34A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829365E">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rPr>
              <w:t>19</w:t>
            </w:r>
          </w:p>
        </w:tc>
        <w:tc>
          <w:tcPr>
            <w:tcW w:w="1795" w:type="dxa"/>
            <w:vAlign w:val="center"/>
          </w:tcPr>
          <w:p w14:paraId="091DD299">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说明</w:t>
            </w:r>
          </w:p>
        </w:tc>
        <w:tc>
          <w:tcPr>
            <w:tcW w:w="6688" w:type="dxa"/>
            <w:vAlign w:val="center"/>
          </w:tcPr>
          <w:p w14:paraId="1E4722B0">
            <w:pPr>
              <w:keepNext/>
              <w:widowControl/>
              <w:numPr>
                <w:ilvl w:val="0"/>
                <w:numId w:val="0"/>
              </w:numPr>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 w:val="21"/>
                <w:szCs w:val="21"/>
                <w:highlight w:val="none"/>
                <w:lang w:val="en-US" w:eastAsia="zh-CN" w:bidi="ar-SA"/>
              </w:rPr>
              <w:t>1、</w:t>
            </w:r>
            <w:r>
              <w:rPr>
                <w:rFonts w:hint="eastAsia" w:ascii="仿宋" w:hAnsi="仿宋" w:eastAsia="仿宋" w:cs="仿宋"/>
                <w:color w:val="auto"/>
                <w:kern w:val="0"/>
                <w:szCs w:val="21"/>
                <w:highlight w:val="none"/>
                <w:lang w:val="en-US" w:eastAsia="zh-CN"/>
              </w:rPr>
              <w:t>采购文件中所述政策法规、标准规范等文件，如有新文件则按新文件执行，如已废止则仅为参考。</w:t>
            </w:r>
          </w:p>
          <w:p w14:paraId="2712D73A">
            <w:pPr>
              <w:keepNext/>
              <w:widowControl/>
              <w:numPr>
                <w:ilvl w:val="0"/>
                <w:numId w:val="0"/>
              </w:numPr>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 w:val="21"/>
                <w:szCs w:val="21"/>
                <w:highlight w:val="none"/>
                <w:lang w:val="en-US" w:eastAsia="zh-CN" w:bidi="ar-SA"/>
              </w:rPr>
              <w:t>2、</w:t>
            </w:r>
            <w:r>
              <w:rPr>
                <w:rFonts w:hint="eastAsia" w:ascii="仿宋" w:hAnsi="仿宋" w:eastAsia="仿宋" w:cs="仿宋"/>
                <w:color w:val="auto"/>
                <w:kern w:val="0"/>
                <w:szCs w:val="21"/>
                <w:highlight w:val="none"/>
                <w:lang w:val="en-US" w:eastAsia="zh-CN"/>
              </w:rPr>
              <w:t>供应商须根据采购文件要求在响应文件中提供评审所需的相应证明材料扫描件。</w:t>
            </w:r>
          </w:p>
          <w:p w14:paraId="171B51C8">
            <w:pPr>
              <w:keepNext/>
              <w:widowControl/>
              <w:numPr>
                <w:ilvl w:val="0"/>
                <w:numId w:val="0"/>
              </w:numPr>
              <w:ind w:firstLine="420" w:firstLineChars="200"/>
              <w:jc w:val="left"/>
              <w:rPr>
                <w:rFonts w:hint="eastAsia" w:ascii="仿宋" w:hAnsi="仿宋" w:eastAsia="仿宋" w:cs="仿宋"/>
                <w:color w:val="auto"/>
                <w:kern w:val="0"/>
                <w:sz w:val="21"/>
                <w:szCs w:val="21"/>
                <w:highlight w:val="none"/>
                <w:shd w:val="clear" w:fill="FFFFFF" w:themeFill="background1"/>
                <w:lang w:val="en-US" w:eastAsia="zh-CN" w:bidi="ar-SA"/>
              </w:rPr>
            </w:pPr>
            <w:r>
              <w:rPr>
                <w:rFonts w:hint="eastAsia" w:ascii="仿宋" w:hAnsi="仿宋" w:eastAsia="仿宋" w:cs="仿宋"/>
                <w:color w:val="auto"/>
                <w:kern w:val="0"/>
                <w:sz w:val="21"/>
                <w:szCs w:val="21"/>
                <w:highlight w:val="none"/>
                <w:shd w:val="clear" w:fill="FFFFFF" w:themeFill="background1"/>
                <w:lang w:val="en-US" w:eastAsia="zh-CN" w:bidi="ar-SA"/>
              </w:rPr>
              <w:t>3、</w:t>
            </w:r>
            <w:r>
              <w:rPr>
                <w:rFonts w:hint="eastAsia" w:ascii="仿宋" w:hAnsi="仿宋" w:eastAsia="仿宋" w:cs="仿宋"/>
                <w:color w:val="auto"/>
                <w:kern w:val="0"/>
                <w:szCs w:val="21"/>
                <w:highlight w:val="none"/>
                <w:lang w:val="en-US" w:eastAsia="zh-CN"/>
              </w:rPr>
              <w:t>最低报价不能作为中标的保证。</w:t>
            </w:r>
          </w:p>
          <w:p w14:paraId="393C2011">
            <w:pPr>
              <w:keepNext/>
              <w:widowControl/>
              <w:numPr>
                <w:ilvl w:val="0"/>
                <w:numId w:val="0"/>
              </w:numPr>
              <w:ind w:firstLine="420" w:firstLineChars="200"/>
              <w:jc w:val="left"/>
              <w:rPr>
                <w:rFonts w:hint="eastAsia" w:ascii="仿宋" w:hAnsi="仿宋" w:eastAsia="仿宋" w:cs="仿宋"/>
                <w:color w:val="auto"/>
                <w:highlight w:val="none"/>
                <w:lang w:val="en-US"/>
              </w:rPr>
            </w:pPr>
            <w:r>
              <w:rPr>
                <w:rFonts w:hint="eastAsia" w:ascii="仿宋" w:hAnsi="仿宋" w:eastAsia="仿宋" w:cs="仿宋"/>
                <w:color w:val="auto"/>
                <w:kern w:val="0"/>
                <w:sz w:val="21"/>
                <w:szCs w:val="21"/>
                <w:highlight w:val="none"/>
                <w:shd w:val="clear" w:fill="FFFFFF" w:themeFill="background1"/>
                <w:lang w:val="en-US" w:eastAsia="zh-CN" w:bidi="ar-SA"/>
              </w:rPr>
              <w:t>4、</w:t>
            </w:r>
            <w:r>
              <w:rPr>
                <w:rFonts w:hint="eastAsia" w:ascii="仿宋" w:hAnsi="仿宋" w:eastAsia="仿宋" w:cs="仿宋"/>
                <w:color w:val="auto"/>
                <w:kern w:val="0"/>
                <w:szCs w:val="21"/>
                <w:highlight w:val="none"/>
                <w:lang w:val="en-US" w:eastAsia="zh-CN"/>
              </w:rPr>
              <w:t>本表内容如与后文内容不一致处，以本表为准。</w:t>
            </w:r>
          </w:p>
        </w:tc>
      </w:tr>
    </w:tbl>
    <w:p w14:paraId="15470D41">
      <w:pPr>
        <w:spacing w:line="360" w:lineRule="auto"/>
        <w:jc w:val="center"/>
        <w:outlineLvl w:val="0"/>
        <w:rPr>
          <w:rFonts w:hint="eastAsia" w:ascii="仿宋" w:hAnsi="仿宋" w:eastAsia="仿宋" w:cs="仿宋"/>
          <w:b/>
          <w:color w:val="auto"/>
          <w:sz w:val="24"/>
          <w:szCs w:val="24"/>
          <w:highlight w:val="none"/>
          <w:shd w:val="clear" w:color="auto" w:fill="FFFFFF" w:themeFill="background1"/>
        </w:rPr>
      </w:pPr>
      <w:bookmarkStart w:id="7" w:name="_BookMark_3"/>
      <w:bookmarkEnd w:id="7"/>
      <w:r>
        <w:rPr>
          <w:rFonts w:hint="eastAsia" w:ascii="仿宋" w:hAnsi="仿宋" w:eastAsia="仿宋" w:cs="仿宋"/>
          <w:color w:val="auto"/>
          <w:kern w:val="0"/>
          <w:sz w:val="24"/>
          <w:szCs w:val="24"/>
          <w:highlight w:val="none"/>
          <w:shd w:val="clear" w:color="auto" w:fill="FFFFFF" w:themeFill="background1"/>
        </w:rPr>
        <w:br w:type="page"/>
      </w:r>
      <w:bookmarkStart w:id="8" w:name="_Toc32670"/>
      <w:r>
        <w:rPr>
          <w:rFonts w:hint="eastAsia" w:ascii="仿宋" w:hAnsi="仿宋" w:eastAsia="仿宋" w:cs="仿宋"/>
          <w:b/>
          <w:color w:val="auto"/>
          <w:sz w:val="24"/>
          <w:szCs w:val="24"/>
          <w:highlight w:val="none"/>
          <w:shd w:val="clear" w:color="auto" w:fill="FFFFFF" w:themeFill="background1"/>
        </w:rPr>
        <w:t>第一章 供应商须知</w:t>
      </w:r>
      <w:bookmarkEnd w:id="8"/>
      <w:bookmarkStart w:id="9" w:name="_BookMark_2"/>
      <w:bookmarkEnd w:id="9"/>
    </w:p>
    <w:p w14:paraId="4B91FA7C">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rPr>
      </w:pPr>
      <w:bookmarkStart w:id="10" w:name="_Toc6429"/>
      <w:r>
        <w:rPr>
          <w:rFonts w:hint="eastAsia" w:ascii="仿宋" w:hAnsi="仿宋" w:eastAsia="仿宋" w:cs="仿宋"/>
          <w:b/>
          <w:color w:val="auto"/>
          <w:sz w:val="24"/>
          <w:szCs w:val="24"/>
          <w:highlight w:val="none"/>
          <w:shd w:val="clear" w:color="auto" w:fill="FFFFFF" w:themeFill="background1"/>
        </w:rPr>
        <w:t>一、总则</w:t>
      </w:r>
      <w:bookmarkEnd w:id="10"/>
    </w:p>
    <w:p w14:paraId="651AD53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 采购项目概况</w:t>
      </w:r>
    </w:p>
    <w:p w14:paraId="030EB14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1.1.1项目名称：见供应商须知前附表。</w:t>
      </w:r>
    </w:p>
    <w:p w14:paraId="2D0E132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1.1.2项目编号：见供应商须知前附表。</w:t>
      </w:r>
    </w:p>
    <w:p w14:paraId="152A687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1.1.3采购人：见供应商须知前附表。</w:t>
      </w:r>
    </w:p>
    <w:p w14:paraId="5BBB2C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1.1.4采购代理机构：见供应商须知前附表。</w:t>
      </w:r>
    </w:p>
    <w:p w14:paraId="7DA0B61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1.1.5项目地点：见供应商须知前附表。</w:t>
      </w:r>
    </w:p>
    <w:p w14:paraId="1E0D73F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1.1.6资金来源：见供应商须知前附表。</w:t>
      </w:r>
    </w:p>
    <w:p w14:paraId="2D0378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1.1.7采购预算金额：见供应商须知前附表。</w:t>
      </w:r>
    </w:p>
    <w:p w14:paraId="2DCB971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lang w:val="en-US" w:eastAsia="zh-CN"/>
        </w:rPr>
      </w:pPr>
      <w:r>
        <w:rPr>
          <w:rFonts w:hint="eastAsia" w:ascii="仿宋" w:hAnsi="仿宋" w:eastAsia="仿宋" w:cs="仿宋"/>
          <w:color w:val="auto"/>
          <w:kern w:val="0"/>
          <w:sz w:val="24"/>
          <w:szCs w:val="24"/>
          <w:highlight w:val="none"/>
          <w:shd w:val="clear" w:color="auto" w:fill="FFFFFF" w:themeFill="background1"/>
        </w:rPr>
        <w:t>1.1.8</w:t>
      </w:r>
      <w:r>
        <w:rPr>
          <w:rFonts w:hint="eastAsia" w:ascii="仿宋" w:hAnsi="仿宋" w:eastAsia="仿宋" w:cs="仿宋"/>
          <w:color w:val="auto"/>
          <w:kern w:val="0"/>
          <w:sz w:val="24"/>
          <w:szCs w:val="24"/>
          <w:highlight w:val="none"/>
          <w:shd w:val="clear" w:color="auto" w:fill="FFFFFF" w:themeFill="background1"/>
          <w:lang w:val="en-US" w:eastAsia="zh-CN"/>
        </w:rPr>
        <w:t>最高限价</w:t>
      </w:r>
      <w:r>
        <w:rPr>
          <w:rFonts w:hint="eastAsia" w:ascii="仿宋" w:hAnsi="仿宋" w:eastAsia="仿宋" w:cs="仿宋"/>
          <w:color w:val="auto"/>
          <w:kern w:val="0"/>
          <w:sz w:val="24"/>
          <w:szCs w:val="24"/>
          <w:highlight w:val="none"/>
          <w:shd w:val="clear" w:color="auto" w:fill="FFFFFF" w:themeFill="background1"/>
        </w:rPr>
        <w:t>：见供应商须知前附表。</w:t>
      </w:r>
    </w:p>
    <w:p w14:paraId="1985A3E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w:t>
      </w:r>
      <w:r>
        <w:rPr>
          <w:rFonts w:hint="eastAsia" w:ascii="仿宋" w:hAnsi="仿宋" w:eastAsia="仿宋" w:cs="仿宋"/>
          <w:color w:val="auto"/>
          <w:kern w:val="0"/>
          <w:sz w:val="24"/>
          <w:szCs w:val="24"/>
          <w:highlight w:val="none"/>
          <w:shd w:val="clear" w:color="auto" w:fill="FFFFFF" w:themeFill="background1"/>
          <w:lang w:val="en-US" w:eastAsia="zh-CN"/>
        </w:rPr>
        <w:t>6</w:t>
      </w:r>
      <w:r>
        <w:rPr>
          <w:rFonts w:hint="eastAsia" w:ascii="仿宋" w:hAnsi="仿宋" w:eastAsia="仿宋" w:cs="仿宋"/>
          <w:color w:val="auto"/>
          <w:kern w:val="0"/>
          <w:sz w:val="24"/>
          <w:szCs w:val="24"/>
          <w:highlight w:val="none"/>
          <w:shd w:val="clear" w:color="auto" w:fill="FFFFFF" w:themeFill="background1"/>
          <w:lang w:eastAsia="zh-CN"/>
        </w:rPr>
        <w:t>合同履约期限</w:t>
      </w:r>
      <w:r>
        <w:rPr>
          <w:rFonts w:hint="eastAsia" w:ascii="仿宋" w:hAnsi="仿宋" w:eastAsia="仿宋" w:cs="仿宋"/>
          <w:color w:val="auto"/>
          <w:kern w:val="0"/>
          <w:sz w:val="24"/>
          <w:szCs w:val="24"/>
          <w:highlight w:val="none"/>
          <w:shd w:val="clear" w:color="auto" w:fill="FFFFFF" w:themeFill="background1"/>
        </w:rPr>
        <w:t>：见供应商须知前附表。</w:t>
      </w:r>
    </w:p>
    <w:p w14:paraId="30EE5AB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w:t>
      </w:r>
      <w:r>
        <w:rPr>
          <w:rFonts w:hint="eastAsia" w:ascii="仿宋" w:hAnsi="仿宋" w:eastAsia="仿宋" w:cs="仿宋"/>
          <w:color w:val="auto"/>
          <w:kern w:val="0"/>
          <w:sz w:val="24"/>
          <w:szCs w:val="24"/>
          <w:highlight w:val="none"/>
          <w:shd w:val="clear" w:color="auto" w:fill="FFFFFF" w:themeFill="background1"/>
          <w:lang w:val="en-US" w:eastAsia="zh-CN"/>
        </w:rPr>
        <w:t>10</w:t>
      </w:r>
      <w:r>
        <w:rPr>
          <w:rFonts w:hint="eastAsia" w:ascii="仿宋" w:hAnsi="仿宋" w:eastAsia="仿宋" w:cs="仿宋"/>
          <w:color w:val="auto"/>
          <w:kern w:val="0"/>
          <w:sz w:val="24"/>
          <w:szCs w:val="24"/>
          <w:highlight w:val="none"/>
          <w:shd w:val="clear" w:color="auto" w:fill="FFFFFF" w:themeFill="background1"/>
        </w:rPr>
        <w:t>服务地点：见供应商须知前附表。</w:t>
      </w:r>
    </w:p>
    <w:p w14:paraId="6B54F64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1.2采购范围：见供应商须知前附表。</w:t>
      </w:r>
    </w:p>
    <w:p w14:paraId="1BB24B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1.3 采购方式和资格审查方式</w:t>
      </w:r>
    </w:p>
    <w:p w14:paraId="6230EDE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1.3.1 采购方式：见供应商须知前附表。</w:t>
      </w:r>
    </w:p>
    <w:p w14:paraId="7F576A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1.3.2 资格审查方式：见供应商须知前附表。</w:t>
      </w:r>
    </w:p>
    <w:p w14:paraId="653E719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1.4 评审办法及定标方法</w:t>
      </w:r>
    </w:p>
    <w:p w14:paraId="6392EE8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1.4.1 评审办法：见供应商须知前附表。</w:t>
      </w:r>
    </w:p>
    <w:p w14:paraId="58396DC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1.4.2 定标方法：见供应商须知前附表。</w:t>
      </w:r>
    </w:p>
    <w:p w14:paraId="3B28A44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1.5 </w:t>
      </w:r>
      <w:r>
        <w:rPr>
          <w:rFonts w:hint="eastAsia" w:ascii="仿宋" w:hAnsi="仿宋" w:eastAsia="仿宋" w:cs="仿宋"/>
          <w:color w:val="auto"/>
          <w:kern w:val="0"/>
          <w:sz w:val="24"/>
          <w:szCs w:val="24"/>
          <w:highlight w:val="none"/>
          <w:shd w:val="clear" w:color="auto" w:fill="FFFFFF" w:themeFill="background1"/>
          <w:lang w:eastAsia="zh-CN"/>
        </w:rPr>
        <w:t>供应商的资格要求</w:t>
      </w:r>
      <w:r>
        <w:rPr>
          <w:rFonts w:hint="eastAsia" w:ascii="仿宋" w:hAnsi="仿宋" w:eastAsia="仿宋" w:cs="仿宋"/>
          <w:color w:val="auto"/>
          <w:kern w:val="0"/>
          <w:sz w:val="24"/>
          <w:szCs w:val="24"/>
          <w:highlight w:val="none"/>
          <w:shd w:val="clear" w:color="auto" w:fill="FFFFFF" w:themeFill="background1"/>
        </w:rPr>
        <w:t>：见供应商须知前附表。</w:t>
      </w:r>
    </w:p>
    <w:p w14:paraId="051C9F04">
      <w:pPr>
        <w:widowControl/>
        <w:shd w:val="clear" w:color="auto" w:fill="FFFFFF"/>
        <w:snapToGrid w:val="0"/>
        <w:spacing w:line="360" w:lineRule="auto"/>
        <w:ind w:firstLine="480" w:firstLineChars="200"/>
        <w:rPr>
          <w:rFonts w:hint="eastAsia" w:ascii="仿宋" w:hAnsi="仿宋" w:eastAsia="仿宋" w:cs="仿宋"/>
          <w:b/>
          <w:bCs/>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1.6 供应商不得存在的情形：见供应商须知前附表。</w:t>
      </w:r>
    </w:p>
    <w:p w14:paraId="18D3DFF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1.7费用承担</w:t>
      </w:r>
    </w:p>
    <w:p w14:paraId="54BD8A9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1.7.1</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费：见供应商须知前附表。</w:t>
      </w:r>
    </w:p>
    <w:p w14:paraId="2D9885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1.7.2供应商应承担其编制响应文件与递交响应文件所涉及的一切费用，无论</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结果如何，采购人及采购代理机构对上述费用不作任何补偿。</w:t>
      </w:r>
      <w:r>
        <w:rPr>
          <w:rFonts w:hint="eastAsia" w:ascii="仿宋" w:hAnsi="仿宋" w:eastAsia="仿宋" w:cs="仿宋"/>
          <w:color w:val="auto"/>
          <w:kern w:val="0"/>
          <w:sz w:val="24"/>
          <w:szCs w:val="24"/>
          <w:highlight w:val="none"/>
          <w:shd w:val="clear" w:color="auto" w:fill="FFFFFF" w:themeFill="background1"/>
          <w:lang w:eastAsia="zh-CN"/>
        </w:rPr>
        <w:t>代理服务费</w:t>
      </w:r>
      <w:r>
        <w:rPr>
          <w:rFonts w:hint="eastAsia" w:ascii="仿宋" w:hAnsi="仿宋" w:eastAsia="仿宋" w:cs="仿宋"/>
          <w:color w:val="auto"/>
          <w:kern w:val="0"/>
          <w:sz w:val="24"/>
          <w:szCs w:val="24"/>
          <w:highlight w:val="none"/>
          <w:shd w:val="clear" w:color="auto" w:fill="FFFFFF" w:themeFill="background1"/>
        </w:rPr>
        <w:t>由成交供应商支付。</w:t>
      </w:r>
    </w:p>
    <w:p w14:paraId="26BDD9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1.8</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：见供应商须知前附表。</w:t>
      </w:r>
    </w:p>
    <w:p w14:paraId="185FDFB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1.9现场踏勘</w:t>
      </w:r>
    </w:p>
    <w:p w14:paraId="0C5F3A3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1.9.1 供应商须知前附表规定组织踏勘现场的，采购人或采购代理机构按供应商须知前附表规定的时间、地点组织供应商踏勘项目现场。 </w:t>
      </w:r>
    </w:p>
    <w:p w14:paraId="65A8B0A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1.9.2 供应商踏勘现场发生的费用自理。</w:t>
      </w:r>
    </w:p>
    <w:p w14:paraId="1EA03C5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1.9.3 除采购人或采购代理机构的原因外，供应商自行负责在踏勘现场中所发生的人员伤亡和财产损失。</w:t>
      </w:r>
    </w:p>
    <w:p w14:paraId="4CDC454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1.9.4 采购人或采购代理机构在踏勘现场中介绍的项目有关情况，供应商在编制响应文件时参考，采购人或采购代理机构不对供应商据此作出的判断和决策负责。</w:t>
      </w:r>
    </w:p>
    <w:p w14:paraId="3713376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1.10 采购答疑</w:t>
      </w:r>
    </w:p>
    <w:p w14:paraId="5E573F1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1.10.1 供应商若有疑问，应按规定的时间、方式向采购人或采购代理机构提出，要求采购人对</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予以澄清。</w:t>
      </w:r>
    </w:p>
    <w:p w14:paraId="6B17FF5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1.10.2 采购人或采购代理机构将按规定的时间方式对供应商的疑问作出统一的解答。</w:t>
      </w:r>
    </w:p>
    <w:p w14:paraId="3F2A2CC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1.11响应文件份数：见供应商须知前附表。</w:t>
      </w:r>
    </w:p>
    <w:p w14:paraId="783B1DF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1.12响应文件递交：见供应商须知前附表。</w:t>
      </w:r>
    </w:p>
    <w:p w14:paraId="460BB05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1.13</w:t>
      </w:r>
      <w:r>
        <w:rPr>
          <w:rFonts w:hint="eastAsia" w:ascii="仿宋" w:hAnsi="仿宋" w:eastAsia="仿宋" w:cs="仿宋"/>
          <w:color w:val="auto"/>
          <w:kern w:val="0"/>
          <w:sz w:val="24"/>
          <w:szCs w:val="24"/>
          <w:highlight w:val="none"/>
          <w:shd w:val="clear" w:color="auto" w:fill="FFFFFF" w:themeFill="background1"/>
          <w:lang w:eastAsia="zh-CN"/>
        </w:rPr>
        <w:t>开启</w:t>
      </w:r>
      <w:r>
        <w:rPr>
          <w:rFonts w:hint="eastAsia" w:ascii="仿宋" w:hAnsi="仿宋" w:eastAsia="仿宋" w:cs="仿宋"/>
          <w:color w:val="auto"/>
          <w:kern w:val="0"/>
          <w:sz w:val="24"/>
          <w:szCs w:val="24"/>
          <w:highlight w:val="none"/>
          <w:shd w:val="clear" w:color="auto" w:fill="FFFFFF" w:themeFill="background1"/>
        </w:rPr>
        <w:t>：见供应商须知前附表。</w:t>
      </w:r>
    </w:p>
    <w:p w14:paraId="2F476D3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1.14响应有效期：见供应商须知前附表。</w:t>
      </w:r>
    </w:p>
    <w:p w14:paraId="15ECE78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1.15公告发布媒体：见供应商须知前附表。</w:t>
      </w:r>
    </w:p>
    <w:p w14:paraId="29AAEA0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1.16履约保证金：见供应商须知前附表。</w:t>
      </w:r>
    </w:p>
    <w:p w14:paraId="519907F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1.17中小企业政策说明：见供应商须知前附表。</w:t>
      </w:r>
    </w:p>
    <w:p w14:paraId="5DAE75A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1.18是否允许分包：见供应商须知前附表。</w:t>
      </w:r>
    </w:p>
    <w:p w14:paraId="27416EC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1.19保密</w:t>
      </w:r>
    </w:p>
    <w:p w14:paraId="20B8F23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参与</w:t>
      </w:r>
      <w:r>
        <w:rPr>
          <w:rFonts w:hint="eastAsia" w:ascii="仿宋" w:hAnsi="仿宋" w:eastAsia="仿宋" w:cs="仿宋"/>
          <w:color w:val="auto"/>
          <w:kern w:val="0"/>
          <w:sz w:val="24"/>
          <w:szCs w:val="24"/>
          <w:highlight w:val="none"/>
          <w:shd w:val="clear" w:color="auto" w:fill="FFFFFF" w:themeFill="background1"/>
          <w:lang w:eastAsia="zh-CN"/>
        </w:rPr>
        <w:t>采购活动</w:t>
      </w:r>
      <w:r>
        <w:rPr>
          <w:rFonts w:hint="eastAsia" w:ascii="仿宋" w:hAnsi="仿宋" w:eastAsia="仿宋" w:cs="仿宋"/>
          <w:color w:val="auto"/>
          <w:kern w:val="0"/>
          <w:sz w:val="24"/>
          <w:szCs w:val="24"/>
          <w:highlight w:val="none"/>
          <w:shd w:val="clear" w:color="auto" w:fill="FFFFFF" w:themeFill="background1"/>
        </w:rPr>
        <w:t>的各方应当对</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和响应文件中的商业和技术等秘密保密，否则应当承担相应的法律责任。</w:t>
      </w:r>
    </w:p>
    <w:p w14:paraId="38D4DF2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1.20语言文字</w:t>
      </w:r>
    </w:p>
    <w:p w14:paraId="087F314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除专用术语外，与</w:t>
      </w:r>
      <w:r>
        <w:rPr>
          <w:rFonts w:hint="eastAsia" w:ascii="仿宋" w:hAnsi="仿宋" w:eastAsia="仿宋" w:cs="仿宋"/>
          <w:color w:val="auto"/>
          <w:kern w:val="0"/>
          <w:sz w:val="24"/>
          <w:szCs w:val="24"/>
          <w:highlight w:val="none"/>
          <w:shd w:val="clear" w:color="auto" w:fill="FFFFFF" w:themeFill="background1"/>
          <w:lang w:eastAsia="zh-CN"/>
        </w:rPr>
        <w:t>采购</w:t>
      </w:r>
      <w:r>
        <w:rPr>
          <w:rFonts w:hint="eastAsia" w:ascii="仿宋" w:hAnsi="仿宋" w:eastAsia="仿宋" w:cs="仿宋"/>
          <w:color w:val="auto"/>
          <w:kern w:val="0"/>
          <w:sz w:val="24"/>
          <w:szCs w:val="24"/>
          <w:highlight w:val="none"/>
          <w:shd w:val="clear" w:color="auto" w:fill="FFFFFF" w:themeFill="background1"/>
        </w:rPr>
        <w:t>有关的语言均应当使用中文。必要时专用术语应附有中文注释。</w:t>
      </w:r>
    </w:p>
    <w:p w14:paraId="3052596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1.21 计量单位</w:t>
      </w:r>
    </w:p>
    <w:p w14:paraId="1BB5E09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所有计量均采用中华人民共和国法定计量单位。</w:t>
      </w:r>
    </w:p>
    <w:p w14:paraId="1AB0C27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1.22 偏离</w:t>
      </w:r>
    </w:p>
    <w:p w14:paraId="6C954C5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响应文件与</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某些要求产生偏离的，偏离应当符合</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规定的偏离范围和幅度。</w:t>
      </w:r>
    </w:p>
    <w:p w14:paraId="00811E70">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lang w:eastAsia="zh-CN"/>
        </w:rPr>
      </w:pPr>
      <w:bookmarkStart w:id="11" w:name="_Toc27496"/>
      <w:r>
        <w:rPr>
          <w:rFonts w:hint="eastAsia" w:ascii="仿宋" w:hAnsi="仿宋" w:eastAsia="仿宋" w:cs="仿宋"/>
          <w:b/>
          <w:color w:val="auto"/>
          <w:sz w:val="24"/>
          <w:szCs w:val="24"/>
          <w:highlight w:val="none"/>
          <w:shd w:val="clear" w:color="auto" w:fill="FFFFFF" w:themeFill="background1"/>
        </w:rPr>
        <w:t>二、</w:t>
      </w:r>
      <w:r>
        <w:rPr>
          <w:rFonts w:hint="eastAsia" w:ascii="仿宋" w:hAnsi="仿宋" w:eastAsia="仿宋" w:cs="仿宋"/>
          <w:b/>
          <w:color w:val="auto"/>
          <w:sz w:val="24"/>
          <w:szCs w:val="24"/>
          <w:highlight w:val="none"/>
          <w:shd w:val="clear" w:color="auto" w:fill="FFFFFF" w:themeFill="background1"/>
          <w:lang w:eastAsia="zh-CN"/>
        </w:rPr>
        <w:t>采购文件</w:t>
      </w:r>
      <w:bookmarkEnd w:id="11"/>
    </w:p>
    <w:p w14:paraId="19B722A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2.1 </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的组成</w:t>
      </w:r>
    </w:p>
    <w:p w14:paraId="3462821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（1）磋商公告</w:t>
      </w:r>
    </w:p>
    <w:p w14:paraId="376D489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（2）供应商须知前附表</w:t>
      </w:r>
    </w:p>
    <w:p w14:paraId="726273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（3）供应商须知</w:t>
      </w:r>
    </w:p>
    <w:p w14:paraId="707364E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（4）评审办法</w:t>
      </w:r>
    </w:p>
    <w:p w14:paraId="286E7F1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（5）合同文本；</w:t>
      </w:r>
    </w:p>
    <w:p w14:paraId="5775E96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eastAsia="zh-CN"/>
        </w:rPr>
        <w:t>服务标准和要求</w:t>
      </w:r>
      <w:r>
        <w:rPr>
          <w:rFonts w:hint="eastAsia" w:ascii="仿宋" w:hAnsi="仿宋" w:eastAsia="仿宋" w:cs="仿宋"/>
          <w:color w:val="auto"/>
          <w:kern w:val="0"/>
          <w:sz w:val="24"/>
          <w:szCs w:val="24"/>
          <w:highlight w:val="none"/>
        </w:rPr>
        <w:t>；</w:t>
      </w:r>
    </w:p>
    <w:p w14:paraId="4FF9678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（7）响应文件格式；</w:t>
      </w:r>
    </w:p>
    <w:p w14:paraId="2A3493C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（8）补充条款。</w:t>
      </w:r>
    </w:p>
    <w:p w14:paraId="7E6AE12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根据本章第2.3款和第2.4款对</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所作的澄清、修改，构成</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的组成部分。</w:t>
      </w:r>
    </w:p>
    <w:p w14:paraId="77A588B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2.2 </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的获取</w:t>
      </w:r>
    </w:p>
    <w:p w14:paraId="2188F2D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凡有意参加并符合供应商须知前附表“</w:t>
      </w:r>
      <w:r>
        <w:rPr>
          <w:rFonts w:hint="eastAsia" w:ascii="仿宋" w:hAnsi="仿宋" w:eastAsia="仿宋" w:cs="仿宋"/>
          <w:color w:val="auto"/>
          <w:kern w:val="0"/>
          <w:sz w:val="24"/>
          <w:szCs w:val="24"/>
          <w:highlight w:val="none"/>
          <w:shd w:val="clear" w:color="auto" w:fill="FFFFFF" w:themeFill="background1"/>
          <w:lang w:eastAsia="zh-CN"/>
        </w:rPr>
        <w:t>供应商的资格要求</w:t>
      </w:r>
      <w:r>
        <w:rPr>
          <w:rFonts w:hint="eastAsia" w:ascii="仿宋" w:hAnsi="仿宋" w:eastAsia="仿宋" w:cs="仿宋"/>
          <w:color w:val="auto"/>
          <w:kern w:val="0"/>
          <w:sz w:val="24"/>
          <w:szCs w:val="24"/>
          <w:highlight w:val="none"/>
          <w:shd w:val="clear" w:color="auto" w:fill="FFFFFF" w:themeFill="background1"/>
        </w:rPr>
        <w:t>”的供应商，均可获取</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w:t>
      </w:r>
    </w:p>
    <w:p w14:paraId="68884F8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2.3 </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的澄清</w:t>
      </w:r>
    </w:p>
    <w:p w14:paraId="6FEEFB4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2.3.1 供应商应当仔细阅读和检查</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的全部内容。如发现缺页或附件不全，应当及时向采购人提出，以便补齐。如有疑问，应当在供应商须知前附表规定的时间、方式向采购人提出，要求采购人对</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予以澄清。</w:t>
      </w:r>
    </w:p>
    <w:p w14:paraId="5D035D0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2.3.2 </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的澄清将按照供应商须知前附表规定的时间、方式发布，但不指明澄清问题的来源。</w:t>
      </w:r>
    </w:p>
    <w:p w14:paraId="7BCB5CD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2.4</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的修改</w:t>
      </w:r>
    </w:p>
    <w:p w14:paraId="39FE5BD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2.4.1 </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的修改将按照供应商须知前附表规定的时间、方式发布，但不指明澄清问题的来源。</w:t>
      </w:r>
    </w:p>
    <w:p w14:paraId="6C1556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2.4.2 在供应商须知前附表规定的截止时间前，无论出于何种原因，采购代理机构和采购人可主动地或在解答潜在供应商提出的澄清问题时对</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进行修改。</w:t>
      </w:r>
    </w:p>
    <w:p w14:paraId="649ACC4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2.4.3 </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的修改部分是</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的组成部分对供应商具有约束力。</w:t>
      </w:r>
    </w:p>
    <w:p w14:paraId="4E6239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2.4.4 为使供应商准备</w:t>
      </w:r>
      <w:r>
        <w:rPr>
          <w:rFonts w:hint="eastAsia" w:ascii="仿宋" w:hAnsi="仿宋" w:eastAsia="仿宋" w:cs="仿宋"/>
          <w:color w:val="auto"/>
          <w:kern w:val="0"/>
          <w:sz w:val="24"/>
          <w:szCs w:val="24"/>
          <w:highlight w:val="none"/>
          <w:shd w:val="clear" w:color="auto" w:fill="FFFFFF" w:themeFill="background1"/>
          <w:lang w:val="en-US" w:eastAsia="zh-CN"/>
        </w:rPr>
        <w:t>响应文件</w:t>
      </w:r>
      <w:r>
        <w:rPr>
          <w:rFonts w:hint="eastAsia" w:ascii="仿宋" w:hAnsi="仿宋" w:eastAsia="仿宋" w:cs="仿宋"/>
          <w:color w:val="auto"/>
          <w:kern w:val="0"/>
          <w:sz w:val="24"/>
          <w:szCs w:val="24"/>
          <w:highlight w:val="none"/>
          <w:shd w:val="clear" w:color="auto" w:fill="FFFFFF" w:themeFill="background1"/>
        </w:rPr>
        <w:t>时有充分时间对</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的修改部分进行研究，采购人可适当推迟</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截止期。</w:t>
      </w:r>
    </w:p>
    <w:p w14:paraId="0437053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2.4.5 当采购人发放的</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及</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的答疑文件、修改文件、补充文件前后不一致，发生矛盾情况时，以最后发出的为准。</w:t>
      </w:r>
    </w:p>
    <w:p w14:paraId="4F94BE4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2.4.6 如果</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过程中未能发现并对有关歧义、矛盾或错误提出澄清请求，而在成交后发现并提出，成交供应商将必须接受由采购人依据合同有关条款而做出的书面澄清。</w:t>
      </w:r>
    </w:p>
    <w:p w14:paraId="65147E7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lang w:val="en-US" w:eastAsia="zh-CN"/>
        </w:rPr>
        <w:t>2.5由于本项目采用电子招标方式，潜在供应商的名单将在提交响应文件截止时间后才会解密。因此，采购人或采购代理机构无法通过传统的传真或邮件方式，将招标文件的澄清或修改内容逐一通知到每位已获取招标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74C248F9">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rPr>
      </w:pPr>
      <w:bookmarkStart w:id="12" w:name="_BookMark_6"/>
      <w:bookmarkEnd w:id="12"/>
      <w:bookmarkStart w:id="13" w:name="_Toc994"/>
      <w:r>
        <w:rPr>
          <w:rFonts w:hint="eastAsia" w:ascii="仿宋" w:hAnsi="仿宋" w:eastAsia="仿宋" w:cs="仿宋"/>
          <w:b/>
          <w:color w:val="auto"/>
          <w:sz w:val="24"/>
          <w:szCs w:val="24"/>
          <w:highlight w:val="none"/>
          <w:shd w:val="clear" w:color="auto" w:fill="FFFFFF" w:themeFill="background1"/>
        </w:rPr>
        <w:t>三、响应文件</w:t>
      </w:r>
      <w:bookmarkEnd w:id="13"/>
    </w:p>
    <w:p w14:paraId="02806DC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3.1 响应文件的组成</w:t>
      </w:r>
    </w:p>
    <w:p w14:paraId="18CD37A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3.1.1响应文件应包括下列内容：</w:t>
      </w:r>
    </w:p>
    <w:p w14:paraId="4BD70EF4">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、开</w:t>
      </w:r>
      <w:r>
        <w:rPr>
          <w:rFonts w:hint="eastAsia" w:ascii="仿宋" w:hAnsi="仿宋" w:eastAsia="仿宋" w:cs="仿宋"/>
          <w:color w:val="auto"/>
          <w:kern w:val="0"/>
          <w:sz w:val="24"/>
          <w:szCs w:val="24"/>
          <w:highlight w:val="none"/>
          <w:shd w:val="clear" w:color="auto" w:fill="FFFFFF" w:themeFill="background1"/>
          <w:lang w:val="en-US" w:eastAsia="zh-CN"/>
        </w:rPr>
        <w:t>启</w:t>
      </w:r>
      <w:r>
        <w:rPr>
          <w:rFonts w:hint="eastAsia" w:ascii="仿宋" w:hAnsi="仿宋" w:eastAsia="仿宋" w:cs="仿宋"/>
          <w:color w:val="auto"/>
          <w:kern w:val="0"/>
          <w:sz w:val="24"/>
          <w:szCs w:val="24"/>
          <w:highlight w:val="none"/>
          <w:shd w:val="clear" w:color="auto" w:fill="FFFFFF" w:themeFill="background1"/>
        </w:rPr>
        <w:t>一览表</w:t>
      </w:r>
    </w:p>
    <w:p w14:paraId="7B778488">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、响应函</w:t>
      </w:r>
    </w:p>
    <w:p w14:paraId="7050342F">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shd w:val="clear" w:color="auto" w:fill="FFFFFF" w:themeFill="background1"/>
        </w:rPr>
        <w:t>价格明细表</w:t>
      </w:r>
    </w:p>
    <w:p w14:paraId="6B55EA1B">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商务条款偏离表</w:t>
      </w:r>
    </w:p>
    <w:p w14:paraId="57DEFD6D">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技术条款偏离表</w:t>
      </w:r>
    </w:p>
    <w:p w14:paraId="64103B9E">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法定代表人身份证明书</w:t>
      </w:r>
    </w:p>
    <w:p w14:paraId="6B245D90">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法定代表人授权委托书</w:t>
      </w:r>
    </w:p>
    <w:p w14:paraId="0E479437">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、供应商</w:t>
      </w:r>
      <w:r>
        <w:rPr>
          <w:rFonts w:hint="eastAsia" w:ascii="仿宋" w:hAnsi="仿宋" w:eastAsia="仿宋" w:cs="仿宋"/>
          <w:color w:val="auto"/>
          <w:kern w:val="0"/>
          <w:sz w:val="24"/>
          <w:szCs w:val="24"/>
          <w:highlight w:val="none"/>
          <w:shd w:val="clear" w:color="auto" w:fill="FFFFFF" w:themeFill="background1"/>
        </w:rPr>
        <w:t>资格条件证明材料</w:t>
      </w:r>
    </w:p>
    <w:p w14:paraId="3E53CF5B">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、供应商</w:t>
      </w:r>
      <w:r>
        <w:rPr>
          <w:rFonts w:hint="eastAsia" w:ascii="仿宋" w:hAnsi="仿宋" w:eastAsia="仿宋" w:cs="仿宋"/>
          <w:color w:val="auto"/>
          <w:kern w:val="0"/>
          <w:sz w:val="24"/>
          <w:szCs w:val="24"/>
          <w:highlight w:val="none"/>
          <w:shd w:val="clear" w:color="auto" w:fill="FFFFFF" w:themeFill="background1"/>
        </w:rPr>
        <w:t>近年类似项目情况表</w:t>
      </w:r>
    </w:p>
    <w:p w14:paraId="7D0BA9FE">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项目负责人简历表</w:t>
      </w:r>
    </w:p>
    <w:p w14:paraId="7290DAB8">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拟派主要服务人员情况表</w:t>
      </w:r>
    </w:p>
    <w:p w14:paraId="5E10021E">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服务方案</w:t>
      </w:r>
    </w:p>
    <w:p w14:paraId="07E4798F">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保证金缴纳证明材料</w:t>
      </w:r>
    </w:p>
    <w:p w14:paraId="564FEC66">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其它需要提交的资料</w:t>
      </w:r>
    </w:p>
    <w:p w14:paraId="7FB3615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lang w:eastAsia="zh-CN"/>
        </w:rPr>
      </w:pPr>
      <w:r>
        <w:rPr>
          <w:rFonts w:hint="eastAsia" w:ascii="仿宋" w:hAnsi="仿宋" w:eastAsia="仿宋" w:cs="仿宋"/>
          <w:color w:val="auto"/>
          <w:kern w:val="0"/>
          <w:sz w:val="24"/>
          <w:szCs w:val="24"/>
          <w:highlight w:val="none"/>
          <w:shd w:val="clear" w:color="auto" w:fill="FFFFFF" w:themeFill="background1"/>
        </w:rPr>
        <w:t xml:space="preserve">3.2 </w:t>
      </w:r>
      <w:r>
        <w:rPr>
          <w:rFonts w:hint="eastAsia" w:ascii="仿宋" w:hAnsi="仿宋" w:eastAsia="仿宋" w:cs="仿宋"/>
          <w:color w:val="auto"/>
          <w:kern w:val="0"/>
          <w:sz w:val="24"/>
          <w:szCs w:val="24"/>
          <w:highlight w:val="none"/>
          <w:shd w:val="clear" w:color="auto" w:fill="FFFFFF" w:themeFill="background1"/>
          <w:lang w:eastAsia="zh-CN"/>
        </w:rPr>
        <w:t>响应价格</w:t>
      </w:r>
    </w:p>
    <w:p w14:paraId="7F2576E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3.2.1 供应商应当按第四章“</w:t>
      </w:r>
      <w:r>
        <w:rPr>
          <w:rFonts w:hint="eastAsia" w:ascii="仿宋" w:hAnsi="仿宋" w:eastAsia="仿宋" w:cs="仿宋"/>
          <w:color w:val="auto"/>
          <w:kern w:val="0"/>
          <w:sz w:val="24"/>
          <w:szCs w:val="24"/>
          <w:highlight w:val="none"/>
          <w:shd w:val="clear" w:color="auto" w:fill="FFFFFF" w:themeFill="background1"/>
          <w:lang w:eastAsia="zh-CN"/>
        </w:rPr>
        <w:t>服务标准和要求</w:t>
      </w:r>
      <w:r>
        <w:rPr>
          <w:rFonts w:hint="eastAsia" w:ascii="仿宋" w:hAnsi="仿宋" w:eastAsia="仿宋" w:cs="仿宋"/>
          <w:color w:val="auto"/>
          <w:kern w:val="0"/>
          <w:sz w:val="24"/>
          <w:szCs w:val="24"/>
          <w:highlight w:val="none"/>
          <w:shd w:val="clear" w:color="auto" w:fill="FFFFFF" w:themeFill="background1"/>
        </w:rPr>
        <w:t>”的规定进行报价，并填写第五章“响应文件格式”中的</w:t>
      </w:r>
      <w:r>
        <w:rPr>
          <w:rFonts w:hint="eastAsia" w:ascii="仿宋" w:hAnsi="仿宋" w:eastAsia="仿宋" w:cs="仿宋"/>
          <w:color w:val="auto"/>
          <w:kern w:val="0"/>
          <w:sz w:val="24"/>
          <w:szCs w:val="24"/>
          <w:highlight w:val="none"/>
          <w:shd w:val="clear" w:color="auto" w:fill="FFFFFF" w:themeFill="background1"/>
          <w:lang w:eastAsia="zh-CN"/>
        </w:rPr>
        <w:t>响应价格</w:t>
      </w:r>
      <w:r>
        <w:rPr>
          <w:rFonts w:hint="eastAsia" w:ascii="仿宋" w:hAnsi="仿宋" w:eastAsia="仿宋" w:cs="仿宋"/>
          <w:color w:val="auto"/>
          <w:kern w:val="0"/>
          <w:sz w:val="24"/>
          <w:szCs w:val="24"/>
          <w:highlight w:val="none"/>
          <w:shd w:val="clear" w:color="auto" w:fill="FFFFFF" w:themeFill="background1"/>
        </w:rPr>
        <w:t>明细表。</w:t>
      </w:r>
    </w:p>
    <w:p w14:paraId="76C1317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3.2.2本次磋商采用二轮报价法，第二轮报价时长由磋商小组成员根据现场情况设定，供应商必须在规定时间内报价，超时无效；若供应商未进行第二轮报价，视为放弃响应资格；其响应无效；不在参与后续评审。</w:t>
      </w:r>
    </w:p>
    <w:p w14:paraId="53FEA6B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3.2.3供应商递交的响应文件中的报价为第一轮报价，第一轮报价与第二轮报价超出本项目</w:t>
      </w:r>
      <w:r>
        <w:rPr>
          <w:rFonts w:hint="eastAsia" w:ascii="仿宋" w:hAnsi="仿宋" w:eastAsia="仿宋" w:cs="仿宋"/>
          <w:color w:val="auto"/>
          <w:kern w:val="0"/>
          <w:sz w:val="24"/>
          <w:szCs w:val="24"/>
          <w:highlight w:val="none"/>
          <w:shd w:val="clear" w:color="auto" w:fill="FFFFFF" w:themeFill="background1"/>
          <w:lang w:eastAsia="zh-CN"/>
        </w:rPr>
        <w:t>最高限价</w:t>
      </w:r>
      <w:r>
        <w:rPr>
          <w:rFonts w:hint="eastAsia" w:ascii="仿宋" w:hAnsi="仿宋" w:eastAsia="仿宋" w:cs="仿宋"/>
          <w:color w:val="auto"/>
          <w:kern w:val="0"/>
          <w:sz w:val="24"/>
          <w:szCs w:val="24"/>
          <w:highlight w:val="none"/>
          <w:shd w:val="clear" w:color="auto" w:fill="FFFFFF" w:themeFill="background1"/>
        </w:rPr>
        <w:t>的视为无效磋商。</w:t>
      </w:r>
    </w:p>
    <w:p w14:paraId="6EEB78B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3.2.4供应商提供的服务一律用人民币报价。</w:t>
      </w:r>
    </w:p>
    <w:p w14:paraId="3422AD3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3.2.5供应商的服务只允许有一个报价，采购人不接受有任何选择的报价。</w:t>
      </w:r>
      <w:r>
        <w:rPr>
          <w:rFonts w:hint="eastAsia" w:ascii="仿宋" w:hAnsi="仿宋" w:eastAsia="仿宋" w:cs="仿宋"/>
          <w:color w:val="auto"/>
          <w:kern w:val="0"/>
          <w:sz w:val="24"/>
          <w:szCs w:val="24"/>
          <w:highlight w:val="none"/>
          <w:shd w:val="clear" w:color="auto" w:fill="FFFFFF" w:themeFill="background1"/>
          <w:lang w:eastAsia="zh-CN"/>
        </w:rPr>
        <w:t>响应价格</w:t>
      </w:r>
      <w:r>
        <w:rPr>
          <w:rFonts w:hint="eastAsia" w:ascii="仿宋" w:hAnsi="仿宋" w:eastAsia="仿宋" w:cs="仿宋"/>
          <w:color w:val="auto"/>
          <w:kern w:val="0"/>
          <w:sz w:val="24"/>
          <w:szCs w:val="24"/>
          <w:highlight w:val="none"/>
          <w:shd w:val="clear" w:color="auto" w:fill="FFFFFF" w:themeFill="background1"/>
        </w:rPr>
        <w:t>应包括供应商履行本项目合同（如果成交）所必须的所有成本费用和成交供应商应承担的一切费用，包括但不仅限于必要资料、交通、保险、人工费、税费等一切费用。未列和没有填写的项目费用，采购人将视为已包括在</w:t>
      </w:r>
      <w:r>
        <w:rPr>
          <w:rFonts w:hint="eastAsia" w:ascii="仿宋" w:hAnsi="仿宋" w:eastAsia="仿宋" w:cs="仿宋"/>
          <w:color w:val="auto"/>
          <w:kern w:val="0"/>
          <w:sz w:val="24"/>
          <w:szCs w:val="24"/>
          <w:highlight w:val="none"/>
          <w:shd w:val="clear" w:color="auto" w:fill="FFFFFF" w:themeFill="background1"/>
          <w:lang w:eastAsia="zh-CN"/>
        </w:rPr>
        <w:t>响应价格</w:t>
      </w:r>
      <w:r>
        <w:rPr>
          <w:rFonts w:hint="eastAsia" w:ascii="仿宋" w:hAnsi="仿宋" w:eastAsia="仿宋" w:cs="仿宋"/>
          <w:color w:val="auto"/>
          <w:kern w:val="0"/>
          <w:sz w:val="24"/>
          <w:szCs w:val="24"/>
          <w:highlight w:val="none"/>
          <w:shd w:val="clear" w:color="auto" w:fill="FFFFFF" w:themeFill="background1"/>
        </w:rPr>
        <w:t>中。</w:t>
      </w:r>
    </w:p>
    <w:p w14:paraId="6059DB5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3.3 响应有效期</w:t>
      </w:r>
    </w:p>
    <w:p w14:paraId="1A032F3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3.3.1 在供应商须知前附表规定的响应有效期内，供应商不得要求撤销或修改其响应文件。</w:t>
      </w:r>
    </w:p>
    <w:p w14:paraId="271DF5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3.3.2 出现特殊情况需要延长响应有效期的，采购人将通知所有供应商延长响应有效期。供应商同意延长的，应当相应延长其</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的有效期，但不得要求或被允许修改或撤销其响应文件；供应商拒绝延长的，其</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失效，但供应商有权收回其</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 xml:space="preserve">。 </w:t>
      </w:r>
    </w:p>
    <w:p w14:paraId="1C4C24C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lang w:eastAsia="zh-CN"/>
        </w:rPr>
      </w:pPr>
      <w:r>
        <w:rPr>
          <w:rFonts w:hint="eastAsia" w:ascii="仿宋" w:hAnsi="仿宋" w:eastAsia="仿宋" w:cs="仿宋"/>
          <w:color w:val="auto"/>
          <w:kern w:val="0"/>
          <w:sz w:val="24"/>
          <w:szCs w:val="24"/>
          <w:highlight w:val="none"/>
          <w:shd w:val="clear" w:color="auto" w:fill="FFFFFF" w:themeFill="background1"/>
        </w:rPr>
        <w:t xml:space="preserve">3.4 </w:t>
      </w:r>
      <w:r>
        <w:rPr>
          <w:rFonts w:hint="eastAsia" w:ascii="仿宋" w:hAnsi="仿宋" w:eastAsia="仿宋" w:cs="仿宋"/>
          <w:color w:val="auto"/>
          <w:kern w:val="0"/>
          <w:sz w:val="24"/>
          <w:szCs w:val="24"/>
          <w:highlight w:val="none"/>
          <w:shd w:val="clear" w:color="auto" w:fill="FFFFFF" w:themeFill="background1"/>
          <w:lang w:eastAsia="zh-CN"/>
        </w:rPr>
        <w:t>响应保证金</w:t>
      </w:r>
    </w:p>
    <w:p w14:paraId="28B7C30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3.4.1 供应商应于响应文件递交截止时间前按供应商须知前附表规定数额提交</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。未提交</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的，将被视为非响应性</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而予以拒绝。联合体磋商</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的，其</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由牵头人递交，并应符合供应商须知前附表的规定。</w:t>
      </w:r>
    </w:p>
    <w:p w14:paraId="4ABB288A">
      <w:pPr>
        <w:widowControl/>
        <w:shd w:val="clear" w:color="auto" w:fill="FFFFFF"/>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3.4.2</w:t>
      </w:r>
      <w:r>
        <w:rPr>
          <w:rFonts w:hint="eastAsia" w:ascii="仿宋" w:hAnsi="仿宋" w:eastAsia="仿宋" w:cs="仿宋"/>
          <w:color w:val="auto"/>
          <w:sz w:val="24"/>
          <w:szCs w:val="24"/>
          <w:highlight w:val="none"/>
          <w:shd w:val="clear" w:color="auto" w:fill="FFFFFF" w:themeFill="background1"/>
          <w:lang w:eastAsia="zh-CN"/>
        </w:rPr>
        <w:t>响应保证金</w:t>
      </w:r>
      <w:r>
        <w:rPr>
          <w:rFonts w:hint="eastAsia" w:ascii="仿宋" w:hAnsi="仿宋" w:eastAsia="仿宋" w:cs="仿宋"/>
          <w:color w:val="auto"/>
          <w:sz w:val="24"/>
          <w:szCs w:val="24"/>
          <w:highlight w:val="none"/>
          <w:shd w:val="clear" w:color="auto" w:fill="FFFFFF" w:themeFill="background1"/>
        </w:rPr>
        <w:t>以支票、汇票、本票或者金融机构、担保机构出具的保函等非现金形式提交至采购代理机构。</w:t>
      </w:r>
    </w:p>
    <w:p w14:paraId="1818A5D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3.4.3 </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是为了保护采购人免遭因供应商的行为而蒙受损失。采购人在因供应商的行为受到损害时可根据相关法律规定没收供应商的</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w:t>
      </w:r>
    </w:p>
    <w:p w14:paraId="135BEF7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3.4.4 采购人或者采购代理机构应当自成交通知书发出之日起5个工作日内退还未成交供应商的</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，自采购合同签订之日起5个工作日内退还成交供应商的</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w:t>
      </w:r>
    </w:p>
    <w:p w14:paraId="41F4F54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3.4.5</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有效期与响应有效期一致。</w:t>
      </w:r>
    </w:p>
    <w:p w14:paraId="7F5911F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3.4.6有下列情形之一的，</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不予退还：</w:t>
      </w:r>
    </w:p>
    <w:p w14:paraId="6D70373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（1）供应商在规定的响应有效期内撤销或修改其响应文件的；</w:t>
      </w:r>
    </w:p>
    <w:p w14:paraId="1BF604D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（2）成交供应商在收到成交通知书后，无正当理由拒签合同协议书或在签订合同时提出附加条件或者更改合同实质性内容的；</w:t>
      </w:r>
    </w:p>
    <w:p w14:paraId="0EB551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（3）未按</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规定提交履约保证金的。</w:t>
      </w:r>
    </w:p>
    <w:p w14:paraId="34007DD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bookmarkStart w:id="14" w:name="_BookMark_7"/>
      <w:bookmarkEnd w:id="14"/>
      <w:bookmarkStart w:id="15" w:name="_Toc139809021"/>
      <w:bookmarkStart w:id="16" w:name="_Toc10597"/>
      <w:r>
        <w:rPr>
          <w:rFonts w:hint="eastAsia" w:ascii="仿宋" w:hAnsi="仿宋" w:eastAsia="仿宋" w:cs="仿宋"/>
          <w:color w:val="auto"/>
          <w:kern w:val="0"/>
          <w:sz w:val="24"/>
          <w:szCs w:val="24"/>
          <w:highlight w:val="none"/>
          <w:shd w:val="clear" w:color="auto" w:fill="FFFFFF" w:themeFill="background1"/>
        </w:rPr>
        <w:t>3.5 响应文件的编制</w:t>
      </w:r>
    </w:p>
    <w:p w14:paraId="1A53ACF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3.5.1响应文件应按第五章“响应文件格式”进行编写，如有必要，可以增加附页，作为响应文件的组成部分。</w:t>
      </w:r>
    </w:p>
    <w:p w14:paraId="710EDD0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3.5.2响应文件应当对</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有关采购范围、技术与服务要求等实质性内容做出响应。</w:t>
      </w:r>
    </w:p>
    <w:p w14:paraId="597172E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3.5.3电子响应文件使用政采云平台响应文件制作工具以及</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要求进行制作编制。响应文件制作时，按照</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中明确的响应文件目录和格式进行编制，保证目录清晰、内容完整。</w:t>
      </w:r>
    </w:p>
    <w:p w14:paraId="5016831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w:t>
      </w:r>
      <w:r>
        <w:rPr>
          <w:rFonts w:hint="eastAsia" w:ascii="仿宋" w:hAnsi="仿宋" w:eastAsia="仿宋" w:cs="仿宋"/>
          <w:color w:val="auto"/>
          <w:kern w:val="0"/>
          <w:sz w:val="24"/>
          <w:szCs w:val="24"/>
          <w:highlight w:val="none"/>
          <w:shd w:val="clear" w:color="auto" w:fill="FFFFFF" w:themeFill="background1"/>
          <w:lang w:val="en-US" w:eastAsia="zh-CN"/>
        </w:rPr>
        <w:t>4</w:t>
      </w:r>
      <w:r>
        <w:rPr>
          <w:rFonts w:hint="eastAsia" w:ascii="仿宋" w:hAnsi="仿宋" w:eastAsia="仿宋" w:cs="仿宋"/>
          <w:color w:val="auto"/>
          <w:kern w:val="0"/>
          <w:sz w:val="24"/>
          <w:szCs w:val="24"/>
          <w:highlight w:val="none"/>
          <w:shd w:val="clear" w:color="auto" w:fill="FFFFFF" w:themeFill="background1"/>
        </w:rPr>
        <w:t>电子招</w:t>
      </w:r>
      <w:r>
        <w:rPr>
          <w:rFonts w:hint="eastAsia" w:ascii="仿宋" w:hAnsi="仿宋" w:eastAsia="仿宋" w:cs="仿宋"/>
          <w:color w:val="auto"/>
          <w:kern w:val="0"/>
          <w:sz w:val="24"/>
          <w:szCs w:val="24"/>
          <w:highlight w:val="none"/>
          <w:shd w:val="clear" w:color="auto" w:fill="FFFFFF" w:themeFill="background1"/>
          <w:lang w:eastAsia="zh-CN"/>
        </w:rPr>
        <w:t>响应文件</w:t>
      </w:r>
      <w:r>
        <w:rPr>
          <w:rFonts w:hint="eastAsia" w:ascii="仿宋" w:hAnsi="仿宋" w:eastAsia="仿宋" w:cs="仿宋"/>
          <w:color w:val="auto"/>
          <w:kern w:val="0"/>
          <w:sz w:val="24"/>
          <w:szCs w:val="24"/>
          <w:highlight w:val="none"/>
          <w:shd w:val="clear" w:color="auto" w:fill="FFFFFF" w:themeFill="background1"/>
        </w:rPr>
        <w:t>具有法律效力，与其他形式的招</w:t>
      </w:r>
      <w:r>
        <w:rPr>
          <w:rFonts w:hint="eastAsia" w:ascii="仿宋" w:hAnsi="仿宋" w:eastAsia="仿宋" w:cs="仿宋"/>
          <w:color w:val="auto"/>
          <w:kern w:val="0"/>
          <w:sz w:val="24"/>
          <w:szCs w:val="24"/>
          <w:highlight w:val="none"/>
          <w:shd w:val="clear" w:color="auto" w:fill="FFFFFF" w:themeFill="background1"/>
          <w:lang w:eastAsia="zh-CN"/>
        </w:rPr>
        <w:t>响应文件</w:t>
      </w:r>
      <w:r>
        <w:rPr>
          <w:rFonts w:hint="eastAsia" w:ascii="仿宋" w:hAnsi="仿宋" w:eastAsia="仿宋" w:cs="仿宋"/>
          <w:color w:val="auto"/>
          <w:kern w:val="0"/>
          <w:sz w:val="24"/>
          <w:szCs w:val="24"/>
          <w:highlight w:val="none"/>
          <w:shd w:val="clear" w:color="auto" w:fill="FFFFFF" w:themeFill="background1"/>
        </w:rPr>
        <w:t>在内容和格式上等同，若</w:t>
      </w:r>
      <w:r>
        <w:rPr>
          <w:rFonts w:hint="eastAsia" w:ascii="仿宋" w:hAnsi="仿宋" w:eastAsia="仿宋" w:cs="仿宋"/>
          <w:color w:val="auto"/>
          <w:kern w:val="0"/>
          <w:sz w:val="24"/>
          <w:szCs w:val="24"/>
          <w:highlight w:val="none"/>
          <w:shd w:val="clear" w:color="auto" w:fill="FFFFFF" w:themeFill="background1"/>
          <w:lang w:eastAsia="zh-CN"/>
        </w:rPr>
        <w:t>响应文件</w:t>
      </w:r>
      <w:r>
        <w:rPr>
          <w:rFonts w:hint="eastAsia" w:ascii="仿宋" w:hAnsi="仿宋" w:eastAsia="仿宋" w:cs="仿宋"/>
          <w:color w:val="auto"/>
          <w:kern w:val="0"/>
          <w:sz w:val="24"/>
          <w:szCs w:val="24"/>
          <w:highlight w:val="none"/>
          <w:shd w:val="clear" w:color="auto" w:fill="FFFFFF" w:themeFill="background1"/>
        </w:rPr>
        <w:t>与招标文件要求不一致，其内容影响成交结果时，责任由</w:t>
      </w:r>
      <w:r>
        <w:rPr>
          <w:rFonts w:hint="eastAsia" w:ascii="仿宋" w:hAnsi="仿宋" w:eastAsia="仿宋" w:cs="仿宋"/>
          <w:color w:val="auto"/>
          <w:kern w:val="0"/>
          <w:sz w:val="24"/>
          <w:szCs w:val="24"/>
          <w:highlight w:val="none"/>
          <w:shd w:val="clear" w:color="auto" w:fill="FFFFFF" w:themeFill="background1"/>
          <w:lang w:eastAsia="zh-CN"/>
        </w:rPr>
        <w:t>供应商</w:t>
      </w:r>
      <w:r>
        <w:rPr>
          <w:rFonts w:hint="eastAsia" w:ascii="仿宋" w:hAnsi="仿宋" w:eastAsia="仿宋" w:cs="仿宋"/>
          <w:color w:val="auto"/>
          <w:kern w:val="0"/>
          <w:sz w:val="24"/>
          <w:szCs w:val="24"/>
          <w:highlight w:val="none"/>
          <w:shd w:val="clear" w:color="auto" w:fill="FFFFFF" w:themeFill="background1"/>
        </w:rPr>
        <w:t>自行承担。</w:t>
      </w:r>
      <w:r>
        <w:rPr>
          <w:rFonts w:hint="eastAsia" w:ascii="仿宋" w:hAnsi="仿宋" w:eastAsia="仿宋" w:cs="仿宋"/>
          <w:color w:val="auto"/>
          <w:kern w:val="0"/>
          <w:sz w:val="24"/>
          <w:szCs w:val="24"/>
          <w:highlight w:val="none"/>
          <w:shd w:val="clear" w:color="auto" w:fill="FFFFFF" w:themeFill="background1"/>
          <w:lang w:eastAsia="zh-CN"/>
        </w:rPr>
        <w:t>供应商</w:t>
      </w:r>
      <w:r>
        <w:rPr>
          <w:rFonts w:hint="eastAsia" w:ascii="仿宋" w:hAnsi="仿宋" w:eastAsia="仿宋" w:cs="仿宋"/>
          <w:color w:val="auto"/>
          <w:kern w:val="0"/>
          <w:sz w:val="24"/>
          <w:szCs w:val="24"/>
          <w:highlight w:val="none"/>
          <w:shd w:val="clear" w:color="auto" w:fill="FFFFFF" w:themeFill="background1"/>
        </w:rPr>
        <w:t>递交的电子</w:t>
      </w:r>
      <w:r>
        <w:rPr>
          <w:rFonts w:hint="eastAsia" w:ascii="仿宋" w:hAnsi="仿宋" w:eastAsia="仿宋" w:cs="仿宋"/>
          <w:color w:val="auto"/>
          <w:kern w:val="0"/>
          <w:sz w:val="24"/>
          <w:szCs w:val="24"/>
          <w:highlight w:val="none"/>
          <w:shd w:val="clear" w:color="auto" w:fill="FFFFFF" w:themeFill="background1"/>
          <w:lang w:eastAsia="zh-CN"/>
        </w:rPr>
        <w:t>响应文件</w:t>
      </w:r>
      <w:r>
        <w:rPr>
          <w:rFonts w:hint="eastAsia" w:ascii="仿宋" w:hAnsi="仿宋" w:eastAsia="仿宋" w:cs="仿宋"/>
          <w:color w:val="auto"/>
          <w:kern w:val="0"/>
          <w:sz w:val="24"/>
          <w:szCs w:val="24"/>
          <w:highlight w:val="none"/>
          <w:shd w:val="clear" w:color="auto" w:fill="FFFFFF" w:themeFill="background1"/>
        </w:rPr>
        <w:t>因</w:t>
      </w:r>
      <w:r>
        <w:rPr>
          <w:rFonts w:hint="eastAsia" w:ascii="仿宋" w:hAnsi="仿宋" w:eastAsia="仿宋" w:cs="仿宋"/>
          <w:color w:val="auto"/>
          <w:kern w:val="0"/>
          <w:sz w:val="24"/>
          <w:szCs w:val="24"/>
          <w:highlight w:val="none"/>
          <w:shd w:val="clear" w:color="auto" w:fill="FFFFFF" w:themeFill="background1"/>
          <w:lang w:eastAsia="zh-CN"/>
        </w:rPr>
        <w:t>供应商</w:t>
      </w:r>
      <w:r>
        <w:rPr>
          <w:rFonts w:hint="eastAsia" w:ascii="仿宋" w:hAnsi="仿宋" w:eastAsia="仿宋" w:cs="仿宋"/>
          <w:color w:val="auto"/>
          <w:kern w:val="0"/>
          <w:sz w:val="24"/>
          <w:szCs w:val="24"/>
          <w:highlight w:val="none"/>
          <w:shd w:val="clear" w:color="auto" w:fill="FFFFFF" w:themeFill="background1"/>
        </w:rPr>
        <w:t>自身原因而导致无法导入电子辅助评标系统，该</w:t>
      </w:r>
      <w:r>
        <w:rPr>
          <w:rFonts w:hint="eastAsia" w:ascii="仿宋" w:hAnsi="仿宋" w:eastAsia="仿宋" w:cs="仿宋"/>
          <w:color w:val="auto"/>
          <w:kern w:val="0"/>
          <w:sz w:val="24"/>
          <w:szCs w:val="24"/>
          <w:highlight w:val="none"/>
          <w:shd w:val="clear" w:color="auto" w:fill="FFFFFF" w:themeFill="background1"/>
          <w:lang w:eastAsia="zh-CN"/>
        </w:rPr>
        <w:t>响应文件</w:t>
      </w:r>
      <w:r>
        <w:rPr>
          <w:rFonts w:hint="eastAsia" w:ascii="仿宋" w:hAnsi="仿宋" w:eastAsia="仿宋" w:cs="仿宋"/>
          <w:color w:val="auto"/>
          <w:kern w:val="0"/>
          <w:sz w:val="24"/>
          <w:szCs w:val="24"/>
          <w:highlight w:val="none"/>
          <w:shd w:val="clear" w:color="auto" w:fill="FFFFFF" w:themeFill="background1"/>
        </w:rPr>
        <w:t>视为无效</w:t>
      </w:r>
      <w:r>
        <w:rPr>
          <w:rFonts w:hint="eastAsia" w:ascii="仿宋" w:hAnsi="仿宋" w:eastAsia="仿宋" w:cs="仿宋"/>
          <w:color w:val="auto"/>
          <w:kern w:val="0"/>
          <w:sz w:val="24"/>
          <w:szCs w:val="24"/>
          <w:highlight w:val="none"/>
          <w:shd w:val="clear" w:color="auto" w:fill="FFFFFF" w:themeFill="background1"/>
          <w:lang w:eastAsia="zh-CN"/>
        </w:rPr>
        <w:t>响应文件</w:t>
      </w:r>
      <w:r>
        <w:rPr>
          <w:rFonts w:hint="eastAsia" w:ascii="仿宋" w:hAnsi="仿宋" w:eastAsia="仿宋" w:cs="仿宋"/>
          <w:color w:val="auto"/>
          <w:kern w:val="0"/>
          <w:sz w:val="24"/>
          <w:szCs w:val="24"/>
          <w:highlight w:val="none"/>
          <w:shd w:val="clear" w:color="auto" w:fill="FFFFFF" w:themeFill="background1"/>
        </w:rPr>
        <w:t>，将导致其投标被拒绝</w:t>
      </w:r>
      <w:r>
        <w:rPr>
          <w:rFonts w:hint="eastAsia" w:ascii="仿宋" w:hAnsi="仿宋" w:eastAsia="仿宋" w:cs="仿宋"/>
          <w:color w:val="auto"/>
          <w:sz w:val="24"/>
          <w:highlight w:val="none"/>
          <w:shd w:val="clear" w:color="auto" w:fill="FFFFFF" w:themeFill="background1"/>
        </w:rPr>
        <w:t>。</w:t>
      </w:r>
    </w:p>
    <w:p w14:paraId="5DEA7B46">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rPr>
      </w:pPr>
      <w:bookmarkStart w:id="17" w:name="_Toc2388"/>
      <w:r>
        <w:rPr>
          <w:rFonts w:hint="eastAsia" w:ascii="仿宋" w:hAnsi="仿宋" w:eastAsia="仿宋" w:cs="仿宋"/>
          <w:b/>
          <w:color w:val="auto"/>
          <w:sz w:val="24"/>
          <w:szCs w:val="24"/>
          <w:highlight w:val="none"/>
          <w:shd w:val="clear" w:color="auto" w:fill="FFFFFF" w:themeFill="background1"/>
        </w:rPr>
        <w:t>四、</w:t>
      </w:r>
      <w:bookmarkEnd w:id="15"/>
      <w:r>
        <w:rPr>
          <w:rFonts w:hint="eastAsia" w:ascii="仿宋" w:hAnsi="仿宋" w:eastAsia="仿宋" w:cs="仿宋"/>
          <w:b/>
          <w:color w:val="auto"/>
          <w:sz w:val="24"/>
          <w:szCs w:val="24"/>
          <w:highlight w:val="none"/>
          <w:shd w:val="clear" w:color="auto" w:fill="FFFFFF" w:themeFill="background1"/>
          <w:lang w:val="en-US" w:eastAsia="zh-CN"/>
        </w:rPr>
        <w:t>响应</w:t>
      </w:r>
      <w:bookmarkEnd w:id="17"/>
    </w:p>
    <w:p w14:paraId="1BC011B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4.1本次采购采用电子交易方式，电子交易平台为“政采云平台（https://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或</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 xml:space="preserve">失败等后果由供应商自行承担。 </w:t>
      </w:r>
    </w:p>
    <w:p w14:paraId="3C58DA8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14:paraId="5D6E7EC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4.3响应文件的递交</w:t>
      </w:r>
    </w:p>
    <w:p w14:paraId="322087E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4.3.1加密的电子响应文件应在响应文件递交截止时间前通过政采云平台上传完成。逾期上传或者未上传指定地点的响应文件，采购人不予受理。</w:t>
      </w:r>
    </w:p>
    <w:p w14:paraId="00AA30D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4.3.2采购人事先约定延长响应文件递交截止时间的，采购人与供应商以前的</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截止期方面的全部权利、责任和义务，将适用延长至新的</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截止期。</w:t>
      </w:r>
    </w:p>
    <w:p w14:paraId="74EC6CF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4.3.3供应商或其响应文件存在下列情形之一的，采购人对其响应文件不予受理：</w:t>
      </w:r>
    </w:p>
    <w:p w14:paraId="7759B1F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（1）逾期上传的响应文件；</w:t>
      </w:r>
    </w:p>
    <w:p w14:paraId="05D599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（2）未按本章第4.3.1款要求加密的响应文件。</w:t>
      </w:r>
    </w:p>
    <w:p w14:paraId="07384D9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bookmarkStart w:id="18" w:name="_BookMark_8"/>
      <w:bookmarkEnd w:id="18"/>
      <w:r>
        <w:rPr>
          <w:rFonts w:hint="eastAsia" w:ascii="仿宋" w:hAnsi="仿宋" w:eastAsia="仿宋" w:cs="仿宋"/>
          <w:color w:val="auto"/>
          <w:kern w:val="0"/>
          <w:sz w:val="24"/>
          <w:szCs w:val="24"/>
          <w:highlight w:val="none"/>
          <w:shd w:val="clear" w:color="auto" w:fill="FFFFFF" w:themeFill="background1"/>
        </w:rPr>
        <w:t>4.4响应文件的修改与撤回</w:t>
      </w:r>
    </w:p>
    <w:p w14:paraId="4AE5A228">
      <w:pPr>
        <w:widowControl/>
        <w:shd w:val="clear" w:color="auto" w:fill="FFFFFF"/>
        <w:snapToGrid w:val="0"/>
        <w:spacing w:line="360" w:lineRule="auto"/>
        <w:ind w:firstLine="480" w:firstLineChars="200"/>
        <w:rPr>
          <w:rFonts w:hint="eastAsia" w:ascii="仿宋" w:hAnsi="仿宋" w:eastAsia="仿宋" w:cs="仿宋"/>
          <w:color w:val="auto"/>
          <w:sz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4.4.1</w:t>
      </w:r>
      <w:r>
        <w:rPr>
          <w:rFonts w:hint="eastAsia" w:ascii="仿宋" w:hAnsi="仿宋" w:eastAsia="仿宋" w:cs="仿宋"/>
          <w:color w:val="auto"/>
          <w:sz w:val="24"/>
          <w:highlight w:val="none"/>
          <w:shd w:val="clear" w:color="auto" w:fill="FFFFFF" w:themeFill="background1"/>
        </w:rPr>
        <w:t>供应商应在供应商须知前附表中规定的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70A5F6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4.5响应文件格式</w:t>
      </w:r>
    </w:p>
    <w:p w14:paraId="069501A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4.5.1响应文件格式见第五章。</w:t>
      </w:r>
    </w:p>
    <w:p w14:paraId="240605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4.5.2供应商应使用本</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后面提供的响应文件格式填写，如不够用时，供应商可按同样格式自行编制和填补，如果本</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未提供格式的，供应商可自行编制。</w:t>
      </w:r>
    </w:p>
    <w:bookmarkEnd w:id="16"/>
    <w:p w14:paraId="1EBA0A7C">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lang w:eastAsia="zh-CN"/>
        </w:rPr>
      </w:pPr>
      <w:bookmarkStart w:id="19" w:name="_Toc16294"/>
      <w:r>
        <w:rPr>
          <w:rFonts w:hint="eastAsia" w:ascii="仿宋" w:hAnsi="仿宋" w:eastAsia="仿宋" w:cs="仿宋"/>
          <w:b/>
          <w:color w:val="auto"/>
          <w:sz w:val="24"/>
          <w:szCs w:val="24"/>
          <w:highlight w:val="none"/>
          <w:shd w:val="clear" w:color="auto" w:fill="FFFFFF" w:themeFill="background1"/>
        </w:rPr>
        <w:t>五、</w:t>
      </w:r>
      <w:r>
        <w:rPr>
          <w:rFonts w:hint="eastAsia" w:ascii="仿宋" w:hAnsi="仿宋" w:eastAsia="仿宋" w:cs="仿宋"/>
          <w:b/>
          <w:color w:val="auto"/>
          <w:sz w:val="24"/>
          <w:szCs w:val="24"/>
          <w:highlight w:val="none"/>
          <w:shd w:val="clear" w:color="auto" w:fill="FFFFFF" w:themeFill="background1"/>
          <w:lang w:eastAsia="zh-CN"/>
        </w:rPr>
        <w:t>开启</w:t>
      </w:r>
      <w:bookmarkEnd w:id="19"/>
    </w:p>
    <w:p w14:paraId="438F067B">
      <w:pPr>
        <w:spacing w:line="360" w:lineRule="auto"/>
        <w:ind w:firstLine="480" w:firstLineChars="200"/>
        <w:rPr>
          <w:rFonts w:hint="eastAsia" w:ascii="仿宋" w:hAnsi="仿宋" w:eastAsia="仿宋" w:cs="仿宋"/>
          <w:color w:val="auto"/>
          <w:sz w:val="24"/>
          <w:szCs w:val="28"/>
          <w:highlight w:val="none"/>
        </w:rPr>
      </w:pPr>
      <w:bookmarkStart w:id="20" w:name="_BookMark_9"/>
      <w:bookmarkEnd w:id="20"/>
      <w:r>
        <w:rPr>
          <w:rFonts w:hint="eastAsia" w:ascii="仿宋" w:hAnsi="仿宋" w:eastAsia="仿宋" w:cs="仿宋"/>
          <w:color w:val="auto"/>
          <w:sz w:val="24"/>
          <w:szCs w:val="28"/>
          <w:highlight w:val="none"/>
        </w:rPr>
        <w:t>5.1</w:t>
      </w:r>
      <w:r>
        <w:rPr>
          <w:rFonts w:hint="eastAsia" w:ascii="仿宋" w:hAnsi="仿宋" w:eastAsia="仿宋" w:cs="仿宋"/>
          <w:color w:val="auto"/>
          <w:sz w:val="24"/>
          <w:szCs w:val="28"/>
          <w:highlight w:val="none"/>
          <w:lang w:eastAsia="zh-CN"/>
        </w:rPr>
        <w:t>开启</w:t>
      </w:r>
      <w:r>
        <w:rPr>
          <w:rFonts w:hint="eastAsia" w:ascii="仿宋" w:hAnsi="仿宋" w:eastAsia="仿宋" w:cs="仿宋"/>
          <w:color w:val="auto"/>
          <w:sz w:val="24"/>
          <w:szCs w:val="28"/>
          <w:highlight w:val="none"/>
        </w:rPr>
        <w:t>时间和地点</w:t>
      </w:r>
    </w:p>
    <w:p w14:paraId="4CF2AC9A">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采购人在供应商须知前附表规定的时间、地点</w:t>
      </w:r>
      <w:r>
        <w:rPr>
          <w:rFonts w:hint="eastAsia" w:ascii="仿宋" w:hAnsi="仿宋" w:eastAsia="仿宋" w:cs="仿宋"/>
          <w:color w:val="auto"/>
          <w:sz w:val="24"/>
          <w:szCs w:val="28"/>
          <w:highlight w:val="none"/>
          <w:lang w:eastAsia="zh-CN"/>
        </w:rPr>
        <w:t>开启</w:t>
      </w:r>
      <w:r>
        <w:rPr>
          <w:rFonts w:hint="eastAsia" w:ascii="仿宋" w:hAnsi="仿宋" w:eastAsia="仿宋" w:cs="仿宋"/>
          <w:color w:val="auto"/>
          <w:sz w:val="24"/>
          <w:szCs w:val="28"/>
          <w:highlight w:val="none"/>
        </w:rPr>
        <w:t>，并邀请所有供应商的法定代表人或其授权委托人参加。</w:t>
      </w:r>
    </w:p>
    <w:p w14:paraId="544B3BEA">
      <w:pPr>
        <w:widowControl/>
        <w:shd w:val="clear" w:color="auto" w:fill="FFFFFF"/>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rPr>
        <w:t>5.2</w:t>
      </w:r>
      <w:r>
        <w:rPr>
          <w:rFonts w:hint="eastAsia" w:ascii="仿宋" w:hAnsi="仿宋" w:eastAsia="仿宋" w:cs="仿宋"/>
          <w:color w:val="auto"/>
          <w:sz w:val="24"/>
          <w:highlight w:val="none"/>
        </w:rPr>
        <w:t>各供应商应对本单位的加密的电子响应文件网上解密，采购代理机构工作人员在监督人员监督下开启所有响应文件。</w:t>
      </w:r>
    </w:p>
    <w:p w14:paraId="1AEEDFF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注：根据政府采购法及有关政策规定，竞争性磋商采购方式不能公开供应商的技术资料、价格和其他信息，因此对于上述内容不予唱标。</w:t>
      </w:r>
    </w:p>
    <w:p w14:paraId="49857E97">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rPr>
      </w:pPr>
      <w:bookmarkStart w:id="21" w:name="_Toc10172"/>
      <w:r>
        <w:rPr>
          <w:rFonts w:hint="eastAsia" w:ascii="仿宋" w:hAnsi="仿宋" w:eastAsia="仿宋" w:cs="仿宋"/>
          <w:b/>
          <w:color w:val="auto"/>
          <w:sz w:val="24"/>
          <w:szCs w:val="24"/>
          <w:highlight w:val="none"/>
          <w:shd w:val="clear" w:color="auto" w:fill="FFFFFF" w:themeFill="background1"/>
        </w:rPr>
        <w:t>六、评审</w:t>
      </w:r>
      <w:bookmarkEnd w:id="21"/>
    </w:p>
    <w:p w14:paraId="132403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6.1 磋商小组</w:t>
      </w:r>
    </w:p>
    <w:p w14:paraId="19E81AD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6.1.1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66C25AD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6.2 评审原则 </w:t>
      </w:r>
    </w:p>
    <w:p w14:paraId="667333A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评审活动遵循公平、公正、科学和择优的原则。</w:t>
      </w:r>
    </w:p>
    <w:p w14:paraId="67F82F8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6.3 评审</w:t>
      </w:r>
    </w:p>
    <w:p w14:paraId="431FB96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磋商小组按照</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中规定的方法、评审因素、标准和程序对响应文件进行评审。</w:t>
      </w:r>
    </w:p>
    <w:p w14:paraId="5FA1BFF8">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rPr>
      </w:pPr>
      <w:bookmarkStart w:id="22" w:name="_BookMark_10"/>
      <w:bookmarkEnd w:id="22"/>
      <w:bookmarkStart w:id="23" w:name="_Toc1096"/>
      <w:bookmarkStart w:id="24" w:name="_Toc113902767"/>
      <w:r>
        <w:rPr>
          <w:rFonts w:hint="eastAsia" w:ascii="仿宋" w:hAnsi="仿宋" w:eastAsia="仿宋" w:cs="仿宋"/>
          <w:b/>
          <w:color w:val="auto"/>
          <w:sz w:val="24"/>
          <w:szCs w:val="24"/>
          <w:highlight w:val="none"/>
          <w:shd w:val="clear" w:color="auto" w:fill="FFFFFF" w:themeFill="background1"/>
        </w:rPr>
        <w:t>七、定标及合同授予</w:t>
      </w:r>
      <w:bookmarkEnd w:id="23"/>
      <w:bookmarkEnd w:id="24"/>
    </w:p>
    <w:p w14:paraId="655145C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7.1 定标方法</w:t>
      </w:r>
    </w:p>
    <w:p w14:paraId="69420EA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 定标方法</w:t>
      </w:r>
    </w:p>
    <w:p w14:paraId="1257700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7.1.1 评标活动遵循公平、公正、科学和择优的原则。</w:t>
      </w:r>
      <w:r>
        <w:rPr>
          <w:rFonts w:hint="eastAsia" w:ascii="仿宋" w:hAnsi="仿宋" w:eastAsia="仿宋" w:cs="仿宋"/>
          <w:color w:val="auto"/>
          <w:kern w:val="0"/>
          <w:sz w:val="24"/>
          <w:szCs w:val="24"/>
          <w:highlight w:val="none"/>
          <w:lang w:eastAsia="zh-CN"/>
        </w:rPr>
        <w:t>磋商小组</w:t>
      </w:r>
      <w:r>
        <w:rPr>
          <w:rFonts w:hint="eastAsia" w:ascii="仿宋" w:hAnsi="仿宋" w:eastAsia="仿宋" w:cs="仿宋"/>
          <w:color w:val="auto"/>
          <w:kern w:val="0"/>
          <w:sz w:val="24"/>
          <w:szCs w:val="24"/>
          <w:highlight w:val="none"/>
        </w:rPr>
        <w:t>按照招标文件中规定的方法、评标因素、标准和程序对</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进行评标，并按</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须知前附表的规定向采购人推荐</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。采购人依据</w:t>
      </w:r>
      <w:r>
        <w:rPr>
          <w:rFonts w:hint="eastAsia" w:ascii="仿宋" w:hAnsi="仿宋" w:eastAsia="仿宋" w:cs="仿宋"/>
          <w:color w:val="auto"/>
          <w:kern w:val="0"/>
          <w:sz w:val="24"/>
          <w:szCs w:val="24"/>
          <w:highlight w:val="none"/>
          <w:lang w:eastAsia="zh-CN"/>
        </w:rPr>
        <w:t>磋商小组</w:t>
      </w:r>
      <w:r>
        <w:rPr>
          <w:rFonts w:hint="eastAsia" w:ascii="仿宋" w:hAnsi="仿宋" w:eastAsia="仿宋" w:cs="仿宋"/>
          <w:color w:val="auto"/>
          <w:kern w:val="0"/>
          <w:sz w:val="24"/>
          <w:szCs w:val="24"/>
          <w:highlight w:val="none"/>
        </w:rPr>
        <w:t>推荐的</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确定</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w:t>
      </w:r>
    </w:p>
    <w:p w14:paraId="49760A2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7.1.2采购人从</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中确定出</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的原则：采购人应当确定排名第一的</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为</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。排名第一的</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放弃</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、因不可抗力不能履行合同、拒绝与采购人签订合同，不按照招标文件要求提交履约保证金、或者被查实存在影响</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结果的违法行为等情形，不符合</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条件的，采购人可以按照</w:t>
      </w:r>
      <w:r>
        <w:rPr>
          <w:rFonts w:hint="eastAsia" w:ascii="仿宋" w:hAnsi="仿宋" w:eastAsia="仿宋" w:cs="仿宋"/>
          <w:color w:val="auto"/>
          <w:kern w:val="0"/>
          <w:sz w:val="24"/>
          <w:szCs w:val="24"/>
          <w:highlight w:val="none"/>
          <w:lang w:eastAsia="zh-CN"/>
        </w:rPr>
        <w:t>磋商小组</w:t>
      </w:r>
      <w:r>
        <w:rPr>
          <w:rFonts w:hint="eastAsia" w:ascii="仿宋" w:hAnsi="仿宋" w:eastAsia="仿宋" w:cs="仿宋"/>
          <w:color w:val="auto"/>
          <w:kern w:val="0"/>
          <w:sz w:val="24"/>
          <w:szCs w:val="24"/>
          <w:highlight w:val="none"/>
        </w:rPr>
        <w:t>推荐的</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名单排名依次确定其他</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为</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w:t>
      </w:r>
    </w:p>
    <w:p w14:paraId="0210AFB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7.2</w:t>
      </w:r>
      <w:r>
        <w:rPr>
          <w:rFonts w:hint="eastAsia" w:ascii="仿宋" w:hAnsi="仿宋" w:eastAsia="仿宋" w:cs="仿宋"/>
          <w:color w:val="auto"/>
          <w:kern w:val="0"/>
          <w:sz w:val="24"/>
          <w:szCs w:val="24"/>
          <w:highlight w:val="none"/>
          <w:shd w:val="clear" w:color="auto" w:fill="FFFFFF" w:themeFill="background1"/>
          <w:lang w:eastAsia="zh-CN"/>
        </w:rPr>
        <w:t>成交</w:t>
      </w:r>
      <w:r>
        <w:rPr>
          <w:rFonts w:hint="eastAsia" w:ascii="仿宋" w:hAnsi="仿宋" w:eastAsia="仿宋" w:cs="仿宋"/>
          <w:color w:val="auto"/>
          <w:kern w:val="0"/>
          <w:sz w:val="24"/>
          <w:szCs w:val="24"/>
          <w:highlight w:val="none"/>
          <w:shd w:val="clear" w:color="auto" w:fill="FFFFFF" w:themeFill="background1"/>
        </w:rPr>
        <w:t>结果公告</w:t>
      </w:r>
    </w:p>
    <w:p w14:paraId="2F37BF8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在公告</w:t>
      </w:r>
      <w:r>
        <w:rPr>
          <w:rFonts w:hint="eastAsia" w:ascii="仿宋" w:hAnsi="仿宋" w:eastAsia="仿宋" w:cs="仿宋"/>
          <w:color w:val="auto"/>
          <w:kern w:val="0"/>
          <w:sz w:val="24"/>
          <w:szCs w:val="24"/>
          <w:highlight w:val="none"/>
          <w:shd w:val="clear" w:color="auto" w:fill="FFFFFF" w:themeFill="background1"/>
          <w:lang w:eastAsia="zh-CN"/>
        </w:rPr>
        <w:t>成交</w:t>
      </w:r>
      <w:r>
        <w:rPr>
          <w:rFonts w:hint="eastAsia" w:ascii="仿宋" w:hAnsi="仿宋" w:eastAsia="仿宋" w:cs="仿宋"/>
          <w:color w:val="auto"/>
          <w:kern w:val="0"/>
          <w:sz w:val="24"/>
          <w:szCs w:val="24"/>
          <w:highlight w:val="none"/>
          <w:shd w:val="clear" w:color="auto" w:fill="FFFFFF" w:themeFill="background1"/>
        </w:rPr>
        <w:t>结果的同时，采购人或者采购代理机构向</w:t>
      </w:r>
      <w:r>
        <w:rPr>
          <w:rFonts w:hint="eastAsia" w:ascii="仿宋" w:hAnsi="仿宋" w:eastAsia="仿宋" w:cs="仿宋"/>
          <w:color w:val="auto"/>
          <w:kern w:val="0"/>
          <w:sz w:val="24"/>
          <w:szCs w:val="24"/>
          <w:highlight w:val="none"/>
          <w:shd w:val="clear" w:color="auto" w:fill="FFFFFF" w:themeFill="background1"/>
          <w:lang w:eastAsia="zh-CN"/>
        </w:rPr>
        <w:t>成交供应商</w:t>
      </w:r>
      <w:r>
        <w:rPr>
          <w:rFonts w:hint="eastAsia" w:ascii="仿宋" w:hAnsi="仿宋" w:eastAsia="仿宋" w:cs="仿宋"/>
          <w:color w:val="auto"/>
          <w:kern w:val="0"/>
          <w:sz w:val="24"/>
          <w:szCs w:val="24"/>
          <w:highlight w:val="none"/>
          <w:shd w:val="clear" w:color="auto" w:fill="FFFFFF" w:themeFill="background1"/>
        </w:rPr>
        <w:t>发出</w:t>
      </w:r>
      <w:r>
        <w:rPr>
          <w:rFonts w:hint="eastAsia" w:ascii="仿宋" w:hAnsi="仿宋" w:eastAsia="仿宋" w:cs="仿宋"/>
          <w:color w:val="auto"/>
          <w:kern w:val="0"/>
          <w:sz w:val="24"/>
          <w:szCs w:val="24"/>
          <w:highlight w:val="none"/>
          <w:shd w:val="clear" w:color="auto" w:fill="FFFFFF" w:themeFill="background1"/>
          <w:lang w:eastAsia="zh-CN"/>
        </w:rPr>
        <w:t>成交</w:t>
      </w:r>
      <w:r>
        <w:rPr>
          <w:rFonts w:hint="eastAsia" w:ascii="仿宋" w:hAnsi="仿宋" w:eastAsia="仿宋" w:cs="仿宋"/>
          <w:color w:val="auto"/>
          <w:kern w:val="0"/>
          <w:sz w:val="24"/>
          <w:szCs w:val="24"/>
          <w:highlight w:val="none"/>
          <w:shd w:val="clear" w:color="auto" w:fill="FFFFFF" w:themeFill="background1"/>
        </w:rPr>
        <w:t>通知书；对未通过资格审查的</w:t>
      </w:r>
      <w:r>
        <w:rPr>
          <w:rFonts w:hint="eastAsia" w:ascii="仿宋" w:hAnsi="仿宋" w:eastAsia="仿宋" w:cs="仿宋"/>
          <w:color w:val="auto"/>
          <w:kern w:val="0"/>
          <w:sz w:val="24"/>
          <w:szCs w:val="24"/>
          <w:highlight w:val="none"/>
          <w:shd w:val="clear" w:color="auto" w:fill="FFFFFF" w:themeFill="background1"/>
          <w:lang w:eastAsia="zh-CN"/>
        </w:rPr>
        <w:t>供应商</w:t>
      </w:r>
      <w:r>
        <w:rPr>
          <w:rFonts w:hint="eastAsia" w:ascii="仿宋" w:hAnsi="仿宋" w:eastAsia="仿宋" w:cs="仿宋"/>
          <w:color w:val="auto"/>
          <w:kern w:val="0"/>
          <w:sz w:val="24"/>
          <w:szCs w:val="24"/>
          <w:highlight w:val="none"/>
          <w:shd w:val="clear" w:color="auto" w:fill="FFFFFF" w:themeFill="background1"/>
        </w:rPr>
        <w:t>，应当告知其未通过的原因。</w:t>
      </w:r>
    </w:p>
    <w:p w14:paraId="64D6043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7.3履约保证金</w:t>
      </w:r>
    </w:p>
    <w:p w14:paraId="3CADD1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7.3.1 在签订合同前，</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应按</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须知前附表规定的金额、形式向采购人提交履约保证金。联合体</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的，其履约保证金由牵头人提交，并应符合</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须知前附表的规定。</w:t>
      </w:r>
    </w:p>
    <w:p w14:paraId="3A2D8E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7.3.2 </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未按要求提交履约保证金的，视为放弃</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，其</w:t>
      </w:r>
      <w:r>
        <w:rPr>
          <w:rFonts w:hint="eastAsia" w:ascii="仿宋" w:hAnsi="仿宋" w:eastAsia="仿宋" w:cs="仿宋"/>
          <w:color w:val="auto"/>
          <w:kern w:val="0"/>
          <w:sz w:val="24"/>
          <w:szCs w:val="24"/>
          <w:highlight w:val="none"/>
          <w:lang w:eastAsia="zh-CN"/>
        </w:rPr>
        <w:t>响应保证金</w:t>
      </w:r>
      <w:r>
        <w:rPr>
          <w:rFonts w:hint="eastAsia" w:ascii="仿宋" w:hAnsi="仿宋" w:eastAsia="仿宋" w:cs="仿宋"/>
          <w:color w:val="auto"/>
          <w:kern w:val="0"/>
          <w:sz w:val="24"/>
          <w:szCs w:val="24"/>
          <w:highlight w:val="none"/>
        </w:rPr>
        <w:t>不予退还；给采购人造成的损失超过</w:t>
      </w:r>
      <w:r>
        <w:rPr>
          <w:rFonts w:hint="eastAsia" w:ascii="仿宋" w:hAnsi="仿宋" w:eastAsia="仿宋" w:cs="仿宋"/>
          <w:color w:val="auto"/>
          <w:kern w:val="0"/>
          <w:sz w:val="24"/>
          <w:szCs w:val="24"/>
          <w:highlight w:val="none"/>
          <w:lang w:eastAsia="zh-CN"/>
        </w:rPr>
        <w:t>响应保证金</w:t>
      </w:r>
      <w:r>
        <w:rPr>
          <w:rFonts w:hint="eastAsia" w:ascii="仿宋" w:hAnsi="仿宋" w:eastAsia="仿宋" w:cs="仿宋"/>
          <w:color w:val="auto"/>
          <w:kern w:val="0"/>
          <w:sz w:val="24"/>
          <w:szCs w:val="24"/>
          <w:highlight w:val="none"/>
        </w:rPr>
        <w:t>数额的，</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还应当对超过部分予以赔偿。</w:t>
      </w:r>
    </w:p>
    <w:p w14:paraId="23919EA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7.4签订合同</w:t>
      </w:r>
    </w:p>
    <w:p w14:paraId="182487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7.4.1采购人应当自</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通知书发出之日起30日内，按照招标文件和</w:t>
      </w:r>
      <w:r>
        <w:rPr>
          <w:rFonts w:hint="eastAsia" w:ascii="仿宋" w:hAnsi="仿宋" w:eastAsia="仿宋" w:cs="仿宋"/>
          <w:color w:val="auto"/>
          <w:kern w:val="0"/>
          <w:sz w:val="24"/>
          <w:szCs w:val="24"/>
          <w:highlight w:val="none"/>
          <w:lang w:eastAsia="zh-CN"/>
        </w:rPr>
        <w:t>成交供应商响应文件</w:t>
      </w:r>
      <w:r>
        <w:rPr>
          <w:rFonts w:hint="eastAsia" w:ascii="仿宋" w:hAnsi="仿宋" w:eastAsia="仿宋" w:cs="仿宋"/>
          <w:color w:val="auto"/>
          <w:kern w:val="0"/>
          <w:sz w:val="24"/>
          <w:szCs w:val="24"/>
          <w:highlight w:val="none"/>
        </w:rPr>
        <w:t>的规定，与</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签订书面合同。</w:t>
      </w:r>
    </w:p>
    <w:p w14:paraId="517305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7.4.2发出</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通知书后，采购人无正当理由拒签合同的，给</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造成损失的，还应当赔偿</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损失。</w:t>
      </w:r>
    </w:p>
    <w:p w14:paraId="0C6C4F3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7.4.3发出</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通知书后，</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无正当理由拒签合同的，采购人将取消其</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资格，其</w:t>
      </w:r>
      <w:r>
        <w:rPr>
          <w:rFonts w:hint="eastAsia" w:ascii="仿宋" w:hAnsi="仿宋" w:eastAsia="仿宋" w:cs="仿宋"/>
          <w:color w:val="auto"/>
          <w:kern w:val="0"/>
          <w:sz w:val="24"/>
          <w:szCs w:val="24"/>
          <w:highlight w:val="none"/>
          <w:lang w:eastAsia="zh-CN"/>
        </w:rPr>
        <w:t>响应保证金</w:t>
      </w:r>
      <w:r>
        <w:rPr>
          <w:rFonts w:hint="eastAsia" w:ascii="仿宋" w:hAnsi="仿宋" w:eastAsia="仿宋" w:cs="仿宋"/>
          <w:color w:val="auto"/>
          <w:kern w:val="0"/>
          <w:sz w:val="24"/>
          <w:szCs w:val="24"/>
          <w:highlight w:val="none"/>
        </w:rPr>
        <w:t>不予退还；给采购人造成的损失超过</w:t>
      </w:r>
      <w:r>
        <w:rPr>
          <w:rFonts w:hint="eastAsia" w:ascii="仿宋" w:hAnsi="仿宋" w:eastAsia="仿宋" w:cs="仿宋"/>
          <w:color w:val="auto"/>
          <w:kern w:val="0"/>
          <w:sz w:val="24"/>
          <w:szCs w:val="24"/>
          <w:highlight w:val="none"/>
          <w:lang w:eastAsia="zh-CN"/>
        </w:rPr>
        <w:t>响应保证金</w:t>
      </w:r>
      <w:r>
        <w:rPr>
          <w:rFonts w:hint="eastAsia" w:ascii="仿宋" w:hAnsi="仿宋" w:eastAsia="仿宋" w:cs="仿宋"/>
          <w:color w:val="auto"/>
          <w:kern w:val="0"/>
          <w:sz w:val="24"/>
          <w:szCs w:val="24"/>
          <w:highlight w:val="none"/>
        </w:rPr>
        <w:t>数额的，</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还应当对超过部分予以赔偿。</w:t>
      </w:r>
    </w:p>
    <w:p w14:paraId="018EF98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7.4.4</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拒绝与采购人签订合同的，采购人可以按照评标报告推荐的</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名单排序，确定下一候选人为</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，也可以重新开展政府采购活动。</w:t>
      </w:r>
    </w:p>
    <w:p w14:paraId="5B0E76ED">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rPr>
      </w:pPr>
      <w:bookmarkStart w:id="25" w:name="_BookMark_11"/>
      <w:bookmarkEnd w:id="25"/>
      <w:bookmarkStart w:id="26" w:name="_Toc22638"/>
      <w:r>
        <w:rPr>
          <w:rFonts w:hint="eastAsia" w:ascii="仿宋" w:hAnsi="仿宋" w:eastAsia="仿宋" w:cs="仿宋"/>
          <w:b/>
          <w:color w:val="auto"/>
          <w:sz w:val="24"/>
          <w:szCs w:val="24"/>
          <w:highlight w:val="none"/>
          <w:shd w:val="clear" w:color="auto" w:fill="FFFFFF" w:themeFill="background1"/>
        </w:rPr>
        <w:t>八、纪律和监督</w:t>
      </w:r>
      <w:bookmarkEnd w:id="26"/>
    </w:p>
    <w:p w14:paraId="3FA20EE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8.1 对采购人的纪律要求</w:t>
      </w:r>
    </w:p>
    <w:p w14:paraId="45A2F9B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采购人不得泄漏</w:t>
      </w:r>
      <w:r>
        <w:rPr>
          <w:rFonts w:hint="eastAsia" w:ascii="仿宋" w:hAnsi="仿宋" w:eastAsia="仿宋" w:cs="仿宋"/>
          <w:color w:val="auto"/>
          <w:kern w:val="0"/>
          <w:sz w:val="24"/>
          <w:szCs w:val="24"/>
          <w:highlight w:val="none"/>
          <w:shd w:val="clear" w:color="auto" w:fill="FFFFFF" w:themeFill="background1"/>
          <w:lang w:eastAsia="zh-CN"/>
        </w:rPr>
        <w:t>采购活动</w:t>
      </w:r>
      <w:r>
        <w:rPr>
          <w:rFonts w:hint="eastAsia" w:ascii="仿宋" w:hAnsi="仿宋" w:eastAsia="仿宋" w:cs="仿宋"/>
          <w:color w:val="auto"/>
          <w:kern w:val="0"/>
          <w:sz w:val="24"/>
          <w:szCs w:val="24"/>
          <w:highlight w:val="none"/>
          <w:shd w:val="clear" w:color="auto" w:fill="FFFFFF" w:themeFill="background1"/>
        </w:rPr>
        <w:t>中应当保密的情况和资料，不得与供应商串通损害国家利益、社会公共利益或者他人合法权益。</w:t>
      </w:r>
    </w:p>
    <w:p w14:paraId="23976E4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8.2 对供应商的纪律要求</w:t>
      </w:r>
    </w:p>
    <w:p w14:paraId="2798BBD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供应商不得相互串通</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或者与采购人串通</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，不得向采购人或者磋商小组成员行贿谋取中标（成交），不得以他人名义</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或者以其他方式弄虚作假骗取中标（成交）；供应商不得以任何方式干扰、影响评审工作。</w:t>
      </w:r>
    </w:p>
    <w:p w14:paraId="671318C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8.3 对磋商小组成员的纪律要求</w:t>
      </w:r>
    </w:p>
    <w:p w14:paraId="7FE0752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评审办法没有规定的评审因素和标准进行评审。</w:t>
      </w:r>
    </w:p>
    <w:p w14:paraId="7BE306D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8.4 对与评审活动有关的工作人员的纪律要求</w:t>
      </w:r>
    </w:p>
    <w:p w14:paraId="7A066D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032C8AF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8.5 监督</w:t>
      </w:r>
    </w:p>
    <w:p w14:paraId="49F0B38A">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本项目的</w:t>
      </w:r>
      <w:r>
        <w:rPr>
          <w:rFonts w:hint="eastAsia" w:ascii="仿宋" w:hAnsi="仿宋" w:eastAsia="仿宋" w:cs="仿宋"/>
          <w:color w:val="auto"/>
          <w:kern w:val="0"/>
          <w:sz w:val="24"/>
          <w:szCs w:val="24"/>
          <w:highlight w:val="none"/>
          <w:shd w:val="clear" w:color="auto" w:fill="FFFFFF" w:themeFill="background1"/>
          <w:lang w:eastAsia="zh-CN"/>
        </w:rPr>
        <w:t>采购活动</w:t>
      </w:r>
      <w:r>
        <w:rPr>
          <w:rFonts w:hint="eastAsia" w:ascii="仿宋" w:hAnsi="仿宋" w:eastAsia="仿宋" w:cs="仿宋"/>
          <w:color w:val="auto"/>
          <w:kern w:val="0"/>
          <w:sz w:val="24"/>
          <w:szCs w:val="24"/>
          <w:highlight w:val="none"/>
          <w:shd w:val="clear" w:color="auto" w:fill="FFFFFF" w:themeFill="background1"/>
        </w:rPr>
        <w:t>及其相关当事人应当接受有管辖权的监督部门依法实施的监督。</w:t>
      </w:r>
      <w:bookmarkStart w:id="27" w:name="_BookMark_12"/>
      <w:bookmarkEnd w:id="27"/>
    </w:p>
    <w:p w14:paraId="570C0649">
      <w:pP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190CAB81">
      <w:pPr>
        <w:widowControl/>
        <w:shd w:val="clear" w:color="auto" w:fill="FFFFFF"/>
        <w:snapToGrid w:val="0"/>
        <w:spacing w:line="360" w:lineRule="auto"/>
        <w:jc w:val="center"/>
        <w:outlineLvl w:val="0"/>
        <w:rPr>
          <w:rFonts w:hint="eastAsia" w:ascii="仿宋" w:hAnsi="仿宋" w:eastAsia="仿宋" w:cs="仿宋"/>
          <w:b/>
          <w:color w:val="auto"/>
          <w:sz w:val="24"/>
          <w:szCs w:val="24"/>
          <w:highlight w:val="none"/>
          <w:shd w:val="clear" w:color="auto" w:fill="FFFFFF" w:themeFill="background1"/>
        </w:rPr>
      </w:pPr>
      <w:bookmarkStart w:id="28" w:name="_Toc26123"/>
      <w:r>
        <w:rPr>
          <w:rFonts w:hint="eastAsia" w:ascii="仿宋" w:hAnsi="仿宋" w:eastAsia="仿宋" w:cs="仿宋"/>
          <w:b/>
          <w:color w:val="auto"/>
          <w:sz w:val="24"/>
          <w:szCs w:val="24"/>
          <w:highlight w:val="none"/>
          <w:shd w:val="clear" w:color="auto" w:fill="FFFFFF" w:themeFill="background1"/>
        </w:rPr>
        <w:t>第二章 评审办法</w:t>
      </w:r>
      <w:bookmarkEnd w:id="28"/>
    </w:p>
    <w:p w14:paraId="45217416">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29" w:name="_BookMark_1"/>
      <w:bookmarkEnd w:id="29"/>
      <w:bookmarkStart w:id="30" w:name="_Toc2233"/>
      <w:bookmarkStart w:id="31" w:name="_Toc501719166"/>
      <w:r>
        <w:rPr>
          <w:rFonts w:hint="eastAsia" w:ascii="仿宋" w:hAnsi="仿宋" w:eastAsia="仿宋" w:cs="仿宋"/>
          <w:b/>
          <w:color w:val="auto"/>
          <w:sz w:val="24"/>
          <w:szCs w:val="24"/>
          <w:highlight w:val="none"/>
          <w:shd w:val="clear" w:color="auto" w:fill="FFFFFF" w:themeFill="background1"/>
        </w:rPr>
        <w:t>评审办法前附表</w:t>
      </w:r>
      <w:bookmarkEnd w:id="30"/>
    </w:p>
    <w:tbl>
      <w:tblPr>
        <w:tblStyle w:val="43"/>
        <w:tblpPr w:leftFromText="180" w:rightFromText="180" w:vertAnchor="text" w:horzAnchor="page" w:tblpX="1359" w:tblpY="455"/>
        <w:tblOverlap w:val="never"/>
        <w:tblW w:w="92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0"/>
        <w:gridCol w:w="2770"/>
        <w:gridCol w:w="5832"/>
      </w:tblGrid>
      <w:tr w14:paraId="27B5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1" w:hRule="atLeast"/>
        </w:trPr>
        <w:tc>
          <w:tcPr>
            <w:tcW w:w="610" w:type="dxa"/>
            <w:tcMar>
              <w:top w:w="0" w:type="dxa"/>
              <w:left w:w="28" w:type="dxa"/>
              <w:bottom w:w="0" w:type="dxa"/>
              <w:right w:w="28" w:type="dxa"/>
            </w:tcMar>
            <w:vAlign w:val="center"/>
          </w:tcPr>
          <w:p w14:paraId="62AE1C89">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序号</w:t>
            </w:r>
          </w:p>
        </w:tc>
        <w:tc>
          <w:tcPr>
            <w:tcW w:w="2770" w:type="dxa"/>
            <w:tcMar>
              <w:top w:w="0" w:type="dxa"/>
              <w:left w:w="28" w:type="dxa"/>
              <w:bottom w:w="0" w:type="dxa"/>
              <w:right w:w="28" w:type="dxa"/>
            </w:tcMar>
            <w:vAlign w:val="center"/>
          </w:tcPr>
          <w:p w14:paraId="47FCDE7D">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条款内容</w:t>
            </w:r>
          </w:p>
        </w:tc>
        <w:tc>
          <w:tcPr>
            <w:tcW w:w="5832" w:type="dxa"/>
            <w:tcMar>
              <w:top w:w="0" w:type="dxa"/>
              <w:left w:w="28" w:type="dxa"/>
              <w:bottom w:w="0" w:type="dxa"/>
              <w:right w:w="28" w:type="dxa"/>
            </w:tcMar>
            <w:vAlign w:val="center"/>
          </w:tcPr>
          <w:p w14:paraId="38596979">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编列内容</w:t>
            </w:r>
          </w:p>
        </w:tc>
      </w:tr>
      <w:tr w14:paraId="759E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610" w:type="dxa"/>
            <w:tcMar>
              <w:top w:w="0" w:type="dxa"/>
              <w:left w:w="28" w:type="dxa"/>
              <w:bottom w:w="0" w:type="dxa"/>
              <w:right w:w="28" w:type="dxa"/>
            </w:tcMar>
            <w:vAlign w:val="center"/>
          </w:tcPr>
          <w:p w14:paraId="3A4D346C">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w:t>
            </w:r>
          </w:p>
        </w:tc>
        <w:tc>
          <w:tcPr>
            <w:tcW w:w="2770" w:type="dxa"/>
            <w:shd w:val="clear" w:color="auto" w:fill="auto"/>
            <w:tcMar>
              <w:top w:w="0" w:type="dxa"/>
              <w:left w:w="28" w:type="dxa"/>
              <w:bottom w:w="0" w:type="dxa"/>
              <w:right w:w="28" w:type="dxa"/>
            </w:tcMar>
            <w:vAlign w:val="center"/>
          </w:tcPr>
          <w:p w14:paraId="3D57727A">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分值构成及权重</w:t>
            </w:r>
          </w:p>
          <w:p w14:paraId="0BBB6936">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(总分100分)</w:t>
            </w:r>
          </w:p>
        </w:tc>
        <w:tc>
          <w:tcPr>
            <w:tcW w:w="5832" w:type="dxa"/>
            <w:shd w:val="clear" w:color="auto" w:fill="auto"/>
            <w:tcMar>
              <w:top w:w="0" w:type="dxa"/>
              <w:left w:w="28" w:type="dxa"/>
              <w:bottom w:w="0" w:type="dxa"/>
              <w:right w:w="28" w:type="dxa"/>
            </w:tcMar>
            <w:vAlign w:val="center"/>
          </w:tcPr>
          <w:p w14:paraId="06397AE2">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1.详细评审部分</w:t>
            </w:r>
            <w:r>
              <w:rPr>
                <w:rFonts w:hint="eastAsia" w:ascii="仿宋" w:hAnsi="仿宋" w:eastAsia="仿宋" w:cs="仿宋"/>
                <w:color w:val="auto"/>
                <w:szCs w:val="21"/>
                <w:highlight w:val="none"/>
                <w:shd w:val="clear" w:color="auto" w:fill="FFFFFF" w:themeFill="background1"/>
                <w:lang w:val="en-US" w:eastAsia="zh-CN"/>
              </w:rPr>
              <w:t>80</w:t>
            </w:r>
            <w:r>
              <w:rPr>
                <w:rFonts w:hint="eastAsia" w:ascii="仿宋" w:hAnsi="仿宋" w:eastAsia="仿宋" w:cs="仿宋"/>
                <w:color w:val="auto"/>
                <w:szCs w:val="21"/>
                <w:highlight w:val="none"/>
                <w:shd w:val="clear" w:color="auto" w:fill="FFFFFF" w:themeFill="background1"/>
              </w:rPr>
              <w:t>分</w:t>
            </w:r>
          </w:p>
          <w:p w14:paraId="675459B2">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w:t>
            </w:r>
            <w:r>
              <w:rPr>
                <w:rFonts w:hint="eastAsia" w:ascii="仿宋" w:hAnsi="仿宋" w:eastAsia="仿宋" w:cs="仿宋"/>
                <w:color w:val="auto"/>
                <w:szCs w:val="21"/>
                <w:highlight w:val="none"/>
                <w:shd w:val="clear" w:color="auto" w:fill="FFFFFF" w:themeFill="background1"/>
                <w:lang w:eastAsia="zh-CN"/>
              </w:rPr>
              <w:t>响应报价</w:t>
            </w:r>
            <w:r>
              <w:rPr>
                <w:rFonts w:hint="eastAsia" w:ascii="仿宋" w:hAnsi="仿宋" w:eastAsia="仿宋" w:cs="仿宋"/>
                <w:color w:val="auto"/>
                <w:szCs w:val="21"/>
                <w:highlight w:val="none"/>
                <w:shd w:val="clear" w:color="auto" w:fill="FFFFFF" w:themeFill="background1"/>
              </w:rPr>
              <w:t>部分</w:t>
            </w:r>
            <w:r>
              <w:rPr>
                <w:rFonts w:hint="eastAsia" w:ascii="仿宋" w:hAnsi="仿宋" w:eastAsia="仿宋" w:cs="仿宋"/>
                <w:color w:val="auto"/>
                <w:szCs w:val="21"/>
                <w:highlight w:val="none"/>
                <w:shd w:val="clear" w:color="auto" w:fill="FFFFFF" w:themeFill="background1"/>
                <w:lang w:val="en-US" w:eastAsia="zh-CN"/>
              </w:rPr>
              <w:t>20</w:t>
            </w:r>
            <w:r>
              <w:rPr>
                <w:rFonts w:hint="eastAsia" w:ascii="仿宋" w:hAnsi="仿宋" w:eastAsia="仿宋" w:cs="仿宋"/>
                <w:color w:val="auto"/>
                <w:szCs w:val="21"/>
                <w:highlight w:val="none"/>
                <w:shd w:val="clear" w:color="auto" w:fill="FFFFFF" w:themeFill="background1"/>
              </w:rPr>
              <w:t>分</w:t>
            </w:r>
          </w:p>
        </w:tc>
      </w:tr>
      <w:tr w14:paraId="03A1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5" w:hRule="atLeast"/>
        </w:trPr>
        <w:tc>
          <w:tcPr>
            <w:tcW w:w="610" w:type="dxa"/>
            <w:tcMar>
              <w:top w:w="0" w:type="dxa"/>
              <w:left w:w="28" w:type="dxa"/>
              <w:bottom w:w="0" w:type="dxa"/>
              <w:right w:w="28" w:type="dxa"/>
            </w:tcMar>
            <w:vAlign w:val="center"/>
          </w:tcPr>
          <w:p w14:paraId="31653300">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w:t>
            </w:r>
          </w:p>
        </w:tc>
        <w:tc>
          <w:tcPr>
            <w:tcW w:w="2770" w:type="dxa"/>
            <w:tcMar>
              <w:top w:w="0" w:type="dxa"/>
              <w:left w:w="28" w:type="dxa"/>
              <w:bottom w:w="0" w:type="dxa"/>
              <w:right w:w="28" w:type="dxa"/>
            </w:tcMar>
            <w:vAlign w:val="center"/>
          </w:tcPr>
          <w:p w14:paraId="1D98617D">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资格审查</w:t>
            </w:r>
          </w:p>
        </w:tc>
        <w:tc>
          <w:tcPr>
            <w:tcW w:w="5832" w:type="dxa"/>
            <w:tcMar>
              <w:top w:w="0" w:type="dxa"/>
              <w:left w:w="28" w:type="dxa"/>
              <w:bottom w:w="0" w:type="dxa"/>
              <w:right w:w="28" w:type="dxa"/>
            </w:tcMar>
            <w:vAlign w:val="center"/>
          </w:tcPr>
          <w:p w14:paraId="3AA09763">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详见《资格审查标准》</w:t>
            </w:r>
          </w:p>
        </w:tc>
      </w:tr>
      <w:tr w14:paraId="3466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1" w:hRule="atLeast"/>
        </w:trPr>
        <w:tc>
          <w:tcPr>
            <w:tcW w:w="610" w:type="dxa"/>
            <w:tcMar>
              <w:top w:w="0" w:type="dxa"/>
              <w:left w:w="28" w:type="dxa"/>
              <w:bottom w:w="0" w:type="dxa"/>
              <w:right w:w="28" w:type="dxa"/>
            </w:tcMar>
            <w:vAlign w:val="center"/>
          </w:tcPr>
          <w:p w14:paraId="21910086">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w:t>
            </w:r>
          </w:p>
        </w:tc>
        <w:tc>
          <w:tcPr>
            <w:tcW w:w="2770" w:type="dxa"/>
            <w:tcMar>
              <w:top w:w="0" w:type="dxa"/>
              <w:left w:w="28" w:type="dxa"/>
              <w:bottom w:w="0" w:type="dxa"/>
              <w:right w:w="28" w:type="dxa"/>
            </w:tcMar>
            <w:vAlign w:val="center"/>
          </w:tcPr>
          <w:p w14:paraId="5078FA68">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完备性及符合性审查</w:t>
            </w:r>
          </w:p>
        </w:tc>
        <w:tc>
          <w:tcPr>
            <w:tcW w:w="5832" w:type="dxa"/>
            <w:tcMar>
              <w:top w:w="0" w:type="dxa"/>
              <w:left w:w="28" w:type="dxa"/>
              <w:bottom w:w="0" w:type="dxa"/>
              <w:right w:w="28" w:type="dxa"/>
            </w:tcMar>
            <w:vAlign w:val="center"/>
          </w:tcPr>
          <w:p w14:paraId="2B4A8F21">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详见《完备性及符合性审查标准》</w:t>
            </w:r>
          </w:p>
        </w:tc>
      </w:tr>
      <w:tr w14:paraId="4EE6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1" w:hRule="atLeast"/>
        </w:trPr>
        <w:tc>
          <w:tcPr>
            <w:tcW w:w="610" w:type="dxa"/>
            <w:shd w:val="clear" w:color="auto" w:fill="auto"/>
            <w:tcMar>
              <w:top w:w="0" w:type="dxa"/>
              <w:left w:w="28" w:type="dxa"/>
              <w:bottom w:w="0" w:type="dxa"/>
              <w:right w:w="28" w:type="dxa"/>
            </w:tcMar>
            <w:vAlign w:val="center"/>
          </w:tcPr>
          <w:p w14:paraId="276599D5">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4</w:t>
            </w:r>
          </w:p>
        </w:tc>
        <w:tc>
          <w:tcPr>
            <w:tcW w:w="2770" w:type="dxa"/>
            <w:shd w:val="clear" w:color="auto" w:fill="auto"/>
            <w:tcMar>
              <w:top w:w="0" w:type="dxa"/>
              <w:left w:w="28" w:type="dxa"/>
              <w:bottom w:w="0" w:type="dxa"/>
              <w:right w:w="28" w:type="dxa"/>
            </w:tcMar>
            <w:vAlign w:val="center"/>
          </w:tcPr>
          <w:p w14:paraId="4746DBDB">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详细评审</w:t>
            </w:r>
          </w:p>
        </w:tc>
        <w:tc>
          <w:tcPr>
            <w:tcW w:w="5832" w:type="dxa"/>
            <w:tcMar>
              <w:top w:w="0" w:type="dxa"/>
              <w:left w:w="28" w:type="dxa"/>
              <w:bottom w:w="0" w:type="dxa"/>
              <w:right w:w="28" w:type="dxa"/>
            </w:tcMar>
            <w:vAlign w:val="center"/>
          </w:tcPr>
          <w:p w14:paraId="5C5793BC">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详见《详细评审标准》及本节第3.6款</w:t>
            </w:r>
          </w:p>
        </w:tc>
      </w:tr>
    </w:tbl>
    <w:p w14:paraId="42C9BED6">
      <w:pPr>
        <w:widowControl/>
        <w:shd w:val="clear" w:color="auto" w:fill="FFFFFF"/>
        <w:snapToGrid w:val="0"/>
        <w:spacing w:line="360" w:lineRule="auto"/>
        <w:rPr>
          <w:rFonts w:hint="eastAsia" w:ascii="仿宋" w:hAnsi="仿宋" w:eastAsia="仿宋" w:cs="仿宋"/>
          <w:b/>
          <w:color w:val="auto"/>
          <w:kern w:val="0"/>
          <w:szCs w:val="21"/>
          <w:highlight w:val="none"/>
          <w:shd w:val="clear" w:color="auto" w:fill="FFFFFF" w:themeFill="background1"/>
        </w:rPr>
      </w:pPr>
    </w:p>
    <w:p w14:paraId="4038BFEA">
      <w:pPr>
        <w:widowControl/>
        <w:shd w:val="clear" w:color="auto" w:fill="FFFFFF"/>
        <w:snapToGrid w:val="0"/>
        <w:spacing w:line="360" w:lineRule="auto"/>
        <w:jc w:val="center"/>
        <w:rPr>
          <w:rFonts w:hint="eastAsia" w:ascii="仿宋" w:hAnsi="仿宋" w:eastAsia="仿宋" w:cs="仿宋"/>
          <w:b/>
          <w:color w:val="auto"/>
          <w:kern w:val="0"/>
          <w:szCs w:val="21"/>
          <w:highlight w:val="none"/>
          <w:shd w:val="clear" w:color="auto" w:fill="FFFFFF" w:themeFill="background1"/>
        </w:rPr>
      </w:pPr>
    </w:p>
    <w:p w14:paraId="6706AE96">
      <w:pPr>
        <w:widowControl/>
        <w:shd w:val="clear" w:color="auto" w:fill="FFFFFF"/>
        <w:snapToGrid w:val="0"/>
        <w:spacing w:line="360" w:lineRule="auto"/>
        <w:jc w:val="center"/>
        <w:rPr>
          <w:rFonts w:hint="eastAsia" w:ascii="仿宋" w:hAnsi="仿宋" w:eastAsia="仿宋" w:cs="仿宋"/>
          <w:b/>
          <w:color w:val="auto"/>
          <w:kern w:val="0"/>
          <w:szCs w:val="21"/>
          <w:highlight w:val="none"/>
          <w:shd w:val="clear" w:color="auto" w:fill="FFFFFF" w:themeFill="background1"/>
        </w:rPr>
      </w:pPr>
      <w:r>
        <w:rPr>
          <w:rFonts w:hint="eastAsia" w:ascii="仿宋" w:hAnsi="仿宋" w:eastAsia="仿宋" w:cs="仿宋"/>
          <w:b/>
          <w:color w:val="auto"/>
          <w:kern w:val="0"/>
          <w:szCs w:val="21"/>
          <w:highlight w:val="none"/>
          <w:shd w:val="clear" w:color="auto" w:fill="FFFFFF" w:themeFill="background1"/>
        </w:rPr>
        <w:t>《资格审查标准》</w:t>
      </w:r>
      <w:bookmarkEnd w:id="31"/>
    </w:p>
    <w:tbl>
      <w:tblPr>
        <w:tblStyle w:val="43"/>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9"/>
        <w:gridCol w:w="3659"/>
        <w:gridCol w:w="4935"/>
      </w:tblGrid>
      <w:tr w14:paraId="01AC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vAlign w:val="center"/>
          </w:tcPr>
          <w:p w14:paraId="1E7A3BE4">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序号</w:t>
            </w:r>
          </w:p>
        </w:tc>
        <w:tc>
          <w:tcPr>
            <w:tcW w:w="3659" w:type="dxa"/>
            <w:vAlign w:val="center"/>
          </w:tcPr>
          <w:p w14:paraId="1D96974B">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审查要求</w:t>
            </w:r>
          </w:p>
        </w:tc>
        <w:tc>
          <w:tcPr>
            <w:tcW w:w="4935" w:type="dxa"/>
            <w:vAlign w:val="center"/>
          </w:tcPr>
          <w:p w14:paraId="17100CCD">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要求说明</w:t>
            </w:r>
          </w:p>
        </w:tc>
      </w:tr>
      <w:tr w14:paraId="40ED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73B71EF4">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1</w:t>
            </w:r>
          </w:p>
        </w:tc>
        <w:tc>
          <w:tcPr>
            <w:tcW w:w="3659" w:type="dxa"/>
            <w:shd w:val="clear" w:color="auto" w:fill="auto"/>
            <w:vAlign w:val="center"/>
          </w:tcPr>
          <w:p w14:paraId="2E4644AF">
            <w:pPr>
              <w:spacing w:line="360"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具有独立承担民事责任的能力</w:t>
            </w:r>
            <w:r>
              <w:rPr>
                <w:rFonts w:hint="eastAsia" w:ascii="仿宋" w:hAnsi="仿宋" w:eastAsia="仿宋" w:cs="仿宋"/>
                <w:color w:val="auto"/>
                <w:szCs w:val="21"/>
                <w:highlight w:val="none"/>
                <w:shd w:val="clear" w:color="auto" w:fill="FFFFFF" w:themeFill="background1"/>
                <w:lang w:eastAsia="zh-CN"/>
              </w:rPr>
              <w:t>。</w:t>
            </w:r>
          </w:p>
        </w:tc>
        <w:tc>
          <w:tcPr>
            <w:tcW w:w="4935" w:type="dxa"/>
            <w:vAlign w:val="center"/>
          </w:tcPr>
          <w:p w14:paraId="4E2EADF6">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1、如</w:t>
            </w:r>
            <w:r>
              <w:rPr>
                <w:rFonts w:hint="eastAsia" w:ascii="仿宋" w:hAnsi="仿宋" w:eastAsia="仿宋" w:cs="仿宋"/>
                <w:color w:val="auto"/>
                <w:kern w:val="0"/>
                <w:szCs w:val="21"/>
                <w:highlight w:val="none"/>
                <w:lang w:eastAsia="zh-CN"/>
              </w:rPr>
              <w:t>供应商</w:t>
            </w:r>
            <w:r>
              <w:rPr>
                <w:rFonts w:hint="eastAsia" w:ascii="仿宋" w:hAnsi="仿宋" w:eastAsia="仿宋" w:cs="仿宋"/>
                <w:color w:val="auto"/>
                <w:kern w:val="0"/>
                <w:szCs w:val="21"/>
                <w:highlight w:val="none"/>
              </w:rPr>
              <w:t>是企业（包括合伙企业)，应提供在工商部门注册的有效“企业法人营业执照”或“营业执照”;</w:t>
            </w:r>
          </w:p>
          <w:p w14:paraId="478C2500">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2、如</w:t>
            </w:r>
            <w:r>
              <w:rPr>
                <w:rFonts w:hint="eastAsia" w:ascii="仿宋" w:hAnsi="仿宋" w:eastAsia="仿宋" w:cs="仿宋"/>
                <w:color w:val="auto"/>
                <w:kern w:val="0"/>
                <w:szCs w:val="21"/>
                <w:highlight w:val="none"/>
                <w:lang w:eastAsia="zh-CN"/>
              </w:rPr>
              <w:t>供应商</w:t>
            </w:r>
            <w:r>
              <w:rPr>
                <w:rFonts w:hint="eastAsia" w:ascii="仿宋" w:hAnsi="仿宋" w:eastAsia="仿宋" w:cs="仿宋"/>
                <w:color w:val="auto"/>
                <w:kern w:val="0"/>
                <w:szCs w:val="21"/>
                <w:highlight w:val="none"/>
              </w:rPr>
              <w:t>是事业单位，应提供有效的“事业单位法人证书”;</w:t>
            </w:r>
          </w:p>
          <w:p w14:paraId="032F1704">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r>
              <w:rPr>
                <w:rFonts w:hint="eastAsia" w:ascii="仿宋" w:hAnsi="仿宋" w:eastAsia="仿宋" w:cs="仿宋"/>
                <w:color w:val="auto"/>
                <w:kern w:val="0"/>
                <w:szCs w:val="21"/>
                <w:highlight w:val="none"/>
                <w:lang w:eastAsia="zh-CN"/>
              </w:rPr>
              <w:t>供应商</w:t>
            </w:r>
            <w:r>
              <w:rPr>
                <w:rFonts w:hint="eastAsia" w:ascii="仿宋" w:hAnsi="仿宋" w:eastAsia="仿宋" w:cs="仿宋"/>
                <w:color w:val="auto"/>
                <w:kern w:val="0"/>
                <w:szCs w:val="21"/>
                <w:highlight w:val="none"/>
              </w:rPr>
              <w:t>是非企业专业服务机构的，应提供执业许可证等证明文件;</w:t>
            </w:r>
          </w:p>
          <w:p w14:paraId="780EA582">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4、如</w:t>
            </w:r>
            <w:r>
              <w:rPr>
                <w:rFonts w:hint="eastAsia" w:ascii="仿宋" w:hAnsi="仿宋" w:eastAsia="仿宋" w:cs="仿宋"/>
                <w:color w:val="auto"/>
                <w:kern w:val="0"/>
                <w:szCs w:val="21"/>
                <w:highlight w:val="none"/>
                <w:lang w:eastAsia="zh-CN"/>
              </w:rPr>
              <w:t>供应商</w:t>
            </w:r>
            <w:r>
              <w:rPr>
                <w:rFonts w:hint="eastAsia" w:ascii="仿宋" w:hAnsi="仿宋" w:eastAsia="仿宋" w:cs="仿宋"/>
                <w:color w:val="auto"/>
                <w:kern w:val="0"/>
                <w:szCs w:val="21"/>
                <w:highlight w:val="none"/>
              </w:rPr>
              <w:t>是个体工商户，应提供有效的“个体工商户营业执照”;</w:t>
            </w:r>
          </w:p>
          <w:p w14:paraId="5C185091">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5、如</w:t>
            </w:r>
            <w:r>
              <w:rPr>
                <w:rFonts w:hint="eastAsia" w:ascii="仿宋" w:hAnsi="仿宋" w:eastAsia="仿宋" w:cs="仿宋"/>
                <w:color w:val="auto"/>
                <w:kern w:val="0"/>
                <w:szCs w:val="21"/>
                <w:highlight w:val="none"/>
                <w:lang w:eastAsia="zh-CN"/>
              </w:rPr>
              <w:t>供应商</w:t>
            </w:r>
            <w:r>
              <w:rPr>
                <w:rFonts w:hint="eastAsia" w:ascii="仿宋" w:hAnsi="仿宋" w:eastAsia="仿宋" w:cs="仿宋"/>
                <w:color w:val="auto"/>
                <w:kern w:val="0"/>
                <w:szCs w:val="21"/>
                <w:highlight w:val="none"/>
              </w:rPr>
              <w:t>是自然人，应提供有效的自然人身份证明。</w:t>
            </w:r>
          </w:p>
        </w:tc>
      </w:tr>
      <w:tr w14:paraId="6F01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3441DE3B">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2</w:t>
            </w:r>
          </w:p>
        </w:tc>
        <w:tc>
          <w:tcPr>
            <w:tcW w:w="3659" w:type="dxa"/>
            <w:shd w:val="clear" w:color="auto" w:fill="auto"/>
            <w:vAlign w:val="center"/>
          </w:tcPr>
          <w:p w14:paraId="20E9F5EC">
            <w:pPr>
              <w:spacing w:line="360"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具有良好的商业信誉和健全的财务会计制度</w:t>
            </w:r>
            <w:r>
              <w:rPr>
                <w:rFonts w:hint="eastAsia" w:ascii="仿宋" w:hAnsi="仿宋" w:eastAsia="仿宋" w:cs="仿宋"/>
                <w:color w:val="auto"/>
                <w:szCs w:val="21"/>
                <w:highlight w:val="none"/>
                <w:shd w:val="clear" w:color="auto" w:fill="FFFFFF" w:themeFill="background1"/>
                <w:lang w:eastAsia="zh-CN"/>
              </w:rPr>
              <w:t>。</w:t>
            </w:r>
          </w:p>
        </w:tc>
        <w:tc>
          <w:tcPr>
            <w:tcW w:w="4935" w:type="dxa"/>
            <w:vAlign w:val="center"/>
          </w:tcPr>
          <w:p w14:paraId="5D77A81F">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满足下述一条要求即可：</w:t>
            </w:r>
          </w:p>
          <w:p w14:paraId="6CB5900B">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要求1、经审计的财务报告（</w:t>
            </w:r>
            <w:r>
              <w:rPr>
                <w:rFonts w:hint="eastAsia" w:ascii="仿宋" w:hAnsi="仿宋" w:eastAsia="仿宋" w:cs="仿宋"/>
                <w:color w:val="auto"/>
                <w:kern w:val="0"/>
                <w:szCs w:val="21"/>
                <w:highlight w:val="none"/>
                <w:lang w:eastAsia="zh-CN"/>
              </w:rPr>
              <w:t>2024年度或2025年度</w:t>
            </w:r>
            <w:r>
              <w:rPr>
                <w:rFonts w:hint="eastAsia" w:ascii="仿宋" w:hAnsi="仿宋" w:eastAsia="仿宋" w:cs="仿宋"/>
                <w:color w:val="auto"/>
                <w:kern w:val="0"/>
                <w:szCs w:val="21"/>
                <w:highlight w:val="none"/>
              </w:rPr>
              <w:t>，包括“四表-注”，即资产负债表、利润表、现金流量表、所有者权益变动表及其附注）或银行出具的资信证明（响应文件递交截止之日前六个月内任意一个月</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不限制采购人主体</w:t>
            </w:r>
            <w:r>
              <w:rPr>
                <w:rFonts w:hint="eastAsia" w:ascii="仿宋" w:hAnsi="仿宋" w:eastAsia="仿宋" w:cs="仿宋"/>
                <w:color w:val="auto"/>
                <w:kern w:val="0"/>
                <w:szCs w:val="21"/>
                <w:highlight w:val="none"/>
              </w:rPr>
              <w:t>）。</w:t>
            </w:r>
          </w:p>
          <w:p w14:paraId="4925A709">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1"/>
                <w:highlight w:val="none"/>
              </w:rPr>
              <w:t>要求2、成立不足六个月（以</w:t>
            </w:r>
            <w:r>
              <w:rPr>
                <w:rFonts w:hint="eastAsia" w:ascii="仿宋" w:hAnsi="仿宋" w:eastAsia="仿宋" w:cs="仿宋"/>
                <w:color w:val="auto"/>
                <w:kern w:val="0"/>
                <w:szCs w:val="21"/>
                <w:highlight w:val="none"/>
                <w:lang w:eastAsia="zh-CN"/>
              </w:rPr>
              <w:t>响应文件</w:t>
            </w:r>
            <w:r>
              <w:rPr>
                <w:rFonts w:hint="eastAsia" w:ascii="仿宋" w:hAnsi="仿宋" w:eastAsia="仿宋" w:cs="仿宋"/>
                <w:color w:val="auto"/>
                <w:kern w:val="0"/>
                <w:szCs w:val="21"/>
                <w:highlight w:val="none"/>
              </w:rPr>
              <w:t>递交截止之日为期限）的</w:t>
            </w:r>
            <w:r>
              <w:rPr>
                <w:rFonts w:hint="eastAsia" w:ascii="仿宋" w:hAnsi="仿宋" w:eastAsia="仿宋" w:cs="仿宋"/>
                <w:color w:val="auto"/>
                <w:kern w:val="0"/>
                <w:szCs w:val="21"/>
                <w:highlight w:val="none"/>
                <w:lang w:eastAsia="zh-CN"/>
              </w:rPr>
              <w:t>供应商</w:t>
            </w:r>
            <w:r>
              <w:rPr>
                <w:rFonts w:hint="eastAsia" w:ascii="仿宋" w:hAnsi="仿宋" w:eastAsia="仿宋" w:cs="仿宋"/>
                <w:color w:val="auto"/>
                <w:kern w:val="0"/>
                <w:szCs w:val="21"/>
                <w:highlight w:val="none"/>
              </w:rPr>
              <w:t>无需提供。</w:t>
            </w:r>
          </w:p>
        </w:tc>
      </w:tr>
      <w:tr w14:paraId="4BF7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6D5F722D">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3</w:t>
            </w:r>
          </w:p>
        </w:tc>
        <w:tc>
          <w:tcPr>
            <w:tcW w:w="3659" w:type="dxa"/>
            <w:shd w:val="clear" w:color="auto" w:fill="auto"/>
            <w:vAlign w:val="center"/>
          </w:tcPr>
          <w:p w14:paraId="7165C657">
            <w:pPr>
              <w:spacing w:line="360"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具有履行合同所必需的设备和专业技术能力</w:t>
            </w:r>
            <w:r>
              <w:rPr>
                <w:rFonts w:hint="eastAsia" w:ascii="仿宋" w:hAnsi="仿宋" w:eastAsia="仿宋" w:cs="仿宋"/>
                <w:color w:val="auto"/>
                <w:szCs w:val="21"/>
                <w:highlight w:val="none"/>
                <w:shd w:val="clear" w:color="auto" w:fill="FFFFFF" w:themeFill="background1"/>
                <w:lang w:eastAsia="zh-CN"/>
              </w:rPr>
              <w:t>。</w:t>
            </w:r>
          </w:p>
        </w:tc>
        <w:tc>
          <w:tcPr>
            <w:tcW w:w="4935" w:type="dxa"/>
            <w:vAlign w:val="center"/>
          </w:tcPr>
          <w:p w14:paraId="56A9B9F0">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1"/>
                <w:highlight w:val="none"/>
              </w:rPr>
              <w:t>提供《具有履行合同所必需的设备和专业技术能力的承诺函》，加盖</w:t>
            </w:r>
            <w:r>
              <w:rPr>
                <w:rFonts w:hint="eastAsia" w:ascii="仿宋" w:hAnsi="仿宋" w:eastAsia="仿宋" w:cs="仿宋"/>
                <w:color w:val="auto"/>
                <w:kern w:val="0"/>
                <w:szCs w:val="21"/>
                <w:highlight w:val="none"/>
                <w:lang w:eastAsia="zh-CN"/>
              </w:rPr>
              <w:t>供应商章</w:t>
            </w:r>
            <w:r>
              <w:rPr>
                <w:rFonts w:hint="eastAsia" w:ascii="仿宋" w:hAnsi="仿宋" w:eastAsia="仿宋" w:cs="仿宋"/>
                <w:color w:val="auto"/>
                <w:kern w:val="0"/>
                <w:szCs w:val="21"/>
                <w:highlight w:val="none"/>
              </w:rPr>
              <w:t>。</w:t>
            </w:r>
          </w:p>
        </w:tc>
      </w:tr>
      <w:tr w14:paraId="409C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5B04AA76">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4</w:t>
            </w:r>
          </w:p>
        </w:tc>
        <w:tc>
          <w:tcPr>
            <w:tcW w:w="3659" w:type="dxa"/>
            <w:shd w:val="clear" w:color="auto" w:fill="auto"/>
            <w:vAlign w:val="center"/>
          </w:tcPr>
          <w:p w14:paraId="365915BE">
            <w:pPr>
              <w:spacing w:line="360"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有依法缴纳税收和社会保障资金的良好记录</w:t>
            </w:r>
            <w:r>
              <w:rPr>
                <w:rFonts w:hint="eastAsia" w:ascii="仿宋" w:hAnsi="仿宋" w:eastAsia="仿宋" w:cs="仿宋"/>
                <w:color w:val="auto"/>
                <w:szCs w:val="21"/>
                <w:highlight w:val="none"/>
                <w:shd w:val="clear" w:color="auto" w:fill="FFFFFF" w:themeFill="background1"/>
                <w:lang w:eastAsia="zh-CN"/>
              </w:rPr>
              <w:t>。</w:t>
            </w:r>
          </w:p>
        </w:tc>
        <w:tc>
          <w:tcPr>
            <w:tcW w:w="4935" w:type="dxa"/>
            <w:vAlign w:val="center"/>
          </w:tcPr>
          <w:p w14:paraId="4D5562A9">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1、依法缴纳税收的证明材料：</w:t>
            </w:r>
          </w:p>
          <w:p w14:paraId="6DE3CC62">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lang w:eastAsia="zh-CN"/>
              </w:rPr>
              <w:t>供应商</w:t>
            </w:r>
            <w:r>
              <w:rPr>
                <w:rFonts w:hint="eastAsia" w:ascii="仿宋" w:hAnsi="仿宋" w:eastAsia="仿宋" w:cs="仿宋"/>
                <w:color w:val="auto"/>
                <w:szCs w:val="21"/>
                <w:highlight w:val="none"/>
                <w:shd w:val="clear" w:color="auto" w:fill="FFFFFF" w:themeFill="background1"/>
              </w:rPr>
              <w:t>参加政府采购活动前一段时间（</w:t>
            </w:r>
            <w:r>
              <w:rPr>
                <w:rFonts w:hint="eastAsia" w:ascii="仿宋" w:hAnsi="仿宋" w:eastAsia="仿宋" w:cs="仿宋"/>
                <w:color w:val="auto"/>
                <w:szCs w:val="21"/>
                <w:highlight w:val="none"/>
                <w:shd w:val="clear" w:color="auto" w:fill="FFFFFF" w:themeFill="background1"/>
                <w:lang w:eastAsia="zh-CN"/>
              </w:rPr>
              <w:t>响应文件</w:t>
            </w:r>
            <w:r>
              <w:rPr>
                <w:rFonts w:hint="eastAsia" w:ascii="仿宋" w:hAnsi="仿宋" w:eastAsia="仿宋" w:cs="仿宋"/>
                <w:color w:val="auto"/>
                <w:szCs w:val="21"/>
                <w:highlight w:val="none"/>
                <w:shd w:val="clear" w:color="auto" w:fill="FFFFFF" w:themeFill="background1"/>
              </w:rPr>
              <w:t>递交截止之日前六个月内任一个月）内缴纳税收的完税凭证（指各种完税证、缴款书、印花税票、扣（收）税凭证以及其他完税证明，提供上述任意一种即可）。</w:t>
            </w:r>
          </w:p>
          <w:p w14:paraId="5B5A1037">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2、依法缴纳社会保障资金的证明材料：</w:t>
            </w:r>
          </w:p>
          <w:p w14:paraId="1627149E">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lang w:eastAsia="zh-CN"/>
              </w:rPr>
              <w:t>供应商</w:t>
            </w:r>
            <w:r>
              <w:rPr>
                <w:rFonts w:hint="eastAsia" w:ascii="仿宋" w:hAnsi="仿宋" w:eastAsia="仿宋" w:cs="仿宋"/>
                <w:color w:val="auto"/>
                <w:szCs w:val="21"/>
                <w:highlight w:val="none"/>
                <w:shd w:val="clear" w:color="auto" w:fill="FFFFFF" w:themeFill="background1"/>
              </w:rPr>
              <w:t>参加政府采购活动前一段时间（</w:t>
            </w:r>
            <w:r>
              <w:rPr>
                <w:rFonts w:hint="eastAsia" w:ascii="仿宋" w:hAnsi="仿宋" w:eastAsia="仿宋" w:cs="仿宋"/>
                <w:color w:val="auto"/>
                <w:szCs w:val="21"/>
                <w:highlight w:val="none"/>
                <w:shd w:val="clear" w:color="auto" w:fill="FFFFFF" w:themeFill="background1"/>
                <w:lang w:eastAsia="zh-CN"/>
              </w:rPr>
              <w:t>响应文件</w:t>
            </w:r>
            <w:r>
              <w:rPr>
                <w:rFonts w:hint="eastAsia" w:ascii="仿宋" w:hAnsi="仿宋" w:eastAsia="仿宋" w:cs="仿宋"/>
                <w:color w:val="auto"/>
                <w:szCs w:val="21"/>
                <w:highlight w:val="none"/>
                <w:shd w:val="clear" w:color="auto" w:fill="FFFFFF" w:themeFill="background1"/>
              </w:rPr>
              <w:t>递交截止之日前六个月内任一个月）内缴纳社会保险的凭据，其他组织和自然人也需要提供缴纳税收的凭据和缴纳社会保险的凭据。</w:t>
            </w:r>
          </w:p>
          <w:p w14:paraId="4B65DF3F">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3、依法免税或不需要缴纳社会保障资金的</w:t>
            </w:r>
            <w:r>
              <w:rPr>
                <w:rFonts w:hint="eastAsia" w:ascii="仿宋" w:hAnsi="仿宋" w:eastAsia="仿宋" w:cs="仿宋"/>
                <w:color w:val="auto"/>
                <w:szCs w:val="21"/>
                <w:highlight w:val="none"/>
                <w:shd w:val="clear" w:color="auto" w:fill="FFFFFF" w:themeFill="background1"/>
                <w:lang w:eastAsia="zh-CN"/>
              </w:rPr>
              <w:t>供应商</w:t>
            </w:r>
            <w:r>
              <w:rPr>
                <w:rFonts w:hint="eastAsia" w:ascii="仿宋" w:hAnsi="仿宋" w:eastAsia="仿宋" w:cs="仿宋"/>
                <w:color w:val="auto"/>
                <w:szCs w:val="21"/>
                <w:highlight w:val="none"/>
                <w:shd w:val="clear" w:color="auto" w:fill="FFFFFF" w:themeFill="background1"/>
              </w:rPr>
              <w:t>，应提供相应文件证明其依法免税或不需要缴纳社会保障资金。</w:t>
            </w:r>
          </w:p>
        </w:tc>
      </w:tr>
      <w:tr w14:paraId="65E89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09F79602">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5</w:t>
            </w:r>
          </w:p>
        </w:tc>
        <w:tc>
          <w:tcPr>
            <w:tcW w:w="3659" w:type="dxa"/>
            <w:shd w:val="clear" w:color="auto" w:fill="auto"/>
            <w:vAlign w:val="center"/>
          </w:tcPr>
          <w:p w14:paraId="24CCB3BC">
            <w:pPr>
              <w:spacing w:line="360"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参加政府采购活动前三年内，在经营活动中没有重大违法记录</w:t>
            </w:r>
            <w:r>
              <w:rPr>
                <w:rFonts w:hint="eastAsia" w:ascii="仿宋" w:hAnsi="仿宋" w:eastAsia="仿宋" w:cs="仿宋"/>
                <w:color w:val="auto"/>
                <w:szCs w:val="21"/>
                <w:highlight w:val="none"/>
                <w:shd w:val="clear" w:color="auto" w:fill="FFFFFF" w:themeFill="background1"/>
                <w:lang w:eastAsia="zh-CN"/>
              </w:rPr>
              <w:t>。</w:t>
            </w:r>
          </w:p>
        </w:tc>
        <w:tc>
          <w:tcPr>
            <w:tcW w:w="4935" w:type="dxa"/>
            <w:vAlign w:val="center"/>
          </w:tcPr>
          <w:p w14:paraId="763C2B3A">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1"/>
                <w:highlight w:val="none"/>
              </w:rPr>
              <w:t>提供《参加政府采购活动前3年内在经营活动中没有重大违法记录的书面声明》，加盖</w:t>
            </w:r>
            <w:r>
              <w:rPr>
                <w:rFonts w:hint="eastAsia" w:ascii="仿宋" w:hAnsi="仿宋" w:eastAsia="仿宋" w:cs="仿宋"/>
                <w:color w:val="auto"/>
                <w:kern w:val="0"/>
                <w:szCs w:val="21"/>
                <w:highlight w:val="none"/>
                <w:lang w:eastAsia="zh-CN"/>
              </w:rPr>
              <w:t>供应商章</w:t>
            </w:r>
            <w:r>
              <w:rPr>
                <w:rFonts w:hint="eastAsia" w:ascii="仿宋" w:hAnsi="仿宋" w:eastAsia="仿宋" w:cs="仿宋"/>
                <w:color w:val="auto"/>
                <w:kern w:val="0"/>
                <w:szCs w:val="21"/>
                <w:highlight w:val="none"/>
              </w:rPr>
              <w:t>。</w:t>
            </w:r>
          </w:p>
        </w:tc>
      </w:tr>
      <w:tr w14:paraId="37407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34BE008D">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6</w:t>
            </w:r>
          </w:p>
        </w:tc>
        <w:tc>
          <w:tcPr>
            <w:tcW w:w="3659" w:type="dxa"/>
            <w:shd w:val="clear" w:color="auto" w:fill="auto"/>
            <w:vAlign w:val="center"/>
          </w:tcPr>
          <w:p w14:paraId="076756E5">
            <w:pPr>
              <w:spacing w:line="360" w:lineRule="auto"/>
              <w:jc w:val="left"/>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供应商为中小企业。</w:t>
            </w:r>
          </w:p>
        </w:tc>
        <w:tc>
          <w:tcPr>
            <w:tcW w:w="4935" w:type="dxa"/>
            <w:shd w:val="clear" w:color="auto" w:fill="auto"/>
            <w:vAlign w:val="center"/>
          </w:tcPr>
          <w:p w14:paraId="02F6EE47">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kern w:val="0"/>
                <w:sz w:val="21"/>
                <w:szCs w:val="24"/>
                <w:highlight w:val="none"/>
                <w:lang w:val="en-US" w:eastAsia="zh-CN" w:bidi="ar-SA"/>
              </w:rPr>
              <w:t>按采购文件要求提供声明函，</w:t>
            </w:r>
            <w:r>
              <w:rPr>
                <w:rFonts w:hint="eastAsia" w:ascii="仿宋" w:hAnsi="仿宋" w:eastAsia="仿宋" w:cs="仿宋"/>
                <w:color w:val="auto"/>
                <w:kern w:val="0"/>
                <w:szCs w:val="21"/>
                <w:highlight w:val="none"/>
              </w:rPr>
              <w:t>加盖</w:t>
            </w:r>
            <w:r>
              <w:rPr>
                <w:rFonts w:hint="eastAsia" w:ascii="仿宋" w:hAnsi="仿宋" w:eastAsia="仿宋" w:cs="仿宋"/>
                <w:color w:val="auto"/>
                <w:kern w:val="0"/>
                <w:szCs w:val="21"/>
                <w:highlight w:val="none"/>
                <w:lang w:eastAsia="zh-CN"/>
              </w:rPr>
              <w:t>供应商章</w:t>
            </w:r>
            <w:r>
              <w:rPr>
                <w:rFonts w:hint="eastAsia" w:ascii="仿宋" w:hAnsi="仿宋" w:eastAsia="仿宋" w:cs="仿宋"/>
                <w:color w:val="auto"/>
                <w:kern w:val="0"/>
                <w:sz w:val="21"/>
                <w:szCs w:val="24"/>
                <w:highlight w:val="none"/>
                <w:lang w:val="en-US" w:eastAsia="zh-CN" w:bidi="ar-SA"/>
              </w:rPr>
              <w:t>。</w:t>
            </w:r>
          </w:p>
        </w:tc>
      </w:tr>
      <w:tr w14:paraId="489F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0F3722F9">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7</w:t>
            </w:r>
          </w:p>
        </w:tc>
        <w:tc>
          <w:tcPr>
            <w:tcW w:w="3659" w:type="dxa"/>
            <w:shd w:val="clear" w:color="auto" w:fill="auto"/>
            <w:vAlign w:val="center"/>
          </w:tcPr>
          <w:p w14:paraId="034FA33B">
            <w:pPr>
              <w:spacing w:line="360" w:lineRule="auto"/>
              <w:jc w:val="left"/>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供应商如在“信用中国”网站（www.creditchina.gov.cn）、中国政府采购网（www.ccgp.gov.cn）等渠道被列入失信被执行人、重大税收违法失信主体、政府采购严重违法失信行为记录名单，尚在处罚期内的将被拒绝参加本次采购活动。</w:t>
            </w:r>
          </w:p>
        </w:tc>
        <w:tc>
          <w:tcPr>
            <w:tcW w:w="4935" w:type="dxa"/>
            <w:shd w:val="clear" w:color="auto" w:fill="auto"/>
            <w:vAlign w:val="center"/>
          </w:tcPr>
          <w:p w14:paraId="01936D70">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以采购人或者采购代理机构查询记录为准。</w:t>
            </w:r>
          </w:p>
        </w:tc>
      </w:tr>
      <w:tr w14:paraId="58131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9203" w:type="dxa"/>
            <w:gridSpan w:val="3"/>
            <w:vAlign w:val="center"/>
          </w:tcPr>
          <w:p w14:paraId="519BC66F">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备注： 如果资格评审中有一项不满足审查标准的，采购人将认定该供应商不通过资格审查，响应文件将被拒绝评审。并且不允许供应商通过修改或撤销其不符合要求的差异或保留，使之成为具有响应性的</w:t>
            </w:r>
            <w:r>
              <w:rPr>
                <w:rFonts w:hint="eastAsia" w:ascii="仿宋" w:hAnsi="仿宋" w:eastAsia="仿宋" w:cs="仿宋"/>
                <w:color w:val="auto"/>
                <w:szCs w:val="21"/>
                <w:highlight w:val="none"/>
                <w:shd w:val="clear" w:color="auto" w:fill="FFFFFF" w:themeFill="background1"/>
                <w:lang w:val="en-US" w:eastAsia="zh-CN"/>
              </w:rPr>
              <w:t>响应文件</w:t>
            </w:r>
            <w:r>
              <w:rPr>
                <w:rFonts w:hint="eastAsia" w:ascii="仿宋" w:hAnsi="仿宋" w:eastAsia="仿宋" w:cs="仿宋"/>
                <w:color w:val="auto"/>
                <w:szCs w:val="21"/>
                <w:highlight w:val="none"/>
                <w:shd w:val="clear" w:color="auto" w:fill="FFFFFF" w:themeFill="background1"/>
              </w:rPr>
              <w:t>。</w:t>
            </w:r>
          </w:p>
        </w:tc>
      </w:tr>
    </w:tbl>
    <w:p w14:paraId="08CAF33D">
      <w:pPr>
        <w:widowControl/>
        <w:shd w:val="clear" w:color="auto" w:fill="FFFFFF"/>
        <w:snapToGrid w:val="0"/>
        <w:spacing w:line="360" w:lineRule="auto"/>
        <w:jc w:val="center"/>
        <w:rPr>
          <w:rFonts w:hint="eastAsia" w:ascii="仿宋" w:hAnsi="仿宋" w:eastAsia="仿宋" w:cs="仿宋"/>
          <w:b/>
          <w:color w:val="auto"/>
          <w:kern w:val="0"/>
          <w:szCs w:val="21"/>
          <w:highlight w:val="none"/>
          <w:shd w:val="clear" w:color="auto" w:fill="FFFFFF" w:themeFill="background1"/>
        </w:rPr>
      </w:pPr>
      <w:bookmarkStart w:id="32" w:name="_Toc501719167"/>
    </w:p>
    <w:p w14:paraId="7E863419">
      <w:pPr>
        <w:widowControl/>
        <w:shd w:val="clear" w:color="auto" w:fill="FFFFFF"/>
        <w:snapToGrid w:val="0"/>
        <w:spacing w:line="360" w:lineRule="auto"/>
        <w:jc w:val="center"/>
        <w:rPr>
          <w:rFonts w:hint="eastAsia" w:ascii="仿宋" w:hAnsi="仿宋" w:eastAsia="仿宋" w:cs="仿宋"/>
          <w:b/>
          <w:color w:val="auto"/>
          <w:kern w:val="0"/>
          <w:szCs w:val="21"/>
          <w:highlight w:val="none"/>
          <w:shd w:val="clear" w:color="auto" w:fill="FFFFFF" w:themeFill="background1"/>
        </w:rPr>
      </w:pPr>
      <w:r>
        <w:rPr>
          <w:rFonts w:hint="eastAsia" w:ascii="仿宋" w:hAnsi="仿宋" w:eastAsia="仿宋" w:cs="仿宋"/>
          <w:b/>
          <w:color w:val="auto"/>
          <w:kern w:val="0"/>
          <w:szCs w:val="21"/>
          <w:highlight w:val="none"/>
          <w:shd w:val="clear" w:color="auto" w:fill="FFFFFF" w:themeFill="background1"/>
        </w:rPr>
        <w:t>《完备性及符合性审查标准》</w:t>
      </w:r>
      <w:bookmarkEnd w:id="32"/>
    </w:p>
    <w:tbl>
      <w:tblPr>
        <w:tblStyle w:val="43"/>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6"/>
        <w:gridCol w:w="4922"/>
        <w:gridCol w:w="3457"/>
      </w:tblGrid>
      <w:tr w14:paraId="7CF7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76" w:type="dxa"/>
            <w:vAlign w:val="center"/>
          </w:tcPr>
          <w:p w14:paraId="53EB2721">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序号</w:t>
            </w:r>
          </w:p>
        </w:tc>
        <w:tc>
          <w:tcPr>
            <w:tcW w:w="4922" w:type="dxa"/>
            <w:vAlign w:val="center"/>
          </w:tcPr>
          <w:p w14:paraId="65D7DA6F">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审查要求</w:t>
            </w:r>
          </w:p>
        </w:tc>
        <w:tc>
          <w:tcPr>
            <w:tcW w:w="3457" w:type="dxa"/>
            <w:vAlign w:val="center"/>
          </w:tcPr>
          <w:p w14:paraId="5ED69B3A">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要求说明</w:t>
            </w:r>
          </w:p>
        </w:tc>
      </w:tr>
      <w:tr w14:paraId="4C3A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3" w:hRule="atLeast"/>
          <w:jc w:val="center"/>
        </w:trPr>
        <w:tc>
          <w:tcPr>
            <w:tcW w:w="676" w:type="dxa"/>
            <w:vAlign w:val="center"/>
          </w:tcPr>
          <w:p w14:paraId="7FC61746">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w:t>
            </w:r>
          </w:p>
        </w:tc>
        <w:tc>
          <w:tcPr>
            <w:tcW w:w="4922" w:type="dxa"/>
            <w:vAlign w:val="center"/>
          </w:tcPr>
          <w:p w14:paraId="2023D90A">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响应文件必须按</w:t>
            </w:r>
            <w:r>
              <w:rPr>
                <w:rFonts w:hint="eastAsia" w:ascii="仿宋" w:hAnsi="仿宋" w:eastAsia="仿宋" w:cs="仿宋"/>
                <w:color w:val="auto"/>
                <w:szCs w:val="21"/>
                <w:highlight w:val="none"/>
                <w:shd w:val="clear" w:color="auto" w:fill="FFFFFF" w:themeFill="background1"/>
                <w:lang w:eastAsia="zh-CN"/>
              </w:rPr>
              <w:t>采购文件</w:t>
            </w:r>
            <w:r>
              <w:rPr>
                <w:rFonts w:hint="eastAsia" w:ascii="仿宋" w:hAnsi="仿宋" w:eastAsia="仿宋" w:cs="仿宋"/>
                <w:color w:val="auto"/>
                <w:szCs w:val="21"/>
                <w:highlight w:val="none"/>
                <w:shd w:val="clear" w:color="auto" w:fill="FFFFFF" w:themeFill="background1"/>
              </w:rPr>
              <w:t>要求加盖</w:t>
            </w:r>
            <w:r>
              <w:rPr>
                <w:rFonts w:hint="eastAsia" w:ascii="仿宋" w:hAnsi="仿宋" w:eastAsia="仿宋" w:cs="仿宋"/>
                <w:color w:val="auto"/>
                <w:szCs w:val="21"/>
                <w:highlight w:val="none"/>
                <w:shd w:val="clear" w:color="auto" w:fill="FFFFFF" w:themeFill="background1"/>
                <w:lang w:eastAsia="zh-CN"/>
              </w:rPr>
              <w:t>供应商章</w:t>
            </w:r>
            <w:r>
              <w:rPr>
                <w:rFonts w:hint="eastAsia" w:ascii="仿宋" w:hAnsi="仿宋" w:eastAsia="仿宋" w:cs="仿宋"/>
                <w:color w:val="auto"/>
                <w:szCs w:val="21"/>
                <w:highlight w:val="none"/>
                <w:shd w:val="clear" w:color="auto" w:fill="FFFFFF" w:themeFill="background1"/>
              </w:rPr>
              <w:t>、</w:t>
            </w:r>
            <w:r>
              <w:rPr>
                <w:rFonts w:hint="eastAsia" w:ascii="仿宋" w:hAnsi="仿宋" w:eastAsia="仿宋" w:cs="仿宋"/>
                <w:color w:val="auto"/>
                <w:szCs w:val="21"/>
                <w:highlight w:val="none"/>
                <w:shd w:val="clear" w:color="auto" w:fill="FFFFFF" w:themeFill="background1"/>
                <w:lang w:eastAsia="zh-CN"/>
              </w:rPr>
              <w:t>法定代表人章（或签字）</w:t>
            </w:r>
            <w:r>
              <w:rPr>
                <w:rFonts w:hint="eastAsia" w:ascii="仿宋" w:hAnsi="仿宋" w:eastAsia="仿宋" w:cs="仿宋"/>
                <w:color w:val="auto"/>
                <w:szCs w:val="21"/>
                <w:highlight w:val="none"/>
                <w:shd w:val="clear" w:color="auto" w:fill="FFFFFF" w:themeFill="background1"/>
              </w:rPr>
              <w:t>。</w:t>
            </w:r>
          </w:p>
        </w:tc>
        <w:tc>
          <w:tcPr>
            <w:tcW w:w="3457" w:type="dxa"/>
            <w:vAlign w:val="center"/>
          </w:tcPr>
          <w:p w14:paraId="5365F371">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w:t>
            </w:r>
          </w:p>
        </w:tc>
      </w:tr>
      <w:tr w14:paraId="79F9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76" w:type="dxa"/>
            <w:vAlign w:val="center"/>
          </w:tcPr>
          <w:p w14:paraId="5CA66B54">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w:t>
            </w:r>
          </w:p>
        </w:tc>
        <w:tc>
          <w:tcPr>
            <w:tcW w:w="4922" w:type="dxa"/>
            <w:vAlign w:val="center"/>
          </w:tcPr>
          <w:p w14:paraId="0B664427">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lang w:eastAsia="zh-CN"/>
              </w:rPr>
              <w:t>项目负责人</w:t>
            </w:r>
            <w:r>
              <w:rPr>
                <w:rFonts w:hint="eastAsia" w:ascii="仿宋" w:hAnsi="仿宋" w:eastAsia="仿宋" w:cs="仿宋"/>
                <w:color w:val="auto"/>
                <w:szCs w:val="21"/>
                <w:highlight w:val="none"/>
                <w:shd w:val="clear" w:color="auto" w:fill="FFFFFF" w:themeFill="background1"/>
              </w:rPr>
              <w:t>简历表必须提供。</w:t>
            </w:r>
          </w:p>
        </w:tc>
        <w:tc>
          <w:tcPr>
            <w:tcW w:w="3457" w:type="dxa"/>
            <w:vAlign w:val="center"/>
          </w:tcPr>
          <w:p w14:paraId="54CF4F45">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w:t>
            </w:r>
          </w:p>
        </w:tc>
      </w:tr>
      <w:tr w14:paraId="6EE2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76" w:type="dxa"/>
            <w:vAlign w:val="center"/>
          </w:tcPr>
          <w:p w14:paraId="35DAA3E6">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w:t>
            </w:r>
          </w:p>
        </w:tc>
        <w:tc>
          <w:tcPr>
            <w:tcW w:w="4922" w:type="dxa"/>
            <w:vAlign w:val="center"/>
          </w:tcPr>
          <w:p w14:paraId="5262203A">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lang w:eastAsia="zh-CN"/>
              </w:rPr>
              <w:t>合同履约期限</w:t>
            </w:r>
            <w:r>
              <w:rPr>
                <w:rFonts w:hint="eastAsia" w:ascii="仿宋" w:hAnsi="仿宋" w:eastAsia="仿宋" w:cs="仿宋"/>
                <w:color w:val="auto"/>
                <w:szCs w:val="21"/>
                <w:highlight w:val="none"/>
                <w:shd w:val="clear" w:color="auto" w:fill="FFFFFF" w:themeFill="background1"/>
              </w:rPr>
              <w:t>必须满足</w:t>
            </w:r>
            <w:r>
              <w:rPr>
                <w:rFonts w:hint="eastAsia" w:ascii="仿宋" w:hAnsi="仿宋" w:eastAsia="仿宋" w:cs="仿宋"/>
                <w:color w:val="auto"/>
                <w:szCs w:val="21"/>
                <w:highlight w:val="none"/>
                <w:shd w:val="clear" w:color="auto" w:fill="FFFFFF" w:themeFill="background1"/>
                <w:lang w:eastAsia="zh-CN"/>
              </w:rPr>
              <w:t>采购文件</w:t>
            </w:r>
            <w:r>
              <w:rPr>
                <w:rFonts w:hint="eastAsia" w:ascii="仿宋" w:hAnsi="仿宋" w:eastAsia="仿宋" w:cs="仿宋"/>
                <w:color w:val="auto"/>
                <w:szCs w:val="21"/>
                <w:highlight w:val="none"/>
                <w:shd w:val="clear" w:color="auto" w:fill="FFFFFF" w:themeFill="background1"/>
              </w:rPr>
              <w:t>要求。</w:t>
            </w:r>
          </w:p>
        </w:tc>
        <w:tc>
          <w:tcPr>
            <w:tcW w:w="3457" w:type="dxa"/>
            <w:vAlign w:val="center"/>
          </w:tcPr>
          <w:p w14:paraId="30BD786A">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w:t>
            </w:r>
          </w:p>
        </w:tc>
      </w:tr>
      <w:tr w14:paraId="13D7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76" w:type="dxa"/>
            <w:vAlign w:val="center"/>
          </w:tcPr>
          <w:p w14:paraId="25D51762">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4</w:t>
            </w:r>
          </w:p>
        </w:tc>
        <w:tc>
          <w:tcPr>
            <w:tcW w:w="4922" w:type="dxa"/>
            <w:vAlign w:val="center"/>
          </w:tcPr>
          <w:p w14:paraId="6258FC11">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lang w:eastAsia="zh-CN"/>
              </w:rPr>
              <w:t>响应价格</w:t>
            </w:r>
            <w:r>
              <w:rPr>
                <w:rFonts w:hint="eastAsia" w:ascii="仿宋" w:hAnsi="仿宋" w:eastAsia="仿宋" w:cs="仿宋"/>
                <w:color w:val="auto"/>
                <w:szCs w:val="21"/>
                <w:highlight w:val="none"/>
                <w:shd w:val="clear" w:color="auto" w:fill="FFFFFF" w:themeFill="background1"/>
              </w:rPr>
              <w:t>不得超过供应商须知前附表中的</w:t>
            </w:r>
            <w:r>
              <w:rPr>
                <w:rFonts w:hint="eastAsia" w:ascii="仿宋" w:hAnsi="仿宋" w:eastAsia="仿宋" w:cs="仿宋"/>
                <w:color w:val="auto"/>
                <w:szCs w:val="21"/>
                <w:highlight w:val="none"/>
                <w:shd w:val="clear" w:color="auto" w:fill="FFFFFF" w:themeFill="background1"/>
                <w:lang w:eastAsia="zh-CN"/>
              </w:rPr>
              <w:t>最高限价</w:t>
            </w:r>
            <w:r>
              <w:rPr>
                <w:rFonts w:hint="eastAsia" w:ascii="仿宋" w:hAnsi="仿宋" w:eastAsia="仿宋" w:cs="仿宋"/>
                <w:color w:val="auto"/>
                <w:szCs w:val="21"/>
                <w:highlight w:val="none"/>
                <w:shd w:val="clear" w:color="auto" w:fill="FFFFFF" w:themeFill="background1"/>
              </w:rPr>
              <w:t>。</w:t>
            </w:r>
          </w:p>
        </w:tc>
        <w:tc>
          <w:tcPr>
            <w:tcW w:w="3457" w:type="dxa"/>
            <w:vAlign w:val="center"/>
          </w:tcPr>
          <w:p w14:paraId="6DD4106C">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w:t>
            </w:r>
          </w:p>
        </w:tc>
      </w:tr>
      <w:tr w14:paraId="2E48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8" w:hRule="atLeast"/>
          <w:jc w:val="center"/>
        </w:trPr>
        <w:tc>
          <w:tcPr>
            <w:tcW w:w="676" w:type="dxa"/>
            <w:vAlign w:val="center"/>
          </w:tcPr>
          <w:p w14:paraId="5EEA6E81">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5</w:t>
            </w:r>
          </w:p>
        </w:tc>
        <w:tc>
          <w:tcPr>
            <w:tcW w:w="4922" w:type="dxa"/>
            <w:shd w:val="clear" w:color="auto" w:fill="auto"/>
            <w:vAlign w:val="center"/>
          </w:tcPr>
          <w:p w14:paraId="22B8E4E7">
            <w:pPr>
              <w:spacing w:line="360" w:lineRule="auto"/>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eastAsia="zh-CN"/>
              </w:rPr>
              <w:t>响应保证金</w:t>
            </w:r>
            <w:r>
              <w:rPr>
                <w:rFonts w:hint="eastAsia" w:ascii="仿宋" w:hAnsi="仿宋" w:eastAsia="仿宋" w:cs="仿宋"/>
                <w:color w:val="auto"/>
                <w:szCs w:val="21"/>
                <w:highlight w:val="none"/>
                <w:shd w:val="clear" w:color="auto" w:fill="FFFFFF" w:themeFill="background1"/>
              </w:rPr>
              <w:t>必须按照</w:t>
            </w:r>
            <w:r>
              <w:rPr>
                <w:rFonts w:hint="eastAsia" w:ascii="仿宋" w:hAnsi="仿宋" w:eastAsia="仿宋" w:cs="仿宋"/>
                <w:color w:val="auto"/>
                <w:szCs w:val="21"/>
                <w:highlight w:val="none"/>
                <w:shd w:val="clear" w:color="auto" w:fill="FFFFFF" w:themeFill="background1"/>
                <w:lang w:eastAsia="zh-CN"/>
              </w:rPr>
              <w:t>采购文件</w:t>
            </w:r>
            <w:r>
              <w:rPr>
                <w:rFonts w:hint="eastAsia" w:ascii="仿宋" w:hAnsi="仿宋" w:eastAsia="仿宋" w:cs="仿宋"/>
                <w:color w:val="auto"/>
                <w:szCs w:val="21"/>
                <w:highlight w:val="none"/>
                <w:shd w:val="clear" w:color="auto" w:fill="FFFFFF" w:themeFill="background1"/>
              </w:rPr>
              <w:t>要求缴纳。</w:t>
            </w:r>
          </w:p>
        </w:tc>
        <w:tc>
          <w:tcPr>
            <w:tcW w:w="3457" w:type="dxa"/>
            <w:shd w:val="clear" w:color="auto" w:fill="auto"/>
            <w:vAlign w:val="center"/>
          </w:tcPr>
          <w:p w14:paraId="4E8A4BFE">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保证金缴纳证明材料：汇款凭证或支票或汇票或保函或保证金收据等的扫描件。</w:t>
            </w:r>
          </w:p>
          <w:p w14:paraId="4F9E0C07">
            <w:pPr>
              <w:spacing w:line="360" w:lineRule="auto"/>
              <w:jc w:val="left"/>
              <w:rPr>
                <w:rFonts w:hint="eastAsia" w:ascii="仿宋" w:hAnsi="仿宋" w:eastAsia="仿宋" w:cs="仿宋"/>
                <w:color w:val="auto"/>
                <w:highlight w:val="none"/>
                <w:lang w:val="en-US" w:eastAsia="zh-CN"/>
              </w:rPr>
            </w:pPr>
            <w:r>
              <w:rPr>
                <w:rFonts w:hint="eastAsia" w:ascii="仿宋" w:hAnsi="仿宋" w:eastAsia="仿宋" w:cs="仿宋"/>
                <w:color w:val="auto"/>
                <w:szCs w:val="21"/>
                <w:highlight w:val="none"/>
                <w:shd w:val="clear" w:color="auto" w:fill="FFFFFF" w:themeFill="background1"/>
                <w:lang w:val="en-US" w:eastAsia="zh-CN"/>
              </w:rPr>
              <w:t>注：采用电汇方式缴纳</w:t>
            </w:r>
            <w:r>
              <w:rPr>
                <w:rFonts w:hint="eastAsia" w:ascii="仿宋" w:hAnsi="仿宋" w:eastAsia="仿宋" w:cs="仿宋"/>
                <w:color w:val="auto"/>
                <w:szCs w:val="21"/>
                <w:highlight w:val="none"/>
                <w:shd w:val="clear" w:color="auto" w:fill="FFFFFF" w:themeFill="background1"/>
                <w:lang w:eastAsia="zh-CN"/>
              </w:rPr>
              <w:t>响应保证金</w:t>
            </w:r>
            <w:r>
              <w:rPr>
                <w:rFonts w:hint="eastAsia" w:ascii="仿宋" w:hAnsi="仿宋" w:eastAsia="仿宋" w:cs="仿宋"/>
                <w:color w:val="auto"/>
                <w:szCs w:val="21"/>
                <w:highlight w:val="none"/>
                <w:shd w:val="clear" w:color="auto" w:fill="FFFFFF" w:themeFill="background1"/>
                <w:lang w:val="en-US" w:eastAsia="zh-CN"/>
              </w:rPr>
              <w:t>的，以采购代理机构查询结果为准。</w:t>
            </w:r>
          </w:p>
        </w:tc>
      </w:tr>
      <w:tr w14:paraId="3AD6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76" w:type="dxa"/>
            <w:vAlign w:val="center"/>
          </w:tcPr>
          <w:p w14:paraId="0A7EE060">
            <w:pPr>
              <w:spacing w:line="360" w:lineRule="auto"/>
              <w:jc w:val="center"/>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6</w:t>
            </w:r>
          </w:p>
        </w:tc>
        <w:tc>
          <w:tcPr>
            <w:tcW w:w="4922" w:type="dxa"/>
            <w:shd w:val="clear" w:color="auto" w:fill="auto"/>
            <w:vAlign w:val="center"/>
          </w:tcPr>
          <w:p w14:paraId="2D04D59F">
            <w:pPr>
              <w:spacing w:line="360"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响应文件符合</w:t>
            </w:r>
            <w:r>
              <w:rPr>
                <w:rFonts w:hint="eastAsia" w:ascii="仿宋" w:hAnsi="仿宋" w:eastAsia="仿宋" w:cs="仿宋"/>
                <w:color w:val="auto"/>
                <w:szCs w:val="21"/>
                <w:highlight w:val="none"/>
                <w:shd w:val="clear" w:color="auto" w:fill="FFFFFF" w:themeFill="background1"/>
                <w:lang w:eastAsia="zh-CN"/>
              </w:rPr>
              <w:t>采购文件</w:t>
            </w:r>
            <w:r>
              <w:rPr>
                <w:rFonts w:hint="eastAsia" w:ascii="仿宋" w:hAnsi="仿宋" w:eastAsia="仿宋" w:cs="仿宋"/>
                <w:color w:val="auto"/>
                <w:szCs w:val="21"/>
                <w:highlight w:val="none"/>
                <w:shd w:val="clear" w:color="auto" w:fill="FFFFFF" w:themeFill="background1"/>
              </w:rPr>
              <w:t>全部实质性要求。</w:t>
            </w:r>
          </w:p>
        </w:tc>
        <w:tc>
          <w:tcPr>
            <w:tcW w:w="3457" w:type="dxa"/>
            <w:shd w:val="clear" w:color="auto" w:fill="auto"/>
            <w:vAlign w:val="center"/>
          </w:tcPr>
          <w:p w14:paraId="282D439F">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w:t>
            </w:r>
          </w:p>
        </w:tc>
      </w:tr>
      <w:tr w14:paraId="351A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055" w:type="dxa"/>
            <w:gridSpan w:val="3"/>
            <w:vAlign w:val="center"/>
          </w:tcPr>
          <w:p w14:paraId="702762FB">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备注：完备性及符合性审查中有一项不满足评审标准的，磋商小组将认定该供应商不通过完备性及符合性审查，不得进入下一阶段评审。并且不允许供应商通过修改或撤销其不符合要求的差异或保留，使之成为具有响应性的</w:t>
            </w:r>
            <w:r>
              <w:rPr>
                <w:rFonts w:hint="eastAsia" w:ascii="仿宋" w:hAnsi="仿宋" w:eastAsia="仿宋" w:cs="仿宋"/>
                <w:color w:val="auto"/>
                <w:szCs w:val="21"/>
                <w:highlight w:val="none"/>
                <w:shd w:val="clear" w:color="auto" w:fill="FFFFFF" w:themeFill="background1"/>
                <w:lang w:val="en-US" w:eastAsia="zh-CN"/>
              </w:rPr>
              <w:t>响应文件</w:t>
            </w:r>
            <w:r>
              <w:rPr>
                <w:rFonts w:hint="eastAsia" w:ascii="仿宋" w:hAnsi="仿宋" w:eastAsia="仿宋" w:cs="仿宋"/>
                <w:color w:val="auto"/>
                <w:szCs w:val="21"/>
                <w:highlight w:val="none"/>
                <w:shd w:val="clear" w:color="auto" w:fill="FFFFFF" w:themeFill="background1"/>
              </w:rPr>
              <w:t>。</w:t>
            </w:r>
          </w:p>
        </w:tc>
      </w:tr>
    </w:tbl>
    <w:p w14:paraId="17A6AEC0">
      <w:pPr>
        <w:rPr>
          <w:rFonts w:hint="eastAsia" w:ascii="仿宋" w:hAnsi="仿宋" w:eastAsia="仿宋" w:cs="仿宋"/>
          <w:b/>
          <w:color w:val="auto"/>
          <w:kern w:val="0"/>
          <w:szCs w:val="21"/>
          <w:highlight w:val="none"/>
          <w:shd w:val="clear" w:color="auto" w:fill="FFFFFF" w:themeFill="background1"/>
        </w:rPr>
      </w:pPr>
    </w:p>
    <w:p w14:paraId="618B19DB">
      <w:pPr>
        <w:jc w:val="center"/>
        <w:rPr>
          <w:rFonts w:hint="eastAsia" w:ascii="仿宋" w:hAnsi="仿宋" w:eastAsia="仿宋" w:cs="仿宋"/>
          <w:b/>
          <w:color w:val="auto"/>
          <w:kern w:val="0"/>
          <w:szCs w:val="21"/>
          <w:highlight w:val="none"/>
          <w:shd w:val="clear" w:color="auto" w:fill="FFFFFF" w:themeFill="background1"/>
        </w:rPr>
      </w:pPr>
      <w:r>
        <w:rPr>
          <w:rFonts w:hint="eastAsia" w:ascii="仿宋" w:hAnsi="仿宋" w:eastAsia="仿宋" w:cs="仿宋"/>
          <w:b/>
          <w:color w:val="auto"/>
          <w:kern w:val="0"/>
          <w:szCs w:val="21"/>
          <w:highlight w:val="none"/>
          <w:shd w:val="clear" w:color="auto" w:fill="FFFFFF" w:themeFill="background1"/>
        </w:rPr>
        <w:t>《详细评审标准》</w:t>
      </w:r>
    </w:p>
    <w:p w14:paraId="6CC355A9">
      <w:pPr>
        <w:pStyle w:val="2"/>
        <w:ind w:left="0" w:leftChars="0" w:firstLine="0" w:firstLineChars="0"/>
        <w:rPr>
          <w:rFonts w:hint="eastAsia" w:ascii="仿宋" w:hAnsi="仿宋" w:eastAsia="仿宋" w:cs="仿宋"/>
          <w:b/>
          <w:color w:val="auto"/>
          <w:kern w:val="0"/>
          <w:szCs w:val="21"/>
          <w:highlight w:val="none"/>
          <w:shd w:val="clear" w:color="auto" w:fill="FFFFFF" w:themeFill="background1"/>
          <w:lang w:val="en-US" w:eastAsia="zh-CN"/>
        </w:rPr>
      </w:pPr>
    </w:p>
    <w:tbl>
      <w:tblPr>
        <w:tblStyle w:val="43"/>
        <w:tblW w:w="8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1515"/>
        <w:gridCol w:w="5923"/>
        <w:gridCol w:w="900"/>
      </w:tblGrid>
      <w:tr w14:paraId="5BDB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dxa"/>
            <w:noWrap w:val="0"/>
            <w:vAlign w:val="center"/>
          </w:tcPr>
          <w:p w14:paraId="53E86814">
            <w:pPr>
              <w:spacing w:before="34" w:line="240" w:lineRule="auto"/>
              <w:ind w:left="176" w:right="226" w:firstLine="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515" w:type="dxa"/>
            <w:noWrap w:val="0"/>
            <w:vAlign w:val="center"/>
          </w:tcPr>
          <w:p w14:paraId="18484A11">
            <w:pPr>
              <w:spacing w:before="34" w:line="240" w:lineRule="auto"/>
              <w:ind w:left="176" w:right="226" w:firstLine="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评分内容</w:t>
            </w:r>
          </w:p>
        </w:tc>
        <w:tc>
          <w:tcPr>
            <w:tcW w:w="5923" w:type="dxa"/>
            <w:noWrap w:val="0"/>
            <w:vAlign w:val="center"/>
          </w:tcPr>
          <w:p w14:paraId="7261BD4F">
            <w:pPr>
              <w:spacing w:before="34" w:line="240" w:lineRule="auto"/>
              <w:ind w:left="176" w:right="226" w:firstLine="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评审内容</w:t>
            </w:r>
          </w:p>
        </w:tc>
        <w:tc>
          <w:tcPr>
            <w:tcW w:w="900" w:type="dxa"/>
            <w:noWrap w:val="0"/>
            <w:vAlign w:val="center"/>
          </w:tcPr>
          <w:p w14:paraId="6BEF58B2">
            <w:pPr>
              <w:spacing w:before="34" w:line="240" w:lineRule="auto"/>
              <w:ind w:left="176" w:right="226" w:firstLine="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分值</w:t>
            </w:r>
          </w:p>
        </w:tc>
      </w:tr>
      <w:tr w14:paraId="2132C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589" w:type="dxa"/>
            <w:noWrap w:val="0"/>
            <w:vAlign w:val="center"/>
          </w:tcPr>
          <w:p w14:paraId="24E9F01A">
            <w:pPr>
              <w:spacing w:before="34" w:line="240" w:lineRule="auto"/>
              <w:ind w:left="176" w:right="226" w:firstLine="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515" w:type="dxa"/>
            <w:noWrap w:val="0"/>
            <w:vAlign w:val="center"/>
          </w:tcPr>
          <w:p w14:paraId="12B2FD75">
            <w:pPr>
              <w:spacing w:before="34" w:line="240" w:lineRule="auto"/>
              <w:ind w:left="176" w:right="226" w:firstLine="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w:t>
            </w:r>
          </w:p>
        </w:tc>
        <w:tc>
          <w:tcPr>
            <w:tcW w:w="5923" w:type="dxa"/>
            <w:noWrap w:val="0"/>
            <w:vAlign w:val="center"/>
          </w:tcPr>
          <w:p w14:paraId="244F85C9">
            <w:pPr>
              <w:spacing w:before="34" w:line="240" w:lineRule="auto"/>
              <w:ind w:right="226"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价格分采用低价优先法计算，即满足本招标文件要求的最低投标报价为评标基准价，其价格分为满分，其它投标人的价格分统一按照下列公式计算：</w:t>
            </w:r>
          </w:p>
          <w:p w14:paraId="5F8458BB">
            <w:pPr>
              <w:spacing w:before="34" w:line="240" w:lineRule="auto"/>
              <w:ind w:right="226"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投标报价得分=（评标基准价／投标报价）×价格分分值（精确到小数点后两位）。</w:t>
            </w:r>
          </w:p>
          <w:p w14:paraId="459637BC">
            <w:pPr>
              <w:spacing w:before="34" w:line="240" w:lineRule="auto"/>
              <w:ind w:right="226"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超过了采购项目预算或最高限价的，为无效投标。</w:t>
            </w:r>
          </w:p>
        </w:tc>
        <w:tc>
          <w:tcPr>
            <w:tcW w:w="900" w:type="dxa"/>
            <w:noWrap w:val="0"/>
            <w:vAlign w:val="center"/>
          </w:tcPr>
          <w:p w14:paraId="7C2A1948">
            <w:pPr>
              <w:spacing w:before="34" w:line="240" w:lineRule="auto"/>
              <w:ind w:left="176" w:right="226" w:firstLine="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w:t>
            </w:r>
          </w:p>
        </w:tc>
      </w:tr>
      <w:tr w14:paraId="582E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589" w:type="dxa"/>
            <w:vMerge w:val="restart"/>
            <w:shd w:val="clear" w:color="auto" w:fill="auto"/>
            <w:noWrap w:val="0"/>
            <w:vAlign w:val="center"/>
          </w:tcPr>
          <w:p w14:paraId="11E8BC8F">
            <w:pPr>
              <w:spacing w:before="34" w:line="240" w:lineRule="auto"/>
              <w:ind w:left="176" w:right="226" w:firstLine="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515" w:type="dxa"/>
            <w:shd w:val="clear" w:color="auto" w:fill="auto"/>
            <w:noWrap w:val="0"/>
            <w:vAlign w:val="center"/>
          </w:tcPr>
          <w:p w14:paraId="040D581A">
            <w:pPr>
              <w:spacing w:before="34" w:line="240" w:lineRule="auto"/>
              <w:ind w:left="176" w:right="226" w:firstLine="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企业资质</w:t>
            </w:r>
          </w:p>
        </w:tc>
        <w:tc>
          <w:tcPr>
            <w:tcW w:w="5923" w:type="dxa"/>
            <w:shd w:val="clear" w:color="000000" w:fill="FFFFFF"/>
            <w:noWrap w:val="0"/>
            <w:vAlign w:val="center"/>
          </w:tcPr>
          <w:p w14:paraId="382A5B21">
            <w:pPr>
              <w:spacing w:before="34" w:line="240" w:lineRule="auto"/>
              <w:ind w:right="226"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投标人具备质量管理体系认证证书（ISO9001）、IT 服务管理体系认证证书（ISO/IEC20000）、信息安全管理体系认证证书（ISO/IEC27001）、职业健康安全管理体系统认证证书（ISO/45001），每有1 个得 </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 xml:space="preserve"> 分，共</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 xml:space="preserve">分。 </w:t>
            </w:r>
          </w:p>
          <w:p w14:paraId="04EED258">
            <w:pPr>
              <w:spacing w:before="34" w:line="240" w:lineRule="auto"/>
              <w:ind w:right="226"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（以上证书要求在有效期内，否则不得分）</w:t>
            </w:r>
          </w:p>
        </w:tc>
        <w:tc>
          <w:tcPr>
            <w:tcW w:w="900" w:type="dxa"/>
            <w:shd w:val="clear" w:color="000000" w:fill="FFFFFF"/>
            <w:noWrap w:val="0"/>
            <w:vAlign w:val="center"/>
          </w:tcPr>
          <w:p w14:paraId="3EEC4F3F">
            <w:pPr>
              <w:spacing w:before="34" w:line="240" w:lineRule="auto"/>
              <w:ind w:left="176" w:right="226" w:firstLine="2"/>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8</w:t>
            </w:r>
          </w:p>
        </w:tc>
      </w:tr>
      <w:tr w14:paraId="3A97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89" w:type="dxa"/>
            <w:vMerge w:val="continue"/>
            <w:shd w:val="clear" w:color="auto" w:fill="auto"/>
            <w:noWrap w:val="0"/>
            <w:vAlign w:val="center"/>
          </w:tcPr>
          <w:p w14:paraId="3A8EAADE">
            <w:pPr>
              <w:spacing w:before="34" w:line="240" w:lineRule="auto"/>
              <w:ind w:left="176" w:right="226" w:firstLine="2"/>
              <w:rPr>
                <w:rFonts w:hint="eastAsia" w:ascii="仿宋" w:hAnsi="仿宋" w:eastAsia="仿宋" w:cs="仿宋"/>
                <w:color w:val="auto"/>
                <w:sz w:val="21"/>
                <w:szCs w:val="21"/>
                <w:highlight w:val="none"/>
              </w:rPr>
            </w:pPr>
          </w:p>
        </w:tc>
        <w:tc>
          <w:tcPr>
            <w:tcW w:w="1515" w:type="dxa"/>
            <w:shd w:val="clear" w:color="auto" w:fill="auto"/>
            <w:noWrap w:val="0"/>
            <w:vAlign w:val="center"/>
          </w:tcPr>
          <w:p w14:paraId="55343F5F">
            <w:pPr>
              <w:spacing w:before="34" w:line="240" w:lineRule="auto"/>
              <w:ind w:left="176" w:right="226" w:firstLine="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企业业绩</w:t>
            </w:r>
          </w:p>
        </w:tc>
        <w:tc>
          <w:tcPr>
            <w:tcW w:w="5923" w:type="dxa"/>
            <w:shd w:val="clear" w:color="auto" w:fill="auto"/>
            <w:noWrap w:val="0"/>
            <w:vAlign w:val="center"/>
          </w:tcPr>
          <w:p w14:paraId="1BE31836">
            <w:pPr>
              <w:spacing w:before="34" w:line="240" w:lineRule="auto"/>
              <w:ind w:right="226"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202</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日以来</w:t>
            </w:r>
            <w:r>
              <w:rPr>
                <w:rFonts w:hint="eastAsia" w:ascii="仿宋" w:hAnsi="仿宋" w:eastAsia="仿宋" w:cs="仿宋"/>
                <w:color w:val="auto"/>
                <w:sz w:val="21"/>
                <w:szCs w:val="21"/>
                <w:highlight w:val="none"/>
                <w:lang w:val="en-US" w:eastAsia="zh-CN"/>
              </w:rPr>
              <w:t>的类似业绩，</w:t>
            </w:r>
            <w:r>
              <w:rPr>
                <w:rFonts w:hint="eastAsia" w:ascii="仿宋" w:hAnsi="仿宋" w:eastAsia="仿宋" w:cs="仿宋"/>
                <w:color w:val="auto"/>
                <w:sz w:val="21"/>
                <w:szCs w:val="21"/>
                <w:highlight w:val="none"/>
              </w:rPr>
              <w:t>每</w:t>
            </w:r>
            <w:r>
              <w:rPr>
                <w:rFonts w:hint="eastAsia" w:ascii="仿宋" w:hAnsi="仿宋" w:eastAsia="仿宋" w:cs="仿宋"/>
                <w:color w:val="auto"/>
                <w:sz w:val="21"/>
                <w:szCs w:val="21"/>
                <w:highlight w:val="none"/>
                <w:lang w:eastAsia="zh-CN"/>
              </w:rPr>
              <w:t>提供</w:t>
            </w: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个</w:t>
            </w:r>
            <w:r>
              <w:rPr>
                <w:rFonts w:hint="eastAsia" w:ascii="仿宋" w:hAnsi="仿宋" w:eastAsia="仿宋" w:cs="仿宋"/>
                <w:color w:val="auto"/>
                <w:sz w:val="21"/>
                <w:szCs w:val="21"/>
                <w:highlight w:val="none"/>
              </w:rPr>
              <w:t>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分，满分共</w:t>
            </w:r>
            <w:r>
              <w:rPr>
                <w:rFonts w:hint="eastAsia" w:ascii="仿宋" w:hAnsi="仿宋" w:eastAsia="仿宋" w:cs="仿宋"/>
                <w:color w:val="auto"/>
                <w:sz w:val="21"/>
                <w:szCs w:val="21"/>
                <w:highlight w:val="none"/>
                <w:lang w:val="en-US" w:eastAsia="zh-CN"/>
              </w:rPr>
              <w:t>15</w:t>
            </w:r>
            <w:r>
              <w:rPr>
                <w:rFonts w:hint="eastAsia" w:ascii="仿宋" w:hAnsi="仿宋" w:eastAsia="仿宋" w:cs="仿宋"/>
                <w:color w:val="auto"/>
                <w:sz w:val="21"/>
                <w:szCs w:val="21"/>
                <w:highlight w:val="none"/>
              </w:rPr>
              <w:t xml:space="preserve">分。 </w:t>
            </w:r>
          </w:p>
          <w:p w14:paraId="310236B5">
            <w:pPr>
              <w:spacing w:before="34" w:line="240" w:lineRule="auto"/>
              <w:ind w:right="226"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注：合同要求必须提供加盖公章的合同首页、合同金额页、签字盖章页</w:t>
            </w:r>
            <w:r>
              <w:rPr>
                <w:rFonts w:hint="eastAsia" w:ascii="仿宋" w:hAnsi="仿宋" w:eastAsia="仿宋" w:cs="仿宋"/>
                <w:color w:val="auto"/>
                <w:sz w:val="21"/>
                <w:szCs w:val="21"/>
                <w:highlight w:val="none"/>
                <w:lang w:eastAsia="zh-CN"/>
              </w:rPr>
              <w:t>扫描件</w:t>
            </w:r>
            <w:r>
              <w:rPr>
                <w:rFonts w:hint="eastAsia" w:ascii="仿宋" w:hAnsi="仿宋" w:eastAsia="仿宋" w:cs="仿宋"/>
                <w:color w:val="auto"/>
                <w:sz w:val="21"/>
                <w:szCs w:val="21"/>
                <w:highlight w:val="none"/>
              </w:rPr>
              <w:t>，同一用户的同类型合同不得重复计分。</w:t>
            </w:r>
          </w:p>
        </w:tc>
        <w:tc>
          <w:tcPr>
            <w:tcW w:w="900" w:type="dxa"/>
            <w:shd w:val="clear" w:color="000000" w:fill="FFFFFF"/>
            <w:noWrap w:val="0"/>
            <w:vAlign w:val="center"/>
          </w:tcPr>
          <w:p w14:paraId="0C0AD32F">
            <w:pPr>
              <w:spacing w:before="34" w:line="240" w:lineRule="auto"/>
              <w:ind w:left="176" w:right="226" w:firstLine="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w:t>
            </w:r>
          </w:p>
        </w:tc>
      </w:tr>
      <w:tr w14:paraId="3DFC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89" w:type="dxa"/>
            <w:vMerge w:val="continue"/>
            <w:shd w:val="clear" w:color="auto" w:fill="auto"/>
            <w:noWrap w:val="0"/>
            <w:vAlign w:val="center"/>
          </w:tcPr>
          <w:p w14:paraId="7947C4AC">
            <w:pPr>
              <w:spacing w:before="34" w:line="240" w:lineRule="auto"/>
              <w:ind w:left="176" w:right="226" w:firstLine="2"/>
              <w:rPr>
                <w:rFonts w:hint="eastAsia" w:ascii="仿宋" w:hAnsi="仿宋" w:eastAsia="仿宋" w:cs="仿宋"/>
                <w:color w:val="auto"/>
                <w:sz w:val="21"/>
                <w:szCs w:val="21"/>
                <w:highlight w:val="none"/>
              </w:rPr>
            </w:pPr>
          </w:p>
        </w:tc>
        <w:tc>
          <w:tcPr>
            <w:tcW w:w="1515" w:type="dxa"/>
            <w:shd w:val="clear" w:color="auto" w:fill="auto"/>
            <w:noWrap w:val="0"/>
            <w:vAlign w:val="center"/>
          </w:tcPr>
          <w:p w14:paraId="66A720A1">
            <w:pPr>
              <w:spacing w:before="34" w:line="240" w:lineRule="auto"/>
              <w:ind w:left="176" w:right="226" w:firstLine="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人员配置</w:t>
            </w:r>
          </w:p>
        </w:tc>
        <w:tc>
          <w:tcPr>
            <w:tcW w:w="5923" w:type="dxa"/>
            <w:shd w:val="clear" w:color="auto" w:fill="auto"/>
            <w:noWrap w:val="0"/>
            <w:vAlign w:val="center"/>
          </w:tcPr>
          <w:p w14:paraId="06E098B8">
            <w:pPr>
              <w:numPr>
                <w:ilvl w:val="0"/>
                <w:numId w:val="0"/>
              </w:numPr>
              <w:spacing w:before="34" w:line="240" w:lineRule="auto"/>
              <w:ind w:right="226" w:righ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SA"/>
              </w:rPr>
              <w:t>1、</w:t>
            </w:r>
            <w:r>
              <w:rPr>
                <w:rFonts w:hint="eastAsia" w:ascii="仿宋" w:hAnsi="仿宋" w:eastAsia="仿宋" w:cs="仿宋"/>
                <w:color w:val="auto"/>
                <w:sz w:val="21"/>
                <w:szCs w:val="21"/>
                <w:highlight w:val="none"/>
              </w:rPr>
              <w:t xml:space="preserve">项目经理具备信息系统管理师（高级）的，得 </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 xml:space="preserve"> 分，否则得 0 分。 </w:t>
            </w:r>
          </w:p>
          <w:p w14:paraId="48E1E701">
            <w:pPr>
              <w:numPr>
                <w:ilvl w:val="0"/>
                <w:numId w:val="0"/>
              </w:numPr>
              <w:spacing w:before="34" w:line="240" w:lineRule="auto"/>
              <w:ind w:right="226" w:righ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2、</w:t>
            </w:r>
            <w:r>
              <w:rPr>
                <w:rFonts w:hint="eastAsia" w:ascii="仿宋" w:hAnsi="仿宋" w:eastAsia="仿宋" w:cs="仿宋"/>
                <w:color w:val="auto"/>
                <w:sz w:val="21"/>
                <w:szCs w:val="21"/>
                <w:highlight w:val="none"/>
              </w:rPr>
              <w:t>项目团队成员</w:t>
            </w:r>
            <w:r>
              <w:rPr>
                <w:rFonts w:hint="eastAsia" w:ascii="仿宋" w:hAnsi="仿宋" w:eastAsia="仿宋" w:cs="仿宋"/>
                <w:color w:val="auto"/>
                <w:sz w:val="21"/>
                <w:szCs w:val="21"/>
                <w:highlight w:val="none"/>
                <w:lang w:val="en-US" w:eastAsia="zh-CN"/>
              </w:rPr>
              <w:t>每提供1个</w:t>
            </w:r>
            <w:r>
              <w:rPr>
                <w:rFonts w:hint="eastAsia" w:ascii="仿宋" w:hAnsi="仿宋" w:eastAsia="仿宋" w:cs="仿宋"/>
                <w:color w:val="auto"/>
                <w:sz w:val="21"/>
                <w:szCs w:val="21"/>
                <w:highlight w:val="none"/>
              </w:rPr>
              <w:t>具有系统架构师</w:t>
            </w:r>
            <w:r>
              <w:rPr>
                <w:rFonts w:hint="eastAsia" w:ascii="仿宋" w:hAnsi="仿宋" w:eastAsia="仿宋" w:cs="仿宋"/>
                <w:color w:val="auto"/>
                <w:sz w:val="21"/>
                <w:szCs w:val="21"/>
                <w:highlight w:val="none"/>
                <w:u w:val="none"/>
                <w:lang w:eastAsia="zh-CN"/>
              </w:rPr>
              <w:t>或</w:t>
            </w:r>
            <w:r>
              <w:rPr>
                <w:rFonts w:hint="eastAsia" w:ascii="仿宋" w:hAnsi="仿宋" w:eastAsia="仿宋" w:cs="仿宋"/>
                <w:color w:val="auto"/>
                <w:sz w:val="21"/>
                <w:szCs w:val="21"/>
                <w:highlight w:val="none"/>
                <w:lang w:val="en-US" w:eastAsia="zh-CN"/>
              </w:rPr>
              <w:t>软件设计师</w:t>
            </w:r>
            <w:r>
              <w:rPr>
                <w:rFonts w:hint="eastAsia" w:ascii="仿宋" w:hAnsi="仿宋" w:eastAsia="仿宋" w:cs="仿宋"/>
                <w:color w:val="auto"/>
                <w:sz w:val="21"/>
                <w:szCs w:val="21"/>
                <w:highlight w:val="none"/>
              </w:rPr>
              <w:t xml:space="preserve">资质证书的得 </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val="en-US" w:eastAsia="zh-CN"/>
              </w:rPr>
              <w:t>最高得6分。</w:t>
            </w:r>
          </w:p>
          <w:p w14:paraId="38503ADD">
            <w:pPr>
              <w:numPr>
                <w:ilvl w:val="0"/>
                <w:numId w:val="0"/>
              </w:numPr>
              <w:spacing w:before="34" w:line="240" w:lineRule="auto"/>
              <w:ind w:right="226" w:righ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3、项目团队人员数量不少于 </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 xml:space="preserve"> 人的得 </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 xml:space="preserve"> 分，否则得 0 分。 </w:t>
            </w:r>
          </w:p>
          <w:p w14:paraId="0F7925C7">
            <w:pPr>
              <w:numPr>
                <w:ilvl w:val="0"/>
                <w:numId w:val="0"/>
              </w:numPr>
              <w:spacing w:before="34" w:line="240" w:lineRule="auto"/>
              <w:ind w:right="226" w:righ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（以上人员要求提供相关资质证书</w:t>
            </w:r>
            <w:r>
              <w:rPr>
                <w:rFonts w:hint="eastAsia" w:ascii="仿宋" w:hAnsi="仿宋" w:eastAsia="仿宋" w:cs="仿宋"/>
                <w:color w:val="auto"/>
                <w:sz w:val="21"/>
                <w:szCs w:val="21"/>
                <w:highlight w:val="none"/>
                <w:lang w:eastAsia="zh-CN"/>
              </w:rPr>
              <w:t>扫描件</w:t>
            </w:r>
            <w:r>
              <w:rPr>
                <w:rFonts w:hint="eastAsia" w:ascii="仿宋" w:hAnsi="仿宋" w:eastAsia="仿宋" w:cs="仿宋"/>
                <w:color w:val="auto"/>
                <w:sz w:val="21"/>
                <w:szCs w:val="21"/>
                <w:highlight w:val="none"/>
              </w:rPr>
              <w:t>及</w:t>
            </w:r>
            <w:r>
              <w:rPr>
                <w:rFonts w:hint="eastAsia" w:ascii="仿宋" w:hAnsi="仿宋" w:eastAsia="仿宋" w:cs="仿宋"/>
                <w:color w:val="auto"/>
                <w:sz w:val="21"/>
                <w:szCs w:val="21"/>
                <w:highlight w:val="none"/>
                <w:lang w:val="en-US" w:eastAsia="zh-CN"/>
              </w:rPr>
              <w:t>近3个月的</w:t>
            </w:r>
            <w:r>
              <w:rPr>
                <w:rFonts w:hint="eastAsia" w:ascii="仿宋" w:hAnsi="仿宋" w:eastAsia="仿宋" w:cs="仿宋"/>
                <w:color w:val="auto"/>
                <w:sz w:val="21"/>
                <w:szCs w:val="21"/>
                <w:highlight w:val="none"/>
              </w:rPr>
              <w:t>社保证明并加盖投标人公章，缺少其中任何一项不得分）</w:t>
            </w:r>
          </w:p>
        </w:tc>
        <w:tc>
          <w:tcPr>
            <w:tcW w:w="900" w:type="dxa"/>
            <w:shd w:val="clear" w:color="000000" w:fill="FFFFFF"/>
            <w:noWrap w:val="0"/>
            <w:vAlign w:val="center"/>
          </w:tcPr>
          <w:p w14:paraId="3D9F8792">
            <w:pPr>
              <w:spacing w:before="34" w:line="240" w:lineRule="auto"/>
              <w:ind w:left="176" w:right="226" w:firstLine="2"/>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p>
        </w:tc>
      </w:tr>
      <w:tr w14:paraId="428E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9" w:type="dxa"/>
            <w:shd w:val="clear" w:color="auto" w:fill="auto"/>
            <w:noWrap w:val="0"/>
            <w:vAlign w:val="center"/>
          </w:tcPr>
          <w:p w14:paraId="3887CCCA">
            <w:pPr>
              <w:spacing w:before="34" w:line="240" w:lineRule="auto"/>
              <w:ind w:left="176" w:right="226" w:firstLine="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515" w:type="dxa"/>
            <w:shd w:val="clear" w:color="auto" w:fill="auto"/>
            <w:noWrap w:val="0"/>
            <w:vAlign w:val="center"/>
          </w:tcPr>
          <w:p w14:paraId="44E0C795">
            <w:pPr>
              <w:spacing w:before="34" w:line="240" w:lineRule="auto"/>
              <w:ind w:left="176" w:right="226" w:firstLine="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驻场人员</w:t>
            </w:r>
          </w:p>
        </w:tc>
        <w:tc>
          <w:tcPr>
            <w:tcW w:w="5923" w:type="dxa"/>
            <w:shd w:val="clear" w:color="auto" w:fill="auto"/>
            <w:noWrap w:val="0"/>
            <w:vAlign w:val="center"/>
          </w:tcPr>
          <w:p w14:paraId="798528CA">
            <w:pPr>
              <w:spacing w:before="34" w:line="240" w:lineRule="auto"/>
              <w:ind w:right="226"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承诺</w:t>
            </w:r>
            <w:r>
              <w:rPr>
                <w:rFonts w:hint="eastAsia" w:ascii="仿宋" w:hAnsi="仿宋" w:eastAsia="仿宋" w:cs="仿宋"/>
                <w:color w:val="auto"/>
                <w:sz w:val="21"/>
                <w:szCs w:val="21"/>
                <w:highlight w:val="none"/>
                <w:lang w:val="en-US" w:eastAsia="zh-CN"/>
              </w:rPr>
              <w:t>在运维期间</w:t>
            </w:r>
            <w:r>
              <w:rPr>
                <w:rFonts w:hint="eastAsia" w:ascii="仿宋" w:hAnsi="仿宋" w:eastAsia="仿宋" w:cs="仿宋"/>
                <w:color w:val="auto"/>
                <w:sz w:val="21"/>
                <w:szCs w:val="21"/>
                <w:highlight w:val="none"/>
              </w:rPr>
              <w:t xml:space="preserve">提供 </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名</w:t>
            </w:r>
            <w:r>
              <w:rPr>
                <w:rFonts w:hint="eastAsia" w:ascii="仿宋" w:hAnsi="仿宋" w:eastAsia="仿宋" w:cs="仿宋"/>
                <w:color w:val="auto"/>
                <w:sz w:val="21"/>
                <w:szCs w:val="21"/>
                <w:highlight w:val="none"/>
                <w:lang w:val="en-US" w:eastAsia="zh-CN"/>
              </w:rPr>
              <w:t>及以上</w:t>
            </w:r>
            <w:r>
              <w:rPr>
                <w:rFonts w:hint="eastAsia" w:ascii="仿宋" w:hAnsi="仿宋" w:eastAsia="仿宋" w:cs="仿宋"/>
                <w:color w:val="auto"/>
                <w:sz w:val="21"/>
                <w:szCs w:val="21"/>
                <w:highlight w:val="none"/>
              </w:rPr>
              <w:t xml:space="preserve">驻场开发工程师的，得 </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否则不得分。</w:t>
            </w:r>
          </w:p>
        </w:tc>
        <w:tc>
          <w:tcPr>
            <w:tcW w:w="900" w:type="dxa"/>
            <w:shd w:val="clear" w:color="000000" w:fill="FFFFFF"/>
            <w:noWrap w:val="0"/>
            <w:vAlign w:val="center"/>
          </w:tcPr>
          <w:p w14:paraId="098077AC">
            <w:pPr>
              <w:spacing w:before="34" w:line="240" w:lineRule="auto"/>
              <w:ind w:left="176" w:right="226" w:firstLine="2"/>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p>
        </w:tc>
      </w:tr>
      <w:tr w14:paraId="39B2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589" w:type="dxa"/>
            <w:vMerge w:val="restart"/>
            <w:noWrap w:val="0"/>
            <w:vAlign w:val="center"/>
          </w:tcPr>
          <w:p w14:paraId="19D3BB39">
            <w:pPr>
              <w:spacing w:before="34" w:line="240" w:lineRule="auto"/>
              <w:ind w:left="176" w:right="226" w:firstLine="2"/>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p>
        </w:tc>
        <w:tc>
          <w:tcPr>
            <w:tcW w:w="1515" w:type="dxa"/>
            <w:vMerge w:val="restart"/>
            <w:noWrap w:val="0"/>
            <w:vAlign w:val="center"/>
          </w:tcPr>
          <w:p w14:paraId="330C9F7B">
            <w:pPr>
              <w:spacing w:before="34" w:line="240" w:lineRule="auto"/>
              <w:ind w:left="176" w:right="226" w:firstLine="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服务方案</w:t>
            </w:r>
          </w:p>
        </w:tc>
        <w:tc>
          <w:tcPr>
            <w:tcW w:w="5923" w:type="dxa"/>
            <w:tcBorders>
              <w:bottom w:val="single" w:color="auto" w:sz="4" w:space="0"/>
            </w:tcBorders>
            <w:noWrap w:val="0"/>
            <w:vAlign w:val="center"/>
          </w:tcPr>
          <w:p w14:paraId="03ABDC3F">
            <w:pPr>
              <w:spacing w:before="34" w:line="240" w:lineRule="auto"/>
              <w:ind w:right="226"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方案结合采购人信息化现状和《网络安全法》《数据安全法》、国家药监局相关要求，充分考虑相关应用系统的技术构架和功能设置，得10分；服务方案为通用方案，与运维的系统功能、技术构架和采购人需求结合不紧密，得5分；未提供服务方案的，不得分。</w:t>
            </w:r>
          </w:p>
        </w:tc>
        <w:tc>
          <w:tcPr>
            <w:tcW w:w="900" w:type="dxa"/>
            <w:tcBorders>
              <w:bottom w:val="single" w:color="auto" w:sz="4" w:space="0"/>
            </w:tcBorders>
            <w:noWrap w:val="0"/>
            <w:vAlign w:val="center"/>
          </w:tcPr>
          <w:p w14:paraId="0BFFB46A">
            <w:pPr>
              <w:spacing w:before="34" w:line="240" w:lineRule="auto"/>
              <w:ind w:left="176" w:right="226" w:firstLine="2"/>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0</w:t>
            </w:r>
          </w:p>
        </w:tc>
      </w:tr>
      <w:tr w14:paraId="5AB6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589" w:type="dxa"/>
            <w:vMerge w:val="continue"/>
            <w:noWrap w:val="0"/>
            <w:vAlign w:val="center"/>
          </w:tcPr>
          <w:p w14:paraId="56FD9DAD">
            <w:pPr>
              <w:spacing w:before="34" w:line="240" w:lineRule="auto"/>
              <w:ind w:left="176" w:right="226" w:firstLine="2"/>
              <w:rPr>
                <w:rFonts w:hint="eastAsia" w:ascii="仿宋" w:hAnsi="仿宋" w:eastAsia="仿宋" w:cs="仿宋"/>
                <w:color w:val="auto"/>
                <w:sz w:val="21"/>
                <w:szCs w:val="21"/>
                <w:highlight w:val="none"/>
              </w:rPr>
            </w:pPr>
          </w:p>
        </w:tc>
        <w:tc>
          <w:tcPr>
            <w:tcW w:w="1515" w:type="dxa"/>
            <w:vMerge w:val="continue"/>
            <w:tcBorders>
              <w:bottom w:val="single" w:color="auto" w:sz="4" w:space="0"/>
            </w:tcBorders>
            <w:noWrap w:val="0"/>
            <w:vAlign w:val="center"/>
          </w:tcPr>
          <w:p w14:paraId="4501876B">
            <w:pPr>
              <w:spacing w:before="34" w:line="240" w:lineRule="auto"/>
              <w:ind w:left="176" w:right="226" w:firstLine="2"/>
              <w:rPr>
                <w:rFonts w:hint="eastAsia" w:ascii="仿宋" w:hAnsi="仿宋" w:eastAsia="仿宋" w:cs="仿宋"/>
                <w:color w:val="auto"/>
                <w:sz w:val="21"/>
                <w:szCs w:val="21"/>
                <w:highlight w:val="none"/>
              </w:rPr>
            </w:pPr>
          </w:p>
        </w:tc>
        <w:tc>
          <w:tcPr>
            <w:tcW w:w="5923" w:type="dxa"/>
            <w:tcBorders>
              <w:bottom w:val="single" w:color="auto" w:sz="4" w:space="0"/>
            </w:tcBorders>
            <w:noWrap w:val="0"/>
            <w:vAlign w:val="center"/>
          </w:tcPr>
          <w:p w14:paraId="67418BB5">
            <w:pPr>
              <w:spacing w:before="34" w:line="240" w:lineRule="auto"/>
              <w:ind w:right="226"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服务内容全部响应，得7分，每出现1项负偏离扣3分，扣完为止。</w:t>
            </w:r>
          </w:p>
        </w:tc>
        <w:tc>
          <w:tcPr>
            <w:tcW w:w="900" w:type="dxa"/>
            <w:tcBorders>
              <w:bottom w:val="single" w:color="auto" w:sz="4" w:space="0"/>
            </w:tcBorders>
            <w:noWrap w:val="0"/>
            <w:vAlign w:val="center"/>
          </w:tcPr>
          <w:p w14:paraId="0E0E6850">
            <w:pPr>
              <w:spacing w:before="34" w:line="240" w:lineRule="auto"/>
              <w:ind w:left="176" w:right="226" w:firstLine="2"/>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7</w:t>
            </w:r>
          </w:p>
        </w:tc>
      </w:tr>
      <w:tr w14:paraId="42017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589" w:type="dxa"/>
            <w:noWrap w:val="0"/>
            <w:vAlign w:val="center"/>
          </w:tcPr>
          <w:p w14:paraId="404433DA">
            <w:pPr>
              <w:spacing w:before="34" w:line="240" w:lineRule="auto"/>
              <w:ind w:left="176" w:right="226" w:firstLine="2"/>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w:t>
            </w:r>
          </w:p>
        </w:tc>
        <w:tc>
          <w:tcPr>
            <w:tcW w:w="1515" w:type="dxa"/>
            <w:noWrap w:val="0"/>
            <w:vAlign w:val="center"/>
          </w:tcPr>
          <w:p w14:paraId="0F29DFB6">
            <w:pPr>
              <w:spacing w:before="34" w:line="240" w:lineRule="auto"/>
              <w:ind w:left="176" w:right="226" w:firstLine="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现场演示</w:t>
            </w:r>
          </w:p>
          <w:p w14:paraId="39B59B9C">
            <w:pPr>
              <w:spacing w:before="34" w:line="240" w:lineRule="auto"/>
              <w:ind w:left="176" w:right="226" w:firstLine="2"/>
              <w:rPr>
                <w:rFonts w:hint="eastAsia" w:ascii="仿宋" w:hAnsi="仿宋" w:eastAsia="仿宋" w:cs="仿宋"/>
                <w:color w:val="auto"/>
                <w:sz w:val="21"/>
                <w:szCs w:val="21"/>
                <w:highlight w:val="none"/>
              </w:rPr>
            </w:pPr>
          </w:p>
        </w:tc>
        <w:tc>
          <w:tcPr>
            <w:tcW w:w="5923" w:type="dxa"/>
            <w:noWrap w:val="0"/>
            <w:vAlign w:val="center"/>
          </w:tcPr>
          <w:p w14:paraId="26F3C81D">
            <w:pPr>
              <w:spacing w:before="34" w:line="240" w:lineRule="auto"/>
              <w:ind w:right="226"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演示内容包括财务内控系统的前后端技术构架、功能设置、运维思路、人员管理等，逻辑清楚、内容完整，得20分；</w:t>
            </w:r>
          </w:p>
          <w:p w14:paraId="0037AC0B">
            <w:pPr>
              <w:spacing w:before="34" w:line="240" w:lineRule="auto"/>
              <w:ind w:right="226"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演示内容有缺项，或不熟悉运维的系统的技术构架、功能设置的，得10分；</w:t>
            </w:r>
          </w:p>
          <w:p w14:paraId="27209ED5">
            <w:pPr>
              <w:spacing w:before="34" w:line="240" w:lineRule="auto"/>
              <w:ind w:right="226"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演示内容未结合采购人需求的，得5分；</w:t>
            </w:r>
          </w:p>
          <w:p w14:paraId="7E7A9196">
            <w:pPr>
              <w:spacing w:before="34" w:line="240" w:lineRule="auto"/>
              <w:ind w:right="226"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未进行系统演示，或仅采用PPT、原型等形式进行现场演示，不得分。</w:t>
            </w:r>
          </w:p>
          <w:p w14:paraId="6C911420">
            <w:pPr>
              <w:spacing w:before="34" w:line="240" w:lineRule="auto"/>
              <w:ind w:right="226"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采用腾讯会议进行演示，演示时间不得超过10分钟。</w:t>
            </w:r>
          </w:p>
          <w:p w14:paraId="4E3E2AD6">
            <w:pPr>
              <w:spacing w:before="34" w:line="240" w:lineRule="auto"/>
              <w:ind w:right="226" w:firstLine="422" w:firstLineChars="200"/>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（请参与本项目的各供应商在开标前自行测试其视屏会议设备，保证视屏会议正常开展。）</w:t>
            </w:r>
          </w:p>
        </w:tc>
        <w:tc>
          <w:tcPr>
            <w:tcW w:w="900" w:type="dxa"/>
            <w:noWrap w:val="0"/>
            <w:vAlign w:val="center"/>
          </w:tcPr>
          <w:p w14:paraId="144A617D">
            <w:pPr>
              <w:spacing w:before="34" w:line="240" w:lineRule="auto"/>
              <w:ind w:left="176" w:right="226" w:firstLine="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w:t>
            </w:r>
          </w:p>
        </w:tc>
      </w:tr>
    </w:tbl>
    <w:p w14:paraId="48ED72B7">
      <w:pPr>
        <w:pStyle w:val="2"/>
        <w:rPr>
          <w:rFonts w:hint="eastAsia" w:ascii="仿宋" w:hAnsi="仿宋" w:eastAsia="仿宋" w:cs="仿宋"/>
          <w:b/>
          <w:color w:val="auto"/>
          <w:kern w:val="0"/>
          <w:szCs w:val="21"/>
          <w:highlight w:val="none"/>
          <w:shd w:val="clear" w:color="auto" w:fill="FFFFFF" w:themeFill="background1"/>
          <w:lang w:val="en-US" w:eastAsia="zh-CN"/>
        </w:rPr>
      </w:pPr>
    </w:p>
    <w:p w14:paraId="762526ED">
      <w:pPr>
        <w:rPr>
          <w:rFonts w:hint="eastAsia" w:ascii="仿宋" w:hAnsi="仿宋" w:eastAsia="仿宋" w:cs="仿宋"/>
          <w:color w:val="auto"/>
          <w:highlight w:val="none"/>
        </w:rPr>
      </w:pPr>
    </w:p>
    <w:p w14:paraId="4D03BB7B">
      <w:pPr>
        <w:tabs>
          <w:tab w:val="center" w:pos="4832"/>
          <w:tab w:val="left" w:pos="7140"/>
        </w:tabs>
        <w:spacing w:line="360" w:lineRule="auto"/>
        <w:ind w:firstLine="472" w:firstLineChars="196"/>
        <w:jc w:val="left"/>
        <w:outlineLvl w:val="1"/>
        <w:rPr>
          <w:rFonts w:hint="eastAsia" w:ascii="仿宋" w:hAnsi="仿宋" w:eastAsia="仿宋" w:cs="仿宋"/>
          <w:color w:val="auto"/>
          <w:highlight w:val="none"/>
        </w:rPr>
      </w:pPr>
      <w:bookmarkStart w:id="33" w:name="_Toc16659"/>
      <w:r>
        <w:rPr>
          <w:rFonts w:hint="eastAsia" w:ascii="仿宋" w:hAnsi="仿宋" w:eastAsia="仿宋" w:cs="仿宋"/>
          <w:b/>
          <w:color w:val="auto"/>
          <w:sz w:val="24"/>
          <w:szCs w:val="24"/>
          <w:highlight w:val="none"/>
          <w:shd w:val="clear" w:color="auto" w:fill="FFFFFF" w:themeFill="background1"/>
        </w:rPr>
        <w:t>一、评审方法</w:t>
      </w:r>
      <w:bookmarkEnd w:id="33"/>
    </w:p>
    <w:p w14:paraId="297C5FE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本次评审采用综合评分法。磋商小组对满足</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实质性要求的响应文件，按照本节规定的评审标准进行评审。评审中各评审专家若发生意见分歧，以少数服从多数原则确定。</w:t>
      </w:r>
    </w:p>
    <w:p w14:paraId="56205253">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rPr>
      </w:pPr>
      <w:bookmarkStart w:id="34" w:name="_Toc28167"/>
      <w:r>
        <w:rPr>
          <w:rFonts w:hint="eastAsia" w:ascii="仿宋" w:hAnsi="仿宋" w:eastAsia="仿宋" w:cs="仿宋"/>
          <w:b/>
          <w:color w:val="auto"/>
          <w:sz w:val="24"/>
          <w:szCs w:val="24"/>
          <w:highlight w:val="none"/>
          <w:shd w:val="clear" w:color="auto" w:fill="FFFFFF" w:themeFill="background1"/>
        </w:rPr>
        <w:t>二、评审标准</w:t>
      </w:r>
      <w:bookmarkEnd w:id="34"/>
    </w:p>
    <w:p w14:paraId="1E3633D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2.1 资格审查：评审因素和评审标准见《资格审查标准》。</w:t>
      </w:r>
    </w:p>
    <w:p w14:paraId="23C2CCF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2.2 完备性及符合性审查：评审因素和评审标准见《完备性及符合性审查标准》。</w:t>
      </w:r>
    </w:p>
    <w:p w14:paraId="6890D3C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2.3详细评审：</w:t>
      </w:r>
    </w:p>
    <w:p w14:paraId="144353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2.3.1详细评审：评审因素和评审标准见《详细评审标准》及本节第3.6款。</w:t>
      </w:r>
    </w:p>
    <w:p w14:paraId="1C028AD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2.3.2 </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评分标准：</w:t>
      </w:r>
    </w:p>
    <w:p w14:paraId="07F0EB2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（1）分值构成及权重：见评审办法前附表。</w:t>
      </w:r>
    </w:p>
    <w:p w14:paraId="51F1F2B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（2）基准价计算：见评审办法前附表。</w:t>
      </w:r>
    </w:p>
    <w:p w14:paraId="0C3062E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得分的计算：见评审办法前附表。</w:t>
      </w:r>
    </w:p>
    <w:p w14:paraId="7DBFC3A1">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rPr>
      </w:pPr>
      <w:bookmarkStart w:id="35" w:name="_Toc32655"/>
      <w:r>
        <w:rPr>
          <w:rFonts w:hint="eastAsia" w:ascii="仿宋" w:hAnsi="仿宋" w:eastAsia="仿宋" w:cs="仿宋"/>
          <w:b/>
          <w:color w:val="auto"/>
          <w:sz w:val="24"/>
          <w:szCs w:val="24"/>
          <w:highlight w:val="none"/>
          <w:shd w:val="clear" w:color="auto" w:fill="FFFFFF" w:themeFill="background1"/>
        </w:rPr>
        <w:t>三、评审程序</w:t>
      </w:r>
      <w:bookmarkEnd w:id="35"/>
    </w:p>
    <w:p w14:paraId="7BCCB8D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3.1 基本程序</w:t>
      </w:r>
    </w:p>
    <w:p w14:paraId="569B9EE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评审活动将按以下步骤进行：</w:t>
      </w:r>
    </w:p>
    <w:p w14:paraId="7F1DE51E">
      <w:pPr>
        <w:pStyle w:val="67"/>
        <w:widowControl/>
        <w:numPr>
          <w:ilvl w:val="0"/>
          <w:numId w:val="2"/>
        </w:numPr>
        <w:shd w:val="clear" w:color="auto" w:fill="FFFFFF"/>
        <w:snapToGrid w:val="0"/>
        <w:spacing w:line="360" w:lineRule="auto"/>
        <w:ind w:firstLineChars="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评审准备</w:t>
      </w:r>
    </w:p>
    <w:p w14:paraId="2B74B87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 资格审查</w:t>
      </w:r>
    </w:p>
    <w:p w14:paraId="3E5346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 完备性及符合性审查</w:t>
      </w:r>
    </w:p>
    <w:p w14:paraId="577AEE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 第二轮报价</w:t>
      </w:r>
    </w:p>
    <w:p w14:paraId="4C7F17C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 详细评审</w:t>
      </w:r>
    </w:p>
    <w:p w14:paraId="6867AAA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（6） 澄清、说明或补正</w:t>
      </w:r>
    </w:p>
    <w:p w14:paraId="500C738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 推荐成交候选人及提交评审报告</w:t>
      </w:r>
    </w:p>
    <w:p w14:paraId="04B4EFD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 评审准备</w:t>
      </w:r>
    </w:p>
    <w:p w14:paraId="3864AF2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3.2.1磋商小组成员签到</w:t>
      </w:r>
    </w:p>
    <w:p w14:paraId="175E607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磋商小组成员到达评审现场时应当在签到表上签到以证明其出席。</w:t>
      </w:r>
    </w:p>
    <w:p w14:paraId="1956AA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3.2.2 磋商小组的分工</w:t>
      </w:r>
    </w:p>
    <w:p w14:paraId="69C62CA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3.2.2.1磋商小组首先推选一名磋商小组组长。磋商小组组长负责评审活动的组织领导工作。磋商小组组长与磋商小组其他成员具有同等的评审权力。</w:t>
      </w:r>
    </w:p>
    <w:p w14:paraId="4F65D06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3.2.2.2 磋商小组组长除履行自己作为磋商小组成员独立评审的职责外，主要负责以下工作： </w:t>
      </w:r>
    </w:p>
    <w:p w14:paraId="08B1901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（1）组织磋商小组成员学习</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w:t>
      </w:r>
    </w:p>
    <w:p w14:paraId="2DEF34C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（2）汇总各磋商小组成员认为需要供应商澄清、说明或者补正的问题；</w:t>
      </w:r>
    </w:p>
    <w:p w14:paraId="2DC0894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（3）组织磋商小组对供应商质询并对供应商的答复进行评审；</w:t>
      </w:r>
    </w:p>
    <w:p w14:paraId="2D84CAC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（4）对出现较大争议的事项进行书面记录；</w:t>
      </w:r>
    </w:p>
    <w:p w14:paraId="6B93696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（5）组织收回评审过程中使用的文件、表格和评审记录以及其他资料，并查验评审记录的完整性及有效性；</w:t>
      </w:r>
    </w:p>
    <w:p w14:paraId="677CC25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（6）组织对评审结论进行复核确认；</w:t>
      </w:r>
    </w:p>
    <w:p w14:paraId="347332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（7）组织编写评审报告。</w:t>
      </w:r>
    </w:p>
    <w:p w14:paraId="028F6F7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3.2.3 熟悉文件资料</w:t>
      </w:r>
    </w:p>
    <w:p w14:paraId="2BFB9D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3.2.3.1 磋商小组组长应当组织磋商小组成员认真研究</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，了解和熟悉</w:t>
      </w:r>
      <w:r>
        <w:rPr>
          <w:rFonts w:hint="eastAsia" w:ascii="仿宋" w:hAnsi="仿宋" w:eastAsia="仿宋" w:cs="仿宋"/>
          <w:color w:val="auto"/>
          <w:kern w:val="0"/>
          <w:sz w:val="24"/>
          <w:szCs w:val="24"/>
          <w:highlight w:val="none"/>
          <w:shd w:val="clear" w:color="auto" w:fill="FFFFFF" w:themeFill="background1"/>
          <w:lang w:eastAsia="zh-CN"/>
        </w:rPr>
        <w:t>采购</w:t>
      </w:r>
      <w:r>
        <w:rPr>
          <w:rFonts w:hint="eastAsia" w:ascii="仿宋" w:hAnsi="仿宋" w:eastAsia="仿宋" w:cs="仿宋"/>
          <w:color w:val="auto"/>
          <w:kern w:val="0"/>
          <w:sz w:val="24"/>
          <w:szCs w:val="24"/>
          <w:highlight w:val="none"/>
          <w:shd w:val="clear" w:color="auto" w:fill="FFFFFF" w:themeFill="background1"/>
        </w:rPr>
        <w:t>目的、采购范围、主要合同条件、技术标准、质量标准和要求，掌握评审标准和方法，熟悉本章及附件中包括的评审表格的使用，如果本章及附件所附的表格不能满足评审所需时，磋商小组应当补充编制评审所需的表格。</w:t>
      </w:r>
    </w:p>
    <w:p w14:paraId="0E5AF34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3.2.3.2 采购人或采购代理机构应当向磋商小组提供评审所需的信息和数据，包括：</w:t>
      </w:r>
    </w:p>
    <w:p w14:paraId="69F87EA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及其澄清修改等</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补充；</w:t>
      </w:r>
    </w:p>
    <w:p w14:paraId="7CB05DC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（2）未在</w:t>
      </w:r>
      <w:r>
        <w:rPr>
          <w:rFonts w:hint="eastAsia" w:ascii="仿宋" w:hAnsi="仿宋" w:eastAsia="仿宋" w:cs="仿宋"/>
          <w:color w:val="auto"/>
          <w:kern w:val="0"/>
          <w:sz w:val="24"/>
          <w:szCs w:val="24"/>
          <w:highlight w:val="none"/>
          <w:shd w:val="clear" w:color="auto" w:fill="FFFFFF" w:themeFill="background1"/>
          <w:lang w:eastAsia="zh-CN"/>
        </w:rPr>
        <w:t>开启</w:t>
      </w:r>
      <w:r>
        <w:rPr>
          <w:rFonts w:hint="eastAsia" w:ascii="仿宋" w:hAnsi="仿宋" w:eastAsia="仿宋" w:cs="仿宋"/>
          <w:color w:val="auto"/>
          <w:kern w:val="0"/>
          <w:sz w:val="24"/>
          <w:szCs w:val="24"/>
          <w:highlight w:val="none"/>
          <w:shd w:val="clear" w:color="auto" w:fill="FFFFFF" w:themeFill="background1"/>
        </w:rPr>
        <w:t>会上当场拒绝的各响应文件；</w:t>
      </w:r>
    </w:p>
    <w:p w14:paraId="3BBC9B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w:t>
      </w:r>
      <w:r>
        <w:rPr>
          <w:rFonts w:hint="eastAsia" w:ascii="仿宋" w:hAnsi="仿宋" w:eastAsia="仿宋" w:cs="仿宋"/>
          <w:color w:val="auto"/>
          <w:kern w:val="0"/>
          <w:sz w:val="24"/>
          <w:szCs w:val="24"/>
          <w:highlight w:val="none"/>
          <w:shd w:val="clear" w:color="auto" w:fill="FFFFFF" w:themeFill="background1"/>
          <w:lang w:eastAsia="zh-CN"/>
        </w:rPr>
        <w:t>开启</w:t>
      </w:r>
      <w:r>
        <w:rPr>
          <w:rFonts w:hint="eastAsia" w:ascii="仿宋" w:hAnsi="仿宋" w:eastAsia="仿宋" w:cs="仿宋"/>
          <w:color w:val="auto"/>
          <w:kern w:val="0"/>
          <w:sz w:val="24"/>
          <w:szCs w:val="24"/>
          <w:highlight w:val="none"/>
          <w:shd w:val="clear" w:color="auto" w:fill="FFFFFF" w:themeFill="background1"/>
        </w:rPr>
        <w:t>会记录；</w:t>
      </w:r>
    </w:p>
    <w:p w14:paraId="6136A0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（4）评审表格；</w:t>
      </w:r>
    </w:p>
    <w:p w14:paraId="197035E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（5）其他信息和数据。</w:t>
      </w:r>
    </w:p>
    <w:p w14:paraId="7B9E82A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3.3资格审查（适用于资格后审）</w:t>
      </w:r>
    </w:p>
    <w:p w14:paraId="4843493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采购人依据本章规定的评审因素和审查标准，对供应商的资格审查资料进行资格审查。资格审查有一项未通过审查标准，采购人将认定整个响应文件不响应</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而否决其</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，并且不允许供应商通过修改或撤销其不符合要求的差异或保留，使之成为具有响应性的</w:t>
      </w:r>
      <w:r>
        <w:rPr>
          <w:rFonts w:hint="eastAsia" w:ascii="仿宋" w:hAnsi="仿宋" w:eastAsia="仿宋" w:cs="仿宋"/>
          <w:color w:val="auto"/>
          <w:kern w:val="0"/>
          <w:sz w:val="24"/>
          <w:szCs w:val="24"/>
          <w:highlight w:val="none"/>
          <w:shd w:val="clear" w:color="auto" w:fill="FFFFFF" w:themeFill="background1"/>
          <w:lang w:val="en-US" w:eastAsia="zh-CN"/>
        </w:rPr>
        <w:t>响应文件</w:t>
      </w:r>
      <w:r>
        <w:rPr>
          <w:rFonts w:hint="eastAsia" w:ascii="仿宋" w:hAnsi="仿宋" w:eastAsia="仿宋" w:cs="仿宋"/>
          <w:color w:val="auto"/>
          <w:kern w:val="0"/>
          <w:sz w:val="24"/>
          <w:szCs w:val="24"/>
          <w:highlight w:val="none"/>
          <w:shd w:val="clear" w:color="auto" w:fill="FFFFFF" w:themeFill="background1"/>
        </w:rPr>
        <w:t>。</w:t>
      </w:r>
    </w:p>
    <w:p w14:paraId="7199163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3.4完备性及符合性审查</w:t>
      </w:r>
    </w:p>
    <w:p w14:paraId="349F7A8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3.4.1 磋商小组依据本章规定的评审因素和评审标准，对供应商的响应文件进行完备性及符合性审查。完备性及符合性审查有一项未通过评审标准，磋商小组将认定整个响应文件不响应</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而否决其</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，并且不允许供应商通过修改或撤销其不符合要求的差异或保留，使之成为具有响应性的</w:t>
      </w:r>
      <w:r>
        <w:rPr>
          <w:rFonts w:hint="eastAsia" w:ascii="仿宋" w:hAnsi="仿宋" w:eastAsia="仿宋" w:cs="仿宋"/>
          <w:color w:val="auto"/>
          <w:kern w:val="0"/>
          <w:sz w:val="24"/>
          <w:szCs w:val="24"/>
          <w:highlight w:val="none"/>
          <w:shd w:val="clear" w:color="auto" w:fill="FFFFFF" w:themeFill="background1"/>
          <w:lang w:val="en-US" w:eastAsia="zh-CN"/>
        </w:rPr>
        <w:t>响应文件</w:t>
      </w:r>
      <w:r>
        <w:rPr>
          <w:rFonts w:hint="eastAsia" w:ascii="仿宋" w:hAnsi="仿宋" w:eastAsia="仿宋" w:cs="仿宋"/>
          <w:color w:val="auto"/>
          <w:kern w:val="0"/>
          <w:sz w:val="24"/>
          <w:szCs w:val="24"/>
          <w:highlight w:val="none"/>
          <w:shd w:val="clear" w:color="auto" w:fill="FFFFFF" w:themeFill="background1"/>
        </w:rPr>
        <w:t>。</w:t>
      </w:r>
    </w:p>
    <w:p w14:paraId="7AFAF45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3.4.2 完备性及符合性审查条款是指对本采购项目产生了重大影响的重大偏差，而且纠正此类偏差将会对响应本次</w:t>
      </w:r>
      <w:r>
        <w:rPr>
          <w:rFonts w:hint="eastAsia" w:ascii="仿宋" w:hAnsi="仿宋" w:eastAsia="仿宋" w:cs="仿宋"/>
          <w:color w:val="auto"/>
          <w:kern w:val="0"/>
          <w:sz w:val="24"/>
          <w:szCs w:val="24"/>
          <w:highlight w:val="none"/>
          <w:shd w:val="clear" w:color="auto" w:fill="FFFFFF" w:themeFill="background1"/>
          <w:lang w:eastAsia="zh-CN"/>
        </w:rPr>
        <w:t>采购</w:t>
      </w:r>
      <w:r>
        <w:rPr>
          <w:rFonts w:hint="eastAsia" w:ascii="仿宋" w:hAnsi="仿宋" w:eastAsia="仿宋" w:cs="仿宋"/>
          <w:color w:val="auto"/>
          <w:kern w:val="0"/>
          <w:sz w:val="24"/>
          <w:szCs w:val="24"/>
          <w:highlight w:val="none"/>
          <w:shd w:val="clear" w:color="auto" w:fill="FFFFFF" w:themeFill="background1"/>
        </w:rPr>
        <w:t>的其他供应商的竞争地位产生不公正的影响。</w:t>
      </w:r>
    </w:p>
    <w:p w14:paraId="265C491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3.4.3细微偏差是指响应文件在实质上响应</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14:paraId="277F287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3.5第二轮报价</w:t>
      </w:r>
    </w:p>
    <w:p w14:paraId="12BADC9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3.5.1、按照供应商递交响应文件的逆顺序，由磋商小组与各供应商进行磋商，对响应文件中的漏项、错误等问题进行统一补充和修正并告知供应商，在此基础上进行第二轮</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w:t>
      </w:r>
    </w:p>
    <w:p w14:paraId="0A76C03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3.5.2、供应商分别进行各自第二轮</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，作为最终</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的依据。若供应商未进行第二轮报价，视为放弃响应资格；其响应无效；不在参与后续评审。</w:t>
      </w:r>
    </w:p>
    <w:p w14:paraId="27F884F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3.6、详细评审</w:t>
      </w:r>
    </w:p>
    <w:p w14:paraId="07C722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3.6.1. 只有通过了第二轮报价方可进入详细评审。</w:t>
      </w:r>
    </w:p>
    <w:p w14:paraId="6118FF8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3.6.2 澄清、说明和补正</w:t>
      </w:r>
    </w:p>
    <w:p w14:paraId="72524BF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3.6.2.1在不改变供应商响应文件实质性内容的前提下，磋商小组应当对响应文件进行基础性数据分析和整理，从而发现并提取其中可能存在的对采购范围理解的偏差、技术响应偏离、</w:t>
      </w:r>
      <w:r>
        <w:rPr>
          <w:rFonts w:hint="eastAsia" w:ascii="仿宋" w:hAnsi="仿宋" w:eastAsia="仿宋" w:cs="仿宋"/>
          <w:color w:val="auto"/>
          <w:kern w:val="0"/>
          <w:sz w:val="24"/>
          <w:szCs w:val="24"/>
          <w:highlight w:val="none"/>
          <w:shd w:val="clear" w:color="auto" w:fill="FFFFFF" w:themeFill="background1"/>
          <w:lang w:eastAsia="zh-CN"/>
        </w:rPr>
        <w:t>响应价格</w:t>
      </w:r>
      <w:r>
        <w:rPr>
          <w:rFonts w:hint="eastAsia" w:ascii="仿宋" w:hAnsi="仿宋" w:eastAsia="仿宋" w:cs="仿宋"/>
          <w:color w:val="auto"/>
          <w:kern w:val="0"/>
          <w:sz w:val="24"/>
          <w:szCs w:val="24"/>
          <w:highlight w:val="none"/>
          <w:shd w:val="clear" w:color="auto" w:fill="FFFFFF" w:themeFill="background1"/>
        </w:rPr>
        <w:t>的算术性错误、错漏项、</w:t>
      </w:r>
      <w:r>
        <w:rPr>
          <w:rFonts w:hint="eastAsia" w:ascii="仿宋" w:hAnsi="仿宋" w:eastAsia="仿宋" w:cs="仿宋"/>
          <w:color w:val="auto"/>
          <w:kern w:val="0"/>
          <w:sz w:val="24"/>
          <w:szCs w:val="24"/>
          <w:highlight w:val="none"/>
          <w:shd w:val="clear" w:color="auto" w:fill="FFFFFF" w:themeFill="background1"/>
          <w:lang w:eastAsia="zh-CN"/>
        </w:rPr>
        <w:t>响应价格</w:t>
      </w:r>
      <w:r>
        <w:rPr>
          <w:rFonts w:hint="eastAsia" w:ascii="仿宋" w:hAnsi="仿宋" w:eastAsia="仿宋" w:cs="仿宋"/>
          <w:color w:val="auto"/>
          <w:kern w:val="0"/>
          <w:sz w:val="24"/>
          <w:szCs w:val="24"/>
          <w:highlight w:val="none"/>
          <w:shd w:val="clear" w:color="auto" w:fill="FFFFFF" w:themeFill="background1"/>
        </w:rPr>
        <w:t>构成不合理、不平衡报价等存在明显异常的问题。</w:t>
      </w:r>
    </w:p>
    <w:p w14:paraId="6F923D9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3.6.2.2澄清、说明和补正内容不得改变响应文件的实质性内容（算术性错误修正的除外）。供应商的书面澄清、说明和补正属于响应文件的组成部分。</w:t>
      </w:r>
    </w:p>
    <w:p w14:paraId="098AB2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3.6.2.3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组的要求提供书面澄清资料，并在规定的时间递交到指定地点。磋商小组不接受供应商主动提出的澄清、说明或补正。</w:t>
      </w:r>
    </w:p>
    <w:p w14:paraId="550BCE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3.6.2.4磋商小组对供应商提交的澄清、说明或补正有疑问的，可以要求供应商进一步澄清、说明或补正，直至满足磋商小组的要求。</w:t>
      </w:r>
    </w:p>
    <w:p w14:paraId="666D502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3.6.3评审专家评分：评审专家按照《详细评审标准》评分，供应商详细评审得分等于全部评审专家评分的算术平均值。</w:t>
      </w:r>
    </w:p>
    <w:p w14:paraId="565E434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 算术错误修正：</w:t>
      </w:r>
      <w:r>
        <w:rPr>
          <w:rFonts w:hint="eastAsia" w:ascii="仿宋" w:hAnsi="仿宋" w:eastAsia="仿宋" w:cs="仿宋"/>
          <w:color w:val="auto"/>
          <w:kern w:val="0"/>
          <w:sz w:val="24"/>
          <w:szCs w:val="24"/>
          <w:highlight w:val="none"/>
          <w:shd w:val="clear" w:color="auto" w:fill="FFFFFF" w:themeFill="background1"/>
          <w:lang w:eastAsia="zh-CN"/>
        </w:rPr>
        <w:t>响应价格</w:t>
      </w:r>
      <w:r>
        <w:rPr>
          <w:rFonts w:hint="eastAsia" w:ascii="仿宋" w:hAnsi="仿宋" w:eastAsia="仿宋" w:cs="仿宋"/>
          <w:color w:val="auto"/>
          <w:kern w:val="0"/>
          <w:sz w:val="24"/>
          <w:szCs w:val="24"/>
          <w:highlight w:val="none"/>
        </w:rPr>
        <w:t>有算术错误或前后不一致的，</w:t>
      </w:r>
      <w:r>
        <w:rPr>
          <w:rFonts w:hint="eastAsia" w:ascii="仿宋" w:hAnsi="仿宋" w:eastAsia="仿宋" w:cs="仿宋"/>
          <w:color w:val="auto"/>
          <w:kern w:val="0"/>
          <w:sz w:val="24"/>
          <w:szCs w:val="24"/>
          <w:highlight w:val="none"/>
          <w:shd w:val="clear" w:color="auto" w:fill="FFFFFF" w:themeFill="background1"/>
        </w:rPr>
        <w:t>磋商小组</w:t>
      </w:r>
      <w:r>
        <w:rPr>
          <w:rFonts w:hint="eastAsia" w:ascii="仿宋" w:hAnsi="仿宋" w:eastAsia="仿宋" w:cs="仿宋"/>
          <w:color w:val="auto"/>
          <w:kern w:val="0"/>
          <w:sz w:val="24"/>
          <w:szCs w:val="24"/>
          <w:highlight w:val="none"/>
        </w:rPr>
        <w:t>按以下原则对</w:t>
      </w:r>
      <w:r>
        <w:rPr>
          <w:rFonts w:hint="eastAsia" w:ascii="仿宋" w:hAnsi="仿宋" w:eastAsia="仿宋" w:cs="仿宋"/>
          <w:color w:val="auto"/>
          <w:kern w:val="0"/>
          <w:sz w:val="24"/>
          <w:szCs w:val="24"/>
          <w:highlight w:val="none"/>
          <w:shd w:val="clear" w:color="auto" w:fill="FFFFFF" w:themeFill="background1"/>
          <w:lang w:eastAsia="zh-CN"/>
        </w:rPr>
        <w:t>响应价格</w:t>
      </w:r>
      <w:r>
        <w:rPr>
          <w:rFonts w:hint="eastAsia" w:ascii="仿宋" w:hAnsi="仿宋" w:eastAsia="仿宋" w:cs="仿宋"/>
          <w:color w:val="auto"/>
          <w:kern w:val="0"/>
          <w:sz w:val="24"/>
          <w:szCs w:val="24"/>
          <w:highlight w:val="none"/>
        </w:rPr>
        <w:t>进行修正：</w:t>
      </w:r>
    </w:p>
    <w:p w14:paraId="169F649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（1）电子交易平台中报价与响应文件相应内容不一致的，以响应文件为准；</w:t>
      </w:r>
    </w:p>
    <w:p w14:paraId="1DA36C7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（2）开</w:t>
      </w:r>
      <w:r>
        <w:rPr>
          <w:rFonts w:hint="eastAsia" w:ascii="仿宋" w:hAnsi="仿宋" w:eastAsia="仿宋" w:cs="仿宋"/>
          <w:color w:val="auto"/>
          <w:kern w:val="0"/>
          <w:sz w:val="24"/>
          <w:szCs w:val="24"/>
          <w:highlight w:val="none"/>
          <w:lang w:val="en-US" w:eastAsia="zh-CN"/>
        </w:rPr>
        <w:t>启</w:t>
      </w:r>
      <w:r>
        <w:rPr>
          <w:rFonts w:hint="eastAsia" w:ascii="仿宋" w:hAnsi="仿宋" w:eastAsia="仿宋" w:cs="仿宋"/>
          <w:color w:val="auto"/>
          <w:kern w:val="0"/>
          <w:sz w:val="24"/>
          <w:szCs w:val="24"/>
          <w:highlight w:val="none"/>
        </w:rPr>
        <w:t>一览表与响应文件中相应内容不一致的，以开</w:t>
      </w:r>
      <w:r>
        <w:rPr>
          <w:rFonts w:hint="eastAsia" w:ascii="仿宋" w:hAnsi="仿宋" w:eastAsia="仿宋" w:cs="仿宋"/>
          <w:color w:val="auto"/>
          <w:kern w:val="0"/>
          <w:sz w:val="24"/>
          <w:szCs w:val="24"/>
          <w:highlight w:val="none"/>
          <w:lang w:val="en-US" w:eastAsia="zh-CN"/>
        </w:rPr>
        <w:t>启</w:t>
      </w:r>
      <w:r>
        <w:rPr>
          <w:rFonts w:hint="eastAsia" w:ascii="仿宋" w:hAnsi="仿宋" w:eastAsia="仿宋" w:cs="仿宋"/>
          <w:color w:val="auto"/>
          <w:kern w:val="0"/>
          <w:sz w:val="24"/>
          <w:szCs w:val="24"/>
          <w:highlight w:val="none"/>
        </w:rPr>
        <w:t>一览表为准；</w:t>
      </w:r>
    </w:p>
    <w:p w14:paraId="44BDCCF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（3）大写金额和小写金额不一致的，以大写金额为准；</w:t>
      </w:r>
    </w:p>
    <w:p w14:paraId="688CADD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（4）单价金额小数点或者百分比有明显错位的，以开</w:t>
      </w:r>
      <w:r>
        <w:rPr>
          <w:rFonts w:hint="eastAsia" w:ascii="仿宋" w:hAnsi="仿宋" w:eastAsia="仿宋" w:cs="仿宋"/>
          <w:color w:val="auto"/>
          <w:kern w:val="0"/>
          <w:sz w:val="24"/>
          <w:szCs w:val="24"/>
          <w:highlight w:val="none"/>
          <w:lang w:val="en-US" w:eastAsia="zh-CN"/>
        </w:rPr>
        <w:t>启</w:t>
      </w:r>
      <w:r>
        <w:rPr>
          <w:rFonts w:hint="eastAsia" w:ascii="仿宋" w:hAnsi="仿宋" w:eastAsia="仿宋" w:cs="仿宋"/>
          <w:color w:val="auto"/>
          <w:kern w:val="0"/>
          <w:sz w:val="24"/>
          <w:szCs w:val="24"/>
          <w:highlight w:val="none"/>
        </w:rPr>
        <w:t>一览表的总价为准，并修改单价；</w:t>
      </w:r>
    </w:p>
    <w:p w14:paraId="70264A6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（5）总价金额与按单价汇总金额不一致的，以单价金额计算结果为准。</w:t>
      </w:r>
    </w:p>
    <w:p w14:paraId="37C6EFA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修正后的报价经供应商确认后产生约束力，供应商不确认或不接受的，其</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rPr>
        <w:t>无效。</w:t>
      </w:r>
    </w:p>
    <w:p w14:paraId="473235B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政府采购评审中出现下列情形之一的，</w:t>
      </w:r>
      <w:r>
        <w:rPr>
          <w:rFonts w:hint="eastAsia" w:ascii="仿宋" w:hAnsi="仿宋" w:eastAsia="仿宋" w:cs="仿宋"/>
          <w:color w:val="auto"/>
          <w:kern w:val="0"/>
          <w:sz w:val="24"/>
          <w:szCs w:val="24"/>
          <w:highlight w:val="none"/>
          <w:lang w:eastAsia="zh-CN"/>
        </w:rPr>
        <w:t>磋商小组</w:t>
      </w:r>
      <w:r>
        <w:rPr>
          <w:rFonts w:hint="eastAsia" w:ascii="仿宋" w:hAnsi="仿宋" w:eastAsia="仿宋" w:cs="仿宋"/>
          <w:color w:val="auto"/>
          <w:kern w:val="0"/>
          <w:sz w:val="24"/>
          <w:szCs w:val="24"/>
          <w:highlight w:val="none"/>
        </w:rPr>
        <w:t>应当启动异常低价投标（响应）审查程序：</w:t>
      </w:r>
    </w:p>
    <w:p w14:paraId="0345399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低于全部通过符合性审查供应商</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平均值50%的，即</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&lt;全部通过符合性审查供应商</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平均值×50%；</w:t>
      </w:r>
    </w:p>
    <w:p w14:paraId="5D6F6B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低于通过符合性审查的次低报价供应商</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50%的，即</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&lt;通过符合性审查的次低报价供应商</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×50%；</w:t>
      </w:r>
    </w:p>
    <w:p w14:paraId="2B4B5B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低于采购项目最高限价45%的，即</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&lt;采购项目最高限价×45%；</w:t>
      </w:r>
    </w:p>
    <w:p w14:paraId="4A7A08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磋商小组</w:t>
      </w:r>
      <w:r>
        <w:rPr>
          <w:rFonts w:hint="eastAsia" w:ascii="仿宋" w:hAnsi="仿宋" w:eastAsia="仿宋" w:cs="仿宋"/>
          <w:color w:val="auto"/>
          <w:kern w:val="0"/>
          <w:sz w:val="24"/>
          <w:szCs w:val="24"/>
          <w:highlight w:val="none"/>
        </w:rPr>
        <w:t>基于专业判断，认为供应商报价过低，有可能影响产品质量或者不能诚信履约的其他情形。</w:t>
      </w:r>
    </w:p>
    <w:p w14:paraId="5BA4D5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3.6.6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62F009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3.6.7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39F2C42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8</w:t>
      </w:r>
      <w:r>
        <w:rPr>
          <w:rFonts w:hint="eastAsia" w:ascii="仿宋" w:hAnsi="仿宋" w:eastAsia="仿宋" w:cs="仿宋"/>
          <w:color w:val="auto"/>
          <w:kern w:val="0"/>
          <w:sz w:val="24"/>
          <w:szCs w:val="24"/>
          <w:highlight w:val="non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评分：对</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进行</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得分计算，计算方法详见评审办法前附表。</w:t>
      </w:r>
    </w:p>
    <w:p w14:paraId="58EE20D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9</w:t>
      </w:r>
      <w:r>
        <w:rPr>
          <w:rFonts w:hint="eastAsia" w:ascii="仿宋" w:hAnsi="仿宋" w:eastAsia="仿宋" w:cs="仿宋"/>
          <w:color w:val="auto"/>
          <w:kern w:val="0"/>
          <w:sz w:val="24"/>
          <w:szCs w:val="24"/>
          <w:highlight w:val="none"/>
          <w:shd w:val="clear" w:color="auto" w:fill="FFFFFF" w:themeFill="background1"/>
        </w:rPr>
        <w:t xml:space="preserve"> 汇总评分结果，评分分值计算保留小数点后两位，小数点后第三位“四舍五入”。</w:t>
      </w:r>
    </w:p>
    <w:p w14:paraId="79DF42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10</w:t>
      </w:r>
      <w:r>
        <w:rPr>
          <w:rFonts w:hint="eastAsia" w:ascii="仿宋" w:hAnsi="仿宋" w:eastAsia="仿宋" w:cs="仿宋"/>
          <w:color w:val="auto"/>
          <w:kern w:val="0"/>
          <w:sz w:val="24"/>
          <w:szCs w:val="24"/>
          <w:highlight w:val="none"/>
          <w:shd w:val="clear" w:color="auto" w:fill="FFFFFF" w:themeFill="background1"/>
        </w:rPr>
        <w:t xml:space="preserve"> 详细评审工作全部结束后，供应商总得分排序按照以下原则进行。</w:t>
      </w:r>
    </w:p>
    <w:p w14:paraId="36E1232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10</w:t>
      </w:r>
      <w:r>
        <w:rPr>
          <w:rFonts w:hint="eastAsia" w:ascii="仿宋" w:hAnsi="仿宋" w:eastAsia="仿宋" w:cs="仿宋"/>
          <w:color w:val="auto"/>
          <w:kern w:val="0"/>
          <w:sz w:val="24"/>
          <w:szCs w:val="24"/>
          <w:highlight w:val="none"/>
          <w:shd w:val="clear" w:color="auto" w:fill="FFFFFF" w:themeFill="background1"/>
        </w:rPr>
        <w:t>.1按照总得分由高到低顺序对供应商进行排序；</w:t>
      </w:r>
    </w:p>
    <w:p w14:paraId="69B4E81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10</w:t>
      </w:r>
      <w:r>
        <w:rPr>
          <w:rFonts w:hint="eastAsia" w:ascii="仿宋" w:hAnsi="仿宋" w:eastAsia="仿宋" w:cs="仿宋"/>
          <w:color w:val="auto"/>
          <w:kern w:val="0"/>
          <w:sz w:val="24"/>
          <w:szCs w:val="24"/>
          <w:highlight w:val="none"/>
          <w:shd w:val="clear" w:color="auto" w:fill="FFFFFF" w:themeFill="background1"/>
        </w:rPr>
        <w:t>.2总得分相同时报价低的供应商排序靠前；</w:t>
      </w:r>
    </w:p>
    <w:p w14:paraId="6474715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10</w:t>
      </w:r>
      <w:r>
        <w:rPr>
          <w:rFonts w:hint="eastAsia" w:ascii="仿宋" w:hAnsi="仿宋" w:eastAsia="仿宋" w:cs="仿宋"/>
          <w:color w:val="auto"/>
          <w:kern w:val="0"/>
          <w:sz w:val="24"/>
          <w:szCs w:val="24"/>
          <w:highlight w:val="none"/>
          <w:shd w:val="clear" w:color="auto" w:fill="FFFFFF" w:themeFill="background1"/>
        </w:rPr>
        <w:t>.3总得分相同</w:t>
      </w:r>
      <w:r>
        <w:rPr>
          <w:rFonts w:hint="eastAsia" w:ascii="仿宋" w:hAnsi="仿宋" w:eastAsia="仿宋" w:cs="仿宋"/>
          <w:color w:val="auto"/>
          <w:kern w:val="0"/>
          <w:sz w:val="24"/>
          <w:szCs w:val="24"/>
          <w:highlight w:val="none"/>
        </w:rPr>
        <w:t>且报价相同</w:t>
      </w:r>
      <w:r>
        <w:rPr>
          <w:rFonts w:hint="eastAsia" w:ascii="仿宋" w:hAnsi="仿宋" w:eastAsia="仿宋" w:cs="仿宋"/>
          <w:color w:val="auto"/>
          <w:kern w:val="0"/>
          <w:sz w:val="24"/>
          <w:szCs w:val="24"/>
          <w:highlight w:val="none"/>
          <w:shd w:val="clear" w:color="auto" w:fill="FFFFFF" w:themeFill="background1"/>
        </w:rPr>
        <w:t>的供应商，</w:t>
      </w:r>
      <w:r>
        <w:rPr>
          <w:rFonts w:hint="eastAsia" w:ascii="仿宋" w:hAnsi="仿宋" w:eastAsia="仿宋" w:cs="仿宋"/>
          <w:color w:val="auto"/>
          <w:kern w:val="0"/>
          <w:sz w:val="24"/>
          <w:szCs w:val="24"/>
          <w:highlight w:val="none"/>
        </w:rPr>
        <w:t>采取随机抽取方式确定排序顺序。</w:t>
      </w:r>
    </w:p>
    <w:p w14:paraId="6574018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3.7 推荐成交候选人及提交评审报告</w:t>
      </w:r>
    </w:p>
    <w:p w14:paraId="1DE034C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3.7.1磋商小组推荐成交候选人，总得分排序第一的供应商将被确定为第一成交候选人，以此类推确定出规定数量的的成交候选人。</w:t>
      </w:r>
    </w:p>
    <w:p w14:paraId="7CBF67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3.7.2当通过了资格审查、完备性及符合性审查后，供应商少于3个时，采购人应当依法重新</w:t>
      </w:r>
      <w:r>
        <w:rPr>
          <w:rFonts w:hint="eastAsia" w:ascii="仿宋" w:hAnsi="仿宋" w:eastAsia="仿宋" w:cs="仿宋"/>
          <w:color w:val="auto"/>
          <w:kern w:val="0"/>
          <w:sz w:val="24"/>
          <w:szCs w:val="24"/>
          <w:highlight w:val="none"/>
          <w:shd w:val="clear" w:color="auto" w:fill="FFFFFF" w:themeFill="background1"/>
          <w:lang w:eastAsia="zh-CN"/>
        </w:rPr>
        <w:t>采购</w:t>
      </w:r>
      <w:r>
        <w:rPr>
          <w:rFonts w:hint="eastAsia" w:ascii="仿宋" w:hAnsi="仿宋" w:eastAsia="仿宋" w:cs="仿宋"/>
          <w:color w:val="auto"/>
          <w:kern w:val="0"/>
          <w:sz w:val="24"/>
          <w:szCs w:val="24"/>
          <w:highlight w:val="none"/>
          <w:shd w:val="clear" w:color="auto" w:fill="FFFFFF" w:themeFill="background1"/>
        </w:rPr>
        <w:t>。</w:t>
      </w:r>
    </w:p>
    <w:p w14:paraId="12F6A73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3.7.3 磋商小组完成评审后，应当向采购人提交书面评审报告。</w:t>
      </w:r>
    </w:p>
    <w:p w14:paraId="52685A7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 特殊情况的处置程序</w:t>
      </w:r>
    </w:p>
    <w:p w14:paraId="1F1243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3.8.1 关于评审活动暂停</w:t>
      </w:r>
    </w:p>
    <w:p w14:paraId="4517FE2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14:paraId="6B514F0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3.8.2关于评审中途更换评审专家</w:t>
      </w:r>
    </w:p>
    <w:p w14:paraId="469C8EF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3.8.2.1 除非发生下列情况之一，磋商小组成员不得在评审中途更换：</w:t>
      </w:r>
    </w:p>
    <w:p w14:paraId="3565AC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（1）因不可抗拒的客观原因，不能到场或需在评审中途退出评审活动。</w:t>
      </w:r>
    </w:p>
    <w:p w14:paraId="02ACCB6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（2）根据法律法规规定，某个或某几个磋商小组成员需要回避。</w:t>
      </w:r>
    </w:p>
    <w:p w14:paraId="4684865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3.8.2.2 退出评审的磋商小组成员，其已完成的评审行为无效，由更换的评审专家进行评审。</w:t>
      </w:r>
    </w:p>
    <w:p w14:paraId="1212DD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3.8.3 在评审环节中，需磋商小组就某项定性的评审结论做出表决的，由磋商小组全体成员按照少数服从多数的原则确定。</w:t>
      </w:r>
    </w:p>
    <w:p w14:paraId="7275AC7C">
      <w:pPr>
        <w:widowControl/>
        <w:spacing w:line="360" w:lineRule="auto"/>
        <w:jc w:val="left"/>
        <w:rPr>
          <w:rFonts w:hint="eastAsia" w:ascii="仿宋" w:hAnsi="仿宋" w:eastAsia="仿宋" w:cs="仿宋"/>
          <w:b/>
          <w:color w:val="auto"/>
          <w:sz w:val="24"/>
          <w:szCs w:val="24"/>
          <w:highlight w:val="none"/>
          <w:shd w:val="clear" w:color="auto" w:fill="FFFFFF" w:themeFill="background1"/>
        </w:rPr>
      </w:pPr>
      <w:bookmarkStart w:id="36" w:name="_Toc485312286"/>
      <w:r>
        <w:rPr>
          <w:rFonts w:hint="eastAsia" w:ascii="仿宋" w:hAnsi="仿宋" w:eastAsia="仿宋" w:cs="仿宋"/>
          <w:b/>
          <w:color w:val="auto"/>
          <w:sz w:val="24"/>
          <w:szCs w:val="24"/>
          <w:highlight w:val="none"/>
          <w:shd w:val="clear" w:color="auto" w:fill="FFFFFF" w:themeFill="background1"/>
        </w:rPr>
        <w:br w:type="page"/>
      </w:r>
    </w:p>
    <w:p w14:paraId="0FA33D26">
      <w:pPr>
        <w:widowControl/>
        <w:shd w:val="clear" w:color="auto" w:fill="FFFFFF"/>
        <w:snapToGrid w:val="0"/>
        <w:spacing w:line="360" w:lineRule="auto"/>
        <w:jc w:val="cente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t>问题澄清通知</w:t>
      </w:r>
    </w:p>
    <w:p w14:paraId="24A4A0AB">
      <w:pPr>
        <w:spacing w:line="360" w:lineRule="auto"/>
        <w:rPr>
          <w:rFonts w:hint="eastAsia" w:ascii="仿宋" w:hAnsi="仿宋" w:eastAsia="仿宋" w:cs="仿宋"/>
          <w:color w:val="auto"/>
          <w:sz w:val="24"/>
          <w:szCs w:val="24"/>
          <w:highlight w:val="none"/>
          <w:shd w:val="clear" w:color="auto" w:fill="FFFFFF" w:themeFill="background1"/>
        </w:rPr>
      </w:pPr>
    </w:p>
    <w:p w14:paraId="3CDEAB0C">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（供应商名称）：</w:t>
      </w:r>
    </w:p>
    <w:p w14:paraId="43F9FB6A">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（采购项目名称）</w:t>
      </w:r>
      <w:r>
        <w:rPr>
          <w:rFonts w:hint="eastAsia" w:ascii="仿宋" w:hAnsi="仿宋" w:eastAsia="仿宋" w:cs="仿宋"/>
          <w:color w:val="auto"/>
          <w:kern w:val="0"/>
          <w:sz w:val="24"/>
          <w:szCs w:val="24"/>
          <w:highlight w:val="none"/>
          <w:shd w:val="clear" w:color="auto" w:fill="FFFFFF" w:themeFill="background1"/>
          <w:lang w:eastAsia="zh-CN"/>
        </w:rPr>
        <w:t>采购</w:t>
      </w:r>
      <w:r>
        <w:rPr>
          <w:rFonts w:hint="eastAsia" w:ascii="仿宋" w:hAnsi="仿宋" w:eastAsia="仿宋" w:cs="仿宋"/>
          <w:color w:val="auto"/>
          <w:kern w:val="0"/>
          <w:sz w:val="24"/>
          <w:szCs w:val="24"/>
          <w:highlight w:val="none"/>
          <w:shd w:val="clear" w:color="auto" w:fill="FFFFFF" w:themeFill="background1"/>
        </w:rPr>
        <w:t>的磋商小组，对你方的响应文件进行了仔细的审查，现需你方对本通知所附质疑问卷中的问题以书面形式予以澄清、说明或者补正。</w:t>
      </w:r>
    </w:p>
    <w:p w14:paraId="1DB3CD00">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质疑问题：</w:t>
      </w:r>
    </w:p>
    <w:p w14:paraId="66B6287D">
      <w:pPr>
        <w:spacing w:line="360" w:lineRule="auto"/>
        <w:rPr>
          <w:rFonts w:hint="eastAsia" w:ascii="仿宋" w:hAnsi="仿宋" w:eastAsia="仿宋" w:cs="仿宋"/>
          <w:color w:val="auto"/>
          <w:kern w:val="0"/>
          <w:sz w:val="24"/>
          <w:szCs w:val="24"/>
          <w:highlight w:val="none"/>
          <w:shd w:val="clear" w:color="auto" w:fill="FFFFFF" w:themeFill="background1"/>
        </w:rPr>
      </w:pPr>
    </w:p>
    <w:p w14:paraId="612A90D3">
      <w:pPr>
        <w:spacing w:line="360" w:lineRule="auto"/>
        <w:rPr>
          <w:rFonts w:hint="eastAsia" w:ascii="仿宋" w:hAnsi="仿宋" w:eastAsia="仿宋" w:cs="仿宋"/>
          <w:color w:val="auto"/>
          <w:kern w:val="0"/>
          <w:sz w:val="24"/>
          <w:szCs w:val="24"/>
          <w:highlight w:val="none"/>
          <w:shd w:val="clear" w:color="auto" w:fill="FFFFFF" w:themeFill="background1"/>
        </w:rPr>
      </w:pPr>
    </w:p>
    <w:p w14:paraId="2B9B9385">
      <w:pPr>
        <w:spacing w:line="360" w:lineRule="auto"/>
        <w:rPr>
          <w:rFonts w:hint="eastAsia" w:ascii="仿宋" w:hAnsi="仿宋" w:eastAsia="仿宋" w:cs="仿宋"/>
          <w:color w:val="auto"/>
          <w:kern w:val="0"/>
          <w:sz w:val="24"/>
          <w:szCs w:val="24"/>
          <w:highlight w:val="none"/>
          <w:shd w:val="clear" w:color="auto" w:fill="FFFFFF" w:themeFill="background1"/>
        </w:rPr>
      </w:pPr>
    </w:p>
    <w:p w14:paraId="4DE6DF67">
      <w:pPr>
        <w:spacing w:line="360" w:lineRule="auto"/>
        <w:rPr>
          <w:rFonts w:hint="eastAsia" w:ascii="仿宋" w:hAnsi="仿宋" w:eastAsia="仿宋" w:cs="仿宋"/>
          <w:color w:val="auto"/>
          <w:kern w:val="0"/>
          <w:sz w:val="24"/>
          <w:szCs w:val="24"/>
          <w:highlight w:val="none"/>
          <w:shd w:val="clear" w:color="auto" w:fill="FFFFFF" w:themeFill="background1"/>
        </w:rPr>
      </w:pPr>
    </w:p>
    <w:p w14:paraId="15314702">
      <w:pPr>
        <w:spacing w:line="360" w:lineRule="auto"/>
        <w:rPr>
          <w:rFonts w:hint="eastAsia" w:ascii="仿宋" w:hAnsi="仿宋" w:eastAsia="仿宋" w:cs="仿宋"/>
          <w:color w:val="auto"/>
          <w:kern w:val="0"/>
          <w:sz w:val="24"/>
          <w:szCs w:val="24"/>
          <w:highlight w:val="none"/>
          <w:shd w:val="clear" w:color="auto" w:fill="FFFFFF" w:themeFill="background1"/>
        </w:rPr>
      </w:pPr>
    </w:p>
    <w:p w14:paraId="5FC13D46">
      <w:pPr>
        <w:spacing w:line="360" w:lineRule="auto"/>
        <w:rPr>
          <w:rFonts w:hint="eastAsia" w:ascii="仿宋" w:hAnsi="仿宋" w:eastAsia="仿宋" w:cs="仿宋"/>
          <w:color w:val="auto"/>
          <w:kern w:val="0"/>
          <w:sz w:val="24"/>
          <w:szCs w:val="24"/>
          <w:highlight w:val="none"/>
          <w:shd w:val="clear" w:color="auto" w:fill="FFFFFF" w:themeFill="background1"/>
        </w:rPr>
      </w:pPr>
    </w:p>
    <w:p w14:paraId="16CE3047">
      <w:pPr>
        <w:spacing w:line="360" w:lineRule="auto"/>
        <w:rPr>
          <w:rFonts w:hint="eastAsia" w:ascii="仿宋" w:hAnsi="仿宋" w:eastAsia="仿宋" w:cs="仿宋"/>
          <w:color w:val="auto"/>
          <w:kern w:val="0"/>
          <w:sz w:val="24"/>
          <w:szCs w:val="24"/>
          <w:highlight w:val="none"/>
          <w:shd w:val="clear" w:color="auto" w:fill="FFFFFF" w:themeFill="background1"/>
        </w:rPr>
      </w:pPr>
    </w:p>
    <w:p w14:paraId="19765679">
      <w:pPr>
        <w:spacing w:line="360" w:lineRule="auto"/>
        <w:rPr>
          <w:rFonts w:hint="eastAsia" w:ascii="仿宋" w:hAnsi="仿宋" w:eastAsia="仿宋" w:cs="仿宋"/>
          <w:color w:val="auto"/>
          <w:kern w:val="0"/>
          <w:sz w:val="24"/>
          <w:szCs w:val="24"/>
          <w:highlight w:val="none"/>
          <w:shd w:val="clear" w:color="auto" w:fill="FFFFFF" w:themeFill="background1"/>
        </w:rPr>
      </w:pPr>
    </w:p>
    <w:p w14:paraId="75D80367">
      <w:pPr>
        <w:spacing w:line="360" w:lineRule="auto"/>
        <w:rPr>
          <w:rFonts w:hint="eastAsia" w:ascii="仿宋" w:hAnsi="仿宋" w:eastAsia="仿宋" w:cs="仿宋"/>
          <w:color w:val="auto"/>
          <w:kern w:val="0"/>
          <w:sz w:val="24"/>
          <w:szCs w:val="24"/>
          <w:highlight w:val="none"/>
          <w:shd w:val="clear" w:color="auto" w:fill="FFFFFF" w:themeFill="background1"/>
        </w:rPr>
      </w:pPr>
    </w:p>
    <w:p w14:paraId="34025378">
      <w:pPr>
        <w:spacing w:line="360" w:lineRule="auto"/>
        <w:rPr>
          <w:rFonts w:hint="eastAsia" w:ascii="仿宋" w:hAnsi="仿宋" w:eastAsia="仿宋" w:cs="仿宋"/>
          <w:color w:val="auto"/>
          <w:kern w:val="0"/>
          <w:sz w:val="24"/>
          <w:szCs w:val="24"/>
          <w:highlight w:val="none"/>
          <w:shd w:val="clear" w:color="auto" w:fill="FFFFFF" w:themeFill="background1"/>
        </w:rPr>
      </w:pPr>
    </w:p>
    <w:p w14:paraId="03DA2750">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磋商小组成员（签字）：</w:t>
      </w:r>
    </w:p>
    <w:p w14:paraId="0D811D1B">
      <w:pPr>
        <w:spacing w:line="360" w:lineRule="auto"/>
        <w:rPr>
          <w:rFonts w:hint="eastAsia" w:ascii="仿宋" w:hAnsi="仿宋" w:eastAsia="仿宋" w:cs="仿宋"/>
          <w:color w:val="auto"/>
          <w:kern w:val="0"/>
          <w:sz w:val="24"/>
          <w:szCs w:val="24"/>
          <w:highlight w:val="none"/>
          <w:shd w:val="clear" w:color="auto" w:fill="FFFFFF" w:themeFill="background1"/>
        </w:rPr>
      </w:pPr>
    </w:p>
    <w:p w14:paraId="3C0573DC">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日期：    年    月    日</w:t>
      </w:r>
    </w:p>
    <w:p w14:paraId="71563130">
      <w:pPr>
        <w:spacing w:line="360" w:lineRule="auto"/>
        <w:jc w:val="cente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br w:type="page"/>
      </w:r>
      <w:r>
        <w:rPr>
          <w:rFonts w:hint="eastAsia" w:ascii="仿宋" w:hAnsi="仿宋" w:eastAsia="仿宋" w:cs="仿宋"/>
          <w:b/>
          <w:color w:val="auto"/>
          <w:sz w:val="24"/>
          <w:szCs w:val="24"/>
          <w:highlight w:val="none"/>
          <w:shd w:val="clear" w:color="auto" w:fill="FFFFFF" w:themeFill="background1"/>
        </w:rPr>
        <w:t>问题的澄清、说明或补正</w:t>
      </w:r>
    </w:p>
    <w:p w14:paraId="795FF43B">
      <w:pPr>
        <w:spacing w:line="360" w:lineRule="auto"/>
        <w:rPr>
          <w:rFonts w:hint="eastAsia" w:ascii="仿宋" w:hAnsi="仿宋" w:eastAsia="仿宋" w:cs="仿宋"/>
          <w:color w:val="auto"/>
          <w:kern w:val="0"/>
          <w:sz w:val="24"/>
          <w:szCs w:val="24"/>
          <w:highlight w:val="none"/>
          <w:shd w:val="clear" w:color="auto" w:fill="FFFFFF" w:themeFill="background1"/>
        </w:rPr>
      </w:pPr>
    </w:p>
    <w:p w14:paraId="013E5D7E">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w:t>
      </w:r>
    </w:p>
    <w:p w14:paraId="0891D862">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（采购项目名称）的问题澄清通知已收悉，现澄清、说明或者补正如下：</w:t>
      </w:r>
    </w:p>
    <w:p w14:paraId="513B454A">
      <w:pPr>
        <w:spacing w:line="360" w:lineRule="auto"/>
        <w:rPr>
          <w:rFonts w:hint="eastAsia" w:ascii="仿宋" w:hAnsi="仿宋" w:eastAsia="仿宋" w:cs="仿宋"/>
          <w:color w:val="auto"/>
          <w:kern w:val="0"/>
          <w:sz w:val="24"/>
          <w:szCs w:val="24"/>
          <w:highlight w:val="none"/>
          <w:shd w:val="clear" w:color="auto" w:fill="FFFFFF" w:themeFill="background1"/>
        </w:rPr>
      </w:pPr>
    </w:p>
    <w:p w14:paraId="31CDAEAB">
      <w:pPr>
        <w:spacing w:line="360" w:lineRule="auto"/>
        <w:rPr>
          <w:rFonts w:hint="eastAsia" w:ascii="仿宋" w:hAnsi="仿宋" w:eastAsia="仿宋" w:cs="仿宋"/>
          <w:color w:val="auto"/>
          <w:kern w:val="0"/>
          <w:sz w:val="24"/>
          <w:szCs w:val="24"/>
          <w:highlight w:val="none"/>
          <w:shd w:val="clear" w:color="auto" w:fill="FFFFFF" w:themeFill="background1"/>
        </w:rPr>
      </w:pPr>
    </w:p>
    <w:p w14:paraId="30F0FC98">
      <w:pPr>
        <w:spacing w:line="360" w:lineRule="auto"/>
        <w:rPr>
          <w:rFonts w:hint="eastAsia" w:ascii="仿宋" w:hAnsi="仿宋" w:eastAsia="仿宋" w:cs="仿宋"/>
          <w:color w:val="auto"/>
          <w:kern w:val="0"/>
          <w:sz w:val="24"/>
          <w:szCs w:val="24"/>
          <w:highlight w:val="none"/>
          <w:shd w:val="clear" w:color="auto" w:fill="FFFFFF" w:themeFill="background1"/>
        </w:rPr>
      </w:pPr>
    </w:p>
    <w:p w14:paraId="36D1BFA9">
      <w:pPr>
        <w:spacing w:line="360" w:lineRule="auto"/>
        <w:rPr>
          <w:rFonts w:hint="eastAsia" w:ascii="仿宋" w:hAnsi="仿宋" w:eastAsia="仿宋" w:cs="仿宋"/>
          <w:color w:val="auto"/>
          <w:kern w:val="0"/>
          <w:sz w:val="24"/>
          <w:szCs w:val="24"/>
          <w:highlight w:val="none"/>
          <w:shd w:val="clear" w:color="auto" w:fill="FFFFFF" w:themeFill="background1"/>
        </w:rPr>
      </w:pPr>
    </w:p>
    <w:p w14:paraId="675E3224">
      <w:pPr>
        <w:spacing w:line="360" w:lineRule="auto"/>
        <w:rPr>
          <w:rFonts w:hint="eastAsia" w:ascii="仿宋" w:hAnsi="仿宋" w:eastAsia="仿宋" w:cs="仿宋"/>
          <w:color w:val="auto"/>
          <w:kern w:val="0"/>
          <w:sz w:val="24"/>
          <w:szCs w:val="24"/>
          <w:highlight w:val="none"/>
          <w:shd w:val="clear" w:color="auto" w:fill="FFFFFF" w:themeFill="background1"/>
        </w:rPr>
      </w:pPr>
    </w:p>
    <w:p w14:paraId="3521B9F9">
      <w:pPr>
        <w:spacing w:line="360" w:lineRule="auto"/>
        <w:rPr>
          <w:rFonts w:hint="eastAsia" w:ascii="仿宋" w:hAnsi="仿宋" w:eastAsia="仿宋" w:cs="仿宋"/>
          <w:color w:val="auto"/>
          <w:kern w:val="0"/>
          <w:sz w:val="24"/>
          <w:szCs w:val="24"/>
          <w:highlight w:val="none"/>
          <w:shd w:val="clear" w:color="auto" w:fill="FFFFFF" w:themeFill="background1"/>
        </w:rPr>
      </w:pPr>
    </w:p>
    <w:p w14:paraId="5E106A18">
      <w:pPr>
        <w:spacing w:line="360" w:lineRule="auto"/>
        <w:rPr>
          <w:rFonts w:hint="eastAsia" w:ascii="仿宋" w:hAnsi="仿宋" w:eastAsia="仿宋" w:cs="仿宋"/>
          <w:color w:val="auto"/>
          <w:kern w:val="0"/>
          <w:sz w:val="24"/>
          <w:szCs w:val="24"/>
          <w:highlight w:val="none"/>
          <w:shd w:val="clear" w:color="auto" w:fill="FFFFFF" w:themeFill="background1"/>
        </w:rPr>
      </w:pPr>
    </w:p>
    <w:p w14:paraId="674988AE">
      <w:pPr>
        <w:spacing w:line="360" w:lineRule="auto"/>
        <w:rPr>
          <w:rFonts w:hint="eastAsia" w:ascii="仿宋" w:hAnsi="仿宋" w:eastAsia="仿宋" w:cs="仿宋"/>
          <w:color w:val="auto"/>
          <w:kern w:val="0"/>
          <w:sz w:val="24"/>
          <w:szCs w:val="24"/>
          <w:highlight w:val="none"/>
          <w:shd w:val="clear" w:color="auto" w:fill="FFFFFF" w:themeFill="background1"/>
        </w:rPr>
      </w:pPr>
    </w:p>
    <w:p w14:paraId="5D32AFC2">
      <w:pPr>
        <w:spacing w:line="360" w:lineRule="auto"/>
        <w:rPr>
          <w:rFonts w:hint="eastAsia" w:ascii="仿宋" w:hAnsi="仿宋" w:eastAsia="仿宋" w:cs="仿宋"/>
          <w:color w:val="auto"/>
          <w:kern w:val="0"/>
          <w:sz w:val="24"/>
          <w:szCs w:val="24"/>
          <w:highlight w:val="none"/>
          <w:shd w:val="clear" w:color="auto" w:fill="FFFFFF" w:themeFill="background1"/>
        </w:rPr>
      </w:pPr>
    </w:p>
    <w:p w14:paraId="507F6784">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法定代表人或其授权委托人（签字）：</w:t>
      </w:r>
    </w:p>
    <w:p w14:paraId="72C1E1F1">
      <w:pPr>
        <w:spacing w:line="360" w:lineRule="auto"/>
        <w:rPr>
          <w:rFonts w:hint="eastAsia" w:ascii="仿宋" w:hAnsi="仿宋" w:eastAsia="仿宋" w:cs="仿宋"/>
          <w:color w:val="auto"/>
          <w:kern w:val="0"/>
          <w:sz w:val="24"/>
          <w:szCs w:val="24"/>
          <w:highlight w:val="none"/>
          <w:shd w:val="clear" w:color="auto" w:fill="FFFFFF" w:themeFill="background1"/>
        </w:rPr>
      </w:pPr>
    </w:p>
    <w:p w14:paraId="505C390C">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日期：    年    月    日</w:t>
      </w:r>
    </w:p>
    <w:p w14:paraId="19A757EE">
      <w:pPr>
        <w:widowControl/>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themeFill="background1"/>
        </w:rPr>
        <w:br w:type="page"/>
      </w:r>
      <w:bookmarkEnd w:id="36"/>
      <w:bookmarkStart w:id="37" w:name="_Toc507586162"/>
      <w:bookmarkStart w:id="38" w:name="_Toc38446459"/>
      <w:bookmarkStart w:id="39" w:name="_Toc29306"/>
      <w:r>
        <w:rPr>
          <w:rFonts w:hint="eastAsia" w:ascii="仿宋" w:hAnsi="仿宋" w:eastAsia="仿宋" w:cs="仿宋"/>
          <w:b/>
          <w:color w:val="auto"/>
          <w:sz w:val="24"/>
          <w:szCs w:val="24"/>
          <w:highlight w:val="none"/>
          <w:shd w:val="clear" w:color="auto" w:fill="FFFFFF" w:themeFill="background1"/>
        </w:rPr>
        <w:t xml:space="preserve">第三章 </w:t>
      </w:r>
      <w:bookmarkEnd w:id="37"/>
      <w:bookmarkEnd w:id="38"/>
      <w:r>
        <w:rPr>
          <w:rFonts w:hint="eastAsia" w:ascii="仿宋" w:hAnsi="仿宋" w:eastAsia="仿宋" w:cs="仿宋"/>
          <w:b/>
          <w:color w:val="auto"/>
          <w:sz w:val="24"/>
          <w:szCs w:val="24"/>
          <w:highlight w:val="none"/>
          <w:shd w:val="clear" w:color="auto" w:fill="FFFFFF" w:themeFill="background1"/>
        </w:rPr>
        <w:t>合同文本</w:t>
      </w:r>
      <w:bookmarkEnd w:id="39"/>
    </w:p>
    <w:p w14:paraId="68530622">
      <w:pPr>
        <w:jc w:val="center"/>
        <w:rPr>
          <w:rFonts w:hint="eastAsia" w:ascii="仿宋" w:hAnsi="仿宋" w:eastAsia="仿宋" w:cs="仿宋"/>
          <w:b w:val="0"/>
          <w:bCs w:val="0"/>
          <w:color w:val="auto"/>
          <w:sz w:val="24"/>
          <w:szCs w:val="24"/>
          <w:highlight w:val="none"/>
        </w:rPr>
      </w:pPr>
      <w:bookmarkStart w:id="40" w:name="_Toc4387"/>
      <w:r>
        <w:rPr>
          <w:rFonts w:hint="eastAsia" w:ascii="仿宋" w:hAnsi="仿宋" w:eastAsia="仿宋" w:cs="仿宋"/>
          <w:b w:val="0"/>
          <w:bCs w:val="0"/>
          <w:color w:val="auto"/>
          <w:sz w:val="24"/>
          <w:szCs w:val="24"/>
          <w:highlight w:val="none"/>
        </w:rPr>
        <w:t>注：本合同文本供参考，具体内容以双方签订的为准。</w:t>
      </w:r>
    </w:p>
    <w:p w14:paraId="02F37D97">
      <w:pPr>
        <w:spacing w:line="360" w:lineRule="auto"/>
        <w:ind w:firstLine="560" w:firstLineChars="0"/>
        <w:rPr>
          <w:rFonts w:hint="eastAsia" w:ascii="仿宋" w:hAnsi="仿宋" w:eastAsia="仿宋" w:cs="仿宋"/>
          <w:color w:val="auto"/>
          <w:sz w:val="24"/>
          <w:szCs w:val="24"/>
          <w:highlight w:val="none"/>
          <w:lang w:eastAsia="zh-CN"/>
        </w:rPr>
      </w:pPr>
    </w:p>
    <w:p w14:paraId="75311739">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第一条  总  则</w:t>
      </w:r>
    </w:p>
    <w:p w14:paraId="0249D94F">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甲、乙双方根据《中华人民共和国民法典》《中华人民共和国著作权法》《计算机软件保护条例》及相关法律、法规的规定，经过平等友好协商，就乙方为甲方提供新疆维吾尔自治区药品监督管理局财务内控管理平台系统运维服务项目合同事宜达成如下协议，以资共同遵守。</w:t>
      </w:r>
    </w:p>
    <w:p w14:paraId="4BFB81AF">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根据项目名称 新疆维吾尔自治区药品监督管理局财务内控管理平台系统运维服务项目（以下简称：“本项目”）的招标结果，乙方为成交供应商。现经甲乙双方友好协商，就以下事项达成一致并签订本合同。</w:t>
      </w:r>
    </w:p>
    <w:p w14:paraId="2A4565F7">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第二条  维护内容</w:t>
      </w:r>
    </w:p>
    <w:p w14:paraId="6A5BFDF8">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（一）运维内容：全部超出质保期的业务系统，主要包括以下内容：</w:t>
      </w:r>
    </w:p>
    <w:tbl>
      <w:tblPr>
        <w:tblStyle w:val="4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3778"/>
        <w:gridCol w:w="3817"/>
      </w:tblGrid>
      <w:tr w14:paraId="5604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604" w:type="dxa"/>
          </w:tcPr>
          <w:p w14:paraId="3488D66A">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3778" w:type="dxa"/>
          </w:tcPr>
          <w:p w14:paraId="734D3597">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系统名称</w:t>
            </w:r>
          </w:p>
        </w:tc>
        <w:tc>
          <w:tcPr>
            <w:tcW w:w="3817" w:type="dxa"/>
          </w:tcPr>
          <w:p w14:paraId="6F49A5CA">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重点维护内容</w:t>
            </w:r>
          </w:p>
        </w:tc>
      </w:tr>
      <w:tr w14:paraId="74B1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604" w:type="dxa"/>
            <w:vAlign w:val="center"/>
          </w:tcPr>
          <w:p w14:paraId="2270A9F4">
            <w:pPr>
              <w:spacing w:line="360" w:lineRule="auto"/>
              <w:ind w:firstLine="560" w:firstLineChars="0"/>
              <w:rPr>
                <w:rFonts w:hint="eastAsia" w:ascii="仿宋" w:hAnsi="仿宋" w:eastAsia="仿宋" w:cs="仿宋"/>
                <w:color w:val="auto"/>
                <w:sz w:val="24"/>
                <w:szCs w:val="24"/>
                <w:highlight w:val="none"/>
                <w:lang w:val="en-US" w:eastAsia="zh-CN"/>
              </w:rPr>
            </w:pPr>
          </w:p>
        </w:tc>
        <w:tc>
          <w:tcPr>
            <w:tcW w:w="3778" w:type="dxa"/>
            <w:vAlign w:val="center"/>
          </w:tcPr>
          <w:p w14:paraId="4AD231D3">
            <w:pPr>
              <w:spacing w:line="360" w:lineRule="auto"/>
              <w:ind w:firstLine="560" w:firstLineChars="0"/>
              <w:rPr>
                <w:rFonts w:hint="default" w:ascii="仿宋" w:hAnsi="仿宋" w:eastAsia="仿宋" w:cs="仿宋"/>
                <w:color w:val="auto"/>
                <w:sz w:val="24"/>
                <w:szCs w:val="24"/>
                <w:highlight w:val="none"/>
                <w:lang w:val="en-US" w:eastAsia="zh-CN"/>
              </w:rPr>
            </w:pPr>
          </w:p>
        </w:tc>
        <w:tc>
          <w:tcPr>
            <w:tcW w:w="3817" w:type="dxa"/>
          </w:tcPr>
          <w:p w14:paraId="0DDF5D1D">
            <w:pPr>
              <w:spacing w:line="360" w:lineRule="auto"/>
              <w:ind w:firstLine="560" w:firstLineChars="0"/>
              <w:rPr>
                <w:rFonts w:hint="eastAsia" w:ascii="仿宋" w:hAnsi="仿宋" w:eastAsia="仿宋" w:cs="仿宋"/>
                <w:color w:val="auto"/>
                <w:sz w:val="24"/>
                <w:szCs w:val="24"/>
                <w:highlight w:val="none"/>
                <w:lang w:val="en-US" w:eastAsia="zh-CN"/>
              </w:rPr>
            </w:pPr>
          </w:p>
        </w:tc>
      </w:tr>
      <w:tr w14:paraId="4C27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604" w:type="dxa"/>
            <w:vAlign w:val="center"/>
          </w:tcPr>
          <w:p w14:paraId="40461FB3">
            <w:pPr>
              <w:spacing w:line="360" w:lineRule="auto"/>
              <w:ind w:firstLine="560" w:firstLineChars="0"/>
              <w:rPr>
                <w:rFonts w:hint="eastAsia" w:ascii="仿宋" w:hAnsi="仿宋" w:eastAsia="仿宋" w:cs="仿宋"/>
                <w:color w:val="auto"/>
                <w:sz w:val="24"/>
                <w:szCs w:val="24"/>
                <w:highlight w:val="none"/>
                <w:lang w:val="en-US" w:eastAsia="zh-CN"/>
              </w:rPr>
            </w:pPr>
          </w:p>
        </w:tc>
        <w:tc>
          <w:tcPr>
            <w:tcW w:w="3778" w:type="dxa"/>
            <w:vAlign w:val="center"/>
          </w:tcPr>
          <w:p w14:paraId="0D1C1FF7">
            <w:pPr>
              <w:spacing w:line="360" w:lineRule="auto"/>
              <w:ind w:firstLine="560" w:firstLineChars="0"/>
              <w:rPr>
                <w:rFonts w:hint="default" w:ascii="仿宋" w:hAnsi="仿宋" w:eastAsia="仿宋" w:cs="仿宋"/>
                <w:color w:val="auto"/>
                <w:sz w:val="24"/>
                <w:szCs w:val="24"/>
                <w:highlight w:val="none"/>
                <w:lang w:val="en-US" w:eastAsia="zh-CN"/>
              </w:rPr>
            </w:pPr>
          </w:p>
        </w:tc>
        <w:tc>
          <w:tcPr>
            <w:tcW w:w="3817" w:type="dxa"/>
          </w:tcPr>
          <w:p w14:paraId="389E0ABC">
            <w:pPr>
              <w:spacing w:line="360" w:lineRule="auto"/>
              <w:ind w:firstLine="560" w:firstLineChars="0"/>
              <w:rPr>
                <w:rFonts w:hint="eastAsia" w:ascii="仿宋" w:hAnsi="仿宋" w:eastAsia="仿宋" w:cs="仿宋"/>
                <w:color w:val="auto"/>
                <w:sz w:val="24"/>
                <w:szCs w:val="24"/>
                <w:highlight w:val="none"/>
                <w:lang w:val="en-US" w:eastAsia="zh-CN"/>
              </w:rPr>
            </w:pPr>
          </w:p>
        </w:tc>
      </w:tr>
      <w:tr w14:paraId="582EE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604" w:type="dxa"/>
            <w:vAlign w:val="center"/>
          </w:tcPr>
          <w:p w14:paraId="37FE794F">
            <w:pPr>
              <w:spacing w:line="360" w:lineRule="auto"/>
              <w:ind w:firstLine="560" w:firstLineChars="0"/>
              <w:rPr>
                <w:rFonts w:hint="eastAsia" w:ascii="仿宋" w:hAnsi="仿宋" w:eastAsia="仿宋" w:cs="仿宋"/>
                <w:color w:val="auto"/>
                <w:sz w:val="24"/>
                <w:szCs w:val="24"/>
                <w:highlight w:val="none"/>
                <w:lang w:val="en-US" w:eastAsia="zh-CN"/>
              </w:rPr>
            </w:pPr>
          </w:p>
        </w:tc>
        <w:tc>
          <w:tcPr>
            <w:tcW w:w="3778" w:type="dxa"/>
            <w:vAlign w:val="center"/>
          </w:tcPr>
          <w:p w14:paraId="0DE889C5">
            <w:pPr>
              <w:spacing w:line="360" w:lineRule="auto"/>
              <w:ind w:firstLine="560" w:firstLineChars="0"/>
              <w:rPr>
                <w:rFonts w:hint="default" w:ascii="仿宋" w:hAnsi="仿宋" w:eastAsia="仿宋" w:cs="仿宋"/>
                <w:color w:val="auto"/>
                <w:sz w:val="24"/>
                <w:szCs w:val="24"/>
                <w:highlight w:val="none"/>
                <w:lang w:val="en-US" w:eastAsia="zh-CN"/>
              </w:rPr>
            </w:pPr>
          </w:p>
        </w:tc>
        <w:tc>
          <w:tcPr>
            <w:tcW w:w="3817" w:type="dxa"/>
          </w:tcPr>
          <w:p w14:paraId="13618F72">
            <w:pPr>
              <w:spacing w:line="360" w:lineRule="auto"/>
              <w:ind w:firstLine="560" w:firstLineChars="0"/>
              <w:rPr>
                <w:rFonts w:hint="eastAsia" w:ascii="仿宋" w:hAnsi="仿宋" w:eastAsia="仿宋" w:cs="仿宋"/>
                <w:color w:val="auto"/>
                <w:sz w:val="24"/>
                <w:szCs w:val="24"/>
                <w:highlight w:val="none"/>
                <w:lang w:val="en-US" w:eastAsia="zh-CN"/>
              </w:rPr>
            </w:pPr>
          </w:p>
        </w:tc>
      </w:tr>
      <w:tr w14:paraId="4805B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604" w:type="dxa"/>
            <w:vAlign w:val="center"/>
          </w:tcPr>
          <w:p w14:paraId="169A3F4C">
            <w:pPr>
              <w:spacing w:line="360" w:lineRule="auto"/>
              <w:ind w:firstLine="560" w:firstLineChars="0"/>
              <w:rPr>
                <w:rFonts w:hint="eastAsia" w:ascii="仿宋" w:hAnsi="仿宋" w:eastAsia="仿宋" w:cs="仿宋"/>
                <w:color w:val="auto"/>
                <w:sz w:val="24"/>
                <w:szCs w:val="24"/>
                <w:highlight w:val="none"/>
                <w:lang w:val="en-US" w:eastAsia="zh-CN"/>
              </w:rPr>
            </w:pPr>
          </w:p>
        </w:tc>
        <w:tc>
          <w:tcPr>
            <w:tcW w:w="3778" w:type="dxa"/>
            <w:vAlign w:val="center"/>
          </w:tcPr>
          <w:p w14:paraId="132C8AED">
            <w:pPr>
              <w:spacing w:line="360" w:lineRule="auto"/>
              <w:ind w:firstLine="560" w:firstLineChars="0"/>
              <w:rPr>
                <w:rFonts w:hint="default" w:ascii="仿宋" w:hAnsi="仿宋" w:eastAsia="仿宋" w:cs="仿宋"/>
                <w:color w:val="auto"/>
                <w:sz w:val="24"/>
                <w:szCs w:val="24"/>
                <w:highlight w:val="none"/>
                <w:lang w:val="en-US" w:eastAsia="zh-CN"/>
              </w:rPr>
            </w:pPr>
          </w:p>
        </w:tc>
        <w:tc>
          <w:tcPr>
            <w:tcW w:w="3817" w:type="dxa"/>
          </w:tcPr>
          <w:p w14:paraId="591D7411">
            <w:pPr>
              <w:spacing w:line="360" w:lineRule="auto"/>
              <w:ind w:firstLine="560" w:firstLineChars="0"/>
              <w:rPr>
                <w:rFonts w:hint="eastAsia" w:ascii="仿宋" w:hAnsi="仿宋" w:eastAsia="仿宋" w:cs="仿宋"/>
                <w:color w:val="auto"/>
                <w:sz w:val="24"/>
                <w:szCs w:val="24"/>
                <w:highlight w:val="none"/>
                <w:lang w:val="en-US" w:eastAsia="zh-CN"/>
              </w:rPr>
            </w:pPr>
          </w:p>
        </w:tc>
      </w:tr>
      <w:tr w14:paraId="2062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604" w:type="dxa"/>
            <w:vAlign w:val="center"/>
          </w:tcPr>
          <w:p w14:paraId="6D618B7D">
            <w:pPr>
              <w:spacing w:line="360" w:lineRule="auto"/>
              <w:ind w:firstLine="560" w:firstLineChars="0"/>
              <w:rPr>
                <w:rFonts w:hint="eastAsia" w:ascii="仿宋" w:hAnsi="仿宋" w:eastAsia="仿宋" w:cs="仿宋"/>
                <w:color w:val="auto"/>
                <w:sz w:val="24"/>
                <w:szCs w:val="24"/>
                <w:highlight w:val="none"/>
                <w:lang w:val="en-US" w:eastAsia="zh-CN"/>
              </w:rPr>
            </w:pPr>
          </w:p>
        </w:tc>
        <w:tc>
          <w:tcPr>
            <w:tcW w:w="3778" w:type="dxa"/>
            <w:vAlign w:val="center"/>
          </w:tcPr>
          <w:p w14:paraId="6E82B137">
            <w:pPr>
              <w:spacing w:line="360" w:lineRule="auto"/>
              <w:ind w:firstLine="560" w:firstLineChars="0"/>
              <w:rPr>
                <w:rFonts w:hint="default" w:ascii="仿宋" w:hAnsi="仿宋" w:eastAsia="仿宋" w:cs="仿宋"/>
                <w:color w:val="auto"/>
                <w:sz w:val="24"/>
                <w:szCs w:val="24"/>
                <w:highlight w:val="none"/>
                <w:lang w:val="en-US" w:eastAsia="zh-CN"/>
              </w:rPr>
            </w:pPr>
          </w:p>
        </w:tc>
        <w:tc>
          <w:tcPr>
            <w:tcW w:w="3817" w:type="dxa"/>
          </w:tcPr>
          <w:p w14:paraId="62448448">
            <w:pPr>
              <w:spacing w:line="360" w:lineRule="auto"/>
              <w:ind w:firstLine="560" w:firstLineChars="0"/>
              <w:rPr>
                <w:rFonts w:hint="eastAsia" w:ascii="仿宋" w:hAnsi="仿宋" w:eastAsia="仿宋" w:cs="仿宋"/>
                <w:color w:val="auto"/>
                <w:sz w:val="24"/>
                <w:szCs w:val="24"/>
                <w:highlight w:val="none"/>
                <w:lang w:val="en-US" w:eastAsia="zh-CN"/>
              </w:rPr>
            </w:pPr>
          </w:p>
        </w:tc>
      </w:tr>
    </w:tbl>
    <w:p w14:paraId="4EB81F40">
      <w:pPr>
        <w:spacing w:line="360" w:lineRule="auto"/>
        <w:ind w:firstLine="560" w:firstLineChars="0"/>
        <w:rPr>
          <w:rFonts w:hint="eastAsia" w:ascii="仿宋" w:hAnsi="仿宋" w:eastAsia="仿宋" w:cs="仿宋"/>
          <w:color w:val="auto"/>
          <w:sz w:val="24"/>
          <w:szCs w:val="24"/>
          <w:highlight w:val="none"/>
          <w:lang w:val="en-US" w:eastAsia="zh-CN"/>
        </w:rPr>
      </w:pPr>
      <w:bookmarkStart w:id="41" w:name="_Toc101433279"/>
    </w:p>
    <w:p w14:paraId="63F387D4">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针对维护范围内的应用系统在保障系统正常运行前提下</w:t>
      </w:r>
      <w:bookmarkEnd w:id="41"/>
      <w:r>
        <w:rPr>
          <w:rFonts w:hint="eastAsia" w:ascii="仿宋" w:hAnsi="仿宋" w:eastAsia="仿宋" w:cs="仿宋"/>
          <w:color w:val="auto"/>
          <w:sz w:val="24"/>
          <w:szCs w:val="24"/>
          <w:highlight w:val="none"/>
          <w:lang w:val="en-US" w:eastAsia="zh-CN"/>
        </w:rPr>
        <w:t>，需完成如下工作：</w:t>
      </w:r>
    </w:p>
    <w:p w14:paraId="5D1EE046">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（1）对各系统进行故障检测及排除，全面记录系统bug,更新维护记录。</w:t>
      </w:r>
    </w:p>
    <w:p w14:paraId="43294B61">
      <w:pPr>
        <w:spacing w:line="360" w:lineRule="auto"/>
        <w:ind w:firstLine="560" w:firstLine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（2）进行系统在线用户分析、日志查看、补丁升级，系统资源优化调整。及时上报网络安全方面的异常情况。</w:t>
      </w:r>
    </w:p>
    <w:p w14:paraId="0AD451D6">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（3）对发现的漏洞、系统安全风险及时修补。</w:t>
      </w:r>
    </w:p>
    <w:p w14:paraId="17E853DD">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（4）根据要求进行系统重新部署。</w:t>
      </w:r>
    </w:p>
    <w:p w14:paraId="12035890">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（5）定期备份数据与配置文件，建立数据备份记录。出现故障及时恢复数据，最大限度减少数据损失。</w:t>
      </w:r>
    </w:p>
    <w:p w14:paraId="5F6BD101">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（6）根据用户需求进行软件功能微调，并实现相关系统与“两个档案”系统接口或库表的对接，在结束后及时提交最新代码。</w:t>
      </w:r>
    </w:p>
    <w:p w14:paraId="2E584843">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（二）运维人员：</w:t>
      </w:r>
      <w:r>
        <w:rPr>
          <w:rFonts w:hint="eastAsia" w:ascii="仿宋" w:hAnsi="仿宋" w:eastAsia="仿宋" w:cs="仿宋"/>
          <w:color w:val="auto"/>
          <w:sz w:val="24"/>
          <w:szCs w:val="24"/>
          <w:highlight w:val="none"/>
          <w:lang w:eastAsia="zh-CN"/>
        </w:rPr>
        <w:t>服务团队包括驻现场服务和二线技术支持，</w:t>
      </w:r>
      <w:r>
        <w:rPr>
          <w:rFonts w:hint="eastAsia" w:ascii="仿宋" w:hAnsi="仿宋" w:eastAsia="仿宋" w:cs="仿宋"/>
          <w:color w:val="auto"/>
          <w:sz w:val="24"/>
          <w:szCs w:val="24"/>
          <w:highlight w:val="none"/>
          <w:lang w:val="en-US" w:eastAsia="zh-CN"/>
        </w:rPr>
        <w:t>驻场人员的日常工作向采购人直接汇报，项目经理须及时跟进项目各项工作的完成情况</w:t>
      </w:r>
      <w:r>
        <w:rPr>
          <w:rFonts w:hint="eastAsia" w:ascii="仿宋" w:hAnsi="仿宋" w:eastAsia="仿宋" w:cs="仿宋"/>
          <w:color w:val="auto"/>
          <w:sz w:val="24"/>
          <w:szCs w:val="24"/>
          <w:highlight w:val="none"/>
          <w:lang w:eastAsia="zh-CN"/>
        </w:rPr>
        <w:t>。</w:t>
      </w:r>
    </w:p>
    <w:tbl>
      <w:tblPr>
        <w:tblStyle w:val="43"/>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6"/>
        <w:gridCol w:w="2147"/>
        <w:gridCol w:w="3129"/>
        <w:gridCol w:w="2794"/>
      </w:tblGrid>
      <w:tr w14:paraId="55BD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47" w:type="pct"/>
            <w:vAlign w:val="center"/>
          </w:tcPr>
          <w:p w14:paraId="6C5C428D">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人员组成</w:t>
            </w:r>
          </w:p>
        </w:tc>
        <w:tc>
          <w:tcPr>
            <w:tcW w:w="1078" w:type="pct"/>
            <w:vAlign w:val="center"/>
          </w:tcPr>
          <w:p w14:paraId="2B2828F0">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服务时限及方式</w:t>
            </w:r>
          </w:p>
        </w:tc>
        <w:tc>
          <w:tcPr>
            <w:tcW w:w="1571" w:type="pct"/>
            <w:vAlign w:val="center"/>
          </w:tcPr>
          <w:p w14:paraId="2507321E">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主要职责</w:t>
            </w:r>
          </w:p>
        </w:tc>
        <w:tc>
          <w:tcPr>
            <w:tcW w:w="1402" w:type="pct"/>
            <w:vAlign w:val="center"/>
          </w:tcPr>
          <w:p w14:paraId="61D4D23A">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人员要求</w:t>
            </w:r>
          </w:p>
        </w:tc>
      </w:tr>
      <w:tr w14:paraId="07486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47" w:type="pct"/>
            <w:vAlign w:val="center"/>
          </w:tcPr>
          <w:p w14:paraId="096C5ADD">
            <w:pPr>
              <w:spacing w:line="360" w:lineRule="auto"/>
              <w:ind w:firstLine="560" w:firstLineChars="0"/>
              <w:rPr>
                <w:rFonts w:hint="eastAsia" w:ascii="仿宋" w:hAnsi="仿宋" w:eastAsia="仿宋" w:cs="仿宋"/>
                <w:color w:val="auto"/>
                <w:sz w:val="24"/>
                <w:szCs w:val="24"/>
                <w:highlight w:val="none"/>
                <w:lang w:eastAsia="zh-CN"/>
              </w:rPr>
            </w:pPr>
          </w:p>
        </w:tc>
        <w:tc>
          <w:tcPr>
            <w:tcW w:w="1078" w:type="pct"/>
            <w:vAlign w:val="center"/>
          </w:tcPr>
          <w:p w14:paraId="5C9050D6">
            <w:pPr>
              <w:spacing w:line="360" w:lineRule="auto"/>
              <w:rPr>
                <w:rFonts w:hint="eastAsia" w:ascii="仿宋" w:hAnsi="仿宋" w:eastAsia="仿宋" w:cs="仿宋"/>
                <w:color w:val="auto"/>
                <w:sz w:val="24"/>
                <w:szCs w:val="24"/>
                <w:highlight w:val="none"/>
                <w:lang w:eastAsia="zh-CN"/>
              </w:rPr>
            </w:pPr>
          </w:p>
        </w:tc>
        <w:tc>
          <w:tcPr>
            <w:tcW w:w="1571" w:type="pct"/>
            <w:vAlign w:val="center"/>
          </w:tcPr>
          <w:p w14:paraId="211417E8">
            <w:pPr>
              <w:spacing w:line="360" w:lineRule="auto"/>
              <w:rPr>
                <w:rFonts w:hint="eastAsia" w:ascii="仿宋" w:hAnsi="仿宋" w:eastAsia="仿宋" w:cs="仿宋"/>
                <w:color w:val="auto"/>
                <w:sz w:val="24"/>
                <w:szCs w:val="24"/>
                <w:highlight w:val="none"/>
                <w:lang w:eastAsia="zh-CN"/>
              </w:rPr>
            </w:pPr>
          </w:p>
        </w:tc>
        <w:tc>
          <w:tcPr>
            <w:tcW w:w="1402" w:type="pct"/>
            <w:vAlign w:val="center"/>
          </w:tcPr>
          <w:p w14:paraId="159FFEA9">
            <w:pPr>
              <w:spacing w:line="360" w:lineRule="auto"/>
              <w:rPr>
                <w:rFonts w:hint="eastAsia" w:ascii="仿宋" w:hAnsi="仿宋" w:eastAsia="仿宋" w:cs="仿宋"/>
                <w:color w:val="auto"/>
                <w:sz w:val="24"/>
                <w:szCs w:val="24"/>
                <w:highlight w:val="none"/>
                <w:lang w:eastAsia="zh-CN"/>
              </w:rPr>
            </w:pPr>
          </w:p>
        </w:tc>
      </w:tr>
      <w:tr w14:paraId="6C3A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47" w:type="pct"/>
            <w:vAlign w:val="center"/>
          </w:tcPr>
          <w:p w14:paraId="74F82EF0">
            <w:pPr>
              <w:spacing w:line="360" w:lineRule="auto"/>
              <w:ind w:firstLine="560" w:firstLineChars="0"/>
              <w:rPr>
                <w:rFonts w:hint="eastAsia" w:ascii="仿宋" w:hAnsi="仿宋" w:eastAsia="仿宋" w:cs="仿宋"/>
                <w:color w:val="auto"/>
                <w:sz w:val="24"/>
                <w:szCs w:val="24"/>
                <w:highlight w:val="none"/>
                <w:lang w:eastAsia="zh-CN"/>
              </w:rPr>
            </w:pPr>
          </w:p>
        </w:tc>
        <w:tc>
          <w:tcPr>
            <w:tcW w:w="1078" w:type="pct"/>
            <w:vAlign w:val="center"/>
          </w:tcPr>
          <w:p w14:paraId="6B57714A">
            <w:pPr>
              <w:spacing w:line="360" w:lineRule="auto"/>
              <w:rPr>
                <w:rFonts w:hint="eastAsia" w:ascii="仿宋" w:hAnsi="仿宋" w:eastAsia="仿宋" w:cs="仿宋"/>
                <w:color w:val="auto"/>
                <w:sz w:val="24"/>
                <w:szCs w:val="24"/>
                <w:highlight w:val="none"/>
                <w:lang w:eastAsia="zh-CN"/>
              </w:rPr>
            </w:pPr>
          </w:p>
        </w:tc>
        <w:tc>
          <w:tcPr>
            <w:tcW w:w="1571" w:type="pct"/>
            <w:vAlign w:val="center"/>
          </w:tcPr>
          <w:p w14:paraId="3D1BF843">
            <w:pPr>
              <w:spacing w:line="360" w:lineRule="auto"/>
              <w:rPr>
                <w:rFonts w:hint="eastAsia" w:ascii="仿宋" w:hAnsi="仿宋" w:eastAsia="仿宋" w:cs="仿宋"/>
                <w:color w:val="auto"/>
                <w:sz w:val="24"/>
                <w:szCs w:val="24"/>
                <w:highlight w:val="none"/>
                <w:lang w:eastAsia="zh-CN"/>
              </w:rPr>
            </w:pPr>
          </w:p>
        </w:tc>
        <w:tc>
          <w:tcPr>
            <w:tcW w:w="1402" w:type="pct"/>
            <w:vAlign w:val="center"/>
          </w:tcPr>
          <w:p w14:paraId="06E2334B">
            <w:pPr>
              <w:spacing w:line="360" w:lineRule="auto"/>
              <w:rPr>
                <w:rFonts w:hint="eastAsia" w:ascii="仿宋" w:hAnsi="仿宋" w:eastAsia="仿宋" w:cs="仿宋"/>
                <w:color w:val="auto"/>
                <w:sz w:val="24"/>
                <w:szCs w:val="24"/>
                <w:highlight w:val="none"/>
                <w:lang w:eastAsia="zh-CN"/>
              </w:rPr>
            </w:pPr>
          </w:p>
        </w:tc>
      </w:tr>
      <w:tr w14:paraId="5DFC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47" w:type="pct"/>
            <w:vAlign w:val="center"/>
          </w:tcPr>
          <w:p w14:paraId="4E63ACF9">
            <w:pPr>
              <w:spacing w:line="360" w:lineRule="auto"/>
              <w:ind w:firstLine="560" w:firstLineChars="0"/>
              <w:rPr>
                <w:rFonts w:hint="eastAsia" w:ascii="仿宋" w:hAnsi="仿宋" w:eastAsia="仿宋" w:cs="仿宋"/>
                <w:color w:val="auto"/>
                <w:sz w:val="24"/>
                <w:szCs w:val="24"/>
                <w:highlight w:val="none"/>
                <w:lang w:eastAsia="zh-CN"/>
              </w:rPr>
            </w:pPr>
          </w:p>
        </w:tc>
        <w:tc>
          <w:tcPr>
            <w:tcW w:w="1078" w:type="pct"/>
            <w:vAlign w:val="center"/>
          </w:tcPr>
          <w:p w14:paraId="2722972E">
            <w:pPr>
              <w:spacing w:line="360" w:lineRule="auto"/>
              <w:rPr>
                <w:rFonts w:hint="eastAsia" w:ascii="仿宋" w:hAnsi="仿宋" w:eastAsia="仿宋" w:cs="仿宋"/>
                <w:color w:val="auto"/>
                <w:sz w:val="24"/>
                <w:szCs w:val="24"/>
                <w:highlight w:val="none"/>
                <w:lang w:eastAsia="zh-CN"/>
              </w:rPr>
            </w:pPr>
          </w:p>
        </w:tc>
        <w:tc>
          <w:tcPr>
            <w:tcW w:w="1571" w:type="pct"/>
            <w:vAlign w:val="center"/>
          </w:tcPr>
          <w:p w14:paraId="7411DC36">
            <w:pPr>
              <w:spacing w:line="360" w:lineRule="auto"/>
              <w:rPr>
                <w:rFonts w:hint="eastAsia" w:ascii="仿宋" w:hAnsi="仿宋" w:eastAsia="仿宋" w:cs="仿宋"/>
                <w:color w:val="auto"/>
                <w:sz w:val="24"/>
                <w:szCs w:val="24"/>
                <w:highlight w:val="none"/>
                <w:lang w:eastAsia="zh-CN"/>
              </w:rPr>
            </w:pPr>
          </w:p>
        </w:tc>
        <w:tc>
          <w:tcPr>
            <w:tcW w:w="1402" w:type="pct"/>
            <w:vAlign w:val="center"/>
          </w:tcPr>
          <w:p w14:paraId="5545A3D8">
            <w:pPr>
              <w:spacing w:line="360" w:lineRule="auto"/>
              <w:rPr>
                <w:rFonts w:hint="eastAsia" w:ascii="仿宋" w:hAnsi="仿宋" w:eastAsia="仿宋" w:cs="仿宋"/>
                <w:color w:val="auto"/>
                <w:sz w:val="24"/>
                <w:szCs w:val="24"/>
                <w:highlight w:val="none"/>
                <w:lang w:eastAsia="zh-CN"/>
              </w:rPr>
            </w:pPr>
          </w:p>
        </w:tc>
      </w:tr>
      <w:tr w14:paraId="12C8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47" w:type="pct"/>
            <w:vAlign w:val="center"/>
          </w:tcPr>
          <w:p w14:paraId="48A81B0D">
            <w:pPr>
              <w:spacing w:line="360" w:lineRule="auto"/>
              <w:ind w:firstLine="560" w:firstLineChars="0"/>
              <w:rPr>
                <w:rFonts w:hint="eastAsia" w:ascii="仿宋" w:hAnsi="仿宋" w:eastAsia="仿宋" w:cs="仿宋"/>
                <w:color w:val="auto"/>
                <w:sz w:val="24"/>
                <w:szCs w:val="24"/>
                <w:highlight w:val="none"/>
                <w:lang w:eastAsia="zh-CN"/>
              </w:rPr>
            </w:pPr>
          </w:p>
        </w:tc>
        <w:tc>
          <w:tcPr>
            <w:tcW w:w="1078" w:type="pct"/>
            <w:vAlign w:val="center"/>
          </w:tcPr>
          <w:p w14:paraId="775A64D6">
            <w:pPr>
              <w:spacing w:line="360" w:lineRule="auto"/>
              <w:rPr>
                <w:rFonts w:hint="eastAsia" w:ascii="仿宋" w:hAnsi="仿宋" w:eastAsia="仿宋" w:cs="仿宋"/>
                <w:color w:val="auto"/>
                <w:sz w:val="24"/>
                <w:szCs w:val="24"/>
                <w:highlight w:val="none"/>
                <w:lang w:eastAsia="zh-CN"/>
              </w:rPr>
            </w:pPr>
          </w:p>
        </w:tc>
        <w:tc>
          <w:tcPr>
            <w:tcW w:w="1571" w:type="pct"/>
            <w:vAlign w:val="center"/>
          </w:tcPr>
          <w:p w14:paraId="408A4B3B">
            <w:pPr>
              <w:spacing w:line="360" w:lineRule="auto"/>
              <w:rPr>
                <w:rFonts w:hint="eastAsia" w:ascii="仿宋" w:hAnsi="仿宋" w:eastAsia="仿宋" w:cs="仿宋"/>
                <w:color w:val="auto"/>
                <w:sz w:val="24"/>
                <w:szCs w:val="24"/>
                <w:highlight w:val="none"/>
                <w:lang w:eastAsia="zh-CN"/>
              </w:rPr>
            </w:pPr>
          </w:p>
        </w:tc>
        <w:tc>
          <w:tcPr>
            <w:tcW w:w="1402" w:type="pct"/>
            <w:vAlign w:val="center"/>
          </w:tcPr>
          <w:p w14:paraId="23B52929">
            <w:pPr>
              <w:spacing w:line="360" w:lineRule="auto"/>
              <w:rPr>
                <w:rFonts w:hint="eastAsia" w:ascii="仿宋" w:hAnsi="仿宋" w:eastAsia="仿宋" w:cs="仿宋"/>
                <w:color w:val="auto"/>
                <w:sz w:val="24"/>
                <w:szCs w:val="24"/>
                <w:highlight w:val="none"/>
                <w:lang w:eastAsia="zh-CN"/>
              </w:rPr>
            </w:pPr>
          </w:p>
        </w:tc>
      </w:tr>
    </w:tbl>
    <w:p w14:paraId="2EF60649">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工作要求</w:t>
      </w:r>
    </w:p>
    <w:p w14:paraId="601FCC5B">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）驻场人员自合同签订之日起必须到岗，到岗时须同时提供无犯罪记录证明，</w:t>
      </w:r>
      <w:r>
        <w:rPr>
          <w:rFonts w:hint="eastAsia" w:ascii="仿宋" w:hAnsi="仿宋" w:eastAsia="仿宋" w:cs="仿宋"/>
          <w:color w:val="auto"/>
          <w:sz w:val="24"/>
          <w:szCs w:val="24"/>
          <w:highlight w:val="none"/>
          <w:lang w:val="en-US" w:eastAsia="zh-CN"/>
        </w:rPr>
        <w:t>签订保密协议</w:t>
      </w:r>
      <w:r>
        <w:rPr>
          <w:rFonts w:hint="eastAsia" w:ascii="仿宋" w:hAnsi="仿宋" w:eastAsia="仿宋" w:cs="仿宋"/>
          <w:color w:val="auto"/>
          <w:sz w:val="24"/>
          <w:szCs w:val="24"/>
          <w:highlight w:val="none"/>
          <w:lang w:eastAsia="zh-CN"/>
        </w:rPr>
        <w:t>。未经甲方书面同意，不得更换驻场人员;如果驻场人员存在工作态度、责任心、技术能力、协调能力等方面之一的问题时，甲方有权要求乙方更换驻场人员，并且乙方在收到甲方书面通知之日起7个工作日内必须无条件更换，接替人员必须经过甲方面试同意后才能开始试用，如果有两次以上的试用不合适，要求乙方进行整改，乙方以公司名义正式提交整改报告。</w:t>
      </w:r>
    </w:p>
    <w:p w14:paraId="4076C2BB">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采购人须为成交供应商提供必要的办公场所和网络环境。中标方须</w:t>
      </w:r>
      <w:r>
        <w:rPr>
          <w:rFonts w:hint="eastAsia" w:ascii="仿宋" w:hAnsi="仿宋" w:eastAsia="仿宋" w:cs="仿宋"/>
          <w:color w:val="auto"/>
          <w:sz w:val="24"/>
          <w:szCs w:val="24"/>
          <w:highlight w:val="none"/>
          <w:lang w:eastAsia="zh-CN"/>
        </w:rPr>
        <w:t>为维护人员（</w:t>
      </w:r>
      <w:r>
        <w:rPr>
          <w:rFonts w:hint="eastAsia" w:ascii="仿宋" w:hAnsi="仿宋" w:eastAsia="仿宋" w:cs="仿宋"/>
          <w:color w:val="auto"/>
          <w:sz w:val="24"/>
          <w:szCs w:val="24"/>
          <w:highlight w:val="none"/>
          <w:lang w:val="en-US" w:eastAsia="zh-CN"/>
        </w:rPr>
        <w:t>含驻场人员和非驻场人员</w:t>
      </w:r>
      <w:r>
        <w:rPr>
          <w:rFonts w:hint="eastAsia" w:ascii="仿宋" w:hAnsi="仿宋" w:eastAsia="仿宋" w:cs="仿宋"/>
          <w:color w:val="auto"/>
          <w:sz w:val="24"/>
          <w:szCs w:val="24"/>
          <w:highlight w:val="none"/>
          <w:lang w:eastAsia="zh-CN"/>
        </w:rPr>
        <w:t>）购买必要的</w:t>
      </w:r>
      <w:r>
        <w:rPr>
          <w:rFonts w:hint="eastAsia" w:ascii="仿宋" w:hAnsi="仿宋" w:eastAsia="仿宋" w:cs="仿宋"/>
          <w:color w:val="auto"/>
          <w:sz w:val="24"/>
          <w:szCs w:val="24"/>
          <w:highlight w:val="none"/>
          <w:lang w:val="en-US" w:eastAsia="zh-CN"/>
        </w:rPr>
        <w:t>人身</w:t>
      </w:r>
      <w:r>
        <w:rPr>
          <w:rFonts w:hint="eastAsia" w:ascii="仿宋" w:hAnsi="仿宋" w:eastAsia="仿宋" w:cs="仿宋"/>
          <w:color w:val="auto"/>
          <w:sz w:val="24"/>
          <w:szCs w:val="24"/>
          <w:highlight w:val="none"/>
          <w:lang w:eastAsia="zh-CN"/>
        </w:rPr>
        <w:t>保险，并必须声明</w:t>
      </w:r>
      <w:r>
        <w:rPr>
          <w:rFonts w:hint="eastAsia" w:ascii="仿宋" w:hAnsi="仿宋" w:eastAsia="仿宋" w:cs="仿宋"/>
          <w:color w:val="auto"/>
          <w:sz w:val="24"/>
          <w:szCs w:val="24"/>
          <w:highlight w:val="none"/>
          <w:lang w:val="en-US" w:eastAsia="zh-CN"/>
        </w:rPr>
        <w:t>在为采购人提供运维服务期间，</w:t>
      </w:r>
      <w:r>
        <w:rPr>
          <w:rFonts w:hint="eastAsia" w:ascii="仿宋" w:hAnsi="仿宋" w:eastAsia="仿宋" w:cs="仿宋"/>
          <w:color w:val="auto"/>
          <w:sz w:val="24"/>
          <w:szCs w:val="24"/>
          <w:highlight w:val="none"/>
          <w:lang w:eastAsia="zh-CN"/>
        </w:rPr>
        <w:t>维护人员</w:t>
      </w:r>
      <w:r>
        <w:rPr>
          <w:rFonts w:hint="eastAsia" w:ascii="仿宋" w:hAnsi="仿宋" w:eastAsia="仿宋" w:cs="仿宋"/>
          <w:color w:val="auto"/>
          <w:sz w:val="24"/>
          <w:szCs w:val="24"/>
          <w:highlight w:val="none"/>
          <w:lang w:val="en-US" w:eastAsia="zh-CN"/>
        </w:rPr>
        <w:t>发生的一切</w:t>
      </w:r>
      <w:r>
        <w:rPr>
          <w:rFonts w:hint="eastAsia" w:ascii="仿宋" w:hAnsi="仿宋" w:eastAsia="仿宋" w:cs="仿宋"/>
          <w:color w:val="auto"/>
          <w:sz w:val="24"/>
          <w:szCs w:val="24"/>
          <w:highlight w:val="none"/>
          <w:lang w:eastAsia="zh-CN"/>
        </w:rPr>
        <w:t>安全事故、财产损失和其他任何事故，</w:t>
      </w:r>
      <w:r>
        <w:rPr>
          <w:rFonts w:hint="eastAsia" w:ascii="仿宋" w:hAnsi="仿宋" w:eastAsia="仿宋" w:cs="仿宋"/>
          <w:color w:val="auto"/>
          <w:sz w:val="24"/>
          <w:szCs w:val="24"/>
          <w:highlight w:val="none"/>
          <w:lang w:val="en-US" w:eastAsia="zh-CN"/>
        </w:rPr>
        <w:t>均</w:t>
      </w:r>
      <w:r>
        <w:rPr>
          <w:rFonts w:hint="eastAsia" w:ascii="仿宋" w:hAnsi="仿宋" w:eastAsia="仿宋" w:cs="仿宋"/>
          <w:color w:val="auto"/>
          <w:sz w:val="24"/>
          <w:szCs w:val="24"/>
          <w:highlight w:val="none"/>
          <w:lang w:eastAsia="zh-CN"/>
        </w:rPr>
        <w:t>由</w:t>
      </w:r>
      <w:r>
        <w:rPr>
          <w:rFonts w:hint="eastAsia" w:ascii="仿宋" w:hAnsi="仿宋" w:eastAsia="仿宋" w:cs="仿宋"/>
          <w:color w:val="auto"/>
          <w:sz w:val="24"/>
          <w:szCs w:val="24"/>
          <w:highlight w:val="none"/>
          <w:lang w:val="en-US" w:eastAsia="zh-CN"/>
        </w:rPr>
        <w:t>中标方</w:t>
      </w:r>
      <w:r>
        <w:rPr>
          <w:rFonts w:hint="eastAsia" w:ascii="仿宋" w:hAnsi="仿宋" w:eastAsia="仿宋" w:cs="仿宋"/>
          <w:color w:val="auto"/>
          <w:sz w:val="24"/>
          <w:szCs w:val="24"/>
          <w:highlight w:val="none"/>
          <w:lang w:eastAsia="zh-CN"/>
        </w:rPr>
        <w:t>承担全部责任，</w:t>
      </w:r>
      <w:r>
        <w:rPr>
          <w:rFonts w:hint="eastAsia" w:ascii="仿宋" w:hAnsi="仿宋" w:eastAsia="仿宋" w:cs="仿宋"/>
          <w:color w:val="auto"/>
          <w:sz w:val="24"/>
          <w:szCs w:val="24"/>
          <w:highlight w:val="none"/>
          <w:lang w:val="en-US" w:eastAsia="zh-CN"/>
        </w:rPr>
        <w:t>和采购人无关</w:t>
      </w:r>
      <w:r>
        <w:rPr>
          <w:rFonts w:hint="eastAsia" w:ascii="仿宋" w:hAnsi="仿宋" w:eastAsia="仿宋" w:cs="仿宋"/>
          <w:color w:val="auto"/>
          <w:sz w:val="24"/>
          <w:szCs w:val="24"/>
          <w:highlight w:val="none"/>
          <w:lang w:eastAsia="zh-CN"/>
        </w:rPr>
        <w:t>。</w:t>
      </w:r>
    </w:p>
    <w:p w14:paraId="540B8111">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）乙方不得以为</w:t>
      </w:r>
      <w:r>
        <w:rPr>
          <w:rFonts w:hint="eastAsia" w:ascii="仿宋" w:hAnsi="仿宋" w:eastAsia="仿宋" w:cs="仿宋"/>
          <w:color w:val="auto"/>
          <w:sz w:val="24"/>
          <w:szCs w:val="24"/>
          <w:highlight w:val="none"/>
          <w:lang w:val="en-US" w:eastAsia="zh-CN"/>
        </w:rPr>
        <w:t>采购人提供</w:t>
      </w:r>
      <w:r>
        <w:rPr>
          <w:rFonts w:hint="eastAsia" w:ascii="仿宋" w:hAnsi="仿宋" w:eastAsia="仿宋" w:cs="仿宋"/>
          <w:color w:val="auto"/>
          <w:sz w:val="24"/>
          <w:szCs w:val="24"/>
          <w:highlight w:val="none"/>
          <w:lang w:eastAsia="zh-CN"/>
        </w:rPr>
        <w:t>服务为理由开展任何形式的商业活动，包括但不限于向被服务人宣传自身及自身的产品或服务、向被服务人收取运行维护费等，一经发现，甲方有权解除合同，并要求乙方无条件退回上述费用，因此给甲方造成损失的，乙方应当双倍赔偿甲方损失。</w:t>
      </w:r>
    </w:p>
    <w:p w14:paraId="7A9311A7">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（三）服务</w:t>
      </w:r>
      <w:r>
        <w:rPr>
          <w:rFonts w:hint="eastAsia" w:ascii="仿宋" w:hAnsi="仿宋" w:eastAsia="仿宋" w:cs="仿宋"/>
          <w:color w:val="auto"/>
          <w:sz w:val="24"/>
          <w:szCs w:val="24"/>
          <w:highlight w:val="none"/>
          <w:lang w:eastAsia="zh-CN"/>
        </w:rPr>
        <w:t>时间要求</w:t>
      </w:r>
    </w:p>
    <w:p w14:paraId="334CBEE5">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）系统服务可用性:</w:t>
      </w:r>
      <w:r>
        <w:rPr>
          <w:rFonts w:hint="eastAsia" w:ascii="仿宋" w:hAnsi="仿宋" w:eastAsia="仿宋" w:cs="仿宋"/>
          <w:color w:val="auto"/>
          <w:sz w:val="24"/>
          <w:szCs w:val="24"/>
          <w:highlight w:val="none"/>
          <w:lang w:val="en-US" w:eastAsia="zh-CN"/>
        </w:rPr>
        <w:t>提供7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lang w:eastAsia="zh-CN"/>
        </w:rPr>
        <w:t>小时</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lang w:eastAsia="zh-CN"/>
        </w:rPr>
        <w:t>平均恢复时间≤1小时，最大</w:t>
      </w:r>
      <w:r>
        <w:rPr>
          <w:rFonts w:hint="eastAsia" w:ascii="仿宋" w:hAnsi="仿宋" w:eastAsia="仿宋" w:cs="仿宋"/>
          <w:color w:val="auto"/>
          <w:sz w:val="24"/>
          <w:szCs w:val="24"/>
          <w:highlight w:val="none"/>
          <w:lang w:val="en-US" w:eastAsia="zh-CN"/>
        </w:rPr>
        <w:t>恢</w:t>
      </w:r>
      <w:r>
        <w:rPr>
          <w:rFonts w:hint="eastAsia" w:ascii="仿宋" w:hAnsi="仿宋" w:eastAsia="仿宋" w:cs="仿宋"/>
          <w:color w:val="auto"/>
          <w:sz w:val="24"/>
          <w:szCs w:val="24"/>
          <w:highlight w:val="none"/>
          <w:lang w:eastAsia="zh-CN"/>
        </w:rPr>
        <w:t>复时间≤8小时。</w:t>
      </w:r>
    </w:p>
    <w:p w14:paraId="59B30EA9">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）派驻的驻场人员须遵守</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lang w:eastAsia="zh-CN"/>
        </w:rPr>
        <w:t>的工作制度和办公时间，服从</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lang w:eastAsia="zh-CN"/>
        </w:rPr>
        <w:t>的监督和管理，不得以节假日或非办公时间为由拒绝</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lang w:eastAsia="zh-CN"/>
        </w:rPr>
        <w:t>安排。</w:t>
      </w:r>
      <w:r>
        <w:rPr>
          <w:rFonts w:hint="eastAsia" w:ascii="仿宋" w:hAnsi="仿宋" w:eastAsia="仿宋" w:cs="仿宋"/>
          <w:color w:val="auto"/>
          <w:sz w:val="24"/>
          <w:szCs w:val="24"/>
          <w:highlight w:val="none"/>
          <w:lang w:val="en-US" w:eastAsia="zh-CN"/>
        </w:rPr>
        <w:t>采购人提出更换</w:t>
      </w:r>
      <w:r>
        <w:rPr>
          <w:rFonts w:hint="eastAsia" w:ascii="仿宋" w:hAnsi="仿宋" w:eastAsia="仿宋" w:cs="仿宋"/>
          <w:color w:val="auto"/>
          <w:sz w:val="24"/>
          <w:szCs w:val="24"/>
          <w:highlight w:val="none"/>
          <w:lang w:eastAsia="zh-CN"/>
        </w:rPr>
        <w:t>驻场人员</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中标方须保证平滑过渡、不得影响运维工作并及时完成更换。</w:t>
      </w:r>
    </w:p>
    <w:p w14:paraId="5EA3E939">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质量保障</w:t>
      </w:r>
    </w:p>
    <w:p w14:paraId="0BC63E4D">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方应提供详实完备的系统质量管理及保障措施实施方案。本项目要求采用国际通用的规范化的项目管理方法，对项目实施的全过程进行监控和管理，对项目进度和工程实施项目进度进行控制。本项目所有文档应该按照所使用的质量管理体系要求编写。项目验收通过后，</w:t>
      </w:r>
      <w:r>
        <w:rPr>
          <w:rFonts w:hint="eastAsia" w:ascii="仿宋" w:hAnsi="仿宋" w:eastAsia="仿宋" w:cs="仿宋"/>
          <w:color w:val="auto"/>
          <w:sz w:val="24"/>
          <w:szCs w:val="24"/>
          <w:highlight w:val="none"/>
          <w:lang w:val="en-US" w:eastAsia="zh-CN"/>
        </w:rPr>
        <w:t>须</w:t>
      </w:r>
      <w:r>
        <w:rPr>
          <w:rFonts w:hint="eastAsia" w:ascii="仿宋" w:hAnsi="仿宋" w:eastAsia="仿宋" w:cs="仿宋"/>
          <w:color w:val="auto"/>
          <w:sz w:val="24"/>
          <w:szCs w:val="24"/>
          <w:highlight w:val="none"/>
          <w:lang w:eastAsia="zh-CN"/>
        </w:rPr>
        <w:t>向</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lang w:eastAsia="zh-CN"/>
        </w:rPr>
        <w:t>交付项目的全部资料，包括纸质资料及</w:t>
      </w:r>
      <w:r>
        <w:rPr>
          <w:rFonts w:hint="eastAsia" w:ascii="仿宋" w:hAnsi="仿宋" w:eastAsia="仿宋" w:cs="仿宋"/>
          <w:color w:val="auto"/>
          <w:sz w:val="24"/>
          <w:szCs w:val="24"/>
          <w:highlight w:val="none"/>
          <w:lang w:val="en-US" w:eastAsia="zh-CN"/>
        </w:rPr>
        <w:t>电子文档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并无条件</w:t>
      </w:r>
      <w:r>
        <w:rPr>
          <w:rFonts w:hint="eastAsia" w:ascii="仿宋" w:hAnsi="仿宋" w:eastAsia="仿宋" w:cs="仿宋"/>
          <w:color w:val="auto"/>
          <w:sz w:val="24"/>
          <w:szCs w:val="24"/>
          <w:highlight w:val="none"/>
          <w:lang w:eastAsia="zh-CN"/>
        </w:rPr>
        <w:t>提供质量保证和技术支持、技术服务。</w:t>
      </w:r>
    </w:p>
    <w:p w14:paraId="52A956F1">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lang w:eastAsia="zh-CN"/>
        </w:rPr>
        <w:t>知识产权</w:t>
      </w:r>
    </w:p>
    <w:p w14:paraId="79A12E5A">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项目实施不得侵犯第三方权利，项目实施使用第三方技术和产品（包括图片）的，</w:t>
      </w:r>
      <w:r>
        <w:rPr>
          <w:rFonts w:hint="eastAsia" w:ascii="仿宋" w:hAnsi="仿宋" w:eastAsia="仿宋" w:cs="仿宋"/>
          <w:color w:val="auto"/>
          <w:sz w:val="24"/>
          <w:szCs w:val="24"/>
          <w:highlight w:val="none"/>
          <w:lang w:val="en-US" w:eastAsia="zh-CN"/>
        </w:rPr>
        <w:t>成交供应商须</w:t>
      </w:r>
      <w:r>
        <w:rPr>
          <w:rFonts w:hint="eastAsia" w:ascii="仿宋" w:hAnsi="仿宋" w:eastAsia="仿宋" w:cs="仿宋"/>
          <w:color w:val="auto"/>
          <w:sz w:val="24"/>
          <w:szCs w:val="24"/>
          <w:highlight w:val="none"/>
          <w:lang w:eastAsia="zh-CN"/>
        </w:rPr>
        <w:t>向采购人进行书面详细说明，并提供相关处理措施和处理结果。</w:t>
      </w:r>
      <w:r>
        <w:rPr>
          <w:rFonts w:hint="eastAsia" w:ascii="仿宋" w:hAnsi="仿宋" w:eastAsia="仿宋" w:cs="仿宋"/>
          <w:color w:val="auto"/>
          <w:sz w:val="24"/>
          <w:szCs w:val="24"/>
          <w:highlight w:val="none"/>
          <w:lang w:val="en-US" w:eastAsia="zh-CN"/>
        </w:rPr>
        <w:t>本</w:t>
      </w:r>
      <w:r>
        <w:rPr>
          <w:rFonts w:hint="eastAsia" w:ascii="仿宋" w:hAnsi="仿宋" w:eastAsia="仿宋" w:cs="仿宋"/>
          <w:color w:val="auto"/>
          <w:sz w:val="24"/>
          <w:szCs w:val="24"/>
          <w:highlight w:val="none"/>
          <w:lang w:eastAsia="zh-CN"/>
        </w:rPr>
        <w:t>项目相关</w:t>
      </w:r>
      <w:r>
        <w:rPr>
          <w:rFonts w:hint="eastAsia" w:ascii="仿宋" w:hAnsi="仿宋" w:eastAsia="仿宋" w:cs="仿宋"/>
          <w:color w:val="auto"/>
          <w:sz w:val="24"/>
          <w:szCs w:val="24"/>
          <w:highlight w:val="none"/>
          <w:lang w:val="en-US" w:eastAsia="zh-CN"/>
        </w:rPr>
        <w:t>的全部</w:t>
      </w:r>
      <w:r>
        <w:rPr>
          <w:rFonts w:hint="eastAsia" w:ascii="仿宋" w:hAnsi="仿宋" w:eastAsia="仿宋" w:cs="仿宋"/>
          <w:color w:val="auto"/>
          <w:sz w:val="24"/>
          <w:szCs w:val="24"/>
          <w:highlight w:val="none"/>
          <w:lang w:eastAsia="zh-CN"/>
        </w:rPr>
        <w:t>知识产权</w:t>
      </w:r>
      <w:r>
        <w:rPr>
          <w:rFonts w:hint="eastAsia" w:ascii="仿宋" w:hAnsi="仿宋" w:eastAsia="仿宋" w:cs="仿宋"/>
          <w:color w:val="auto"/>
          <w:sz w:val="24"/>
          <w:szCs w:val="24"/>
          <w:highlight w:val="none"/>
          <w:lang w:val="en-US" w:eastAsia="zh-CN"/>
        </w:rPr>
        <w:t>均</w:t>
      </w:r>
      <w:r>
        <w:rPr>
          <w:rFonts w:hint="eastAsia" w:ascii="仿宋" w:hAnsi="仿宋" w:eastAsia="仿宋" w:cs="仿宋"/>
          <w:color w:val="auto"/>
          <w:sz w:val="24"/>
          <w:szCs w:val="24"/>
          <w:highlight w:val="none"/>
          <w:lang w:eastAsia="zh-CN"/>
        </w:rPr>
        <w:t>归属</w:t>
      </w:r>
      <w:r>
        <w:rPr>
          <w:rFonts w:hint="eastAsia" w:ascii="仿宋" w:hAnsi="仿宋" w:eastAsia="仿宋" w:cs="仿宋"/>
          <w:color w:val="auto"/>
          <w:sz w:val="24"/>
          <w:szCs w:val="24"/>
          <w:highlight w:val="none"/>
          <w:lang w:val="en-US" w:eastAsia="zh-CN"/>
        </w:rPr>
        <w:t>采购人所有</w:t>
      </w:r>
      <w:r>
        <w:rPr>
          <w:rFonts w:hint="eastAsia" w:ascii="仿宋" w:hAnsi="仿宋" w:eastAsia="仿宋" w:cs="仿宋"/>
          <w:color w:val="auto"/>
          <w:sz w:val="24"/>
          <w:szCs w:val="24"/>
          <w:highlight w:val="none"/>
          <w:lang w:eastAsia="zh-CN"/>
        </w:rPr>
        <w:t>。</w:t>
      </w:r>
    </w:p>
    <w:p w14:paraId="7F3570BC">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lang w:eastAsia="zh-CN"/>
        </w:rPr>
        <w:t>培训要求</w:t>
      </w:r>
    </w:p>
    <w:p w14:paraId="3C11AB9C">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lang w:val="en-US" w:eastAsia="zh-CN"/>
        </w:rPr>
        <w:t>须按照采购人相关要求完成培训，税金、</w:t>
      </w:r>
      <w:r>
        <w:rPr>
          <w:rFonts w:hint="eastAsia" w:ascii="仿宋" w:hAnsi="仿宋" w:eastAsia="仿宋" w:cs="仿宋"/>
          <w:color w:val="auto"/>
          <w:sz w:val="24"/>
          <w:szCs w:val="24"/>
          <w:highlight w:val="none"/>
          <w:lang w:eastAsia="zh-CN"/>
        </w:rPr>
        <w:t>培训</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lang w:eastAsia="zh-CN"/>
        </w:rPr>
        <w:t>相关费用</w:t>
      </w:r>
      <w:r>
        <w:rPr>
          <w:rFonts w:hint="eastAsia" w:ascii="仿宋" w:hAnsi="仿宋" w:eastAsia="仿宋" w:cs="仿宋"/>
          <w:color w:val="auto"/>
          <w:sz w:val="24"/>
          <w:szCs w:val="24"/>
          <w:highlight w:val="none"/>
          <w:lang w:val="en-US" w:eastAsia="zh-CN"/>
        </w:rPr>
        <w:t>均</w:t>
      </w:r>
      <w:r>
        <w:rPr>
          <w:rFonts w:hint="eastAsia" w:ascii="仿宋" w:hAnsi="仿宋" w:eastAsia="仿宋" w:cs="仿宋"/>
          <w:color w:val="auto"/>
          <w:sz w:val="24"/>
          <w:szCs w:val="24"/>
          <w:highlight w:val="none"/>
          <w:lang w:eastAsia="zh-CN"/>
        </w:rPr>
        <w:t>包含在本</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lang w:eastAsia="zh-CN"/>
        </w:rPr>
        <w:t>合同价款中，</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lang w:eastAsia="zh-CN"/>
        </w:rPr>
        <w:t>不再另行支付培训费</w:t>
      </w:r>
      <w:r>
        <w:rPr>
          <w:rFonts w:hint="eastAsia" w:ascii="仿宋" w:hAnsi="仿宋" w:eastAsia="仿宋" w:cs="仿宋"/>
          <w:color w:val="auto"/>
          <w:sz w:val="24"/>
          <w:szCs w:val="24"/>
          <w:highlight w:val="none"/>
          <w:lang w:val="en-US" w:eastAsia="zh-CN"/>
        </w:rPr>
        <w:t>等任何费用</w:t>
      </w:r>
      <w:r>
        <w:rPr>
          <w:rFonts w:hint="eastAsia" w:ascii="仿宋" w:hAnsi="仿宋" w:eastAsia="仿宋" w:cs="仿宋"/>
          <w:color w:val="auto"/>
          <w:sz w:val="24"/>
          <w:szCs w:val="24"/>
          <w:highlight w:val="none"/>
          <w:lang w:eastAsia="zh-CN"/>
        </w:rPr>
        <w:t>。</w:t>
      </w:r>
    </w:p>
    <w:p w14:paraId="50CB5A56">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lang w:eastAsia="zh-CN"/>
        </w:rPr>
        <w:t>验收要求</w:t>
      </w:r>
    </w:p>
    <w:p w14:paraId="443CF74D">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项目运维完成后成交供应商可书面申请验收，验收前须进行满意度调查，验收由采购人负责组织，验收专家不少于3人，因组织验收产生的相关费用均由成交供应商承担。</w:t>
      </w:r>
    </w:p>
    <w:p w14:paraId="3CAB873B">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第三条  运维服务期限</w:t>
      </w:r>
    </w:p>
    <w:p w14:paraId="0FF504C4">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运维服务期限：乙方须提供一年运维服务，即运维服务自合同签订之日起满一年。</w:t>
      </w:r>
    </w:p>
    <w:p w14:paraId="48B3043B">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第四条  合同额及支付方式</w:t>
      </w:r>
    </w:p>
    <w:p w14:paraId="2C433734">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1、合同额：本合同总金额为人民币（小写）：XXX元，（大写）：XXX元整 ，上述费用包括税费、交通费、运维费、培训费、组织验收产生的费用等乙方提供本合同约定全部服务，除该费用外，甲方不再另行支付其他任何费用。</w:t>
      </w:r>
    </w:p>
    <w:p w14:paraId="3CB6A00E">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2、支付方式：本项目合同额分叁笔支付：</w:t>
      </w:r>
    </w:p>
    <w:p w14:paraId="385ED6D9">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（1）第一笔：自本合同签订后，甲方收到乙方支付申请和对应项目总额60%的等额增值税普通发票后15个工作日内，甲方向乙方约定账户支付项目总额60%的费用，即人民币（小写）：XXX元，（大写）：XXX元整。</w:t>
      </w:r>
    </w:p>
    <w:p w14:paraId="1FDBDD5D">
      <w:pPr>
        <w:spacing w:line="360" w:lineRule="auto"/>
        <w:ind w:firstLine="560" w:firstLine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（2）第二笔：运维服务满6个月后，经甲方确认乙方工作合格后，支付合同总额30%，即人民币（小写）：XXX元，（大写）XXX元整。</w:t>
      </w:r>
    </w:p>
    <w:p w14:paraId="7CDDAE77">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第三笔：运维服务期满，经过终验合格后，经甲方确认并收到乙方支付申请和对应项目总额10%等额的增值税普通发票后15个工作日内，甲方向乙方约定账户支付项目总额10%的费用，即人民币（小写）：XXX元，（大写）：XXX元整。</w:t>
      </w:r>
    </w:p>
    <w:p w14:paraId="0611E6A8">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（2）账号账户信息</w:t>
      </w:r>
    </w:p>
    <w:p w14:paraId="2204DA1B">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甲方：</w:t>
      </w:r>
    </w:p>
    <w:p w14:paraId="6D591218">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单位名称：</w:t>
      </w:r>
    </w:p>
    <w:p w14:paraId="533379B0">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账号：3002015129200129181</w:t>
      </w:r>
    </w:p>
    <w:p w14:paraId="3AD34700">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开户银行：</w:t>
      </w:r>
    </w:p>
    <w:p w14:paraId="6713B082">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行号：</w:t>
      </w:r>
    </w:p>
    <w:p w14:paraId="2D88381B">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社会信用统一代码：</w:t>
      </w:r>
    </w:p>
    <w:p w14:paraId="551C6FB5">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电话：</w:t>
      </w:r>
    </w:p>
    <w:p w14:paraId="62BAA0ED">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w:t>
      </w:r>
    </w:p>
    <w:p w14:paraId="4229122E">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乙方：</w:t>
      </w:r>
    </w:p>
    <w:p w14:paraId="1B800285">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公司名称：</w:t>
      </w:r>
    </w:p>
    <w:p w14:paraId="4535529A">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纳税人识别号：</w:t>
      </w:r>
    </w:p>
    <w:p w14:paraId="688AA221">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开户银行：</w:t>
      </w:r>
    </w:p>
    <w:p w14:paraId="6B92D820">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w:t>
      </w:r>
    </w:p>
    <w:p w14:paraId="336515F3">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账号：</w:t>
      </w:r>
    </w:p>
    <w:p w14:paraId="36809C31">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甲方付款前，乙方应向甲方开具等额有效的发票，甲方未收到发票的，有权不予支付相应款项直至乙方提供合格发票，并不承担延迟付款责任。发票认证通过是付款的必要前提之一。</w:t>
      </w:r>
    </w:p>
    <w:p w14:paraId="128414A4">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第五条  甲方的权利义务</w:t>
      </w:r>
    </w:p>
    <w:p w14:paraId="36F67E89">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1、甲方有权要求乙方按照本合同约定提供各项服务。</w:t>
      </w:r>
    </w:p>
    <w:p w14:paraId="4A758A3B">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2、甲方有权对乙方提供各项服务的情况进行监督和检查，有权对不符合合同或要求的行为责令改正并处以相应的处罚。</w:t>
      </w:r>
    </w:p>
    <w:p w14:paraId="04B7C299">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3、甲方应按照本合同约定向乙方支付服务费。</w:t>
      </w:r>
    </w:p>
    <w:p w14:paraId="4FF078F7">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第六条  乙方的权利义务</w:t>
      </w:r>
    </w:p>
    <w:p w14:paraId="7CCFB409">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1、乙方应按照本合同约定向甲方提供各项服务，确保服务质量符合本合同约定。</w:t>
      </w:r>
    </w:p>
    <w:p w14:paraId="09C7699B">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2、如确有需要，经过甲方书面同意乙方可以选择第三方提供优于自身能力的协作服务。</w:t>
      </w:r>
    </w:p>
    <w:p w14:paraId="13F51466">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3、乙方保证其向甲方提供的服务不存在任何侵犯第三方著作权、商标权、专利权等合法权益的情形。</w:t>
      </w:r>
    </w:p>
    <w:p w14:paraId="00B92A5C">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4、乙方有义务配合甲方或相关单位根据工作需要，对其提供服务情况及项目服务费支出、使用情况进行的监督和检查，出现问题的应及时整改并出具书面汇报，如给甲方造成损失的赔偿一切损失。</w:t>
      </w:r>
    </w:p>
    <w:p w14:paraId="22AE12B0">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5、乙方应保证为甲方提供服务的员工具备提供本合同项下服务所需的相应资质和许可，并保证乙方人员在为甲方提供服务的过程中，严格遵守甲方已提前书面告知的各项规定、服从甲方安排。</w:t>
      </w:r>
    </w:p>
    <w:p w14:paraId="68593BFE">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6、如因乙方人员原因，给甲方或第三方造成人员人身伤害或财产损失的，乙方应承担全部赔偿责任。</w:t>
      </w:r>
    </w:p>
    <w:p w14:paraId="70FBAC85">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7、未经甲方的书面许可，乙方不得以任何形式将其在本合同项下的权利义务全部或部分转让给任何第三方。</w:t>
      </w:r>
    </w:p>
    <w:p w14:paraId="02C5D5B3">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8、合同终止或不再续签，乙方应配合甲方另行选择承担商，并以维持系统的安全稳定运行为原则，与新的承担商做好工作交接。</w:t>
      </w:r>
    </w:p>
    <w:p w14:paraId="7F967CAC">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9、乙方负责乙方人员的劳动保护和管理工作，在工作期间严格执行甲方事先已书面告知的操作规程和各项安全规定、管理制度。因乙方原因导致的损害乙方承担全部责任。</w:t>
      </w:r>
    </w:p>
    <w:p w14:paraId="5478B6F3">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第七条 保密义务</w:t>
      </w:r>
    </w:p>
    <w:p w14:paraId="501F6120">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乙方因承接本合同约定项目所知悉的该项目信息或甲方信息，一切以政府工作有关的信息资料、甲方技术秘密，包括但不限于组织机构、财务资料、通讯录、管理资料、业务数据、系统数据、技术指标、信息系统情况、网络架构、信息安全体系结构、软件和数据库系统使用情况、安全拓扑图、设备配置、系统配置数据以及在项目实施过程中获取的、所产生的有关数据、流程、分析成果及与该项目有关的全部信息均为甲方的保密信息；上述保密信息的表现形式不限，无论是书面的、口头的、图形的或其他任何形式的信息，乙方应对上述保密信息承担保密义务。</w:t>
      </w:r>
    </w:p>
    <w:p w14:paraId="77297167">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乙方应对上述保密信息予以妥善保存，并保证仅将其用于与完成本合同项下约定项目实施有关的用途或目的。在缺少相关保密条款约定时，对上述保密信息，乙方应至少采取适用于对自己核心机密进行保护的同等保护措施和审慎程度进行保密。</w:t>
      </w:r>
    </w:p>
    <w:p w14:paraId="7B817F6C">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3、乙方保证将保密信息的披露范围严格控制在直接从事该项目工作且因工作需要有必要知悉保密信息的工作人员范围内，对乙方非从事该项目的人员一律严格保密。</w:t>
      </w:r>
    </w:p>
    <w:p w14:paraId="55A8F595">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乙方应保证在向其工作人员披露甲方的保密信息前，认真做好员工的保密教育工作，明确告知其将知悉的为甲方的保密信息，并明确告知其需承担的保密义务及泄密所应承担的法律责任，并要求参与该项目的人员签署书面《保密协议》。</w:t>
      </w:r>
    </w:p>
    <w:p w14:paraId="2BFFF0EB">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参与本项目乙方工作之人员，不得将保密信息透露给其他无关或任何第三方，且不得将载有保密信息的任何文档、图纸、资料、磁盘、移动介质、胶片等任何介质，带离甲方工作场所。且任何时间内，一经甲方提出要求，乙方应按照甲方指示在收到甲方书面通知后七日内将含有保密信息的所有文件或其他资料归还甲方，且不得擅自复制留存。</w:t>
      </w:r>
    </w:p>
    <w:p w14:paraId="29240182">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6、非经甲方特别授权，甲方向乙方提供的任何保密信息并不包括授予乙方该保密信息包含的任何专利权、商标权、著作权、商业秘密或其它类型的知识产权。</w:t>
      </w:r>
    </w:p>
    <w:p w14:paraId="3BBE497A">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7、乙方及乙方人员承担上述保密义务，不因从原单位离职而免除，保密期限为永久。</w:t>
      </w:r>
    </w:p>
    <w:p w14:paraId="4FBDD671">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8、承担上述保密义务的责任主体为乙方（含乙方工作人员）。如乙方或乙方工作人员违反了上述保密义务，给甲方造成损失或触犯法律的，乙方承担相应责任，并赔偿因此给甲方造成的直接损失。</w:t>
      </w:r>
    </w:p>
    <w:p w14:paraId="59AE099F">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9、本条款不因合同变更、修改、解除或终止而失效。</w:t>
      </w:r>
    </w:p>
    <w:p w14:paraId="77BC75B0">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第八条 知识产权归属</w:t>
      </w:r>
    </w:p>
    <w:p w14:paraId="0A7BFD97">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乙方应保证项目实施不得侵犯第三方权利，同时，在其向甲方交付的本合同项下的技术成果中也不会非法地包含或使用第三方的知识产权或其它权利，项目实施使用第三方技术和产品（包括图片）的，乙方须向甲方进行书面详细说明，并提供相关处理措施和处理结果。</w:t>
      </w:r>
    </w:p>
    <w:p w14:paraId="56D08758">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2、本项目全部知识产权均归属甲方所有。未经甲方的事先书面许可，乙方不得将上述属于甲方的知识产权以任何方式透露给任何第三方或用于本合同以外的其他事项。</w:t>
      </w:r>
    </w:p>
    <w:p w14:paraId="504E21ED">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如果有人提出法律或行政程序（合称“侵权指控”），声称甲方使用服务成果侵犯了其合法权益（包括但不限于知识产权），乙方应当负责解决，并赔偿甲方就此所承担的一切损失和费用，包括但不限于上述侵权指控中所产生的一切诉讼费用、调查费用、律师费用、公证费用、和解金额、甲方向任意第三方支付的费用或生效法律文书中规定的赔偿金额，并有权单方解除合同。</w:t>
      </w:r>
    </w:p>
    <w:p w14:paraId="43D2FAA7">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第九条  违约责任及合同的解除</w:t>
      </w:r>
    </w:p>
    <w:p w14:paraId="6DCD5992">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1、甲乙双方均应全面履行本合同，任何一方不履行或不按约定履行均构成违约，违约方应赔偿因此给对方造成的全部损失。</w:t>
      </w:r>
    </w:p>
    <w:p w14:paraId="03206809">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2、因乙方原因提供服务不符合本合同约定标准的，乙方应当在甲方规定的合理期限内进行返工、修改，并重新提交甲方验收。因返工导致项目延误的，乙方应按本条款第 5 项承担逾期违约责任。</w:t>
      </w:r>
    </w:p>
    <w:p w14:paraId="6617DD09">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3、除经过甲方同意外，未按照本合同约定提供专业技术人员团队，或擅自更换人员的，经甲方通知后，应及时予以改正，经甲方通知后仍不改正的，甲方有权解除合同。</w:t>
      </w:r>
    </w:p>
    <w:p w14:paraId="4EF3D66F">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 乙方不接受甲方和相关审计部门对本项目进行监督检查的，或经检查发现存在违法违规情况的，按照国家和本市有关规定处理。</w:t>
      </w:r>
    </w:p>
    <w:p w14:paraId="04269AEF">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乙方未按时交付工作成果的，每逾期一日，甲方扣除合同总金额百分之五的违约金，逾期超过10日的，甲方有权解除本合同，自解除合同的通知到达乙方时合同解除，乙方应当退还所有已经收取的服务费并向甲方支付合同约定总金额30%的违约金，违约金不足以弥补甲方损失的，乙方应承担因此给甲方造成的所有实际损失。</w:t>
      </w:r>
    </w:p>
    <w:p w14:paraId="2B4E2F2F">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乙方所提供的服务不符合约定的标准，甲方有权拒收；乙方应当在甲方指定的时间内完成更换整改，造成项目逾期的，按照前款的约定承担违约责任。乙方逾期或不及时提供安装调试督导、保修等服务，则乙方应从逾期之日起，每迟延一日向甲方支付合同总金额千分之五的违约金。</w:t>
      </w:r>
    </w:p>
    <w:p w14:paraId="2CF60784">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7、乙方违约的，除按照本条的约定承担对应的违约责任外，还应承担甲方为实现合同权益而支出的诉讼费、律师代理费、评估费、鉴定费等维权支出。</w:t>
      </w:r>
    </w:p>
    <w:p w14:paraId="709CA025">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甲方未按本合同约定向乙方支付服务费的，逾期30日仍未向乙方支付费用的，乙方有权要求甲方支付应付的服务费用，并以应付未付款项为基数，按照合同签订时壹年期贷款市场报价利率计算，向乙方支付逾期利息。</w:t>
      </w:r>
    </w:p>
    <w:p w14:paraId="1F70E0C5">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第十条  争议的解决</w:t>
      </w:r>
    </w:p>
    <w:p w14:paraId="65A16850">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1、因履行合同所发生的一切争议，双方应友好协商解决，协商不成的，依法向甲方所在地的人民法院起诉方式解决。</w:t>
      </w:r>
    </w:p>
    <w:p w14:paraId="223548FF">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2、因实现本合同争议发生的费用（包括但不限于违约金、诉讼费用、律师费、差旅费、执行费、调查费、保全费、服务费、咨询费诉讼担保费等）由违约方承担。</w:t>
      </w:r>
    </w:p>
    <w:p w14:paraId="6DFD6981">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第十一条  廉政承诺</w:t>
      </w:r>
    </w:p>
    <w:p w14:paraId="66C1888C">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1、合同双方承诺共同加强廉洁自律、反对商业贿赂。   </w:t>
      </w:r>
    </w:p>
    <w:p w14:paraId="4B52CDB0">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甲方及其工作人员不得索要礼金、有价证券和贵重物品；不得在乙方报销应由本单位或个人支付的费用；不得以参与项目实施为名，接受乙方从该项目中支取的劳务报酬；不得参加乙方安排的超标准宴请和娱乐活动。</w:t>
      </w:r>
    </w:p>
    <w:p w14:paraId="0E748B8A">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3、乙方不得向甲方及其工作人员行贿或馈赠礼金、有价证券、贵重礼品；不得为其报销应由甲方单位或个人支付的费用；不得向甲方工作人员支付劳务报酬；不得安排甲方工作人员参加超标准宴请及娱乐活动。</w:t>
      </w:r>
    </w:p>
    <w:p w14:paraId="756F0AAD">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第十二条  其他</w:t>
      </w:r>
    </w:p>
    <w:p w14:paraId="7F5A59B4">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1、本合同自双方法定代表人或授权代表签字盖章之日起生效。</w:t>
      </w:r>
    </w:p>
    <w:p w14:paraId="19BE45B9">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2、未尽事宜，经双方协商一致，签订补充协议，补充协议与本合同不一致或相冲突的内容，以补充协议为准。</w:t>
      </w:r>
    </w:p>
    <w:p w14:paraId="624B7783">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3、本合同一式  陆  份，甲方执   叁   份，乙方执  叁  份，具有同等法律效力。</w:t>
      </w:r>
    </w:p>
    <w:p w14:paraId="03EB38E6">
      <w:pPr>
        <w:spacing w:line="360" w:lineRule="auto"/>
        <w:ind w:firstLine="560" w:firstLineChars="0"/>
        <w:rPr>
          <w:rFonts w:hint="eastAsia" w:ascii="仿宋" w:hAnsi="仿宋" w:eastAsia="仿宋" w:cs="仿宋"/>
          <w:color w:val="auto"/>
          <w:sz w:val="24"/>
          <w:szCs w:val="24"/>
          <w:highlight w:val="none"/>
          <w:lang w:val="en-US" w:eastAsia="zh-CN"/>
        </w:rPr>
      </w:pPr>
    </w:p>
    <w:p w14:paraId="57D673AF">
      <w:pPr>
        <w:spacing w:line="360" w:lineRule="auto"/>
        <w:ind w:firstLine="560" w:firstLineChars="0"/>
        <w:rPr>
          <w:rFonts w:hint="eastAsia" w:ascii="仿宋" w:hAnsi="仿宋" w:eastAsia="仿宋" w:cs="仿宋"/>
          <w:color w:val="auto"/>
          <w:sz w:val="24"/>
          <w:szCs w:val="24"/>
          <w:highlight w:val="none"/>
          <w:lang w:val="en-US" w:eastAsia="zh-CN"/>
        </w:rPr>
      </w:pPr>
    </w:p>
    <w:p w14:paraId="01A829B8">
      <w:pPr>
        <w:spacing w:line="360" w:lineRule="auto"/>
        <w:ind w:firstLine="560" w:firstLineChars="0"/>
        <w:rPr>
          <w:rFonts w:hint="eastAsia" w:ascii="仿宋" w:hAnsi="仿宋" w:eastAsia="仿宋" w:cs="仿宋"/>
          <w:color w:val="auto"/>
          <w:sz w:val="24"/>
          <w:szCs w:val="24"/>
          <w:highlight w:val="none"/>
          <w:lang w:val="en-US" w:eastAsia="zh-CN"/>
        </w:rPr>
      </w:pPr>
    </w:p>
    <w:p w14:paraId="05FFC29F">
      <w:pPr>
        <w:spacing w:line="360" w:lineRule="auto"/>
        <w:ind w:firstLine="560" w:firstLineChars="0"/>
        <w:rPr>
          <w:rFonts w:hint="eastAsia" w:ascii="仿宋" w:hAnsi="仿宋" w:eastAsia="仿宋" w:cs="仿宋"/>
          <w:color w:val="auto"/>
          <w:sz w:val="24"/>
          <w:szCs w:val="24"/>
          <w:highlight w:val="none"/>
          <w:lang w:val="en-US" w:eastAsia="zh-CN"/>
        </w:rPr>
      </w:pPr>
    </w:p>
    <w:p w14:paraId="72EC1863">
      <w:pPr>
        <w:spacing w:line="360" w:lineRule="auto"/>
        <w:ind w:firstLine="560" w:firstLineChars="0"/>
        <w:rPr>
          <w:rFonts w:hint="eastAsia" w:ascii="仿宋" w:hAnsi="仿宋" w:eastAsia="仿宋" w:cs="仿宋"/>
          <w:color w:val="auto"/>
          <w:sz w:val="24"/>
          <w:szCs w:val="24"/>
          <w:highlight w:val="none"/>
          <w:lang w:val="en-US" w:eastAsia="zh-CN"/>
        </w:rPr>
      </w:pPr>
    </w:p>
    <w:p w14:paraId="3ED6411D">
      <w:pPr>
        <w:spacing w:line="360" w:lineRule="auto"/>
        <w:ind w:firstLine="560" w:firstLineChars="0"/>
        <w:rPr>
          <w:rFonts w:hint="eastAsia" w:ascii="仿宋" w:hAnsi="仿宋" w:eastAsia="仿宋" w:cs="仿宋"/>
          <w:color w:val="auto"/>
          <w:sz w:val="24"/>
          <w:szCs w:val="24"/>
          <w:highlight w:val="none"/>
          <w:lang w:val="en-US" w:eastAsia="zh-CN"/>
        </w:rPr>
      </w:pPr>
    </w:p>
    <w:p w14:paraId="7EDEA7B9">
      <w:pPr>
        <w:spacing w:line="360" w:lineRule="auto"/>
        <w:ind w:firstLine="560" w:firstLineChars="0"/>
        <w:rPr>
          <w:rFonts w:hint="eastAsia" w:ascii="仿宋" w:hAnsi="仿宋" w:eastAsia="仿宋" w:cs="仿宋"/>
          <w:color w:val="auto"/>
          <w:sz w:val="24"/>
          <w:szCs w:val="24"/>
          <w:highlight w:val="none"/>
          <w:lang w:val="en-US" w:eastAsia="zh-CN"/>
        </w:rPr>
      </w:pPr>
    </w:p>
    <w:p w14:paraId="3322A762">
      <w:pPr>
        <w:spacing w:line="360" w:lineRule="auto"/>
        <w:ind w:firstLine="560" w:firstLineChars="0"/>
        <w:rPr>
          <w:rFonts w:hint="eastAsia" w:ascii="仿宋" w:hAnsi="仿宋" w:eastAsia="仿宋" w:cs="仿宋"/>
          <w:color w:val="auto"/>
          <w:sz w:val="24"/>
          <w:szCs w:val="24"/>
          <w:highlight w:val="none"/>
          <w:lang w:val="en-US" w:eastAsia="zh-CN"/>
        </w:rPr>
      </w:pPr>
    </w:p>
    <w:p w14:paraId="05E29DC1">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（本页为签字页，无正文）</w:t>
      </w:r>
    </w:p>
    <w:p w14:paraId="448DF7DE">
      <w:pPr>
        <w:spacing w:line="360" w:lineRule="auto"/>
        <w:ind w:firstLine="560" w:firstLineChars="0"/>
        <w:rPr>
          <w:rFonts w:hint="eastAsia" w:ascii="仿宋" w:hAnsi="仿宋" w:eastAsia="仿宋" w:cs="仿宋"/>
          <w:color w:val="auto"/>
          <w:sz w:val="24"/>
          <w:szCs w:val="24"/>
          <w:highlight w:val="none"/>
          <w:lang w:val="en-US" w:eastAsia="zh-CN"/>
        </w:rPr>
      </w:pPr>
    </w:p>
    <w:p w14:paraId="79C40307">
      <w:pPr>
        <w:spacing w:line="360" w:lineRule="auto"/>
        <w:ind w:firstLine="560" w:firstLineChars="0"/>
        <w:rPr>
          <w:rFonts w:hint="eastAsia" w:ascii="仿宋" w:hAnsi="仿宋" w:eastAsia="仿宋" w:cs="仿宋"/>
          <w:color w:val="auto"/>
          <w:sz w:val="24"/>
          <w:szCs w:val="24"/>
          <w:highlight w:val="none"/>
          <w:lang w:val="en-US" w:eastAsia="zh-CN"/>
        </w:rPr>
      </w:pPr>
    </w:p>
    <w:p w14:paraId="48472B47">
      <w:pPr>
        <w:spacing w:line="360" w:lineRule="auto"/>
        <w:ind w:firstLine="560" w:firstLineChars="0"/>
        <w:rPr>
          <w:rFonts w:hint="eastAsia" w:ascii="仿宋" w:hAnsi="仿宋" w:eastAsia="仿宋" w:cs="仿宋"/>
          <w:color w:val="auto"/>
          <w:sz w:val="24"/>
          <w:szCs w:val="24"/>
          <w:highlight w:val="none"/>
          <w:lang w:val="en-US" w:eastAsia="zh-CN"/>
        </w:rPr>
      </w:pPr>
    </w:p>
    <w:p w14:paraId="5DB31247">
      <w:pPr>
        <w:spacing w:line="360" w:lineRule="auto"/>
        <w:ind w:firstLine="560" w:firstLineChars="0"/>
        <w:rPr>
          <w:rFonts w:hint="eastAsia" w:ascii="仿宋" w:hAnsi="仿宋" w:eastAsia="仿宋" w:cs="仿宋"/>
          <w:color w:val="auto"/>
          <w:sz w:val="24"/>
          <w:szCs w:val="24"/>
          <w:highlight w:val="none"/>
          <w:lang w:val="en-US" w:eastAsia="zh-CN"/>
        </w:rPr>
      </w:pPr>
    </w:p>
    <w:p w14:paraId="3A9931A8">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甲方：（盖章）                </w:t>
      </w:r>
    </w:p>
    <w:p w14:paraId="2B872D07">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法定代表人／委托代理人：（签名）</w:t>
      </w:r>
    </w:p>
    <w:p w14:paraId="2C1A57A3">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14:paraId="1049F64E">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年     月     日</w:t>
      </w:r>
    </w:p>
    <w:p w14:paraId="6CB6696F">
      <w:pPr>
        <w:spacing w:line="360" w:lineRule="auto"/>
        <w:ind w:firstLine="560" w:firstLineChars="0"/>
        <w:rPr>
          <w:rFonts w:hint="eastAsia" w:ascii="仿宋" w:hAnsi="仿宋" w:eastAsia="仿宋" w:cs="仿宋"/>
          <w:color w:val="auto"/>
          <w:sz w:val="24"/>
          <w:szCs w:val="24"/>
          <w:highlight w:val="none"/>
          <w:lang w:val="en-US" w:eastAsia="zh-CN"/>
        </w:rPr>
      </w:pPr>
    </w:p>
    <w:p w14:paraId="0EF7B464">
      <w:pPr>
        <w:spacing w:line="360" w:lineRule="auto"/>
        <w:ind w:firstLine="560" w:firstLineChars="0"/>
        <w:rPr>
          <w:rFonts w:hint="eastAsia" w:ascii="仿宋" w:hAnsi="仿宋" w:eastAsia="仿宋" w:cs="仿宋"/>
          <w:color w:val="auto"/>
          <w:sz w:val="24"/>
          <w:szCs w:val="24"/>
          <w:highlight w:val="none"/>
          <w:lang w:val="en-US" w:eastAsia="zh-CN"/>
        </w:rPr>
      </w:pPr>
    </w:p>
    <w:p w14:paraId="0306EB4F">
      <w:pPr>
        <w:spacing w:line="360" w:lineRule="auto"/>
        <w:ind w:firstLine="560" w:firstLineChars="0"/>
        <w:rPr>
          <w:rFonts w:hint="eastAsia" w:ascii="仿宋" w:hAnsi="仿宋" w:eastAsia="仿宋" w:cs="仿宋"/>
          <w:color w:val="auto"/>
          <w:sz w:val="24"/>
          <w:szCs w:val="24"/>
          <w:highlight w:val="none"/>
          <w:lang w:val="en-US" w:eastAsia="zh-CN"/>
        </w:rPr>
      </w:pPr>
    </w:p>
    <w:p w14:paraId="22896F2D">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乙方：（盖章）                </w:t>
      </w:r>
    </w:p>
    <w:p w14:paraId="51E3E7E7">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法定代表人／委托代理人：（签名）</w:t>
      </w:r>
    </w:p>
    <w:p w14:paraId="282BDD56">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14:paraId="7346F459">
      <w:pPr>
        <w:spacing w:line="360" w:lineRule="auto"/>
        <w:ind w:firstLine="56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年     月     日</w:t>
      </w:r>
    </w:p>
    <w:p w14:paraId="3386F8BC">
      <w:pP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610CD24B">
      <w:pPr>
        <w:spacing w:line="360" w:lineRule="auto"/>
        <w:jc w:val="center"/>
        <w:outlineLvl w:val="0"/>
        <w:rPr>
          <w:rFonts w:hint="eastAsia" w:ascii="仿宋" w:hAnsi="仿宋" w:eastAsia="仿宋" w:cs="仿宋"/>
          <w:b/>
          <w:color w:val="auto"/>
          <w:sz w:val="24"/>
          <w:szCs w:val="24"/>
          <w:highlight w:val="none"/>
          <w:shd w:val="clear" w:color="auto" w:fill="FFFFFF" w:themeFill="background1"/>
          <w:lang w:eastAsia="zh-CN"/>
        </w:rPr>
      </w:pPr>
      <w:r>
        <w:rPr>
          <w:rFonts w:hint="eastAsia" w:ascii="仿宋" w:hAnsi="仿宋" w:eastAsia="仿宋" w:cs="仿宋"/>
          <w:b/>
          <w:color w:val="auto"/>
          <w:sz w:val="24"/>
          <w:szCs w:val="24"/>
          <w:highlight w:val="none"/>
          <w:shd w:val="clear" w:color="auto" w:fill="FFFFFF" w:themeFill="background1"/>
        </w:rPr>
        <w:t xml:space="preserve">第四章 </w:t>
      </w:r>
      <w:r>
        <w:rPr>
          <w:rFonts w:hint="eastAsia" w:ascii="仿宋" w:hAnsi="仿宋" w:eastAsia="仿宋" w:cs="仿宋"/>
          <w:b/>
          <w:color w:val="auto"/>
          <w:sz w:val="24"/>
          <w:szCs w:val="24"/>
          <w:highlight w:val="none"/>
          <w:shd w:val="clear" w:color="auto" w:fill="FFFFFF" w:themeFill="background1"/>
          <w:lang w:eastAsia="zh-CN"/>
        </w:rPr>
        <w:t>服务标准和要求</w:t>
      </w:r>
      <w:bookmarkEnd w:id="40"/>
    </w:p>
    <w:p w14:paraId="56FE317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lang w:eastAsia="zh-CN"/>
        </w:rPr>
      </w:pPr>
      <w:r>
        <w:rPr>
          <w:rFonts w:hint="eastAsia" w:ascii="仿宋" w:hAnsi="仿宋" w:eastAsia="仿宋" w:cs="仿宋"/>
          <w:color w:val="auto"/>
          <w:kern w:val="0"/>
          <w:sz w:val="24"/>
          <w:szCs w:val="24"/>
          <w:highlight w:val="none"/>
          <w:shd w:val="clear" w:color="auto" w:fill="FFFFFF" w:themeFill="background1"/>
          <w:lang w:eastAsia="zh-CN"/>
        </w:rPr>
        <w:t>一</w:t>
      </w:r>
      <w:r>
        <w:rPr>
          <w:rFonts w:hint="eastAsia" w:ascii="仿宋" w:hAnsi="仿宋" w:eastAsia="仿宋" w:cs="仿宋"/>
          <w:color w:val="auto"/>
          <w:kern w:val="0"/>
          <w:sz w:val="24"/>
          <w:szCs w:val="24"/>
          <w:highlight w:val="none"/>
          <w:shd w:val="clear" w:color="auto" w:fill="FFFFFF" w:themeFill="background1"/>
        </w:rPr>
        <w:t>、</w:t>
      </w:r>
      <w:r>
        <w:rPr>
          <w:rFonts w:hint="eastAsia" w:ascii="仿宋" w:hAnsi="仿宋" w:eastAsia="仿宋" w:cs="仿宋"/>
          <w:color w:val="auto"/>
          <w:kern w:val="0"/>
          <w:sz w:val="24"/>
          <w:szCs w:val="24"/>
          <w:highlight w:val="none"/>
          <w:shd w:val="clear" w:color="auto" w:fill="FFFFFF" w:themeFill="background1"/>
          <w:lang w:eastAsia="zh-CN"/>
        </w:rPr>
        <w:t>总体要求</w:t>
      </w:r>
    </w:p>
    <w:p w14:paraId="5ABA806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本项目是</w:t>
      </w:r>
      <w:r>
        <w:rPr>
          <w:rFonts w:hint="eastAsia" w:ascii="仿宋" w:hAnsi="仿宋" w:eastAsia="仿宋" w:cs="仿宋"/>
          <w:color w:val="auto"/>
          <w:kern w:val="0"/>
          <w:sz w:val="24"/>
          <w:szCs w:val="24"/>
          <w:highlight w:val="none"/>
          <w:shd w:val="clear" w:color="auto" w:fill="FFFFFF" w:themeFill="background1"/>
        </w:rPr>
        <w:t>为自治区药品监督管理局内控管理平台信息化系统（包括财务报销、合同管理、采购管理、绩效管理、项目库管理、资产管理等六大模块）提供</w:t>
      </w:r>
      <w:r>
        <w:rPr>
          <w:rFonts w:hint="eastAsia" w:ascii="仿宋" w:hAnsi="仿宋" w:eastAsia="仿宋" w:cs="仿宋"/>
          <w:color w:val="auto"/>
          <w:kern w:val="0"/>
          <w:sz w:val="24"/>
          <w:szCs w:val="24"/>
          <w:highlight w:val="none"/>
          <w:shd w:val="clear" w:color="auto" w:fill="FFFFFF" w:themeFill="background1"/>
          <w:lang w:eastAsia="zh-CN"/>
        </w:rPr>
        <w:t>运维服务</w:t>
      </w:r>
      <w:r>
        <w:rPr>
          <w:rFonts w:hint="eastAsia" w:ascii="仿宋" w:hAnsi="仿宋" w:eastAsia="仿宋" w:cs="仿宋"/>
          <w:color w:val="auto"/>
          <w:kern w:val="0"/>
          <w:sz w:val="24"/>
          <w:szCs w:val="24"/>
          <w:highlight w:val="none"/>
          <w:shd w:val="clear" w:color="auto" w:fill="FFFFFF" w:themeFill="background1"/>
        </w:rPr>
        <w:t>，确保系统运行正常，为局本级（机关）各处室、下属各事业单位财务业务运行提供保障服务。</w:t>
      </w:r>
    </w:p>
    <w:p w14:paraId="12B5740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lang w:val="en-US" w:eastAsia="zh-CN"/>
        </w:rPr>
      </w:pPr>
      <w:r>
        <w:rPr>
          <w:rFonts w:hint="eastAsia" w:ascii="仿宋" w:hAnsi="仿宋" w:eastAsia="仿宋" w:cs="仿宋"/>
          <w:color w:val="auto"/>
          <w:kern w:val="0"/>
          <w:sz w:val="24"/>
          <w:szCs w:val="24"/>
          <w:highlight w:val="none"/>
          <w:shd w:val="clear" w:color="auto" w:fill="FFFFFF" w:themeFill="background1"/>
          <w:lang w:eastAsia="zh-CN"/>
        </w:rPr>
        <w:t>二</w:t>
      </w:r>
      <w:r>
        <w:rPr>
          <w:rFonts w:hint="eastAsia" w:ascii="仿宋" w:hAnsi="仿宋" w:eastAsia="仿宋" w:cs="仿宋"/>
          <w:color w:val="auto"/>
          <w:kern w:val="0"/>
          <w:sz w:val="24"/>
          <w:szCs w:val="24"/>
          <w:highlight w:val="none"/>
          <w:shd w:val="clear" w:color="auto" w:fill="FFFFFF" w:themeFill="background1"/>
        </w:rPr>
        <w:t>、</w:t>
      </w:r>
      <w:r>
        <w:rPr>
          <w:rFonts w:hint="eastAsia" w:ascii="仿宋" w:hAnsi="仿宋" w:eastAsia="仿宋" w:cs="仿宋"/>
          <w:color w:val="auto"/>
          <w:kern w:val="0"/>
          <w:sz w:val="24"/>
          <w:szCs w:val="24"/>
          <w:highlight w:val="none"/>
          <w:shd w:val="clear" w:color="auto" w:fill="FFFFFF" w:themeFill="background1"/>
          <w:lang w:eastAsia="zh-CN"/>
        </w:rPr>
        <w:t>服务内容</w:t>
      </w:r>
    </w:p>
    <w:p w14:paraId="7B4E2E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（一）</w:t>
      </w:r>
      <w:r>
        <w:rPr>
          <w:rFonts w:hint="eastAsia" w:ascii="仿宋" w:hAnsi="仿宋" w:eastAsia="仿宋" w:cs="仿宋"/>
          <w:color w:val="auto"/>
          <w:kern w:val="0"/>
          <w:sz w:val="24"/>
          <w:szCs w:val="24"/>
          <w:highlight w:val="none"/>
          <w:shd w:val="clear" w:color="auto" w:fill="FFFFFF" w:themeFill="background1"/>
          <w:lang w:val="en-US" w:eastAsia="zh-CN"/>
        </w:rPr>
        <w:t>运维服务</w:t>
      </w:r>
      <w:r>
        <w:rPr>
          <w:rFonts w:hint="eastAsia" w:ascii="仿宋" w:hAnsi="仿宋" w:eastAsia="仿宋" w:cs="仿宋"/>
          <w:color w:val="auto"/>
          <w:kern w:val="0"/>
          <w:sz w:val="24"/>
          <w:szCs w:val="24"/>
          <w:highlight w:val="none"/>
          <w:shd w:val="clear" w:color="auto" w:fill="FFFFFF" w:themeFill="background1"/>
        </w:rPr>
        <w:t>范围：1、基础支撑平台；2、会计平台；3、门户系统；4、账务处理系统； 5、出纳管理系统；6、电子报表系统；7、指标管理系统；8、报销管理系统；9、资产管理系统；10、项目库管理系统；11、采购管理系统；12、合同管理系统；13、高拍仪使用指导和故障处理</w:t>
      </w:r>
    </w:p>
    <w:p w14:paraId="36AD45A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lang w:eastAsia="zh-CN"/>
        </w:rPr>
      </w:pPr>
      <w:r>
        <w:rPr>
          <w:rFonts w:hint="eastAsia" w:ascii="仿宋" w:hAnsi="仿宋" w:eastAsia="仿宋" w:cs="仿宋"/>
          <w:color w:val="auto"/>
          <w:kern w:val="0"/>
          <w:sz w:val="24"/>
          <w:szCs w:val="24"/>
          <w:highlight w:val="none"/>
          <w:shd w:val="clear" w:color="auto" w:fill="FFFFFF" w:themeFill="background1"/>
        </w:rPr>
        <w:t>（二）</w:t>
      </w:r>
      <w:r>
        <w:rPr>
          <w:rFonts w:hint="eastAsia" w:ascii="仿宋" w:hAnsi="仿宋" w:eastAsia="仿宋" w:cs="仿宋"/>
          <w:color w:val="auto"/>
          <w:kern w:val="0"/>
          <w:sz w:val="24"/>
          <w:szCs w:val="24"/>
          <w:highlight w:val="none"/>
          <w:shd w:val="clear" w:color="auto" w:fill="FFFFFF" w:themeFill="background1"/>
          <w:lang w:eastAsia="zh-CN"/>
        </w:rPr>
        <w:t>运维</w:t>
      </w:r>
      <w:r>
        <w:rPr>
          <w:rFonts w:hint="eastAsia" w:ascii="仿宋" w:hAnsi="仿宋" w:eastAsia="仿宋" w:cs="仿宋"/>
          <w:color w:val="auto"/>
          <w:kern w:val="0"/>
          <w:sz w:val="24"/>
          <w:szCs w:val="24"/>
          <w:highlight w:val="none"/>
          <w:shd w:val="clear" w:color="auto" w:fill="FFFFFF" w:themeFill="background1"/>
        </w:rPr>
        <w:t>服务内容</w:t>
      </w:r>
      <w:r>
        <w:rPr>
          <w:rFonts w:hint="eastAsia" w:ascii="仿宋" w:hAnsi="仿宋" w:eastAsia="仿宋" w:cs="仿宋"/>
          <w:color w:val="auto"/>
          <w:kern w:val="0"/>
          <w:sz w:val="24"/>
          <w:szCs w:val="24"/>
          <w:highlight w:val="none"/>
          <w:shd w:val="clear" w:color="auto" w:fill="FFFFFF" w:themeFill="background1"/>
          <w:lang w:eastAsia="zh-CN"/>
        </w:rPr>
        <w:t>：</w:t>
      </w:r>
    </w:p>
    <w:p w14:paraId="28D2452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1、</w:t>
      </w:r>
      <w:r>
        <w:rPr>
          <w:rFonts w:hint="eastAsia" w:ascii="仿宋" w:hAnsi="仿宋" w:eastAsia="仿宋" w:cs="仿宋"/>
          <w:color w:val="auto"/>
          <w:kern w:val="0"/>
          <w:sz w:val="24"/>
          <w:szCs w:val="24"/>
          <w:highlight w:val="none"/>
          <w:shd w:val="clear" w:color="auto" w:fill="FFFFFF" w:themeFill="background1"/>
        </w:rPr>
        <w:t>随时处理应用软件、数据库、中间件运行故障，确保上述系统运行正常；</w:t>
      </w:r>
    </w:p>
    <w:p w14:paraId="1DD2AF3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2、</w:t>
      </w:r>
      <w:r>
        <w:rPr>
          <w:rFonts w:hint="eastAsia" w:ascii="仿宋" w:hAnsi="仿宋" w:eastAsia="仿宋" w:cs="仿宋"/>
          <w:color w:val="auto"/>
          <w:kern w:val="0"/>
          <w:sz w:val="24"/>
          <w:szCs w:val="24"/>
          <w:highlight w:val="none"/>
          <w:shd w:val="clear" w:color="auto" w:fill="FFFFFF" w:themeFill="background1"/>
        </w:rPr>
        <w:t>随时响应业务处室及下属单位提出的系统变更需求，根据系统对报销页面、配置参数、审批流程等定制实施；</w:t>
      </w:r>
    </w:p>
    <w:p w14:paraId="7A8A92C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3、</w:t>
      </w:r>
      <w:r>
        <w:rPr>
          <w:rFonts w:hint="eastAsia" w:ascii="仿宋" w:hAnsi="仿宋" w:eastAsia="仿宋" w:cs="仿宋"/>
          <w:color w:val="auto"/>
          <w:kern w:val="0"/>
          <w:sz w:val="24"/>
          <w:szCs w:val="24"/>
          <w:highlight w:val="none"/>
          <w:shd w:val="clear" w:color="auto" w:fill="FFFFFF" w:themeFill="background1"/>
        </w:rPr>
        <w:t>解决各个下属单位财务人员在日常工作中遇到的业务问题，及时提供问题的解决方法或将问题的情况提交给单位；</w:t>
      </w:r>
    </w:p>
    <w:p w14:paraId="35C2216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4、</w:t>
      </w:r>
      <w:r>
        <w:rPr>
          <w:rFonts w:hint="eastAsia" w:ascii="仿宋" w:hAnsi="仿宋" w:eastAsia="仿宋" w:cs="仿宋"/>
          <w:color w:val="auto"/>
          <w:kern w:val="0"/>
          <w:sz w:val="24"/>
          <w:szCs w:val="24"/>
          <w:highlight w:val="none"/>
          <w:shd w:val="clear" w:color="auto" w:fill="FFFFFF" w:themeFill="background1"/>
        </w:rPr>
        <w:t>辅助操作人员完成年各类报表的报送工作、为财务部门提供各类日常业务核对，保障各环节数据的准确性；</w:t>
      </w:r>
    </w:p>
    <w:p w14:paraId="7C54CD4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5、</w:t>
      </w:r>
      <w:r>
        <w:rPr>
          <w:rFonts w:hint="eastAsia" w:ascii="仿宋" w:hAnsi="仿宋" w:eastAsia="仿宋" w:cs="仿宋"/>
          <w:color w:val="auto"/>
          <w:kern w:val="0"/>
          <w:sz w:val="24"/>
          <w:szCs w:val="24"/>
          <w:highlight w:val="none"/>
          <w:shd w:val="clear" w:color="auto" w:fill="FFFFFF" w:themeFill="background1"/>
        </w:rPr>
        <w:t>协助各单位完善本地化系统维护管理规范制定与落实；</w:t>
      </w:r>
    </w:p>
    <w:p w14:paraId="657907D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6、</w:t>
      </w:r>
      <w:r>
        <w:rPr>
          <w:rFonts w:hint="eastAsia" w:ascii="仿宋" w:hAnsi="仿宋" w:eastAsia="仿宋" w:cs="仿宋"/>
          <w:color w:val="auto"/>
          <w:kern w:val="0"/>
          <w:sz w:val="24"/>
          <w:szCs w:val="24"/>
          <w:highlight w:val="none"/>
          <w:shd w:val="clear" w:color="auto" w:fill="FFFFFF" w:themeFill="background1"/>
        </w:rPr>
        <w:t>对新到岗的财务人员提供系统相关操作说明并进行培训；</w:t>
      </w:r>
    </w:p>
    <w:p w14:paraId="7236CAA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7、</w:t>
      </w:r>
      <w:r>
        <w:rPr>
          <w:rFonts w:hint="eastAsia" w:ascii="仿宋" w:hAnsi="仿宋" w:eastAsia="仿宋" w:cs="仿宋"/>
          <w:color w:val="auto"/>
          <w:kern w:val="0"/>
          <w:sz w:val="24"/>
          <w:szCs w:val="24"/>
          <w:highlight w:val="none"/>
          <w:shd w:val="clear" w:color="auto" w:fill="FFFFFF" w:themeFill="background1"/>
        </w:rPr>
        <w:t>驻场运维服务：需要派驻至少 1 名具有独立工作能力和财务管理、内控管理、数据库管理经验的工程师常驻现场工作时间与自治区药监局机关上下班时间同步，为本项目提供专属服务；一般业务需求和问题当日反馈解决，重大问题，</w:t>
      </w:r>
      <w:r>
        <w:rPr>
          <w:rFonts w:hint="eastAsia" w:ascii="仿宋" w:hAnsi="仿宋" w:eastAsia="仿宋" w:cs="仿宋"/>
          <w:color w:val="auto"/>
          <w:kern w:val="0"/>
          <w:sz w:val="24"/>
          <w:szCs w:val="24"/>
          <w:highlight w:val="none"/>
          <w:shd w:val="clear" w:color="auto" w:fill="FFFFFF" w:themeFill="background1"/>
          <w:lang w:eastAsia="zh-CN"/>
        </w:rPr>
        <w:t>两</w:t>
      </w:r>
      <w:r>
        <w:rPr>
          <w:rFonts w:hint="eastAsia" w:ascii="仿宋" w:hAnsi="仿宋" w:eastAsia="仿宋" w:cs="仿宋"/>
          <w:color w:val="auto"/>
          <w:kern w:val="0"/>
          <w:sz w:val="24"/>
          <w:szCs w:val="24"/>
          <w:highlight w:val="none"/>
          <w:shd w:val="clear" w:color="auto" w:fill="FFFFFF" w:themeFill="background1"/>
        </w:rPr>
        <w:t>日内提出解决方案并开始实施。</w:t>
      </w:r>
    </w:p>
    <w:p w14:paraId="30942F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8、</w:t>
      </w:r>
      <w:r>
        <w:rPr>
          <w:rFonts w:hint="eastAsia" w:ascii="仿宋" w:hAnsi="仿宋" w:eastAsia="仿宋" w:cs="仿宋"/>
          <w:color w:val="auto"/>
          <w:kern w:val="0"/>
          <w:sz w:val="24"/>
          <w:szCs w:val="24"/>
          <w:highlight w:val="none"/>
          <w:shd w:val="clear" w:color="auto" w:fill="FFFFFF" w:themeFill="background1"/>
        </w:rPr>
        <w:t>其他服务：协助处理局本级及下属单位财政预算一体化系统使用过程中的各类问题。</w:t>
      </w:r>
    </w:p>
    <w:p w14:paraId="596CC75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9、系统数据源发生变更或系统部署环境发生变更时，成交供应商应无条件免费配合完成相关工作。</w:t>
      </w:r>
    </w:p>
    <w:p w14:paraId="5C37CFE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三、</w:t>
      </w:r>
      <w:r>
        <w:rPr>
          <w:rFonts w:hint="eastAsia" w:ascii="仿宋" w:hAnsi="仿宋" w:eastAsia="仿宋" w:cs="仿宋"/>
          <w:color w:val="auto"/>
          <w:kern w:val="0"/>
          <w:sz w:val="24"/>
          <w:szCs w:val="24"/>
          <w:highlight w:val="none"/>
          <w:shd w:val="clear" w:color="auto" w:fill="FFFFFF" w:themeFill="background1"/>
        </w:rPr>
        <w:t>工作要求</w:t>
      </w:r>
    </w:p>
    <w:p w14:paraId="7D3A296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驻场人员自合同签订之日起必须到岗，到岗时须同时提供无犯罪记录证明，签订保密协议。未经甲方书面同意，不得更换驻场人员;如果驻场人员存在工作态度、责任心、技术能力、协调能力等方面之一的问题时，甲方有权要求乙方更换驻场人员，并且乙方在收到甲方书面通知之日起7个工作日内必须无条件更换，接替人员必须经过甲方面试同意后才能开始试用，如果有两次以上的试用不合适，要求乙方进行整改，乙方以公司名义正式提交整改报告。</w:t>
      </w:r>
    </w:p>
    <w:p w14:paraId="42147A6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（2）采购人须为</w:t>
      </w:r>
      <w:r>
        <w:rPr>
          <w:rFonts w:hint="eastAsia" w:ascii="仿宋" w:hAnsi="仿宋" w:eastAsia="仿宋" w:cs="仿宋"/>
          <w:color w:val="auto"/>
          <w:kern w:val="0"/>
          <w:sz w:val="24"/>
          <w:szCs w:val="24"/>
          <w:highlight w:val="none"/>
          <w:shd w:val="clear" w:color="auto" w:fill="FFFFFF" w:themeFill="background1"/>
          <w:lang w:eastAsia="zh-CN"/>
        </w:rPr>
        <w:t>成交供应商</w:t>
      </w:r>
      <w:r>
        <w:rPr>
          <w:rFonts w:hint="eastAsia" w:ascii="仿宋" w:hAnsi="仿宋" w:eastAsia="仿宋" w:cs="仿宋"/>
          <w:color w:val="auto"/>
          <w:kern w:val="0"/>
          <w:sz w:val="24"/>
          <w:szCs w:val="24"/>
          <w:highlight w:val="none"/>
          <w:shd w:val="clear" w:color="auto" w:fill="FFFFFF" w:themeFill="background1"/>
        </w:rPr>
        <w:t>提供必要的办公场所和网络环境。中标方须为维护人员（含驻场人员和非驻场人员）购买必要的人身保险，并必须声明在为采购人提供运维服务期间，维护人员发生的一切安全事故、财产损失和其他任何事故，均由中标方承担全部责任，和采购人无关。</w:t>
      </w:r>
    </w:p>
    <w:p w14:paraId="629A068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乙方不得以为采购人提供服务为理由开展任何形式的商业活动，包括但不限于向被服务人宣传自身及自身的产品或服务、向被服务人收取运行维护费等，一经发现，甲方有权解除合同，并要求乙方无条件退回上述费用，因此给甲方造成损失的，乙方应当双倍赔偿甲方损失。</w:t>
      </w:r>
    </w:p>
    <w:p w14:paraId="5246050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lang w:val="en-US" w:eastAsia="zh-CN"/>
        </w:rPr>
        <w:t>4</w:t>
      </w:r>
      <w:r>
        <w:rPr>
          <w:rFonts w:hint="eastAsia" w:ascii="仿宋" w:hAnsi="仿宋" w:eastAsia="仿宋" w:cs="仿宋"/>
          <w:color w:val="auto"/>
          <w:kern w:val="0"/>
          <w:sz w:val="24"/>
          <w:szCs w:val="24"/>
          <w:highlight w:val="none"/>
          <w:shd w:val="clear" w:color="auto" w:fill="FFFFFF" w:themeFill="background1"/>
          <w:lang w:eastAsia="zh-CN"/>
        </w:rPr>
        <w:t>）服务</w:t>
      </w:r>
      <w:r>
        <w:rPr>
          <w:rFonts w:hint="eastAsia" w:ascii="仿宋" w:hAnsi="仿宋" w:eastAsia="仿宋" w:cs="仿宋"/>
          <w:color w:val="auto"/>
          <w:kern w:val="0"/>
          <w:sz w:val="24"/>
          <w:szCs w:val="24"/>
          <w:highlight w:val="none"/>
          <w:shd w:val="clear" w:color="auto" w:fill="FFFFFF" w:themeFill="background1"/>
        </w:rPr>
        <w:t>时间</w:t>
      </w:r>
    </w:p>
    <w:p w14:paraId="43BB9E4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系统服务可用性:提供7×24小时服务，平均恢复时间≤1小时，最大恢复时间≤8小时。</w:t>
      </w:r>
    </w:p>
    <w:p w14:paraId="1C25045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派驻的驻场人员须遵守采购人的工作制度和办公时间，服从采购人的监督和管理，不得以节假日或非办公时间为由拒绝采购人安排。采购人提出更换驻场人员的，中标方须保证平滑过渡、不得影响运维工作并及时完成更换。</w:t>
      </w:r>
    </w:p>
    <w:p w14:paraId="2421CF6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四</w:t>
      </w:r>
      <w:r>
        <w:rPr>
          <w:rFonts w:hint="eastAsia" w:ascii="仿宋" w:hAnsi="仿宋" w:eastAsia="仿宋" w:cs="仿宋"/>
          <w:color w:val="auto"/>
          <w:kern w:val="0"/>
          <w:sz w:val="24"/>
          <w:szCs w:val="24"/>
          <w:highlight w:val="none"/>
          <w:shd w:val="clear" w:color="auto" w:fill="FFFFFF" w:themeFill="background1"/>
        </w:rPr>
        <w:t>、质量保障</w:t>
      </w:r>
    </w:p>
    <w:p w14:paraId="12E5124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方应提供详实完备的系统质量管理及保障措施实施方案。本项目要求采用国际通用的规范化的项目管理方法，对项目实施的全过程进行监控和管理，对项目进度和工程实施项目进度进行控制。本项目所有文档应该按照所使用的质量管理体系要求编写。项目验收通过后，须向采购人交付项目的全部资料，包括纸质资料及电子文档，并无条件提供质量保证和技术支持、技术服务。</w:t>
      </w:r>
    </w:p>
    <w:p w14:paraId="3FC124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五</w:t>
      </w:r>
      <w:r>
        <w:rPr>
          <w:rFonts w:hint="eastAsia" w:ascii="仿宋" w:hAnsi="仿宋" w:eastAsia="仿宋" w:cs="仿宋"/>
          <w:color w:val="auto"/>
          <w:kern w:val="0"/>
          <w:sz w:val="24"/>
          <w:szCs w:val="24"/>
          <w:highlight w:val="none"/>
          <w:shd w:val="clear" w:color="auto" w:fill="FFFFFF" w:themeFill="background1"/>
        </w:rPr>
        <w:t>、知识产权</w:t>
      </w:r>
    </w:p>
    <w:p w14:paraId="0BB42BB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项目实施不得侵犯第三方权利，项目实施使用第三方技术和产品（包括图片）的，</w:t>
      </w:r>
      <w:r>
        <w:rPr>
          <w:rFonts w:hint="eastAsia" w:ascii="仿宋" w:hAnsi="仿宋" w:eastAsia="仿宋" w:cs="仿宋"/>
          <w:color w:val="auto"/>
          <w:kern w:val="0"/>
          <w:sz w:val="24"/>
          <w:szCs w:val="24"/>
          <w:highlight w:val="none"/>
          <w:shd w:val="clear" w:color="auto" w:fill="FFFFFF" w:themeFill="background1"/>
          <w:lang w:eastAsia="zh-CN"/>
        </w:rPr>
        <w:t>成交供应商</w:t>
      </w:r>
      <w:r>
        <w:rPr>
          <w:rFonts w:hint="eastAsia" w:ascii="仿宋" w:hAnsi="仿宋" w:eastAsia="仿宋" w:cs="仿宋"/>
          <w:color w:val="auto"/>
          <w:kern w:val="0"/>
          <w:sz w:val="24"/>
          <w:szCs w:val="24"/>
          <w:highlight w:val="none"/>
          <w:shd w:val="clear" w:color="auto" w:fill="FFFFFF" w:themeFill="background1"/>
        </w:rPr>
        <w:t>须向采购人进行书面详细说明，并提供相关处理措施和处理结果。本项目相关的全部知识产权均归属采购人所有。</w:t>
      </w:r>
    </w:p>
    <w:p w14:paraId="59921D6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六</w:t>
      </w:r>
      <w:r>
        <w:rPr>
          <w:rFonts w:hint="eastAsia" w:ascii="仿宋" w:hAnsi="仿宋" w:eastAsia="仿宋" w:cs="仿宋"/>
          <w:color w:val="auto"/>
          <w:kern w:val="0"/>
          <w:sz w:val="24"/>
          <w:szCs w:val="24"/>
          <w:highlight w:val="none"/>
          <w:shd w:val="clear" w:color="auto" w:fill="FFFFFF" w:themeFill="background1"/>
        </w:rPr>
        <w:t>、培训要求</w:t>
      </w:r>
    </w:p>
    <w:p w14:paraId="343AE32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成交供应商</w:t>
      </w:r>
      <w:r>
        <w:rPr>
          <w:rFonts w:hint="eastAsia" w:ascii="仿宋" w:hAnsi="仿宋" w:eastAsia="仿宋" w:cs="仿宋"/>
          <w:color w:val="auto"/>
          <w:kern w:val="0"/>
          <w:sz w:val="24"/>
          <w:szCs w:val="24"/>
          <w:highlight w:val="none"/>
          <w:shd w:val="clear" w:color="auto" w:fill="FFFFFF" w:themeFill="background1"/>
        </w:rPr>
        <w:t>须按照采购人相关要求完成培训，税金、培训等相关费用均包含在本项目合同价款中，采购人不再另行支付培训费等任何费用。</w:t>
      </w:r>
    </w:p>
    <w:p w14:paraId="371CFC3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七</w:t>
      </w:r>
      <w:r>
        <w:rPr>
          <w:rFonts w:hint="eastAsia" w:ascii="仿宋" w:hAnsi="仿宋" w:eastAsia="仿宋" w:cs="仿宋"/>
          <w:color w:val="auto"/>
          <w:kern w:val="0"/>
          <w:sz w:val="24"/>
          <w:szCs w:val="24"/>
          <w:highlight w:val="none"/>
          <w:shd w:val="clear" w:color="auto" w:fill="FFFFFF" w:themeFill="background1"/>
        </w:rPr>
        <w:t>、验收要求</w:t>
      </w:r>
    </w:p>
    <w:p w14:paraId="193E18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项目运维完成后</w:t>
      </w:r>
      <w:r>
        <w:rPr>
          <w:rFonts w:hint="eastAsia" w:ascii="仿宋" w:hAnsi="仿宋" w:eastAsia="仿宋" w:cs="仿宋"/>
          <w:color w:val="auto"/>
          <w:kern w:val="0"/>
          <w:sz w:val="24"/>
          <w:szCs w:val="24"/>
          <w:highlight w:val="none"/>
          <w:shd w:val="clear" w:color="auto" w:fill="FFFFFF" w:themeFill="background1"/>
          <w:lang w:eastAsia="zh-CN"/>
        </w:rPr>
        <w:t>成交供应商</w:t>
      </w:r>
      <w:r>
        <w:rPr>
          <w:rFonts w:hint="eastAsia" w:ascii="仿宋" w:hAnsi="仿宋" w:eastAsia="仿宋" w:cs="仿宋"/>
          <w:color w:val="auto"/>
          <w:kern w:val="0"/>
          <w:sz w:val="24"/>
          <w:szCs w:val="24"/>
          <w:highlight w:val="none"/>
          <w:shd w:val="clear" w:color="auto" w:fill="FFFFFF" w:themeFill="background1"/>
        </w:rPr>
        <w:t>可书面申请验收，验收前须进行满意度调查，验收由采购人负责组织，验收专家不少于3人，因组织验收产生的相关费用均由</w:t>
      </w:r>
      <w:r>
        <w:rPr>
          <w:rFonts w:hint="eastAsia" w:ascii="仿宋" w:hAnsi="仿宋" w:eastAsia="仿宋" w:cs="仿宋"/>
          <w:color w:val="auto"/>
          <w:kern w:val="0"/>
          <w:sz w:val="24"/>
          <w:szCs w:val="24"/>
          <w:highlight w:val="none"/>
          <w:shd w:val="clear" w:color="auto" w:fill="FFFFFF" w:themeFill="background1"/>
          <w:lang w:eastAsia="zh-CN"/>
        </w:rPr>
        <w:t>成交供应商</w:t>
      </w:r>
      <w:r>
        <w:rPr>
          <w:rFonts w:hint="eastAsia" w:ascii="仿宋" w:hAnsi="仿宋" w:eastAsia="仿宋" w:cs="仿宋"/>
          <w:color w:val="auto"/>
          <w:kern w:val="0"/>
          <w:sz w:val="24"/>
          <w:szCs w:val="24"/>
          <w:highlight w:val="none"/>
          <w:shd w:val="clear" w:color="auto" w:fill="FFFFFF" w:themeFill="background1"/>
        </w:rPr>
        <w:t>承担。</w:t>
      </w:r>
    </w:p>
    <w:p w14:paraId="0143EF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p>
    <w:p w14:paraId="71EB9AE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八</w:t>
      </w:r>
      <w:r>
        <w:rPr>
          <w:rFonts w:hint="eastAsia" w:ascii="仿宋" w:hAnsi="仿宋" w:eastAsia="仿宋" w:cs="仿宋"/>
          <w:color w:val="auto"/>
          <w:kern w:val="0"/>
          <w:sz w:val="24"/>
          <w:szCs w:val="24"/>
          <w:highlight w:val="none"/>
          <w:shd w:val="clear" w:color="auto" w:fill="FFFFFF" w:themeFill="background1"/>
        </w:rPr>
        <w:t>、时限要求</w:t>
      </w:r>
    </w:p>
    <w:p w14:paraId="08C00B2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成交供应商</w:t>
      </w:r>
      <w:r>
        <w:rPr>
          <w:rFonts w:hint="eastAsia" w:ascii="仿宋" w:hAnsi="仿宋" w:eastAsia="仿宋" w:cs="仿宋"/>
          <w:color w:val="auto"/>
          <w:kern w:val="0"/>
          <w:sz w:val="24"/>
          <w:szCs w:val="24"/>
          <w:highlight w:val="none"/>
          <w:shd w:val="clear" w:color="auto" w:fill="FFFFFF" w:themeFill="background1"/>
        </w:rPr>
        <w:t>须提供一年运维服务，维护起始日期从合同签订后开始计算。</w:t>
      </w:r>
    </w:p>
    <w:p w14:paraId="336DA3C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付款方式：以实际签订合同为准。</w:t>
      </w:r>
    </w:p>
    <w:p w14:paraId="3633863D">
      <w:pPr>
        <w:pStyle w:val="2"/>
        <w:ind w:left="0" w:leftChars="0" w:firstLine="0" w:firstLineChars="0"/>
        <w:rPr>
          <w:rFonts w:hint="eastAsia" w:ascii="仿宋_GB2312" w:hAnsi="仿宋_GB2312" w:eastAsia="仿宋_GB2312" w:cs="仿宋_GB2312"/>
          <w:color w:val="auto"/>
          <w:sz w:val="36"/>
          <w:szCs w:val="36"/>
          <w:highlight w:val="none"/>
        </w:rPr>
      </w:pPr>
    </w:p>
    <w:p w14:paraId="45A9EB1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color w:val="auto"/>
          <w:sz w:val="24"/>
          <w:szCs w:val="24"/>
          <w:highlight w:val="none"/>
        </w:rPr>
      </w:pPr>
    </w:p>
    <w:p w14:paraId="66EEA73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color w:val="auto"/>
          <w:sz w:val="24"/>
          <w:szCs w:val="24"/>
          <w:highlight w:val="none"/>
        </w:rPr>
      </w:pPr>
    </w:p>
    <w:p w14:paraId="0D011A1E">
      <w:pPr>
        <w:pStyle w:val="3"/>
        <w:rPr>
          <w:rFonts w:hint="eastAsia" w:ascii="仿宋" w:hAnsi="仿宋" w:eastAsia="仿宋" w:cs="仿宋"/>
          <w:color w:val="auto"/>
          <w:sz w:val="24"/>
          <w:szCs w:val="32"/>
          <w:highlight w:val="none"/>
          <w:u w:val="none"/>
          <w:lang w:eastAsia="zh-CN"/>
        </w:rPr>
      </w:pPr>
    </w:p>
    <w:p w14:paraId="18C3AF44">
      <w:pPr>
        <w:rPr>
          <w:rFonts w:hint="eastAsia" w:ascii="仿宋" w:hAnsi="仿宋" w:eastAsia="仿宋" w:cs="仿宋"/>
          <w:color w:val="auto"/>
          <w:sz w:val="24"/>
          <w:szCs w:val="32"/>
          <w:highlight w:val="none"/>
          <w:u w:val="none"/>
          <w:lang w:eastAsia="zh-CN"/>
        </w:rPr>
      </w:pPr>
    </w:p>
    <w:p w14:paraId="7691925A">
      <w:pPr>
        <w:pStyle w:val="3"/>
        <w:rPr>
          <w:rFonts w:hint="eastAsia" w:ascii="仿宋" w:hAnsi="仿宋" w:eastAsia="仿宋" w:cs="仿宋"/>
          <w:color w:val="auto"/>
          <w:sz w:val="24"/>
          <w:szCs w:val="32"/>
          <w:highlight w:val="none"/>
          <w:u w:val="none"/>
          <w:lang w:eastAsia="zh-CN"/>
        </w:rPr>
      </w:pPr>
    </w:p>
    <w:p w14:paraId="02D7F608">
      <w:pPr>
        <w:rPr>
          <w:rFonts w:hint="eastAsia" w:ascii="仿宋" w:hAnsi="仿宋" w:eastAsia="仿宋" w:cs="仿宋"/>
          <w:color w:val="auto"/>
          <w:highlight w:val="none"/>
          <w:lang w:eastAsia="zh-CN"/>
        </w:rPr>
      </w:pPr>
    </w:p>
    <w:p w14:paraId="21A8E4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br w:type="page"/>
      </w:r>
    </w:p>
    <w:p w14:paraId="1FC9BAA4">
      <w:pPr>
        <w:spacing w:line="360" w:lineRule="auto"/>
        <w:jc w:val="center"/>
        <w:outlineLvl w:val="0"/>
        <w:rPr>
          <w:rFonts w:hint="eastAsia" w:ascii="仿宋" w:hAnsi="仿宋" w:eastAsia="仿宋" w:cs="仿宋"/>
          <w:b/>
          <w:color w:val="auto"/>
          <w:sz w:val="24"/>
          <w:szCs w:val="24"/>
          <w:highlight w:val="none"/>
          <w:shd w:val="clear" w:color="auto" w:fill="FFFFFF" w:themeFill="background1"/>
        </w:rPr>
      </w:pPr>
      <w:bookmarkStart w:id="42" w:name="_Toc17696"/>
      <w:r>
        <w:rPr>
          <w:rFonts w:hint="eastAsia" w:ascii="仿宋" w:hAnsi="仿宋" w:eastAsia="仿宋" w:cs="仿宋"/>
          <w:b/>
          <w:color w:val="auto"/>
          <w:sz w:val="24"/>
          <w:szCs w:val="24"/>
          <w:highlight w:val="none"/>
          <w:shd w:val="clear" w:color="auto" w:fill="FFFFFF" w:themeFill="background1"/>
        </w:rPr>
        <w:t>第五章 响应文件格式</w:t>
      </w:r>
      <w:bookmarkEnd w:id="42"/>
    </w:p>
    <w:p w14:paraId="58DA57B4">
      <w:pPr>
        <w:spacing w:line="360" w:lineRule="auto"/>
        <w:rPr>
          <w:rFonts w:hint="eastAsia" w:ascii="仿宋" w:hAnsi="仿宋" w:eastAsia="仿宋" w:cs="仿宋"/>
          <w:b/>
          <w:color w:val="auto"/>
          <w:sz w:val="24"/>
          <w:szCs w:val="24"/>
          <w:highlight w:val="none"/>
          <w:shd w:val="clear" w:color="auto" w:fill="FFFFFF" w:themeFill="background1"/>
        </w:rPr>
      </w:pPr>
    </w:p>
    <w:p w14:paraId="2153CF87">
      <w:pPr>
        <w:spacing w:line="360" w:lineRule="auto"/>
        <w:rPr>
          <w:rFonts w:hint="eastAsia" w:ascii="仿宋" w:hAnsi="仿宋" w:eastAsia="仿宋" w:cs="仿宋"/>
          <w:b/>
          <w:color w:val="auto"/>
          <w:sz w:val="24"/>
          <w:szCs w:val="24"/>
          <w:highlight w:val="none"/>
          <w:shd w:val="clear" w:color="auto" w:fill="FFFFFF" w:themeFill="background1"/>
        </w:rPr>
      </w:pPr>
    </w:p>
    <w:p w14:paraId="006F2460">
      <w:pPr>
        <w:spacing w:line="360" w:lineRule="auto"/>
        <w:rPr>
          <w:rFonts w:hint="eastAsia" w:ascii="仿宋" w:hAnsi="仿宋" w:eastAsia="仿宋" w:cs="仿宋"/>
          <w:color w:val="auto"/>
          <w:sz w:val="24"/>
          <w:szCs w:val="24"/>
          <w:highlight w:val="none"/>
          <w:u w:val="single"/>
          <w:shd w:val="clear" w:color="auto" w:fill="FFFFFF" w:themeFill="background1"/>
        </w:rPr>
      </w:pPr>
      <w:r>
        <w:rPr>
          <w:rFonts w:hint="eastAsia" w:ascii="仿宋" w:hAnsi="仿宋" w:eastAsia="仿宋" w:cs="仿宋"/>
          <w:color w:val="auto"/>
          <w:sz w:val="24"/>
          <w:szCs w:val="24"/>
          <w:highlight w:val="none"/>
          <w:u w:val="single"/>
          <w:shd w:val="clear" w:color="auto" w:fill="FFFFFF" w:themeFill="background1"/>
        </w:rPr>
        <w:t>响应文件封面示例</w:t>
      </w:r>
    </w:p>
    <w:p w14:paraId="197A03D3">
      <w:pPr>
        <w:spacing w:line="360" w:lineRule="auto"/>
        <w:jc w:val="center"/>
        <w:rPr>
          <w:rFonts w:hint="eastAsia" w:ascii="仿宋" w:hAnsi="仿宋" w:eastAsia="仿宋" w:cs="仿宋"/>
          <w:b/>
          <w:color w:val="auto"/>
          <w:sz w:val="24"/>
          <w:szCs w:val="24"/>
          <w:highlight w:val="none"/>
          <w:bdr w:val="single" w:color="auto" w:sz="4" w:space="0"/>
          <w:shd w:val="clear" w:color="auto" w:fill="FFFFFF" w:themeFill="background1"/>
        </w:rPr>
      </w:pPr>
    </w:p>
    <w:p w14:paraId="3CA3008C">
      <w:pPr>
        <w:spacing w:line="360" w:lineRule="auto"/>
        <w:jc w:val="center"/>
        <w:rPr>
          <w:rFonts w:hint="eastAsia" w:ascii="仿宋" w:hAnsi="仿宋" w:eastAsia="仿宋" w:cs="仿宋"/>
          <w:b/>
          <w:color w:val="auto"/>
          <w:sz w:val="24"/>
          <w:szCs w:val="24"/>
          <w:highlight w:val="none"/>
          <w:bdr w:val="single" w:color="auto" w:sz="4" w:space="0"/>
          <w:shd w:val="clear" w:color="auto" w:fill="FFFFFF" w:themeFill="background1"/>
        </w:rPr>
      </w:pPr>
    </w:p>
    <w:p w14:paraId="1B693C00">
      <w:pPr>
        <w:spacing w:line="360" w:lineRule="auto"/>
        <w:jc w:val="center"/>
        <w:rPr>
          <w:rFonts w:hint="eastAsia" w:ascii="仿宋" w:hAnsi="仿宋" w:eastAsia="仿宋" w:cs="仿宋"/>
          <w:b/>
          <w:color w:val="auto"/>
          <w:sz w:val="24"/>
          <w:szCs w:val="24"/>
          <w:highlight w:val="none"/>
          <w:bdr w:val="single" w:color="auto" w:sz="4" w:space="0"/>
          <w:shd w:val="clear" w:color="auto" w:fill="FFFFFF" w:themeFill="background1"/>
        </w:rPr>
      </w:pPr>
    </w:p>
    <w:p w14:paraId="43CCD6B3">
      <w:pPr>
        <w:spacing w:line="360" w:lineRule="auto"/>
        <w:jc w:val="center"/>
        <w:rPr>
          <w:rFonts w:hint="eastAsia" w:ascii="仿宋" w:hAnsi="仿宋" w:eastAsia="仿宋" w:cs="仿宋"/>
          <w:b/>
          <w:bCs/>
          <w:color w:val="auto"/>
          <w:sz w:val="24"/>
          <w:szCs w:val="24"/>
          <w:highlight w:val="none"/>
          <w:u w:val="single"/>
          <w:shd w:val="clear" w:color="auto" w:fill="FFFFFF" w:themeFill="background1"/>
        </w:rPr>
      </w:pPr>
      <w:r>
        <w:rPr>
          <w:rFonts w:hint="eastAsia" w:ascii="仿宋" w:hAnsi="仿宋" w:eastAsia="仿宋" w:cs="仿宋"/>
          <w:b/>
          <w:bCs/>
          <w:color w:val="auto"/>
          <w:sz w:val="24"/>
          <w:szCs w:val="24"/>
          <w:highlight w:val="none"/>
          <w:u w:val="single"/>
          <w:shd w:val="clear" w:color="auto" w:fill="FFFFFF" w:themeFill="background1"/>
        </w:rPr>
        <w:t>（项目名称）</w:t>
      </w:r>
    </w:p>
    <w:p w14:paraId="2EF415F2">
      <w:pPr>
        <w:spacing w:line="360" w:lineRule="auto"/>
        <w:jc w:val="center"/>
        <w:rPr>
          <w:rFonts w:hint="eastAsia" w:ascii="仿宋" w:hAnsi="仿宋" w:eastAsia="仿宋" w:cs="仿宋"/>
          <w:b/>
          <w:bCs/>
          <w:color w:val="auto"/>
          <w:sz w:val="24"/>
          <w:szCs w:val="24"/>
          <w:highlight w:val="none"/>
          <w:u w:val="single"/>
          <w:shd w:val="clear" w:color="auto" w:fill="FFFFFF" w:themeFill="background1"/>
        </w:rPr>
      </w:pPr>
      <w:r>
        <w:rPr>
          <w:rFonts w:hint="eastAsia" w:ascii="仿宋" w:hAnsi="仿宋" w:eastAsia="仿宋" w:cs="仿宋"/>
          <w:b/>
          <w:bCs/>
          <w:color w:val="auto"/>
          <w:sz w:val="24"/>
          <w:szCs w:val="24"/>
          <w:highlight w:val="none"/>
          <w:u w:val="single"/>
          <w:shd w:val="clear" w:color="auto" w:fill="FFFFFF" w:themeFill="background1"/>
        </w:rPr>
        <w:t>（项目编号）</w:t>
      </w:r>
    </w:p>
    <w:p w14:paraId="3EF08870">
      <w:pPr>
        <w:spacing w:line="360" w:lineRule="auto"/>
        <w:jc w:val="center"/>
        <w:rPr>
          <w:rFonts w:hint="eastAsia" w:ascii="仿宋" w:hAnsi="仿宋" w:eastAsia="仿宋" w:cs="仿宋"/>
          <w:b/>
          <w:bCs/>
          <w:color w:val="auto"/>
          <w:sz w:val="24"/>
          <w:szCs w:val="24"/>
          <w:highlight w:val="none"/>
          <w:shd w:val="clear" w:color="auto" w:fill="FFFFFF" w:themeFill="background1"/>
        </w:rPr>
      </w:pPr>
    </w:p>
    <w:p w14:paraId="56BA818B">
      <w:pPr>
        <w:spacing w:line="360" w:lineRule="auto"/>
        <w:jc w:val="center"/>
        <w:rPr>
          <w:rFonts w:hint="eastAsia" w:ascii="仿宋" w:hAnsi="仿宋" w:eastAsia="仿宋" w:cs="仿宋"/>
          <w:b/>
          <w:bCs/>
          <w:color w:val="auto"/>
          <w:sz w:val="24"/>
          <w:szCs w:val="24"/>
          <w:highlight w:val="none"/>
          <w:shd w:val="clear" w:color="auto" w:fill="FFFFFF" w:themeFill="background1"/>
        </w:rPr>
      </w:pPr>
    </w:p>
    <w:p w14:paraId="30F9A47D">
      <w:pPr>
        <w:spacing w:line="360" w:lineRule="auto"/>
        <w:jc w:val="center"/>
        <w:rPr>
          <w:rFonts w:hint="eastAsia" w:ascii="仿宋" w:hAnsi="仿宋" w:eastAsia="仿宋" w:cs="仿宋"/>
          <w:b/>
          <w:bCs/>
          <w:color w:val="auto"/>
          <w:sz w:val="24"/>
          <w:szCs w:val="24"/>
          <w:highlight w:val="none"/>
          <w:shd w:val="clear" w:color="auto" w:fill="FFFFFF" w:themeFill="background1"/>
        </w:rPr>
      </w:pPr>
      <w:r>
        <w:rPr>
          <w:rFonts w:hint="eastAsia" w:ascii="仿宋" w:hAnsi="仿宋" w:eastAsia="仿宋" w:cs="仿宋"/>
          <w:b/>
          <w:bCs/>
          <w:color w:val="auto"/>
          <w:sz w:val="24"/>
          <w:szCs w:val="24"/>
          <w:highlight w:val="none"/>
          <w:shd w:val="clear" w:color="auto" w:fill="FFFFFF" w:themeFill="background1"/>
        </w:rPr>
        <w:t>响应文件</w:t>
      </w:r>
    </w:p>
    <w:p w14:paraId="2ED13C2B">
      <w:pPr>
        <w:spacing w:line="360" w:lineRule="auto"/>
        <w:rPr>
          <w:rFonts w:hint="eastAsia" w:ascii="仿宋" w:hAnsi="仿宋" w:eastAsia="仿宋" w:cs="仿宋"/>
          <w:color w:val="auto"/>
          <w:sz w:val="24"/>
          <w:szCs w:val="24"/>
          <w:highlight w:val="none"/>
          <w:shd w:val="clear" w:color="auto" w:fill="FFFFFF" w:themeFill="background1"/>
        </w:rPr>
      </w:pPr>
    </w:p>
    <w:p w14:paraId="309368BC">
      <w:pPr>
        <w:spacing w:line="360" w:lineRule="auto"/>
        <w:rPr>
          <w:rFonts w:hint="eastAsia" w:ascii="仿宋" w:hAnsi="仿宋" w:eastAsia="仿宋" w:cs="仿宋"/>
          <w:color w:val="auto"/>
          <w:sz w:val="24"/>
          <w:szCs w:val="24"/>
          <w:highlight w:val="none"/>
          <w:shd w:val="clear" w:color="auto" w:fill="FFFFFF" w:themeFill="background1"/>
        </w:rPr>
      </w:pPr>
    </w:p>
    <w:p w14:paraId="7A990FA7">
      <w:pPr>
        <w:spacing w:line="360" w:lineRule="auto"/>
        <w:rPr>
          <w:rFonts w:hint="eastAsia" w:ascii="仿宋" w:hAnsi="仿宋" w:eastAsia="仿宋" w:cs="仿宋"/>
          <w:color w:val="auto"/>
          <w:sz w:val="24"/>
          <w:szCs w:val="24"/>
          <w:highlight w:val="none"/>
          <w:shd w:val="clear" w:color="auto" w:fill="FFFFFF" w:themeFill="background1"/>
        </w:rPr>
      </w:pPr>
    </w:p>
    <w:p w14:paraId="53A078E6">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供应商：（盖章）</w:t>
      </w:r>
    </w:p>
    <w:p w14:paraId="3FF4D81A">
      <w:pPr>
        <w:spacing w:line="360" w:lineRule="auto"/>
        <w:rPr>
          <w:rFonts w:hint="eastAsia" w:ascii="仿宋" w:hAnsi="仿宋" w:eastAsia="仿宋" w:cs="仿宋"/>
          <w:color w:val="auto"/>
          <w:sz w:val="24"/>
          <w:szCs w:val="24"/>
          <w:highlight w:val="none"/>
          <w:shd w:val="clear" w:color="auto" w:fill="FFFFFF" w:themeFill="background1"/>
        </w:rPr>
      </w:pPr>
    </w:p>
    <w:p w14:paraId="6244285A">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kern w:val="0"/>
          <w:sz w:val="24"/>
          <w:szCs w:val="24"/>
          <w:highlight w:val="none"/>
          <w:shd w:val="clear" w:color="auto" w:fill="FFFFFF" w:themeFill="background1"/>
          <w:lang w:val="en-US" w:eastAsia="zh-CN"/>
        </w:rPr>
        <w:t>或签字</w:t>
      </w:r>
      <w:r>
        <w:rPr>
          <w:rFonts w:hint="eastAsia" w:ascii="仿宋" w:hAnsi="仿宋" w:eastAsia="仿宋" w:cs="仿宋"/>
          <w:color w:val="auto"/>
          <w:kern w:val="0"/>
          <w:sz w:val="24"/>
          <w:szCs w:val="24"/>
          <w:highlight w:val="none"/>
          <w:shd w:val="clear" w:color="auto" w:fill="FFFFFF" w:themeFill="background1"/>
        </w:rPr>
        <w:t>）</w:t>
      </w:r>
    </w:p>
    <w:p w14:paraId="20EB9A3F">
      <w:pPr>
        <w:spacing w:line="360" w:lineRule="auto"/>
        <w:rPr>
          <w:rFonts w:hint="eastAsia" w:ascii="仿宋" w:hAnsi="仿宋" w:eastAsia="仿宋" w:cs="仿宋"/>
          <w:color w:val="auto"/>
          <w:sz w:val="24"/>
          <w:szCs w:val="24"/>
          <w:highlight w:val="none"/>
          <w:shd w:val="clear" w:color="auto" w:fill="FFFFFF" w:themeFill="background1"/>
        </w:rPr>
      </w:pPr>
    </w:p>
    <w:p w14:paraId="1E8BD01E">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单位地址：</w:t>
      </w:r>
    </w:p>
    <w:p w14:paraId="232168C5">
      <w:pPr>
        <w:spacing w:line="360" w:lineRule="auto"/>
        <w:rPr>
          <w:rFonts w:hint="eastAsia" w:ascii="仿宋" w:hAnsi="仿宋" w:eastAsia="仿宋" w:cs="仿宋"/>
          <w:color w:val="auto"/>
          <w:sz w:val="24"/>
          <w:szCs w:val="24"/>
          <w:highlight w:val="none"/>
          <w:shd w:val="clear" w:color="auto" w:fill="FFFFFF" w:themeFill="background1"/>
        </w:rPr>
      </w:pPr>
    </w:p>
    <w:p w14:paraId="71FED771">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邮政编码：</w:t>
      </w:r>
    </w:p>
    <w:p w14:paraId="32335CD0">
      <w:pPr>
        <w:spacing w:line="360" w:lineRule="auto"/>
        <w:rPr>
          <w:rFonts w:hint="eastAsia" w:ascii="仿宋" w:hAnsi="仿宋" w:eastAsia="仿宋" w:cs="仿宋"/>
          <w:color w:val="auto"/>
          <w:sz w:val="24"/>
          <w:szCs w:val="24"/>
          <w:highlight w:val="none"/>
          <w:shd w:val="clear" w:color="auto" w:fill="FFFFFF" w:themeFill="background1"/>
        </w:rPr>
      </w:pPr>
    </w:p>
    <w:p w14:paraId="6EA93789">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联系人：</w:t>
      </w:r>
    </w:p>
    <w:p w14:paraId="7BD9C36A">
      <w:pPr>
        <w:spacing w:line="360" w:lineRule="auto"/>
        <w:rPr>
          <w:rFonts w:hint="eastAsia" w:ascii="仿宋" w:hAnsi="仿宋" w:eastAsia="仿宋" w:cs="仿宋"/>
          <w:color w:val="auto"/>
          <w:sz w:val="24"/>
          <w:szCs w:val="24"/>
          <w:highlight w:val="none"/>
          <w:shd w:val="clear" w:color="auto" w:fill="FFFFFF" w:themeFill="background1"/>
        </w:rPr>
      </w:pPr>
    </w:p>
    <w:p w14:paraId="4592903B">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联系电话：</w:t>
      </w:r>
    </w:p>
    <w:p w14:paraId="126B7992">
      <w:pPr>
        <w:spacing w:line="360" w:lineRule="auto"/>
        <w:rPr>
          <w:rFonts w:hint="eastAsia" w:ascii="仿宋" w:hAnsi="仿宋" w:eastAsia="仿宋" w:cs="仿宋"/>
          <w:color w:val="auto"/>
          <w:sz w:val="24"/>
          <w:szCs w:val="24"/>
          <w:highlight w:val="none"/>
          <w:shd w:val="clear" w:color="auto" w:fill="FFFFFF" w:themeFill="background1"/>
        </w:rPr>
      </w:pPr>
    </w:p>
    <w:p w14:paraId="671CF031">
      <w:pPr>
        <w:spacing w:line="360" w:lineRule="auto"/>
        <w:ind w:firstLine="2" w:firstLineChars="1"/>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年  月  日</w:t>
      </w:r>
    </w:p>
    <w:p w14:paraId="67F3C657">
      <w:pPr>
        <w:spacing w:line="360" w:lineRule="auto"/>
        <w:ind w:firstLine="2" w:firstLineChars="1"/>
        <w:jc w:val="center"/>
        <w:rPr>
          <w:rFonts w:hint="eastAsia" w:ascii="仿宋" w:hAnsi="仿宋" w:eastAsia="仿宋" w:cs="仿宋"/>
          <w:color w:val="auto"/>
          <w:sz w:val="24"/>
          <w:szCs w:val="24"/>
          <w:highlight w:val="none"/>
          <w:shd w:val="clear" w:color="auto" w:fill="FFFFFF" w:themeFill="background1"/>
        </w:rPr>
      </w:pPr>
    </w:p>
    <w:p w14:paraId="337F41B9">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bookmarkStart w:id="43" w:name="_Toc38910521"/>
      <w:bookmarkStart w:id="44" w:name="_Toc38446469"/>
      <w:r>
        <w:rPr>
          <w:rFonts w:hint="eastAsia" w:ascii="仿宋" w:hAnsi="仿宋" w:eastAsia="仿宋" w:cs="仿宋"/>
          <w:color w:val="auto"/>
          <w:sz w:val="24"/>
          <w:szCs w:val="24"/>
          <w:highlight w:val="none"/>
          <w:shd w:val="clear" w:color="auto" w:fill="FFFFFF" w:themeFill="background1"/>
        </w:rPr>
        <w:t>目录</w:t>
      </w:r>
      <w:bookmarkEnd w:id="43"/>
      <w:bookmarkEnd w:id="44"/>
    </w:p>
    <w:p w14:paraId="57062FE9">
      <w:pPr>
        <w:spacing w:line="360" w:lineRule="auto"/>
        <w:rPr>
          <w:rFonts w:hint="eastAsia" w:ascii="仿宋" w:hAnsi="仿宋" w:eastAsia="仿宋" w:cs="仿宋"/>
          <w:bCs/>
          <w:color w:val="auto"/>
          <w:sz w:val="24"/>
          <w:szCs w:val="24"/>
          <w:highlight w:val="none"/>
          <w:shd w:val="clear" w:color="auto" w:fill="FFFFFF" w:themeFill="background1"/>
        </w:rPr>
      </w:pPr>
    </w:p>
    <w:p w14:paraId="1076F07A">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一、开</w:t>
      </w:r>
      <w:r>
        <w:rPr>
          <w:rFonts w:hint="eastAsia" w:ascii="仿宋" w:hAnsi="仿宋" w:eastAsia="仿宋" w:cs="仿宋"/>
          <w:color w:val="auto"/>
          <w:kern w:val="0"/>
          <w:sz w:val="24"/>
          <w:szCs w:val="24"/>
          <w:highlight w:val="none"/>
          <w:lang w:val="en-US" w:eastAsia="zh-CN"/>
        </w:rPr>
        <w:t>启</w:t>
      </w:r>
      <w:r>
        <w:rPr>
          <w:rFonts w:hint="eastAsia" w:ascii="仿宋" w:hAnsi="仿宋" w:eastAsia="仿宋" w:cs="仿宋"/>
          <w:color w:val="auto"/>
          <w:kern w:val="0"/>
          <w:sz w:val="24"/>
          <w:szCs w:val="24"/>
          <w:highlight w:val="none"/>
        </w:rPr>
        <w:t>一览表</w:t>
      </w:r>
    </w:p>
    <w:p w14:paraId="6BF7CA79">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w:t>
      </w:r>
      <w:r>
        <w:rPr>
          <w:rFonts w:hint="eastAsia" w:ascii="仿宋" w:hAnsi="仿宋" w:eastAsia="仿宋" w:cs="仿宋"/>
          <w:bCs/>
          <w:color w:val="auto"/>
          <w:sz w:val="24"/>
          <w:szCs w:val="24"/>
          <w:highlight w:val="none"/>
          <w:shd w:val="clear" w:color="auto" w:fill="FFFFFF" w:themeFill="background1"/>
          <w:lang w:eastAsia="zh-CN"/>
        </w:rPr>
        <w:t>响应函</w:t>
      </w:r>
    </w:p>
    <w:p w14:paraId="306E97C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w:t>
      </w:r>
      <w:r>
        <w:rPr>
          <w:rFonts w:hint="eastAsia" w:ascii="仿宋" w:hAnsi="仿宋" w:eastAsia="仿宋" w:cs="仿宋"/>
          <w:bCs/>
          <w:color w:val="auto"/>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rPr>
        <w:t>价格明细表</w:t>
      </w:r>
    </w:p>
    <w:p w14:paraId="336DC9EA">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四、商务条款偏离表</w:t>
      </w:r>
    </w:p>
    <w:p w14:paraId="4A06B4B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五、技术条款偏离表</w:t>
      </w:r>
    </w:p>
    <w:p w14:paraId="0829B2D0">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六、法定代表人身份证明书</w:t>
      </w:r>
    </w:p>
    <w:p w14:paraId="6F375270">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七、法定代表人授权委托书</w:t>
      </w:r>
    </w:p>
    <w:p w14:paraId="66BEA769">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八、</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资格条件证明材料</w:t>
      </w:r>
    </w:p>
    <w:p w14:paraId="1DBBB66B">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九、</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近年类似项目情况表</w:t>
      </w:r>
    </w:p>
    <w:p w14:paraId="266195C6">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十、项目负责人简历表</w:t>
      </w:r>
    </w:p>
    <w:p w14:paraId="0A8775A7">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十一、拟派主要服务人员情况表</w:t>
      </w:r>
    </w:p>
    <w:p w14:paraId="7769A88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十二、服务方案</w:t>
      </w:r>
    </w:p>
    <w:p w14:paraId="345D7C08">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十三、保证金缴纳证明材料</w:t>
      </w:r>
    </w:p>
    <w:p w14:paraId="1CA196E5">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十四、</w:t>
      </w:r>
      <w:r>
        <w:rPr>
          <w:rFonts w:hint="eastAsia" w:ascii="仿宋" w:hAnsi="仿宋" w:eastAsia="仿宋" w:cs="仿宋"/>
          <w:color w:val="auto"/>
          <w:kern w:val="0"/>
          <w:sz w:val="24"/>
          <w:szCs w:val="24"/>
          <w:highlight w:val="none"/>
        </w:rPr>
        <w:t>其它需要提交的资料</w:t>
      </w:r>
    </w:p>
    <w:p w14:paraId="02D83712">
      <w:pPr>
        <w:spacing w:line="360" w:lineRule="auto"/>
        <w:ind w:firstLine="480" w:firstLineChars="200"/>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ab/>
      </w:r>
    </w:p>
    <w:p w14:paraId="6505B67D">
      <w:pPr>
        <w:spacing w:line="360" w:lineRule="auto"/>
        <w:rPr>
          <w:rFonts w:hint="eastAsia" w:ascii="仿宋" w:hAnsi="仿宋" w:eastAsia="仿宋" w:cs="仿宋"/>
          <w:bCs/>
          <w:color w:val="auto"/>
          <w:sz w:val="24"/>
          <w:szCs w:val="24"/>
          <w:highlight w:val="none"/>
          <w:shd w:val="clear" w:color="auto" w:fill="FFFFFF" w:themeFill="background1"/>
        </w:rPr>
      </w:pPr>
    </w:p>
    <w:p w14:paraId="5BACEB89">
      <w:pPr>
        <w:spacing w:line="360" w:lineRule="auto"/>
        <w:ind w:firstLine="480" w:firstLineChars="200"/>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注：为了便于查找，请按上述顺序编制</w:t>
      </w:r>
      <w:r>
        <w:rPr>
          <w:rFonts w:hint="eastAsia" w:ascii="仿宋" w:hAnsi="仿宋" w:eastAsia="仿宋" w:cs="仿宋"/>
          <w:color w:val="auto"/>
          <w:sz w:val="24"/>
          <w:szCs w:val="24"/>
          <w:highlight w:val="none"/>
          <w:shd w:val="clear" w:color="auto" w:fill="FFFFFF" w:themeFill="background1"/>
        </w:rPr>
        <w:t>响应文件</w:t>
      </w:r>
      <w:r>
        <w:rPr>
          <w:rFonts w:hint="eastAsia" w:ascii="仿宋" w:hAnsi="仿宋" w:eastAsia="仿宋" w:cs="仿宋"/>
          <w:bCs/>
          <w:color w:val="auto"/>
          <w:sz w:val="24"/>
          <w:szCs w:val="24"/>
          <w:highlight w:val="none"/>
          <w:shd w:val="clear" w:color="auto" w:fill="FFFFFF" w:themeFill="background1"/>
        </w:rPr>
        <w:t>内容，并在目录中标明每项内容的起始页码。</w:t>
      </w:r>
    </w:p>
    <w:p w14:paraId="61C54233">
      <w:pP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br w:type="page"/>
      </w:r>
    </w:p>
    <w:p w14:paraId="55C1F794">
      <w:pPr>
        <w:numPr>
          <w:ilvl w:val="0"/>
          <w:numId w:val="0"/>
        </w:numPr>
        <w:tabs>
          <w:tab w:val="center" w:pos="4832"/>
          <w:tab w:val="left" w:pos="7140"/>
        </w:tabs>
        <w:jc w:val="center"/>
        <w:outlineLvl w:val="1"/>
        <w:rPr>
          <w:rFonts w:hint="eastAsia" w:ascii="仿宋" w:hAnsi="仿宋" w:eastAsia="仿宋" w:cs="仿宋"/>
          <w:b/>
          <w:color w:val="auto"/>
          <w:sz w:val="24"/>
          <w:szCs w:val="24"/>
          <w:highlight w:val="none"/>
        </w:rPr>
      </w:pPr>
      <w:bookmarkStart w:id="45" w:name="_Toc6644"/>
      <w:bookmarkStart w:id="46" w:name="_Toc22190"/>
      <w:bookmarkStart w:id="47" w:name="_Toc1962"/>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开</w:t>
      </w:r>
      <w:r>
        <w:rPr>
          <w:rFonts w:hint="eastAsia" w:ascii="仿宋" w:hAnsi="仿宋" w:eastAsia="仿宋" w:cs="仿宋"/>
          <w:b/>
          <w:color w:val="auto"/>
          <w:sz w:val="24"/>
          <w:szCs w:val="24"/>
          <w:highlight w:val="none"/>
          <w:lang w:val="en-US" w:eastAsia="zh-CN"/>
        </w:rPr>
        <w:t>启</w:t>
      </w:r>
      <w:r>
        <w:rPr>
          <w:rFonts w:hint="eastAsia" w:ascii="仿宋" w:hAnsi="仿宋" w:eastAsia="仿宋" w:cs="仿宋"/>
          <w:b/>
          <w:color w:val="auto"/>
          <w:sz w:val="24"/>
          <w:szCs w:val="24"/>
          <w:highlight w:val="none"/>
        </w:rPr>
        <w:t>一览表</w:t>
      </w:r>
      <w:bookmarkEnd w:id="45"/>
      <w:bookmarkEnd w:id="46"/>
      <w:bookmarkEnd w:id="47"/>
    </w:p>
    <w:p w14:paraId="3AEE6744">
      <w:pPr>
        <w:rPr>
          <w:rFonts w:hint="eastAsia" w:ascii="仿宋" w:hAnsi="仿宋" w:eastAsia="仿宋" w:cs="仿宋"/>
          <w:color w:val="auto"/>
          <w:highlight w:val="none"/>
        </w:rPr>
      </w:pPr>
    </w:p>
    <w:p w14:paraId="3772166F">
      <w:pPr>
        <w:rPr>
          <w:rFonts w:hint="eastAsia" w:ascii="仿宋" w:hAnsi="仿宋" w:eastAsia="仿宋" w:cs="仿宋"/>
          <w:color w:val="auto"/>
          <w:highlight w:val="none"/>
        </w:rPr>
      </w:pPr>
    </w:p>
    <w:tbl>
      <w:tblPr>
        <w:tblStyle w:val="43"/>
        <w:tblpPr w:leftFromText="180" w:rightFromText="180" w:vertAnchor="text" w:horzAnchor="page" w:tblpX="1590" w:tblpY="473"/>
        <w:tblOverlap w:val="never"/>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6706"/>
      </w:tblGrid>
      <w:tr w14:paraId="4A83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62E9D982">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项目名称</w:t>
            </w:r>
          </w:p>
        </w:tc>
        <w:tc>
          <w:tcPr>
            <w:tcW w:w="3499" w:type="pct"/>
            <w:tcBorders>
              <w:left w:val="single" w:color="auto" w:sz="4" w:space="0"/>
            </w:tcBorders>
            <w:shd w:val="clear" w:color="auto" w:fill="auto"/>
            <w:vAlign w:val="center"/>
          </w:tcPr>
          <w:p w14:paraId="51F124AB">
            <w:pPr>
              <w:spacing w:line="360" w:lineRule="auto"/>
              <w:ind w:right="-670" w:rightChars="0"/>
              <w:rPr>
                <w:rFonts w:hint="eastAsia" w:ascii="仿宋" w:hAnsi="仿宋" w:eastAsia="仿宋" w:cs="仿宋"/>
                <w:bCs/>
                <w:color w:val="auto"/>
                <w:kern w:val="2"/>
                <w:sz w:val="24"/>
                <w:szCs w:val="24"/>
                <w:highlight w:val="none"/>
                <w:lang w:val="en-US" w:eastAsia="zh-CN" w:bidi="ar-SA"/>
              </w:rPr>
            </w:pPr>
          </w:p>
        </w:tc>
      </w:tr>
      <w:tr w14:paraId="7E45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2C72A370">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项目编号</w:t>
            </w:r>
          </w:p>
        </w:tc>
        <w:tc>
          <w:tcPr>
            <w:tcW w:w="3499" w:type="pct"/>
            <w:tcBorders>
              <w:left w:val="single" w:color="auto" w:sz="4" w:space="0"/>
            </w:tcBorders>
            <w:shd w:val="clear" w:color="auto" w:fill="auto"/>
            <w:vAlign w:val="center"/>
          </w:tcPr>
          <w:p w14:paraId="50981E76">
            <w:pPr>
              <w:spacing w:line="360" w:lineRule="auto"/>
              <w:ind w:right="-670" w:rightChars="0"/>
              <w:rPr>
                <w:rFonts w:hint="eastAsia" w:ascii="仿宋" w:hAnsi="仿宋" w:eastAsia="仿宋" w:cs="仿宋"/>
                <w:bCs/>
                <w:color w:val="auto"/>
                <w:kern w:val="2"/>
                <w:sz w:val="24"/>
                <w:szCs w:val="24"/>
                <w:highlight w:val="none"/>
                <w:lang w:val="en-US" w:eastAsia="zh-CN" w:bidi="ar-SA"/>
              </w:rPr>
            </w:pPr>
          </w:p>
        </w:tc>
      </w:tr>
      <w:tr w14:paraId="0114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221E9B8B">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响应价格</w:t>
            </w:r>
          </w:p>
        </w:tc>
        <w:tc>
          <w:tcPr>
            <w:tcW w:w="3499" w:type="pct"/>
            <w:tcBorders>
              <w:left w:val="single" w:color="auto" w:sz="4" w:space="0"/>
            </w:tcBorders>
            <w:shd w:val="clear" w:color="auto" w:fill="auto"/>
            <w:vAlign w:val="center"/>
          </w:tcPr>
          <w:p w14:paraId="6C9BC66A">
            <w:pPr>
              <w:pStyle w:val="42"/>
              <w:ind w:left="0" w:leftChars="0" w:firstLine="0" w:firstLineChars="0"/>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lang w:val="en-US" w:eastAsia="zh-CN" w:bidi="ar-SA"/>
              </w:rPr>
              <w:t>小写：</w:t>
            </w:r>
            <w:r>
              <w:rPr>
                <w:rFonts w:hint="eastAsia" w:ascii="仿宋" w:hAnsi="仿宋" w:eastAsia="仿宋" w:cs="仿宋"/>
                <w:bCs/>
                <w:color w:val="auto"/>
                <w:kern w:val="2"/>
                <w:sz w:val="24"/>
                <w:szCs w:val="24"/>
                <w:highlight w:val="none"/>
                <w:u w:val="single"/>
                <w:lang w:val="en-US" w:eastAsia="zh-CN" w:bidi="ar-SA"/>
              </w:rPr>
              <w:t xml:space="preserve">             元</w:t>
            </w:r>
          </w:p>
          <w:p w14:paraId="04AED564">
            <w:pPr>
              <w:rPr>
                <w:rFonts w:hint="eastAsia" w:ascii="仿宋" w:hAnsi="仿宋" w:eastAsia="仿宋" w:cs="仿宋"/>
                <w:color w:val="auto"/>
                <w:highlight w:val="none"/>
                <w:lang w:val="en-US" w:eastAsia="zh-CN"/>
              </w:rPr>
            </w:pPr>
            <w:r>
              <w:rPr>
                <w:rFonts w:hint="eastAsia" w:ascii="仿宋" w:hAnsi="仿宋" w:eastAsia="仿宋" w:cs="仿宋"/>
                <w:bCs/>
                <w:color w:val="auto"/>
                <w:kern w:val="2"/>
                <w:sz w:val="24"/>
                <w:szCs w:val="24"/>
                <w:highlight w:val="none"/>
                <w:lang w:val="en-US" w:eastAsia="zh-CN" w:bidi="ar-SA"/>
              </w:rPr>
              <w:t>大写：</w:t>
            </w:r>
            <w:r>
              <w:rPr>
                <w:rFonts w:hint="eastAsia" w:ascii="仿宋" w:hAnsi="仿宋" w:eastAsia="仿宋" w:cs="仿宋"/>
                <w:bCs/>
                <w:color w:val="auto"/>
                <w:kern w:val="2"/>
                <w:sz w:val="24"/>
                <w:szCs w:val="24"/>
                <w:highlight w:val="none"/>
                <w:u w:val="single"/>
                <w:lang w:val="en-US" w:eastAsia="zh-CN" w:bidi="ar-SA"/>
              </w:rPr>
              <w:t xml:space="preserve">             元</w:t>
            </w:r>
          </w:p>
        </w:tc>
      </w:tr>
      <w:tr w14:paraId="6782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63E4F25D">
            <w:pPr>
              <w:snapToGrid w:val="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合同履约期限</w:t>
            </w:r>
          </w:p>
        </w:tc>
        <w:tc>
          <w:tcPr>
            <w:tcW w:w="3499" w:type="pct"/>
            <w:tcBorders>
              <w:left w:val="single" w:color="auto" w:sz="4" w:space="0"/>
            </w:tcBorders>
            <w:shd w:val="clear" w:color="auto" w:fill="auto"/>
            <w:vAlign w:val="center"/>
          </w:tcPr>
          <w:p w14:paraId="1DE7FC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color w:val="auto"/>
                <w:sz w:val="24"/>
                <w:szCs w:val="32"/>
                <w:highlight w:val="none"/>
                <w:u w:val="none"/>
                <w:lang w:val="en-US" w:eastAsia="zh-CN"/>
              </w:rPr>
              <w:t>成交供应商须提供一年运维服务，维护起始日期从合同签订后开始计算</w:t>
            </w:r>
          </w:p>
        </w:tc>
      </w:tr>
      <w:tr w14:paraId="217D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1677E23F">
            <w:pPr>
              <w:snapToGrid w:val="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响应有效期</w:t>
            </w:r>
          </w:p>
        </w:tc>
        <w:tc>
          <w:tcPr>
            <w:tcW w:w="3499" w:type="pct"/>
            <w:tcBorders>
              <w:left w:val="single" w:color="auto" w:sz="4" w:space="0"/>
            </w:tcBorders>
            <w:shd w:val="clear" w:color="auto" w:fill="auto"/>
            <w:vAlign w:val="center"/>
          </w:tcPr>
          <w:p w14:paraId="0E7870B2">
            <w:pPr>
              <w:snapToGrid w:val="0"/>
              <w:spacing w:line="36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自响应截止之日</w:t>
            </w:r>
            <w:r>
              <w:rPr>
                <w:rFonts w:hint="eastAsia" w:ascii="仿宋" w:hAnsi="仿宋" w:eastAsia="仿宋" w:cs="仿宋"/>
                <w:bCs/>
                <w:color w:val="auto"/>
                <w:kern w:val="2"/>
                <w:sz w:val="24"/>
                <w:szCs w:val="24"/>
                <w:highlight w:val="none"/>
                <w:u w:val="single"/>
                <w:lang w:val="en-US" w:eastAsia="zh-CN" w:bidi="ar-SA"/>
              </w:rPr>
              <w:t xml:space="preserve">    </w:t>
            </w:r>
            <w:r>
              <w:rPr>
                <w:rFonts w:hint="eastAsia" w:ascii="仿宋" w:hAnsi="仿宋" w:eastAsia="仿宋" w:cs="仿宋"/>
                <w:bCs/>
                <w:color w:val="auto"/>
                <w:kern w:val="2"/>
                <w:sz w:val="24"/>
                <w:szCs w:val="24"/>
                <w:highlight w:val="none"/>
                <w:lang w:val="en-US" w:eastAsia="zh-CN" w:bidi="ar-SA"/>
              </w:rPr>
              <w:t>日历日</w:t>
            </w:r>
          </w:p>
        </w:tc>
      </w:tr>
      <w:tr w14:paraId="0909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1FE8837E">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备注</w:t>
            </w:r>
          </w:p>
        </w:tc>
        <w:tc>
          <w:tcPr>
            <w:tcW w:w="3499" w:type="pct"/>
            <w:tcBorders>
              <w:left w:val="single" w:color="auto" w:sz="4" w:space="0"/>
            </w:tcBorders>
            <w:shd w:val="clear" w:color="auto" w:fill="auto"/>
            <w:vAlign w:val="center"/>
          </w:tcPr>
          <w:p w14:paraId="056CF9DE">
            <w:pPr>
              <w:rPr>
                <w:rFonts w:hint="eastAsia" w:ascii="仿宋" w:hAnsi="仿宋" w:eastAsia="仿宋" w:cs="仿宋"/>
                <w:bCs/>
                <w:color w:val="auto"/>
                <w:kern w:val="2"/>
                <w:sz w:val="24"/>
                <w:szCs w:val="24"/>
                <w:highlight w:val="none"/>
                <w:lang w:val="en-US" w:eastAsia="zh-CN" w:bidi="ar-SA"/>
              </w:rPr>
            </w:pPr>
          </w:p>
        </w:tc>
      </w:tr>
    </w:tbl>
    <w:p w14:paraId="0AAECBC2">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2A7DDE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4841C89">
      <w:pPr>
        <w:pStyle w:val="42"/>
        <w:rPr>
          <w:rFonts w:hint="eastAsia" w:ascii="仿宋" w:hAnsi="仿宋" w:eastAsia="仿宋" w:cs="仿宋"/>
          <w:color w:val="auto"/>
          <w:highlight w:val="none"/>
        </w:rPr>
      </w:pPr>
    </w:p>
    <w:p w14:paraId="45235AB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供应商</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71C7700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AFA75F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0433F31C">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66E9A015">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3C23F436">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lang w:eastAsia="zh-CN"/>
        </w:rPr>
      </w:pPr>
      <w:bookmarkStart w:id="48" w:name="_Toc507586166"/>
      <w:bookmarkStart w:id="49" w:name="_Toc38446470"/>
      <w:bookmarkStart w:id="50" w:name="_Toc533503181"/>
      <w:bookmarkStart w:id="51" w:name="_Toc16674"/>
      <w:r>
        <w:rPr>
          <w:rFonts w:hint="eastAsia" w:ascii="仿宋" w:hAnsi="仿宋" w:eastAsia="仿宋" w:cs="仿宋"/>
          <w:b/>
          <w:color w:val="auto"/>
          <w:sz w:val="24"/>
          <w:szCs w:val="24"/>
          <w:highlight w:val="none"/>
          <w:shd w:val="clear" w:color="auto" w:fill="FFFFFF" w:themeFill="background1"/>
          <w:lang w:val="en-US" w:eastAsia="zh-CN"/>
        </w:rPr>
        <w:t>二</w:t>
      </w:r>
      <w:r>
        <w:rPr>
          <w:rFonts w:hint="eastAsia" w:ascii="仿宋" w:hAnsi="仿宋" w:eastAsia="仿宋" w:cs="仿宋"/>
          <w:b/>
          <w:color w:val="auto"/>
          <w:sz w:val="24"/>
          <w:szCs w:val="24"/>
          <w:highlight w:val="none"/>
          <w:shd w:val="clear" w:color="auto" w:fill="FFFFFF" w:themeFill="background1"/>
        </w:rPr>
        <w:t>、</w:t>
      </w:r>
      <w:bookmarkEnd w:id="48"/>
      <w:bookmarkEnd w:id="49"/>
      <w:bookmarkEnd w:id="50"/>
      <w:r>
        <w:rPr>
          <w:rFonts w:hint="eastAsia" w:ascii="仿宋" w:hAnsi="仿宋" w:eastAsia="仿宋" w:cs="仿宋"/>
          <w:b/>
          <w:color w:val="auto"/>
          <w:sz w:val="24"/>
          <w:szCs w:val="24"/>
          <w:highlight w:val="none"/>
          <w:shd w:val="clear" w:color="auto" w:fill="FFFFFF" w:themeFill="background1"/>
          <w:lang w:eastAsia="zh-CN"/>
        </w:rPr>
        <w:t>响应函</w:t>
      </w:r>
      <w:bookmarkEnd w:id="51"/>
    </w:p>
    <w:p w14:paraId="12F1D0CC">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79671B59">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47474B18">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根据已收到的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项目名称</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lang w:eastAsia="zh-CN"/>
        </w:rPr>
        <w:t>采购文件</w:t>
      </w:r>
      <w:r>
        <w:rPr>
          <w:rFonts w:hint="eastAsia" w:ascii="仿宋" w:hAnsi="仿宋" w:eastAsia="仿宋" w:cs="仿宋"/>
          <w:color w:val="auto"/>
          <w:kern w:val="0"/>
          <w:sz w:val="24"/>
          <w:szCs w:val="24"/>
          <w:highlight w:val="none"/>
        </w:rPr>
        <w:t>，遵照《中华人民共和国政府采购法》等有关法律法规的规定，经考察现场和充分研究贵方的</w:t>
      </w:r>
      <w:r>
        <w:rPr>
          <w:rFonts w:hint="eastAsia" w:ascii="仿宋" w:hAnsi="仿宋" w:eastAsia="仿宋" w:cs="仿宋"/>
          <w:color w:val="auto"/>
          <w:kern w:val="0"/>
          <w:sz w:val="24"/>
          <w:szCs w:val="24"/>
          <w:highlight w:val="none"/>
          <w:lang w:eastAsia="zh-CN"/>
        </w:rPr>
        <w:t>采购文件</w:t>
      </w:r>
      <w:r>
        <w:rPr>
          <w:rFonts w:hint="eastAsia" w:ascii="仿宋" w:hAnsi="仿宋" w:eastAsia="仿宋" w:cs="仿宋"/>
          <w:color w:val="auto"/>
          <w:kern w:val="0"/>
          <w:sz w:val="24"/>
          <w:szCs w:val="24"/>
          <w:highlight w:val="none"/>
        </w:rPr>
        <w:t>的全部内容后，我方郑重承诺如下：</w:t>
      </w:r>
    </w:p>
    <w:p w14:paraId="57E30557">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zh-CN"/>
        </w:rPr>
        <w:t xml:space="preserve">、不向项目有关人员及部门赠送礼金礼物、有价证券、回扣以及中介费、介绍费、咨询费等好处费；不为项目有关人员及部门报销应由你方单位或个人支付的费用。 </w:t>
      </w:r>
    </w:p>
    <w:p w14:paraId="00CEADBE">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zh-CN"/>
        </w:rPr>
        <w:t>、不向项目有关人员及部门提供有可能影响公正的宴请和健身娱乐等活动；不为项目有关人员及部门出国（境）、旅游等提供方便；不为项目有关人员个人装修住房、婚丧嫁娶、配偶子女工作安排等提供好处。</w:t>
      </w:r>
    </w:p>
    <w:p w14:paraId="74B9B536">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zh-CN"/>
        </w:rPr>
        <w:t xml:space="preserve">、严格遵守《中华人民共和国政府采购法》、《中华人民共和国民法典》等法律法规，诚实守信，合法经营，坚决抵制各种违法违纪行为。 </w:t>
      </w:r>
    </w:p>
    <w:p w14:paraId="1DB9613F">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4、我方所递交的</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及有关资料内容完整、真实和准确，且不存在</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须知前附表规定的</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不得存在的任何一种情形。</w:t>
      </w:r>
    </w:p>
    <w:p w14:paraId="4A34307B">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5、本</w:t>
      </w:r>
      <w:r>
        <w:rPr>
          <w:rFonts w:hint="eastAsia" w:ascii="仿宋" w:hAnsi="仿宋" w:eastAsia="仿宋" w:cs="仿宋"/>
          <w:color w:val="auto"/>
          <w:sz w:val="24"/>
          <w:szCs w:val="24"/>
          <w:highlight w:val="none"/>
          <w:shd w:val="clear" w:color="auto" w:fill="FFFFFF" w:themeFill="background1"/>
          <w:lang w:eastAsia="zh-CN"/>
        </w:rPr>
        <w:t>响应文件</w:t>
      </w:r>
      <w:r>
        <w:rPr>
          <w:rFonts w:hint="eastAsia" w:ascii="仿宋" w:hAnsi="仿宋" w:eastAsia="仿宋" w:cs="仿宋"/>
          <w:color w:val="auto"/>
          <w:kern w:val="0"/>
          <w:sz w:val="24"/>
          <w:szCs w:val="24"/>
          <w:highlight w:val="none"/>
          <w:shd w:val="clear" w:color="auto" w:fill="FFFFFF" w:themeFill="background1"/>
        </w:rPr>
        <w:t>在</w:t>
      </w:r>
      <w:r>
        <w:rPr>
          <w:rFonts w:hint="eastAsia" w:ascii="仿宋" w:hAnsi="仿宋" w:eastAsia="仿宋" w:cs="仿宋"/>
          <w:color w:val="auto"/>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规定的</w:t>
      </w:r>
      <w:r>
        <w:rPr>
          <w:rFonts w:hint="eastAsia" w:ascii="仿宋" w:hAnsi="仿宋" w:eastAsia="仿宋" w:cs="仿宋"/>
          <w:color w:val="auto"/>
          <w:kern w:val="0"/>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shd w:val="clear" w:color="auto" w:fill="FFFFFF" w:themeFill="background1"/>
        </w:rPr>
        <w:t>有效期内对我方具有约束力，如果我方在</w:t>
      </w:r>
      <w:r>
        <w:rPr>
          <w:rFonts w:hint="eastAsia" w:ascii="仿宋" w:hAnsi="仿宋" w:eastAsia="仿宋" w:cs="仿宋"/>
          <w:color w:val="auto"/>
          <w:kern w:val="0"/>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shd w:val="clear" w:color="auto" w:fill="FFFFFF" w:themeFill="background1"/>
        </w:rPr>
        <w:t>有效期内撤销</w:t>
      </w:r>
      <w:r>
        <w:rPr>
          <w:rFonts w:hint="eastAsia" w:ascii="仿宋" w:hAnsi="仿宋" w:eastAsia="仿宋" w:cs="仿宋"/>
          <w:color w:val="auto"/>
          <w:kern w:val="0"/>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shd w:val="clear" w:color="auto" w:fill="FFFFFF" w:themeFill="background1"/>
        </w:rPr>
        <w:t>，其</w:t>
      </w:r>
      <w:r>
        <w:rPr>
          <w:rFonts w:hint="eastAsia" w:ascii="仿宋" w:hAnsi="仿宋" w:eastAsia="仿宋" w:cs="仿宋"/>
          <w:color w:val="auto"/>
          <w:kern w:val="0"/>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shd w:val="clear" w:color="auto" w:fill="FFFFFF" w:themeFill="background1"/>
        </w:rPr>
        <w:t>保证金将被贵方没收。</w:t>
      </w:r>
    </w:p>
    <w:p w14:paraId="766BEBCD">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shd w:val="clear" w:color="auto" w:fill="FFFFFF" w:themeFill="background1"/>
        </w:rPr>
        <w:t>6、</w:t>
      </w:r>
      <w:r>
        <w:rPr>
          <w:rFonts w:hint="eastAsia" w:ascii="仿宋" w:hAnsi="仿宋" w:eastAsia="仿宋" w:cs="仿宋"/>
          <w:color w:val="auto"/>
          <w:kern w:val="0"/>
          <w:sz w:val="24"/>
          <w:szCs w:val="24"/>
          <w:highlight w:val="none"/>
        </w:rPr>
        <w:t>我方已完全理解</w:t>
      </w:r>
      <w:r>
        <w:rPr>
          <w:rFonts w:hint="eastAsia" w:ascii="仿宋" w:hAnsi="仿宋" w:eastAsia="仿宋" w:cs="仿宋"/>
          <w:color w:val="auto"/>
          <w:kern w:val="0"/>
          <w:sz w:val="24"/>
          <w:szCs w:val="24"/>
          <w:highlight w:val="none"/>
          <w:lang w:eastAsia="zh-CN"/>
        </w:rPr>
        <w:t>采购文件</w:t>
      </w:r>
      <w:r>
        <w:rPr>
          <w:rFonts w:hint="eastAsia" w:ascii="仿宋" w:hAnsi="仿宋" w:eastAsia="仿宋" w:cs="仿宋"/>
          <w:color w:val="auto"/>
          <w:kern w:val="0"/>
          <w:sz w:val="24"/>
          <w:szCs w:val="24"/>
          <w:highlight w:val="none"/>
        </w:rPr>
        <w:t>的全部内容，并无异议。</w:t>
      </w:r>
    </w:p>
    <w:p w14:paraId="41493F6B">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7、如我方中标，我方自愿向代理机构支付咨询费，并在合同签订后</w:t>
      </w:r>
      <w:r>
        <w:rPr>
          <w:rFonts w:hint="eastAsia" w:ascii="仿宋" w:hAnsi="仿宋" w:eastAsia="仿宋" w:cs="仿宋"/>
          <w:color w:val="auto"/>
          <w:kern w:val="0"/>
          <w:sz w:val="24"/>
          <w:szCs w:val="24"/>
          <w:highlight w:val="none"/>
          <w:shd w:val="clear" w:color="auto" w:fill="FFFFFF" w:themeFill="background1"/>
          <w:lang w:val="en-US" w:eastAsia="zh-CN"/>
        </w:rPr>
        <w:t>1</w:t>
      </w:r>
      <w:r>
        <w:rPr>
          <w:rFonts w:hint="eastAsia" w:ascii="仿宋" w:hAnsi="仿宋" w:eastAsia="仿宋" w:cs="仿宋"/>
          <w:color w:val="auto"/>
          <w:kern w:val="0"/>
          <w:sz w:val="24"/>
          <w:szCs w:val="24"/>
          <w:highlight w:val="none"/>
          <w:shd w:val="clear" w:color="auto" w:fill="FFFFFF" w:themeFill="background1"/>
        </w:rPr>
        <w:t>个工作日内向采购代理机构提供采购合同原件一份用于采购资料备案工作。</w:t>
      </w:r>
    </w:p>
    <w:p w14:paraId="053776F3">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8、我方愿意提供贵方可能要求的与采购有关的一切数据或资料，完全理解贵方不一定接受最低报价的</w:t>
      </w:r>
      <w:r>
        <w:rPr>
          <w:rFonts w:hint="eastAsia" w:ascii="仿宋" w:hAnsi="仿宋" w:eastAsia="仿宋" w:cs="仿宋"/>
          <w:color w:val="auto"/>
          <w:kern w:val="0"/>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shd w:val="clear" w:color="auto" w:fill="FFFFFF" w:themeFill="background1"/>
        </w:rPr>
        <w:t>或收到的任何</w:t>
      </w:r>
      <w:r>
        <w:rPr>
          <w:rFonts w:hint="eastAsia" w:ascii="仿宋" w:hAnsi="仿宋" w:eastAsia="仿宋" w:cs="仿宋"/>
          <w:color w:val="auto"/>
          <w:kern w:val="0"/>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shd w:val="clear" w:color="auto" w:fill="FFFFFF" w:themeFill="background1"/>
        </w:rPr>
        <w:t>。</w:t>
      </w:r>
    </w:p>
    <w:p w14:paraId="5910C5CD">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4D45304E">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7206D21F">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736E6BE8">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shd w:val="clear" w:color="auto" w:fill="FFFFFF" w:themeFill="background1"/>
        </w:rPr>
        <w:t xml:space="preserve">）                       </w:t>
      </w:r>
    </w:p>
    <w:p w14:paraId="57E6DFBB">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日期：年 月 日</w:t>
      </w:r>
    </w:p>
    <w:p w14:paraId="24289400">
      <w:pPr>
        <w:rPr>
          <w:rFonts w:hint="eastAsia" w:ascii="仿宋" w:hAnsi="仿宋" w:eastAsia="仿宋" w:cs="仿宋"/>
          <w:color w:val="auto"/>
          <w:highlight w:val="none"/>
        </w:rPr>
      </w:pPr>
      <w:r>
        <w:rPr>
          <w:rFonts w:hint="eastAsia" w:ascii="仿宋" w:hAnsi="仿宋" w:eastAsia="仿宋" w:cs="仿宋"/>
          <w:color w:val="auto"/>
          <w:highlight w:val="none"/>
        </w:rPr>
        <w:br w:type="page"/>
      </w:r>
      <w:bookmarkStart w:id="52" w:name="_Toc38446474"/>
      <w:bookmarkStart w:id="53" w:name="_Toc507586169"/>
      <w:bookmarkStart w:id="54" w:name="_Toc533503184"/>
    </w:p>
    <w:p w14:paraId="0077770D">
      <w:pPr>
        <w:tabs>
          <w:tab w:val="center" w:pos="4832"/>
          <w:tab w:val="left" w:pos="7140"/>
        </w:tabs>
        <w:spacing w:line="360" w:lineRule="auto"/>
        <w:jc w:val="center"/>
        <w:outlineLvl w:val="1"/>
        <w:rPr>
          <w:rFonts w:hint="eastAsia" w:ascii="仿宋" w:hAnsi="仿宋" w:eastAsia="仿宋" w:cs="仿宋"/>
          <w:color w:val="auto"/>
          <w:kern w:val="0"/>
          <w:sz w:val="24"/>
          <w:szCs w:val="24"/>
          <w:highlight w:val="none"/>
          <w:shd w:val="clear" w:color="auto" w:fill="FFFFFF" w:themeFill="background1"/>
        </w:rPr>
      </w:pPr>
      <w:bookmarkStart w:id="55" w:name="_Toc27997"/>
      <w:r>
        <w:rPr>
          <w:rFonts w:hint="eastAsia" w:ascii="仿宋" w:hAnsi="仿宋" w:eastAsia="仿宋" w:cs="仿宋"/>
          <w:b/>
          <w:color w:val="auto"/>
          <w:sz w:val="24"/>
          <w:szCs w:val="24"/>
          <w:highlight w:val="none"/>
          <w:shd w:val="clear" w:color="auto" w:fill="FFFFFF" w:themeFill="background1"/>
          <w:lang w:val="en-US" w:eastAsia="zh-CN"/>
        </w:rPr>
        <w:t>三</w:t>
      </w:r>
      <w:r>
        <w:rPr>
          <w:rFonts w:hint="eastAsia" w:ascii="仿宋" w:hAnsi="仿宋" w:eastAsia="仿宋" w:cs="仿宋"/>
          <w:b/>
          <w:color w:val="auto"/>
          <w:sz w:val="24"/>
          <w:szCs w:val="24"/>
          <w:highlight w:val="none"/>
          <w:shd w:val="clear" w:color="auto" w:fill="FFFFFF" w:themeFill="background1"/>
        </w:rPr>
        <w:t>、</w:t>
      </w:r>
      <w:r>
        <w:rPr>
          <w:rFonts w:hint="eastAsia" w:ascii="仿宋" w:hAnsi="仿宋" w:eastAsia="仿宋" w:cs="仿宋"/>
          <w:b/>
          <w:color w:val="auto"/>
          <w:sz w:val="24"/>
          <w:szCs w:val="24"/>
          <w:highlight w:val="none"/>
          <w:shd w:val="clear" w:color="auto" w:fill="FFFFFF" w:themeFill="background1"/>
          <w:lang w:eastAsia="zh-CN"/>
        </w:rPr>
        <w:t>响应价格</w:t>
      </w:r>
      <w:r>
        <w:rPr>
          <w:rFonts w:hint="eastAsia" w:ascii="仿宋" w:hAnsi="仿宋" w:eastAsia="仿宋" w:cs="仿宋"/>
          <w:b/>
          <w:color w:val="auto"/>
          <w:sz w:val="24"/>
          <w:szCs w:val="24"/>
          <w:highlight w:val="none"/>
          <w:shd w:val="clear" w:color="auto" w:fill="FFFFFF" w:themeFill="background1"/>
        </w:rPr>
        <w:t>明细表</w:t>
      </w:r>
      <w:bookmarkEnd w:id="55"/>
    </w:p>
    <w:tbl>
      <w:tblPr>
        <w:tblStyle w:val="43"/>
        <w:tblW w:w="82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3"/>
        <w:gridCol w:w="3282"/>
        <w:gridCol w:w="2194"/>
        <w:gridCol w:w="1560"/>
      </w:tblGrid>
      <w:tr w14:paraId="73519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2EFB527B">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序号</w:t>
            </w:r>
          </w:p>
        </w:tc>
        <w:tc>
          <w:tcPr>
            <w:tcW w:w="3282" w:type="dxa"/>
            <w:vAlign w:val="center"/>
          </w:tcPr>
          <w:p w14:paraId="5653C182">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名称</w:t>
            </w:r>
          </w:p>
        </w:tc>
        <w:tc>
          <w:tcPr>
            <w:tcW w:w="2194" w:type="dxa"/>
            <w:vAlign w:val="center"/>
          </w:tcPr>
          <w:p w14:paraId="6DDB210E">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小计（元）</w:t>
            </w:r>
          </w:p>
        </w:tc>
        <w:tc>
          <w:tcPr>
            <w:tcW w:w="1560" w:type="dxa"/>
            <w:vAlign w:val="center"/>
          </w:tcPr>
          <w:p w14:paraId="0875F167">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备注</w:t>
            </w:r>
          </w:p>
        </w:tc>
      </w:tr>
      <w:tr w14:paraId="05C26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73D7BB54">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1</w:t>
            </w:r>
          </w:p>
        </w:tc>
        <w:tc>
          <w:tcPr>
            <w:tcW w:w="3282" w:type="dxa"/>
            <w:vAlign w:val="center"/>
          </w:tcPr>
          <w:p w14:paraId="1C5522E9">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94" w:type="dxa"/>
            <w:vAlign w:val="center"/>
          </w:tcPr>
          <w:p w14:paraId="0C9D0E48">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560" w:type="dxa"/>
            <w:vAlign w:val="center"/>
          </w:tcPr>
          <w:p w14:paraId="7E9B4282">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3948C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3A3053E7">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2</w:t>
            </w:r>
          </w:p>
        </w:tc>
        <w:tc>
          <w:tcPr>
            <w:tcW w:w="3282" w:type="dxa"/>
            <w:vAlign w:val="center"/>
          </w:tcPr>
          <w:p w14:paraId="3A2CBEA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94" w:type="dxa"/>
            <w:vAlign w:val="center"/>
          </w:tcPr>
          <w:p w14:paraId="40CD963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560" w:type="dxa"/>
            <w:vAlign w:val="center"/>
          </w:tcPr>
          <w:p w14:paraId="7A8FB1FD">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235FC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1AFA7F86">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3</w:t>
            </w:r>
          </w:p>
        </w:tc>
        <w:tc>
          <w:tcPr>
            <w:tcW w:w="3282" w:type="dxa"/>
            <w:vAlign w:val="center"/>
          </w:tcPr>
          <w:p w14:paraId="60570C51">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94" w:type="dxa"/>
            <w:vAlign w:val="center"/>
          </w:tcPr>
          <w:p w14:paraId="0F8808D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560" w:type="dxa"/>
            <w:vAlign w:val="center"/>
          </w:tcPr>
          <w:p w14:paraId="53D322D6">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286BA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61DBEB1F">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4</w:t>
            </w:r>
          </w:p>
        </w:tc>
        <w:tc>
          <w:tcPr>
            <w:tcW w:w="3282" w:type="dxa"/>
            <w:vAlign w:val="center"/>
          </w:tcPr>
          <w:p w14:paraId="5576394D">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94" w:type="dxa"/>
            <w:vAlign w:val="center"/>
          </w:tcPr>
          <w:p w14:paraId="287977D5">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560" w:type="dxa"/>
            <w:vAlign w:val="center"/>
          </w:tcPr>
          <w:p w14:paraId="401ED9E7">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4ED3D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0C91A642">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w:t>
            </w:r>
          </w:p>
        </w:tc>
        <w:tc>
          <w:tcPr>
            <w:tcW w:w="3282" w:type="dxa"/>
            <w:vAlign w:val="center"/>
          </w:tcPr>
          <w:p w14:paraId="205BC107">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94" w:type="dxa"/>
            <w:vAlign w:val="center"/>
          </w:tcPr>
          <w:p w14:paraId="77DE41B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560" w:type="dxa"/>
            <w:vAlign w:val="center"/>
          </w:tcPr>
          <w:p w14:paraId="08BC9ABF">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3D91C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45" w:type="dxa"/>
            <w:gridSpan w:val="2"/>
            <w:vAlign w:val="center"/>
          </w:tcPr>
          <w:p w14:paraId="6887679C">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合计</w:t>
            </w:r>
            <w:r>
              <w:rPr>
                <w:rFonts w:hint="eastAsia" w:ascii="仿宋" w:hAnsi="仿宋" w:eastAsia="仿宋" w:cs="仿宋"/>
                <w:color w:val="auto"/>
                <w:szCs w:val="21"/>
                <w:highlight w:val="none"/>
                <w:shd w:val="clear" w:color="auto" w:fill="FFFFFF" w:themeFill="background1"/>
              </w:rPr>
              <w:t>（元）</w:t>
            </w:r>
          </w:p>
        </w:tc>
        <w:tc>
          <w:tcPr>
            <w:tcW w:w="2194" w:type="dxa"/>
            <w:vAlign w:val="center"/>
          </w:tcPr>
          <w:p w14:paraId="763DD20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560" w:type="dxa"/>
            <w:vAlign w:val="center"/>
          </w:tcPr>
          <w:p w14:paraId="75C7F45F">
            <w:pPr>
              <w:spacing w:line="360" w:lineRule="auto"/>
              <w:jc w:val="center"/>
              <w:rPr>
                <w:rFonts w:hint="eastAsia" w:ascii="仿宋" w:hAnsi="仿宋" w:eastAsia="仿宋" w:cs="仿宋"/>
                <w:b/>
                <w:bCs/>
                <w:color w:val="auto"/>
                <w:szCs w:val="21"/>
                <w:highlight w:val="none"/>
                <w:shd w:val="clear" w:color="auto" w:fill="FFFFFF" w:themeFill="background1"/>
              </w:rPr>
            </w:pPr>
          </w:p>
        </w:tc>
      </w:tr>
    </w:tbl>
    <w:p w14:paraId="047AE9F4">
      <w:pPr>
        <w:spacing w:line="360" w:lineRule="auto"/>
        <w:rPr>
          <w:rFonts w:hint="eastAsia" w:ascii="仿宋" w:hAnsi="仿宋" w:eastAsia="仿宋" w:cs="仿宋"/>
          <w:color w:val="auto"/>
          <w:highlight w:val="none"/>
          <w:shd w:val="clear" w:color="auto" w:fill="FFFFFF" w:themeFill="background1"/>
        </w:rPr>
      </w:pPr>
    </w:p>
    <w:p w14:paraId="4B1A5A59">
      <w:pPr>
        <w:spacing w:line="360" w:lineRule="auto"/>
        <w:rPr>
          <w:rFonts w:hint="eastAsia"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注：</w:t>
      </w:r>
    </w:p>
    <w:p w14:paraId="5AB18B59">
      <w:pPr>
        <w:spacing w:line="360" w:lineRule="auto"/>
        <w:ind w:firstLine="420" w:firstLineChars="200"/>
        <w:jc w:val="left"/>
        <w:rPr>
          <w:rFonts w:hint="eastAsia"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1、供应商填报</w:t>
      </w:r>
      <w:r>
        <w:rPr>
          <w:rFonts w:hint="eastAsia" w:ascii="仿宋" w:hAnsi="仿宋" w:eastAsia="仿宋" w:cs="仿宋"/>
          <w:color w:val="auto"/>
          <w:highlight w:val="none"/>
          <w:shd w:val="clear" w:color="auto" w:fill="FFFFFF" w:themeFill="background1"/>
          <w:lang w:eastAsia="zh-CN"/>
        </w:rPr>
        <w:t>响应价格</w:t>
      </w:r>
      <w:r>
        <w:rPr>
          <w:rFonts w:hint="eastAsia" w:ascii="仿宋" w:hAnsi="仿宋" w:eastAsia="仿宋" w:cs="仿宋"/>
          <w:color w:val="auto"/>
          <w:highlight w:val="none"/>
          <w:shd w:val="clear" w:color="auto" w:fill="FFFFFF" w:themeFill="background1"/>
        </w:rPr>
        <w:t>合计应与</w:t>
      </w:r>
      <w:r>
        <w:rPr>
          <w:rFonts w:hint="eastAsia" w:ascii="仿宋" w:hAnsi="仿宋" w:eastAsia="仿宋" w:cs="仿宋"/>
          <w:color w:val="auto"/>
          <w:highlight w:val="none"/>
          <w:shd w:val="clear" w:color="auto" w:fill="FFFFFF" w:themeFill="background1"/>
          <w:lang w:eastAsia="zh-CN"/>
        </w:rPr>
        <w:t>响应函</w:t>
      </w:r>
      <w:r>
        <w:rPr>
          <w:rFonts w:hint="eastAsia" w:ascii="仿宋" w:hAnsi="仿宋" w:eastAsia="仿宋" w:cs="仿宋"/>
          <w:color w:val="auto"/>
          <w:highlight w:val="none"/>
          <w:shd w:val="clear" w:color="auto" w:fill="FFFFFF" w:themeFill="background1"/>
        </w:rPr>
        <w:t>载明价格一致，若不一致，应按照第二章评审办法修正原则进行修正。</w:t>
      </w:r>
    </w:p>
    <w:p w14:paraId="33E2DE6F">
      <w:pPr>
        <w:spacing w:line="360" w:lineRule="auto"/>
        <w:ind w:firstLine="420" w:firstLineChars="200"/>
        <w:jc w:val="left"/>
        <w:rPr>
          <w:rFonts w:hint="eastAsia"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2、供应商的服务只允许有一个报价，采购人不接受有任何选择的报价。</w:t>
      </w:r>
      <w:r>
        <w:rPr>
          <w:rFonts w:hint="eastAsia" w:ascii="仿宋" w:hAnsi="仿宋" w:eastAsia="仿宋" w:cs="仿宋"/>
          <w:color w:val="auto"/>
          <w:highlight w:val="none"/>
          <w:shd w:val="clear" w:color="auto" w:fill="FFFFFF" w:themeFill="background1"/>
          <w:lang w:eastAsia="zh-CN"/>
        </w:rPr>
        <w:t>响应价格</w:t>
      </w:r>
      <w:r>
        <w:rPr>
          <w:rFonts w:hint="eastAsia" w:ascii="仿宋" w:hAnsi="仿宋" w:eastAsia="仿宋" w:cs="仿宋"/>
          <w:color w:val="auto"/>
          <w:highlight w:val="none"/>
          <w:shd w:val="clear" w:color="auto" w:fill="FFFFFF" w:themeFill="background1"/>
        </w:rPr>
        <w:t>应包括供应商履行本项目合同（如果成交）所必须的所有成本费用和成交供应商应承担的一切费用，包括但不仅限于必要资料、交通、保险、人工费、税费等一切费用。未列和没有填写的项目费用，采购人将视为已包括在</w:t>
      </w:r>
      <w:r>
        <w:rPr>
          <w:rFonts w:hint="eastAsia" w:ascii="仿宋" w:hAnsi="仿宋" w:eastAsia="仿宋" w:cs="仿宋"/>
          <w:color w:val="auto"/>
          <w:highlight w:val="none"/>
          <w:shd w:val="clear" w:color="auto" w:fill="FFFFFF" w:themeFill="background1"/>
          <w:lang w:eastAsia="zh-CN"/>
        </w:rPr>
        <w:t>响应价格</w:t>
      </w:r>
      <w:r>
        <w:rPr>
          <w:rFonts w:hint="eastAsia" w:ascii="仿宋" w:hAnsi="仿宋" w:eastAsia="仿宋" w:cs="仿宋"/>
          <w:color w:val="auto"/>
          <w:highlight w:val="none"/>
          <w:shd w:val="clear" w:color="auto" w:fill="FFFFFF" w:themeFill="background1"/>
        </w:rPr>
        <w:t>中。</w:t>
      </w:r>
    </w:p>
    <w:p w14:paraId="60479090">
      <w:pPr>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484AE30E">
      <w:pPr>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1C37369D">
      <w:pPr>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316D12DA">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37E33C3">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shd w:val="clear" w:color="auto" w:fill="FFFFFF" w:themeFill="background1"/>
        </w:rPr>
        <w:t>）</w:t>
      </w:r>
    </w:p>
    <w:p w14:paraId="2F9ACCCD">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6917A5EC">
      <w:pP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br w:type="page"/>
      </w:r>
    </w:p>
    <w:p w14:paraId="6DDAB73B">
      <w:pPr>
        <w:rPr>
          <w:rFonts w:hint="eastAsia" w:ascii="仿宋" w:hAnsi="仿宋" w:eastAsia="仿宋" w:cs="仿宋"/>
          <w:color w:val="auto"/>
          <w:highlight w:val="none"/>
          <w:lang w:val="en-US" w:eastAsia="zh-CN"/>
        </w:rPr>
        <w:sectPr>
          <w:headerReference r:id="rId8" w:type="default"/>
          <w:footerReference r:id="rId9" w:type="default"/>
          <w:pgSz w:w="11910" w:h="16840"/>
          <w:pgMar w:top="1440" w:right="1080" w:bottom="1440" w:left="1080" w:header="0" w:footer="1036" w:gutter="0"/>
          <w:pgNumType w:fmt="decimal"/>
          <w:cols w:space="720" w:num="1"/>
        </w:sectPr>
      </w:pPr>
    </w:p>
    <w:p w14:paraId="765377CD">
      <w:pPr>
        <w:tabs>
          <w:tab w:val="center" w:pos="4832"/>
          <w:tab w:val="left" w:pos="7140"/>
        </w:tabs>
        <w:spacing w:line="360" w:lineRule="auto"/>
        <w:jc w:val="center"/>
        <w:outlineLvl w:val="1"/>
        <w:rPr>
          <w:rFonts w:hint="eastAsia" w:ascii="仿宋" w:hAnsi="仿宋" w:eastAsia="仿宋" w:cs="仿宋"/>
          <w:color w:val="auto"/>
          <w:kern w:val="0"/>
          <w:sz w:val="24"/>
          <w:szCs w:val="24"/>
          <w:highlight w:val="none"/>
          <w:shd w:val="clear" w:color="auto" w:fill="FFFFFF" w:themeFill="background1"/>
        </w:rPr>
      </w:pPr>
      <w:bookmarkStart w:id="56" w:name="_Toc2836"/>
      <w:r>
        <w:rPr>
          <w:rFonts w:hint="eastAsia" w:ascii="仿宋" w:hAnsi="仿宋" w:eastAsia="仿宋" w:cs="仿宋"/>
          <w:b/>
          <w:color w:val="auto"/>
          <w:sz w:val="24"/>
          <w:szCs w:val="24"/>
          <w:highlight w:val="none"/>
          <w:shd w:val="clear" w:color="auto" w:fill="FFFFFF" w:themeFill="background1"/>
          <w:lang w:val="en-US" w:eastAsia="zh-CN"/>
        </w:rPr>
        <w:t>四</w:t>
      </w:r>
      <w:r>
        <w:rPr>
          <w:rFonts w:hint="eastAsia" w:ascii="仿宋" w:hAnsi="仿宋" w:eastAsia="仿宋" w:cs="仿宋"/>
          <w:b/>
          <w:color w:val="auto"/>
          <w:sz w:val="24"/>
          <w:szCs w:val="24"/>
          <w:highlight w:val="none"/>
          <w:shd w:val="clear" w:color="auto" w:fill="FFFFFF" w:themeFill="background1"/>
        </w:rPr>
        <w:t>、商务条款偏离表</w:t>
      </w:r>
      <w:bookmarkEnd w:id="52"/>
      <w:bookmarkEnd w:id="53"/>
      <w:bookmarkEnd w:id="54"/>
      <w:bookmarkEnd w:id="56"/>
    </w:p>
    <w:tbl>
      <w:tblPr>
        <w:tblStyle w:val="43"/>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14"/>
        <w:gridCol w:w="2083"/>
        <w:gridCol w:w="2182"/>
        <w:gridCol w:w="1155"/>
        <w:gridCol w:w="1219"/>
      </w:tblGrid>
      <w:tr w14:paraId="35AD9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833" w:type="dxa"/>
            <w:vAlign w:val="center"/>
          </w:tcPr>
          <w:p w14:paraId="7E9C479F">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序号</w:t>
            </w:r>
          </w:p>
        </w:tc>
        <w:tc>
          <w:tcPr>
            <w:tcW w:w="1814" w:type="dxa"/>
            <w:vAlign w:val="center"/>
          </w:tcPr>
          <w:p w14:paraId="32561054">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lang w:eastAsia="zh-CN"/>
              </w:rPr>
              <w:t>采购文件</w:t>
            </w:r>
            <w:r>
              <w:rPr>
                <w:rFonts w:hint="eastAsia" w:ascii="仿宋" w:hAnsi="仿宋" w:eastAsia="仿宋" w:cs="仿宋"/>
                <w:bCs/>
                <w:color w:val="auto"/>
                <w:szCs w:val="21"/>
                <w:highlight w:val="none"/>
                <w:shd w:val="clear" w:color="auto" w:fill="FFFFFF" w:themeFill="background1"/>
              </w:rPr>
              <w:t>条目号</w:t>
            </w:r>
          </w:p>
        </w:tc>
        <w:tc>
          <w:tcPr>
            <w:tcW w:w="2083" w:type="dxa"/>
            <w:vAlign w:val="center"/>
          </w:tcPr>
          <w:p w14:paraId="758D1349">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lang w:eastAsia="zh-CN"/>
              </w:rPr>
              <w:t>采购文件</w:t>
            </w:r>
            <w:r>
              <w:rPr>
                <w:rFonts w:hint="eastAsia" w:ascii="仿宋" w:hAnsi="仿宋" w:eastAsia="仿宋" w:cs="仿宋"/>
                <w:bCs/>
                <w:color w:val="auto"/>
                <w:szCs w:val="21"/>
                <w:highlight w:val="none"/>
                <w:shd w:val="clear" w:color="auto" w:fill="FFFFFF" w:themeFill="background1"/>
              </w:rPr>
              <w:t>的商务条款</w:t>
            </w:r>
          </w:p>
        </w:tc>
        <w:tc>
          <w:tcPr>
            <w:tcW w:w="2182" w:type="dxa"/>
            <w:vAlign w:val="center"/>
          </w:tcPr>
          <w:p w14:paraId="6C3787BC">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响应文件的商务条款</w:t>
            </w:r>
          </w:p>
        </w:tc>
        <w:tc>
          <w:tcPr>
            <w:tcW w:w="1155" w:type="dxa"/>
            <w:vAlign w:val="center"/>
          </w:tcPr>
          <w:p w14:paraId="4023B4F6">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偏离</w:t>
            </w:r>
          </w:p>
        </w:tc>
        <w:tc>
          <w:tcPr>
            <w:tcW w:w="1219" w:type="dxa"/>
            <w:vAlign w:val="center"/>
          </w:tcPr>
          <w:p w14:paraId="44BF2A9A">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说明</w:t>
            </w:r>
          </w:p>
        </w:tc>
      </w:tr>
      <w:tr w14:paraId="2C773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4865C4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10AA9542">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77A0E56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02E7A1B1">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73C0670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1A721C82">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20B48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349609D">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20DA44F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471C2F1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0F714D4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596DCC17">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7D5587D8">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5AC60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79B940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62A55C6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4573CEC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2ED40CE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10B268D1">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7349A7FA">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390A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D959523">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5E544753">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27DBF40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27A18F9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118B513D">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718A0D53">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39812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B97D17A">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4AF59DB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42E2DD6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4D0791EA">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36E6B012">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031E081F">
            <w:pPr>
              <w:spacing w:line="360" w:lineRule="auto"/>
              <w:jc w:val="center"/>
              <w:rPr>
                <w:rFonts w:hint="eastAsia" w:ascii="仿宋" w:hAnsi="仿宋" w:eastAsia="仿宋" w:cs="仿宋"/>
                <w:b/>
                <w:bCs/>
                <w:color w:val="auto"/>
                <w:szCs w:val="21"/>
                <w:highlight w:val="none"/>
                <w:shd w:val="clear" w:color="auto" w:fill="FFFFFF" w:themeFill="background1"/>
              </w:rPr>
            </w:pPr>
          </w:p>
        </w:tc>
      </w:tr>
    </w:tbl>
    <w:p w14:paraId="232F7FA2">
      <w:pPr>
        <w:spacing w:line="360" w:lineRule="auto"/>
        <w:ind w:firstLine="420" w:firstLineChars="200"/>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注：供应商对</w:t>
      </w:r>
      <w:r>
        <w:rPr>
          <w:rFonts w:hint="eastAsia" w:ascii="仿宋" w:hAnsi="仿宋" w:eastAsia="仿宋" w:cs="仿宋"/>
          <w:color w:val="auto"/>
          <w:szCs w:val="24"/>
          <w:highlight w:val="none"/>
          <w:shd w:val="clear" w:color="auto" w:fill="FFFFFF" w:themeFill="background1"/>
          <w:lang w:eastAsia="zh-CN"/>
        </w:rPr>
        <w:t>采购文件</w:t>
      </w:r>
      <w:r>
        <w:rPr>
          <w:rFonts w:hint="eastAsia" w:ascii="仿宋" w:hAnsi="仿宋" w:eastAsia="仿宋" w:cs="仿宋"/>
          <w:color w:val="auto"/>
          <w:szCs w:val="24"/>
          <w:highlight w:val="none"/>
          <w:shd w:val="clear" w:color="auto" w:fill="FFFFFF" w:themeFill="background1"/>
        </w:rPr>
        <w:t>商务条款有偏离的，应在此表中列明实际响应的内容并加以说明，以便查对。请在此偏离表“偏离”中填写无偏离或正偏离或负偏离。</w:t>
      </w:r>
    </w:p>
    <w:p w14:paraId="3B523685">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2133A362">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1105F65B">
      <w:pPr>
        <w:spacing w:line="360" w:lineRule="auto"/>
        <w:jc w:val="left"/>
        <w:rPr>
          <w:rFonts w:hint="eastAsia" w:ascii="仿宋" w:hAnsi="仿宋" w:eastAsia="仿宋" w:cs="仿宋"/>
          <w:color w:val="auto"/>
          <w:sz w:val="24"/>
          <w:szCs w:val="24"/>
          <w:highlight w:val="none"/>
          <w:shd w:val="clear" w:color="auto" w:fill="FFFFFF" w:themeFill="background1"/>
        </w:rPr>
      </w:pPr>
    </w:p>
    <w:p w14:paraId="078786B6">
      <w:pPr>
        <w:spacing w:line="360" w:lineRule="auto"/>
        <w:jc w:val="left"/>
        <w:rPr>
          <w:rFonts w:hint="eastAsia" w:ascii="仿宋" w:hAnsi="仿宋" w:eastAsia="仿宋" w:cs="仿宋"/>
          <w:color w:val="auto"/>
          <w:sz w:val="24"/>
          <w:szCs w:val="24"/>
          <w:highlight w:val="none"/>
          <w:shd w:val="clear" w:color="auto" w:fill="FFFFFF" w:themeFill="background1"/>
        </w:rPr>
      </w:pPr>
    </w:p>
    <w:p w14:paraId="21FE42AE">
      <w:pPr>
        <w:spacing w:line="360" w:lineRule="auto"/>
        <w:jc w:val="left"/>
        <w:rPr>
          <w:rFonts w:hint="eastAsia" w:ascii="仿宋" w:hAnsi="仿宋" w:eastAsia="仿宋" w:cs="仿宋"/>
          <w:color w:val="auto"/>
          <w:sz w:val="24"/>
          <w:szCs w:val="24"/>
          <w:highlight w:val="none"/>
          <w:shd w:val="clear" w:color="auto" w:fill="FFFFFF" w:themeFill="background1"/>
        </w:rPr>
      </w:pPr>
    </w:p>
    <w:p w14:paraId="759CC3F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1D47A20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3185E76F">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shd w:val="clear" w:color="auto" w:fill="FFFFFF" w:themeFill="background1"/>
        </w:rPr>
        <w:t>）</w:t>
      </w:r>
    </w:p>
    <w:p w14:paraId="2EC87EC0">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5FE6CF9A">
      <w:pPr>
        <w:widowControl/>
        <w:spacing w:line="360" w:lineRule="auto"/>
        <w:jc w:val="left"/>
        <w:rPr>
          <w:rFonts w:hint="eastAsia" w:ascii="仿宋" w:hAnsi="仿宋" w:eastAsia="仿宋" w:cs="仿宋"/>
          <w:b/>
          <w:bCs/>
          <w:color w:val="auto"/>
          <w:kern w:val="36"/>
          <w:sz w:val="24"/>
          <w:szCs w:val="24"/>
          <w:highlight w:val="none"/>
          <w:shd w:val="clear" w:color="auto" w:fill="FFFFFF" w:themeFill="background1"/>
        </w:rPr>
      </w:pPr>
      <w:r>
        <w:rPr>
          <w:rFonts w:hint="eastAsia" w:ascii="仿宋" w:hAnsi="仿宋" w:eastAsia="仿宋" w:cs="仿宋"/>
          <w:b/>
          <w:bCs/>
          <w:color w:val="auto"/>
          <w:kern w:val="36"/>
          <w:sz w:val="24"/>
          <w:szCs w:val="24"/>
          <w:highlight w:val="none"/>
          <w:shd w:val="clear" w:color="auto" w:fill="FFFFFF" w:themeFill="background1"/>
        </w:rPr>
        <w:br w:type="page"/>
      </w:r>
    </w:p>
    <w:p w14:paraId="420CE190">
      <w:pPr>
        <w:tabs>
          <w:tab w:val="center" w:pos="4832"/>
          <w:tab w:val="left" w:pos="7140"/>
        </w:tabs>
        <w:spacing w:line="360" w:lineRule="auto"/>
        <w:jc w:val="center"/>
        <w:outlineLvl w:val="1"/>
        <w:rPr>
          <w:rFonts w:hint="eastAsia" w:ascii="仿宋" w:hAnsi="仿宋" w:eastAsia="仿宋" w:cs="仿宋"/>
          <w:color w:val="auto"/>
          <w:kern w:val="0"/>
          <w:sz w:val="24"/>
          <w:szCs w:val="24"/>
          <w:highlight w:val="none"/>
          <w:shd w:val="clear" w:color="auto" w:fill="FFFFFF" w:themeFill="background1"/>
        </w:rPr>
      </w:pPr>
      <w:bookmarkStart w:id="57" w:name="_Toc23331"/>
      <w:r>
        <w:rPr>
          <w:rFonts w:hint="eastAsia" w:ascii="仿宋" w:hAnsi="仿宋" w:eastAsia="仿宋" w:cs="仿宋"/>
          <w:b/>
          <w:color w:val="auto"/>
          <w:sz w:val="24"/>
          <w:szCs w:val="24"/>
          <w:highlight w:val="none"/>
          <w:shd w:val="clear" w:color="auto" w:fill="FFFFFF" w:themeFill="background1"/>
          <w:lang w:val="en-US" w:eastAsia="zh-CN"/>
        </w:rPr>
        <w:t>五</w:t>
      </w:r>
      <w:r>
        <w:rPr>
          <w:rFonts w:hint="eastAsia" w:ascii="仿宋" w:hAnsi="仿宋" w:eastAsia="仿宋" w:cs="仿宋"/>
          <w:b/>
          <w:color w:val="auto"/>
          <w:sz w:val="24"/>
          <w:szCs w:val="24"/>
          <w:highlight w:val="none"/>
          <w:shd w:val="clear" w:color="auto" w:fill="FFFFFF" w:themeFill="background1"/>
        </w:rPr>
        <w:t>、技术条款偏离表</w:t>
      </w:r>
      <w:bookmarkEnd w:id="57"/>
    </w:p>
    <w:tbl>
      <w:tblPr>
        <w:tblStyle w:val="43"/>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14"/>
        <w:gridCol w:w="2083"/>
        <w:gridCol w:w="2182"/>
        <w:gridCol w:w="1155"/>
        <w:gridCol w:w="1219"/>
      </w:tblGrid>
      <w:tr w14:paraId="290B6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2987421">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序号</w:t>
            </w:r>
          </w:p>
        </w:tc>
        <w:tc>
          <w:tcPr>
            <w:tcW w:w="1814" w:type="dxa"/>
            <w:vAlign w:val="center"/>
          </w:tcPr>
          <w:p w14:paraId="32CB02C5">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lang w:eastAsia="zh-CN"/>
              </w:rPr>
              <w:t>采购文件</w:t>
            </w:r>
            <w:r>
              <w:rPr>
                <w:rFonts w:hint="eastAsia" w:ascii="仿宋" w:hAnsi="仿宋" w:eastAsia="仿宋" w:cs="仿宋"/>
                <w:bCs/>
                <w:color w:val="auto"/>
                <w:szCs w:val="21"/>
                <w:highlight w:val="none"/>
                <w:shd w:val="clear" w:color="auto" w:fill="FFFFFF" w:themeFill="background1"/>
              </w:rPr>
              <w:t>条目号</w:t>
            </w:r>
          </w:p>
        </w:tc>
        <w:tc>
          <w:tcPr>
            <w:tcW w:w="2083" w:type="dxa"/>
            <w:vAlign w:val="center"/>
          </w:tcPr>
          <w:p w14:paraId="5A1AC8D6">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lang w:eastAsia="zh-CN"/>
              </w:rPr>
              <w:t>采购文件</w:t>
            </w:r>
            <w:r>
              <w:rPr>
                <w:rFonts w:hint="eastAsia" w:ascii="仿宋" w:hAnsi="仿宋" w:eastAsia="仿宋" w:cs="仿宋"/>
                <w:bCs/>
                <w:color w:val="auto"/>
                <w:szCs w:val="21"/>
                <w:highlight w:val="none"/>
                <w:shd w:val="clear" w:color="auto" w:fill="FFFFFF" w:themeFill="background1"/>
              </w:rPr>
              <w:t>的技术条款</w:t>
            </w:r>
          </w:p>
        </w:tc>
        <w:tc>
          <w:tcPr>
            <w:tcW w:w="2182" w:type="dxa"/>
            <w:vAlign w:val="center"/>
          </w:tcPr>
          <w:p w14:paraId="7FA49507">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响应文件的技术条款</w:t>
            </w:r>
          </w:p>
        </w:tc>
        <w:tc>
          <w:tcPr>
            <w:tcW w:w="1155" w:type="dxa"/>
            <w:vAlign w:val="center"/>
          </w:tcPr>
          <w:p w14:paraId="3BB147EE">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偏离</w:t>
            </w:r>
          </w:p>
        </w:tc>
        <w:tc>
          <w:tcPr>
            <w:tcW w:w="1219" w:type="dxa"/>
            <w:vAlign w:val="center"/>
          </w:tcPr>
          <w:p w14:paraId="4684364B">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说明</w:t>
            </w:r>
          </w:p>
        </w:tc>
      </w:tr>
      <w:tr w14:paraId="18090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457C6F3">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5F86DB6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7D75A48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3D7A801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46343ADA">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5D06F6C5">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6524E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D2296E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21CF98C9">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178D223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0DAAD407">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723FE636">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7D260203">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10AE2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153F838">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40738973">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1354A9F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43C1DD55">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06A7CC53">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2140789B">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780DD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DB8492A">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0D6E10AD">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2812C3A6">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7AFF503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1E62E0E5">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5057F72D">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044F3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8E421C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1F6494DA">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7A7D67D1">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4BF59228">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69D0C0B5">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0AF462C5">
            <w:pPr>
              <w:spacing w:line="360" w:lineRule="auto"/>
              <w:jc w:val="center"/>
              <w:rPr>
                <w:rFonts w:hint="eastAsia" w:ascii="仿宋" w:hAnsi="仿宋" w:eastAsia="仿宋" w:cs="仿宋"/>
                <w:b/>
                <w:bCs/>
                <w:color w:val="auto"/>
                <w:szCs w:val="21"/>
                <w:highlight w:val="none"/>
                <w:shd w:val="clear" w:color="auto" w:fill="FFFFFF" w:themeFill="background1"/>
              </w:rPr>
            </w:pPr>
          </w:p>
        </w:tc>
      </w:tr>
    </w:tbl>
    <w:p w14:paraId="68686263">
      <w:pPr>
        <w:spacing w:line="360" w:lineRule="auto"/>
        <w:ind w:firstLine="420" w:firstLineChars="200"/>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注：供应商对</w:t>
      </w:r>
      <w:r>
        <w:rPr>
          <w:rFonts w:hint="eastAsia" w:ascii="仿宋" w:hAnsi="仿宋" w:eastAsia="仿宋" w:cs="仿宋"/>
          <w:color w:val="auto"/>
          <w:szCs w:val="24"/>
          <w:highlight w:val="none"/>
          <w:shd w:val="clear" w:color="auto" w:fill="FFFFFF" w:themeFill="background1"/>
          <w:lang w:eastAsia="zh-CN"/>
        </w:rPr>
        <w:t>采购文件</w:t>
      </w:r>
      <w:r>
        <w:rPr>
          <w:rFonts w:hint="eastAsia" w:ascii="仿宋" w:hAnsi="仿宋" w:eastAsia="仿宋" w:cs="仿宋"/>
          <w:bCs/>
          <w:color w:val="auto"/>
          <w:szCs w:val="21"/>
          <w:highlight w:val="none"/>
          <w:shd w:val="clear" w:color="auto" w:fill="FFFFFF" w:themeFill="background1"/>
        </w:rPr>
        <w:t>技术</w:t>
      </w:r>
      <w:r>
        <w:rPr>
          <w:rFonts w:hint="eastAsia" w:ascii="仿宋" w:hAnsi="仿宋" w:eastAsia="仿宋" w:cs="仿宋"/>
          <w:color w:val="auto"/>
          <w:szCs w:val="24"/>
          <w:highlight w:val="none"/>
          <w:shd w:val="clear" w:color="auto" w:fill="FFFFFF" w:themeFill="background1"/>
        </w:rPr>
        <w:t>条款有偏离的，应在此表中列明实际响应的内容并加以说明，以便查对。请在此偏离表“偏离”中填写无偏离或正偏离或负偏离。</w:t>
      </w:r>
    </w:p>
    <w:p w14:paraId="6E6A6518">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1A2ECC4D">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2FC40B80">
      <w:pPr>
        <w:spacing w:line="360" w:lineRule="auto"/>
        <w:jc w:val="left"/>
        <w:rPr>
          <w:rFonts w:hint="eastAsia" w:ascii="仿宋" w:hAnsi="仿宋" w:eastAsia="仿宋" w:cs="仿宋"/>
          <w:color w:val="auto"/>
          <w:sz w:val="24"/>
          <w:szCs w:val="24"/>
          <w:highlight w:val="none"/>
          <w:shd w:val="clear" w:color="auto" w:fill="FFFFFF" w:themeFill="background1"/>
        </w:rPr>
      </w:pPr>
    </w:p>
    <w:p w14:paraId="28FBC943">
      <w:pPr>
        <w:spacing w:line="360" w:lineRule="auto"/>
        <w:jc w:val="left"/>
        <w:rPr>
          <w:rFonts w:hint="eastAsia" w:ascii="仿宋" w:hAnsi="仿宋" w:eastAsia="仿宋" w:cs="仿宋"/>
          <w:color w:val="auto"/>
          <w:sz w:val="24"/>
          <w:szCs w:val="24"/>
          <w:highlight w:val="none"/>
          <w:shd w:val="clear" w:color="auto" w:fill="FFFFFF" w:themeFill="background1"/>
        </w:rPr>
      </w:pPr>
    </w:p>
    <w:p w14:paraId="50FE12D4">
      <w:pPr>
        <w:spacing w:line="360" w:lineRule="auto"/>
        <w:jc w:val="left"/>
        <w:rPr>
          <w:rFonts w:hint="eastAsia" w:ascii="仿宋" w:hAnsi="仿宋" w:eastAsia="仿宋" w:cs="仿宋"/>
          <w:color w:val="auto"/>
          <w:sz w:val="24"/>
          <w:szCs w:val="24"/>
          <w:highlight w:val="none"/>
          <w:shd w:val="clear" w:color="auto" w:fill="FFFFFF" w:themeFill="background1"/>
        </w:rPr>
      </w:pPr>
    </w:p>
    <w:p w14:paraId="0F60B8FD">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002FAB32">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17C24A8">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shd w:val="clear" w:color="auto" w:fill="FFFFFF" w:themeFill="background1"/>
        </w:rPr>
        <w:t>）</w:t>
      </w:r>
    </w:p>
    <w:p w14:paraId="45B81B76">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6602672D">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bCs/>
          <w:color w:val="auto"/>
          <w:kern w:val="36"/>
          <w:sz w:val="24"/>
          <w:szCs w:val="24"/>
          <w:highlight w:val="none"/>
          <w:shd w:val="clear" w:color="auto" w:fill="FFFFFF" w:themeFill="background1"/>
        </w:rPr>
        <w:br w:type="page"/>
      </w:r>
      <w:bookmarkStart w:id="58" w:name="_Toc38446475"/>
      <w:bookmarkStart w:id="59" w:name="_Toc533503185"/>
      <w:bookmarkStart w:id="60" w:name="_Toc507586170"/>
      <w:bookmarkStart w:id="61" w:name="_Toc32267"/>
      <w:r>
        <w:rPr>
          <w:rFonts w:hint="eastAsia" w:ascii="仿宋" w:hAnsi="仿宋" w:eastAsia="仿宋" w:cs="仿宋"/>
          <w:b/>
          <w:color w:val="auto"/>
          <w:sz w:val="24"/>
          <w:szCs w:val="24"/>
          <w:highlight w:val="none"/>
          <w:shd w:val="clear" w:color="auto" w:fill="FFFFFF" w:themeFill="background1"/>
          <w:lang w:val="en-US" w:eastAsia="zh-CN"/>
        </w:rPr>
        <w:t>六</w:t>
      </w:r>
      <w:r>
        <w:rPr>
          <w:rFonts w:hint="eastAsia" w:ascii="仿宋" w:hAnsi="仿宋" w:eastAsia="仿宋" w:cs="仿宋"/>
          <w:b/>
          <w:color w:val="auto"/>
          <w:sz w:val="24"/>
          <w:szCs w:val="24"/>
          <w:highlight w:val="none"/>
          <w:shd w:val="clear" w:color="auto" w:fill="FFFFFF" w:themeFill="background1"/>
        </w:rPr>
        <w:t>、法定代表人身份证明书</w:t>
      </w:r>
      <w:bookmarkEnd w:id="58"/>
      <w:bookmarkEnd w:id="59"/>
      <w:bookmarkEnd w:id="60"/>
      <w:bookmarkEnd w:id="61"/>
    </w:p>
    <w:p w14:paraId="504D0D65">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43BC8FA8">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 标 人：</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4ABD2958">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单位性质：</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3531BAC7">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地    址：</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2A9CF3F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成立时间：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日</w:t>
      </w:r>
    </w:p>
    <w:p w14:paraId="0B27A941">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经营期限：</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5C185B55">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4616E2A7">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姓名：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性别：</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年龄：</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职务：</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系</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（供应商名称）的法定代表人。</w:t>
      </w:r>
    </w:p>
    <w:p w14:paraId="4331D714">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特此证明。</w:t>
      </w:r>
    </w:p>
    <w:p w14:paraId="04090F5E">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3AA7A251">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附：法定代表人身份证明</w:t>
      </w:r>
    </w:p>
    <w:p w14:paraId="00965FC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tbl>
      <w:tblPr>
        <w:tblStyle w:val="43"/>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27CA0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4088DFBA">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法定代表人身份证</w:t>
            </w:r>
            <w:r>
              <w:rPr>
                <w:rFonts w:hint="eastAsia" w:ascii="仿宋" w:hAnsi="仿宋" w:eastAsia="仿宋" w:cs="仿宋"/>
                <w:color w:val="auto"/>
                <w:kern w:val="0"/>
                <w:sz w:val="24"/>
                <w:szCs w:val="24"/>
                <w:highlight w:val="none"/>
                <w:shd w:val="clear" w:color="auto" w:fill="FFFFFF" w:themeFill="background1"/>
                <w:lang w:eastAsia="zh-CN"/>
              </w:rPr>
              <w:t>扫描件</w:t>
            </w:r>
            <w:r>
              <w:rPr>
                <w:rFonts w:hint="eastAsia" w:ascii="仿宋" w:hAnsi="仿宋" w:eastAsia="仿宋" w:cs="仿宋"/>
                <w:color w:val="auto"/>
                <w:kern w:val="0"/>
                <w:sz w:val="24"/>
                <w:szCs w:val="24"/>
                <w:highlight w:val="none"/>
                <w:shd w:val="clear" w:color="auto" w:fill="FFFFFF" w:themeFill="background1"/>
              </w:rPr>
              <w:t>（正面）</w:t>
            </w:r>
          </w:p>
        </w:tc>
      </w:tr>
    </w:tbl>
    <w:p w14:paraId="09EF1570">
      <w:pPr>
        <w:spacing w:line="360" w:lineRule="auto"/>
        <w:rPr>
          <w:rFonts w:hint="eastAsia" w:ascii="仿宋" w:hAnsi="仿宋" w:eastAsia="仿宋" w:cs="仿宋"/>
          <w:vanish/>
          <w:color w:val="auto"/>
          <w:sz w:val="24"/>
          <w:szCs w:val="24"/>
          <w:highlight w:val="none"/>
          <w:shd w:val="clear" w:color="auto" w:fill="FFFFFF" w:themeFill="background1"/>
        </w:rPr>
      </w:pPr>
    </w:p>
    <w:tbl>
      <w:tblPr>
        <w:tblStyle w:val="43"/>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5FBBC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65CC0E8A">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法定代表人身份证</w:t>
            </w:r>
            <w:r>
              <w:rPr>
                <w:rFonts w:hint="eastAsia" w:ascii="仿宋" w:hAnsi="仿宋" w:eastAsia="仿宋" w:cs="仿宋"/>
                <w:color w:val="auto"/>
                <w:kern w:val="0"/>
                <w:sz w:val="24"/>
                <w:szCs w:val="24"/>
                <w:highlight w:val="none"/>
                <w:shd w:val="clear" w:color="auto" w:fill="FFFFFF" w:themeFill="background1"/>
                <w:lang w:eastAsia="zh-CN"/>
              </w:rPr>
              <w:t>扫描件</w:t>
            </w:r>
            <w:r>
              <w:rPr>
                <w:rFonts w:hint="eastAsia" w:ascii="仿宋" w:hAnsi="仿宋" w:eastAsia="仿宋" w:cs="仿宋"/>
                <w:color w:val="auto"/>
                <w:kern w:val="0"/>
                <w:sz w:val="24"/>
                <w:szCs w:val="24"/>
                <w:highlight w:val="none"/>
                <w:shd w:val="clear" w:color="auto" w:fill="FFFFFF" w:themeFill="background1"/>
              </w:rPr>
              <w:t>（反面）</w:t>
            </w:r>
          </w:p>
        </w:tc>
      </w:tr>
    </w:tbl>
    <w:p w14:paraId="419FF5B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w:t>
      </w:r>
    </w:p>
    <w:p w14:paraId="740D00CE">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0FCCFB2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12D0071F">
      <w:pPr>
        <w:widowControl/>
        <w:shd w:val="clear" w:color="auto" w:fill="FFFFFF"/>
        <w:wordWrap w:val="0"/>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日期：</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日 </w:t>
      </w:r>
    </w:p>
    <w:p w14:paraId="79582534">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p>
    <w:p w14:paraId="788F907F">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p>
    <w:p w14:paraId="7244970A">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p>
    <w:p w14:paraId="71739C6E">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bCs/>
          <w:color w:val="auto"/>
          <w:kern w:val="0"/>
          <w:sz w:val="24"/>
          <w:szCs w:val="24"/>
          <w:highlight w:val="none"/>
          <w:shd w:val="clear" w:color="auto" w:fill="FFFFFF" w:themeFill="background1"/>
        </w:rPr>
        <w:br w:type="page"/>
      </w:r>
      <w:bookmarkStart w:id="62" w:name="_Toc533503186"/>
      <w:bookmarkStart w:id="63" w:name="_Toc28679"/>
      <w:bookmarkStart w:id="64" w:name="_Toc38446476"/>
      <w:bookmarkStart w:id="65" w:name="_Toc507586171"/>
      <w:r>
        <w:rPr>
          <w:rFonts w:hint="eastAsia" w:ascii="仿宋" w:hAnsi="仿宋" w:eastAsia="仿宋" w:cs="仿宋"/>
          <w:b/>
          <w:color w:val="auto"/>
          <w:sz w:val="24"/>
          <w:szCs w:val="24"/>
          <w:highlight w:val="none"/>
          <w:shd w:val="clear" w:color="auto" w:fill="FFFFFF" w:themeFill="background1"/>
          <w:lang w:val="en-US" w:eastAsia="zh-CN"/>
        </w:rPr>
        <w:t>七</w:t>
      </w:r>
      <w:r>
        <w:rPr>
          <w:rFonts w:hint="eastAsia" w:ascii="仿宋" w:hAnsi="仿宋" w:eastAsia="仿宋" w:cs="仿宋"/>
          <w:b/>
          <w:color w:val="auto"/>
          <w:sz w:val="24"/>
          <w:szCs w:val="24"/>
          <w:highlight w:val="none"/>
          <w:shd w:val="clear" w:color="auto" w:fill="FFFFFF" w:themeFill="background1"/>
        </w:rPr>
        <w:t>、法定代表人授权委托书</w:t>
      </w:r>
      <w:bookmarkEnd w:id="62"/>
      <w:bookmarkEnd w:id="63"/>
      <w:bookmarkEnd w:id="64"/>
      <w:bookmarkEnd w:id="65"/>
    </w:p>
    <w:p w14:paraId="0F58F5FA">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5562C63E">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（姓名）系</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（供应商名称）的法定代表人，现拟派我单位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（姓名）为我方委托代理人。委托代理人根据授权，就</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w:t>
      </w:r>
      <w:r>
        <w:rPr>
          <w:rFonts w:hint="eastAsia" w:ascii="仿宋" w:hAnsi="仿宋" w:eastAsia="仿宋" w:cs="仿宋"/>
          <w:color w:val="auto"/>
          <w:kern w:val="0"/>
          <w:sz w:val="24"/>
          <w:szCs w:val="24"/>
          <w:highlight w:val="none"/>
          <w:shd w:val="clear" w:color="auto" w:fill="FFFFFF" w:themeFill="background1"/>
          <w:lang w:eastAsia="zh-CN"/>
        </w:rPr>
        <w:t>采购</w:t>
      </w:r>
      <w:r>
        <w:rPr>
          <w:rFonts w:hint="eastAsia" w:ascii="仿宋" w:hAnsi="仿宋" w:eastAsia="仿宋" w:cs="仿宋"/>
          <w:color w:val="auto"/>
          <w:kern w:val="0"/>
          <w:sz w:val="24"/>
          <w:szCs w:val="24"/>
          <w:highlight w:val="none"/>
          <w:shd w:val="clear" w:color="auto" w:fill="FFFFFF" w:themeFill="background1"/>
        </w:rPr>
        <w:t>项目名称）的</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，以本公司名义处理一切与之有关的事务，其法律后果由我方承担。</w:t>
      </w:r>
    </w:p>
    <w:p w14:paraId="1B201CC6">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u w:val="singl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代理人：</w:t>
      </w:r>
      <w:r>
        <w:rPr>
          <w:rFonts w:hint="eastAsia" w:ascii="仿宋" w:hAnsi="仿宋" w:eastAsia="仿宋" w:cs="仿宋"/>
          <w:i/>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性别：</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年龄：</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5E7A7E41">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单  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部门：</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职务：</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5C9944FA">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代理人无转委权，特此申明。</w:t>
      </w:r>
    </w:p>
    <w:p w14:paraId="0CB7AD49">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08218A69">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附：委托代理人身份证明。</w:t>
      </w:r>
    </w:p>
    <w:tbl>
      <w:tblPr>
        <w:tblStyle w:val="43"/>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37810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2410748C">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委托代理人身份证</w:t>
            </w:r>
            <w:r>
              <w:rPr>
                <w:rFonts w:hint="eastAsia" w:ascii="仿宋" w:hAnsi="仿宋" w:eastAsia="仿宋" w:cs="仿宋"/>
                <w:color w:val="auto"/>
                <w:kern w:val="0"/>
                <w:sz w:val="24"/>
                <w:szCs w:val="24"/>
                <w:highlight w:val="none"/>
                <w:shd w:val="clear" w:color="auto" w:fill="FFFFFF" w:themeFill="background1"/>
                <w:lang w:eastAsia="zh-CN"/>
              </w:rPr>
              <w:t>扫描件</w:t>
            </w:r>
            <w:r>
              <w:rPr>
                <w:rFonts w:hint="eastAsia" w:ascii="仿宋" w:hAnsi="仿宋" w:eastAsia="仿宋" w:cs="仿宋"/>
                <w:color w:val="auto"/>
                <w:kern w:val="0"/>
                <w:sz w:val="24"/>
                <w:szCs w:val="24"/>
                <w:highlight w:val="none"/>
                <w:shd w:val="clear" w:color="auto" w:fill="FFFFFF" w:themeFill="background1"/>
              </w:rPr>
              <w:t>（正面）</w:t>
            </w:r>
          </w:p>
        </w:tc>
      </w:tr>
    </w:tbl>
    <w:tbl>
      <w:tblPr>
        <w:tblStyle w:val="43"/>
        <w:tblpPr w:leftFromText="180" w:rightFromText="180" w:vertAnchor="text" w:horzAnchor="margin" w:tblpXSpec="right" w:tblpY="-2443"/>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7B7D0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7BE88283">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委托代理人身份证</w:t>
            </w:r>
            <w:r>
              <w:rPr>
                <w:rFonts w:hint="eastAsia" w:ascii="仿宋" w:hAnsi="仿宋" w:eastAsia="仿宋" w:cs="仿宋"/>
                <w:color w:val="auto"/>
                <w:kern w:val="0"/>
                <w:sz w:val="24"/>
                <w:szCs w:val="24"/>
                <w:highlight w:val="none"/>
                <w:shd w:val="clear" w:color="auto" w:fill="FFFFFF" w:themeFill="background1"/>
                <w:lang w:eastAsia="zh-CN"/>
              </w:rPr>
              <w:t>扫描件</w:t>
            </w:r>
            <w:r>
              <w:rPr>
                <w:rFonts w:hint="eastAsia" w:ascii="仿宋" w:hAnsi="仿宋" w:eastAsia="仿宋" w:cs="仿宋"/>
                <w:color w:val="auto"/>
                <w:kern w:val="0"/>
                <w:sz w:val="24"/>
                <w:szCs w:val="24"/>
                <w:highlight w:val="none"/>
                <w:shd w:val="clear" w:color="auto" w:fill="FFFFFF" w:themeFill="background1"/>
              </w:rPr>
              <w:t>（反面）</w:t>
            </w:r>
          </w:p>
        </w:tc>
      </w:tr>
    </w:tbl>
    <w:p w14:paraId="4217791E">
      <w:pPr>
        <w:spacing w:line="360" w:lineRule="auto"/>
        <w:rPr>
          <w:rFonts w:hint="eastAsia" w:ascii="仿宋" w:hAnsi="仿宋" w:eastAsia="仿宋" w:cs="仿宋"/>
          <w:vanish/>
          <w:color w:val="auto"/>
          <w:sz w:val="24"/>
          <w:szCs w:val="24"/>
          <w:highlight w:val="none"/>
          <w:shd w:val="clear" w:color="auto" w:fill="FFFFFF" w:themeFill="background1"/>
        </w:rPr>
      </w:pPr>
    </w:p>
    <w:p w14:paraId="28366B0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4740841A">
      <w:pPr>
        <w:widowControl/>
        <w:shd w:val="clear" w:color="auto" w:fill="FFFFFF"/>
        <w:snapToGrid w:val="0"/>
        <w:spacing w:line="360" w:lineRule="auto"/>
        <w:jc w:val="left"/>
        <w:rPr>
          <w:rFonts w:hint="eastAsia" w:ascii="仿宋" w:hAnsi="仿宋" w:eastAsia="仿宋" w:cs="仿宋"/>
          <w:b/>
          <w:bCs/>
          <w:color w:val="auto"/>
          <w:kern w:val="0"/>
          <w:sz w:val="24"/>
          <w:szCs w:val="24"/>
          <w:highlight w:val="none"/>
          <w:shd w:val="clear" w:color="auto" w:fill="FFFFFF" w:themeFill="background1"/>
        </w:rPr>
      </w:pPr>
    </w:p>
    <w:p w14:paraId="5DB811EB">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BA28072">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0893F20C">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76DE0ADD">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shd w:val="clear" w:color="auto" w:fill="FFFFFF" w:themeFill="background1"/>
        </w:rPr>
        <w:t>）</w:t>
      </w:r>
    </w:p>
    <w:p w14:paraId="13F7BC11">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5763D54E">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358ABC4E">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 xml:space="preserve"> </w:t>
      </w:r>
    </w:p>
    <w:p w14:paraId="375A9D03">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66" w:name="_Toc507586173"/>
      <w:r>
        <w:rPr>
          <w:rFonts w:hint="eastAsia" w:ascii="仿宋" w:hAnsi="仿宋" w:eastAsia="仿宋" w:cs="仿宋"/>
          <w:b/>
          <w:color w:val="auto"/>
          <w:sz w:val="24"/>
          <w:szCs w:val="24"/>
          <w:highlight w:val="none"/>
          <w:shd w:val="clear" w:color="auto" w:fill="FFFFFF" w:themeFill="background1"/>
        </w:rPr>
        <w:br w:type="page"/>
      </w:r>
      <w:bookmarkStart w:id="67" w:name="_Toc38446478"/>
      <w:bookmarkStart w:id="68" w:name="_Toc533503189"/>
      <w:bookmarkStart w:id="69" w:name="_Toc3624"/>
      <w:r>
        <w:rPr>
          <w:rFonts w:hint="eastAsia" w:ascii="仿宋" w:hAnsi="仿宋" w:eastAsia="仿宋" w:cs="仿宋"/>
          <w:b/>
          <w:color w:val="auto"/>
          <w:sz w:val="24"/>
          <w:szCs w:val="24"/>
          <w:highlight w:val="none"/>
          <w:shd w:val="clear" w:color="auto" w:fill="FFFFFF" w:themeFill="background1"/>
          <w:lang w:val="en-US" w:eastAsia="zh-CN"/>
        </w:rPr>
        <w:t>八</w:t>
      </w:r>
      <w:r>
        <w:rPr>
          <w:rFonts w:hint="eastAsia" w:ascii="仿宋" w:hAnsi="仿宋" w:eastAsia="仿宋" w:cs="仿宋"/>
          <w:b/>
          <w:color w:val="auto"/>
          <w:sz w:val="24"/>
          <w:szCs w:val="24"/>
          <w:highlight w:val="none"/>
          <w:shd w:val="clear" w:color="auto" w:fill="FFFFFF" w:themeFill="background1"/>
        </w:rPr>
        <w:t>、</w:t>
      </w:r>
      <w:r>
        <w:rPr>
          <w:rFonts w:hint="eastAsia" w:ascii="仿宋" w:hAnsi="仿宋" w:eastAsia="仿宋" w:cs="仿宋"/>
          <w:b/>
          <w:bCs/>
          <w:color w:val="auto"/>
          <w:sz w:val="24"/>
          <w:szCs w:val="24"/>
          <w:highlight w:val="none"/>
          <w:shd w:val="clear" w:color="auto" w:fill="FFFFFF" w:themeFill="background1"/>
        </w:rPr>
        <w:t>供应商资格条件证明材料</w:t>
      </w:r>
      <w:bookmarkEnd w:id="66"/>
      <w:bookmarkEnd w:id="67"/>
      <w:bookmarkEnd w:id="68"/>
      <w:bookmarkEnd w:id="69"/>
    </w:p>
    <w:p w14:paraId="2B4E6D9D">
      <w:pPr>
        <w:spacing w:line="360" w:lineRule="auto"/>
        <w:jc w:val="left"/>
        <w:rPr>
          <w:rFonts w:hint="eastAsia" w:ascii="仿宋" w:hAnsi="仿宋" w:eastAsia="仿宋" w:cs="仿宋"/>
          <w:color w:val="auto"/>
          <w:sz w:val="24"/>
          <w:szCs w:val="24"/>
          <w:highlight w:val="none"/>
          <w:shd w:val="clear" w:color="auto" w:fill="FFFFFF" w:themeFill="background1"/>
        </w:rPr>
      </w:pPr>
    </w:p>
    <w:tbl>
      <w:tblPr>
        <w:tblStyle w:val="43"/>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0775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2FD67D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供应商名称</w:t>
            </w:r>
          </w:p>
        </w:tc>
        <w:tc>
          <w:tcPr>
            <w:tcW w:w="7300" w:type="dxa"/>
            <w:gridSpan w:val="3"/>
            <w:vAlign w:val="center"/>
          </w:tcPr>
          <w:p w14:paraId="0508E7DF">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r>
      <w:tr w14:paraId="0684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81067B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注册地址</w:t>
            </w:r>
          </w:p>
        </w:tc>
        <w:tc>
          <w:tcPr>
            <w:tcW w:w="3165" w:type="dxa"/>
            <w:vAlign w:val="center"/>
          </w:tcPr>
          <w:p w14:paraId="62CBE02F">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47EF0926">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邮政编码</w:t>
            </w:r>
          </w:p>
        </w:tc>
        <w:tc>
          <w:tcPr>
            <w:tcW w:w="2140" w:type="dxa"/>
            <w:vAlign w:val="center"/>
          </w:tcPr>
          <w:p w14:paraId="421860BC">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19F5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ABFE36F">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成立时间</w:t>
            </w:r>
          </w:p>
        </w:tc>
        <w:tc>
          <w:tcPr>
            <w:tcW w:w="3165" w:type="dxa"/>
            <w:vAlign w:val="center"/>
          </w:tcPr>
          <w:p w14:paraId="1D5FFA4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38CEE49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企业性质</w:t>
            </w:r>
          </w:p>
        </w:tc>
        <w:tc>
          <w:tcPr>
            <w:tcW w:w="2140" w:type="dxa"/>
            <w:vAlign w:val="center"/>
          </w:tcPr>
          <w:p w14:paraId="7FE384C5">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4E34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5ACDAC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营业执照号</w:t>
            </w:r>
          </w:p>
        </w:tc>
        <w:tc>
          <w:tcPr>
            <w:tcW w:w="3165" w:type="dxa"/>
            <w:vAlign w:val="center"/>
          </w:tcPr>
          <w:p w14:paraId="2A203CA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25DC874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注册资金</w:t>
            </w:r>
          </w:p>
        </w:tc>
        <w:tc>
          <w:tcPr>
            <w:tcW w:w="2140" w:type="dxa"/>
            <w:vAlign w:val="center"/>
          </w:tcPr>
          <w:p w14:paraId="554A2D88">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C95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8DB4F8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法定代表人</w:t>
            </w:r>
          </w:p>
        </w:tc>
        <w:tc>
          <w:tcPr>
            <w:tcW w:w="3165" w:type="dxa"/>
            <w:vAlign w:val="center"/>
          </w:tcPr>
          <w:p w14:paraId="4583D53F">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13411EC7">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6DF1C639">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2030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DAD7B23">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联系人</w:t>
            </w:r>
          </w:p>
        </w:tc>
        <w:tc>
          <w:tcPr>
            <w:tcW w:w="3165" w:type="dxa"/>
            <w:vAlign w:val="center"/>
          </w:tcPr>
          <w:p w14:paraId="417C5CF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5EE9CEEA">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7DCCB18B">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04A0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53BC7E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传真</w:t>
            </w:r>
          </w:p>
        </w:tc>
        <w:tc>
          <w:tcPr>
            <w:tcW w:w="3165" w:type="dxa"/>
            <w:vAlign w:val="center"/>
          </w:tcPr>
          <w:p w14:paraId="1612D67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1D35E823">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网址</w:t>
            </w:r>
          </w:p>
        </w:tc>
        <w:tc>
          <w:tcPr>
            <w:tcW w:w="2140" w:type="dxa"/>
            <w:vAlign w:val="center"/>
          </w:tcPr>
          <w:p w14:paraId="2BCF8789">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6C0B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C9C0C2A">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开户银行</w:t>
            </w:r>
          </w:p>
        </w:tc>
        <w:tc>
          <w:tcPr>
            <w:tcW w:w="3165" w:type="dxa"/>
            <w:vAlign w:val="center"/>
          </w:tcPr>
          <w:p w14:paraId="46F2E0EE">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692F649A">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银行帐号</w:t>
            </w:r>
          </w:p>
        </w:tc>
        <w:tc>
          <w:tcPr>
            <w:tcW w:w="2140" w:type="dxa"/>
            <w:vAlign w:val="center"/>
          </w:tcPr>
          <w:p w14:paraId="360A4F56">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63B3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426326A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职工概况</w:t>
            </w:r>
          </w:p>
        </w:tc>
        <w:tc>
          <w:tcPr>
            <w:tcW w:w="7300" w:type="dxa"/>
            <w:gridSpan w:val="3"/>
            <w:vAlign w:val="center"/>
          </w:tcPr>
          <w:p w14:paraId="51E3B654">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3BDB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3A49C60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经营范围</w:t>
            </w:r>
          </w:p>
        </w:tc>
        <w:tc>
          <w:tcPr>
            <w:tcW w:w="7300" w:type="dxa"/>
            <w:gridSpan w:val="3"/>
            <w:vAlign w:val="center"/>
          </w:tcPr>
          <w:p w14:paraId="23B25523">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666B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1F45FB5A">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关联单位</w:t>
            </w:r>
          </w:p>
          <w:p w14:paraId="0833449C">
            <w:pPr>
              <w:autoSpaceDE w:val="0"/>
              <w:autoSpaceDN w:val="0"/>
              <w:adjustRightInd w:val="0"/>
              <w:snapToGrid w:val="0"/>
              <w:spacing w:line="520" w:lineRule="exact"/>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 w:val="24"/>
                <w:szCs w:val="24"/>
                <w:highlight w:val="none"/>
              </w:rPr>
              <w:t>（如有）</w:t>
            </w:r>
          </w:p>
        </w:tc>
        <w:tc>
          <w:tcPr>
            <w:tcW w:w="7300" w:type="dxa"/>
            <w:gridSpan w:val="3"/>
            <w:vAlign w:val="center"/>
          </w:tcPr>
          <w:p w14:paraId="2EE31FDC">
            <w:pPr>
              <w:autoSpaceDE w:val="0"/>
              <w:autoSpaceDN w:val="0"/>
              <w:adjustRightInd w:val="0"/>
              <w:snapToGrid w:val="0"/>
              <w:spacing w:line="520" w:lineRule="exact"/>
              <w:rPr>
                <w:rFonts w:hint="eastAsia" w:ascii="仿宋" w:hAnsi="仿宋" w:eastAsia="仿宋" w:cs="仿宋"/>
                <w:color w:val="auto"/>
                <w:kern w:val="0"/>
                <w:sz w:val="24"/>
                <w:szCs w:val="24"/>
                <w:highlight w:val="none"/>
              </w:rPr>
            </w:pPr>
          </w:p>
          <w:p w14:paraId="5CDC569C">
            <w:pPr>
              <w:autoSpaceDE w:val="0"/>
              <w:autoSpaceDN w:val="0"/>
              <w:adjustRightInd w:val="0"/>
              <w:snapToGrid w:val="0"/>
              <w:spacing w:line="520" w:lineRule="exact"/>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Cs w:val="21"/>
                <w:highlight w:val="none"/>
              </w:rPr>
              <w:t>注：此处关联单位指单位负责人为同一人或者存在直接控股、管理关系的不同单位。</w:t>
            </w:r>
          </w:p>
        </w:tc>
      </w:tr>
    </w:tbl>
    <w:p w14:paraId="3B9E3FB6">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p>
    <w:p w14:paraId="7B740391">
      <w:pPr>
        <w:widowControl/>
        <w:jc w:val="left"/>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br w:type="page"/>
      </w:r>
    </w:p>
    <w:p w14:paraId="1FC3216B">
      <w:pPr>
        <w:rPr>
          <w:rFonts w:hint="eastAsia" w:ascii="仿宋" w:hAnsi="仿宋" w:eastAsia="仿宋" w:cs="仿宋"/>
          <w:color w:val="auto"/>
          <w:highlight w:val="none"/>
          <w:shd w:val="clear" w:color="auto" w:fill="FFFFFF" w:themeFill="background1"/>
        </w:rPr>
      </w:pPr>
      <w:bookmarkStart w:id="70" w:name="_Toc109143671"/>
      <w:bookmarkStart w:id="71" w:name="_Toc32366"/>
      <w:bookmarkStart w:id="72" w:name="_Toc11207"/>
      <w:bookmarkStart w:id="73" w:name="_Toc107422184"/>
      <w:bookmarkStart w:id="74" w:name="_Toc111556487"/>
    </w:p>
    <w:p w14:paraId="2E4ADFEB">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75" w:name="_Toc8342"/>
      <w:bookmarkStart w:id="76" w:name="_Toc11608"/>
      <w:bookmarkStart w:id="77" w:name="_Toc17516"/>
      <w:bookmarkStart w:id="78" w:name="_Toc6417"/>
      <w:bookmarkStart w:id="79" w:name="_Toc15861"/>
      <w:bookmarkStart w:id="80" w:name="_Toc20057"/>
      <w:bookmarkStart w:id="81" w:name="_Toc18532"/>
      <w:bookmarkStart w:id="82" w:name="_Toc128476878"/>
      <w:bookmarkStart w:id="83" w:name="_Toc18683"/>
      <w:bookmarkStart w:id="84" w:name="_Toc156750399"/>
      <w:bookmarkStart w:id="85" w:name="_Toc29377"/>
      <w:bookmarkStart w:id="86" w:name="_Toc1895"/>
      <w:bookmarkStart w:id="87" w:name="_Toc20683"/>
      <w:bookmarkStart w:id="88" w:name="_Toc113901849"/>
      <w:bookmarkStart w:id="89" w:name="_Toc2804"/>
      <w:bookmarkStart w:id="90" w:name="_Toc22428"/>
      <w:bookmarkStart w:id="91" w:name="_Toc24572"/>
      <w:bookmarkStart w:id="92" w:name="_Toc19929"/>
      <w:bookmarkStart w:id="93" w:name="_Toc30680"/>
      <w:bookmarkStart w:id="94" w:name="_Toc9314"/>
      <w:r>
        <w:rPr>
          <w:rFonts w:hint="eastAsia" w:ascii="仿宋" w:hAnsi="仿宋" w:eastAsia="仿宋" w:cs="仿宋"/>
          <w:b/>
          <w:color w:val="auto"/>
          <w:sz w:val="24"/>
          <w:szCs w:val="24"/>
          <w:highlight w:val="none"/>
          <w:shd w:val="clear" w:color="auto" w:fill="FFFFFF" w:themeFill="background1"/>
          <w:lang w:val="en-US" w:eastAsia="zh-CN"/>
        </w:rPr>
        <w:t>8</w:t>
      </w:r>
      <w:r>
        <w:rPr>
          <w:rFonts w:hint="eastAsia" w:ascii="仿宋" w:hAnsi="仿宋" w:eastAsia="仿宋" w:cs="仿宋"/>
          <w:b/>
          <w:color w:val="auto"/>
          <w:sz w:val="24"/>
          <w:szCs w:val="24"/>
          <w:highlight w:val="none"/>
          <w:shd w:val="clear" w:color="auto" w:fill="FFFFFF" w:themeFill="background1"/>
        </w:rPr>
        <w:t>.1、</w:t>
      </w:r>
      <w:bookmarkEnd w:id="70"/>
      <w:bookmarkEnd w:id="71"/>
      <w:bookmarkEnd w:id="72"/>
      <w:bookmarkEnd w:id="73"/>
      <w:r>
        <w:rPr>
          <w:rFonts w:hint="eastAsia" w:ascii="仿宋" w:hAnsi="仿宋" w:eastAsia="仿宋" w:cs="仿宋"/>
          <w:b/>
          <w:color w:val="auto"/>
          <w:sz w:val="24"/>
          <w:szCs w:val="24"/>
          <w:highlight w:val="none"/>
          <w:shd w:val="clear" w:color="auto" w:fill="FFFFFF" w:themeFill="background1"/>
        </w:rPr>
        <w:t>法人或者其他组织的营业执照等证明文件，自然人的身份证明</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4E9BE812">
      <w:pPr>
        <w:spacing w:line="360" w:lineRule="auto"/>
        <w:rPr>
          <w:rFonts w:hint="eastAsia" w:ascii="仿宋" w:hAnsi="仿宋" w:eastAsia="仿宋" w:cs="仿宋"/>
          <w:color w:val="auto"/>
          <w:sz w:val="24"/>
          <w:szCs w:val="24"/>
          <w:highlight w:val="none"/>
          <w:shd w:val="clear" w:color="auto" w:fill="FFFFFF" w:themeFill="background1"/>
        </w:rPr>
      </w:pPr>
    </w:p>
    <w:p w14:paraId="19EF0059">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一、如供应商是企业（包括合伙企业)，应提供在工商部门注册的有效“企业法人营业执照”或“营业执照”;</w:t>
      </w:r>
    </w:p>
    <w:p w14:paraId="2226D533">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二、如供应商是事业单位，应提供有效的“事业单位法人证书”;</w:t>
      </w:r>
    </w:p>
    <w:p w14:paraId="1DC5C9C8">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三、供应商是非企业专业服务机构的，应提供执业许可证等证明文件;</w:t>
      </w:r>
    </w:p>
    <w:p w14:paraId="611FF4D3">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四、如供应商是个体工商户，应提供有效的“个体工商户营业执照”;</w:t>
      </w:r>
    </w:p>
    <w:p w14:paraId="3469A608">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五、如供应商是自然人，应提供有效的自然人身份证明。</w:t>
      </w:r>
    </w:p>
    <w:p w14:paraId="52B99C12">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1BA82D7A">
      <w:pPr>
        <w:spacing w:line="360" w:lineRule="auto"/>
        <w:rPr>
          <w:rFonts w:hint="eastAsia" w:ascii="仿宋" w:hAnsi="仿宋" w:eastAsia="仿宋" w:cs="仿宋"/>
          <w:color w:val="auto"/>
          <w:sz w:val="24"/>
          <w:szCs w:val="24"/>
          <w:highlight w:val="none"/>
          <w:shd w:val="clear" w:color="auto" w:fill="FFFFFF" w:themeFill="background1"/>
        </w:rPr>
      </w:pPr>
    </w:p>
    <w:p w14:paraId="48EBA028">
      <w:pPr>
        <w:spacing w:line="360" w:lineRule="auto"/>
        <w:rPr>
          <w:rFonts w:hint="eastAsia" w:ascii="仿宋" w:hAnsi="仿宋" w:eastAsia="仿宋" w:cs="仿宋"/>
          <w:color w:val="auto"/>
          <w:sz w:val="24"/>
          <w:szCs w:val="24"/>
          <w:highlight w:val="none"/>
          <w:shd w:val="clear" w:color="auto" w:fill="FFFFFF" w:themeFill="background1"/>
        </w:rPr>
      </w:pPr>
    </w:p>
    <w:p w14:paraId="48BE3BA9">
      <w:pPr>
        <w:widowControl/>
        <w:spacing w:line="360" w:lineRule="auto"/>
        <w:jc w:val="left"/>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2F9992F3">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95" w:name="_Toc20271"/>
      <w:bookmarkStart w:id="96" w:name="_Toc156750400"/>
      <w:bookmarkStart w:id="97" w:name="_Toc10441"/>
      <w:bookmarkStart w:id="98" w:name="_Toc25980"/>
      <w:bookmarkStart w:id="99" w:name="_Toc31191"/>
      <w:bookmarkStart w:id="100" w:name="_Toc11592"/>
      <w:bookmarkStart w:id="101" w:name="_Toc2389"/>
      <w:bookmarkStart w:id="102" w:name="_Toc32279"/>
      <w:bookmarkStart w:id="103" w:name="_Toc22474"/>
      <w:bookmarkStart w:id="104" w:name="_Toc24966"/>
      <w:bookmarkStart w:id="105" w:name="_Toc113901850"/>
      <w:bookmarkStart w:id="106" w:name="_Toc15683"/>
      <w:bookmarkStart w:id="107" w:name="_Toc9294"/>
      <w:bookmarkStart w:id="108" w:name="_Toc128476879"/>
      <w:bookmarkStart w:id="109" w:name="_Toc21646"/>
      <w:bookmarkStart w:id="110" w:name="_Toc13496"/>
      <w:bookmarkStart w:id="111" w:name="_Toc10010"/>
      <w:bookmarkStart w:id="112" w:name="_Toc4484"/>
      <w:bookmarkStart w:id="113" w:name="_Toc18595"/>
      <w:bookmarkStart w:id="114" w:name="_Toc18504"/>
      <w:r>
        <w:rPr>
          <w:rFonts w:hint="eastAsia" w:ascii="仿宋" w:hAnsi="仿宋" w:eastAsia="仿宋" w:cs="仿宋"/>
          <w:b/>
          <w:color w:val="auto"/>
          <w:sz w:val="24"/>
          <w:szCs w:val="24"/>
          <w:highlight w:val="none"/>
          <w:shd w:val="clear" w:color="auto" w:fill="FFFFFF" w:themeFill="background1"/>
          <w:lang w:val="en-US" w:eastAsia="zh-CN"/>
        </w:rPr>
        <w:t>8</w:t>
      </w:r>
      <w:r>
        <w:rPr>
          <w:rFonts w:hint="eastAsia" w:ascii="仿宋" w:hAnsi="仿宋" w:eastAsia="仿宋" w:cs="仿宋"/>
          <w:b/>
          <w:color w:val="auto"/>
          <w:sz w:val="24"/>
          <w:szCs w:val="24"/>
          <w:highlight w:val="none"/>
          <w:shd w:val="clear" w:color="auto" w:fill="FFFFFF" w:themeFill="background1"/>
        </w:rPr>
        <w:t>.2、</w:t>
      </w:r>
      <w:bookmarkEnd w:id="74"/>
      <w:r>
        <w:rPr>
          <w:rFonts w:hint="eastAsia" w:ascii="仿宋" w:hAnsi="仿宋" w:eastAsia="仿宋" w:cs="仿宋"/>
          <w:b/>
          <w:color w:val="auto"/>
          <w:sz w:val="24"/>
          <w:szCs w:val="24"/>
          <w:highlight w:val="none"/>
          <w:shd w:val="clear" w:color="auto" w:fill="FFFFFF" w:themeFill="background1"/>
        </w:rPr>
        <w:t>财务状况报告，依法缴纳税收和社会保障资金的相关材料</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40CC6935">
      <w:pPr>
        <w:pStyle w:val="3"/>
        <w:spacing w:after="0" w:line="360" w:lineRule="auto"/>
        <w:rPr>
          <w:rFonts w:hint="eastAsia" w:ascii="仿宋" w:hAnsi="仿宋" w:eastAsia="仿宋" w:cs="仿宋"/>
          <w:color w:val="auto"/>
          <w:spacing w:val="10"/>
          <w:szCs w:val="24"/>
          <w:highlight w:val="none"/>
          <w:shd w:val="clear" w:color="auto" w:fill="FFFFFF" w:themeFill="background1"/>
        </w:rPr>
      </w:pPr>
    </w:p>
    <w:p w14:paraId="230E55BA">
      <w:pPr>
        <w:pStyle w:val="3"/>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一、财务状况报告（满足下述一条要求即可）：</w:t>
      </w:r>
    </w:p>
    <w:p w14:paraId="69E3D49E">
      <w:pPr>
        <w:pStyle w:val="3"/>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要求1、经审计的财务报告（</w:t>
      </w:r>
      <w:r>
        <w:rPr>
          <w:rFonts w:hint="eastAsia" w:ascii="仿宋" w:hAnsi="仿宋" w:eastAsia="仿宋" w:cs="仿宋"/>
          <w:color w:val="auto"/>
          <w:spacing w:val="10"/>
          <w:szCs w:val="24"/>
          <w:highlight w:val="none"/>
          <w:shd w:val="clear" w:color="auto" w:fill="FFFFFF" w:themeFill="background1"/>
          <w:lang w:eastAsia="zh-CN"/>
        </w:rPr>
        <w:t>2024年度或2025年度</w:t>
      </w:r>
      <w:r>
        <w:rPr>
          <w:rFonts w:hint="eastAsia" w:ascii="仿宋" w:hAnsi="仿宋" w:eastAsia="仿宋" w:cs="仿宋"/>
          <w:color w:val="auto"/>
          <w:spacing w:val="10"/>
          <w:szCs w:val="24"/>
          <w:highlight w:val="none"/>
          <w:shd w:val="clear" w:color="auto" w:fill="FFFFFF" w:themeFill="background1"/>
        </w:rPr>
        <w:t>，包括“四表-注”，即资产负债表、利润表、现金流量表、所有者权益变动表及其附注）或</w:t>
      </w:r>
      <w:r>
        <w:rPr>
          <w:rFonts w:hint="eastAsia" w:ascii="仿宋" w:hAnsi="仿宋" w:eastAsia="仿宋" w:cs="仿宋"/>
          <w:color w:val="auto"/>
          <w:spacing w:val="10"/>
          <w:szCs w:val="24"/>
          <w:highlight w:val="none"/>
          <w:shd w:val="clear" w:color="auto" w:fill="FFFFFF" w:themeFill="background1"/>
          <w:lang w:eastAsia="zh-CN"/>
        </w:rPr>
        <w:t>银行出具的资信证明（响应文件递交截止之日前六个月内任意一个月，不限制采购人主体）</w:t>
      </w:r>
      <w:r>
        <w:rPr>
          <w:rFonts w:hint="eastAsia" w:ascii="仿宋" w:hAnsi="仿宋" w:eastAsia="仿宋" w:cs="仿宋"/>
          <w:color w:val="auto"/>
          <w:spacing w:val="10"/>
          <w:szCs w:val="24"/>
          <w:highlight w:val="none"/>
          <w:shd w:val="clear" w:color="auto" w:fill="FFFFFF" w:themeFill="background1"/>
        </w:rPr>
        <w:t>。</w:t>
      </w:r>
    </w:p>
    <w:p w14:paraId="0B81C351">
      <w:pPr>
        <w:pStyle w:val="3"/>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要求2、成立不足</w:t>
      </w:r>
      <w:r>
        <w:rPr>
          <w:rFonts w:hint="eastAsia" w:ascii="仿宋" w:hAnsi="仿宋" w:eastAsia="仿宋" w:cs="仿宋"/>
          <w:color w:val="auto"/>
          <w:kern w:val="0"/>
          <w:szCs w:val="21"/>
          <w:highlight w:val="none"/>
        </w:rPr>
        <w:t>六</w:t>
      </w:r>
      <w:r>
        <w:rPr>
          <w:rFonts w:hint="eastAsia" w:ascii="仿宋" w:hAnsi="仿宋" w:eastAsia="仿宋" w:cs="仿宋"/>
          <w:color w:val="auto"/>
          <w:spacing w:val="10"/>
          <w:szCs w:val="24"/>
          <w:highlight w:val="none"/>
          <w:shd w:val="clear" w:color="auto" w:fill="FFFFFF" w:themeFill="background1"/>
        </w:rPr>
        <w:t>个月（以响应文件递交截止之日为期限）的供应商无需提供。</w:t>
      </w:r>
    </w:p>
    <w:p w14:paraId="5DC6259D">
      <w:pPr>
        <w:pStyle w:val="3"/>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p>
    <w:p w14:paraId="145BCBE7">
      <w:pPr>
        <w:pStyle w:val="3"/>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二、依法缴纳税收和社会保障资金的相关材料：</w:t>
      </w:r>
    </w:p>
    <w:p w14:paraId="4AB1D9AD">
      <w:pPr>
        <w:pStyle w:val="3"/>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2.1、依法缴纳税收的证明材料：</w:t>
      </w:r>
    </w:p>
    <w:p w14:paraId="2F06A9A0">
      <w:pPr>
        <w:pStyle w:val="3"/>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供应商参加政府采购活动前一段时间（响应文件递交截止之日前六个月内任一个月）内缴纳税收的完税凭证（指各种完税证、缴款书、印花税票、扣（收）税凭证以及其他完税证明</w:t>
      </w:r>
      <w:r>
        <w:rPr>
          <w:rFonts w:hint="eastAsia" w:ascii="仿宋" w:hAnsi="仿宋" w:eastAsia="仿宋" w:cs="仿宋"/>
          <w:color w:val="auto"/>
          <w:szCs w:val="21"/>
          <w:highlight w:val="none"/>
          <w:shd w:val="clear" w:color="auto" w:fill="FFFFFF" w:themeFill="background1"/>
        </w:rPr>
        <w:t>，提供上述任意一种即可</w:t>
      </w:r>
      <w:r>
        <w:rPr>
          <w:rFonts w:hint="eastAsia" w:ascii="仿宋" w:hAnsi="仿宋" w:eastAsia="仿宋" w:cs="仿宋"/>
          <w:color w:val="auto"/>
          <w:spacing w:val="10"/>
          <w:szCs w:val="24"/>
          <w:highlight w:val="none"/>
          <w:shd w:val="clear" w:color="auto" w:fill="FFFFFF" w:themeFill="background1"/>
        </w:rPr>
        <w:t>）。</w:t>
      </w:r>
    </w:p>
    <w:p w14:paraId="07579B10">
      <w:pPr>
        <w:pStyle w:val="3"/>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2.2、依法缴纳社会保障资金的证明材料：</w:t>
      </w:r>
    </w:p>
    <w:p w14:paraId="58DE1185">
      <w:pPr>
        <w:pStyle w:val="3"/>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供应商参加政府采购活动前一段时间（响应文件递交截止之日前六个月内任一个月）内缴纳社会保险的凭据，其他组织和自然人也需要提供缴纳税收的凭据和缴纳社会保险的凭据。</w:t>
      </w:r>
    </w:p>
    <w:p w14:paraId="64C9968B">
      <w:pPr>
        <w:pStyle w:val="3"/>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2.3、依法免税或不需要缴纳社会保障资金的供应商，应提供相应文件证明其依法免税或不需要缴纳社会保障资金。</w:t>
      </w:r>
    </w:p>
    <w:p w14:paraId="595FC5B9">
      <w:pPr>
        <w:pStyle w:val="3"/>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p>
    <w:p w14:paraId="794E0A6B">
      <w:pPr>
        <w:pStyle w:val="3"/>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三、注：</w:t>
      </w:r>
    </w:p>
    <w:p w14:paraId="6393C13A">
      <w:pPr>
        <w:pStyle w:val="3"/>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3.1、如因有关主管部门政策调整，部分证明材料有所增减，以最新政策要求为准；</w:t>
      </w:r>
    </w:p>
    <w:p w14:paraId="6161DFE6">
      <w:pPr>
        <w:pStyle w:val="3"/>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3.2、如供应商所在地有关主管部门反馈的证明材料与本文中要求不一致时，以当地要求为准，但须供应商提供文字说明。</w:t>
      </w:r>
    </w:p>
    <w:p w14:paraId="4E44C0E6">
      <w:pPr>
        <w:widowControl/>
        <w:jc w:val="left"/>
        <w:rPr>
          <w:rFonts w:hint="eastAsia" w:ascii="仿宋" w:hAnsi="仿宋" w:eastAsia="仿宋" w:cs="仿宋"/>
          <w:b/>
          <w:color w:val="auto"/>
          <w:sz w:val="24"/>
          <w:szCs w:val="24"/>
          <w:highlight w:val="none"/>
          <w:shd w:val="clear" w:color="auto" w:fill="FFFFFF" w:themeFill="background1"/>
        </w:rPr>
      </w:pPr>
      <w:bookmarkStart w:id="115" w:name="_Toc113901851"/>
      <w:bookmarkStart w:id="116" w:name="_Toc128476880"/>
      <w:bookmarkStart w:id="117" w:name="_Toc30348"/>
      <w:bookmarkStart w:id="118" w:name="_Toc111556488"/>
      <w:r>
        <w:rPr>
          <w:rFonts w:hint="eastAsia" w:ascii="仿宋" w:hAnsi="仿宋" w:eastAsia="仿宋" w:cs="仿宋"/>
          <w:b/>
          <w:color w:val="auto"/>
          <w:sz w:val="24"/>
          <w:szCs w:val="24"/>
          <w:highlight w:val="none"/>
          <w:shd w:val="clear" w:color="auto" w:fill="FFFFFF" w:themeFill="background1"/>
        </w:rPr>
        <w:br w:type="page"/>
      </w:r>
    </w:p>
    <w:p w14:paraId="5A8C16CE">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119" w:name="_Toc19026"/>
      <w:bookmarkStart w:id="120" w:name="_Toc6914"/>
      <w:bookmarkStart w:id="121" w:name="_Toc25066"/>
      <w:bookmarkStart w:id="122" w:name="_Toc10802"/>
      <w:bookmarkStart w:id="123" w:name="_Toc14318"/>
      <w:bookmarkStart w:id="124" w:name="_Toc156750401"/>
      <w:bookmarkStart w:id="125" w:name="_Toc15227"/>
      <w:bookmarkStart w:id="126" w:name="_Toc26412"/>
      <w:bookmarkStart w:id="127" w:name="_Toc10694"/>
      <w:bookmarkStart w:id="128" w:name="_Toc25022"/>
      <w:bookmarkStart w:id="129" w:name="_Toc30026"/>
      <w:bookmarkStart w:id="130" w:name="_Toc31257"/>
      <w:bookmarkStart w:id="131" w:name="_Toc26275"/>
      <w:bookmarkStart w:id="132" w:name="_Toc12437"/>
      <w:bookmarkStart w:id="133" w:name="_Toc11771"/>
      <w:bookmarkStart w:id="134" w:name="_Toc19442"/>
      <w:bookmarkStart w:id="135" w:name="_Toc9702"/>
      <w:r>
        <w:rPr>
          <w:rFonts w:hint="eastAsia" w:ascii="仿宋" w:hAnsi="仿宋" w:eastAsia="仿宋" w:cs="仿宋"/>
          <w:b/>
          <w:color w:val="auto"/>
          <w:sz w:val="24"/>
          <w:szCs w:val="24"/>
          <w:highlight w:val="none"/>
          <w:shd w:val="clear" w:color="auto" w:fill="FFFFFF" w:themeFill="background1"/>
          <w:lang w:val="en-US" w:eastAsia="zh-CN"/>
        </w:rPr>
        <w:t>8</w:t>
      </w:r>
      <w:r>
        <w:rPr>
          <w:rFonts w:hint="eastAsia" w:ascii="仿宋" w:hAnsi="仿宋" w:eastAsia="仿宋" w:cs="仿宋"/>
          <w:b/>
          <w:color w:val="auto"/>
          <w:sz w:val="24"/>
          <w:szCs w:val="24"/>
          <w:highlight w:val="none"/>
          <w:shd w:val="clear" w:color="auto" w:fill="FFFFFF" w:themeFill="background1"/>
        </w:rPr>
        <w:t>.3、具备履行合同所必需的设备和专业技术能力的证明材料</w:t>
      </w:r>
      <w:bookmarkEnd w:id="115"/>
      <w:bookmarkEnd w:id="116"/>
      <w:bookmarkEnd w:id="117"/>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720B5F29">
      <w:pPr>
        <w:spacing w:line="360" w:lineRule="auto"/>
        <w:rPr>
          <w:rFonts w:hint="eastAsia" w:ascii="仿宋" w:hAnsi="仿宋" w:eastAsia="仿宋" w:cs="仿宋"/>
          <w:color w:val="auto"/>
          <w:sz w:val="24"/>
          <w:szCs w:val="24"/>
          <w:highlight w:val="none"/>
          <w:shd w:val="clear" w:color="auto" w:fill="FFFFFF" w:themeFill="background1"/>
        </w:rPr>
      </w:pPr>
    </w:p>
    <w:p w14:paraId="17E15A21">
      <w:pPr>
        <w:spacing w:line="360" w:lineRule="auto"/>
        <w:rPr>
          <w:rFonts w:hint="eastAsia" w:ascii="仿宋" w:hAnsi="仿宋" w:eastAsia="仿宋" w:cs="仿宋"/>
          <w:color w:val="auto"/>
          <w:sz w:val="24"/>
          <w:szCs w:val="24"/>
          <w:highlight w:val="none"/>
          <w:shd w:val="clear" w:color="auto" w:fill="FFFFFF" w:themeFill="background1"/>
        </w:rPr>
      </w:pPr>
    </w:p>
    <w:p w14:paraId="2302CC0D">
      <w:pPr>
        <w:spacing w:line="360" w:lineRule="auto"/>
        <w:jc w:val="cente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t>具有履行合同所必需的设备和专业技术能力的承诺</w:t>
      </w:r>
      <w:bookmarkEnd w:id="118"/>
      <w:r>
        <w:rPr>
          <w:rFonts w:hint="eastAsia" w:ascii="仿宋" w:hAnsi="仿宋" w:eastAsia="仿宋" w:cs="仿宋"/>
          <w:b/>
          <w:color w:val="auto"/>
          <w:sz w:val="24"/>
          <w:szCs w:val="24"/>
          <w:highlight w:val="none"/>
          <w:shd w:val="clear" w:color="auto" w:fill="FFFFFF" w:themeFill="background1"/>
        </w:rPr>
        <w:t>函</w:t>
      </w:r>
    </w:p>
    <w:p w14:paraId="7B76D96A">
      <w:pPr>
        <w:adjustRightInd w:val="0"/>
        <w:snapToGrid w:val="0"/>
        <w:spacing w:line="360" w:lineRule="auto"/>
        <w:ind w:firstLine="480" w:firstLineChars="200"/>
        <w:jc w:val="center"/>
        <w:rPr>
          <w:rFonts w:hint="eastAsia" w:ascii="仿宋" w:hAnsi="仿宋" w:eastAsia="仿宋" w:cs="仿宋"/>
          <w:color w:val="auto"/>
          <w:sz w:val="24"/>
          <w:szCs w:val="24"/>
          <w:highlight w:val="none"/>
          <w:shd w:val="clear" w:color="auto" w:fill="FFFFFF" w:themeFill="background1"/>
        </w:rPr>
      </w:pPr>
    </w:p>
    <w:p w14:paraId="5099C836">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39336BB2">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p>
    <w:p w14:paraId="223B94D3">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我单位郑重承诺： </w:t>
      </w:r>
    </w:p>
    <w:p w14:paraId="6E5BC874">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我单位具备履行</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（项目名称）合同所必需的设备和专业技术能力；</w:t>
      </w:r>
    </w:p>
    <w:p w14:paraId="609653C4">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特此承诺。 </w:t>
      </w:r>
    </w:p>
    <w:p w14:paraId="37027138">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3DA1E66E">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15AA773D">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6FF2A4CF">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0280F63F">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53E72D4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63458193">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39B293E7">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0705479A">
      <w:pPr>
        <w:adjustRightInd w:val="0"/>
        <w:snapToGrid w:val="0"/>
        <w:spacing w:line="360" w:lineRule="auto"/>
        <w:rPr>
          <w:rFonts w:hint="eastAsia" w:ascii="仿宋" w:hAnsi="仿宋" w:eastAsia="仿宋" w:cs="仿宋"/>
          <w:bCs/>
          <w:color w:val="auto"/>
          <w:sz w:val="24"/>
          <w:szCs w:val="24"/>
          <w:highlight w:val="none"/>
          <w:shd w:val="clear" w:color="auto" w:fill="FFFFFF" w:themeFill="background1"/>
        </w:rPr>
      </w:pPr>
    </w:p>
    <w:p w14:paraId="5F1319F6">
      <w:pPr>
        <w:spacing w:line="360" w:lineRule="auto"/>
        <w:rPr>
          <w:rFonts w:hint="eastAsia" w:ascii="仿宋" w:hAnsi="仿宋" w:eastAsia="仿宋" w:cs="仿宋"/>
          <w:color w:val="auto"/>
          <w:sz w:val="24"/>
          <w:szCs w:val="24"/>
          <w:highlight w:val="none"/>
          <w:shd w:val="clear" w:color="auto" w:fill="FFFFFF" w:themeFill="background1"/>
        </w:rPr>
      </w:pPr>
    </w:p>
    <w:p w14:paraId="317B0A14">
      <w:pPr>
        <w:spacing w:line="360" w:lineRule="auto"/>
        <w:rPr>
          <w:rFonts w:hint="eastAsia" w:ascii="仿宋" w:hAnsi="仿宋" w:eastAsia="仿宋" w:cs="仿宋"/>
          <w:color w:val="auto"/>
          <w:sz w:val="24"/>
          <w:szCs w:val="24"/>
          <w:highlight w:val="none"/>
          <w:shd w:val="clear" w:color="auto" w:fill="FFFFFF" w:themeFill="background1"/>
        </w:rPr>
      </w:pPr>
    </w:p>
    <w:p w14:paraId="45BED777">
      <w:pPr>
        <w:spacing w:line="360" w:lineRule="auto"/>
        <w:rPr>
          <w:rFonts w:hint="eastAsia" w:ascii="仿宋" w:hAnsi="仿宋" w:eastAsia="仿宋" w:cs="仿宋"/>
          <w:color w:val="auto"/>
          <w:sz w:val="24"/>
          <w:szCs w:val="24"/>
          <w:highlight w:val="none"/>
          <w:shd w:val="clear" w:color="auto" w:fill="FFFFFF" w:themeFill="background1"/>
        </w:rPr>
      </w:pPr>
    </w:p>
    <w:p w14:paraId="09059CD9">
      <w:pPr>
        <w:spacing w:line="360" w:lineRule="auto"/>
        <w:rPr>
          <w:rFonts w:hint="eastAsia" w:ascii="仿宋" w:hAnsi="仿宋" w:eastAsia="仿宋" w:cs="仿宋"/>
          <w:color w:val="auto"/>
          <w:sz w:val="24"/>
          <w:szCs w:val="24"/>
          <w:highlight w:val="none"/>
          <w:shd w:val="clear" w:color="auto" w:fill="FFFFFF" w:themeFill="background1"/>
        </w:rPr>
      </w:pPr>
    </w:p>
    <w:p w14:paraId="78A165AA">
      <w:pPr>
        <w:spacing w:line="360" w:lineRule="auto"/>
        <w:rPr>
          <w:rFonts w:hint="eastAsia" w:ascii="仿宋" w:hAnsi="仿宋" w:eastAsia="仿宋" w:cs="仿宋"/>
          <w:color w:val="auto"/>
          <w:sz w:val="24"/>
          <w:szCs w:val="24"/>
          <w:highlight w:val="none"/>
          <w:shd w:val="clear" w:color="auto" w:fill="FFFFFF" w:themeFill="background1"/>
        </w:rPr>
      </w:pPr>
    </w:p>
    <w:p w14:paraId="189A1248">
      <w:pPr>
        <w:spacing w:line="360" w:lineRule="auto"/>
        <w:rPr>
          <w:rFonts w:hint="eastAsia" w:ascii="仿宋" w:hAnsi="仿宋" w:eastAsia="仿宋" w:cs="仿宋"/>
          <w:color w:val="auto"/>
          <w:sz w:val="24"/>
          <w:szCs w:val="24"/>
          <w:highlight w:val="none"/>
          <w:shd w:val="clear" w:color="auto" w:fill="FFFFFF" w:themeFill="background1"/>
        </w:rPr>
      </w:pPr>
    </w:p>
    <w:p w14:paraId="307DD524">
      <w:pPr>
        <w:widowControl/>
        <w:spacing w:line="36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7D72BDFA">
      <w:pPr>
        <w:adjustRightInd w:val="0"/>
        <w:snapToGrid w:val="0"/>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136" w:name="_Toc8030"/>
      <w:bookmarkStart w:id="137" w:name="_Toc2931"/>
      <w:bookmarkStart w:id="138" w:name="_Toc5703"/>
      <w:bookmarkStart w:id="139" w:name="_Toc156750402"/>
      <w:bookmarkStart w:id="140" w:name="_Toc18306"/>
      <w:bookmarkStart w:id="141" w:name="_Toc29214"/>
      <w:bookmarkStart w:id="142" w:name="_Toc16168"/>
      <w:bookmarkStart w:id="143" w:name="_Toc30447"/>
      <w:bookmarkStart w:id="144" w:name="_Toc128476881"/>
      <w:bookmarkStart w:id="145" w:name="_Toc24077"/>
      <w:bookmarkStart w:id="146" w:name="_Toc9191"/>
      <w:bookmarkStart w:id="147" w:name="_Toc24173"/>
      <w:bookmarkStart w:id="148" w:name="_Toc113901852"/>
      <w:bookmarkStart w:id="149" w:name="_Toc16519"/>
      <w:bookmarkStart w:id="150" w:name="_Toc2437"/>
      <w:bookmarkStart w:id="151" w:name="_Toc18842"/>
      <w:bookmarkStart w:id="152" w:name="_Toc23067"/>
      <w:bookmarkStart w:id="153" w:name="_Toc27352"/>
      <w:bookmarkStart w:id="154" w:name="_Toc16084"/>
      <w:bookmarkStart w:id="155" w:name="_Toc25190"/>
      <w:bookmarkStart w:id="156" w:name="_Toc111556490"/>
      <w:r>
        <w:rPr>
          <w:rFonts w:hint="eastAsia" w:ascii="仿宋" w:hAnsi="仿宋" w:eastAsia="仿宋" w:cs="仿宋"/>
          <w:b/>
          <w:color w:val="auto"/>
          <w:sz w:val="24"/>
          <w:szCs w:val="24"/>
          <w:highlight w:val="none"/>
          <w:shd w:val="clear" w:color="auto" w:fill="FFFFFF" w:themeFill="background1"/>
          <w:lang w:val="en-US" w:eastAsia="zh-CN"/>
        </w:rPr>
        <w:t>8</w:t>
      </w:r>
      <w:r>
        <w:rPr>
          <w:rFonts w:hint="eastAsia" w:ascii="仿宋" w:hAnsi="仿宋" w:eastAsia="仿宋" w:cs="仿宋"/>
          <w:b/>
          <w:color w:val="auto"/>
          <w:sz w:val="24"/>
          <w:szCs w:val="24"/>
          <w:highlight w:val="none"/>
          <w:shd w:val="clear" w:color="auto" w:fill="FFFFFF" w:themeFill="background1"/>
        </w:rPr>
        <w:t>.4、参加政府采购活动前3年内在经营活动中没有重大违法记录的书面声明</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bookmarkEnd w:id="156"/>
    <w:p w14:paraId="13E7692B">
      <w:pPr>
        <w:widowControl/>
        <w:adjustRightInd w:val="0"/>
        <w:snapToGrid w:val="0"/>
        <w:spacing w:line="360" w:lineRule="auto"/>
        <w:rPr>
          <w:rFonts w:hint="eastAsia" w:ascii="仿宋" w:hAnsi="仿宋" w:eastAsia="仿宋" w:cs="仿宋"/>
          <w:color w:val="auto"/>
          <w:sz w:val="24"/>
          <w:szCs w:val="24"/>
          <w:highlight w:val="none"/>
          <w:shd w:val="clear" w:color="auto" w:fill="FFFFFF" w:themeFill="background1"/>
        </w:rPr>
      </w:pPr>
    </w:p>
    <w:p w14:paraId="5A80F3C3">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31F8F1F0">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4389163A">
      <w:pPr>
        <w:adjustRightInd w:val="0"/>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我单位在参与</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sz w:val="24"/>
          <w:szCs w:val="24"/>
          <w:highlight w:val="none"/>
          <w:shd w:val="clear" w:color="auto" w:fill="FFFFFF" w:themeFill="background1"/>
        </w:rPr>
        <w:t>（项目名称）</w:t>
      </w:r>
      <w:r>
        <w:rPr>
          <w:rFonts w:hint="eastAsia" w:ascii="仿宋" w:hAnsi="仿宋" w:eastAsia="仿宋" w:cs="仿宋"/>
          <w:color w:val="auto"/>
          <w:kern w:val="0"/>
          <w:sz w:val="24"/>
          <w:szCs w:val="24"/>
          <w:highlight w:val="none"/>
          <w:shd w:val="clear" w:color="auto" w:fill="FFFFFF" w:themeFill="background1"/>
        </w:rPr>
        <w:t>前三年内（以</w:t>
      </w:r>
      <w:r>
        <w:rPr>
          <w:rFonts w:hint="eastAsia" w:ascii="仿宋" w:hAnsi="仿宋" w:eastAsia="仿宋" w:cs="仿宋"/>
          <w:color w:val="auto"/>
          <w:sz w:val="24"/>
          <w:szCs w:val="24"/>
          <w:highlight w:val="none"/>
          <w:shd w:val="clear" w:color="auto" w:fill="FFFFFF" w:themeFill="background1"/>
        </w:rPr>
        <w:t>响应文件递交截止之日为期限</w:t>
      </w:r>
      <w:r>
        <w:rPr>
          <w:rFonts w:hint="eastAsia" w:ascii="仿宋" w:hAnsi="仿宋" w:eastAsia="仿宋" w:cs="仿宋"/>
          <w:color w:val="auto"/>
          <w:kern w:val="0"/>
          <w:sz w:val="24"/>
          <w:szCs w:val="24"/>
          <w:highlight w:val="none"/>
          <w:shd w:val="clear" w:color="auto" w:fill="FFFFFF" w:themeFill="background1"/>
        </w:rPr>
        <w:t>）在经营活动中没有重大违法记录。</w:t>
      </w:r>
    </w:p>
    <w:p w14:paraId="43718B14">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若贵方在本项目采购过程中发现我方参加政府采购活动前三年内有重大违法记录；</w:t>
      </w:r>
      <w:r>
        <w:rPr>
          <w:rFonts w:hint="eastAsia" w:ascii="仿宋" w:hAnsi="仿宋" w:eastAsia="仿宋" w:cs="仿宋"/>
          <w:color w:val="auto"/>
          <w:kern w:val="0"/>
          <w:sz w:val="24"/>
          <w:szCs w:val="24"/>
          <w:highlight w:val="none"/>
          <w:shd w:val="clear" w:color="auto" w:fill="FFFFFF" w:themeFill="background1"/>
        </w:rPr>
        <w:t>我单位</w:t>
      </w:r>
      <w:r>
        <w:rPr>
          <w:rFonts w:hint="eastAsia" w:ascii="仿宋" w:hAnsi="仿宋" w:eastAsia="仿宋" w:cs="仿宋"/>
          <w:color w:val="auto"/>
          <w:sz w:val="24"/>
          <w:szCs w:val="24"/>
          <w:highlight w:val="none"/>
          <w:shd w:val="clear" w:color="auto" w:fill="FFFFFF" w:themeFill="background1"/>
        </w:rPr>
        <w:t>将无条件退出本项目的</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sz w:val="24"/>
          <w:szCs w:val="24"/>
          <w:highlight w:val="none"/>
          <w:shd w:val="clear" w:color="auto" w:fill="FFFFFF" w:themeFill="background1"/>
        </w:rPr>
        <w:t>，并承担因此引起的一切后果。我方对此声明负全部法律责任。</w:t>
      </w:r>
    </w:p>
    <w:p w14:paraId="16E1F870">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特此声明！</w:t>
      </w:r>
    </w:p>
    <w:p w14:paraId="19D7AA01">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45C8B346">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11414758">
      <w:pPr>
        <w:adjustRightInd w:val="0"/>
        <w:snapToGrid w:val="0"/>
        <w:spacing w:line="360" w:lineRule="auto"/>
        <w:ind w:firstLine="420" w:firstLineChars="200"/>
        <w:rPr>
          <w:rFonts w:hint="eastAsia" w:ascii="仿宋" w:hAnsi="仿宋" w:eastAsia="仿宋" w:cs="仿宋"/>
          <w:color w:val="auto"/>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注：</w:t>
      </w:r>
    </w:p>
    <w:p w14:paraId="78E59336">
      <w:pPr>
        <w:adjustRightInd w:val="0"/>
        <w:snapToGrid w:val="0"/>
        <w:spacing w:line="360" w:lineRule="auto"/>
        <w:ind w:firstLine="42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若供应商在响应文件递交截止之日成立时间不足三年，以自成立以来的时间计取。</w:t>
      </w:r>
    </w:p>
    <w:p w14:paraId="3C9A8A85">
      <w:pPr>
        <w:adjustRightInd w:val="0"/>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p>
    <w:p w14:paraId="5CC600E3">
      <w:pPr>
        <w:adjustRightInd w:val="0"/>
        <w:snapToGrid w:val="0"/>
        <w:spacing w:line="360" w:lineRule="auto"/>
        <w:ind w:firstLine="3112" w:firstLineChars="1297"/>
        <w:rPr>
          <w:rFonts w:hint="eastAsia" w:ascii="仿宋" w:hAnsi="仿宋" w:eastAsia="仿宋" w:cs="仿宋"/>
          <w:color w:val="auto"/>
          <w:sz w:val="24"/>
          <w:szCs w:val="24"/>
          <w:highlight w:val="none"/>
          <w:shd w:val="clear" w:color="auto" w:fill="FFFFFF" w:themeFill="background1"/>
        </w:rPr>
      </w:pPr>
    </w:p>
    <w:p w14:paraId="65DFE9C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53C04BAF">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p>
    <w:p w14:paraId="40438475">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p>
    <w:p w14:paraId="24971FAE">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0CAB78E2">
      <w:pPr>
        <w:widowControl/>
        <w:shd w:val="clear" w:color="auto" w:fill="FFFFFF"/>
        <w:snapToGrid w:val="0"/>
        <w:spacing w:line="360" w:lineRule="auto"/>
        <w:ind w:firstLine="420"/>
        <w:rPr>
          <w:rFonts w:hint="eastAsia" w:ascii="仿宋" w:hAnsi="仿宋" w:eastAsia="仿宋" w:cs="仿宋"/>
          <w:color w:val="auto"/>
          <w:kern w:val="0"/>
          <w:sz w:val="24"/>
          <w:szCs w:val="24"/>
          <w:highlight w:val="none"/>
          <w:shd w:val="clear" w:color="auto" w:fill="FFFFFF" w:themeFill="background1"/>
        </w:rPr>
      </w:pPr>
    </w:p>
    <w:p w14:paraId="7D45087E">
      <w:pPr>
        <w:widowControl/>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br w:type="page"/>
      </w:r>
    </w:p>
    <w:p w14:paraId="69D1EB40">
      <w:pPr>
        <w:adjustRightInd w:val="0"/>
        <w:snapToGrid w:val="0"/>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157" w:name="_Toc8918"/>
      <w:bookmarkStart w:id="158" w:name="_Toc3248"/>
      <w:bookmarkStart w:id="159" w:name="_Toc27822"/>
      <w:bookmarkStart w:id="160" w:name="_Toc113901853"/>
      <w:bookmarkStart w:id="161" w:name="_Toc21901"/>
      <w:bookmarkStart w:id="162" w:name="_Toc4228"/>
      <w:bookmarkStart w:id="163" w:name="_Toc128476882"/>
      <w:bookmarkStart w:id="164" w:name="_Toc16785"/>
      <w:bookmarkStart w:id="165" w:name="_Toc156750403"/>
      <w:bookmarkStart w:id="166" w:name="_Toc1758"/>
      <w:bookmarkStart w:id="167" w:name="_Toc5886"/>
      <w:bookmarkStart w:id="168" w:name="_Toc10130"/>
      <w:bookmarkStart w:id="169" w:name="_Toc22191"/>
      <w:bookmarkStart w:id="170" w:name="_Toc31476"/>
      <w:bookmarkStart w:id="171" w:name="_Toc6166"/>
      <w:bookmarkStart w:id="172" w:name="_Toc22511"/>
      <w:bookmarkStart w:id="173" w:name="_Toc23458"/>
      <w:bookmarkStart w:id="174" w:name="_Toc15699"/>
      <w:bookmarkStart w:id="175" w:name="_Toc16470"/>
      <w:bookmarkStart w:id="176" w:name="_Toc25682"/>
      <w:r>
        <w:rPr>
          <w:rFonts w:hint="eastAsia" w:ascii="仿宋" w:hAnsi="仿宋" w:eastAsia="仿宋" w:cs="仿宋"/>
          <w:b/>
          <w:color w:val="auto"/>
          <w:sz w:val="24"/>
          <w:szCs w:val="24"/>
          <w:highlight w:val="none"/>
          <w:shd w:val="clear" w:color="auto" w:fill="FFFFFF" w:themeFill="background1"/>
          <w:lang w:val="en-US" w:eastAsia="zh-CN"/>
        </w:rPr>
        <w:t>8</w:t>
      </w:r>
      <w:r>
        <w:rPr>
          <w:rFonts w:hint="eastAsia" w:ascii="仿宋" w:hAnsi="仿宋" w:eastAsia="仿宋" w:cs="仿宋"/>
          <w:b/>
          <w:color w:val="auto"/>
          <w:sz w:val="24"/>
          <w:szCs w:val="24"/>
          <w:highlight w:val="none"/>
          <w:shd w:val="clear" w:color="auto" w:fill="FFFFFF" w:themeFill="background1"/>
        </w:rPr>
        <w:t>.5、具备法律、行政法规规定的其他条件的证明材料</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2B79E490">
      <w:pPr>
        <w:widowControl/>
        <w:adjustRightInd w:val="0"/>
        <w:snapToGrid w:val="0"/>
        <w:spacing w:line="360" w:lineRule="auto"/>
        <w:rPr>
          <w:rFonts w:hint="eastAsia" w:ascii="仿宋" w:hAnsi="仿宋" w:eastAsia="仿宋" w:cs="仿宋"/>
          <w:color w:val="auto"/>
          <w:sz w:val="24"/>
          <w:szCs w:val="24"/>
          <w:highlight w:val="none"/>
          <w:shd w:val="clear" w:color="auto" w:fill="FFFFFF" w:themeFill="background1"/>
        </w:rPr>
      </w:pPr>
    </w:p>
    <w:p w14:paraId="2AE2489E">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1、国家有关主管部门的行政许可（如有时）。</w:t>
      </w:r>
    </w:p>
    <w:p w14:paraId="5E37EAC3">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rPr>
        <w:t>2、中小企业声明函/残疾人福利性单位声明函/监狱企业证明文件（如有时）。</w:t>
      </w:r>
      <w:r>
        <w:rPr>
          <w:rFonts w:hint="eastAsia" w:ascii="仿宋" w:hAnsi="仿宋" w:eastAsia="仿宋" w:cs="仿宋"/>
          <w:color w:val="auto"/>
          <w:sz w:val="24"/>
          <w:szCs w:val="24"/>
          <w:highlight w:val="none"/>
        </w:rPr>
        <w:br w:type="page"/>
      </w:r>
    </w:p>
    <w:p w14:paraId="51216385">
      <w:pPr>
        <w:pStyle w:val="38"/>
        <w:spacing w:before="0" w:beforeAutospacing="0" w:after="0" w:afterAutospacing="0" w:line="360" w:lineRule="auto"/>
        <w:rPr>
          <w:rStyle w:val="46"/>
          <w:rFonts w:hint="eastAsia" w:ascii="仿宋" w:hAnsi="仿宋" w:eastAsia="仿宋" w:cs="仿宋"/>
          <w:color w:val="auto"/>
          <w:highlight w:val="none"/>
          <w:shd w:val="clear" w:color="auto" w:fill="FFFFFF" w:themeFill="background1"/>
        </w:rPr>
      </w:pPr>
      <w:r>
        <w:rPr>
          <w:rStyle w:val="46"/>
          <w:rFonts w:hint="eastAsia" w:ascii="仿宋" w:hAnsi="仿宋" w:eastAsia="仿宋" w:cs="仿宋"/>
          <w:color w:val="auto"/>
          <w:highlight w:val="none"/>
          <w:shd w:val="clear" w:color="auto" w:fill="FFFFFF" w:themeFill="background1"/>
        </w:rPr>
        <w:t xml:space="preserve">附表一、                  </w:t>
      </w:r>
    </w:p>
    <w:p w14:paraId="67B0BCD5">
      <w:pPr>
        <w:spacing w:line="360" w:lineRule="auto"/>
        <w:jc w:val="center"/>
        <w:rPr>
          <w:rFonts w:hint="eastAsia" w:ascii="仿宋" w:hAnsi="仿宋" w:eastAsia="仿宋" w:cs="仿宋"/>
          <w:b/>
          <w:color w:val="auto"/>
          <w:spacing w:val="6"/>
          <w:sz w:val="24"/>
          <w:szCs w:val="24"/>
          <w:highlight w:val="none"/>
          <w:shd w:val="clear" w:color="auto" w:fill="FFFFFF" w:themeFill="background1"/>
        </w:rPr>
      </w:pPr>
    </w:p>
    <w:p w14:paraId="36A7478C">
      <w:pPr>
        <w:spacing w:line="360" w:lineRule="auto"/>
        <w:jc w:val="center"/>
        <w:rPr>
          <w:rFonts w:hint="eastAsia" w:ascii="仿宋" w:hAnsi="仿宋" w:eastAsia="仿宋" w:cs="仿宋"/>
          <w:b/>
          <w:color w:val="auto"/>
          <w:spacing w:val="6"/>
          <w:sz w:val="24"/>
          <w:szCs w:val="24"/>
          <w:highlight w:val="none"/>
          <w:shd w:val="clear" w:color="auto" w:fill="FFFFFF" w:themeFill="background1"/>
        </w:rPr>
      </w:pPr>
      <w:r>
        <w:rPr>
          <w:rFonts w:hint="eastAsia" w:ascii="仿宋" w:hAnsi="仿宋" w:eastAsia="仿宋" w:cs="仿宋"/>
          <w:b/>
          <w:color w:val="auto"/>
          <w:spacing w:val="6"/>
          <w:sz w:val="24"/>
          <w:szCs w:val="24"/>
          <w:highlight w:val="none"/>
          <w:shd w:val="clear" w:color="auto" w:fill="FFFFFF" w:themeFill="background1"/>
        </w:rPr>
        <w:t>中小企业声明函（工程、服务）</w:t>
      </w:r>
    </w:p>
    <w:p w14:paraId="1BC7C534">
      <w:pPr>
        <w:spacing w:line="360" w:lineRule="auto"/>
        <w:jc w:val="center"/>
        <w:rPr>
          <w:rFonts w:hint="eastAsia" w:ascii="仿宋" w:hAnsi="仿宋" w:eastAsia="仿宋" w:cs="仿宋"/>
          <w:b/>
          <w:color w:val="auto"/>
          <w:spacing w:val="6"/>
          <w:sz w:val="24"/>
          <w:szCs w:val="24"/>
          <w:highlight w:val="none"/>
          <w:shd w:val="clear" w:color="auto" w:fill="FFFFFF" w:themeFill="background1"/>
        </w:rPr>
      </w:pPr>
    </w:p>
    <w:p w14:paraId="309CEDF0">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本公司（联合体）郑重声明，根据《政府采购促进中小企业发展管理办法》（财库﹝2020﹞46 号）的规定，本公司</w:t>
      </w:r>
      <w:r>
        <w:rPr>
          <w:rFonts w:hint="eastAsia" w:ascii="仿宋" w:hAnsi="仿宋" w:eastAsia="仿宋" w:cs="仿宋"/>
          <w:color w:val="auto"/>
          <w:kern w:val="0"/>
          <w:sz w:val="24"/>
          <w:szCs w:val="24"/>
          <w:highlight w:val="none"/>
          <w:u w:val="single"/>
          <w:shd w:val="clear" w:color="auto" w:fill="FFFFFF" w:themeFill="background1"/>
        </w:rPr>
        <w:t xml:space="preserve">  （联合体）</w:t>
      </w:r>
      <w:r>
        <w:rPr>
          <w:rFonts w:hint="eastAsia" w:ascii="仿宋" w:hAnsi="仿宋" w:eastAsia="仿宋" w:cs="仿宋"/>
          <w:color w:val="auto"/>
          <w:kern w:val="0"/>
          <w:sz w:val="24"/>
          <w:szCs w:val="24"/>
          <w:highlight w:val="none"/>
          <w:shd w:val="clear" w:color="auto" w:fill="FFFFFF" w:themeFill="background1"/>
        </w:rPr>
        <w:t>参加</w:t>
      </w:r>
      <w:r>
        <w:rPr>
          <w:rFonts w:hint="eastAsia" w:ascii="仿宋" w:hAnsi="仿宋" w:eastAsia="仿宋" w:cs="仿宋"/>
          <w:color w:val="auto"/>
          <w:kern w:val="0"/>
          <w:sz w:val="24"/>
          <w:szCs w:val="24"/>
          <w:highlight w:val="none"/>
          <w:u w:val="single"/>
          <w:shd w:val="clear" w:color="auto" w:fill="FFFFFF" w:themeFill="background1"/>
        </w:rPr>
        <w:t xml:space="preserve">   （单位名称）</w:t>
      </w:r>
      <w:r>
        <w:rPr>
          <w:rFonts w:hint="eastAsia" w:ascii="仿宋" w:hAnsi="仿宋" w:eastAsia="仿宋" w:cs="仿宋"/>
          <w:color w:val="auto"/>
          <w:kern w:val="0"/>
          <w:sz w:val="24"/>
          <w:szCs w:val="24"/>
          <w:highlight w:val="none"/>
          <w:shd w:val="clear" w:color="auto" w:fill="FFFFFF" w:themeFill="background1"/>
        </w:rPr>
        <w:t>的</w:t>
      </w:r>
      <w:r>
        <w:rPr>
          <w:rFonts w:hint="eastAsia" w:ascii="仿宋" w:hAnsi="仿宋" w:eastAsia="仿宋" w:cs="仿宋"/>
          <w:color w:val="auto"/>
          <w:kern w:val="0"/>
          <w:sz w:val="24"/>
          <w:szCs w:val="24"/>
          <w:highlight w:val="none"/>
          <w:u w:val="single"/>
          <w:shd w:val="clear" w:color="auto" w:fill="FFFFFF" w:themeFill="background1"/>
        </w:rPr>
        <w:t xml:space="preserve">   （项目名称）</w:t>
      </w:r>
      <w:r>
        <w:rPr>
          <w:rFonts w:hint="eastAsia" w:ascii="仿宋" w:hAnsi="仿宋" w:eastAsia="仿宋" w:cs="仿宋"/>
          <w:color w:val="auto"/>
          <w:kern w:val="0"/>
          <w:sz w:val="24"/>
          <w:szCs w:val="24"/>
          <w:highlight w:val="none"/>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14:paraId="60FAA2E3">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1. </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（标的名称）</w:t>
      </w:r>
      <w:r>
        <w:rPr>
          <w:rFonts w:hint="eastAsia" w:ascii="仿宋" w:hAnsi="仿宋" w:eastAsia="仿宋" w:cs="仿宋"/>
          <w:color w:val="auto"/>
          <w:kern w:val="0"/>
          <w:sz w:val="24"/>
          <w:szCs w:val="24"/>
          <w:highlight w:val="none"/>
          <w:shd w:val="clear" w:color="auto" w:fill="FFFFFF" w:themeFill="background1"/>
        </w:rPr>
        <w:t xml:space="preserve"> ，属于</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（采购文件中明确的所属行业）</w:t>
      </w:r>
      <w:r>
        <w:rPr>
          <w:rFonts w:hint="eastAsia" w:ascii="仿宋" w:hAnsi="仿宋" w:eastAsia="仿宋" w:cs="仿宋"/>
          <w:color w:val="auto"/>
          <w:kern w:val="0"/>
          <w:sz w:val="24"/>
          <w:szCs w:val="24"/>
          <w:highlight w:val="none"/>
          <w:shd w:val="clear" w:color="auto" w:fill="FFFFFF" w:themeFill="background1"/>
        </w:rPr>
        <w:t>；承建（承接）企业为</w:t>
      </w:r>
      <w:r>
        <w:rPr>
          <w:rFonts w:hint="eastAsia" w:ascii="仿宋" w:hAnsi="仿宋" w:eastAsia="仿宋" w:cs="仿宋"/>
          <w:color w:val="auto"/>
          <w:kern w:val="0"/>
          <w:sz w:val="24"/>
          <w:szCs w:val="24"/>
          <w:highlight w:val="none"/>
          <w:u w:val="single"/>
          <w:shd w:val="clear" w:color="auto" w:fill="FFFFFF" w:themeFill="background1"/>
        </w:rPr>
        <w:t xml:space="preserve">   （企业名称）</w:t>
      </w:r>
      <w:r>
        <w:rPr>
          <w:rFonts w:hint="eastAsia" w:ascii="仿宋" w:hAnsi="仿宋" w:eastAsia="仿宋" w:cs="仿宋"/>
          <w:color w:val="auto"/>
          <w:kern w:val="0"/>
          <w:sz w:val="24"/>
          <w:szCs w:val="24"/>
          <w:highlight w:val="none"/>
          <w:shd w:val="clear" w:color="auto" w:fill="FFFFFF" w:themeFill="background1"/>
        </w:rPr>
        <w:t>，从业人员</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人，营业收入为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万元，资产总额为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万元，属于</w:t>
      </w:r>
      <w:r>
        <w:rPr>
          <w:rFonts w:hint="eastAsia" w:ascii="仿宋" w:hAnsi="仿宋" w:eastAsia="仿宋" w:cs="仿宋"/>
          <w:color w:val="auto"/>
          <w:kern w:val="0"/>
          <w:sz w:val="24"/>
          <w:szCs w:val="24"/>
          <w:highlight w:val="none"/>
          <w:u w:val="single"/>
          <w:shd w:val="clear" w:color="auto" w:fill="FFFFFF" w:themeFill="background1"/>
        </w:rPr>
        <w:t xml:space="preserve">   （中型企业、小型企业、微型企业</w:t>
      </w:r>
      <w:r>
        <w:rPr>
          <w:rFonts w:hint="eastAsia" w:ascii="仿宋" w:hAnsi="仿宋" w:eastAsia="仿宋" w:cs="仿宋"/>
          <w:color w:val="auto"/>
          <w:kern w:val="0"/>
          <w:sz w:val="24"/>
          <w:szCs w:val="24"/>
          <w:highlight w:val="none"/>
          <w:shd w:val="clear" w:color="auto" w:fill="FFFFFF" w:themeFill="background1"/>
        </w:rPr>
        <w:t>）；</w:t>
      </w:r>
    </w:p>
    <w:p w14:paraId="025B5AAB">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  </w:t>
      </w:r>
      <w:r>
        <w:rPr>
          <w:rFonts w:hint="eastAsia" w:ascii="仿宋" w:hAnsi="仿宋" w:eastAsia="仿宋" w:cs="仿宋"/>
          <w:color w:val="auto"/>
          <w:kern w:val="0"/>
          <w:sz w:val="24"/>
          <w:szCs w:val="24"/>
          <w:highlight w:val="none"/>
          <w:u w:val="single"/>
          <w:shd w:val="clear" w:color="auto" w:fill="FFFFFF" w:themeFill="background1"/>
        </w:rPr>
        <w:t xml:space="preserve">   （标的名称）</w:t>
      </w:r>
      <w:r>
        <w:rPr>
          <w:rFonts w:hint="eastAsia" w:ascii="仿宋" w:hAnsi="仿宋" w:eastAsia="仿宋" w:cs="仿宋"/>
          <w:color w:val="auto"/>
          <w:kern w:val="0"/>
          <w:sz w:val="24"/>
          <w:szCs w:val="24"/>
          <w:highlight w:val="none"/>
          <w:shd w:val="clear" w:color="auto" w:fill="FFFFFF" w:themeFill="background1"/>
        </w:rPr>
        <w:t xml:space="preserve"> ，属于</w:t>
      </w:r>
      <w:r>
        <w:rPr>
          <w:rFonts w:hint="eastAsia" w:ascii="仿宋" w:hAnsi="仿宋" w:eastAsia="仿宋" w:cs="仿宋"/>
          <w:color w:val="auto"/>
          <w:kern w:val="0"/>
          <w:sz w:val="24"/>
          <w:szCs w:val="24"/>
          <w:highlight w:val="none"/>
          <w:u w:val="single"/>
          <w:shd w:val="clear" w:color="auto" w:fill="FFFFFF" w:themeFill="background1"/>
        </w:rPr>
        <w:t xml:space="preserve">   （采购文件中明确的所属行业）</w:t>
      </w:r>
      <w:r>
        <w:rPr>
          <w:rFonts w:hint="eastAsia" w:ascii="仿宋" w:hAnsi="仿宋" w:eastAsia="仿宋" w:cs="仿宋"/>
          <w:color w:val="auto"/>
          <w:kern w:val="0"/>
          <w:sz w:val="24"/>
          <w:szCs w:val="24"/>
          <w:highlight w:val="none"/>
          <w:shd w:val="clear" w:color="auto" w:fill="FFFFFF" w:themeFill="background1"/>
        </w:rPr>
        <w:t>；承建（承接）企业为</w:t>
      </w:r>
      <w:r>
        <w:rPr>
          <w:rFonts w:hint="eastAsia" w:ascii="仿宋" w:hAnsi="仿宋" w:eastAsia="仿宋" w:cs="仿宋"/>
          <w:color w:val="auto"/>
          <w:kern w:val="0"/>
          <w:sz w:val="24"/>
          <w:szCs w:val="24"/>
          <w:highlight w:val="none"/>
          <w:u w:val="single"/>
          <w:shd w:val="clear" w:color="auto" w:fill="FFFFFF" w:themeFill="background1"/>
        </w:rPr>
        <w:t xml:space="preserve">   （企业名称）</w:t>
      </w:r>
      <w:r>
        <w:rPr>
          <w:rFonts w:hint="eastAsia" w:ascii="仿宋" w:hAnsi="仿宋" w:eastAsia="仿宋" w:cs="仿宋"/>
          <w:color w:val="auto"/>
          <w:kern w:val="0"/>
          <w:sz w:val="24"/>
          <w:szCs w:val="24"/>
          <w:highlight w:val="none"/>
          <w:shd w:val="clear" w:color="auto" w:fill="FFFFFF" w:themeFill="background1"/>
        </w:rPr>
        <w:t>，从业人员</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人，营业收入为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万元，资产总额为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万元，属于</w:t>
      </w:r>
      <w:r>
        <w:rPr>
          <w:rFonts w:hint="eastAsia" w:ascii="仿宋" w:hAnsi="仿宋" w:eastAsia="仿宋" w:cs="仿宋"/>
          <w:color w:val="auto"/>
          <w:kern w:val="0"/>
          <w:sz w:val="24"/>
          <w:szCs w:val="24"/>
          <w:highlight w:val="none"/>
          <w:u w:val="single"/>
          <w:shd w:val="clear" w:color="auto" w:fill="FFFFFF" w:themeFill="background1"/>
        </w:rPr>
        <w:t xml:space="preserve">   （中型企业、小型企业、微型企业</w:t>
      </w:r>
      <w:r>
        <w:rPr>
          <w:rFonts w:hint="eastAsia" w:ascii="仿宋" w:hAnsi="仿宋" w:eastAsia="仿宋" w:cs="仿宋"/>
          <w:color w:val="auto"/>
          <w:kern w:val="0"/>
          <w:sz w:val="24"/>
          <w:szCs w:val="24"/>
          <w:highlight w:val="none"/>
          <w:shd w:val="clear" w:color="auto" w:fill="FFFFFF" w:themeFill="background1"/>
        </w:rPr>
        <w:t>）；</w:t>
      </w:r>
    </w:p>
    <w:p w14:paraId="45BC08F3">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w:t>
      </w:r>
    </w:p>
    <w:p w14:paraId="46E624A2">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以上企业，不属于大企业的分支机构，不存在控股股东为大企业的情形，也不存在与大企业的负责人为同一人的情形。</w:t>
      </w:r>
    </w:p>
    <w:p w14:paraId="43C5E39F">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本企业对上述声明内容的真实性负责。如有虚假，将依法承担相应责任。</w:t>
      </w:r>
    </w:p>
    <w:p w14:paraId="6D758188">
      <w:pPr>
        <w:spacing w:line="360" w:lineRule="auto"/>
        <w:ind w:firstLine="480" w:firstLineChars="200"/>
        <w:jc w:val="right"/>
        <w:rPr>
          <w:rFonts w:hint="eastAsia" w:ascii="仿宋" w:hAnsi="仿宋" w:eastAsia="仿宋" w:cs="仿宋"/>
          <w:color w:val="auto"/>
          <w:kern w:val="0"/>
          <w:sz w:val="24"/>
          <w:szCs w:val="24"/>
          <w:highlight w:val="none"/>
          <w:shd w:val="clear" w:color="auto" w:fill="FFFFFF" w:themeFill="background1"/>
        </w:rPr>
      </w:pPr>
    </w:p>
    <w:p w14:paraId="43C34824">
      <w:pPr>
        <w:spacing w:line="360" w:lineRule="auto"/>
        <w:ind w:firstLine="480" w:firstLineChars="20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企业名称（盖章）：</w:t>
      </w:r>
    </w:p>
    <w:p w14:paraId="109233E8">
      <w:pPr>
        <w:spacing w:line="360" w:lineRule="auto"/>
        <w:ind w:right="480" w:firstLine="480" w:firstLineChars="200"/>
        <w:jc w:val="cente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w:t>
      </w:r>
    </w:p>
    <w:p w14:paraId="4D53F36A">
      <w:pPr>
        <w:spacing w:line="360" w:lineRule="auto"/>
        <w:rPr>
          <w:rFonts w:hint="eastAsia" w:ascii="仿宋" w:hAnsi="仿宋" w:eastAsia="仿宋" w:cs="仿宋"/>
          <w:color w:val="auto"/>
          <w:kern w:val="0"/>
          <w:sz w:val="24"/>
          <w:szCs w:val="24"/>
          <w:highlight w:val="none"/>
          <w:shd w:val="clear" w:color="auto" w:fill="FFFFFF" w:themeFill="background1"/>
        </w:rPr>
      </w:pPr>
    </w:p>
    <w:p w14:paraId="188F74CF">
      <w:pPr>
        <w:spacing w:line="360" w:lineRule="auto"/>
        <w:rPr>
          <w:rStyle w:val="46"/>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注：人员、营业收入、资产总额填报上一年度数据，无上一年度数据的新成立企业可不填报。</w:t>
      </w:r>
    </w:p>
    <w:p w14:paraId="7FC77F9B">
      <w:pPr>
        <w:pStyle w:val="3"/>
        <w:spacing w:after="0"/>
        <w:ind w:firstLine="480" w:firstLineChars="200"/>
        <w:rPr>
          <w:rFonts w:hint="eastAsia" w:ascii="仿宋" w:hAnsi="仿宋" w:eastAsia="仿宋" w:cs="仿宋"/>
          <w:color w:val="auto"/>
          <w:sz w:val="21"/>
          <w:szCs w:val="21"/>
          <w:highlight w:val="none"/>
        </w:rPr>
      </w:pPr>
      <w:r>
        <w:rPr>
          <w:rFonts w:hint="eastAsia" w:ascii="仿宋" w:hAnsi="仿宋" w:eastAsia="仿宋" w:cs="仿宋"/>
          <w:color w:val="auto"/>
          <w:highlight w:val="none"/>
        </w:rPr>
        <w:br w:type="page"/>
      </w:r>
    </w:p>
    <w:p w14:paraId="344A281D">
      <w:pPr>
        <w:widowControl/>
        <w:spacing w:line="360" w:lineRule="auto"/>
        <w:jc w:val="left"/>
        <w:rPr>
          <w:rFonts w:hint="eastAsia" w:ascii="仿宋" w:hAnsi="仿宋" w:eastAsia="仿宋" w:cs="仿宋"/>
          <w:color w:val="auto"/>
          <w:spacing w:val="6"/>
          <w:sz w:val="24"/>
          <w:szCs w:val="24"/>
          <w:highlight w:val="none"/>
          <w:shd w:val="clear" w:color="auto" w:fill="FFFFFF" w:themeFill="background1"/>
        </w:rPr>
      </w:pPr>
      <w:r>
        <w:rPr>
          <w:rStyle w:val="46"/>
          <w:rFonts w:hint="eastAsia" w:ascii="仿宋" w:hAnsi="仿宋" w:eastAsia="仿宋" w:cs="仿宋"/>
          <w:color w:val="auto"/>
          <w:kern w:val="0"/>
          <w:sz w:val="24"/>
          <w:szCs w:val="24"/>
          <w:highlight w:val="none"/>
          <w:shd w:val="clear" w:color="auto" w:fill="FFFFFF" w:themeFill="background1"/>
        </w:rPr>
        <w:t>附表二、</w:t>
      </w:r>
    </w:p>
    <w:p w14:paraId="18541745">
      <w:pPr>
        <w:spacing w:line="360" w:lineRule="auto"/>
        <w:jc w:val="center"/>
        <w:rPr>
          <w:rFonts w:hint="eastAsia" w:ascii="仿宋" w:hAnsi="仿宋" w:eastAsia="仿宋" w:cs="仿宋"/>
          <w:b/>
          <w:color w:val="auto"/>
          <w:spacing w:val="6"/>
          <w:sz w:val="24"/>
          <w:szCs w:val="24"/>
          <w:highlight w:val="none"/>
          <w:shd w:val="clear" w:color="auto" w:fill="FFFFFF" w:themeFill="background1"/>
        </w:rPr>
      </w:pPr>
      <w:r>
        <w:rPr>
          <w:rFonts w:hint="eastAsia" w:ascii="仿宋" w:hAnsi="仿宋" w:eastAsia="仿宋" w:cs="仿宋"/>
          <w:b/>
          <w:color w:val="auto"/>
          <w:spacing w:val="6"/>
          <w:sz w:val="24"/>
          <w:szCs w:val="24"/>
          <w:highlight w:val="none"/>
          <w:shd w:val="clear" w:color="auto" w:fill="FFFFFF" w:themeFill="background1"/>
        </w:rPr>
        <w:t>残疾人福利性单位声明函</w:t>
      </w:r>
    </w:p>
    <w:p w14:paraId="621CCFCA">
      <w:pPr>
        <w:spacing w:line="360" w:lineRule="auto"/>
        <w:rPr>
          <w:rFonts w:hint="eastAsia" w:ascii="仿宋" w:hAnsi="仿宋" w:eastAsia="仿宋" w:cs="仿宋"/>
          <w:b/>
          <w:color w:val="auto"/>
          <w:spacing w:val="6"/>
          <w:sz w:val="24"/>
          <w:szCs w:val="24"/>
          <w:highlight w:val="none"/>
          <w:shd w:val="clear" w:color="auto" w:fill="FFFFFF" w:themeFill="background1"/>
        </w:rPr>
      </w:pPr>
    </w:p>
    <w:p w14:paraId="444BB2C2">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shd w:val="clear" w:color="auto" w:fill="FFFFFF" w:themeFill="background1"/>
        </w:rPr>
        <w:t>〔2017〕 141</w:t>
      </w:r>
      <w:r>
        <w:rPr>
          <w:rFonts w:hint="eastAsia" w:ascii="仿宋" w:hAnsi="仿宋" w:eastAsia="仿宋" w:cs="仿宋"/>
          <w:color w:val="auto"/>
          <w:spacing w:val="6"/>
          <w:sz w:val="24"/>
          <w:szCs w:val="24"/>
          <w:highlight w:val="none"/>
          <w:shd w:val="clear" w:color="auto" w:fill="FFFFFF" w:themeFill="background1"/>
        </w:rPr>
        <w:t>号）的规定，本单位为符合条件的残疾人福利性单位，且本单位参加</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shd w:val="clear" w:color="auto" w:fill="FFFFFF" w:themeFill="background1"/>
        </w:rPr>
        <w:t>单位的</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shd w:val="clear" w:color="auto" w:fill="FFFFFF" w:themeFill="background1"/>
        </w:rPr>
        <w:t>项目采购活动提供本单位制造的货物（由本单位承担工程/提供服务），或者提供其他残疾人福利性单位制造的货物（不包括使用非残疾人福利性单位注册商标的货物）。</w:t>
      </w:r>
    </w:p>
    <w:p w14:paraId="0159A5EB">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本单位对上述声明的真实性负责。如有虚假，将依法承担相应责任。</w:t>
      </w:r>
    </w:p>
    <w:p w14:paraId="399A51D9">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p>
    <w:p w14:paraId="35A24264">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p>
    <w:p w14:paraId="0B8E1CAC">
      <w:pPr>
        <w:tabs>
          <w:tab w:val="left" w:pos="4860"/>
        </w:tabs>
        <w:spacing w:line="360" w:lineRule="auto"/>
        <w:ind w:right="1560"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单位名称（盖章）：</w:t>
      </w:r>
    </w:p>
    <w:p w14:paraId="66DCA1EB">
      <w:pPr>
        <w:tabs>
          <w:tab w:val="left" w:pos="4860"/>
        </w:tabs>
        <w:spacing w:line="360" w:lineRule="auto"/>
        <w:ind w:right="1560" w:firstLine="504" w:firstLineChars="200"/>
        <w:jc w:val="center"/>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 xml:space="preserve">                                           日  期：</w:t>
      </w:r>
    </w:p>
    <w:p w14:paraId="175A8D2D">
      <w:pPr>
        <w:spacing w:line="360" w:lineRule="auto"/>
        <w:rPr>
          <w:rFonts w:hint="eastAsia" w:ascii="仿宋" w:hAnsi="仿宋" w:eastAsia="仿宋" w:cs="仿宋"/>
          <w:color w:val="auto"/>
          <w:sz w:val="24"/>
          <w:szCs w:val="24"/>
          <w:highlight w:val="none"/>
          <w:shd w:val="clear" w:color="auto" w:fill="FFFFFF" w:themeFill="background1"/>
        </w:rPr>
      </w:pPr>
    </w:p>
    <w:p w14:paraId="4A8BD7CA">
      <w:pPr>
        <w:spacing w:line="360" w:lineRule="auto"/>
        <w:rPr>
          <w:rFonts w:hint="eastAsia" w:ascii="仿宋" w:hAnsi="仿宋" w:eastAsia="仿宋" w:cs="仿宋"/>
          <w:color w:val="auto"/>
          <w:sz w:val="24"/>
          <w:szCs w:val="24"/>
          <w:highlight w:val="none"/>
          <w:shd w:val="clear" w:color="auto" w:fill="FFFFFF" w:themeFill="background1"/>
        </w:rPr>
      </w:pPr>
    </w:p>
    <w:p w14:paraId="118C2B6D">
      <w:pPr>
        <w:spacing w:line="360" w:lineRule="auto"/>
        <w:rPr>
          <w:rFonts w:hint="eastAsia" w:ascii="仿宋" w:hAnsi="仿宋" w:eastAsia="仿宋" w:cs="仿宋"/>
          <w:color w:val="auto"/>
          <w:sz w:val="24"/>
          <w:szCs w:val="24"/>
          <w:highlight w:val="none"/>
          <w:shd w:val="clear" w:color="auto" w:fill="FFFFFF" w:themeFill="background1"/>
        </w:rPr>
      </w:pPr>
    </w:p>
    <w:p w14:paraId="4053A49F">
      <w:pPr>
        <w:widowControl/>
        <w:spacing w:line="360" w:lineRule="auto"/>
        <w:jc w:val="left"/>
        <w:rPr>
          <w:rStyle w:val="46"/>
          <w:rFonts w:hint="eastAsia" w:ascii="仿宋" w:hAnsi="仿宋" w:eastAsia="仿宋" w:cs="仿宋"/>
          <w:b w:val="0"/>
          <w:color w:val="auto"/>
          <w:sz w:val="24"/>
          <w:szCs w:val="24"/>
          <w:highlight w:val="none"/>
          <w:shd w:val="clear" w:color="auto" w:fill="FFFFFF" w:themeFill="background1"/>
        </w:rPr>
      </w:pPr>
      <w:r>
        <w:rPr>
          <w:rStyle w:val="46"/>
          <w:rFonts w:hint="eastAsia" w:ascii="仿宋" w:hAnsi="仿宋" w:eastAsia="仿宋" w:cs="仿宋"/>
          <w:color w:val="auto"/>
          <w:kern w:val="0"/>
          <w:sz w:val="24"/>
          <w:szCs w:val="24"/>
          <w:highlight w:val="none"/>
          <w:shd w:val="clear" w:color="auto" w:fill="FFFFFF" w:themeFill="background1"/>
        </w:rPr>
        <w:t>附表三、</w:t>
      </w:r>
    </w:p>
    <w:p w14:paraId="2AB43E7F">
      <w:pPr>
        <w:spacing w:line="360" w:lineRule="auto"/>
        <w:jc w:val="center"/>
        <w:rPr>
          <w:rStyle w:val="46"/>
          <w:rFonts w:hint="eastAsia" w:ascii="仿宋" w:hAnsi="仿宋" w:eastAsia="仿宋" w:cs="仿宋"/>
          <w:b w:val="0"/>
          <w:color w:val="auto"/>
          <w:kern w:val="0"/>
          <w:sz w:val="24"/>
          <w:szCs w:val="24"/>
          <w:highlight w:val="none"/>
          <w:shd w:val="clear" w:color="auto" w:fill="FFFFFF" w:themeFill="background1"/>
        </w:rPr>
      </w:pPr>
      <w:r>
        <w:rPr>
          <w:rStyle w:val="46"/>
          <w:rFonts w:hint="eastAsia" w:ascii="仿宋" w:hAnsi="仿宋" w:eastAsia="仿宋" w:cs="仿宋"/>
          <w:color w:val="auto"/>
          <w:kern w:val="0"/>
          <w:sz w:val="24"/>
          <w:szCs w:val="24"/>
          <w:highlight w:val="none"/>
          <w:shd w:val="clear" w:color="auto" w:fill="FFFFFF" w:themeFill="background1"/>
        </w:rPr>
        <w:t>监狱企业证明文件</w:t>
      </w:r>
    </w:p>
    <w:p w14:paraId="2EDBF17F">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监狱企业参加政府采购活动时，应当提供由省级以上监狱管理局、戒毒管理局（含新疆生产建设兵团）出具的属于监狱企业的证明文件。</w:t>
      </w:r>
    </w:p>
    <w:p w14:paraId="36454E1C">
      <w:pPr>
        <w:widowControl/>
        <w:adjustRightInd w:val="0"/>
        <w:snapToGrid w:val="0"/>
        <w:spacing w:line="360" w:lineRule="auto"/>
        <w:rPr>
          <w:rFonts w:hint="eastAsia" w:ascii="仿宋" w:hAnsi="仿宋" w:eastAsia="仿宋" w:cs="仿宋"/>
          <w:color w:val="auto"/>
          <w:sz w:val="24"/>
          <w:szCs w:val="24"/>
          <w:highlight w:val="none"/>
          <w:shd w:val="clear" w:color="auto" w:fill="FFFFFF" w:themeFill="background1"/>
        </w:rPr>
      </w:pPr>
    </w:p>
    <w:p w14:paraId="2438C638">
      <w:pPr>
        <w:rPr>
          <w:rFonts w:hint="eastAsia" w:ascii="仿宋" w:hAnsi="仿宋" w:eastAsia="仿宋" w:cs="仿宋"/>
          <w:b/>
          <w:color w:val="auto"/>
          <w:sz w:val="24"/>
          <w:szCs w:val="24"/>
          <w:highlight w:val="none"/>
          <w:shd w:val="clear" w:color="auto" w:fill="FFFFFF" w:themeFill="background1"/>
        </w:rPr>
      </w:pPr>
    </w:p>
    <w:p w14:paraId="1B6F49DA">
      <w:pPr>
        <w:widowControl/>
        <w:spacing w:line="360" w:lineRule="auto"/>
        <w:jc w:val="left"/>
        <w:rPr>
          <w:rFonts w:hint="eastAsia" w:ascii="仿宋" w:hAnsi="仿宋" w:eastAsia="仿宋" w:cs="仿宋"/>
          <w:b/>
          <w:color w:val="auto"/>
          <w:sz w:val="24"/>
          <w:szCs w:val="24"/>
          <w:highlight w:val="none"/>
          <w:shd w:val="clear" w:color="auto" w:fill="FFFFFF" w:themeFill="background1"/>
        </w:rPr>
      </w:pPr>
    </w:p>
    <w:p w14:paraId="4FF9F8B6">
      <w:pPr>
        <w:widowControl/>
        <w:spacing w:line="360" w:lineRule="auto"/>
        <w:jc w:val="left"/>
        <w:rPr>
          <w:rFonts w:hint="eastAsia" w:ascii="仿宋" w:hAnsi="仿宋" w:eastAsia="仿宋" w:cs="仿宋"/>
          <w:b/>
          <w:color w:val="auto"/>
          <w:sz w:val="24"/>
          <w:szCs w:val="24"/>
          <w:highlight w:val="none"/>
          <w:shd w:val="clear" w:color="auto" w:fill="FFFFFF" w:themeFill="background1"/>
        </w:rPr>
      </w:pPr>
    </w:p>
    <w:p w14:paraId="58E84925">
      <w:pPr>
        <w:rPr>
          <w:rFonts w:hint="eastAsia" w:ascii="仿宋" w:hAnsi="仿宋" w:eastAsia="仿宋" w:cs="仿宋"/>
          <w:b/>
          <w:color w:val="auto"/>
          <w:sz w:val="24"/>
          <w:szCs w:val="24"/>
          <w:highlight w:val="none"/>
          <w:shd w:val="clear" w:color="auto" w:fill="FFFFFF" w:themeFill="background1"/>
        </w:rPr>
      </w:pPr>
      <w:bookmarkStart w:id="177" w:name="_Toc533503190"/>
      <w:bookmarkStart w:id="178" w:name="_Toc38446479"/>
      <w:bookmarkStart w:id="179" w:name="_Toc507586174"/>
      <w:r>
        <w:rPr>
          <w:rFonts w:hint="eastAsia" w:ascii="仿宋" w:hAnsi="仿宋" w:eastAsia="仿宋" w:cs="仿宋"/>
          <w:b/>
          <w:color w:val="auto"/>
          <w:sz w:val="24"/>
          <w:szCs w:val="24"/>
          <w:highlight w:val="none"/>
          <w:shd w:val="clear" w:color="auto" w:fill="FFFFFF" w:themeFill="background1"/>
        </w:rPr>
        <w:br w:type="page"/>
      </w:r>
    </w:p>
    <w:p w14:paraId="0A94CF5B">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180" w:name="_Toc5131"/>
      <w:r>
        <w:rPr>
          <w:rFonts w:hint="eastAsia" w:ascii="仿宋" w:hAnsi="仿宋" w:eastAsia="仿宋" w:cs="仿宋"/>
          <w:b/>
          <w:color w:val="auto"/>
          <w:sz w:val="24"/>
          <w:szCs w:val="24"/>
          <w:highlight w:val="none"/>
          <w:shd w:val="clear" w:color="auto" w:fill="FFFFFF" w:themeFill="background1"/>
          <w:lang w:val="en-US" w:eastAsia="zh-CN"/>
        </w:rPr>
        <w:t>九</w:t>
      </w:r>
      <w:r>
        <w:rPr>
          <w:rFonts w:hint="eastAsia" w:ascii="仿宋" w:hAnsi="仿宋" w:eastAsia="仿宋" w:cs="仿宋"/>
          <w:b/>
          <w:color w:val="auto"/>
          <w:sz w:val="24"/>
          <w:szCs w:val="24"/>
          <w:highlight w:val="none"/>
          <w:shd w:val="clear" w:color="auto" w:fill="FFFFFF" w:themeFill="background1"/>
        </w:rPr>
        <w:t>、</w:t>
      </w:r>
      <w:r>
        <w:rPr>
          <w:rFonts w:hint="eastAsia" w:ascii="仿宋" w:hAnsi="仿宋" w:eastAsia="仿宋" w:cs="仿宋"/>
          <w:b/>
          <w:bCs/>
          <w:color w:val="auto"/>
          <w:sz w:val="24"/>
          <w:szCs w:val="24"/>
          <w:highlight w:val="none"/>
          <w:shd w:val="clear" w:color="auto" w:fill="FFFFFF" w:themeFill="background1"/>
        </w:rPr>
        <w:t>供应商近年类似项目业绩表</w:t>
      </w:r>
      <w:bookmarkEnd w:id="177"/>
      <w:bookmarkEnd w:id="178"/>
      <w:bookmarkEnd w:id="179"/>
      <w:bookmarkEnd w:id="180"/>
    </w:p>
    <w:p w14:paraId="3B143F0C">
      <w:pPr>
        <w:spacing w:line="360" w:lineRule="auto"/>
        <w:jc w:val="left"/>
        <w:rPr>
          <w:rFonts w:hint="eastAsia" w:ascii="仿宋" w:hAnsi="仿宋" w:eastAsia="仿宋" w:cs="仿宋"/>
          <w:color w:val="auto"/>
          <w:sz w:val="24"/>
          <w:szCs w:val="24"/>
          <w:highlight w:val="none"/>
          <w:shd w:val="clear" w:color="auto" w:fill="FFFFFF" w:themeFill="background1"/>
        </w:rPr>
      </w:pPr>
    </w:p>
    <w:tbl>
      <w:tblPr>
        <w:tblStyle w:val="44"/>
        <w:tblW w:w="932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
        <w:gridCol w:w="1549"/>
        <w:gridCol w:w="1134"/>
        <w:gridCol w:w="1369"/>
        <w:gridCol w:w="1194"/>
        <w:gridCol w:w="1213"/>
        <w:gridCol w:w="1213"/>
        <w:gridCol w:w="787"/>
      </w:tblGrid>
      <w:tr w14:paraId="0201E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1E0E9402">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14:paraId="7CC8987C">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7C6D4279">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14:paraId="680426B2">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w:t>
            </w:r>
          </w:p>
          <w:p w14:paraId="4F3795F4">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14:paraId="3FAA5BA3">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14:paraId="6A39BC70">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14:paraId="5807B262">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14:paraId="70E007F2">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备注</w:t>
            </w:r>
          </w:p>
        </w:tc>
      </w:tr>
      <w:tr w14:paraId="00A94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4F3D6881">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1590965F">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22761B2">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6085B0C4">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52B82335">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463D5DB2">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ECDD288">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8960C06">
            <w:pPr>
              <w:jc w:val="center"/>
              <w:rPr>
                <w:rFonts w:hint="eastAsia" w:ascii="仿宋" w:hAnsi="仿宋" w:eastAsia="仿宋" w:cs="仿宋"/>
                <w:color w:val="auto"/>
                <w:kern w:val="0"/>
                <w:sz w:val="24"/>
                <w:szCs w:val="24"/>
                <w:highlight w:val="none"/>
                <w:shd w:val="clear" w:color="auto" w:fill="FFFFFF" w:themeFill="background1"/>
              </w:rPr>
            </w:pPr>
          </w:p>
        </w:tc>
      </w:tr>
      <w:tr w14:paraId="5E775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30A87201">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7ACD670D">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1D8A92A">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49E2B8A6">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0BCD90D6">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F797E64">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90766D5">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832F20E">
            <w:pPr>
              <w:jc w:val="center"/>
              <w:rPr>
                <w:rFonts w:hint="eastAsia" w:ascii="仿宋" w:hAnsi="仿宋" w:eastAsia="仿宋" w:cs="仿宋"/>
                <w:color w:val="auto"/>
                <w:kern w:val="0"/>
                <w:sz w:val="24"/>
                <w:szCs w:val="24"/>
                <w:highlight w:val="none"/>
                <w:shd w:val="clear" w:color="auto" w:fill="FFFFFF" w:themeFill="background1"/>
              </w:rPr>
            </w:pPr>
          </w:p>
        </w:tc>
      </w:tr>
      <w:tr w14:paraId="6C632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7FB02D30">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3A046382">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41418BF">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31DD4E72">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060B3BFC">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A42EF37">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122B208">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DF1DDE4">
            <w:pPr>
              <w:jc w:val="center"/>
              <w:rPr>
                <w:rFonts w:hint="eastAsia" w:ascii="仿宋" w:hAnsi="仿宋" w:eastAsia="仿宋" w:cs="仿宋"/>
                <w:color w:val="auto"/>
                <w:kern w:val="0"/>
                <w:sz w:val="24"/>
                <w:szCs w:val="24"/>
                <w:highlight w:val="none"/>
                <w:shd w:val="clear" w:color="auto" w:fill="FFFFFF" w:themeFill="background1"/>
              </w:rPr>
            </w:pPr>
          </w:p>
        </w:tc>
      </w:tr>
      <w:tr w14:paraId="1E41E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6C534026">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75B0E049">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1F554B2">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5033F4F8">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0514B2C8">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AC432E0">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057245B">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B797A4A">
            <w:pPr>
              <w:jc w:val="center"/>
              <w:rPr>
                <w:rFonts w:hint="eastAsia" w:ascii="仿宋" w:hAnsi="仿宋" w:eastAsia="仿宋" w:cs="仿宋"/>
                <w:color w:val="auto"/>
                <w:kern w:val="0"/>
                <w:sz w:val="24"/>
                <w:szCs w:val="24"/>
                <w:highlight w:val="none"/>
                <w:shd w:val="clear" w:color="auto" w:fill="FFFFFF" w:themeFill="background1"/>
              </w:rPr>
            </w:pPr>
          </w:p>
        </w:tc>
      </w:tr>
      <w:tr w14:paraId="39428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068EA7ED">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61200853">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11BF344">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6F2293C7">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758AD170">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471F9831">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1B7E960">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4C1F95B">
            <w:pPr>
              <w:jc w:val="center"/>
              <w:rPr>
                <w:rFonts w:hint="eastAsia" w:ascii="仿宋" w:hAnsi="仿宋" w:eastAsia="仿宋" w:cs="仿宋"/>
                <w:color w:val="auto"/>
                <w:kern w:val="0"/>
                <w:sz w:val="24"/>
                <w:szCs w:val="24"/>
                <w:highlight w:val="none"/>
                <w:shd w:val="clear" w:color="auto" w:fill="FFFFFF" w:themeFill="background1"/>
              </w:rPr>
            </w:pPr>
          </w:p>
        </w:tc>
      </w:tr>
    </w:tbl>
    <w:p w14:paraId="0340220D">
      <w:pPr>
        <w:spacing w:line="360" w:lineRule="auto"/>
        <w:ind w:firstLine="420" w:firstLineChars="200"/>
        <w:rPr>
          <w:rFonts w:hint="eastAsia" w:ascii="仿宋" w:hAnsi="仿宋" w:eastAsia="仿宋" w:cs="仿宋"/>
          <w:color w:val="auto"/>
          <w:szCs w:val="24"/>
          <w:highlight w:val="none"/>
          <w:u w:val="single"/>
          <w:shd w:val="clear" w:color="auto" w:fill="FFFFFF" w:themeFill="background1"/>
        </w:rPr>
      </w:pPr>
    </w:p>
    <w:p w14:paraId="49093C1C">
      <w:pPr>
        <w:spacing w:line="360" w:lineRule="auto"/>
        <w:ind w:firstLine="480" w:firstLineChars="200"/>
        <w:rPr>
          <w:rFonts w:hint="eastAsia" w:ascii="仿宋" w:hAnsi="仿宋" w:eastAsia="仿宋" w:cs="仿宋"/>
          <w:color w:val="auto"/>
          <w:sz w:val="24"/>
          <w:szCs w:val="24"/>
          <w:highlight w:val="none"/>
          <w:u w:val="single"/>
          <w:shd w:val="clear" w:color="auto" w:fill="FFFFFF" w:themeFill="background1"/>
        </w:rPr>
      </w:pPr>
    </w:p>
    <w:p w14:paraId="2B92E538">
      <w:pPr>
        <w:widowControl/>
        <w:spacing w:line="36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36640A7F">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181" w:name="_Toc38446480"/>
      <w:bookmarkStart w:id="182" w:name="_Toc31395"/>
      <w:bookmarkStart w:id="183" w:name="_Toc507586175"/>
      <w:bookmarkStart w:id="184" w:name="_Toc533503191"/>
      <w:r>
        <w:rPr>
          <w:rFonts w:hint="eastAsia" w:ascii="仿宋" w:hAnsi="仿宋" w:eastAsia="仿宋" w:cs="仿宋"/>
          <w:b/>
          <w:color w:val="auto"/>
          <w:sz w:val="24"/>
          <w:szCs w:val="24"/>
          <w:highlight w:val="none"/>
          <w:shd w:val="clear" w:color="auto" w:fill="FFFFFF" w:themeFill="background1"/>
          <w:lang w:val="en-US" w:eastAsia="zh-CN"/>
        </w:rPr>
        <w:t>十</w:t>
      </w:r>
      <w:r>
        <w:rPr>
          <w:rFonts w:hint="eastAsia" w:ascii="仿宋" w:hAnsi="仿宋" w:eastAsia="仿宋" w:cs="仿宋"/>
          <w:b/>
          <w:color w:val="auto"/>
          <w:sz w:val="24"/>
          <w:szCs w:val="24"/>
          <w:highlight w:val="none"/>
          <w:shd w:val="clear" w:color="auto" w:fill="FFFFFF" w:themeFill="background1"/>
        </w:rPr>
        <w:t>、</w:t>
      </w:r>
      <w:r>
        <w:rPr>
          <w:rFonts w:hint="eastAsia" w:ascii="仿宋" w:hAnsi="仿宋" w:eastAsia="仿宋" w:cs="仿宋"/>
          <w:b/>
          <w:bCs/>
          <w:color w:val="auto"/>
          <w:sz w:val="24"/>
          <w:szCs w:val="24"/>
          <w:highlight w:val="none"/>
          <w:shd w:val="clear" w:color="auto" w:fill="FFFFFF" w:themeFill="background1"/>
          <w:lang w:eastAsia="zh-CN"/>
        </w:rPr>
        <w:t>项目负责人</w:t>
      </w:r>
      <w:r>
        <w:rPr>
          <w:rFonts w:hint="eastAsia" w:ascii="仿宋" w:hAnsi="仿宋" w:eastAsia="仿宋" w:cs="仿宋"/>
          <w:b/>
          <w:bCs/>
          <w:color w:val="auto"/>
          <w:sz w:val="24"/>
          <w:szCs w:val="24"/>
          <w:highlight w:val="none"/>
          <w:shd w:val="clear" w:color="auto" w:fill="FFFFFF" w:themeFill="background1"/>
        </w:rPr>
        <w:t>简历表</w:t>
      </w:r>
      <w:bookmarkEnd w:id="181"/>
      <w:bookmarkEnd w:id="182"/>
      <w:bookmarkEnd w:id="183"/>
      <w:bookmarkEnd w:id="184"/>
    </w:p>
    <w:p w14:paraId="5ED9ACC1">
      <w:pPr>
        <w:spacing w:line="360" w:lineRule="auto"/>
        <w:jc w:val="left"/>
        <w:rPr>
          <w:rFonts w:hint="eastAsia" w:ascii="仿宋" w:hAnsi="仿宋" w:eastAsia="仿宋" w:cs="仿宋"/>
          <w:color w:val="auto"/>
          <w:sz w:val="24"/>
          <w:szCs w:val="24"/>
          <w:highlight w:val="none"/>
          <w:shd w:val="clear" w:color="auto" w:fill="FFFFFF" w:themeFill="background1"/>
        </w:rPr>
      </w:pPr>
    </w:p>
    <w:tbl>
      <w:tblPr>
        <w:tblStyle w:val="43"/>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6F4B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B9A565A">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姓名</w:t>
            </w:r>
          </w:p>
        </w:tc>
        <w:tc>
          <w:tcPr>
            <w:tcW w:w="2602" w:type="dxa"/>
            <w:gridSpan w:val="2"/>
            <w:vAlign w:val="center"/>
          </w:tcPr>
          <w:p w14:paraId="73AEC9B4">
            <w:pPr>
              <w:spacing w:line="360" w:lineRule="auto"/>
              <w:jc w:val="center"/>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56BF2923">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性别</w:t>
            </w:r>
          </w:p>
        </w:tc>
        <w:tc>
          <w:tcPr>
            <w:tcW w:w="2639" w:type="dxa"/>
            <w:gridSpan w:val="2"/>
            <w:vAlign w:val="center"/>
          </w:tcPr>
          <w:p w14:paraId="0514D785">
            <w:pPr>
              <w:spacing w:line="360" w:lineRule="auto"/>
              <w:jc w:val="center"/>
              <w:rPr>
                <w:rFonts w:hint="eastAsia" w:ascii="仿宋" w:hAnsi="仿宋" w:eastAsia="仿宋" w:cs="仿宋"/>
                <w:color w:val="auto"/>
                <w:szCs w:val="21"/>
                <w:highlight w:val="none"/>
                <w:shd w:val="clear" w:color="auto" w:fill="FFFFFF" w:themeFill="background1"/>
              </w:rPr>
            </w:pPr>
          </w:p>
        </w:tc>
      </w:tr>
      <w:tr w14:paraId="15DB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8C4B224">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身份证号码</w:t>
            </w:r>
          </w:p>
        </w:tc>
        <w:tc>
          <w:tcPr>
            <w:tcW w:w="2602" w:type="dxa"/>
            <w:gridSpan w:val="2"/>
            <w:vAlign w:val="center"/>
          </w:tcPr>
          <w:p w14:paraId="5541D95D">
            <w:pPr>
              <w:spacing w:line="360" w:lineRule="auto"/>
              <w:jc w:val="center"/>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11B31813">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学历</w:t>
            </w:r>
          </w:p>
        </w:tc>
        <w:tc>
          <w:tcPr>
            <w:tcW w:w="2639" w:type="dxa"/>
            <w:gridSpan w:val="2"/>
            <w:vAlign w:val="center"/>
          </w:tcPr>
          <w:p w14:paraId="76643739">
            <w:pPr>
              <w:spacing w:line="360" w:lineRule="auto"/>
              <w:jc w:val="center"/>
              <w:rPr>
                <w:rFonts w:hint="eastAsia" w:ascii="仿宋" w:hAnsi="仿宋" w:eastAsia="仿宋" w:cs="仿宋"/>
                <w:color w:val="auto"/>
                <w:szCs w:val="21"/>
                <w:highlight w:val="none"/>
                <w:shd w:val="clear" w:color="auto" w:fill="FFFFFF" w:themeFill="background1"/>
              </w:rPr>
            </w:pPr>
          </w:p>
        </w:tc>
      </w:tr>
      <w:tr w14:paraId="423E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7AD6F0AA">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毕业学校</w:t>
            </w:r>
          </w:p>
        </w:tc>
        <w:tc>
          <w:tcPr>
            <w:tcW w:w="2602" w:type="dxa"/>
            <w:gridSpan w:val="2"/>
            <w:vAlign w:val="center"/>
          </w:tcPr>
          <w:p w14:paraId="0C8EB697">
            <w:pPr>
              <w:spacing w:line="360" w:lineRule="auto"/>
              <w:jc w:val="center"/>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6B64415B">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专业</w:t>
            </w:r>
          </w:p>
        </w:tc>
        <w:tc>
          <w:tcPr>
            <w:tcW w:w="2639" w:type="dxa"/>
            <w:gridSpan w:val="2"/>
            <w:vAlign w:val="center"/>
          </w:tcPr>
          <w:p w14:paraId="00BB476D">
            <w:pPr>
              <w:spacing w:line="360" w:lineRule="auto"/>
              <w:jc w:val="center"/>
              <w:rPr>
                <w:rFonts w:hint="eastAsia" w:ascii="仿宋" w:hAnsi="仿宋" w:eastAsia="仿宋" w:cs="仿宋"/>
                <w:color w:val="auto"/>
                <w:szCs w:val="21"/>
                <w:highlight w:val="none"/>
                <w:shd w:val="clear" w:color="auto" w:fill="FFFFFF" w:themeFill="background1"/>
              </w:rPr>
            </w:pPr>
          </w:p>
        </w:tc>
      </w:tr>
      <w:tr w14:paraId="6392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2C604E1">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参加工作时间</w:t>
            </w:r>
          </w:p>
        </w:tc>
        <w:tc>
          <w:tcPr>
            <w:tcW w:w="2602" w:type="dxa"/>
            <w:gridSpan w:val="2"/>
            <w:vAlign w:val="center"/>
          </w:tcPr>
          <w:p w14:paraId="6B125267">
            <w:pPr>
              <w:spacing w:line="360" w:lineRule="auto"/>
              <w:jc w:val="center"/>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28E758B3">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从事相关工作年限</w:t>
            </w:r>
          </w:p>
        </w:tc>
        <w:tc>
          <w:tcPr>
            <w:tcW w:w="2639" w:type="dxa"/>
            <w:gridSpan w:val="2"/>
            <w:vAlign w:val="center"/>
          </w:tcPr>
          <w:p w14:paraId="27CE47E3">
            <w:pPr>
              <w:spacing w:line="360" w:lineRule="auto"/>
              <w:jc w:val="center"/>
              <w:rPr>
                <w:rFonts w:hint="eastAsia" w:ascii="仿宋" w:hAnsi="仿宋" w:eastAsia="仿宋" w:cs="仿宋"/>
                <w:color w:val="auto"/>
                <w:szCs w:val="21"/>
                <w:highlight w:val="none"/>
                <w:shd w:val="clear" w:color="auto" w:fill="FFFFFF" w:themeFill="background1"/>
              </w:rPr>
            </w:pPr>
          </w:p>
        </w:tc>
      </w:tr>
      <w:tr w14:paraId="1CD6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787208DB">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在公司担任职务</w:t>
            </w:r>
          </w:p>
        </w:tc>
        <w:tc>
          <w:tcPr>
            <w:tcW w:w="2602" w:type="dxa"/>
            <w:gridSpan w:val="2"/>
            <w:vAlign w:val="center"/>
          </w:tcPr>
          <w:p w14:paraId="7A94A04B">
            <w:pPr>
              <w:spacing w:line="360" w:lineRule="auto"/>
              <w:jc w:val="center"/>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68165659">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联系方式</w:t>
            </w:r>
          </w:p>
        </w:tc>
        <w:tc>
          <w:tcPr>
            <w:tcW w:w="2639" w:type="dxa"/>
            <w:gridSpan w:val="2"/>
            <w:vAlign w:val="center"/>
          </w:tcPr>
          <w:p w14:paraId="26DD8D28">
            <w:pPr>
              <w:spacing w:line="360" w:lineRule="auto"/>
              <w:jc w:val="center"/>
              <w:rPr>
                <w:rFonts w:hint="eastAsia" w:ascii="仿宋" w:hAnsi="仿宋" w:eastAsia="仿宋" w:cs="仿宋"/>
                <w:color w:val="auto"/>
                <w:szCs w:val="21"/>
                <w:highlight w:val="none"/>
                <w:shd w:val="clear" w:color="auto" w:fill="FFFFFF" w:themeFill="background1"/>
              </w:rPr>
            </w:pPr>
          </w:p>
        </w:tc>
      </w:tr>
      <w:tr w14:paraId="460D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2ED489B">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证书名称</w:t>
            </w:r>
          </w:p>
        </w:tc>
        <w:tc>
          <w:tcPr>
            <w:tcW w:w="2602" w:type="dxa"/>
            <w:gridSpan w:val="2"/>
            <w:vAlign w:val="center"/>
          </w:tcPr>
          <w:p w14:paraId="0E0473F5">
            <w:pPr>
              <w:spacing w:line="360" w:lineRule="auto"/>
              <w:jc w:val="center"/>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0007C8C8">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证书编号</w:t>
            </w:r>
          </w:p>
        </w:tc>
        <w:tc>
          <w:tcPr>
            <w:tcW w:w="2639" w:type="dxa"/>
            <w:gridSpan w:val="2"/>
            <w:vAlign w:val="center"/>
          </w:tcPr>
          <w:p w14:paraId="235B4271">
            <w:pPr>
              <w:spacing w:line="360" w:lineRule="auto"/>
              <w:jc w:val="center"/>
              <w:rPr>
                <w:rFonts w:hint="eastAsia" w:ascii="仿宋" w:hAnsi="仿宋" w:eastAsia="仿宋" w:cs="仿宋"/>
                <w:color w:val="auto"/>
                <w:szCs w:val="21"/>
                <w:highlight w:val="none"/>
                <w:shd w:val="clear" w:color="auto" w:fill="FFFFFF" w:themeFill="background1"/>
              </w:rPr>
            </w:pPr>
          </w:p>
        </w:tc>
      </w:tr>
      <w:tr w14:paraId="4863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6BD2322F">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近三年类似业绩</w:t>
            </w:r>
          </w:p>
        </w:tc>
        <w:tc>
          <w:tcPr>
            <w:tcW w:w="1372" w:type="dxa"/>
            <w:vAlign w:val="center"/>
          </w:tcPr>
          <w:p w14:paraId="144B05D6">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项目名称</w:t>
            </w:r>
          </w:p>
        </w:tc>
        <w:tc>
          <w:tcPr>
            <w:tcW w:w="1463" w:type="dxa"/>
            <w:gridSpan w:val="2"/>
            <w:vAlign w:val="center"/>
          </w:tcPr>
          <w:p w14:paraId="36175109">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采购人</w:t>
            </w:r>
          </w:p>
        </w:tc>
        <w:tc>
          <w:tcPr>
            <w:tcW w:w="1702" w:type="dxa"/>
            <w:vAlign w:val="center"/>
          </w:tcPr>
          <w:p w14:paraId="06DC9842">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合同内容</w:t>
            </w:r>
          </w:p>
        </w:tc>
        <w:tc>
          <w:tcPr>
            <w:tcW w:w="1275" w:type="dxa"/>
            <w:vAlign w:val="center"/>
          </w:tcPr>
          <w:p w14:paraId="6A8DC849">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合同价格</w:t>
            </w:r>
          </w:p>
        </w:tc>
        <w:tc>
          <w:tcPr>
            <w:tcW w:w="1364" w:type="dxa"/>
            <w:vAlign w:val="center"/>
          </w:tcPr>
          <w:p w14:paraId="7B07C280">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签约日期</w:t>
            </w:r>
          </w:p>
        </w:tc>
      </w:tr>
      <w:tr w14:paraId="008B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6B211774">
            <w:pPr>
              <w:spacing w:line="360" w:lineRule="auto"/>
              <w:jc w:val="center"/>
              <w:rPr>
                <w:rFonts w:hint="eastAsia" w:ascii="仿宋" w:hAnsi="仿宋" w:eastAsia="仿宋" w:cs="仿宋"/>
                <w:color w:val="auto"/>
                <w:szCs w:val="21"/>
                <w:highlight w:val="none"/>
                <w:shd w:val="clear" w:color="auto" w:fill="FFFFFF" w:themeFill="background1"/>
              </w:rPr>
            </w:pPr>
          </w:p>
        </w:tc>
        <w:tc>
          <w:tcPr>
            <w:tcW w:w="1372" w:type="dxa"/>
            <w:vAlign w:val="center"/>
          </w:tcPr>
          <w:p w14:paraId="2AC098E4">
            <w:pPr>
              <w:spacing w:line="360" w:lineRule="auto"/>
              <w:jc w:val="center"/>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0CB193D9">
            <w:pPr>
              <w:spacing w:line="360" w:lineRule="auto"/>
              <w:jc w:val="center"/>
              <w:rPr>
                <w:rFonts w:hint="eastAsia" w:ascii="仿宋" w:hAnsi="仿宋" w:eastAsia="仿宋" w:cs="仿宋"/>
                <w:color w:val="auto"/>
                <w:szCs w:val="21"/>
                <w:highlight w:val="none"/>
                <w:shd w:val="clear" w:color="auto" w:fill="FFFFFF" w:themeFill="background1"/>
              </w:rPr>
            </w:pPr>
          </w:p>
        </w:tc>
        <w:tc>
          <w:tcPr>
            <w:tcW w:w="1702" w:type="dxa"/>
            <w:vAlign w:val="center"/>
          </w:tcPr>
          <w:p w14:paraId="4B942B89">
            <w:pPr>
              <w:spacing w:line="360" w:lineRule="auto"/>
              <w:jc w:val="center"/>
              <w:rPr>
                <w:rFonts w:hint="eastAsia" w:ascii="仿宋" w:hAnsi="仿宋" w:eastAsia="仿宋" w:cs="仿宋"/>
                <w:color w:val="auto"/>
                <w:szCs w:val="21"/>
                <w:highlight w:val="none"/>
                <w:shd w:val="clear" w:color="auto" w:fill="FFFFFF" w:themeFill="background1"/>
              </w:rPr>
            </w:pPr>
          </w:p>
        </w:tc>
        <w:tc>
          <w:tcPr>
            <w:tcW w:w="1275" w:type="dxa"/>
            <w:vAlign w:val="center"/>
          </w:tcPr>
          <w:p w14:paraId="10134AE8">
            <w:pPr>
              <w:spacing w:line="360" w:lineRule="auto"/>
              <w:jc w:val="center"/>
              <w:rPr>
                <w:rFonts w:hint="eastAsia" w:ascii="仿宋" w:hAnsi="仿宋" w:eastAsia="仿宋" w:cs="仿宋"/>
                <w:color w:val="auto"/>
                <w:szCs w:val="21"/>
                <w:highlight w:val="none"/>
                <w:shd w:val="clear" w:color="auto" w:fill="FFFFFF" w:themeFill="background1"/>
              </w:rPr>
            </w:pPr>
          </w:p>
        </w:tc>
        <w:tc>
          <w:tcPr>
            <w:tcW w:w="1364" w:type="dxa"/>
            <w:vAlign w:val="center"/>
          </w:tcPr>
          <w:p w14:paraId="02DE8A1D">
            <w:pPr>
              <w:spacing w:line="360" w:lineRule="auto"/>
              <w:jc w:val="center"/>
              <w:rPr>
                <w:rFonts w:hint="eastAsia" w:ascii="仿宋" w:hAnsi="仿宋" w:eastAsia="仿宋" w:cs="仿宋"/>
                <w:color w:val="auto"/>
                <w:szCs w:val="21"/>
                <w:highlight w:val="none"/>
                <w:shd w:val="clear" w:color="auto" w:fill="FFFFFF" w:themeFill="background1"/>
              </w:rPr>
            </w:pPr>
          </w:p>
        </w:tc>
      </w:tr>
      <w:tr w14:paraId="26C6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0997AA0A">
            <w:pPr>
              <w:spacing w:line="360" w:lineRule="auto"/>
              <w:jc w:val="center"/>
              <w:rPr>
                <w:rFonts w:hint="eastAsia" w:ascii="仿宋" w:hAnsi="仿宋" w:eastAsia="仿宋" w:cs="仿宋"/>
                <w:color w:val="auto"/>
                <w:szCs w:val="21"/>
                <w:highlight w:val="none"/>
                <w:shd w:val="clear" w:color="auto" w:fill="FFFFFF" w:themeFill="background1"/>
              </w:rPr>
            </w:pPr>
          </w:p>
        </w:tc>
        <w:tc>
          <w:tcPr>
            <w:tcW w:w="1372" w:type="dxa"/>
            <w:vAlign w:val="center"/>
          </w:tcPr>
          <w:p w14:paraId="505EDD78">
            <w:pPr>
              <w:spacing w:line="360" w:lineRule="auto"/>
              <w:jc w:val="center"/>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7339585B">
            <w:pPr>
              <w:spacing w:line="360" w:lineRule="auto"/>
              <w:jc w:val="center"/>
              <w:rPr>
                <w:rFonts w:hint="eastAsia" w:ascii="仿宋" w:hAnsi="仿宋" w:eastAsia="仿宋" w:cs="仿宋"/>
                <w:color w:val="auto"/>
                <w:szCs w:val="21"/>
                <w:highlight w:val="none"/>
                <w:shd w:val="clear" w:color="auto" w:fill="FFFFFF" w:themeFill="background1"/>
              </w:rPr>
            </w:pPr>
          </w:p>
        </w:tc>
        <w:tc>
          <w:tcPr>
            <w:tcW w:w="1702" w:type="dxa"/>
            <w:vAlign w:val="center"/>
          </w:tcPr>
          <w:p w14:paraId="59D3404E">
            <w:pPr>
              <w:spacing w:line="360" w:lineRule="auto"/>
              <w:jc w:val="center"/>
              <w:rPr>
                <w:rFonts w:hint="eastAsia" w:ascii="仿宋" w:hAnsi="仿宋" w:eastAsia="仿宋" w:cs="仿宋"/>
                <w:color w:val="auto"/>
                <w:szCs w:val="21"/>
                <w:highlight w:val="none"/>
                <w:shd w:val="clear" w:color="auto" w:fill="FFFFFF" w:themeFill="background1"/>
              </w:rPr>
            </w:pPr>
          </w:p>
        </w:tc>
        <w:tc>
          <w:tcPr>
            <w:tcW w:w="1275" w:type="dxa"/>
            <w:vAlign w:val="center"/>
          </w:tcPr>
          <w:p w14:paraId="527D4681">
            <w:pPr>
              <w:spacing w:line="360" w:lineRule="auto"/>
              <w:jc w:val="center"/>
              <w:rPr>
                <w:rFonts w:hint="eastAsia" w:ascii="仿宋" w:hAnsi="仿宋" w:eastAsia="仿宋" w:cs="仿宋"/>
                <w:color w:val="auto"/>
                <w:szCs w:val="21"/>
                <w:highlight w:val="none"/>
                <w:shd w:val="clear" w:color="auto" w:fill="FFFFFF" w:themeFill="background1"/>
              </w:rPr>
            </w:pPr>
          </w:p>
        </w:tc>
        <w:tc>
          <w:tcPr>
            <w:tcW w:w="1364" w:type="dxa"/>
            <w:vAlign w:val="center"/>
          </w:tcPr>
          <w:p w14:paraId="35FCFE31">
            <w:pPr>
              <w:spacing w:line="360" w:lineRule="auto"/>
              <w:jc w:val="center"/>
              <w:rPr>
                <w:rFonts w:hint="eastAsia" w:ascii="仿宋" w:hAnsi="仿宋" w:eastAsia="仿宋" w:cs="仿宋"/>
                <w:color w:val="auto"/>
                <w:szCs w:val="21"/>
                <w:highlight w:val="none"/>
                <w:shd w:val="clear" w:color="auto" w:fill="FFFFFF" w:themeFill="background1"/>
              </w:rPr>
            </w:pPr>
          </w:p>
        </w:tc>
      </w:tr>
      <w:tr w14:paraId="1716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7900D42C">
            <w:pPr>
              <w:spacing w:line="360" w:lineRule="auto"/>
              <w:jc w:val="center"/>
              <w:rPr>
                <w:rFonts w:hint="eastAsia" w:ascii="仿宋" w:hAnsi="仿宋" w:eastAsia="仿宋" w:cs="仿宋"/>
                <w:color w:val="auto"/>
                <w:szCs w:val="21"/>
                <w:highlight w:val="none"/>
                <w:shd w:val="clear" w:color="auto" w:fill="FFFFFF" w:themeFill="background1"/>
              </w:rPr>
            </w:pPr>
          </w:p>
        </w:tc>
        <w:tc>
          <w:tcPr>
            <w:tcW w:w="1372" w:type="dxa"/>
            <w:vAlign w:val="center"/>
          </w:tcPr>
          <w:p w14:paraId="74DAB23A">
            <w:pPr>
              <w:spacing w:line="360" w:lineRule="auto"/>
              <w:jc w:val="center"/>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1D9515ED">
            <w:pPr>
              <w:spacing w:line="360" w:lineRule="auto"/>
              <w:jc w:val="center"/>
              <w:rPr>
                <w:rFonts w:hint="eastAsia" w:ascii="仿宋" w:hAnsi="仿宋" w:eastAsia="仿宋" w:cs="仿宋"/>
                <w:color w:val="auto"/>
                <w:szCs w:val="21"/>
                <w:highlight w:val="none"/>
                <w:shd w:val="clear" w:color="auto" w:fill="FFFFFF" w:themeFill="background1"/>
              </w:rPr>
            </w:pPr>
          </w:p>
        </w:tc>
        <w:tc>
          <w:tcPr>
            <w:tcW w:w="1702" w:type="dxa"/>
            <w:vAlign w:val="center"/>
          </w:tcPr>
          <w:p w14:paraId="2AF974B5">
            <w:pPr>
              <w:spacing w:line="360" w:lineRule="auto"/>
              <w:jc w:val="center"/>
              <w:rPr>
                <w:rFonts w:hint="eastAsia" w:ascii="仿宋" w:hAnsi="仿宋" w:eastAsia="仿宋" w:cs="仿宋"/>
                <w:color w:val="auto"/>
                <w:szCs w:val="21"/>
                <w:highlight w:val="none"/>
                <w:shd w:val="clear" w:color="auto" w:fill="FFFFFF" w:themeFill="background1"/>
              </w:rPr>
            </w:pPr>
          </w:p>
        </w:tc>
        <w:tc>
          <w:tcPr>
            <w:tcW w:w="1275" w:type="dxa"/>
            <w:vAlign w:val="center"/>
          </w:tcPr>
          <w:p w14:paraId="57A2EEE4">
            <w:pPr>
              <w:spacing w:line="360" w:lineRule="auto"/>
              <w:jc w:val="center"/>
              <w:rPr>
                <w:rFonts w:hint="eastAsia" w:ascii="仿宋" w:hAnsi="仿宋" w:eastAsia="仿宋" w:cs="仿宋"/>
                <w:color w:val="auto"/>
                <w:szCs w:val="21"/>
                <w:highlight w:val="none"/>
                <w:shd w:val="clear" w:color="auto" w:fill="FFFFFF" w:themeFill="background1"/>
              </w:rPr>
            </w:pPr>
          </w:p>
        </w:tc>
        <w:tc>
          <w:tcPr>
            <w:tcW w:w="1364" w:type="dxa"/>
            <w:vAlign w:val="center"/>
          </w:tcPr>
          <w:p w14:paraId="7AB52F63">
            <w:pPr>
              <w:spacing w:line="360" w:lineRule="auto"/>
              <w:jc w:val="center"/>
              <w:rPr>
                <w:rFonts w:hint="eastAsia" w:ascii="仿宋" w:hAnsi="仿宋" w:eastAsia="仿宋" w:cs="仿宋"/>
                <w:color w:val="auto"/>
                <w:szCs w:val="21"/>
                <w:highlight w:val="none"/>
                <w:shd w:val="clear" w:color="auto" w:fill="FFFFFF" w:themeFill="background1"/>
              </w:rPr>
            </w:pPr>
          </w:p>
        </w:tc>
      </w:tr>
      <w:tr w14:paraId="4477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0114BA2B">
            <w:pPr>
              <w:spacing w:line="360" w:lineRule="auto"/>
              <w:jc w:val="center"/>
              <w:rPr>
                <w:rFonts w:hint="eastAsia" w:ascii="仿宋" w:hAnsi="仿宋" w:eastAsia="仿宋" w:cs="仿宋"/>
                <w:color w:val="auto"/>
                <w:szCs w:val="21"/>
                <w:highlight w:val="none"/>
                <w:shd w:val="clear" w:color="auto" w:fill="FFFFFF" w:themeFill="background1"/>
              </w:rPr>
            </w:pPr>
          </w:p>
        </w:tc>
        <w:tc>
          <w:tcPr>
            <w:tcW w:w="1372" w:type="dxa"/>
            <w:vAlign w:val="center"/>
          </w:tcPr>
          <w:p w14:paraId="4ABF2AA4">
            <w:pPr>
              <w:spacing w:line="360" w:lineRule="auto"/>
              <w:jc w:val="center"/>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59C67E9E">
            <w:pPr>
              <w:spacing w:line="360" w:lineRule="auto"/>
              <w:jc w:val="center"/>
              <w:rPr>
                <w:rFonts w:hint="eastAsia" w:ascii="仿宋" w:hAnsi="仿宋" w:eastAsia="仿宋" w:cs="仿宋"/>
                <w:color w:val="auto"/>
                <w:szCs w:val="21"/>
                <w:highlight w:val="none"/>
                <w:shd w:val="clear" w:color="auto" w:fill="FFFFFF" w:themeFill="background1"/>
              </w:rPr>
            </w:pPr>
          </w:p>
        </w:tc>
        <w:tc>
          <w:tcPr>
            <w:tcW w:w="1702" w:type="dxa"/>
            <w:vAlign w:val="center"/>
          </w:tcPr>
          <w:p w14:paraId="06065733">
            <w:pPr>
              <w:spacing w:line="360" w:lineRule="auto"/>
              <w:jc w:val="center"/>
              <w:rPr>
                <w:rFonts w:hint="eastAsia" w:ascii="仿宋" w:hAnsi="仿宋" w:eastAsia="仿宋" w:cs="仿宋"/>
                <w:color w:val="auto"/>
                <w:szCs w:val="21"/>
                <w:highlight w:val="none"/>
                <w:shd w:val="clear" w:color="auto" w:fill="FFFFFF" w:themeFill="background1"/>
              </w:rPr>
            </w:pPr>
          </w:p>
        </w:tc>
        <w:tc>
          <w:tcPr>
            <w:tcW w:w="1275" w:type="dxa"/>
            <w:vAlign w:val="center"/>
          </w:tcPr>
          <w:p w14:paraId="6E14E9C7">
            <w:pPr>
              <w:spacing w:line="360" w:lineRule="auto"/>
              <w:jc w:val="center"/>
              <w:rPr>
                <w:rFonts w:hint="eastAsia" w:ascii="仿宋" w:hAnsi="仿宋" w:eastAsia="仿宋" w:cs="仿宋"/>
                <w:color w:val="auto"/>
                <w:szCs w:val="21"/>
                <w:highlight w:val="none"/>
                <w:shd w:val="clear" w:color="auto" w:fill="FFFFFF" w:themeFill="background1"/>
              </w:rPr>
            </w:pPr>
          </w:p>
        </w:tc>
        <w:tc>
          <w:tcPr>
            <w:tcW w:w="1364" w:type="dxa"/>
            <w:vAlign w:val="center"/>
          </w:tcPr>
          <w:p w14:paraId="0CC6C006">
            <w:pPr>
              <w:spacing w:line="360" w:lineRule="auto"/>
              <w:jc w:val="center"/>
              <w:rPr>
                <w:rFonts w:hint="eastAsia" w:ascii="仿宋" w:hAnsi="仿宋" w:eastAsia="仿宋" w:cs="仿宋"/>
                <w:color w:val="auto"/>
                <w:szCs w:val="21"/>
                <w:highlight w:val="none"/>
                <w:shd w:val="clear" w:color="auto" w:fill="FFFFFF" w:themeFill="background1"/>
              </w:rPr>
            </w:pPr>
          </w:p>
        </w:tc>
      </w:tr>
      <w:tr w14:paraId="6358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6F5997EF">
            <w:pPr>
              <w:spacing w:line="360" w:lineRule="auto"/>
              <w:jc w:val="center"/>
              <w:rPr>
                <w:rFonts w:hint="eastAsia" w:ascii="仿宋" w:hAnsi="仿宋" w:eastAsia="仿宋" w:cs="仿宋"/>
                <w:color w:val="auto"/>
                <w:szCs w:val="21"/>
                <w:highlight w:val="none"/>
                <w:shd w:val="clear" w:color="auto" w:fill="FFFFFF" w:themeFill="background1"/>
              </w:rPr>
            </w:pPr>
          </w:p>
        </w:tc>
        <w:tc>
          <w:tcPr>
            <w:tcW w:w="1372" w:type="dxa"/>
            <w:vAlign w:val="center"/>
          </w:tcPr>
          <w:p w14:paraId="00C78B2B">
            <w:pPr>
              <w:spacing w:line="360" w:lineRule="auto"/>
              <w:jc w:val="center"/>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31E3D1BA">
            <w:pPr>
              <w:spacing w:line="360" w:lineRule="auto"/>
              <w:jc w:val="center"/>
              <w:rPr>
                <w:rFonts w:hint="eastAsia" w:ascii="仿宋" w:hAnsi="仿宋" w:eastAsia="仿宋" w:cs="仿宋"/>
                <w:color w:val="auto"/>
                <w:szCs w:val="21"/>
                <w:highlight w:val="none"/>
                <w:shd w:val="clear" w:color="auto" w:fill="FFFFFF" w:themeFill="background1"/>
              </w:rPr>
            </w:pPr>
          </w:p>
        </w:tc>
        <w:tc>
          <w:tcPr>
            <w:tcW w:w="1702" w:type="dxa"/>
            <w:vAlign w:val="center"/>
          </w:tcPr>
          <w:p w14:paraId="1540F324">
            <w:pPr>
              <w:spacing w:line="360" w:lineRule="auto"/>
              <w:jc w:val="center"/>
              <w:rPr>
                <w:rFonts w:hint="eastAsia" w:ascii="仿宋" w:hAnsi="仿宋" w:eastAsia="仿宋" w:cs="仿宋"/>
                <w:color w:val="auto"/>
                <w:szCs w:val="21"/>
                <w:highlight w:val="none"/>
                <w:shd w:val="clear" w:color="auto" w:fill="FFFFFF" w:themeFill="background1"/>
              </w:rPr>
            </w:pPr>
          </w:p>
        </w:tc>
        <w:tc>
          <w:tcPr>
            <w:tcW w:w="1275" w:type="dxa"/>
            <w:vAlign w:val="center"/>
          </w:tcPr>
          <w:p w14:paraId="56245138">
            <w:pPr>
              <w:spacing w:line="360" w:lineRule="auto"/>
              <w:jc w:val="center"/>
              <w:rPr>
                <w:rFonts w:hint="eastAsia" w:ascii="仿宋" w:hAnsi="仿宋" w:eastAsia="仿宋" w:cs="仿宋"/>
                <w:color w:val="auto"/>
                <w:szCs w:val="21"/>
                <w:highlight w:val="none"/>
                <w:shd w:val="clear" w:color="auto" w:fill="FFFFFF" w:themeFill="background1"/>
              </w:rPr>
            </w:pPr>
          </w:p>
        </w:tc>
        <w:tc>
          <w:tcPr>
            <w:tcW w:w="1364" w:type="dxa"/>
            <w:vAlign w:val="center"/>
          </w:tcPr>
          <w:p w14:paraId="2F7F6ADB">
            <w:pPr>
              <w:spacing w:line="360" w:lineRule="auto"/>
              <w:jc w:val="center"/>
              <w:rPr>
                <w:rFonts w:hint="eastAsia" w:ascii="仿宋" w:hAnsi="仿宋" w:eastAsia="仿宋" w:cs="仿宋"/>
                <w:color w:val="auto"/>
                <w:szCs w:val="21"/>
                <w:highlight w:val="none"/>
                <w:shd w:val="clear" w:color="auto" w:fill="FFFFFF" w:themeFill="background1"/>
              </w:rPr>
            </w:pPr>
          </w:p>
        </w:tc>
      </w:tr>
    </w:tbl>
    <w:p w14:paraId="072A4860">
      <w:pPr>
        <w:spacing w:line="360" w:lineRule="auto"/>
        <w:ind w:firstLine="420" w:firstLineChars="200"/>
        <w:rPr>
          <w:rFonts w:hint="eastAsia" w:ascii="仿宋" w:hAnsi="仿宋" w:eastAsia="仿宋" w:cs="仿宋"/>
          <w:color w:val="auto"/>
          <w:sz w:val="22"/>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注：附身份证等其它相关材料扫描件</w:t>
      </w:r>
      <w:r>
        <w:rPr>
          <w:rFonts w:hint="eastAsia" w:ascii="仿宋" w:hAnsi="仿宋" w:eastAsia="仿宋" w:cs="仿宋"/>
          <w:color w:val="auto"/>
          <w:sz w:val="22"/>
          <w:highlight w:val="none"/>
          <w:shd w:val="clear" w:color="auto" w:fill="FFFFFF" w:themeFill="background1"/>
        </w:rPr>
        <w:t>。</w:t>
      </w:r>
    </w:p>
    <w:p w14:paraId="23FAB982">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185" w:name="_Toc507586176"/>
      <w:r>
        <w:rPr>
          <w:rFonts w:hint="eastAsia" w:ascii="仿宋" w:hAnsi="仿宋" w:eastAsia="仿宋" w:cs="仿宋"/>
          <w:b/>
          <w:bCs/>
          <w:color w:val="auto"/>
          <w:sz w:val="24"/>
          <w:szCs w:val="24"/>
          <w:highlight w:val="none"/>
          <w:shd w:val="clear" w:color="auto" w:fill="FFFFFF" w:themeFill="background1"/>
        </w:rPr>
        <w:br w:type="page"/>
      </w:r>
      <w:bookmarkStart w:id="186" w:name="_Toc144993319"/>
      <w:bookmarkStart w:id="187" w:name="_Toc767"/>
      <w:bookmarkStart w:id="188" w:name="_Toc533503192"/>
      <w:bookmarkStart w:id="189" w:name="_Toc38446481"/>
      <w:r>
        <w:rPr>
          <w:rFonts w:hint="eastAsia" w:ascii="仿宋" w:hAnsi="仿宋" w:eastAsia="仿宋" w:cs="仿宋"/>
          <w:b/>
          <w:bCs/>
          <w:color w:val="auto"/>
          <w:sz w:val="24"/>
          <w:szCs w:val="24"/>
          <w:highlight w:val="none"/>
          <w:shd w:val="clear" w:color="auto" w:fill="FFFFFF" w:themeFill="background1"/>
        </w:rPr>
        <w:t>十</w:t>
      </w:r>
      <w:r>
        <w:rPr>
          <w:rFonts w:hint="eastAsia" w:ascii="仿宋" w:hAnsi="仿宋" w:eastAsia="仿宋" w:cs="仿宋"/>
          <w:b/>
          <w:bCs/>
          <w:color w:val="auto"/>
          <w:sz w:val="24"/>
          <w:szCs w:val="24"/>
          <w:highlight w:val="none"/>
          <w:shd w:val="clear" w:color="auto" w:fill="FFFFFF" w:themeFill="background1"/>
          <w:lang w:val="en-US" w:eastAsia="zh-CN"/>
        </w:rPr>
        <w:t>一</w:t>
      </w:r>
      <w:r>
        <w:rPr>
          <w:rFonts w:hint="eastAsia" w:ascii="仿宋" w:hAnsi="仿宋" w:eastAsia="仿宋" w:cs="仿宋"/>
          <w:b/>
          <w:bCs/>
          <w:color w:val="auto"/>
          <w:sz w:val="24"/>
          <w:szCs w:val="24"/>
          <w:highlight w:val="none"/>
          <w:shd w:val="clear" w:color="auto" w:fill="FFFFFF" w:themeFill="background1"/>
        </w:rPr>
        <w:t>、</w:t>
      </w:r>
      <w:bookmarkEnd w:id="186"/>
      <w:r>
        <w:rPr>
          <w:rFonts w:hint="eastAsia" w:ascii="仿宋" w:hAnsi="仿宋" w:eastAsia="仿宋" w:cs="仿宋"/>
          <w:b/>
          <w:bCs/>
          <w:color w:val="auto"/>
          <w:sz w:val="24"/>
          <w:szCs w:val="24"/>
          <w:highlight w:val="none"/>
          <w:shd w:val="clear" w:color="auto" w:fill="FFFFFF" w:themeFill="background1"/>
        </w:rPr>
        <w:t>拟派主要服务人员</w:t>
      </w:r>
      <w:bookmarkEnd w:id="187"/>
    </w:p>
    <w:p w14:paraId="42BBCBC8">
      <w:pPr>
        <w:rPr>
          <w:rFonts w:hint="eastAsia" w:ascii="仿宋" w:hAnsi="仿宋" w:eastAsia="仿宋" w:cs="仿宋"/>
          <w:color w:val="auto"/>
          <w:sz w:val="24"/>
          <w:szCs w:val="24"/>
          <w:highlight w:val="none"/>
        </w:rPr>
      </w:pPr>
    </w:p>
    <w:tbl>
      <w:tblPr>
        <w:tblStyle w:val="43"/>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170"/>
        <w:gridCol w:w="1172"/>
        <w:gridCol w:w="1144"/>
        <w:gridCol w:w="1172"/>
        <w:gridCol w:w="1172"/>
        <w:gridCol w:w="1146"/>
        <w:gridCol w:w="1172"/>
        <w:gridCol w:w="1138"/>
      </w:tblGrid>
      <w:tr w14:paraId="2368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170" w:type="dxa"/>
            <w:vAlign w:val="center"/>
          </w:tcPr>
          <w:p w14:paraId="5B2F6D7F">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1170" w:type="dxa"/>
            <w:vAlign w:val="center"/>
          </w:tcPr>
          <w:p w14:paraId="522B36D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172" w:type="dxa"/>
            <w:vAlign w:val="center"/>
          </w:tcPr>
          <w:p w14:paraId="7D1FC4D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p>
        </w:tc>
        <w:tc>
          <w:tcPr>
            <w:tcW w:w="1144" w:type="dxa"/>
            <w:vAlign w:val="center"/>
          </w:tcPr>
          <w:p w14:paraId="48C4941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1172" w:type="dxa"/>
            <w:vAlign w:val="center"/>
          </w:tcPr>
          <w:p w14:paraId="64ECDE6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1172" w:type="dxa"/>
            <w:vAlign w:val="center"/>
          </w:tcPr>
          <w:p w14:paraId="1C346C9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1146" w:type="dxa"/>
            <w:vAlign w:val="center"/>
          </w:tcPr>
          <w:p w14:paraId="32DC8DF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w:t>
            </w:r>
          </w:p>
        </w:tc>
        <w:tc>
          <w:tcPr>
            <w:tcW w:w="1172" w:type="dxa"/>
            <w:vAlign w:val="center"/>
          </w:tcPr>
          <w:p w14:paraId="437E3A0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从事相关工作年限</w:t>
            </w:r>
          </w:p>
        </w:tc>
        <w:tc>
          <w:tcPr>
            <w:tcW w:w="1138" w:type="dxa"/>
            <w:vAlign w:val="center"/>
          </w:tcPr>
          <w:p w14:paraId="79DFC28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54DF7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70" w:type="dxa"/>
            <w:vAlign w:val="center"/>
          </w:tcPr>
          <w:p w14:paraId="3EF93878">
            <w:pPr>
              <w:jc w:val="center"/>
              <w:rPr>
                <w:rFonts w:hint="eastAsia" w:ascii="仿宋" w:hAnsi="仿宋" w:eastAsia="仿宋" w:cs="仿宋"/>
                <w:color w:val="auto"/>
                <w:sz w:val="24"/>
                <w:szCs w:val="24"/>
                <w:highlight w:val="none"/>
              </w:rPr>
            </w:pPr>
          </w:p>
        </w:tc>
        <w:tc>
          <w:tcPr>
            <w:tcW w:w="1170" w:type="dxa"/>
            <w:vAlign w:val="center"/>
          </w:tcPr>
          <w:p w14:paraId="75A04231">
            <w:pPr>
              <w:jc w:val="center"/>
              <w:rPr>
                <w:rFonts w:hint="eastAsia" w:ascii="仿宋" w:hAnsi="仿宋" w:eastAsia="仿宋" w:cs="仿宋"/>
                <w:color w:val="auto"/>
                <w:sz w:val="24"/>
                <w:szCs w:val="24"/>
                <w:highlight w:val="none"/>
              </w:rPr>
            </w:pPr>
          </w:p>
        </w:tc>
        <w:tc>
          <w:tcPr>
            <w:tcW w:w="1172" w:type="dxa"/>
            <w:vAlign w:val="center"/>
          </w:tcPr>
          <w:p w14:paraId="3B8C21D2">
            <w:pPr>
              <w:jc w:val="center"/>
              <w:rPr>
                <w:rFonts w:hint="eastAsia" w:ascii="仿宋" w:hAnsi="仿宋" w:eastAsia="仿宋" w:cs="仿宋"/>
                <w:color w:val="auto"/>
                <w:sz w:val="24"/>
                <w:szCs w:val="24"/>
                <w:highlight w:val="none"/>
              </w:rPr>
            </w:pPr>
          </w:p>
        </w:tc>
        <w:tc>
          <w:tcPr>
            <w:tcW w:w="1144" w:type="dxa"/>
            <w:vAlign w:val="center"/>
          </w:tcPr>
          <w:p w14:paraId="4287A37A">
            <w:pPr>
              <w:jc w:val="center"/>
              <w:rPr>
                <w:rFonts w:hint="eastAsia" w:ascii="仿宋" w:hAnsi="仿宋" w:eastAsia="仿宋" w:cs="仿宋"/>
                <w:color w:val="auto"/>
                <w:sz w:val="24"/>
                <w:szCs w:val="24"/>
                <w:highlight w:val="none"/>
              </w:rPr>
            </w:pPr>
          </w:p>
        </w:tc>
        <w:tc>
          <w:tcPr>
            <w:tcW w:w="1172" w:type="dxa"/>
            <w:vAlign w:val="center"/>
          </w:tcPr>
          <w:p w14:paraId="285A2486">
            <w:pPr>
              <w:jc w:val="center"/>
              <w:rPr>
                <w:rFonts w:hint="eastAsia" w:ascii="仿宋" w:hAnsi="仿宋" w:eastAsia="仿宋" w:cs="仿宋"/>
                <w:color w:val="auto"/>
                <w:sz w:val="24"/>
                <w:szCs w:val="24"/>
                <w:highlight w:val="none"/>
              </w:rPr>
            </w:pPr>
          </w:p>
        </w:tc>
        <w:tc>
          <w:tcPr>
            <w:tcW w:w="1172" w:type="dxa"/>
            <w:vAlign w:val="center"/>
          </w:tcPr>
          <w:p w14:paraId="052B5100">
            <w:pPr>
              <w:jc w:val="center"/>
              <w:rPr>
                <w:rFonts w:hint="eastAsia" w:ascii="仿宋" w:hAnsi="仿宋" w:eastAsia="仿宋" w:cs="仿宋"/>
                <w:color w:val="auto"/>
                <w:sz w:val="24"/>
                <w:szCs w:val="24"/>
                <w:highlight w:val="none"/>
              </w:rPr>
            </w:pPr>
          </w:p>
        </w:tc>
        <w:tc>
          <w:tcPr>
            <w:tcW w:w="1146" w:type="dxa"/>
            <w:vAlign w:val="center"/>
          </w:tcPr>
          <w:p w14:paraId="571BB2B3">
            <w:pPr>
              <w:jc w:val="center"/>
              <w:rPr>
                <w:rFonts w:hint="eastAsia" w:ascii="仿宋" w:hAnsi="仿宋" w:eastAsia="仿宋" w:cs="仿宋"/>
                <w:color w:val="auto"/>
                <w:sz w:val="24"/>
                <w:szCs w:val="24"/>
                <w:highlight w:val="none"/>
              </w:rPr>
            </w:pPr>
          </w:p>
        </w:tc>
        <w:tc>
          <w:tcPr>
            <w:tcW w:w="1172" w:type="dxa"/>
            <w:vAlign w:val="center"/>
          </w:tcPr>
          <w:p w14:paraId="0BC7CBC9">
            <w:pPr>
              <w:jc w:val="center"/>
              <w:rPr>
                <w:rFonts w:hint="eastAsia" w:ascii="仿宋" w:hAnsi="仿宋" w:eastAsia="仿宋" w:cs="仿宋"/>
                <w:color w:val="auto"/>
                <w:sz w:val="24"/>
                <w:szCs w:val="24"/>
                <w:highlight w:val="none"/>
              </w:rPr>
            </w:pPr>
          </w:p>
        </w:tc>
        <w:tc>
          <w:tcPr>
            <w:tcW w:w="1138" w:type="dxa"/>
            <w:vAlign w:val="center"/>
          </w:tcPr>
          <w:p w14:paraId="11CFBF76">
            <w:pPr>
              <w:jc w:val="center"/>
              <w:rPr>
                <w:rFonts w:hint="eastAsia" w:ascii="仿宋" w:hAnsi="仿宋" w:eastAsia="仿宋" w:cs="仿宋"/>
                <w:color w:val="auto"/>
                <w:sz w:val="24"/>
                <w:szCs w:val="24"/>
                <w:highlight w:val="none"/>
              </w:rPr>
            </w:pPr>
          </w:p>
        </w:tc>
      </w:tr>
      <w:tr w14:paraId="12EB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70" w:type="dxa"/>
            <w:vAlign w:val="center"/>
          </w:tcPr>
          <w:p w14:paraId="7CA88E1F">
            <w:pPr>
              <w:jc w:val="center"/>
              <w:rPr>
                <w:rFonts w:hint="eastAsia" w:ascii="仿宋" w:hAnsi="仿宋" w:eastAsia="仿宋" w:cs="仿宋"/>
                <w:color w:val="auto"/>
                <w:sz w:val="24"/>
                <w:szCs w:val="24"/>
                <w:highlight w:val="none"/>
              </w:rPr>
            </w:pPr>
          </w:p>
        </w:tc>
        <w:tc>
          <w:tcPr>
            <w:tcW w:w="1170" w:type="dxa"/>
            <w:vAlign w:val="center"/>
          </w:tcPr>
          <w:p w14:paraId="6BCA6F34">
            <w:pPr>
              <w:jc w:val="center"/>
              <w:rPr>
                <w:rFonts w:hint="eastAsia" w:ascii="仿宋" w:hAnsi="仿宋" w:eastAsia="仿宋" w:cs="仿宋"/>
                <w:color w:val="auto"/>
                <w:sz w:val="24"/>
                <w:szCs w:val="24"/>
                <w:highlight w:val="none"/>
              </w:rPr>
            </w:pPr>
          </w:p>
        </w:tc>
        <w:tc>
          <w:tcPr>
            <w:tcW w:w="1172" w:type="dxa"/>
            <w:vAlign w:val="center"/>
          </w:tcPr>
          <w:p w14:paraId="3B3AA379">
            <w:pPr>
              <w:jc w:val="center"/>
              <w:rPr>
                <w:rFonts w:hint="eastAsia" w:ascii="仿宋" w:hAnsi="仿宋" w:eastAsia="仿宋" w:cs="仿宋"/>
                <w:color w:val="auto"/>
                <w:sz w:val="24"/>
                <w:szCs w:val="24"/>
                <w:highlight w:val="none"/>
              </w:rPr>
            </w:pPr>
          </w:p>
        </w:tc>
        <w:tc>
          <w:tcPr>
            <w:tcW w:w="1144" w:type="dxa"/>
            <w:vAlign w:val="center"/>
          </w:tcPr>
          <w:p w14:paraId="4D29F78D">
            <w:pPr>
              <w:jc w:val="center"/>
              <w:rPr>
                <w:rFonts w:hint="eastAsia" w:ascii="仿宋" w:hAnsi="仿宋" w:eastAsia="仿宋" w:cs="仿宋"/>
                <w:color w:val="auto"/>
                <w:sz w:val="24"/>
                <w:szCs w:val="24"/>
                <w:highlight w:val="none"/>
              </w:rPr>
            </w:pPr>
          </w:p>
        </w:tc>
        <w:tc>
          <w:tcPr>
            <w:tcW w:w="1172" w:type="dxa"/>
            <w:vAlign w:val="center"/>
          </w:tcPr>
          <w:p w14:paraId="5ACA7401">
            <w:pPr>
              <w:jc w:val="center"/>
              <w:rPr>
                <w:rFonts w:hint="eastAsia" w:ascii="仿宋" w:hAnsi="仿宋" w:eastAsia="仿宋" w:cs="仿宋"/>
                <w:color w:val="auto"/>
                <w:sz w:val="24"/>
                <w:szCs w:val="24"/>
                <w:highlight w:val="none"/>
              </w:rPr>
            </w:pPr>
          </w:p>
        </w:tc>
        <w:tc>
          <w:tcPr>
            <w:tcW w:w="1172" w:type="dxa"/>
            <w:vAlign w:val="center"/>
          </w:tcPr>
          <w:p w14:paraId="36E5E1C7">
            <w:pPr>
              <w:jc w:val="center"/>
              <w:rPr>
                <w:rFonts w:hint="eastAsia" w:ascii="仿宋" w:hAnsi="仿宋" w:eastAsia="仿宋" w:cs="仿宋"/>
                <w:color w:val="auto"/>
                <w:sz w:val="24"/>
                <w:szCs w:val="24"/>
                <w:highlight w:val="none"/>
              </w:rPr>
            </w:pPr>
          </w:p>
        </w:tc>
        <w:tc>
          <w:tcPr>
            <w:tcW w:w="1146" w:type="dxa"/>
            <w:vAlign w:val="center"/>
          </w:tcPr>
          <w:p w14:paraId="08F804C0">
            <w:pPr>
              <w:jc w:val="center"/>
              <w:rPr>
                <w:rFonts w:hint="eastAsia" w:ascii="仿宋" w:hAnsi="仿宋" w:eastAsia="仿宋" w:cs="仿宋"/>
                <w:color w:val="auto"/>
                <w:sz w:val="24"/>
                <w:szCs w:val="24"/>
                <w:highlight w:val="none"/>
              </w:rPr>
            </w:pPr>
          </w:p>
        </w:tc>
        <w:tc>
          <w:tcPr>
            <w:tcW w:w="1172" w:type="dxa"/>
            <w:vAlign w:val="center"/>
          </w:tcPr>
          <w:p w14:paraId="4870EE3F">
            <w:pPr>
              <w:jc w:val="center"/>
              <w:rPr>
                <w:rFonts w:hint="eastAsia" w:ascii="仿宋" w:hAnsi="仿宋" w:eastAsia="仿宋" w:cs="仿宋"/>
                <w:color w:val="auto"/>
                <w:sz w:val="24"/>
                <w:szCs w:val="24"/>
                <w:highlight w:val="none"/>
              </w:rPr>
            </w:pPr>
          </w:p>
        </w:tc>
        <w:tc>
          <w:tcPr>
            <w:tcW w:w="1138" w:type="dxa"/>
            <w:vAlign w:val="center"/>
          </w:tcPr>
          <w:p w14:paraId="41C3FBA8">
            <w:pPr>
              <w:jc w:val="center"/>
              <w:rPr>
                <w:rFonts w:hint="eastAsia" w:ascii="仿宋" w:hAnsi="仿宋" w:eastAsia="仿宋" w:cs="仿宋"/>
                <w:color w:val="auto"/>
                <w:sz w:val="24"/>
                <w:szCs w:val="24"/>
                <w:highlight w:val="none"/>
              </w:rPr>
            </w:pPr>
          </w:p>
        </w:tc>
      </w:tr>
      <w:tr w14:paraId="1185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70" w:type="dxa"/>
            <w:vAlign w:val="center"/>
          </w:tcPr>
          <w:p w14:paraId="33151C07">
            <w:pPr>
              <w:jc w:val="center"/>
              <w:rPr>
                <w:rFonts w:hint="eastAsia" w:ascii="仿宋" w:hAnsi="仿宋" w:eastAsia="仿宋" w:cs="仿宋"/>
                <w:color w:val="auto"/>
                <w:sz w:val="24"/>
                <w:szCs w:val="24"/>
                <w:highlight w:val="none"/>
              </w:rPr>
            </w:pPr>
          </w:p>
        </w:tc>
        <w:tc>
          <w:tcPr>
            <w:tcW w:w="1170" w:type="dxa"/>
            <w:vAlign w:val="center"/>
          </w:tcPr>
          <w:p w14:paraId="6C221815">
            <w:pPr>
              <w:jc w:val="center"/>
              <w:rPr>
                <w:rFonts w:hint="eastAsia" w:ascii="仿宋" w:hAnsi="仿宋" w:eastAsia="仿宋" w:cs="仿宋"/>
                <w:color w:val="auto"/>
                <w:sz w:val="24"/>
                <w:szCs w:val="24"/>
                <w:highlight w:val="none"/>
              </w:rPr>
            </w:pPr>
          </w:p>
        </w:tc>
        <w:tc>
          <w:tcPr>
            <w:tcW w:w="1172" w:type="dxa"/>
            <w:vAlign w:val="center"/>
          </w:tcPr>
          <w:p w14:paraId="093BCBDF">
            <w:pPr>
              <w:jc w:val="center"/>
              <w:rPr>
                <w:rFonts w:hint="eastAsia" w:ascii="仿宋" w:hAnsi="仿宋" w:eastAsia="仿宋" w:cs="仿宋"/>
                <w:color w:val="auto"/>
                <w:sz w:val="24"/>
                <w:szCs w:val="24"/>
                <w:highlight w:val="none"/>
              </w:rPr>
            </w:pPr>
          </w:p>
        </w:tc>
        <w:tc>
          <w:tcPr>
            <w:tcW w:w="1144" w:type="dxa"/>
            <w:vAlign w:val="center"/>
          </w:tcPr>
          <w:p w14:paraId="3431A0AD">
            <w:pPr>
              <w:jc w:val="center"/>
              <w:rPr>
                <w:rFonts w:hint="eastAsia" w:ascii="仿宋" w:hAnsi="仿宋" w:eastAsia="仿宋" w:cs="仿宋"/>
                <w:color w:val="auto"/>
                <w:sz w:val="24"/>
                <w:szCs w:val="24"/>
                <w:highlight w:val="none"/>
              </w:rPr>
            </w:pPr>
          </w:p>
        </w:tc>
        <w:tc>
          <w:tcPr>
            <w:tcW w:w="1172" w:type="dxa"/>
            <w:vAlign w:val="center"/>
          </w:tcPr>
          <w:p w14:paraId="538781AB">
            <w:pPr>
              <w:jc w:val="center"/>
              <w:rPr>
                <w:rFonts w:hint="eastAsia" w:ascii="仿宋" w:hAnsi="仿宋" w:eastAsia="仿宋" w:cs="仿宋"/>
                <w:color w:val="auto"/>
                <w:sz w:val="24"/>
                <w:szCs w:val="24"/>
                <w:highlight w:val="none"/>
              </w:rPr>
            </w:pPr>
          </w:p>
        </w:tc>
        <w:tc>
          <w:tcPr>
            <w:tcW w:w="1172" w:type="dxa"/>
            <w:vAlign w:val="center"/>
          </w:tcPr>
          <w:p w14:paraId="37FCE958">
            <w:pPr>
              <w:jc w:val="center"/>
              <w:rPr>
                <w:rFonts w:hint="eastAsia" w:ascii="仿宋" w:hAnsi="仿宋" w:eastAsia="仿宋" w:cs="仿宋"/>
                <w:color w:val="auto"/>
                <w:sz w:val="24"/>
                <w:szCs w:val="24"/>
                <w:highlight w:val="none"/>
              </w:rPr>
            </w:pPr>
          </w:p>
        </w:tc>
        <w:tc>
          <w:tcPr>
            <w:tcW w:w="1146" w:type="dxa"/>
            <w:vAlign w:val="center"/>
          </w:tcPr>
          <w:p w14:paraId="09E08CD8">
            <w:pPr>
              <w:jc w:val="center"/>
              <w:rPr>
                <w:rFonts w:hint="eastAsia" w:ascii="仿宋" w:hAnsi="仿宋" w:eastAsia="仿宋" w:cs="仿宋"/>
                <w:color w:val="auto"/>
                <w:sz w:val="24"/>
                <w:szCs w:val="24"/>
                <w:highlight w:val="none"/>
              </w:rPr>
            </w:pPr>
          </w:p>
        </w:tc>
        <w:tc>
          <w:tcPr>
            <w:tcW w:w="1172" w:type="dxa"/>
            <w:vAlign w:val="center"/>
          </w:tcPr>
          <w:p w14:paraId="4B6FE918">
            <w:pPr>
              <w:jc w:val="center"/>
              <w:rPr>
                <w:rFonts w:hint="eastAsia" w:ascii="仿宋" w:hAnsi="仿宋" w:eastAsia="仿宋" w:cs="仿宋"/>
                <w:color w:val="auto"/>
                <w:sz w:val="24"/>
                <w:szCs w:val="24"/>
                <w:highlight w:val="none"/>
              </w:rPr>
            </w:pPr>
          </w:p>
        </w:tc>
        <w:tc>
          <w:tcPr>
            <w:tcW w:w="1138" w:type="dxa"/>
            <w:vAlign w:val="center"/>
          </w:tcPr>
          <w:p w14:paraId="4893DE94">
            <w:pPr>
              <w:jc w:val="center"/>
              <w:rPr>
                <w:rFonts w:hint="eastAsia" w:ascii="仿宋" w:hAnsi="仿宋" w:eastAsia="仿宋" w:cs="仿宋"/>
                <w:color w:val="auto"/>
                <w:sz w:val="24"/>
                <w:szCs w:val="24"/>
                <w:highlight w:val="none"/>
              </w:rPr>
            </w:pPr>
          </w:p>
        </w:tc>
      </w:tr>
      <w:tr w14:paraId="701BB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70" w:type="dxa"/>
            <w:vAlign w:val="center"/>
          </w:tcPr>
          <w:p w14:paraId="290C9335">
            <w:pPr>
              <w:jc w:val="center"/>
              <w:rPr>
                <w:rFonts w:hint="eastAsia" w:ascii="仿宋" w:hAnsi="仿宋" w:eastAsia="仿宋" w:cs="仿宋"/>
                <w:color w:val="auto"/>
                <w:sz w:val="24"/>
                <w:szCs w:val="24"/>
                <w:highlight w:val="none"/>
              </w:rPr>
            </w:pPr>
          </w:p>
        </w:tc>
        <w:tc>
          <w:tcPr>
            <w:tcW w:w="1170" w:type="dxa"/>
            <w:vAlign w:val="center"/>
          </w:tcPr>
          <w:p w14:paraId="649319EB">
            <w:pPr>
              <w:jc w:val="center"/>
              <w:rPr>
                <w:rFonts w:hint="eastAsia" w:ascii="仿宋" w:hAnsi="仿宋" w:eastAsia="仿宋" w:cs="仿宋"/>
                <w:color w:val="auto"/>
                <w:sz w:val="24"/>
                <w:szCs w:val="24"/>
                <w:highlight w:val="none"/>
              </w:rPr>
            </w:pPr>
          </w:p>
        </w:tc>
        <w:tc>
          <w:tcPr>
            <w:tcW w:w="1172" w:type="dxa"/>
            <w:vAlign w:val="center"/>
          </w:tcPr>
          <w:p w14:paraId="2096C2B0">
            <w:pPr>
              <w:jc w:val="center"/>
              <w:rPr>
                <w:rFonts w:hint="eastAsia" w:ascii="仿宋" w:hAnsi="仿宋" w:eastAsia="仿宋" w:cs="仿宋"/>
                <w:color w:val="auto"/>
                <w:sz w:val="24"/>
                <w:szCs w:val="24"/>
                <w:highlight w:val="none"/>
              </w:rPr>
            </w:pPr>
          </w:p>
        </w:tc>
        <w:tc>
          <w:tcPr>
            <w:tcW w:w="1144" w:type="dxa"/>
            <w:vAlign w:val="center"/>
          </w:tcPr>
          <w:p w14:paraId="0A1A163A">
            <w:pPr>
              <w:jc w:val="center"/>
              <w:rPr>
                <w:rFonts w:hint="eastAsia" w:ascii="仿宋" w:hAnsi="仿宋" w:eastAsia="仿宋" w:cs="仿宋"/>
                <w:color w:val="auto"/>
                <w:sz w:val="24"/>
                <w:szCs w:val="24"/>
                <w:highlight w:val="none"/>
              </w:rPr>
            </w:pPr>
          </w:p>
        </w:tc>
        <w:tc>
          <w:tcPr>
            <w:tcW w:w="1172" w:type="dxa"/>
            <w:vAlign w:val="center"/>
          </w:tcPr>
          <w:p w14:paraId="369EF209">
            <w:pPr>
              <w:jc w:val="center"/>
              <w:rPr>
                <w:rFonts w:hint="eastAsia" w:ascii="仿宋" w:hAnsi="仿宋" w:eastAsia="仿宋" w:cs="仿宋"/>
                <w:color w:val="auto"/>
                <w:sz w:val="24"/>
                <w:szCs w:val="24"/>
                <w:highlight w:val="none"/>
              </w:rPr>
            </w:pPr>
          </w:p>
        </w:tc>
        <w:tc>
          <w:tcPr>
            <w:tcW w:w="1172" w:type="dxa"/>
            <w:vAlign w:val="center"/>
          </w:tcPr>
          <w:p w14:paraId="76C78B0F">
            <w:pPr>
              <w:jc w:val="center"/>
              <w:rPr>
                <w:rFonts w:hint="eastAsia" w:ascii="仿宋" w:hAnsi="仿宋" w:eastAsia="仿宋" w:cs="仿宋"/>
                <w:color w:val="auto"/>
                <w:sz w:val="24"/>
                <w:szCs w:val="24"/>
                <w:highlight w:val="none"/>
              </w:rPr>
            </w:pPr>
          </w:p>
        </w:tc>
        <w:tc>
          <w:tcPr>
            <w:tcW w:w="1146" w:type="dxa"/>
            <w:vAlign w:val="center"/>
          </w:tcPr>
          <w:p w14:paraId="331BA356">
            <w:pPr>
              <w:jc w:val="center"/>
              <w:rPr>
                <w:rFonts w:hint="eastAsia" w:ascii="仿宋" w:hAnsi="仿宋" w:eastAsia="仿宋" w:cs="仿宋"/>
                <w:color w:val="auto"/>
                <w:sz w:val="24"/>
                <w:szCs w:val="24"/>
                <w:highlight w:val="none"/>
              </w:rPr>
            </w:pPr>
          </w:p>
        </w:tc>
        <w:tc>
          <w:tcPr>
            <w:tcW w:w="1172" w:type="dxa"/>
            <w:vAlign w:val="center"/>
          </w:tcPr>
          <w:p w14:paraId="3976FFD5">
            <w:pPr>
              <w:jc w:val="center"/>
              <w:rPr>
                <w:rFonts w:hint="eastAsia" w:ascii="仿宋" w:hAnsi="仿宋" w:eastAsia="仿宋" w:cs="仿宋"/>
                <w:color w:val="auto"/>
                <w:sz w:val="24"/>
                <w:szCs w:val="24"/>
                <w:highlight w:val="none"/>
              </w:rPr>
            </w:pPr>
          </w:p>
        </w:tc>
        <w:tc>
          <w:tcPr>
            <w:tcW w:w="1138" w:type="dxa"/>
            <w:vAlign w:val="center"/>
          </w:tcPr>
          <w:p w14:paraId="03AF2E43">
            <w:pPr>
              <w:jc w:val="center"/>
              <w:rPr>
                <w:rFonts w:hint="eastAsia" w:ascii="仿宋" w:hAnsi="仿宋" w:eastAsia="仿宋" w:cs="仿宋"/>
                <w:color w:val="auto"/>
                <w:sz w:val="24"/>
                <w:szCs w:val="24"/>
                <w:highlight w:val="none"/>
              </w:rPr>
            </w:pPr>
          </w:p>
        </w:tc>
      </w:tr>
      <w:tr w14:paraId="47AA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70" w:type="dxa"/>
            <w:vAlign w:val="center"/>
          </w:tcPr>
          <w:p w14:paraId="2946EC96">
            <w:pPr>
              <w:jc w:val="center"/>
              <w:rPr>
                <w:rFonts w:hint="eastAsia" w:ascii="仿宋" w:hAnsi="仿宋" w:eastAsia="仿宋" w:cs="仿宋"/>
                <w:color w:val="auto"/>
                <w:sz w:val="24"/>
                <w:szCs w:val="24"/>
                <w:highlight w:val="none"/>
              </w:rPr>
            </w:pPr>
          </w:p>
        </w:tc>
        <w:tc>
          <w:tcPr>
            <w:tcW w:w="1170" w:type="dxa"/>
            <w:vAlign w:val="center"/>
          </w:tcPr>
          <w:p w14:paraId="25C3CBC5">
            <w:pPr>
              <w:jc w:val="center"/>
              <w:rPr>
                <w:rFonts w:hint="eastAsia" w:ascii="仿宋" w:hAnsi="仿宋" w:eastAsia="仿宋" w:cs="仿宋"/>
                <w:color w:val="auto"/>
                <w:sz w:val="24"/>
                <w:szCs w:val="24"/>
                <w:highlight w:val="none"/>
              </w:rPr>
            </w:pPr>
          </w:p>
        </w:tc>
        <w:tc>
          <w:tcPr>
            <w:tcW w:w="1172" w:type="dxa"/>
            <w:vAlign w:val="center"/>
          </w:tcPr>
          <w:p w14:paraId="43B38D58">
            <w:pPr>
              <w:jc w:val="center"/>
              <w:rPr>
                <w:rFonts w:hint="eastAsia" w:ascii="仿宋" w:hAnsi="仿宋" w:eastAsia="仿宋" w:cs="仿宋"/>
                <w:color w:val="auto"/>
                <w:sz w:val="24"/>
                <w:szCs w:val="24"/>
                <w:highlight w:val="none"/>
              </w:rPr>
            </w:pPr>
          </w:p>
        </w:tc>
        <w:tc>
          <w:tcPr>
            <w:tcW w:w="1144" w:type="dxa"/>
            <w:vAlign w:val="center"/>
          </w:tcPr>
          <w:p w14:paraId="49E58810">
            <w:pPr>
              <w:jc w:val="center"/>
              <w:rPr>
                <w:rFonts w:hint="eastAsia" w:ascii="仿宋" w:hAnsi="仿宋" w:eastAsia="仿宋" w:cs="仿宋"/>
                <w:color w:val="auto"/>
                <w:sz w:val="24"/>
                <w:szCs w:val="24"/>
                <w:highlight w:val="none"/>
              </w:rPr>
            </w:pPr>
          </w:p>
        </w:tc>
        <w:tc>
          <w:tcPr>
            <w:tcW w:w="1172" w:type="dxa"/>
            <w:vAlign w:val="center"/>
          </w:tcPr>
          <w:p w14:paraId="4BFE7ED0">
            <w:pPr>
              <w:jc w:val="center"/>
              <w:rPr>
                <w:rFonts w:hint="eastAsia" w:ascii="仿宋" w:hAnsi="仿宋" w:eastAsia="仿宋" w:cs="仿宋"/>
                <w:color w:val="auto"/>
                <w:sz w:val="24"/>
                <w:szCs w:val="24"/>
                <w:highlight w:val="none"/>
              </w:rPr>
            </w:pPr>
          </w:p>
        </w:tc>
        <w:tc>
          <w:tcPr>
            <w:tcW w:w="1172" w:type="dxa"/>
            <w:vAlign w:val="center"/>
          </w:tcPr>
          <w:p w14:paraId="6F5C977B">
            <w:pPr>
              <w:jc w:val="center"/>
              <w:rPr>
                <w:rFonts w:hint="eastAsia" w:ascii="仿宋" w:hAnsi="仿宋" w:eastAsia="仿宋" w:cs="仿宋"/>
                <w:color w:val="auto"/>
                <w:sz w:val="24"/>
                <w:szCs w:val="24"/>
                <w:highlight w:val="none"/>
              </w:rPr>
            </w:pPr>
          </w:p>
        </w:tc>
        <w:tc>
          <w:tcPr>
            <w:tcW w:w="1146" w:type="dxa"/>
            <w:vAlign w:val="center"/>
          </w:tcPr>
          <w:p w14:paraId="18057A9B">
            <w:pPr>
              <w:jc w:val="center"/>
              <w:rPr>
                <w:rFonts w:hint="eastAsia" w:ascii="仿宋" w:hAnsi="仿宋" w:eastAsia="仿宋" w:cs="仿宋"/>
                <w:color w:val="auto"/>
                <w:sz w:val="24"/>
                <w:szCs w:val="24"/>
                <w:highlight w:val="none"/>
              </w:rPr>
            </w:pPr>
          </w:p>
        </w:tc>
        <w:tc>
          <w:tcPr>
            <w:tcW w:w="1172" w:type="dxa"/>
            <w:vAlign w:val="center"/>
          </w:tcPr>
          <w:p w14:paraId="38537B33">
            <w:pPr>
              <w:jc w:val="center"/>
              <w:rPr>
                <w:rFonts w:hint="eastAsia" w:ascii="仿宋" w:hAnsi="仿宋" w:eastAsia="仿宋" w:cs="仿宋"/>
                <w:color w:val="auto"/>
                <w:sz w:val="24"/>
                <w:szCs w:val="24"/>
                <w:highlight w:val="none"/>
              </w:rPr>
            </w:pPr>
          </w:p>
        </w:tc>
        <w:tc>
          <w:tcPr>
            <w:tcW w:w="1138" w:type="dxa"/>
            <w:vAlign w:val="center"/>
          </w:tcPr>
          <w:p w14:paraId="668CB84D">
            <w:pPr>
              <w:jc w:val="center"/>
              <w:rPr>
                <w:rFonts w:hint="eastAsia" w:ascii="仿宋" w:hAnsi="仿宋" w:eastAsia="仿宋" w:cs="仿宋"/>
                <w:color w:val="auto"/>
                <w:sz w:val="24"/>
                <w:szCs w:val="24"/>
                <w:highlight w:val="none"/>
              </w:rPr>
            </w:pPr>
          </w:p>
        </w:tc>
      </w:tr>
      <w:tr w14:paraId="7CBA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70" w:type="dxa"/>
            <w:vAlign w:val="center"/>
          </w:tcPr>
          <w:p w14:paraId="419F4779">
            <w:pPr>
              <w:jc w:val="center"/>
              <w:rPr>
                <w:rFonts w:hint="eastAsia" w:ascii="仿宋" w:hAnsi="仿宋" w:eastAsia="仿宋" w:cs="仿宋"/>
                <w:color w:val="auto"/>
                <w:sz w:val="24"/>
                <w:szCs w:val="24"/>
                <w:highlight w:val="none"/>
              </w:rPr>
            </w:pPr>
          </w:p>
        </w:tc>
        <w:tc>
          <w:tcPr>
            <w:tcW w:w="1170" w:type="dxa"/>
            <w:vAlign w:val="center"/>
          </w:tcPr>
          <w:p w14:paraId="4F8549B8">
            <w:pPr>
              <w:jc w:val="center"/>
              <w:rPr>
                <w:rFonts w:hint="eastAsia" w:ascii="仿宋" w:hAnsi="仿宋" w:eastAsia="仿宋" w:cs="仿宋"/>
                <w:color w:val="auto"/>
                <w:sz w:val="24"/>
                <w:szCs w:val="24"/>
                <w:highlight w:val="none"/>
              </w:rPr>
            </w:pPr>
          </w:p>
        </w:tc>
        <w:tc>
          <w:tcPr>
            <w:tcW w:w="1172" w:type="dxa"/>
            <w:vAlign w:val="center"/>
          </w:tcPr>
          <w:p w14:paraId="6B2452EF">
            <w:pPr>
              <w:jc w:val="center"/>
              <w:rPr>
                <w:rFonts w:hint="eastAsia" w:ascii="仿宋" w:hAnsi="仿宋" w:eastAsia="仿宋" w:cs="仿宋"/>
                <w:color w:val="auto"/>
                <w:sz w:val="24"/>
                <w:szCs w:val="24"/>
                <w:highlight w:val="none"/>
              </w:rPr>
            </w:pPr>
          </w:p>
        </w:tc>
        <w:tc>
          <w:tcPr>
            <w:tcW w:w="1144" w:type="dxa"/>
            <w:vAlign w:val="center"/>
          </w:tcPr>
          <w:p w14:paraId="20ADC356">
            <w:pPr>
              <w:jc w:val="center"/>
              <w:rPr>
                <w:rFonts w:hint="eastAsia" w:ascii="仿宋" w:hAnsi="仿宋" w:eastAsia="仿宋" w:cs="仿宋"/>
                <w:color w:val="auto"/>
                <w:sz w:val="24"/>
                <w:szCs w:val="24"/>
                <w:highlight w:val="none"/>
              </w:rPr>
            </w:pPr>
          </w:p>
        </w:tc>
        <w:tc>
          <w:tcPr>
            <w:tcW w:w="1172" w:type="dxa"/>
            <w:vAlign w:val="center"/>
          </w:tcPr>
          <w:p w14:paraId="1BA825B4">
            <w:pPr>
              <w:jc w:val="center"/>
              <w:rPr>
                <w:rFonts w:hint="eastAsia" w:ascii="仿宋" w:hAnsi="仿宋" w:eastAsia="仿宋" w:cs="仿宋"/>
                <w:color w:val="auto"/>
                <w:sz w:val="24"/>
                <w:szCs w:val="24"/>
                <w:highlight w:val="none"/>
              </w:rPr>
            </w:pPr>
          </w:p>
        </w:tc>
        <w:tc>
          <w:tcPr>
            <w:tcW w:w="1172" w:type="dxa"/>
            <w:vAlign w:val="center"/>
          </w:tcPr>
          <w:p w14:paraId="645ED0C1">
            <w:pPr>
              <w:jc w:val="center"/>
              <w:rPr>
                <w:rFonts w:hint="eastAsia" w:ascii="仿宋" w:hAnsi="仿宋" w:eastAsia="仿宋" w:cs="仿宋"/>
                <w:color w:val="auto"/>
                <w:sz w:val="24"/>
                <w:szCs w:val="24"/>
                <w:highlight w:val="none"/>
              </w:rPr>
            </w:pPr>
          </w:p>
        </w:tc>
        <w:tc>
          <w:tcPr>
            <w:tcW w:w="1146" w:type="dxa"/>
            <w:vAlign w:val="center"/>
          </w:tcPr>
          <w:p w14:paraId="47E66508">
            <w:pPr>
              <w:jc w:val="center"/>
              <w:rPr>
                <w:rFonts w:hint="eastAsia" w:ascii="仿宋" w:hAnsi="仿宋" w:eastAsia="仿宋" w:cs="仿宋"/>
                <w:color w:val="auto"/>
                <w:sz w:val="24"/>
                <w:szCs w:val="24"/>
                <w:highlight w:val="none"/>
              </w:rPr>
            </w:pPr>
          </w:p>
        </w:tc>
        <w:tc>
          <w:tcPr>
            <w:tcW w:w="1172" w:type="dxa"/>
            <w:vAlign w:val="center"/>
          </w:tcPr>
          <w:p w14:paraId="2990FAD8">
            <w:pPr>
              <w:jc w:val="center"/>
              <w:rPr>
                <w:rFonts w:hint="eastAsia" w:ascii="仿宋" w:hAnsi="仿宋" w:eastAsia="仿宋" w:cs="仿宋"/>
                <w:color w:val="auto"/>
                <w:sz w:val="24"/>
                <w:szCs w:val="24"/>
                <w:highlight w:val="none"/>
              </w:rPr>
            </w:pPr>
          </w:p>
        </w:tc>
        <w:tc>
          <w:tcPr>
            <w:tcW w:w="1138" w:type="dxa"/>
            <w:vAlign w:val="center"/>
          </w:tcPr>
          <w:p w14:paraId="17C066CF">
            <w:pPr>
              <w:jc w:val="center"/>
              <w:rPr>
                <w:rFonts w:hint="eastAsia" w:ascii="仿宋" w:hAnsi="仿宋" w:eastAsia="仿宋" w:cs="仿宋"/>
                <w:color w:val="auto"/>
                <w:sz w:val="24"/>
                <w:szCs w:val="24"/>
                <w:highlight w:val="none"/>
              </w:rPr>
            </w:pPr>
          </w:p>
        </w:tc>
      </w:tr>
      <w:tr w14:paraId="70A5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70" w:type="dxa"/>
            <w:vAlign w:val="center"/>
          </w:tcPr>
          <w:p w14:paraId="75069363">
            <w:pPr>
              <w:jc w:val="center"/>
              <w:rPr>
                <w:rFonts w:hint="eastAsia" w:ascii="仿宋" w:hAnsi="仿宋" w:eastAsia="仿宋" w:cs="仿宋"/>
                <w:color w:val="auto"/>
                <w:sz w:val="24"/>
                <w:szCs w:val="24"/>
                <w:highlight w:val="none"/>
              </w:rPr>
            </w:pPr>
          </w:p>
        </w:tc>
        <w:tc>
          <w:tcPr>
            <w:tcW w:w="1170" w:type="dxa"/>
            <w:vAlign w:val="center"/>
          </w:tcPr>
          <w:p w14:paraId="3FACC929">
            <w:pPr>
              <w:jc w:val="center"/>
              <w:rPr>
                <w:rFonts w:hint="eastAsia" w:ascii="仿宋" w:hAnsi="仿宋" w:eastAsia="仿宋" w:cs="仿宋"/>
                <w:color w:val="auto"/>
                <w:sz w:val="24"/>
                <w:szCs w:val="24"/>
                <w:highlight w:val="none"/>
              </w:rPr>
            </w:pPr>
          </w:p>
        </w:tc>
        <w:tc>
          <w:tcPr>
            <w:tcW w:w="1172" w:type="dxa"/>
            <w:vAlign w:val="center"/>
          </w:tcPr>
          <w:p w14:paraId="44F72460">
            <w:pPr>
              <w:jc w:val="center"/>
              <w:rPr>
                <w:rFonts w:hint="eastAsia" w:ascii="仿宋" w:hAnsi="仿宋" w:eastAsia="仿宋" w:cs="仿宋"/>
                <w:color w:val="auto"/>
                <w:sz w:val="24"/>
                <w:szCs w:val="24"/>
                <w:highlight w:val="none"/>
              </w:rPr>
            </w:pPr>
          </w:p>
        </w:tc>
        <w:tc>
          <w:tcPr>
            <w:tcW w:w="1144" w:type="dxa"/>
            <w:vAlign w:val="center"/>
          </w:tcPr>
          <w:p w14:paraId="78C5E60B">
            <w:pPr>
              <w:jc w:val="center"/>
              <w:rPr>
                <w:rFonts w:hint="eastAsia" w:ascii="仿宋" w:hAnsi="仿宋" w:eastAsia="仿宋" w:cs="仿宋"/>
                <w:color w:val="auto"/>
                <w:sz w:val="24"/>
                <w:szCs w:val="24"/>
                <w:highlight w:val="none"/>
              </w:rPr>
            </w:pPr>
          </w:p>
        </w:tc>
        <w:tc>
          <w:tcPr>
            <w:tcW w:w="1172" w:type="dxa"/>
            <w:vAlign w:val="center"/>
          </w:tcPr>
          <w:p w14:paraId="116AE6E6">
            <w:pPr>
              <w:jc w:val="center"/>
              <w:rPr>
                <w:rFonts w:hint="eastAsia" w:ascii="仿宋" w:hAnsi="仿宋" w:eastAsia="仿宋" w:cs="仿宋"/>
                <w:color w:val="auto"/>
                <w:sz w:val="24"/>
                <w:szCs w:val="24"/>
                <w:highlight w:val="none"/>
              </w:rPr>
            </w:pPr>
          </w:p>
        </w:tc>
        <w:tc>
          <w:tcPr>
            <w:tcW w:w="1172" w:type="dxa"/>
            <w:vAlign w:val="center"/>
          </w:tcPr>
          <w:p w14:paraId="780D9D60">
            <w:pPr>
              <w:jc w:val="center"/>
              <w:rPr>
                <w:rFonts w:hint="eastAsia" w:ascii="仿宋" w:hAnsi="仿宋" w:eastAsia="仿宋" w:cs="仿宋"/>
                <w:color w:val="auto"/>
                <w:sz w:val="24"/>
                <w:szCs w:val="24"/>
                <w:highlight w:val="none"/>
              </w:rPr>
            </w:pPr>
          </w:p>
        </w:tc>
        <w:tc>
          <w:tcPr>
            <w:tcW w:w="1146" w:type="dxa"/>
            <w:vAlign w:val="center"/>
          </w:tcPr>
          <w:p w14:paraId="3DF4FABD">
            <w:pPr>
              <w:jc w:val="center"/>
              <w:rPr>
                <w:rFonts w:hint="eastAsia" w:ascii="仿宋" w:hAnsi="仿宋" w:eastAsia="仿宋" w:cs="仿宋"/>
                <w:color w:val="auto"/>
                <w:sz w:val="24"/>
                <w:szCs w:val="24"/>
                <w:highlight w:val="none"/>
              </w:rPr>
            </w:pPr>
          </w:p>
        </w:tc>
        <w:tc>
          <w:tcPr>
            <w:tcW w:w="1172" w:type="dxa"/>
            <w:vAlign w:val="center"/>
          </w:tcPr>
          <w:p w14:paraId="40AAE4B6">
            <w:pPr>
              <w:jc w:val="center"/>
              <w:rPr>
                <w:rFonts w:hint="eastAsia" w:ascii="仿宋" w:hAnsi="仿宋" w:eastAsia="仿宋" w:cs="仿宋"/>
                <w:color w:val="auto"/>
                <w:sz w:val="24"/>
                <w:szCs w:val="24"/>
                <w:highlight w:val="none"/>
              </w:rPr>
            </w:pPr>
          </w:p>
        </w:tc>
        <w:tc>
          <w:tcPr>
            <w:tcW w:w="1138" w:type="dxa"/>
            <w:vAlign w:val="center"/>
          </w:tcPr>
          <w:p w14:paraId="7BFF1135">
            <w:pPr>
              <w:jc w:val="center"/>
              <w:rPr>
                <w:rFonts w:hint="eastAsia" w:ascii="仿宋" w:hAnsi="仿宋" w:eastAsia="仿宋" w:cs="仿宋"/>
                <w:color w:val="auto"/>
                <w:sz w:val="24"/>
                <w:szCs w:val="24"/>
                <w:highlight w:val="none"/>
              </w:rPr>
            </w:pPr>
          </w:p>
        </w:tc>
      </w:tr>
    </w:tbl>
    <w:p w14:paraId="6893455A">
      <w:pPr>
        <w:widowControl/>
        <w:jc w:val="left"/>
        <w:rPr>
          <w:rFonts w:hint="eastAsia" w:ascii="仿宋" w:hAnsi="仿宋" w:eastAsia="仿宋" w:cs="仿宋"/>
          <w:color w:val="auto"/>
          <w:highlight w:val="none"/>
        </w:rPr>
      </w:pPr>
    </w:p>
    <w:p w14:paraId="52839E32">
      <w:pPr>
        <w:spacing w:line="360" w:lineRule="auto"/>
        <w:ind w:firstLine="420" w:firstLineChars="200"/>
        <w:rPr>
          <w:rFonts w:hint="eastAsia" w:ascii="仿宋" w:hAnsi="仿宋" w:eastAsia="仿宋" w:cs="仿宋"/>
          <w:color w:val="auto"/>
          <w:sz w:val="21"/>
          <w:szCs w:val="21"/>
          <w:highlight w:val="none"/>
          <w:shd w:val="clear" w:color="auto" w:fill="FFFFFF" w:themeFill="background1"/>
          <w:lang w:eastAsia="zh-CN"/>
        </w:rPr>
      </w:pPr>
      <w:r>
        <w:rPr>
          <w:rFonts w:hint="eastAsia" w:ascii="仿宋" w:hAnsi="仿宋" w:eastAsia="仿宋" w:cs="仿宋"/>
          <w:color w:val="auto"/>
          <w:sz w:val="21"/>
          <w:szCs w:val="21"/>
          <w:highlight w:val="none"/>
          <w:shd w:val="clear" w:color="auto" w:fill="FFFFFF" w:themeFill="background1"/>
        </w:rPr>
        <w:t>注：拟派主要</w:t>
      </w:r>
      <w:r>
        <w:rPr>
          <w:rFonts w:hint="eastAsia" w:ascii="仿宋" w:hAnsi="仿宋" w:eastAsia="仿宋" w:cs="仿宋"/>
          <w:color w:val="auto"/>
          <w:sz w:val="21"/>
          <w:szCs w:val="21"/>
          <w:highlight w:val="none"/>
          <w:shd w:val="clear" w:color="auto" w:fill="FFFFFF" w:themeFill="background1"/>
          <w:lang w:val="en-US" w:eastAsia="zh-CN"/>
        </w:rPr>
        <w:t>服务</w:t>
      </w:r>
      <w:r>
        <w:rPr>
          <w:rFonts w:hint="eastAsia" w:ascii="仿宋" w:hAnsi="仿宋" w:eastAsia="仿宋" w:cs="仿宋"/>
          <w:color w:val="auto"/>
          <w:sz w:val="21"/>
          <w:szCs w:val="21"/>
          <w:highlight w:val="none"/>
          <w:shd w:val="clear" w:color="auto" w:fill="FFFFFF" w:themeFill="background1"/>
        </w:rPr>
        <w:t>人员由</w:t>
      </w:r>
      <w:r>
        <w:rPr>
          <w:rFonts w:hint="eastAsia" w:ascii="仿宋" w:hAnsi="仿宋" w:eastAsia="仿宋" w:cs="仿宋"/>
          <w:color w:val="auto"/>
          <w:sz w:val="21"/>
          <w:szCs w:val="21"/>
          <w:highlight w:val="none"/>
          <w:shd w:val="clear" w:color="auto" w:fill="FFFFFF" w:themeFill="background1"/>
          <w:lang w:val="en-US" w:eastAsia="zh-CN"/>
        </w:rPr>
        <w:t>供应商</w:t>
      </w:r>
      <w:r>
        <w:rPr>
          <w:rFonts w:hint="eastAsia" w:ascii="仿宋" w:hAnsi="仿宋" w:eastAsia="仿宋" w:cs="仿宋"/>
          <w:color w:val="auto"/>
          <w:sz w:val="21"/>
          <w:szCs w:val="21"/>
          <w:highlight w:val="none"/>
          <w:shd w:val="clear" w:color="auto" w:fill="FFFFFF" w:themeFill="background1"/>
        </w:rPr>
        <w:t>自行确定，但应能够满足本项目的基本需求；</w:t>
      </w:r>
      <w:r>
        <w:rPr>
          <w:rFonts w:hint="eastAsia" w:ascii="仿宋" w:hAnsi="仿宋" w:eastAsia="仿宋" w:cs="仿宋"/>
          <w:color w:val="auto"/>
          <w:sz w:val="21"/>
          <w:szCs w:val="21"/>
          <w:highlight w:val="none"/>
          <w:shd w:val="clear" w:color="auto" w:fill="FFFFFF" w:themeFill="background1"/>
          <w:lang w:val="en-US" w:eastAsia="zh-CN"/>
        </w:rPr>
        <w:t>后</w:t>
      </w:r>
      <w:r>
        <w:rPr>
          <w:rFonts w:hint="eastAsia" w:ascii="仿宋" w:hAnsi="仿宋" w:eastAsia="仿宋" w:cs="仿宋"/>
          <w:color w:val="auto"/>
          <w:sz w:val="21"/>
          <w:szCs w:val="21"/>
          <w:highlight w:val="none"/>
          <w:shd w:val="clear" w:color="auto" w:fill="FFFFFF" w:themeFill="background1"/>
        </w:rPr>
        <w:t>附身份证等其他相关材料</w:t>
      </w:r>
      <w:r>
        <w:rPr>
          <w:rFonts w:hint="eastAsia" w:ascii="仿宋" w:hAnsi="仿宋" w:eastAsia="仿宋" w:cs="仿宋"/>
          <w:color w:val="auto"/>
          <w:sz w:val="21"/>
          <w:szCs w:val="21"/>
          <w:highlight w:val="none"/>
          <w:shd w:val="clear" w:color="auto" w:fill="FFFFFF" w:themeFill="background1"/>
          <w:lang w:eastAsia="zh-CN"/>
        </w:rPr>
        <w:t>。</w:t>
      </w:r>
    </w:p>
    <w:p w14:paraId="4DFF263D">
      <w:pPr>
        <w:spacing w:line="360" w:lineRule="auto"/>
        <w:ind w:firstLine="482" w:firstLineChars="200"/>
        <w:rPr>
          <w:rFonts w:hint="eastAsia" w:ascii="仿宋" w:hAnsi="仿宋" w:eastAsia="仿宋" w:cs="仿宋"/>
          <w:b/>
          <w:bCs/>
          <w:color w:val="auto"/>
          <w:sz w:val="24"/>
          <w:szCs w:val="24"/>
          <w:highlight w:val="none"/>
          <w:shd w:val="clear" w:color="auto" w:fill="FFFFFF" w:themeFill="background1"/>
        </w:rPr>
      </w:pPr>
      <w:r>
        <w:rPr>
          <w:rFonts w:hint="eastAsia" w:ascii="仿宋" w:hAnsi="仿宋" w:eastAsia="仿宋" w:cs="仿宋"/>
          <w:b/>
          <w:bCs/>
          <w:color w:val="auto"/>
          <w:sz w:val="24"/>
          <w:szCs w:val="24"/>
          <w:highlight w:val="none"/>
          <w:shd w:val="clear" w:color="auto" w:fill="FFFFFF" w:themeFill="background1"/>
        </w:rPr>
        <w:br w:type="page"/>
      </w:r>
    </w:p>
    <w:bookmarkEnd w:id="185"/>
    <w:bookmarkEnd w:id="188"/>
    <w:bookmarkEnd w:id="189"/>
    <w:p w14:paraId="43012606">
      <w:pPr>
        <w:tabs>
          <w:tab w:val="center" w:pos="4832"/>
          <w:tab w:val="left" w:pos="7140"/>
        </w:tabs>
        <w:spacing w:line="360" w:lineRule="auto"/>
        <w:ind w:firstLine="482" w:firstLineChars="200"/>
        <w:jc w:val="center"/>
        <w:outlineLvl w:val="1"/>
        <w:rPr>
          <w:rFonts w:hint="eastAsia" w:ascii="仿宋" w:hAnsi="仿宋" w:eastAsia="仿宋" w:cs="仿宋"/>
          <w:b/>
          <w:color w:val="auto"/>
          <w:sz w:val="24"/>
          <w:szCs w:val="24"/>
          <w:highlight w:val="none"/>
          <w:shd w:val="clear" w:color="auto" w:fill="FFFFFF" w:themeFill="background1"/>
        </w:rPr>
      </w:pPr>
      <w:bookmarkStart w:id="190" w:name="_Toc32498"/>
      <w:bookmarkStart w:id="191" w:name="_Toc38446482"/>
      <w:bookmarkStart w:id="192" w:name="_Toc533503193"/>
      <w:bookmarkStart w:id="193" w:name="_Toc507586177"/>
      <w:r>
        <w:rPr>
          <w:rFonts w:hint="eastAsia" w:ascii="仿宋" w:hAnsi="仿宋" w:eastAsia="仿宋" w:cs="仿宋"/>
          <w:b/>
          <w:color w:val="auto"/>
          <w:sz w:val="24"/>
          <w:szCs w:val="24"/>
          <w:highlight w:val="none"/>
          <w:shd w:val="clear" w:color="auto" w:fill="FFFFFF" w:themeFill="background1"/>
        </w:rPr>
        <w:t>十</w:t>
      </w:r>
      <w:r>
        <w:rPr>
          <w:rFonts w:hint="eastAsia" w:ascii="仿宋" w:hAnsi="仿宋" w:eastAsia="仿宋" w:cs="仿宋"/>
          <w:b/>
          <w:color w:val="auto"/>
          <w:sz w:val="24"/>
          <w:szCs w:val="24"/>
          <w:highlight w:val="none"/>
          <w:shd w:val="clear" w:color="auto" w:fill="FFFFFF" w:themeFill="background1"/>
          <w:lang w:val="en-US" w:eastAsia="zh-CN"/>
        </w:rPr>
        <w:t>二</w:t>
      </w:r>
      <w:r>
        <w:rPr>
          <w:rFonts w:hint="eastAsia" w:ascii="仿宋" w:hAnsi="仿宋" w:eastAsia="仿宋" w:cs="仿宋"/>
          <w:b/>
          <w:color w:val="auto"/>
          <w:sz w:val="24"/>
          <w:szCs w:val="24"/>
          <w:highlight w:val="none"/>
          <w:shd w:val="clear" w:color="auto" w:fill="FFFFFF" w:themeFill="background1"/>
        </w:rPr>
        <w:t>、</w:t>
      </w:r>
      <w:r>
        <w:rPr>
          <w:rFonts w:hint="eastAsia" w:ascii="仿宋" w:hAnsi="仿宋" w:eastAsia="仿宋" w:cs="仿宋"/>
          <w:b/>
          <w:bCs/>
          <w:color w:val="auto"/>
          <w:sz w:val="24"/>
          <w:szCs w:val="24"/>
          <w:highlight w:val="none"/>
          <w:shd w:val="clear" w:color="auto" w:fill="FFFFFF" w:themeFill="background1"/>
        </w:rPr>
        <w:t>服务方案</w:t>
      </w:r>
      <w:bookmarkEnd w:id="190"/>
      <w:bookmarkEnd w:id="191"/>
      <w:bookmarkEnd w:id="192"/>
      <w:bookmarkEnd w:id="193"/>
    </w:p>
    <w:p w14:paraId="0C4C81D0">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23A16DCB">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lang w:val="en-US" w:eastAsia="zh-CN"/>
        </w:rPr>
        <w:t>供应商</w:t>
      </w:r>
      <w:r>
        <w:rPr>
          <w:rFonts w:hint="eastAsia" w:ascii="仿宋" w:hAnsi="仿宋" w:eastAsia="仿宋" w:cs="仿宋"/>
          <w:bCs/>
          <w:color w:val="auto"/>
          <w:sz w:val="24"/>
          <w:szCs w:val="24"/>
          <w:highlight w:val="none"/>
          <w:shd w:val="clear" w:color="auto" w:fill="FFFFFF" w:themeFill="background1"/>
        </w:rPr>
        <w:t>须提交拟完成本项目的服务方案，服务方案的格式和内容由</w:t>
      </w:r>
      <w:r>
        <w:rPr>
          <w:rFonts w:hint="eastAsia" w:ascii="仿宋" w:hAnsi="仿宋" w:eastAsia="仿宋" w:cs="仿宋"/>
          <w:bCs/>
          <w:color w:val="auto"/>
          <w:sz w:val="24"/>
          <w:szCs w:val="24"/>
          <w:highlight w:val="none"/>
          <w:shd w:val="clear" w:color="auto" w:fill="FFFFFF" w:themeFill="background1"/>
          <w:lang w:val="en-US" w:eastAsia="zh-CN"/>
        </w:rPr>
        <w:t>供应商</w:t>
      </w:r>
      <w:r>
        <w:rPr>
          <w:rFonts w:hint="eastAsia" w:ascii="仿宋" w:hAnsi="仿宋" w:eastAsia="仿宋" w:cs="仿宋"/>
          <w:bCs/>
          <w:color w:val="auto"/>
          <w:sz w:val="24"/>
          <w:szCs w:val="24"/>
          <w:highlight w:val="none"/>
          <w:shd w:val="clear" w:color="auto" w:fill="FFFFFF" w:themeFill="background1"/>
        </w:rPr>
        <w:t>根据本项目的具体情况自行拟定。</w:t>
      </w:r>
    </w:p>
    <w:p w14:paraId="1A447725">
      <w:pPr>
        <w:rPr>
          <w:rFonts w:hint="eastAsia" w:ascii="仿宋" w:hAnsi="仿宋" w:eastAsia="仿宋" w:cs="仿宋"/>
          <w:b/>
          <w:color w:val="auto"/>
          <w:sz w:val="24"/>
          <w:szCs w:val="24"/>
          <w:highlight w:val="none"/>
          <w:shd w:val="clear" w:color="auto" w:fill="FFFFFF" w:themeFill="background1"/>
        </w:rPr>
      </w:pPr>
      <w:bookmarkStart w:id="194" w:name="_Toc533503194"/>
      <w:bookmarkStart w:id="195" w:name="_Toc507586178"/>
      <w:bookmarkStart w:id="196" w:name="_Toc38446484"/>
    </w:p>
    <w:p w14:paraId="77C65BEB">
      <w:pP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bookmarkEnd w:id="194"/>
    <w:bookmarkEnd w:id="195"/>
    <w:bookmarkEnd w:id="196"/>
    <w:p w14:paraId="6E063EDE">
      <w:pPr>
        <w:tabs>
          <w:tab w:val="center" w:pos="4832"/>
          <w:tab w:val="left" w:pos="7140"/>
        </w:tabs>
        <w:jc w:val="center"/>
        <w:outlineLvl w:val="1"/>
        <w:rPr>
          <w:rFonts w:hint="eastAsia" w:ascii="仿宋" w:hAnsi="仿宋" w:eastAsia="仿宋" w:cs="仿宋"/>
          <w:b/>
          <w:color w:val="auto"/>
          <w:sz w:val="24"/>
          <w:szCs w:val="24"/>
          <w:highlight w:val="none"/>
        </w:rPr>
      </w:pPr>
      <w:bookmarkStart w:id="197" w:name="_Toc12216"/>
      <w:bookmarkStart w:id="198" w:name="_Toc12468"/>
      <w:bookmarkStart w:id="199" w:name="_Toc60925660"/>
      <w:bookmarkStart w:id="200" w:name="_Toc77455658"/>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、保证金缴纳证明材料</w:t>
      </w:r>
      <w:bookmarkEnd w:id="197"/>
      <w:bookmarkEnd w:id="198"/>
    </w:p>
    <w:p w14:paraId="7436713F">
      <w:pPr>
        <w:spacing w:line="360" w:lineRule="auto"/>
        <w:ind w:firstLine="480" w:firstLineChars="200"/>
        <w:rPr>
          <w:rFonts w:hint="eastAsia" w:ascii="仿宋" w:hAnsi="仿宋" w:eastAsia="仿宋" w:cs="仿宋"/>
          <w:color w:val="auto"/>
          <w:sz w:val="24"/>
          <w:szCs w:val="24"/>
          <w:highlight w:val="none"/>
        </w:rPr>
      </w:pPr>
    </w:p>
    <w:p w14:paraId="0C9AF771">
      <w:pPr>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汇款凭证或支票或汇票或保函或保证金收据等的扫描件。</w:t>
      </w:r>
    </w:p>
    <w:p w14:paraId="34DD5FCB">
      <w:pPr>
        <w:spacing w:line="360" w:lineRule="auto"/>
        <w:ind w:firstLine="480" w:firstLineChars="200"/>
        <w:rPr>
          <w:rFonts w:hint="eastAsia" w:ascii="仿宋" w:hAnsi="仿宋" w:eastAsia="仿宋" w:cs="仿宋"/>
          <w:color w:val="auto"/>
          <w:sz w:val="24"/>
          <w:szCs w:val="24"/>
          <w:highlight w:val="none"/>
        </w:rPr>
      </w:pPr>
    </w:p>
    <w:p w14:paraId="42D04846">
      <w:pPr>
        <w:spacing w:line="360" w:lineRule="auto"/>
        <w:ind w:firstLine="480" w:firstLineChars="200"/>
        <w:rPr>
          <w:rFonts w:hint="eastAsia" w:ascii="仿宋" w:hAnsi="仿宋" w:eastAsia="仿宋" w:cs="仿宋"/>
          <w:color w:val="auto"/>
          <w:sz w:val="24"/>
          <w:szCs w:val="24"/>
          <w:highlight w:val="none"/>
        </w:rPr>
      </w:pPr>
    </w:p>
    <w:p w14:paraId="510D2977">
      <w:pPr>
        <w:spacing w:line="360" w:lineRule="auto"/>
        <w:ind w:firstLine="480" w:firstLineChars="200"/>
        <w:rPr>
          <w:rFonts w:hint="eastAsia" w:ascii="仿宋" w:hAnsi="仿宋" w:eastAsia="仿宋" w:cs="仿宋"/>
          <w:color w:val="auto"/>
          <w:sz w:val="24"/>
          <w:szCs w:val="24"/>
          <w:highlight w:val="none"/>
        </w:rPr>
      </w:pPr>
    </w:p>
    <w:p w14:paraId="387049A4">
      <w:pPr>
        <w:spacing w:line="360" w:lineRule="auto"/>
        <w:ind w:firstLine="480" w:firstLineChars="200"/>
        <w:rPr>
          <w:rFonts w:hint="eastAsia" w:ascii="仿宋" w:hAnsi="仿宋" w:eastAsia="仿宋" w:cs="仿宋"/>
          <w:color w:val="auto"/>
          <w:sz w:val="24"/>
          <w:szCs w:val="24"/>
          <w:highlight w:val="none"/>
        </w:rPr>
      </w:pPr>
    </w:p>
    <w:p w14:paraId="4F5A64C4">
      <w:pPr>
        <w:rPr>
          <w:rFonts w:hint="eastAsia" w:ascii="仿宋" w:hAnsi="仿宋" w:eastAsia="仿宋" w:cs="仿宋"/>
          <w:b/>
          <w:color w:val="auto"/>
          <w:sz w:val="24"/>
          <w:szCs w:val="24"/>
          <w:highlight w:val="none"/>
        </w:rPr>
      </w:pPr>
      <w:bookmarkStart w:id="201" w:name="_Toc24108"/>
      <w:bookmarkStart w:id="202" w:name="_Toc109921168"/>
      <w:bookmarkStart w:id="203" w:name="_Toc130252630"/>
      <w:bookmarkStart w:id="204" w:name="_Toc109941775"/>
      <w:bookmarkStart w:id="205" w:name="_Toc110707975"/>
      <w:bookmarkStart w:id="206" w:name="_Toc14156"/>
      <w:r>
        <w:rPr>
          <w:rFonts w:hint="eastAsia" w:ascii="仿宋" w:hAnsi="仿宋" w:eastAsia="仿宋" w:cs="仿宋"/>
          <w:b/>
          <w:color w:val="auto"/>
          <w:sz w:val="24"/>
          <w:szCs w:val="24"/>
          <w:highlight w:val="none"/>
        </w:rPr>
        <w:br w:type="page"/>
      </w:r>
    </w:p>
    <w:p w14:paraId="62B4EBB1">
      <w:pPr>
        <w:tabs>
          <w:tab w:val="center" w:pos="4832"/>
          <w:tab w:val="left" w:pos="7140"/>
        </w:tabs>
        <w:jc w:val="center"/>
        <w:outlineLvl w:val="1"/>
        <w:rPr>
          <w:rFonts w:hint="eastAsia" w:ascii="仿宋" w:hAnsi="仿宋" w:eastAsia="仿宋" w:cs="仿宋"/>
          <w:b/>
          <w:color w:val="auto"/>
          <w:sz w:val="24"/>
          <w:szCs w:val="24"/>
          <w:highlight w:val="none"/>
        </w:rPr>
      </w:pPr>
      <w:bookmarkStart w:id="207" w:name="_Toc29087"/>
      <w:bookmarkStart w:id="208" w:name="_Toc17524"/>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、其它需要提交的资料</w:t>
      </w:r>
      <w:bookmarkEnd w:id="201"/>
      <w:bookmarkEnd w:id="202"/>
      <w:bookmarkEnd w:id="203"/>
      <w:bookmarkEnd w:id="204"/>
      <w:bookmarkEnd w:id="205"/>
      <w:bookmarkEnd w:id="206"/>
      <w:bookmarkEnd w:id="207"/>
      <w:bookmarkEnd w:id="208"/>
    </w:p>
    <w:p w14:paraId="1EFD0F99">
      <w:pPr>
        <w:spacing w:line="360" w:lineRule="auto"/>
        <w:ind w:firstLine="480" w:firstLineChars="200"/>
        <w:rPr>
          <w:rFonts w:hint="eastAsia" w:ascii="仿宋" w:hAnsi="仿宋" w:eastAsia="仿宋" w:cs="仿宋"/>
          <w:color w:val="auto"/>
          <w:sz w:val="24"/>
          <w:szCs w:val="24"/>
          <w:highlight w:val="none"/>
        </w:rPr>
      </w:pPr>
    </w:p>
    <w:p w14:paraId="419941D8">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的要求和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认为需要提供的资料</w:t>
      </w:r>
      <w:r>
        <w:rPr>
          <w:rFonts w:hint="eastAsia" w:ascii="仿宋" w:hAnsi="仿宋" w:eastAsia="仿宋" w:cs="仿宋"/>
          <w:color w:val="auto"/>
          <w:sz w:val="24"/>
          <w:szCs w:val="24"/>
          <w:highlight w:val="none"/>
          <w:lang w:val="en-US" w:eastAsia="zh-CN"/>
        </w:rPr>
        <w:t>。</w:t>
      </w:r>
    </w:p>
    <w:p w14:paraId="2A045D50">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0C8EC4C6">
      <w:pPr>
        <w:numPr>
          <w:ilvl w:val="0"/>
          <w:numId w:val="3"/>
        </w:numPr>
        <w:spacing w:line="360" w:lineRule="auto"/>
        <w:jc w:val="center"/>
        <w:outlineLvl w:val="0"/>
        <w:rPr>
          <w:rFonts w:hint="eastAsia" w:ascii="仿宋" w:hAnsi="仿宋" w:eastAsia="仿宋" w:cs="仿宋"/>
          <w:b/>
          <w:color w:val="auto"/>
          <w:sz w:val="24"/>
          <w:szCs w:val="24"/>
          <w:highlight w:val="none"/>
          <w:shd w:val="clear" w:color="auto" w:fill="FFFFFF" w:themeFill="background1"/>
        </w:rPr>
      </w:pPr>
      <w:bookmarkStart w:id="209" w:name="_Toc4679"/>
      <w:r>
        <w:rPr>
          <w:rFonts w:hint="eastAsia" w:ascii="仿宋" w:hAnsi="仿宋" w:eastAsia="仿宋" w:cs="仿宋"/>
          <w:b/>
          <w:color w:val="auto"/>
          <w:sz w:val="24"/>
          <w:szCs w:val="24"/>
          <w:highlight w:val="none"/>
          <w:shd w:val="clear" w:color="auto" w:fill="FFFFFF" w:themeFill="background1"/>
        </w:rPr>
        <w:t>补充条款</w:t>
      </w:r>
      <w:bookmarkEnd w:id="199"/>
      <w:bookmarkEnd w:id="200"/>
      <w:bookmarkEnd w:id="209"/>
    </w:p>
    <w:p w14:paraId="54CBE0F5">
      <w:pPr>
        <w:spacing w:line="360" w:lineRule="auto"/>
        <w:outlineLvl w:val="1"/>
        <w:rPr>
          <w:rFonts w:hint="eastAsia" w:ascii="仿宋" w:hAnsi="仿宋" w:eastAsia="仿宋" w:cs="仿宋"/>
          <w:color w:val="auto"/>
          <w:spacing w:val="6"/>
          <w:sz w:val="24"/>
          <w:szCs w:val="24"/>
          <w:highlight w:val="none"/>
        </w:rPr>
      </w:pPr>
      <w:bookmarkStart w:id="210" w:name="_Toc15921"/>
      <w:bookmarkStart w:id="211" w:name="_Toc16688"/>
      <w:bookmarkStart w:id="212" w:name="_Toc5592"/>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1</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中小企业扶持政策</w:t>
      </w:r>
      <w:bookmarkEnd w:id="210"/>
      <w:bookmarkEnd w:id="211"/>
      <w:bookmarkEnd w:id="212"/>
    </w:p>
    <w:p w14:paraId="66E3D5D5">
      <w:pPr>
        <w:spacing w:line="360" w:lineRule="auto"/>
        <w:jc w:val="center"/>
        <w:rPr>
          <w:rFonts w:hint="eastAsia" w:ascii="仿宋" w:hAnsi="仿宋" w:eastAsia="仿宋" w:cs="仿宋"/>
          <w:color w:val="auto"/>
          <w:spacing w:val="6"/>
          <w:sz w:val="24"/>
          <w:szCs w:val="24"/>
          <w:highlight w:val="none"/>
        </w:rPr>
      </w:pPr>
    </w:p>
    <w:p w14:paraId="148010D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关于印发中小企业划型标准规定的通知</w:t>
      </w:r>
    </w:p>
    <w:p w14:paraId="3C705406">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工信部联企业〔2011〕300号</w:t>
      </w:r>
    </w:p>
    <w:p w14:paraId="4276095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各省、自治区、直辖市人民政府，国务院各部委、各直属机构及有关单位：</w:t>
      </w:r>
    </w:p>
    <w:p w14:paraId="3FDDC89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8BDD1DF">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工业和信息化部</w:t>
      </w:r>
    </w:p>
    <w:p w14:paraId="06950004">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国家统计局</w:t>
      </w:r>
    </w:p>
    <w:p w14:paraId="4455EC35">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国家发展和改革委员会</w:t>
      </w:r>
    </w:p>
    <w:p w14:paraId="58521107">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p>
    <w:p w14:paraId="179CA05F">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二○一一年六月十八日</w:t>
      </w:r>
    </w:p>
    <w:p w14:paraId="1DDD656E">
      <w:pPr>
        <w:spacing w:line="360" w:lineRule="auto"/>
        <w:ind w:firstLine="504" w:firstLineChars="200"/>
        <w:rPr>
          <w:rFonts w:hint="eastAsia" w:ascii="仿宋" w:hAnsi="仿宋" w:eastAsia="仿宋" w:cs="仿宋"/>
          <w:color w:val="auto"/>
          <w:spacing w:val="6"/>
          <w:sz w:val="24"/>
          <w:szCs w:val="24"/>
          <w:highlight w:val="none"/>
        </w:rPr>
      </w:pPr>
    </w:p>
    <w:p w14:paraId="1EB147B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中小企业划型标准规定</w:t>
      </w:r>
    </w:p>
    <w:p w14:paraId="6C5BC20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一、根据《中华人民共和国中小企业促进法》和《国务院关于进一步促进中小企业发展的若干意见》(国发〔2009〕36号)，制定本规定。</w:t>
      </w:r>
    </w:p>
    <w:p w14:paraId="7BB7566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二、中小企业划分为中型、小型、微型三种类型，具体标准根据企业从业人员、营业收入、资产总额等指标，结合行业特点制定。</w:t>
      </w:r>
    </w:p>
    <w:p w14:paraId="14E0EDC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4293C1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四、各行业划型标准为：</w:t>
      </w:r>
    </w:p>
    <w:p w14:paraId="3906DA6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067E32B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1274D3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E01356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5BCCF6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F18D97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D4881E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9A4D28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D37CA2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3270FC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A3AC33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686EC0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C0CB22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707456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164B0F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A445B7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03D57AC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五、企业类型的划分以统计部门的统计数据为依据。</w:t>
      </w:r>
    </w:p>
    <w:p w14:paraId="6630774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六、本规定适用于在中华人民共和国境内依法设立的各类所有制和各种组织形式的企业。个体工商户和本规定以外的行业，参照本规定进行划型。</w:t>
      </w:r>
    </w:p>
    <w:p w14:paraId="208720C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4DE3234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八、本规定由工业和信息化部、国家统计局会同有关部门根据《国民经济行业分类》修订情况和企业发展变化情况适时修订。</w:t>
      </w:r>
    </w:p>
    <w:p w14:paraId="35DAB4B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九、本规定由工业和信息化部、国家统计局会同有关部门负责解释。</w:t>
      </w:r>
    </w:p>
    <w:p w14:paraId="1604C05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十、本规定自发布之日起执行，原国家经贸委、原国家计委、财政部和国家统计局2003年颁布的《中小企业标准暂行规定》同时废止。</w:t>
      </w:r>
    </w:p>
    <w:p w14:paraId="05F1EB11">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1DAF3BFD">
      <w:pPr>
        <w:spacing w:line="360" w:lineRule="auto"/>
        <w:outlineLvl w:val="1"/>
        <w:rPr>
          <w:rFonts w:hint="eastAsia" w:ascii="仿宋" w:hAnsi="仿宋" w:eastAsia="仿宋" w:cs="仿宋"/>
          <w:color w:val="auto"/>
          <w:spacing w:val="6"/>
          <w:sz w:val="24"/>
          <w:szCs w:val="24"/>
          <w:highlight w:val="none"/>
          <w:lang w:val="en-US" w:eastAsia="zh-CN"/>
        </w:rPr>
      </w:pPr>
      <w:bookmarkStart w:id="213" w:name="_Toc30202"/>
      <w:bookmarkStart w:id="214" w:name="_Toc20667"/>
      <w:bookmarkStart w:id="215" w:name="_Toc372"/>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2</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残疾人企业扶持政策</w:t>
      </w:r>
      <w:bookmarkEnd w:id="213"/>
      <w:bookmarkEnd w:id="214"/>
      <w:bookmarkEnd w:id="215"/>
    </w:p>
    <w:p w14:paraId="691F0BAB">
      <w:pPr>
        <w:spacing w:line="360" w:lineRule="auto"/>
        <w:jc w:val="center"/>
        <w:rPr>
          <w:rFonts w:hint="eastAsia" w:ascii="仿宋" w:hAnsi="仿宋" w:eastAsia="仿宋" w:cs="仿宋"/>
          <w:color w:val="auto"/>
          <w:spacing w:val="6"/>
          <w:sz w:val="24"/>
          <w:szCs w:val="24"/>
          <w:highlight w:val="none"/>
        </w:rPr>
      </w:pPr>
    </w:p>
    <w:p w14:paraId="462725D7">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关于促进残疾人就业政府采购政策的通知</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财库〔2017〕141号</w:t>
      </w:r>
    </w:p>
    <w:p w14:paraId="0ABF691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42AD0D7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为了发挥政府采购促进残疾人就业的作用，进一步保障残疾人权益，依照《政府采购法》、《残疾人保障法》等法律法规及相关规定，现就促进残疾人就业政府采购政策通知如下：</w:t>
      </w:r>
    </w:p>
    <w:p w14:paraId="6730DFA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一、享受政府采购支持政策的残疾人福利性单位应当同时满足以下条件：</w:t>
      </w:r>
    </w:p>
    <w:p w14:paraId="646BCB6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（一）安置的残疾人占本单位在职职工人数的比例不低于25%（含25%），并且安置的残疾人人数不少于10人（含10人）；</w:t>
      </w:r>
    </w:p>
    <w:p w14:paraId="2CE4ADB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（二）依法与安置的每位残疾人签订了一年以上（含一年）的劳动合同或服务协议；</w:t>
      </w:r>
    </w:p>
    <w:p w14:paraId="54B5842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（三）为安置的每位残疾人按月足额缴纳了基本养老保险、基本医疗保险、失业保险、工伤保险和生育保险等社会保险费；</w:t>
      </w:r>
    </w:p>
    <w:p w14:paraId="0956FB6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（四）通过银行等金融机构向安置的每位残疾人，按月支付了不低于单位所在区县适用的经省级人民政府批准的月最低工资标准的工资；</w:t>
      </w:r>
    </w:p>
    <w:p w14:paraId="4F878A2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（五）提供本单位制造的货物、承担的工程或者服务（以下简称产品），或者提供其他残疾人福利性单位制造的货物（不包括使用非残疾人福利性单位注册商标的货物）。</w:t>
      </w:r>
    </w:p>
    <w:p w14:paraId="2D96946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9E2E69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0682F3D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中标、成交</w:t>
      </w:r>
      <w:r>
        <w:rPr>
          <w:rFonts w:hint="eastAsia" w:ascii="仿宋" w:hAnsi="仿宋" w:eastAsia="仿宋" w:cs="仿宋"/>
          <w:color w:val="auto"/>
          <w:spacing w:val="6"/>
          <w:sz w:val="24"/>
          <w:szCs w:val="24"/>
          <w:highlight w:val="none"/>
          <w:lang w:eastAsia="zh-CN"/>
        </w:rPr>
        <w:t>供应商</w:t>
      </w:r>
      <w:r>
        <w:rPr>
          <w:rFonts w:hint="eastAsia" w:ascii="仿宋" w:hAnsi="仿宋" w:eastAsia="仿宋" w:cs="仿宋"/>
          <w:color w:val="auto"/>
          <w:spacing w:val="6"/>
          <w:sz w:val="24"/>
          <w:szCs w:val="24"/>
          <w:highlight w:val="none"/>
        </w:rPr>
        <w:t>为残疾人福利性单位的，采购人或者其委托的采购代理机构应当随中标、成交结果同时公告其《残疾人福利性单位声明函》，接受社会监督。</w:t>
      </w:r>
    </w:p>
    <w:p w14:paraId="2F04741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供应商</w:t>
      </w:r>
      <w:r>
        <w:rPr>
          <w:rFonts w:hint="eastAsia" w:ascii="仿宋" w:hAnsi="仿宋" w:eastAsia="仿宋" w:cs="仿宋"/>
          <w:color w:val="auto"/>
          <w:spacing w:val="6"/>
          <w:sz w:val="24"/>
          <w:szCs w:val="24"/>
          <w:highlight w:val="none"/>
        </w:rPr>
        <w:t>提供的《残疾人福利性单位声明函》与事实不符的，依照《政府采购法》第七十七条第一款的规定追究法律责任。</w:t>
      </w:r>
    </w:p>
    <w:p w14:paraId="65F96FD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528782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四、采购人采购公开招标数额标准以上的货物或者服务，因落实促进残疾人就业政策的需要，依法履行有关报批程序后，可采用公开招标以外的采购方式。</w:t>
      </w:r>
    </w:p>
    <w:p w14:paraId="716A064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63F1123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0C497C0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七、本通知自2017年10月1日起执行。</w:t>
      </w:r>
    </w:p>
    <w:p w14:paraId="34A2E7AB">
      <w:pPr>
        <w:pStyle w:val="11"/>
        <w:rPr>
          <w:rFonts w:hint="eastAsia" w:ascii="仿宋" w:hAnsi="仿宋" w:eastAsia="仿宋" w:cs="仿宋"/>
          <w:color w:val="auto"/>
          <w:highlight w:val="none"/>
        </w:rPr>
      </w:pPr>
    </w:p>
    <w:p w14:paraId="58C0FA81">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民政部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中国残疾人联合会</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2017年8月22日</w:t>
      </w:r>
    </w:p>
    <w:p w14:paraId="7275990B">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04AC875F">
      <w:pPr>
        <w:spacing w:line="360" w:lineRule="auto"/>
        <w:outlineLvl w:val="1"/>
        <w:rPr>
          <w:rFonts w:hint="eastAsia" w:ascii="仿宋" w:hAnsi="仿宋" w:eastAsia="仿宋" w:cs="仿宋"/>
          <w:color w:val="auto"/>
          <w:spacing w:val="6"/>
          <w:sz w:val="24"/>
          <w:szCs w:val="24"/>
          <w:highlight w:val="none"/>
        </w:rPr>
      </w:pPr>
      <w:bookmarkStart w:id="216" w:name="_Toc244"/>
      <w:bookmarkStart w:id="217" w:name="_Toc11453"/>
      <w:bookmarkStart w:id="218" w:name="_Toc13048"/>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3</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监狱扶持政策</w:t>
      </w:r>
      <w:bookmarkEnd w:id="216"/>
      <w:bookmarkEnd w:id="217"/>
      <w:bookmarkEnd w:id="218"/>
    </w:p>
    <w:p w14:paraId="57B5C2F9">
      <w:pPr>
        <w:spacing w:line="360"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财政部 司法部关于政府采购支持</w:t>
      </w:r>
    </w:p>
    <w:p w14:paraId="16997E4C">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val="en-US" w:eastAsia="zh-CN"/>
        </w:rPr>
        <w:t>监狱企业发展有关问题的通知</w:t>
      </w:r>
    </w:p>
    <w:p w14:paraId="10CFA68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财库〔2014〕68号</w:t>
      </w:r>
    </w:p>
    <w:p w14:paraId="3390E73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二、在政府采购活动中，监狱企业视同小型、微型企业，享受预留份额、评审中价格扣除等政府采购促进中小企业发展的政府采购政策。向监狱企业采购的金额，计入面向中小企业采购的统计数据。</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四、各地区可以结合本地区实际，对监狱企业生产的办公用品、家具用具、车辆维修和提供的保养服务、消防设备等，提出预留份额等政府采购支持措施，加大对监狱企业产品的采购力度。</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D1DFF0F">
      <w:pPr>
        <w:pStyle w:val="11"/>
        <w:rPr>
          <w:rFonts w:hint="eastAsia" w:ascii="仿宋" w:hAnsi="仿宋" w:eastAsia="仿宋" w:cs="仿宋"/>
          <w:color w:val="auto"/>
          <w:highlight w:val="none"/>
        </w:rPr>
      </w:pPr>
    </w:p>
    <w:p w14:paraId="6E175885">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中华人民共和国财政部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中华人民共和国司法部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2014年6月10日</w:t>
      </w:r>
    </w:p>
    <w:p w14:paraId="051B58EF">
      <w:pPr>
        <w:spacing w:line="360" w:lineRule="auto"/>
        <w:rPr>
          <w:rFonts w:hint="eastAsia" w:ascii="仿宋" w:hAnsi="仿宋" w:eastAsia="仿宋" w:cs="仿宋"/>
          <w:color w:val="auto"/>
          <w:sz w:val="24"/>
          <w:szCs w:val="24"/>
          <w:highlight w:val="none"/>
          <w:shd w:val="clear" w:color="auto" w:fill="FFFFFF" w:themeFill="background1"/>
        </w:rPr>
      </w:pPr>
    </w:p>
    <w:p w14:paraId="0540D77B">
      <w:pPr>
        <w:rPr>
          <w:rFonts w:hint="eastAsia" w:ascii="仿宋" w:hAnsi="仿宋" w:eastAsia="仿宋" w:cs="仿宋"/>
          <w:color w:val="auto"/>
          <w:highlight w:val="none"/>
        </w:rPr>
      </w:pPr>
    </w:p>
    <w:sectPr>
      <w:headerReference r:id="rId10" w:type="default"/>
      <w:footerReference r:id="rId11" w:type="default"/>
      <w:pgSz w:w="11906" w:h="16838"/>
      <w:pgMar w:top="1440" w:right="1080" w:bottom="1440" w:left="108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
    <w:altName w:val="宋体"/>
    <w:panose1 w:val="00000000000000000000"/>
    <w:charset w:val="86"/>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0A726">
    <w:pPr>
      <w:pStyle w:val="24"/>
      <w:jc w:val="center"/>
      <w:rPr>
        <w:rFonts w:asciiTheme="minorEastAsia" w:hAnsiTheme="minorEastAsia" w:eastAsiaTheme="minorEastAsia"/>
        <w:sz w:val="21"/>
        <w:szCs w:val="21"/>
        <w:lang w:val="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3612F">
    <w:pPr>
      <w:pStyle w:val="24"/>
      <w:framePr w:wrap="around" w:vAnchor="text" w:hAnchor="margin" w:xAlign="center" w:y="1"/>
      <w:rPr>
        <w:rStyle w:val="47"/>
      </w:rPr>
    </w:pPr>
    <w:r>
      <w:rPr>
        <w:rStyle w:val="47"/>
      </w:rPr>
      <w:fldChar w:fldCharType="begin"/>
    </w:r>
    <w:r>
      <w:rPr>
        <w:rStyle w:val="47"/>
      </w:rPr>
      <w:instrText xml:space="preserve">PAGE  </w:instrText>
    </w:r>
    <w:r>
      <w:rPr>
        <w:rStyle w:val="47"/>
      </w:rPr>
      <w:fldChar w:fldCharType="separate"/>
    </w:r>
    <w:r>
      <w:rPr>
        <w:rStyle w:val="47"/>
      </w:rPr>
      <w:t>68</w:t>
    </w:r>
    <w:r>
      <w:rPr>
        <w:rStyle w:val="47"/>
      </w:rPr>
      <w:fldChar w:fldCharType="end"/>
    </w:r>
  </w:p>
  <w:p w14:paraId="69FDF088">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7CB63">
    <w:pPr>
      <w:pStyle w:val="24"/>
      <w:jc w:val="center"/>
      <w:rPr>
        <w:rFonts w:asciiTheme="minorEastAsia" w:hAnsiTheme="minorEastAsia" w:eastAsiaTheme="minorEastAsia"/>
        <w:sz w:val="21"/>
        <w:szCs w:val="21"/>
      </w:rPr>
    </w:pP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   \* MERGEFORMAT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lang w:val="zh-CN"/>
      </w:rPr>
      <w:t>3</w:t>
    </w:r>
    <w:r>
      <w:rPr>
        <w:rFonts w:asciiTheme="minorEastAsia" w:hAnsiTheme="minorEastAsia" w:eastAsiaTheme="minorEastAsia"/>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EDC45">
    <w:pPr>
      <w:pStyle w:val="24"/>
      <w:rPr>
        <w:rFonts w:ascii="宋体" w:hAnsi="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33AE3">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733AE3">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58788">
    <w:pPr>
      <w:spacing w:before="0" w:after="0" w:line="14" w:lineRule="auto"/>
      <w:rPr>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5E502">
                          <w:pPr>
                            <w:pStyle w:val="2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735E502">
                    <w:pPr>
                      <w:pStyle w:val="2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BF270">
    <w:pPr>
      <w:pStyle w:val="24"/>
      <w:ind w:right="360"/>
      <w:rPr>
        <w:rFonts w:ascii="仿宋" w:hAnsi="仿宋" w:eastAsia="仿宋" w:cs="仿宋"/>
        <w:sz w:val="24"/>
        <w:szCs w:val="24"/>
        <w:lang w:val="zh-CN"/>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88C92">
                          <w:pPr>
                            <w:pStyle w:val="2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8C88C92">
                    <w:pPr>
                      <w:pStyle w:val="2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1BADA">
    <w:pPr>
      <w:pStyle w:val="2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CFE57">
    <w:pPr>
      <w:spacing w:line="227" w:lineRule="auto"/>
      <w:ind w:left="222"/>
      <w:rPr>
        <w:rFonts w:hint="eastAsia" w:ascii="宋体" w:hAnsi="宋体" w:eastAsia="宋体" w:cs="宋体"/>
        <w:sz w:val="20"/>
        <w:szCs w:val="20"/>
        <w:lang w:eastAsia="zh-CN"/>
      </w:rPr>
    </w:pPr>
    <w:r>
      <mc:AlternateContent>
        <mc:Choice Requires="wps">
          <w:drawing>
            <wp:anchor distT="0" distB="0" distL="114300" distR="114300" simplePos="0" relativeHeight="251659264" behindDoc="0" locked="0" layoutInCell="1" allowOverlap="1">
              <wp:simplePos x="0" y="0"/>
              <wp:positionH relativeFrom="column">
                <wp:posOffset>5328920</wp:posOffset>
              </wp:positionH>
              <wp:positionV relativeFrom="paragraph">
                <wp:posOffset>-12065</wp:posOffset>
              </wp:positionV>
              <wp:extent cx="952500" cy="1822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952500" cy="182245"/>
                      </a:xfrm>
                      <a:prstGeom prst="rect">
                        <a:avLst/>
                      </a:prstGeom>
                      <a:noFill/>
                      <a:ln>
                        <a:noFill/>
                      </a:ln>
                    </wps:spPr>
                    <wps:txbx>
                      <w:txbxContent>
                        <w:p w14:paraId="29C88B86">
                          <w:pPr>
                            <w:spacing w:before="19" w:line="228" w:lineRule="auto"/>
                            <w:rPr>
                              <w:rFonts w:ascii="宋体" w:hAnsi="宋体" w:eastAsia="宋体" w:cs="宋体"/>
                              <w:sz w:val="20"/>
                              <w:szCs w:val="20"/>
                            </w:rPr>
                          </w:pPr>
                        </w:p>
                      </w:txbxContent>
                    </wps:txbx>
                    <wps:bodyPr lIns="0" tIns="0" rIns="0" bIns="0" upright="1"/>
                  </wps:wsp>
                </a:graphicData>
              </a:graphic>
            </wp:anchor>
          </w:drawing>
        </mc:Choice>
        <mc:Fallback>
          <w:pict>
            <v:shape id="_x0000_s1026" o:spid="_x0000_s1026" o:spt="202" type="#_x0000_t202" style="position:absolute;left:0pt;margin-left:419.6pt;margin-top:-0.95pt;height:14.35pt;width:75pt;z-index:251659264;mso-width-relative:page;mso-height-relative:page;" filled="f" stroked="f" coordsize="21600,21600" o:gfxdata="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CpWJl2AAAAAkBAAAPAAAAAAAAAAEAIAAAACIAAABkcnMvZG93bnJldi54bWxQSwECFAAU&#10;AAAACACHTuJAIlbOB7gBAABxAwAADgAAAAAAAAABACAAAAAnAQAAZHJzL2Uyb0RvYy54bWxQSwUG&#10;AAAAAAYABgBZAQAAUQUAAAAA&#10;">
              <v:fill on="f" focussize="0,0"/>
              <v:stroke on="f"/>
              <v:imagedata o:title=""/>
              <o:lock v:ext="edit" aspectratio="f"/>
              <v:textbox inset="0mm,0mm,0mm,0mm">
                <w:txbxContent>
                  <w:p w14:paraId="29C88B86">
                    <w:pPr>
                      <w:spacing w:before="19" w:line="228" w:lineRule="auto"/>
                      <w:rPr>
                        <w:rFonts w:ascii="宋体" w:hAnsi="宋体" w:eastAsia="宋体" w:cs="宋体"/>
                        <w:sz w:val="20"/>
                        <w:szCs w:val="20"/>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D6D58">
    <w:pPr>
      <w:pStyle w:val="2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995FB1"/>
    <w:multiLevelType w:val="singleLevel"/>
    <w:tmpl w:val="E7995FB1"/>
    <w:lvl w:ilvl="0" w:tentative="0">
      <w:start w:val="6"/>
      <w:numFmt w:val="chineseCounting"/>
      <w:suff w:val="space"/>
      <w:lvlText w:val="第%1章"/>
      <w:lvlJc w:val="left"/>
      <w:rPr>
        <w:rFonts w:hint="eastAsia"/>
      </w:rPr>
    </w:lvl>
  </w:abstractNum>
  <w:abstractNum w:abstractNumId="1">
    <w:nsid w:val="51D3F462"/>
    <w:multiLevelType w:val="singleLevel"/>
    <w:tmpl w:val="51D3F462"/>
    <w:lvl w:ilvl="0" w:tentative="0">
      <w:start w:val="1"/>
      <w:numFmt w:val="decimal"/>
      <w:suff w:val="nothing"/>
      <w:lvlText w:val="（%1）"/>
      <w:lvlJc w:val="left"/>
    </w:lvl>
  </w:abstractNum>
  <w:abstractNum w:abstractNumId="2">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YzQ0MWM2NDg3NzAxNTI3MDYxNmNiYmNjZWVhNTgifQ=="/>
    <w:docVar w:name="KSO_WPS_MARK_KEY" w:val="8964930e-b812-44f6-ad31-5e90c699a630"/>
  </w:docVars>
  <w:rsids>
    <w:rsidRoot w:val="00172A27"/>
    <w:rsid w:val="00001340"/>
    <w:rsid w:val="00003F6D"/>
    <w:rsid w:val="00004DAA"/>
    <w:rsid w:val="0000568A"/>
    <w:rsid w:val="00006BD9"/>
    <w:rsid w:val="00007487"/>
    <w:rsid w:val="00007BA8"/>
    <w:rsid w:val="00013484"/>
    <w:rsid w:val="000149FB"/>
    <w:rsid w:val="00014F7D"/>
    <w:rsid w:val="000159AC"/>
    <w:rsid w:val="000162FE"/>
    <w:rsid w:val="00016F23"/>
    <w:rsid w:val="00020B17"/>
    <w:rsid w:val="000212A6"/>
    <w:rsid w:val="00022B09"/>
    <w:rsid w:val="00022B6E"/>
    <w:rsid w:val="00022B77"/>
    <w:rsid w:val="000244CA"/>
    <w:rsid w:val="00025CCF"/>
    <w:rsid w:val="00026F71"/>
    <w:rsid w:val="00030171"/>
    <w:rsid w:val="000304C4"/>
    <w:rsid w:val="00033566"/>
    <w:rsid w:val="000335F4"/>
    <w:rsid w:val="00036B12"/>
    <w:rsid w:val="000400E8"/>
    <w:rsid w:val="00046152"/>
    <w:rsid w:val="0005003E"/>
    <w:rsid w:val="00050467"/>
    <w:rsid w:val="000536BB"/>
    <w:rsid w:val="0005677C"/>
    <w:rsid w:val="000604DE"/>
    <w:rsid w:val="000616A1"/>
    <w:rsid w:val="00062A04"/>
    <w:rsid w:val="00063C04"/>
    <w:rsid w:val="000641A9"/>
    <w:rsid w:val="00065D98"/>
    <w:rsid w:val="00070AF5"/>
    <w:rsid w:val="00071140"/>
    <w:rsid w:val="00071492"/>
    <w:rsid w:val="00071EBA"/>
    <w:rsid w:val="000726EA"/>
    <w:rsid w:val="00072968"/>
    <w:rsid w:val="00073D96"/>
    <w:rsid w:val="0007571C"/>
    <w:rsid w:val="000762D4"/>
    <w:rsid w:val="0007797D"/>
    <w:rsid w:val="0008025F"/>
    <w:rsid w:val="0008034C"/>
    <w:rsid w:val="00080E16"/>
    <w:rsid w:val="0008176E"/>
    <w:rsid w:val="00081BD3"/>
    <w:rsid w:val="0008215D"/>
    <w:rsid w:val="00082FC4"/>
    <w:rsid w:val="00083B64"/>
    <w:rsid w:val="00085BB6"/>
    <w:rsid w:val="000904A3"/>
    <w:rsid w:val="000916AB"/>
    <w:rsid w:val="000923E8"/>
    <w:rsid w:val="000941A8"/>
    <w:rsid w:val="00094989"/>
    <w:rsid w:val="000A02F9"/>
    <w:rsid w:val="000A1822"/>
    <w:rsid w:val="000A32B9"/>
    <w:rsid w:val="000A3552"/>
    <w:rsid w:val="000A3C63"/>
    <w:rsid w:val="000A68F0"/>
    <w:rsid w:val="000B0F6F"/>
    <w:rsid w:val="000B210F"/>
    <w:rsid w:val="000B331B"/>
    <w:rsid w:val="000B581D"/>
    <w:rsid w:val="000B6244"/>
    <w:rsid w:val="000B74E1"/>
    <w:rsid w:val="000B797D"/>
    <w:rsid w:val="000C3368"/>
    <w:rsid w:val="000C388B"/>
    <w:rsid w:val="000C3905"/>
    <w:rsid w:val="000C62C3"/>
    <w:rsid w:val="000D171A"/>
    <w:rsid w:val="000D37C8"/>
    <w:rsid w:val="000D3B49"/>
    <w:rsid w:val="000D7CE7"/>
    <w:rsid w:val="000E20F2"/>
    <w:rsid w:val="000E5B9C"/>
    <w:rsid w:val="000E6FF4"/>
    <w:rsid w:val="000E7461"/>
    <w:rsid w:val="000E7AF9"/>
    <w:rsid w:val="000E7B9A"/>
    <w:rsid w:val="000F1BFD"/>
    <w:rsid w:val="000F2511"/>
    <w:rsid w:val="000F74B7"/>
    <w:rsid w:val="00101A72"/>
    <w:rsid w:val="00101AA4"/>
    <w:rsid w:val="001060B3"/>
    <w:rsid w:val="001063D0"/>
    <w:rsid w:val="0010650C"/>
    <w:rsid w:val="001079FC"/>
    <w:rsid w:val="00107FE2"/>
    <w:rsid w:val="001100D5"/>
    <w:rsid w:val="00112251"/>
    <w:rsid w:val="00114633"/>
    <w:rsid w:val="00115D31"/>
    <w:rsid w:val="00117093"/>
    <w:rsid w:val="00117660"/>
    <w:rsid w:val="0012205E"/>
    <w:rsid w:val="001227D5"/>
    <w:rsid w:val="00123259"/>
    <w:rsid w:val="0012668B"/>
    <w:rsid w:val="001279E1"/>
    <w:rsid w:val="00127B38"/>
    <w:rsid w:val="0013312B"/>
    <w:rsid w:val="00133C36"/>
    <w:rsid w:val="001346CB"/>
    <w:rsid w:val="00134F82"/>
    <w:rsid w:val="00135714"/>
    <w:rsid w:val="001378D2"/>
    <w:rsid w:val="00140D70"/>
    <w:rsid w:val="001411D9"/>
    <w:rsid w:val="00141AF5"/>
    <w:rsid w:val="001431D9"/>
    <w:rsid w:val="00143612"/>
    <w:rsid w:val="00144E0F"/>
    <w:rsid w:val="001450A1"/>
    <w:rsid w:val="00145F16"/>
    <w:rsid w:val="00146B4C"/>
    <w:rsid w:val="00146E26"/>
    <w:rsid w:val="001511BA"/>
    <w:rsid w:val="00151679"/>
    <w:rsid w:val="00151E56"/>
    <w:rsid w:val="0015454B"/>
    <w:rsid w:val="0015454E"/>
    <w:rsid w:val="0015472C"/>
    <w:rsid w:val="00154A10"/>
    <w:rsid w:val="00156E77"/>
    <w:rsid w:val="0015794E"/>
    <w:rsid w:val="00160C84"/>
    <w:rsid w:val="00162304"/>
    <w:rsid w:val="00162D5F"/>
    <w:rsid w:val="001635B4"/>
    <w:rsid w:val="001663BF"/>
    <w:rsid w:val="001676DD"/>
    <w:rsid w:val="00171B8B"/>
    <w:rsid w:val="00172A27"/>
    <w:rsid w:val="001733AF"/>
    <w:rsid w:val="00173CD5"/>
    <w:rsid w:val="00176984"/>
    <w:rsid w:val="00176FAD"/>
    <w:rsid w:val="0018101E"/>
    <w:rsid w:val="001825D7"/>
    <w:rsid w:val="0018398B"/>
    <w:rsid w:val="0018468F"/>
    <w:rsid w:val="00186618"/>
    <w:rsid w:val="00190CFC"/>
    <w:rsid w:val="00192309"/>
    <w:rsid w:val="00192531"/>
    <w:rsid w:val="00193A7C"/>
    <w:rsid w:val="001940A4"/>
    <w:rsid w:val="001970FB"/>
    <w:rsid w:val="0019744D"/>
    <w:rsid w:val="001A148C"/>
    <w:rsid w:val="001A1642"/>
    <w:rsid w:val="001A2117"/>
    <w:rsid w:val="001A27D4"/>
    <w:rsid w:val="001A2D5E"/>
    <w:rsid w:val="001A3274"/>
    <w:rsid w:val="001A33AD"/>
    <w:rsid w:val="001A377B"/>
    <w:rsid w:val="001A45DD"/>
    <w:rsid w:val="001A4A04"/>
    <w:rsid w:val="001A4E5A"/>
    <w:rsid w:val="001A5AD8"/>
    <w:rsid w:val="001B1748"/>
    <w:rsid w:val="001B36D6"/>
    <w:rsid w:val="001B7A07"/>
    <w:rsid w:val="001C09A4"/>
    <w:rsid w:val="001C0C4F"/>
    <w:rsid w:val="001C3DA2"/>
    <w:rsid w:val="001C5D03"/>
    <w:rsid w:val="001C7321"/>
    <w:rsid w:val="001D024E"/>
    <w:rsid w:val="001D50A5"/>
    <w:rsid w:val="001D53FB"/>
    <w:rsid w:val="001D79E8"/>
    <w:rsid w:val="001E1D3C"/>
    <w:rsid w:val="001E33A7"/>
    <w:rsid w:val="001E3D69"/>
    <w:rsid w:val="001E4755"/>
    <w:rsid w:val="001E5AAE"/>
    <w:rsid w:val="001E6E8F"/>
    <w:rsid w:val="001E700D"/>
    <w:rsid w:val="001E7813"/>
    <w:rsid w:val="001F22E9"/>
    <w:rsid w:val="001F3A08"/>
    <w:rsid w:val="001F610A"/>
    <w:rsid w:val="001F7725"/>
    <w:rsid w:val="0020058C"/>
    <w:rsid w:val="00200BA8"/>
    <w:rsid w:val="002011FB"/>
    <w:rsid w:val="002016BA"/>
    <w:rsid w:val="0020210D"/>
    <w:rsid w:val="002055DD"/>
    <w:rsid w:val="00205DF6"/>
    <w:rsid w:val="002071B0"/>
    <w:rsid w:val="00207852"/>
    <w:rsid w:val="002115F3"/>
    <w:rsid w:val="00213B45"/>
    <w:rsid w:val="00213C80"/>
    <w:rsid w:val="00215811"/>
    <w:rsid w:val="0022177D"/>
    <w:rsid w:val="0022315A"/>
    <w:rsid w:val="002233BB"/>
    <w:rsid w:val="00225083"/>
    <w:rsid w:val="002250F4"/>
    <w:rsid w:val="00226DEC"/>
    <w:rsid w:val="002271B7"/>
    <w:rsid w:val="0022755E"/>
    <w:rsid w:val="0022787A"/>
    <w:rsid w:val="00231BFB"/>
    <w:rsid w:val="002327C7"/>
    <w:rsid w:val="0023316F"/>
    <w:rsid w:val="00234F95"/>
    <w:rsid w:val="0023520B"/>
    <w:rsid w:val="002362FF"/>
    <w:rsid w:val="00236964"/>
    <w:rsid w:val="00236D43"/>
    <w:rsid w:val="00237C99"/>
    <w:rsid w:val="00237D81"/>
    <w:rsid w:val="0024079C"/>
    <w:rsid w:val="00241719"/>
    <w:rsid w:val="00241F93"/>
    <w:rsid w:val="002443C9"/>
    <w:rsid w:val="00245F22"/>
    <w:rsid w:val="002472C0"/>
    <w:rsid w:val="00247F47"/>
    <w:rsid w:val="002508FA"/>
    <w:rsid w:val="00253DC3"/>
    <w:rsid w:val="00254157"/>
    <w:rsid w:val="002541CE"/>
    <w:rsid w:val="002545CB"/>
    <w:rsid w:val="00257F22"/>
    <w:rsid w:val="002604A7"/>
    <w:rsid w:val="00260910"/>
    <w:rsid w:val="00262839"/>
    <w:rsid w:val="00263CA6"/>
    <w:rsid w:val="00264ECA"/>
    <w:rsid w:val="00266F04"/>
    <w:rsid w:val="002677CF"/>
    <w:rsid w:val="00272DDC"/>
    <w:rsid w:val="0028204B"/>
    <w:rsid w:val="00283F2B"/>
    <w:rsid w:val="00292040"/>
    <w:rsid w:val="0029280E"/>
    <w:rsid w:val="00294684"/>
    <w:rsid w:val="00294BD6"/>
    <w:rsid w:val="00294D99"/>
    <w:rsid w:val="002967DA"/>
    <w:rsid w:val="00297672"/>
    <w:rsid w:val="002A6A08"/>
    <w:rsid w:val="002A76F7"/>
    <w:rsid w:val="002B0041"/>
    <w:rsid w:val="002B0624"/>
    <w:rsid w:val="002B0980"/>
    <w:rsid w:val="002B0C40"/>
    <w:rsid w:val="002C0E26"/>
    <w:rsid w:val="002C1AFD"/>
    <w:rsid w:val="002C2DD2"/>
    <w:rsid w:val="002C33A1"/>
    <w:rsid w:val="002C3AB5"/>
    <w:rsid w:val="002D10A3"/>
    <w:rsid w:val="002D1BE8"/>
    <w:rsid w:val="002D25D3"/>
    <w:rsid w:val="002D27BF"/>
    <w:rsid w:val="002D2A64"/>
    <w:rsid w:val="002D3439"/>
    <w:rsid w:val="002D6CF2"/>
    <w:rsid w:val="002E0067"/>
    <w:rsid w:val="002E0574"/>
    <w:rsid w:val="002E15A3"/>
    <w:rsid w:val="002E1D0A"/>
    <w:rsid w:val="002E4293"/>
    <w:rsid w:val="002E5AAD"/>
    <w:rsid w:val="002E6176"/>
    <w:rsid w:val="002E6670"/>
    <w:rsid w:val="002E7D55"/>
    <w:rsid w:val="002F10F5"/>
    <w:rsid w:val="002F2283"/>
    <w:rsid w:val="002F54A1"/>
    <w:rsid w:val="002F66E8"/>
    <w:rsid w:val="00300AC7"/>
    <w:rsid w:val="00300C92"/>
    <w:rsid w:val="00301B47"/>
    <w:rsid w:val="00301F82"/>
    <w:rsid w:val="003024B8"/>
    <w:rsid w:val="00303002"/>
    <w:rsid w:val="00304D2D"/>
    <w:rsid w:val="00305CE7"/>
    <w:rsid w:val="00312306"/>
    <w:rsid w:val="0031257E"/>
    <w:rsid w:val="003131AE"/>
    <w:rsid w:val="00313F13"/>
    <w:rsid w:val="00314210"/>
    <w:rsid w:val="00315623"/>
    <w:rsid w:val="00315D4B"/>
    <w:rsid w:val="00315D59"/>
    <w:rsid w:val="00316DBA"/>
    <w:rsid w:val="00316E96"/>
    <w:rsid w:val="0032116D"/>
    <w:rsid w:val="00321D81"/>
    <w:rsid w:val="003233E1"/>
    <w:rsid w:val="00324A7B"/>
    <w:rsid w:val="003264F1"/>
    <w:rsid w:val="0032668D"/>
    <w:rsid w:val="00326D40"/>
    <w:rsid w:val="00327B52"/>
    <w:rsid w:val="0033094D"/>
    <w:rsid w:val="00330F50"/>
    <w:rsid w:val="00331C14"/>
    <w:rsid w:val="0033356A"/>
    <w:rsid w:val="003344D9"/>
    <w:rsid w:val="00336C8C"/>
    <w:rsid w:val="00336E0F"/>
    <w:rsid w:val="00336F54"/>
    <w:rsid w:val="00336F6F"/>
    <w:rsid w:val="003426B2"/>
    <w:rsid w:val="00343622"/>
    <w:rsid w:val="003458F7"/>
    <w:rsid w:val="00345FE0"/>
    <w:rsid w:val="00350D9E"/>
    <w:rsid w:val="0035279D"/>
    <w:rsid w:val="00353142"/>
    <w:rsid w:val="00357570"/>
    <w:rsid w:val="00360323"/>
    <w:rsid w:val="00360D30"/>
    <w:rsid w:val="00361C9D"/>
    <w:rsid w:val="00361CD5"/>
    <w:rsid w:val="00362CA2"/>
    <w:rsid w:val="00363991"/>
    <w:rsid w:val="00364473"/>
    <w:rsid w:val="003659B8"/>
    <w:rsid w:val="00365DA6"/>
    <w:rsid w:val="00367609"/>
    <w:rsid w:val="00367A6E"/>
    <w:rsid w:val="003706ED"/>
    <w:rsid w:val="00370F25"/>
    <w:rsid w:val="00372DE6"/>
    <w:rsid w:val="003738A8"/>
    <w:rsid w:val="00373CAA"/>
    <w:rsid w:val="003766F5"/>
    <w:rsid w:val="00376E83"/>
    <w:rsid w:val="00381492"/>
    <w:rsid w:val="00382C56"/>
    <w:rsid w:val="00387372"/>
    <w:rsid w:val="00387B8B"/>
    <w:rsid w:val="0039170F"/>
    <w:rsid w:val="003923EF"/>
    <w:rsid w:val="0039269B"/>
    <w:rsid w:val="00395423"/>
    <w:rsid w:val="00396138"/>
    <w:rsid w:val="00396B25"/>
    <w:rsid w:val="003972C3"/>
    <w:rsid w:val="003A2B5A"/>
    <w:rsid w:val="003A5B50"/>
    <w:rsid w:val="003A6FF0"/>
    <w:rsid w:val="003B375E"/>
    <w:rsid w:val="003B3EF1"/>
    <w:rsid w:val="003B508E"/>
    <w:rsid w:val="003B6120"/>
    <w:rsid w:val="003B70AD"/>
    <w:rsid w:val="003B72EC"/>
    <w:rsid w:val="003B75FA"/>
    <w:rsid w:val="003C0B9E"/>
    <w:rsid w:val="003C2CBB"/>
    <w:rsid w:val="003C452F"/>
    <w:rsid w:val="003C6C59"/>
    <w:rsid w:val="003C7619"/>
    <w:rsid w:val="003D01BB"/>
    <w:rsid w:val="003D05EA"/>
    <w:rsid w:val="003D4211"/>
    <w:rsid w:val="003D5B21"/>
    <w:rsid w:val="003D5CDD"/>
    <w:rsid w:val="003D6081"/>
    <w:rsid w:val="003D678F"/>
    <w:rsid w:val="003E1C9B"/>
    <w:rsid w:val="003E27FC"/>
    <w:rsid w:val="003E476A"/>
    <w:rsid w:val="003E4A7A"/>
    <w:rsid w:val="003E612D"/>
    <w:rsid w:val="003F2B4D"/>
    <w:rsid w:val="003F443A"/>
    <w:rsid w:val="003F5C6B"/>
    <w:rsid w:val="00400C51"/>
    <w:rsid w:val="00401A88"/>
    <w:rsid w:val="0040310D"/>
    <w:rsid w:val="00403C31"/>
    <w:rsid w:val="004214CD"/>
    <w:rsid w:val="004220B6"/>
    <w:rsid w:val="00423D2D"/>
    <w:rsid w:val="004269F5"/>
    <w:rsid w:val="00426E22"/>
    <w:rsid w:val="00427988"/>
    <w:rsid w:val="0043107A"/>
    <w:rsid w:val="0043182A"/>
    <w:rsid w:val="00432C0C"/>
    <w:rsid w:val="004334BF"/>
    <w:rsid w:val="00433AA5"/>
    <w:rsid w:val="00433EED"/>
    <w:rsid w:val="00434DA2"/>
    <w:rsid w:val="004373BC"/>
    <w:rsid w:val="00437914"/>
    <w:rsid w:val="00444EE1"/>
    <w:rsid w:val="004453B8"/>
    <w:rsid w:val="0044799D"/>
    <w:rsid w:val="0045091A"/>
    <w:rsid w:val="00450A93"/>
    <w:rsid w:val="00450B61"/>
    <w:rsid w:val="0045260B"/>
    <w:rsid w:val="00452BB8"/>
    <w:rsid w:val="004534FA"/>
    <w:rsid w:val="00454A56"/>
    <w:rsid w:val="00455C21"/>
    <w:rsid w:val="00460531"/>
    <w:rsid w:val="0046196D"/>
    <w:rsid w:val="00462B25"/>
    <w:rsid w:val="004640C1"/>
    <w:rsid w:val="00464441"/>
    <w:rsid w:val="00464E09"/>
    <w:rsid w:val="00471946"/>
    <w:rsid w:val="004814EE"/>
    <w:rsid w:val="00483315"/>
    <w:rsid w:val="004948A3"/>
    <w:rsid w:val="00496454"/>
    <w:rsid w:val="004972B4"/>
    <w:rsid w:val="0049776B"/>
    <w:rsid w:val="004A010F"/>
    <w:rsid w:val="004A1E94"/>
    <w:rsid w:val="004A36AE"/>
    <w:rsid w:val="004A383A"/>
    <w:rsid w:val="004A4981"/>
    <w:rsid w:val="004A5376"/>
    <w:rsid w:val="004A57DB"/>
    <w:rsid w:val="004A6517"/>
    <w:rsid w:val="004A68AF"/>
    <w:rsid w:val="004A7D7E"/>
    <w:rsid w:val="004B0537"/>
    <w:rsid w:val="004B1332"/>
    <w:rsid w:val="004B1F18"/>
    <w:rsid w:val="004B4371"/>
    <w:rsid w:val="004B441A"/>
    <w:rsid w:val="004B49BA"/>
    <w:rsid w:val="004B7605"/>
    <w:rsid w:val="004C28AA"/>
    <w:rsid w:val="004C380F"/>
    <w:rsid w:val="004C4D2E"/>
    <w:rsid w:val="004C55B6"/>
    <w:rsid w:val="004D11B3"/>
    <w:rsid w:val="004D65F4"/>
    <w:rsid w:val="004D75D5"/>
    <w:rsid w:val="004D780A"/>
    <w:rsid w:val="004E1539"/>
    <w:rsid w:val="004E170F"/>
    <w:rsid w:val="004E1E11"/>
    <w:rsid w:val="004E2088"/>
    <w:rsid w:val="004E419C"/>
    <w:rsid w:val="004E42A0"/>
    <w:rsid w:val="004E4876"/>
    <w:rsid w:val="004E6506"/>
    <w:rsid w:val="004E76D1"/>
    <w:rsid w:val="004E7786"/>
    <w:rsid w:val="004F0D23"/>
    <w:rsid w:val="004F1B97"/>
    <w:rsid w:val="004F3534"/>
    <w:rsid w:val="004F4E62"/>
    <w:rsid w:val="00501303"/>
    <w:rsid w:val="00501762"/>
    <w:rsid w:val="00504761"/>
    <w:rsid w:val="0050500E"/>
    <w:rsid w:val="00505D61"/>
    <w:rsid w:val="00507DCF"/>
    <w:rsid w:val="00510D95"/>
    <w:rsid w:val="00510FAA"/>
    <w:rsid w:val="00511747"/>
    <w:rsid w:val="00512B3E"/>
    <w:rsid w:val="00520FE8"/>
    <w:rsid w:val="00521371"/>
    <w:rsid w:val="00521B49"/>
    <w:rsid w:val="005230D2"/>
    <w:rsid w:val="00523E02"/>
    <w:rsid w:val="00526A5F"/>
    <w:rsid w:val="00526F0E"/>
    <w:rsid w:val="005307A5"/>
    <w:rsid w:val="00531310"/>
    <w:rsid w:val="0053132A"/>
    <w:rsid w:val="005315B6"/>
    <w:rsid w:val="00534A62"/>
    <w:rsid w:val="00535AFD"/>
    <w:rsid w:val="0053703C"/>
    <w:rsid w:val="00540929"/>
    <w:rsid w:val="0054181E"/>
    <w:rsid w:val="005431E4"/>
    <w:rsid w:val="00543EF0"/>
    <w:rsid w:val="00544DAB"/>
    <w:rsid w:val="00545C11"/>
    <w:rsid w:val="00546AF9"/>
    <w:rsid w:val="00547C3A"/>
    <w:rsid w:val="0055435D"/>
    <w:rsid w:val="0055693E"/>
    <w:rsid w:val="00556DE1"/>
    <w:rsid w:val="00560B54"/>
    <w:rsid w:val="0056149F"/>
    <w:rsid w:val="00561C6E"/>
    <w:rsid w:val="00561E3A"/>
    <w:rsid w:val="00563383"/>
    <w:rsid w:val="0056642B"/>
    <w:rsid w:val="005664C2"/>
    <w:rsid w:val="00566F28"/>
    <w:rsid w:val="0057237E"/>
    <w:rsid w:val="0057327B"/>
    <w:rsid w:val="00573463"/>
    <w:rsid w:val="00573E10"/>
    <w:rsid w:val="0057576E"/>
    <w:rsid w:val="00575869"/>
    <w:rsid w:val="00577ECB"/>
    <w:rsid w:val="00577FFA"/>
    <w:rsid w:val="0058149C"/>
    <w:rsid w:val="00582395"/>
    <w:rsid w:val="00582453"/>
    <w:rsid w:val="00582F95"/>
    <w:rsid w:val="0058332C"/>
    <w:rsid w:val="00584B8C"/>
    <w:rsid w:val="0058687A"/>
    <w:rsid w:val="005879D1"/>
    <w:rsid w:val="00587F35"/>
    <w:rsid w:val="00587F68"/>
    <w:rsid w:val="0059433E"/>
    <w:rsid w:val="00595E23"/>
    <w:rsid w:val="00596F2C"/>
    <w:rsid w:val="0059795A"/>
    <w:rsid w:val="005A0D00"/>
    <w:rsid w:val="005A215C"/>
    <w:rsid w:val="005A2D64"/>
    <w:rsid w:val="005A31BE"/>
    <w:rsid w:val="005A4B20"/>
    <w:rsid w:val="005A69CA"/>
    <w:rsid w:val="005A6E28"/>
    <w:rsid w:val="005A7D87"/>
    <w:rsid w:val="005B0282"/>
    <w:rsid w:val="005B0D2C"/>
    <w:rsid w:val="005B2051"/>
    <w:rsid w:val="005B2CB8"/>
    <w:rsid w:val="005B319E"/>
    <w:rsid w:val="005B4857"/>
    <w:rsid w:val="005C19F6"/>
    <w:rsid w:val="005C4260"/>
    <w:rsid w:val="005C53A8"/>
    <w:rsid w:val="005C7EA7"/>
    <w:rsid w:val="005D13CC"/>
    <w:rsid w:val="005D1FF8"/>
    <w:rsid w:val="005D3BA9"/>
    <w:rsid w:val="005D5A13"/>
    <w:rsid w:val="005D651D"/>
    <w:rsid w:val="005E3AF0"/>
    <w:rsid w:val="005E3C18"/>
    <w:rsid w:val="005E5AF5"/>
    <w:rsid w:val="005E617A"/>
    <w:rsid w:val="005E69C2"/>
    <w:rsid w:val="005F0454"/>
    <w:rsid w:val="005F4907"/>
    <w:rsid w:val="005F496A"/>
    <w:rsid w:val="005F7132"/>
    <w:rsid w:val="0060072E"/>
    <w:rsid w:val="006007B3"/>
    <w:rsid w:val="00600C9C"/>
    <w:rsid w:val="0060581D"/>
    <w:rsid w:val="006069F3"/>
    <w:rsid w:val="00612345"/>
    <w:rsid w:val="00614572"/>
    <w:rsid w:val="00615EA1"/>
    <w:rsid w:val="00617B6A"/>
    <w:rsid w:val="00622533"/>
    <w:rsid w:val="00622699"/>
    <w:rsid w:val="0062361A"/>
    <w:rsid w:val="00627128"/>
    <w:rsid w:val="00630529"/>
    <w:rsid w:val="00630AAC"/>
    <w:rsid w:val="006314C2"/>
    <w:rsid w:val="00631C5A"/>
    <w:rsid w:val="00635290"/>
    <w:rsid w:val="006360FE"/>
    <w:rsid w:val="0063610A"/>
    <w:rsid w:val="006367D4"/>
    <w:rsid w:val="006372C6"/>
    <w:rsid w:val="006409A7"/>
    <w:rsid w:val="00641966"/>
    <w:rsid w:val="00642A9D"/>
    <w:rsid w:val="00643880"/>
    <w:rsid w:val="00644CAA"/>
    <w:rsid w:val="0064722F"/>
    <w:rsid w:val="00647296"/>
    <w:rsid w:val="00647D58"/>
    <w:rsid w:val="00650391"/>
    <w:rsid w:val="00651875"/>
    <w:rsid w:val="00652149"/>
    <w:rsid w:val="00652A1B"/>
    <w:rsid w:val="00652A7E"/>
    <w:rsid w:val="00657AD0"/>
    <w:rsid w:val="00661E10"/>
    <w:rsid w:val="0066511C"/>
    <w:rsid w:val="00665BBC"/>
    <w:rsid w:val="0066681E"/>
    <w:rsid w:val="00671508"/>
    <w:rsid w:val="006728AB"/>
    <w:rsid w:val="00674656"/>
    <w:rsid w:val="00674A1B"/>
    <w:rsid w:val="00675171"/>
    <w:rsid w:val="00677777"/>
    <w:rsid w:val="006804BB"/>
    <w:rsid w:val="00682D47"/>
    <w:rsid w:val="0068600F"/>
    <w:rsid w:val="00690B8C"/>
    <w:rsid w:val="0069349B"/>
    <w:rsid w:val="00694313"/>
    <w:rsid w:val="00697DA0"/>
    <w:rsid w:val="006A4875"/>
    <w:rsid w:val="006A4AC4"/>
    <w:rsid w:val="006B014A"/>
    <w:rsid w:val="006B1566"/>
    <w:rsid w:val="006B2DDD"/>
    <w:rsid w:val="006B36B5"/>
    <w:rsid w:val="006B36FC"/>
    <w:rsid w:val="006B5580"/>
    <w:rsid w:val="006B6739"/>
    <w:rsid w:val="006B68DE"/>
    <w:rsid w:val="006B7027"/>
    <w:rsid w:val="006B76F1"/>
    <w:rsid w:val="006C059C"/>
    <w:rsid w:val="006C067A"/>
    <w:rsid w:val="006C06C9"/>
    <w:rsid w:val="006C08F0"/>
    <w:rsid w:val="006C1460"/>
    <w:rsid w:val="006C214D"/>
    <w:rsid w:val="006C29C7"/>
    <w:rsid w:val="006C38F9"/>
    <w:rsid w:val="006C4A2A"/>
    <w:rsid w:val="006C4E5B"/>
    <w:rsid w:val="006C551A"/>
    <w:rsid w:val="006C70F0"/>
    <w:rsid w:val="006C7CC8"/>
    <w:rsid w:val="006D3668"/>
    <w:rsid w:val="006D5AF8"/>
    <w:rsid w:val="006E249F"/>
    <w:rsid w:val="006E344D"/>
    <w:rsid w:val="006E51CF"/>
    <w:rsid w:val="006E5FE5"/>
    <w:rsid w:val="006E65C8"/>
    <w:rsid w:val="006F1C1C"/>
    <w:rsid w:val="006F2A4E"/>
    <w:rsid w:val="006F43E1"/>
    <w:rsid w:val="006F6DB0"/>
    <w:rsid w:val="006F7BBE"/>
    <w:rsid w:val="007007DA"/>
    <w:rsid w:val="0070157E"/>
    <w:rsid w:val="00703805"/>
    <w:rsid w:val="00704AEC"/>
    <w:rsid w:val="007059ED"/>
    <w:rsid w:val="00706514"/>
    <w:rsid w:val="00706A17"/>
    <w:rsid w:val="007076D2"/>
    <w:rsid w:val="00707E51"/>
    <w:rsid w:val="00711806"/>
    <w:rsid w:val="00711C48"/>
    <w:rsid w:val="00711DFE"/>
    <w:rsid w:val="00712744"/>
    <w:rsid w:val="007137F1"/>
    <w:rsid w:val="007138FC"/>
    <w:rsid w:val="007156D2"/>
    <w:rsid w:val="00717CDB"/>
    <w:rsid w:val="0072037A"/>
    <w:rsid w:val="00721DA0"/>
    <w:rsid w:val="00722364"/>
    <w:rsid w:val="00725381"/>
    <w:rsid w:val="0072662D"/>
    <w:rsid w:val="007277B0"/>
    <w:rsid w:val="00727EAB"/>
    <w:rsid w:val="007306DD"/>
    <w:rsid w:val="00731897"/>
    <w:rsid w:val="0073306F"/>
    <w:rsid w:val="00734DE1"/>
    <w:rsid w:val="00736681"/>
    <w:rsid w:val="0074166A"/>
    <w:rsid w:val="00741C4B"/>
    <w:rsid w:val="0074370A"/>
    <w:rsid w:val="0074426E"/>
    <w:rsid w:val="0074546D"/>
    <w:rsid w:val="00746398"/>
    <w:rsid w:val="0075151D"/>
    <w:rsid w:val="00754316"/>
    <w:rsid w:val="00754C0A"/>
    <w:rsid w:val="0075583A"/>
    <w:rsid w:val="00757B07"/>
    <w:rsid w:val="00757C4E"/>
    <w:rsid w:val="00760768"/>
    <w:rsid w:val="0076202B"/>
    <w:rsid w:val="00762219"/>
    <w:rsid w:val="00763863"/>
    <w:rsid w:val="00763FE6"/>
    <w:rsid w:val="007643EE"/>
    <w:rsid w:val="007658ED"/>
    <w:rsid w:val="00767044"/>
    <w:rsid w:val="0076772C"/>
    <w:rsid w:val="007729C6"/>
    <w:rsid w:val="00772B13"/>
    <w:rsid w:val="00773822"/>
    <w:rsid w:val="00775D8E"/>
    <w:rsid w:val="00784173"/>
    <w:rsid w:val="00784793"/>
    <w:rsid w:val="007856A2"/>
    <w:rsid w:val="00787D19"/>
    <w:rsid w:val="00787F29"/>
    <w:rsid w:val="007911C0"/>
    <w:rsid w:val="00793FDF"/>
    <w:rsid w:val="00794B68"/>
    <w:rsid w:val="007954DC"/>
    <w:rsid w:val="00796034"/>
    <w:rsid w:val="00796F49"/>
    <w:rsid w:val="007A0E43"/>
    <w:rsid w:val="007A1915"/>
    <w:rsid w:val="007A2281"/>
    <w:rsid w:val="007A2460"/>
    <w:rsid w:val="007A5319"/>
    <w:rsid w:val="007A5EAB"/>
    <w:rsid w:val="007A6417"/>
    <w:rsid w:val="007A7EF1"/>
    <w:rsid w:val="007B2335"/>
    <w:rsid w:val="007B23B1"/>
    <w:rsid w:val="007B2A84"/>
    <w:rsid w:val="007B2F31"/>
    <w:rsid w:val="007B60D5"/>
    <w:rsid w:val="007C389A"/>
    <w:rsid w:val="007C5747"/>
    <w:rsid w:val="007C5ABC"/>
    <w:rsid w:val="007C66D2"/>
    <w:rsid w:val="007D68A5"/>
    <w:rsid w:val="007D78E8"/>
    <w:rsid w:val="007D7C72"/>
    <w:rsid w:val="007E170C"/>
    <w:rsid w:val="007E2464"/>
    <w:rsid w:val="007E2857"/>
    <w:rsid w:val="007E5766"/>
    <w:rsid w:val="007E66CA"/>
    <w:rsid w:val="007F0D8B"/>
    <w:rsid w:val="007F3BED"/>
    <w:rsid w:val="007F4A6C"/>
    <w:rsid w:val="007F5620"/>
    <w:rsid w:val="007F659E"/>
    <w:rsid w:val="007F6C55"/>
    <w:rsid w:val="007F741A"/>
    <w:rsid w:val="00800372"/>
    <w:rsid w:val="008029D1"/>
    <w:rsid w:val="00803C6A"/>
    <w:rsid w:val="00804E94"/>
    <w:rsid w:val="008060F8"/>
    <w:rsid w:val="0080672E"/>
    <w:rsid w:val="008068DA"/>
    <w:rsid w:val="008068EC"/>
    <w:rsid w:val="00806F37"/>
    <w:rsid w:val="008104C1"/>
    <w:rsid w:val="008108D3"/>
    <w:rsid w:val="00813D04"/>
    <w:rsid w:val="008140A8"/>
    <w:rsid w:val="0081414C"/>
    <w:rsid w:val="00820914"/>
    <w:rsid w:val="008247D9"/>
    <w:rsid w:val="00826C3A"/>
    <w:rsid w:val="00834286"/>
    <w:rsid w:val="00837F36"/>
    <w:rsid w:val="00837F86"/>
    <w:rsid w:val="00840834"/>
    <w:rsid w:val="00843C8F"/>
    <w:rsid w:val="00846F1B"/>
    <w:rsid w:val="00850C31"/>
    <w:rsid w:val="00851279"/>
    <w:rsid w:val="008517A8"/>
    <w:rsid w:val="00851933"/>
    <w:rsid w:val="00852C4C"/>
    <w:rsid w:val="0085318D"/>
    <w:rsid w:val="00854756"/>
    <w:rsid w:val="00854939"/>
    <w:rsid w:val="0085611C"/>
    <w:rsid w:val="00857654"/>
    <w:rsid w:val="00857B62"/>
    <w:rsid w:val="00857DAE"/>
    <w:rsid w:val="008606B9"/>
    <w:rsid w:val="00860FFC"/>
    <w:rsid w:val="00861A5D"/>
    <w:rsid w:val="00861D9E"/>
    <w:rsid w:val="00862930"/>
    <w:rsid w:val="00862EBB"/>
    <w:rsid w:val="008631DD"/>
    <w:rsid w:val="00865ABB"/>
    <w:rsid w:val="00865FCD"/>
    <w:rsid w:val="008675CD"/>
    <w:rsid w:val="008703DB"/>
    <w:rsid w:val="00870A04"/>
    <w:rsid w:val="00870D07"/>
    <w:rsid w:val="00871A8D"/>
    <w:rsid w:val="008729A4"/>
    <w:rsid w:val="00872CE4"/>
    <w:rsid w:val="00874C29"/>
    <w:rsid w:val="00875212"/>
    <w:rsid w:val="00875534"/>
    <w:rsid w:val="00876CB5"/>
    <w:rsid w:val="00877E4D"/>
    <w:rsid w:val="0088119D"/>
    <w:rsid w:val="00881663"/>
    <w:rsid w:val="00882E04"/>
    <w:rsid w:val="00882EB5"/>
    <w:rsid w:val="008836C9"/>
    <w:rsid w:val="00884BA6"/>
    <w:rsid w:val="008858F6"/>
    <w:rsid w:val="00886A11"/>
    <w:rsid w:val="00890A9E"/>
    <w:rsid w:val="00890CF1"/>
    <w:rsid w:val="00891481"/>
    <w:rsid w:val="00891C8E"/>
    <w:rsid w:val="00892CDB"/>
    <w:rsid w:val="00892D76"/>
    <w:rsid w:val="00892DE8"/>
    <w:rsid w:val="008931EB"/>
    <w:rsid w:val="008946FE"/>
    <w:rsid w:val="00894F41"/>
    <w:rsid w:val="008953BF"/>
    <w:rsid w:val="008959F0"/>
    <w:rsid w:val="00895C8B"/>
    <w:rsid w:val="00896271"/>
    <w:rsid w:val="00896F7A"/>
    <w:rsid w:val="008A046E"/>
    <w:rsid w:val="008A6628"/>
    <w:rsid w:val="008B1C0E"/>
    <w:rsid w:val="008B1D39"/>
    <w:rsid w:val="008B2BE1"/>
    <w:rsid w:val="008B39D9"/>
    <w:rsid w:val="008B3F0E"/>
    <w:rsid w:val="008B4BF9"/>
    <w:rsid w:val="008B5573"/>
    <w:rsid w:val="008C32AB"/>
    <w:rsid w:val="008C35FD"/>
    <w:rsid w:val="008C3A97"/>
    <w:rsid w:val="008C6135"/>
    <w:rsid w:val="008C7706"/>
    <w:rsid w:val="008C7741"/>
    <w:rsid w:val="008C7BEB"/>
    <w:rsid w:val="008D39FF"/>
    <w:rsid w:val="008D5387"/>
    <w:rsid w:val="008D6647"/>
    <w:rsid w:val="008D7578"/>
    <w:rsid w:val="008E200B"/>
    <w:rsid w:val="008E2341"/>
    <w:rsid w:val="008E6991"/>
    <w:rsid w:val="008E7014"/>
    <w:rsid w:val="008F0B40"/>
    <w:rsid w:val="008F0CF1"/>
    <w:rsid w:val="008F1D6D"/>
    <w:rsid w:val="008F45EF"/>
    <w:rsid w:val="008F6AA2"/>
    <w:rsid w:val="008F71D3"/>
    <w:rsid w:val="00900116"/>
    <w:rsid w:val="009015ED"/>
    <w:rsid w:val="00901EC4"/>
    <w:rsid w:val="00901FC1"/>
    <w:rsid w:val="00904E9A"/>
    <w:rsid w:val="00906288"/>
    <w:rsid w:val="00907356"/>
    <w:rsid w:val="00907869"/>
    <w:rsid w:val="0090793B"/>
    <w:rsid w:val="00910795"/>
    <w:rsid w:val="0091080B"/>
    <w:rsid w:val="00910B36"/>
    <w:rsid w:val="0091635D"/>
    <w:rsid w:val="00916987"/>
    <w:rsid w:val="0091776B"/>
    <w:rsid w:val="00922592"/>
    <w:rsid w:val="00922911"/>
    <w:rsid w:val="0092308E"/>
    <w:rsid w:val="00923995"/>
    <w:rsid w:val="00926EE7"/>
    <w:rsid w:val="009306C6"/>
    <w:rsid w:val="00930E5F"/>
    <w:rsid w:val="00931F9B"/>
    <w:rsid w:val="009324A1"/>
    <w:rsid w:val="009324FE"/>
    <w:rsid w:val="009342AD"/>
    <w:rsid w:val="009354D8"/>
    <w:rsid w:val="009366A1"/>
    <w:rsid w:val="009401BF"/>
    <w:rsid w:val="0094041C"/>
    <w:rsid w:val="0094055B"/>
    <w:rsid w:val="00941545"/>
    <w:rsid w:val="00941F19"/>
    <w:rsid w:val="00942729"/>
    <w:rsid w:val="009437A7"/>
    <w:rsid w:val="00945DCD"/>
    <w:rsid w:val="00945FE5"/>
    <w:rsid w:val="00946789"/>
    <w:rsid w:val="00946F1D"/>
    <w:rsid w:val="0094755C"/>
    <w:rsid w:val="0095114F"/>
    <w:rsid w:val="00954FDC"/>
    <w:rsid w:val="00955047"/>
    <w:rsid w:val="00957E0C"/>
    <w:rsid w:val="009613A3"/>
    <w:rsid w:val="0096147D"/>
    <w:rsid w:val="00964D3A"/>
    <w:rsid w:val="00965552"/>
    <w:rsid w:val="0096574A"/>
    <w:rsid w:val="0096617A"/>
    <w:rsid w:val="00966734"/>
    <w:rsid w:val="00966D0A"/>
    <w:rsid w:val="00966E63"/>
    <w:rsid w:val="00966EE6"/>
    <w:rsid w:val="0097008C"/>
    <w:rsid w:val="009700E7"/>
    <w:rsid w:val="00973457"/>
    <w:rsid w:val="00975577"/>
    <w:rsid w:val="00975775"/>
    <w:rsid w:val="0097689B"/>
    <w:rsid w:val="0097728B"/>
    <w:rsid w:val="00980CE0"/>
    <w:rsid w:val="009810CE"/>
    <w:rsid w:val="0098149F"/>
    <w:rsid w:val="00981669"/>
    <w:rsid w:val="00981749"/>
    <w:rsid w:val="00982B86"/>
    <w:rsid w:val="009840B0"/>
    <w:rsid w:val="009869E5"/>
    <w:rsid w:val="0098708B"/>
    <w:rsid w:val="009875C2"/>
    <w:rsid w:val="00990636"/>
    <w:rsid w:val="009930AE"/>
    <w:rsid w:val="009937B6"/>
    <w:rsid w:val="0099499D"/>
    <w:rsid w:val="009953B0"/>
    <w:rsid w:val="00995F93"/>
    <w:rsid w:val="00996993"/>
    <w:rsid w:val="00996DE1"/>
    <w:rsid w:val="009A0191"/>
    <w:rsid w:val="009A0B72"/>
    <w:rsid w:val="009A10FB"/>
    <w:rsid w:val="009A19B4"/>
    <w:rsid w:val="009A1D1F"/>
    <w:rsid w:val="009A26FE"/>
    <w:rsid w:val="009A32F3"/>
    <w:rsid w:val="009A3390"/>
    <w:rsid w:val="009A3A2D"/>
    <w:rsid w:val="009A3F97"/>
    <w:rsid w:val="009A456E"/>
    <w:rsid w:val="009A6799"/>
    <w:rsid w:val="009A693B"/>
    <w:rsid w:val="009A71B6"/>
    <w:rsid w:val="009A7284"/>
    <w:rsid w:val="009A749E"/>
    <w:rsid w:val="009B018E"/>
    <w:rsid w:val="009B074B"/>
    <w:rsid w:val="009B090B"/>
    <w:rsid w:val="009B0A3E"/>
    <w:rsid w:val="009B460E"/>
    <w:rsid w:val="009B4DB7"/>
    <w:rsid w:val="009B5730"/>
    <w:rsid w:val="009B6DB8"/>
    <w:rsid w:val="009B7DCA"/>
    <w:rsid w:val="009C0761"/>
    <w:rsid w:val="009C110A"/>
    <w:rsid w:val="009C4888"/>
    <w:rsid w:val="009C5FF2"/>
    <w:rsid w:val="009C747C"/>
    <w:rsid w:val="009C7FD8"/>
    <w:rsid w:val="009D03AC"/>
    <w:rsid w:val="009D05BF"/>
    <w:rsid w:val="009D0798"/>
    <w:rsid w:val="009D19E0"/>
    <w:rsid w:val="009D2432"/>
    <w:rsid w:val="009D33DB"/>
    <w:rsid w:val="009D5AE6"/>
    <w:rsid w:val="009E0142"/>
    <w:rsid w:val="009E0C46"/>
    <w:rsid w:val="009E6131"/>
    <w:rsid w:val="009E75F9"/>
    <w:rsid w:val="009E77FC"/>
    <w:rsid w:val="009F064F"/>
    <w:rsid w:val="009F12E3"/>
    <w:rsid w:val="009F15EF"/>
    <w:rsid w:val="009F24D1"/>
    <w:rsid w:val="009F266C"/>
    <w:rsid w:val="009F31AC"/>
    <w:rsid w:val="009F4C1B"/>
    <w:rsid w:val="009F5DA5"/>
    <w:rsid w:val="009F69E1"/>
    <w:rsid w:val="009F7205"/>
    <w:rsid w:val="00A00684"/>
    <w:rsid w:val="00A01EFD"/>
    <w:rsid w:val="00A02E4D"/>
    <w:rsid w:val="00A03AC7"/>
    <w:rsid w:val="00A04B51"/>
    <w:rsid w:val="00A0509D"/>
    <w:rsid w:val="00A068B7"/>
    <w:rsid w:val="00A106FA"/>
    <w:rsid w:val="00A112E7"/>
    <w:rsid w:val="00A1183F"/>
    <w:rsid w:val="00A15101"/>
    <w:rsid w:val="00A15172"/>
    <w:rsid w:val="00A15738"/>
    <w:rsid w:val="00A17158"/>
    <w:rsid w:val="00A20856"/>
    <w:rsid w:val="00A2630C"/>
    <w:rsid w:val="00A27445"/>
    <w:rsid w:val="00A320D2"/>
    <w:rsid w:val="00A33300"/>
    <w:rsid w:val="00A35333"/>
    <w:rsid w:val="00A36250"/>
    <w:rsid w:val="00A36BD6"/>
    <w:rsid w:val="00A377F1"/>
    <w:rsid w:val="00A41CA5"/>
    <w:rsid w:val="00A42164"/>
    <w:rsid w:val="00A45D00"/>
    <w:rsid w:val="00A46BC3"/>
    <w:rsid w:val="00A50020"/>
    <w:rsid w:val="00A503F2"/>
    <w:rsid w:val="00A5088A"/>
    <w:rsid w:val="00A5113A"/>
    <w:rsid w:val="00A53297"/>
    <w:rsid w:val="00A5392E"/>
    <w:rsid w:val="00A5556E"/>
    <w:rsid w:val="00A56F7A"/>
    <w:rsid w:val="00A57C84"/>
    <w:rsid w:val="00A61FBA"/>
    <w:rsid w:val="00A63E68"/>
    <w:rsid w:val="00A648D2"/>
    <w:rsid w:val="00A648FB"/>
    <w:rsid w:val="00A665B8"/>
    <w:rsid w:val="00A6778D"/>
    <w:rsid w:val="00A677BE"/>
    <w:rsid w:val="00A72586"/>
    <w:rsid w:val="00A72A06"/>
    <w:rsid w:val="00A7351F"/>
    <w:rsid w:val="00A73D9B"/>
    <w:rsid w:val="00A7407E"/>
    <w:rsid w:val="00A74E2E"/>
    <w:rsid w:val="00A766B8"/>
    <w:rsid w:val="00A77E23"/>
    <w:rsid w:val="00A836DB"/>
    <w:rsid w:val="00A83CBD"/>
    <w:rsid w:val="00A83FE0"/>
    <w:rsid w:val="00A841E3"/>
    <w:rsid w:val="00A84A76"/>
    <w:rsid w:val="00A8579A"/>
    <w:rsid w:val="00A8620D"/>
    <w:rsid w:val="00A867EA"/>
    <w:rsid w:val="00A920ED"/>
    <w:rsid w:val="00A92AA7"/>
    <w:rsid w:val="00A92ACF"/>
    <w:rsid w:val="00A9412E"/>
    <w:rsid w:val="00A96C5C"/>
    <w:rsid w:val="00A96EED"/>
    <w:rsid w:val="00A971EB"/>
    <w:rsid w:val="00A97447"/>
    <w:rsid w:val="00AA0C7F"/>
    <w:rsid w:val="00AA0E37"/>
    <w:rsid w:val="00AA1E25"/>
    <w:rsid w:val="00AA2184"/>
    <w:rsid w:val="00AA2BDB"/>
    <w:rsid w:val="00AA65EF"/>
    <w:rsid w:val="00AB07FC"/>
    <w:rsid w:val="00AB0BCB"/>
    <w:rsid w:val="00AB3FD0"/>
    <w:rsid w:val="00AB4874"/>
    <w:rsid w:val="00AB6D21"/>
    <w:rsid w:val="00AB706C"/>
    <w:rsid w:val="00AB7635"/>
    <w:rsid w:val="00AB7D40"/>
    <w:rsid w:val="00AC0B44"/>
    <w:rsid w:val="00AC169A"/>
    <w:rsid w:val="00AC17BD"/>
    <w:rsid w:val="00AC2B08"/>
    <w:rsid w:val="00AC2D29"/>
    <w:rsid w:val="00AC3DDA"/>
    <w:rsid w:val="00AD0858"/>
    <w:rsid w:val="00AD159E"/>
    <w:rsid w:val="00AD3423"/>
    <w:rsid w:val="00AD3FA3"/>
    <w:rsid w:val="00AD5B07"/>
    <w:rsid w:val="00AE1905"/>
    <w:rsid w:val="00AE2804"/>
    <w:rsid w:val="00AE2F7F"/>
    <w:rsid w:val="00AE4760"/>
    <w:rsid w:val="00AE5366"/>
    <w:rsid w:val="00AE5935"/>
    <w:rsid w:val="00AE6558"/>
    <w:rsid w:val="00AE677E"/>
    <w:rsid w:val="00AF0B18"/>
    <w:rsid w:val="00AF1261"/>
    <w:rsid w:val="00AF27EF"/>
    <w:rsid w:val="00AF35AE"/>
    <w:rsid w:val="00AF4288"/>
    <w:rsid w:val="00AF4321"/>
    <w:rsid w:val="00AF727F"/>
    <w:rsid w:val="00AF7858"/>
    <w:rsid w:val="00B00632"/>
    <w:rsid w:val="00B02D93"/>
    <w:rsid w:val="00B03C70"/>
    <w:rsid w:val="00B0493F"/>
    <w:rsid w:val="00B05F78"/>
    <w:rsid w:val="00B11638"/>
    <w:rsid w:val="00B14B7E"/>
    <w:rsid w:val="00B15EDE"/>
    <w:rsid w:val="00B165AD"/>
    <w:rsid w:val="00B17992"/>
    <w:rsid w:val="00B20979"/>
    <w:rsid w:val="00B250E9"/>
    <w:rsid w:val="00B253DA"/>
    <w:rsid w:val="00B25BF9"/>
    <w:rsid w:val="00B26486"/>
    <w:rsid w:val="00B3066F"/>
    <w:rsid w:val="00B31413"/>
    <w:rsid w:val="00B318DD"/>
    <w:rsid w:val="00B31F28"/>
    <w:rsid w:val="00B32FDE"/>
    <w:rsid w:val="00B3485C"/>
    <w:rsid w:val="00B3551C"/>
    <w:rsid w:val="00B36091"/>
    <w:rsid w:val="00B3642B"/>
    <w:rsid w:val="00B4100F"/>
    <w:rsid w:val="00B4145E"/>
    <w:rsid w:val="00B41BA7"/>
    <w:rsid w:val="00B42098"/>
    <w:rsid w:val="00B44ADD"/>
    <w:rsid w:val="00B44C76"/>
    <w:rsid w:val="00B455A2"/>
    <w:rsid w:val="00B52440"/>
    <w:rsid w:val="00B530FB"/>
    <w:rsid w:val="00B55DD4"/>
    <w:rsid w:val="00B6041A"/>
    <w:rsid w:val="00B61231"/>
    <w:rsid w:val="00B62621"/>
    <w:rsid w:val="00B628A3"/>
    <w:rsid w:val="00B650BB"/>
    <w:rsid w:val="00B65DD7"/>
    <w:rsid w:val="00B66D36"/>
    <w:rsid w:val="00B70BA9"/>
    <w:rsid w:val="00B71045"/>
    <w:rsid w:val="00B716F5"/>
    <w:rsid w:val="00B76B5B"/>
    <w:rsid w:val="00B77E95"/>
    <w:rsid w:val="00B81EE5"/>
    <w:rsid w:val="00B836E8"/>
    <w:rsid w:val="00B837F7"/>
    <w:rsid w:val="00B840BB"/>
    <w:rsid w:val="00B841A4"/>
    <w:rsid w:val="00B871DD"/>
    <w:rsid w:val="00B87871"/>
    <w:rsid w:val="00B904BC"/>
    <w:rsid w:val="00B904BD"/>
    <w:rsid w:val="00B904C6"/>
    <w:rsid w:val="00B94F46"/>
    <w:rsid w:val="00B95D06"/>
    <w:rsid w:val="00B97024"/>
    <w:rsid w:val="00BA13CF"/>
    <w:rsid w:val="00BA1954"/>
    <w:rsid w:val="00BA3109"/>
    <w:rsid w:val="00BA3821"/>
    <w:rsid w:val="00BA4ED7"/>
    <w:rsid w:val="00BA5D51"/>
    <w:rsid w:val="00BA6DE7"/>
    <w:rsid w:val="00BA7063"/>
    <w:rsid w:val="00BB33FE"/>
    <w:rsid w:val="00BB399B"/>
    <w:rsid w:val="00BB546D"/>
    <w:rsid w:val="00BB57F2"/>
    <w:rsid w:val="00BB5C5F"/>
    <w:rsid w:val="00BB612A"/>
    <w:rsid w:val="00BB7BE1"/>
    <w:rsid w:val="00BC31ED"/>
    <w:rsid w:val="00BC378F"/>
    <w:rsid w:val="00BC679D"/>
    <w:rsid w:val="00BC6F1B"/>
    <w:rsid w:val="00BC7668"/>
    <w:rsid w:val="00BC7FCC"/>
    <w:rsid w:val="00BD1FA5"/>
    <w:rsid w:val="00BD2812"/>
    <w:rsid w:val="00BD2AA1"/>
    <w:rsid w:val="00BD4F83"/>
    <w:rsid w:val="00BD6825"/>
    <w:rsid w:val="00BD68F5"/>
    <w:rsid w:val="00BD6949"/>
    <w:rsid w:val="00BE1B0A"/>
    <w:rsid w:val="00BE2053"/>
    <w:rsid w:val="00BE4B8D"/>
    <w:rsid w:val="00BE5BB0"/>
    <w:rsid w:val="00BE5EB9"/>
    <w:rsid w:val="00BE6BAD"/>
    <w:rsid w:val="00BE7350"/>
    <w:rsid w:val="00BF07AF"/>
    <w:rsid w:val="00BF28EC"/>
    <w:rsid w:val="00BF3023"/>
    <w:rsid w:val="00BF30DF"/>
    <w:rsid w:val="00BF3C75"/>
    <w:rsid w:val="00BF4D37"/>
    <w:rsid w:val="00BF4FA6"/>
    <w:rsid w:val="00BF51F6"/>
    <w:rsid w:val="00BF67A4"/>
    <w:rsid w:val="00BF736A"/>
    <w:rsid w:val="00BF7C79"/>
    <w:rsid w:val="00BF7E00"/>
    <w:rsid w:val="00C021C5"/>
    <w:rsid w:val="00C024DE"/>
    <w:rsid w:val="00C02D9A"/>
    <w:rsid w:val="00C0323D"/>
    <w:rsid w:val="00C0414C"/>
    <w:rsid w:val="00C05A34"/>
    <w:rsid w:val="00C062CE"/>
    <w:rsid w:val="00C12240"/>
    <w:rsid w:val="00C12A4C"/>
    <w:rsid w:val="00C13F57"/>
    <w:rsid w:val="00C21672"/>
    <w:rsid w:val="00C228C9"/>
    <w:rsid w:val="00C23951"/>
    <w:rsid w:val="00C2434C"/>
    <w:rsid w:val="00C24A6F"/>
    <w:rsid w:val="00C24B25"/>
    <w:rsid w:val="00C24B71"/>
    <w:rsid w:val="00C25400"/>
    <w:rsid w:val="00C32B90"/>
    <w:rsid w:val="00C34FE2"/>
    <w:rsid w:val="00C355E3"/>
    <w:rsid w:val="00C35B06"/>
    <w:rsid w:val="00C36578"/>
    <w:rsid w:val="00C421E7"/>
    <w:rsid w:val="00C45175"/>
    <w:rsid w:val="00C45C27"/>
    <w:rsid w:val="00C466A2"/>
    <w:rsid w:val="00C479FE"/>
    <w:rsid w:val="00C47EB3"/>
    <w:rsid w:val="00C50B7E"/>
    <w:rsid w:val="00C51716"/>
    <w:rsid w:val="00C53ADD"/>
    <w:rsid w:val="00C56FCE"/>
    <w:rsid w:val="00C57F31"/>
    <w:rsid w:val="00C60BE2"/>
    <w:rsid w:val="00C62E07"/>
    <w:rsid w:val="00C630C0"/>
    <w:rsid w:val="00C6630D"/>
    <w:rsid w:val="00C70585"/>
    <w:rsid w:val="00C70E6B"/>
    <w:rsid w:val="00C70F4F"/>
    <w:rsid w:val="00C735C8"/>
    <w:rsid w:val="00C81A50"/>
    <w:rsid w:val="00C8225B"/>
    <w:rsid w:val="00C8247E"/>
    <w:rsid w:val="00C824BC"/>
    <w:rsid w:val="00C82F49"/>
    <w:rsid w:val="00C840F2"/>
    <w:rsid w:val="00C90624"/>
    <w:rsid w:val="00C9122B"/>
    <w:rsid w:val="00C91710"/>
    <w:rsid w:val="00C91CF5"/>
    <w:rsid w:val="00C92046"/>
    <w:rsid w:val="00C9347A"/>
    <w:rsid w:val="00C93969"/>
    <w:rsid w:val="00C954F2"/>
    <w:rsid w:val="00C9683B"/>
    <w:rsid w:val="00C97CBA"/>
    <w:rsid w:val="00CA012F"/>
    <w:rsid w:val="00CA03A3"/>
    <w:rsid w:val="00CA03E4"/>
    <w:rsid w:val="00CA0EF6"/>
    <w:rsid w:val="00CA2C2E"/>
    <w:rsid w:val="00CA31DB"/>
    <w:rsid w:val="00CA368F"/>
    <w:rsid w:val="00CA5325"/>
    <w:rsid w:val="00CA54C7"/>
    <w:rsid w:val="00CA7EEA"/>
    <w:rsid w:val="00CB0DB8"/>
    <w:rsid w:val="00CB3D54"/>
    <w:rsid w:val="00CB5E73"/>
    <w:rsid w:val="00CB6363"/>
    <w:rsid w:val="00CB6B10"/>
    <w:rsid w:val="00CB71A5"/>
    <w:rsid w:val="00CB78B8"/>
    <w:rsid w:val="00CC09E1"/>
    <w:rsid w:val="00CC22E5"/>
    <w:rsid w:val="00CC2BDA"/>
    <w:rsid w:val="00CC41C9"/>
    <w:rsid w:val="00CC7637"/>
    <w:rsid w:val="00CD1F7C"/>
    <w:rsid w:val="00CD22B4"/>
    <w:rsid w:val="00CD22FD"/>
    <w:rsid w:val="00CD33AB"/>
    <w:rsid w:val="00CD4714"/>
    <w:rsid w:val="00CD5DA8"/>
    <w:rsid w:val="00CD5E71"/>
    <w:rsid w:val="00CD7088"/>
    <w:rsid w:val="00CD73CF"/>
    <w:rsid w:val="00CD7AEF"/>
    <w:rsid w:val="00CE0520"/>
    <w:rsid w:val="00CE263C"/>
    <w:rsid w:val="00CE3DCA"/>
    <w:rsid w:val="00CE4795"/>
    <w:rsid w:val="00CE63BA"/>
    <w:rsid w:val="00CE7441"/>
    <w:rsid w:val="00CE7ECF"/>
    <w:rsid w:val="00CF172B"/>
    <w:rsid w:val="00CF1C70"/>
    <w:rsid w:val="00CF291C"/>
    <w:rsid w:val="00CF4B54"/>
    <w:rsid w:val="00CF579A"/>
    <w:rsid w:val="00D011AF"/>
    <w:rsid w:val="00D02A38"/>
    <w:rsid w:val="00D02CDB"/>
    <w:rsid w:val="00D060F5"/>
    <w:rsid w:val="00D061F7"/>
    <w:rsid w:val="00D06613"/>
    <w:rsid w:val="00D07C47"/>
    <w:rsid w:val="00D119E0"/>
    <w:rsid w:val="00D1264E"/>
    <w:rsid w:val="00D12679"/>
    <w:rsid w:val="00D13FCC"/>
    <w:rsid w:val="00D15B9A"/>
    <w:rsid w:val="00D15C72"/>
    <w:rsid w:val="00D15D80"/>
    <w:rsid w:val="00D163C4"/>
    <w:rsid w:val="00D17D8C"/>
    <w:rsid w:val="00D22932"/>
    <w:rsid w:val="00D2307C"/>
    <w:rsid w:val="00D23BE8"/>
    <w:rsid w:val="00D24DED"/>
    <w:rsid w:val="00D251B5"/>
    <w:rsid w:val="00D26793"/>
    <w:rsid w:val="00D273F1"/>
    <w:rsid w:val="00D27953"/>
    <w:rsid w:val="00D307AC"/>
    <w:rsid w:val="00D30FCC"/>
    <w:rsid w:val="00D32D6D"/>
    <w:rsid w:val="00D330EC"/>
    <w:rsid w:val="00D334C0"/>
    <w:rsid w:val="00D34610"/>
    <w:rsid w:val="00D35E77"/>
    <w:rsid w:val="00D35F50"/>
    <w:rsid w:val="00D36619"/>
    <w:rsid w:val="00D366DC"/>
    <w:rsid w:val="00D440EA"/>
    <w:rsid w:val="00D4473F"/>
    <w:rsid w:val="00D450F4"/>
    <w:rsid w:val="00D45431"/>
    <w:rsid w:val="00D50E97"/>
    <w:rsid w:val="00D61D2D"/>
    <w:rsid w:val="00D62FEB"/>
    <w:rsid w:val="00D631D5"/>
    <w:rsid w:val="00D70370"/>
    <w:rsid w:val="00D7086E"/>
    <w:rsid w:val="00D71DCC"/>
    <w:rsid w:val="00D736C1"/>
    <w:rsid w:val="00D744E3"/>
    <w:rsid w:val="00D774D6"/>
    <w:rsid w:val="00D8223C"/>
    <w:rsid w:val="00D829FE"/>
    <w:rsid w:val="00D84C15"/>
    <w:rsid w:val="00D84E89"/>
    <w:rsid w:val="00D85475"/>
    <w:rsid w:val="00D85D15"/>
    <w:rsid w:val="00D87DC8"/>
    <w:rsid w:val="00D9044D"/>
    <w:rsid w:val="00D92085"/>
    <w:rsid w:val="00D92A15"/>
    <w:rsid w:val="00D9567D"/>
    <w:rsid w:val="00D97792"/>
    <w:rsid w:val="00DA2563"/>
    <w:rsid w:val="00DA3144"/>
    <w:rsid w:val="00DA380B"/>
    <w:rsid w:val="00DA46BF"/>
    <w:rsid w:val="00DA5D2B"/>
    <w:rsid w:val="00DA6E85"/>
    <w:rsid w:val="00DB026D"/>
    <w:rsid w:val="00DB55BF"/>
    <w:rsid w:val="00DB6DE4"/>
    <w:rsid w:val="00DB7459"/>
    <w:rsid w:val="00DC0AE8"/>
    <w:rsid w:val="00DC1E56"/>
    <w:rsid w:val="00DC22A3"/>
    <w:rsid w:val="00DC2870"/>
    <w:rsid w:val="00DC357F"/>
    <w:rsid w:val="00DC499D"/>
    <w:rsid w:val="00DC530E"/>
    <w:rsid w:val="00DC6F4D"/>
    <w:rsid w:val="00DC7034"/>
    <w:rsid w:val="00DC7123"/>
    <w:rsid w:val="00DD0935"/>
    <w:rsid w:val="00DD413C"/>
    <w:rsid w:val="00DD5620"/>
    <w:rsid w:val="00DD5A57"/>
    <w:rsid w:val="00DD69FD"/>
    <w:rsid w:val="00DE3995"/>
    <w:rsid w:val="00DE3D4E"/>
    <w:rsid w:val="00DE499C"/>
    <w:rsid w:val="00DE51E6"/>
    <w:rsid w:val="00DE7383"/>
    <w:rsid w:val="00DF29E0"/>
    <w:rsid w:val="00E006C0"/>
    <w:rsid w:val="00E010C0"/>
    <w:rsid w:val="00E02410"/>
    <w:rsid w:val="00E0297A"/>
    <w:rsid w:val="00E056E2"/>
    <w:rsid w:val="00E05CD7"/>
    <w:rsid w:val="00E1005E"/>
    <w:rsid w:val="00E121FC"/>
    <w:rsid w:val="00E12587"/>
    <w:rsid w:val="00E12AF3"/>
    <w:rsid w:val="00E1692B"/>
    <w:rsid w:val="00E16DE5"/>
    <w:rsid w:val="00E17C56"/>
    <w:rsid w:val="00E2069A"/>
    <w:rsid w:val="00E20CEB"/>
    <w:rsid w:val="00E2623C"/>
    <w:rsid w:val="00E311A1"/>
    <w:rsid w:val="00E335B6"/>
    <w:rsid w:val="00E34833"/>
    <w:rsid w:val="00E34AA5"/>
    <w:rsid w:val="00E34FF9"/>
    <w:rsid w:val="00E35CFB"/>
    <w:rsid w:val="00E40272"/>
    <w:rsid w:val="00E41690"/>
    <w:rsid w:val="00E4229F"/>
    <w:rsid w:val="00E422C7"/>
    <w:rsid w:val="00E45AB6"/>
    <w:rsid w:val="00E47291"/>
    <w:rsid w:val="00E50150"/>
    <w:rsid w:val="00E53529"/>
    <w:rsid w:val="00E53FDA"/>
    <w:rsid w:val="00E54D24"/>
    <w:rsid w:val="00E54DB3"/>
    <w:rsid w:val="00E56210"/>
    <w:rsid w:val="00E56EAE"/>
    <w:rsid w:val="00E5757F"/>
    <w:rsid w:val="00E603D7"/>
    <w:rsid w:val="00E638EA"/>
    <w:rsid w:val="00E656AA"/>
    <w:rsid w:val="00E66181"/>
    <w:rsid w:val="00E66C53"/>
    <w:rsid w:val="00E6736C"/>
    <w:rsid w:val="00E6785B"/>
    <w:rsid w:val="00E67BB4"/>
    <w:rsid w:val="00E705A5"/>
    <w:rsid w:val="00E715AA"/>
    <w:rsid w:val="00E72A65"/>
    <w:rsid w:val="00E7531B"/>
    <w:rsid w:val="00E761CC"/>
    <w:rsid w:val="00E76696"/>
    <w:rsid w:val="00E76A25"/>
    <w:rsid w:val="00E77A12"/>
    <w:rsid w:val="00E82AD8"/>
    <w:rsid w:val="00E8351B"/>
    <w:rsid w:val="00E847F7"/>
    <w:rsid w:val="00E8563B"/>
    <w:rsid w:val="00E86281"/>
    <w:rsid w:val="00E87230"/>
    <w:rsid w:val="00E872AD"/>
    <w:rsid w:val="00E87666"/>
    <w:rsid w:val="00E90187"/>
    <w:rsid w:val="00E9078D"/>
    <w:rsid w:val="00E912E2"/>
    <w:rsid w:val="00E91776"/>
    <w:rsid w:val="00E91F35"/>
    <w:rsid w:val="00E92B97"/>
    <w:rsid w:val="00E9657A"/>
    <w:rsid w:val="00E96D5C"/>
    <w:rsid w:val="00EA1BD1"/>
    <w:rsid w:val="00EB1A1D"/>
    <w:rsid w:val="00EC22AB"/>
    <w:rsid w:val="00EC3FE2"/>
    <w:rsid w:val="00EC4B99"/>
    <w:rsid w:val="00EC7068"/>
    <w:rsid w:val="00EC7DD2"/>
    <w:rsid w:val="00ED2BB4"/>
    <w:rsid w:val="00ED3584"/>
    <w:rsid w:val="00ED4027"/>
    <w:rsid w:val="00ED60D0"/>
    <w:rsid w:val="00ED6C3C"/>
    <w:rsid w:val="00ED76F3"/>
    <w:rsid w:val="00ED7DB6"/>
    <w:rsid w:val="00EE1040"/>
    <w:rsid w:val="00EE21F8"/>
    <w:rsid w:val="00EE2E7A"/>
    <w:rsid w:val="00EE2F7B"/>
    <w:rsid w:val="00EE3B90"/>
    <w:rsid w:val="00EE53E1"/>
    <w:rsid w:val="00EE65FD"/>
    <w:rsid w:val="00EE66C4"/>
    <w:rsid w:val="00EE687C"/>
    <w:rsid w:val="00EE76F2"/>
    <w:rsid w:val="00EE7F58"/>
    <w:rsid w:val="00EF0CEA"/>
    <w:rsid w:val="00EF18C4"/>
    <w:rsid w:val="00EF35ED"/>
    <w:rsid w:val="00EF3B3E"/>
    <w:rsid w:val="00EF41E5"/>
    <w:rsid w:val="00EF4B01"/>
    <w:rsid w:val="00EF51F5"/>
    <w:rsid w:val="00F00A1D"/>
    <w:rsid w:val="00F01518"/>
    <w:rsid w:val="00F06D4E"/>
    <w:rsid w:val="00F06EE8"/>
    <w:rsid w:val="00F10359"/>
    <w:rsid w:val="00F1099B"/>
    <w:rsid w:val="00F112FD"/>
    <w:rsid w:val="00F11777"/>
    <w:rsid w:val="00F1211D"/>
    <w:rsid w:val="00F13338"/>
    <w:rsid w:val="00F141A0"/>
    <w:rsid w:val="00F1438C"/>
    <w:rsid w:val="00F15103"/>
    <w:rsid w:val="00F15461"/>
    <w:rsid w:val="00F16187"/>
    <w:rsid w:val="00F224E3"/>
    <w:rsid w:val="00F233B5"/>
    <w:rsid w:val="00F2452B"/>
    <w:rsid w:val="00F24FE1"/>
    <w:rsid w:val="00F2619A"/>
    <w:rsid w:val="00F2710C"/>
    <w:rsid w:val="00F2729C"/>
    <w:rsid w:val="00F31B29"/>
    <w:rsid w:val="00F31FED"/>
    <w:rsid w:val="00F321DC"/>
    <w:rsid w:val="00F3403B"/>
    <w:rsid w:val="00F37934"/>
    <w:rsid w:val="00F37DC2"/>
    <w:rsid w:val="00F41097"/>
    <w:rsid w:val="00F41962"/>
    <w:rsid w:val="00F42632"/>
    <w:rsid w:val="00F42B8A"/>
    <w:rsid w:val="00F437B8"/>
    <w:rsid w:val="00F4666F"/>
    <w:rsid w:val="00F51285"/>
    <w:rsid w:val="00F5283D"/>
    <w:rsid w:val="00F52CD7"/>
    <w:rsid w:val="00F543FA"/>
    <w:rsid w:val="00F6004B"/>
    <w:rsid w:val="00F60674"/>
    <w:rsid w:val="00F61041"/>
    <w:rsid w:val="00F61283"/>
    <w:rsid w:val="00F654E8"/>
    <w:rsid w:val="00F65CFD"/>
    <w:rsid w:val="00F66864"/>
    <w:rsid w:val="00F72FCF"/>
    <w:rsid w:val="00F756C3"/>
    <w:rsid w:val="00F767C2"/>
    <w:rsid w:val="00F806F1"/>
    <w:rsid w:val="00F817AD"/>
    <w:rsid w:val="00F8450E"/>
    <w:rsid w:val="00F84C5B"/>
    <w:rsid w:val="00F90B1B"/>
    <w:rsid w:val="00F933D8"/>
    <w:rsid w:val="00F94DA0"/>
    <w:rsid w:val="00F97519"/>
    <w:rsid w:val="00FA2416"/>
    <w:rsid w:val="00FA386D"/>
    <w:rsid w:val="00FA6AA1"/>
    <w:rsid w:val="00FA6BE0"/>
    <w:rsid w:val="00FA72A6"/>
    <w:rsid w:val="00FA754C"/>
    <w:rsid w:val="00FB0525"/>
    <w:rsid w:val="00FB21A6"/>
    <w:rsid w:val="00FB2314"/>
    <w:rsid w:val="00FB2B29"/>
    <w:rsid w:val="00FB558D"/>
    <w:rsid w:val="00FB5939"/>
    <w:rsid w:val="00FB6276"/>
    <w:rsid w:val="00FB637F"/>
    <w:rsid w:val="00FB7217"/>
    <w:rsid w:val="00FC02BF"/>
    <w:rsid w:val="00FC08E6"/>
    <w:rsid w:val="00FC1561"/>
    <w:rsid w:val="00FC212C"/>
    <w:rsid w:val="00FC2AF7"/>
    <w:rsid w:val="00FD03E2"/>
    <w:rsid w:val="00FD06BC"/>
    <w:rsid w:val="00FD2465"/>
    <w:rsid w:val="00FD6B4B"/>
    <w:rsid w:val="00FD7E63"/>
    <w:rsid w:val="00FE1245"/>
    <w:rsid w:val="00FE19AC"/>
    <w:rsid w:val="00FE2336"/>
    <w:rsid w:val="00FE4098"/>
    <w:rsid w:val="00FE5627"/>
    <w:rsid w:val="00FF0BA2"/>
    <w:rsid w:val="00FF2520"/>
    <w:rsid w:val="00FF3930"/>
    <w:rsid w:val="00FF4215"/>
    <w:rsid w:val="00FF48D6"/>
    <w:rsid w:val="00FF4C4F"/>
    <w:rsid w:val="00FF4C85"/>
    <w:rsid w:val="00FF4D7D"/>
    <w:rsid w:val="00FF566C"/>
    <w:rsid w:val="00FF7770"/>
    <w:rsid w:val="00FF7BA0"/>
    <w:rsid w:val="01073EEA"/>
    <w:rsid w:val="012E2284"/>
    <w:rsid w:val="014A102B"/>
    <w:rsid w:val="01541EA9"/>
    <w:rsid w:val="018362EB"/>
    <w:rsid w:val="018F2EE2"/>
    <w:rsid w:val="019422A6"/>
    <w:rsid w:val="01AC5842"/>
    <w:rsid w:val="02377801"/>
    <w:rsid w:val="02741E8A"/>
    <w:rsid w:val="029307AF"/>
    <w:rsid w:val="02AB78A7"/>
    <w:rsid w:val="02B32C00"/>
    <w:rsid w:val="02C44E0D"/>
    <w:rsid w:val="030376E3"/>
    <w:rsid w:val="03415CF6"/>
    <w:rsid w:val="03465822"/>
    <w:rsid w:val="034877EC"/>
    <w:rsid w:val="03791753"/>
    <w:rsid w:val="03B764DC"/>
    <w:rsid w:val="03F23E6F"/>
    <w:rsid w:val="04702B56"/>
    <w:rsid w:val="048815E2"/>
    <w:rsid w:val="04A85060"/>
    <w:rsid w:val="04B862AB"/>
    <w:rsid w:val="04BC368C"/>
    <w:rsid w:val="04C3537C"/>
    <w:rsid w:val="04FD5688"/>
    <w:rsid w:val="051A5D86"/>
    <w:rsid w:val="054B35C3"/>
    <w:rsid w:val="0580326D"/>
    <w:rsid w:val="05816FE5"/>
    <w:rsid w:val="05C64F69"/>
    <w:rsid w:val="05D62C76"/>
    <w:rsid w:val="06B50CF4"/>
    <w:rsid w:val="06CA0F4B"/>
    <w:rsid w:val="06CB684B"/>
    <w:rsid w:val="0701218C"/>
    <w:rsid w:val="07397B77"/>
    <w:rsid w:val="07403B48"/>
    <w:rsid w:val="078B42EC"/>
    <w:rsid w:val="07E01DA1"/>
    <w:rsid w:val="07FC5C4D"/>
    <w:rsid w:val="0884412C"/>
    <w:rsid w:val="08B5190C"/>
    <w:rsid w:val="08DD121D"/>
    <w:rsid w:val="08DD4532"/>
    <w:rsid w:val="090546AC"/>
    <w:rsid w:val="091B505B"/>
    <w:rsid w:val="096802A0"/>
    <w:rsid w:val="096909F8"/>
    <w:rsid w:val="099F5881"/>
    <w:rsid w:val="09CD0A4B"/>
    <w:rsid w:val="09EB7C1C"/>
    <w:rsid w:val="0A4A3E4A"/>
    <w:rsid w:val="0A5D7472"/>
    <w:rsid w:val="0A6B478F"/>
    <w:rsid w:val="0A7C0731"/>
    <w:rsid w:val="0AAA48E8"/>
    <w:rsid w:val="0AD11E75"/>
    <w:rsid w:val="0B5A00BC"/>
    <w:rsid w:val="0B8A6024"/>
    <w:rsid w:val="0BC67500"/>
    <w:rsid w:val="0BE12CEF"/>
    <w:rsid w:val="0BF73B5D"/>
    <w:rsid w:val="0C0F70F9"/>
    <w:rsid w:val="0C1069CD"/>
    <w:rsid w:val="0C442D39"/>
    <w:rsid w:val="0C774C9E"/>
    <w:rsid w:val="0CF137AD"/>
    <w:rsid w:val="0D38442D"/>
    <w:rsid w:val="0D6916C7"/>
    <w:rsid w:val="0DF20A80"/>
    <w:rsid w:val="0E4868F2"/>
    <w:rsid w:val="0E5E1C72"/>
    <w:rsid w:val="0E7E40C2"/>
    <w:rsid w:val="0E8B5099"/>
    <w:rsid w:val="0EE02FCE"/>
    <w:rsid w:val="0EF84D38"/>
    <w:rsid w:val="0F5D017B"/>
    <w:rsid w:val="0F83329A"/>
    <w:rsid w:val="0FB71F81"/>
    <w:rsid w:val="0FC3503C"/>
    <w:rsid w:val="0FCE32B0"/>
    <w:rsid w:val="103203DE"/>
    <w:rsid w:val="10710382"/>
    <w:rsid w:val="1125116C"/>
    <w:rsid w:val="114C494B"/>
    <w:rsid w:val="11553800"/>
    <w:rsid w:val="11934328"/>
    <w:rsid w:val="11943BFC"/>
    <w:rsid w:val="11987B90"/>
    <w:rsid w:val="11A80796"/>
    <w:rsid w:val="11BC011F"/>
    <w:rsid w:val="11CE710E"/>
    <w:rsid w:val="11E62C1D"/>
    <w:rsid w:val="11E903EC"/>
    <w:rsid w:val="120945EA"/>
    <w:rsid w:val="120E39AF"/>
    <w:rsid w:val="12255CB7"/>
    <w:rsid w:val="12371157"/>
    <w:rsid w:val="123F24AA"/>
    <w:rsid w:val="125A2040"/>
    <w:rsid w:val="12785A55"/>
    <w:rsid w:val="1283439D"/>
    <w:rsid w:val="12902616"/>
    <w:rsid w:val="12D86756"/>
    <w:rsid w:val="135C4810"/>
    <w:rsid w:val="137B1518"/>
    <w:rsid w:val="139B5716"/>
    <w:rsid w:val="13A20852"/>
    <w:rsid w:val="14551D69"/>
    <w:rsid w:val="14643D5A"/>
    <w:rsid w:val="146855F8"/>
    <w:rsid w:val="14702016"/>
    <w:rsid w:val="148E7DB7"/>
    <w:rsid w:val="14AD5701"/>
    <w:rsid w:val="14C64A14"/>
    <w:rsid w:val="15545B7C"/>
    <w:rsid w:val="15D90A9B"/>
    <w:rsid w:val="160E6673"/>
    <w:rsid w:val="16526560"/>
    <w:rsid w:val="16EF0253"/>
    <w:rsid w:val="16FE2244"/>
    <w:rsid w:val="17082A40"/>
    <w:rsid w:val="17101F77"/>
    <w:rsid w:val="172D2B29"/>
    <w:rsid w:val="17544559"/>
    <w:rsid w:val="1776488C"/>
    <w:rsid w:val="17793FC0"/>
    <w:rsid w:val="17996410"/>
    <w:rsid w:val="17A45E25"/>
    <w:rsid w:val="17B44FF8"/>
    <w:rsid w:val="17EE6794"/>
    <w:rsid w:val="1816180F"/>
    <w:rsid w:val="18421C82"/>
    <w:rsid w:val="1853036D"/>
    <w:rsid w:val="18932E60"/>
    <w:rsid w:val="18F71640"/>
    <w:rsid w:val="19742C91"/>
    <w:rsid w:val="199B021E"/>
    <w:rsid w:val="19AD646C"/>
    <w:rsid w:val="19B90EF2"/>
    <w:rsid w:val="19E219A9"/>
    <w:rsid w:val="1A02029D"/>
    <w:rsid w:val="1A2E40E5"/>
    <w:rsid w:val="1A6352C4"/>
    <w:rsid w:val="1A89451A"/>
    <w:rsid w:val="1A961EAB"/>
    <w:rsid w:val="1AAB623F"/>
    <w:rsid w:val="1AB62CA6"/>
    <w:rsid w:val="1B040045"/>
    <w:rsid w:val="1B661967"/>
    <w:rsid w:val="1BA550D1"/>
    <w:rsid w:val="1BA96177"/>
    <w:rsid w:val="1C00080C"/>
    <w:rsid w:val="1C016E0E"/>
    <w:rsid w:val="1C44694B"/>
    <w:rsid w:val="1C5D5C5E"/>
    <w:rsid w:val="1C6A7A58"/>
    <w:rsid w:val="1C76287C"/>
    <w:rsid w:val="1CAB5593"/>
    <w:rsid w:val="1CC21F65"/>
    <w:rsid w:val="1CDB1137"/>
    <w:rsid w:val="1CDC489E"/>
    <w:rsid w:val="1CF739BD"/>
    <w:rsid w:val="1CFA525B"/>
    <w:rsid w:val="1CFE623E"/>
    <w:rsid w:val="1D1B1F25"/>
    <w:rsid w:val="1D1C78C7"/>
    <w:rsid w:val="1D2207B9"/>
    <w:rsid w:val="1D4026A8"/>
    <w:rsid w:val="1D436C02"/>
    <w:rsid w:val="1D4448D9"/>
    <w:rsid w:val="1D6A0633"/>
    <w:rsid w:val="1D8B2357"/>
    <w:rsid w:val="1DD12460"/>
    <w:rsid w:val="1E1665EA"/>
    <w:rsid w:val="1E19760E"/>
    <w:rsid w:val="1E2277E6"/>
    <w:rsid w:val="1E2A35D7"/>
    <w:rsid w:val="1E37603B"/>
    <w:rsid w:val="1E522E75"/>
    <w:rsid w:val="1E892D3B"/>
    <w:rsid w:val="1EC15C9C"/>
    <w:rsid w:val="1F06438B"/>
    <w:rsid w:val="1F106FB8"/>
    <w:rsid w:val="1F2111C5"/>
    <w:rsid w:val="1F861028"/>
    <w:rsid w:val="1FBA5176"/>
    <w:rsid w:val="1FBF278C"/>
    <w:rsid w:val="20071E19"/>
    <w:rsid w:val="200F101E"/>
    <w:rsid w:val="20286583"/>
    <w:rsid w:val="203543E6"/>
    <w:rsid w:val="2040730C"/>
    <w:rsid w:val="208F03B0"/>
    <w:rsid w:val="20994D8B"/>
    <w:rsid w:val="209B4FA7"/>
    <w:rsid w:val="20A918DB"/>
    <w:rsid w:val="20C938C2"/>
    <w:rsid w:val="20DA787E"/>
    <w:rsid w:val="20EA3839"/>
    <w:rsid w:val="213F3B84"/>
    <w:rsid w:val="21457AA6"/>
    <w:rsid w:val="215F5FD5"/>
    <w:rsid w:val="2160757F"/>
    <w:rsid w:val="21617F9F"/>
    <w:rsid w:val="2169425B"/>
    <w:rsid w:val="21701F90"/>
    <w:rsid w:val="21817CF9"/>
    <w:rsid w:val="21DC13D3"/>
    <w:rsid w:val="220821C8"/>
    <w:rsid w:val="224F6049"/>
    <w:rsid w:val="22633F3F"/>
    <w:rsid w:val="22661210"/>
    <w:rsid w:val="229C1B6E"/>
    <w:rsid w:val="22A719E1"/>
    <w:rsid w:val="22B44975"/>
    <w:rsid w:val="22EB2BDA"/>
    <w:rsid w:val="230B2DFF"/>
    <w:rsid w:val="233C481F"/>
    <w:rsid w:val="23566F63"/>
    <w:rsid w:val="236E69A3"/>
    <w:rsid w:val="23827D58"/>
    <w:rsid w:val="23DF164F"/>
    <w:rsid w:val="23FA0237"/>
    <w:rsid w:val="244871F4"/>
    <w:rsid w:val="24586AC6"/>
    <w:rsid w:val="24732C75"/>
    <w:rsid w:val="24816262"/>
    <w:rsid w:val="24A00DDE"/>
    <w:rsid w:val="24A51F50"/>
    <w:rsid w:val="24B0423F"/>
    <w:rsid w:val="24CF417D"/>
    <w:rsid w:val="24DD17C0"/>
    <w:rsid w:val="24E65B35"/>
    <w:rsid w:val="24E707BB"/>
    <w:rsid w:val="25237319"/>
    <w:rsid w:val="255676EF"/>
    <w:rsid w:val="2566249D"/>
    <w:rsid w:val="25696723"/>
    <w:rsid w:val="256B319A"/>
    <w:rsid w:val="25EF714A"/>
    <w:rsid w:val="25FA2770"/>
    <w:rsid w:val="261F3F85"/>
    <w:rsid w:val="2629095F"/>
    <w:rsid w:val="26345C82"/>
    <w:rsid w:val="26393298"/>
    <w:rsid w:val="269D1521"/>
    <w:rsid w:val="26A12BEB"/>
    <w:rsid w:val="26C03072"/>
    <w:rsid w:val="26F25034"/>
    <w:rsid w:val="26F2791B"/>
    <w:rsid w:val="27400656"/>
    <w:rsid w:val="278F0C96"/>
    <w:rsid w:val="27B9274C"/>
    <w:rsid w:val="27E9484A"/>
    <w:rsid w:val="27FF5E1C"/>
    <w:rsid w:val="284B5B2B"/>
    <w:rsid w:val="2852419D"/>
    <w:rsid w:val="28AA222B"/>
    <w:rsid w:val="28C21D69"/>
    <w:rsid w:val="290D4D9A"/>
    <w:rsid w:val="29161A48"/>
    <w:rsid w:val="2946482C"/>
    <w:rsid w:val="2963618A"/>
    <w:rsid w:val="29870F46"/>
    <w:rsid w:val="2989303D"/>
    <w:rsid w:val="29E51041"/>
    <w:rsid w:val="2A1E44A1"/>
    <w:rsid w:val="2A24600D"/>
    <w:rsid w:val="2A4E308A"/>
    <w:rsid w:val="2A9A62D0"/>
    <w:rsid w:val="2AF52EA6"/>
    <w:rsid w:val="2B2F07C6"/>
    <w:rsid w:val="2B7345A8"/>
    <w:rsid w:val="2B8A00F2"/>
    <w:rsid w:val="2BB94533"/>
    <w:rsid w:val="2BDB094E"/>
    <w:rsid w:val="2C077995"/>
    <w:rsid w:val="2C1520B2"/>
    <w:rsid w:val="2C167BD8"/>
    <w:rsid w:val="2C73041D"/>
    <w:rsid w:val="2C792640"/>
    <w:rsid w:val="2CA174A1"/>
    <w:rsid w:val="2CAD22EA"/>
    <w:rsid w:val="2CD258AD"/>
    <w:rsid w:val="2CD3268A"/>
    <w:rsid w:val="2CD87B57"/>
    <w:rsid w:val="2D1759B5"/>
    <w:rsid w:val="2D1B68AA"/>
    <w:rsid w:val="2D662499"/>
    <w:rsid w:val="2D8172D3"/>
    <w:rsid w:val="2D856CCB"/>
    <w:rsid w:val="2D9E1C33"/>
    <w:rsid w:val="2DBD030B"/>
    <w:rsid w:val="2DC93154"/>
    <w:rsid w:val="2E0028ED"/>
    <w:rsid w:val="2E031E2E"/>
    <w:rsid w:val="2E04418C"/>
    <w:rsid w:val="2E130F54"/>
    <w:rsid w:val="2E4B1DBB"/>
    <w:rsid w:val="2E5A0250"/>
    <w:rsid w:val="2E5E1B7B"/>
    <w:rsid w:val="2E8048AF"/>
    <w:rsid w:val="2EA4771D"/>
    <w:rsid w:val="2EA65A14"/>
    <w:rsid w:val="2EB96AE5"/>
    <w:rsid w:val="2EF97A69"/>
    <w:rsid w:val="2F083808"/>
    <w:rsid w:val="2F1C4306"/>
    <w:rsid w:val="2F266384"/>
    <w:rsid w:val="2F3E7229"/>
    <w:rsid w:val="2FE37DD1"/>
    <w:rsid w:val="30140C31"/>
    <w:rsid w:val="306B04F2"/>
    <w:rsid w:val="30977539"/>
    <w:rsid w:val="309D2676"/>
    <w:rsid w:val="30A41222"/>
    <w:rsid w:val="31085D41"/>
    <w:rsid w:val="31321010"/>
    <w:rsid w:val="313F54DB"/>
    <w:rsid w:val="31556AAC"/>
    <w:rsid w:val="3175714F"/>
    <w:rsid w:val="31B41A25"/>
    <w:rsid w:val="31B62D44"/>
    <w:rsid w:val="31DE4CF4"/>
    <w:rsid w:val="322E7A29"/>
    <w:rsid w:val="324816C4"/>
    <w:rsid w:val="3262491A"/>
    <w:rsid w:val="326F3B9E"/>
    <w:rsid w:val="327318E0"/>
    <w:rsid w:val="327F64D7"/>
    <w:rsid w:val="32B53CA7"/>
    <w:rsid w:val="32C53F54"/>
    <w:rsid w:val="32C959A4"/>
    <w:rsid w:val="33024A12"/>
    <w:rsid w:val="331035D3"/>
    <w:rsid w:val="33174961"/>
    <w:rsid w:val="331E1B39"/>
    <w:rsid w:val="33324FAE"/>
    <w:rsid w:val="3337078A"/>
    <w:rsid w:val="337C47C4"/>
    <w:rsid w:val="33A501AB"/>
    <w:rsid w:val="33BA709B"/>
    <w:rsid w:val="33F16F60"/>
    <w:rsid w:val="34104626"/>
    <w:rsid w:val="34125129"/>
    <w:rsid w:val="34465710"/>
    <w:rsid w:val="3450057F"/>
    <w:rsid w:val="345D45F6"/>
    <w:rsid w:val="34A57D4B"/>
    <w:rsid w:val="34B03AD6"/>
    <w:rsid w:val="34E24AFB"/>
    <w:rsid w:val="35150A2C"/>
    <w:rsid w:val="35337105"/>
    <w:rsid w:val="353D61D5"/>
    <w:rsid w:val="35571045"/>
    <w:rsid w:val="35777939"/>
    <w:rsid w:val="35846E2F"/>
    <w:rsid w:val="35935DF5"/>
    <w:rsid w:val="3598300D"/>
    <w:rsid w:val="359E6B64"/>
    <w:rsid w:val="35A95619"/>
    <w:rsid w:val="35ED7BFB"/>
    <w:rsid w:val="35FB40C6"/>
    <w:rsid w:val="3656754F"/>
    <w:rsid w:val="36716136"/>
    <w:rsid w:val="36820344"/>
    <w:rsid w:val="36B64491"/>
    <w:rsid w:val="36E27034"/>
    <w:rsid w:val="36E96615"/>
    <w:rsid w:val="37103BA1"/>
    <w:rsid w:val="371442C0"/>
    <w:rsid w:val="37585548"/>
    <w:rsid w:val="375F68D7"/>
    <w:rsid w:val="37672E6A"/>
    <w:rsid w:val="37B95FE7"/>
    <w:rsid w:val="37BB6822"/>
    <w:rsid w:val="37CD77F5"/>
    <w:rsid w:val="37D72911"/>
    <w:rsid w:val="380D6333"/>
    <w:rsid w:val="383438BF"/>
    <w:rsid w:val="38431D54"/>
    <w:rsid w:val="38445935"/>
    <w:rsid w:val="387704DC"/>
    <w:rsid w:val="387719FE"/>
    <w:rsid w:val="3894435E"/>
    <w:rsid w:val="38ED3A6E"/>
    <w:rsid w:val="3909523B"/>
    <w:rsid w:val="39A405D1"/>
    <w:rsid w:val="39A64349"/>
    <w:rsid w:val="39A84849"/>
    <w:rsid w:val="39AE1450"/>
    <w:rsid w:val="39B50A30"/>
    <w:rsid w:val="39BF24C9"/>
    <w:rsid w:val="3A0948D8"/>
    <w:rsid w:val="3A63223A"/>
    <w:rsid w:val="3A6D30B9"/>
    <w:rsid w:val="3A7A7584"/>
    <w:rsid w:val="3AFE262F"/>
    <w:rsid w:val="3B3E6803"/>
    <w:rsid w:val="3BA23236"/>
    <w:rsid w:val="3BB05953"/>
    <w:rsid w:val="3BC62A80"/>
    <w:rsid w:val="3BD66A3C"/>
    <w:rsid w:val="3BF45E43"/>
    <w:rsid w:val="3C0435A9"/>
    <w:rsid w:val="3C1F6635"/>
    <w:rsid w:val="3C3F2403"/>
    <w:rsid w:val="3C5A58BF"/>
    <w:rsid w:val="3CC6146E"/>
    <w:rsid w:val="3CFC24D2"/>
    <w:rsid w:val="3D2F28A7"/>
    <w:rsid w:val="3D6844FA"/>
    <w:rsid w:val="3D6D7F4C"/>
    <w:rsid w:val="3D711112"/>
    <w:rsid w:val="3D7F382F"/>
    <w:rsid w:val="3DF00289"/>
    <w:rsid w:val="3E5D4C7A"/>
    <w:rsid w:val="3E9458E4"/>
    <w:rsid w:val="3E990920"/>
    <w:rsid w:val="3E99447C"/>
    <w:rsid w:val="3E9A0E65"/>
    <w:rsid w:val="3EDB51F8"/>
    <w:rsid w:val="3F0062A9"/>
    <w:rsid w:val="3F0A0758"/>
    <w:rsid w:val="3F0C172B"/>
    <w:rsid w:val="3F2C0AE5"/>
    <w:rsid w:val="3F516B05"/>
    <w:rsid w:val="3F7D5B4C"/>
    <w:rsid w:val="3FAC00F9"/>
    <w:rsid w:val="3FCF3A3E"/>
    <w:rsid w:val="3FCF3ECE"/>
    <w:rsid w:val="4024421A"/>
    <w:rsid w:val="40503261"/>
    <w:rsid w:val="40525E10"/>
    <w:rsid w:val="4070547F"/>
    <w:rsid w:val="408D0011"/>
    <w:rsid w:val="408D6263"/>
    <w:rsid w:val="408E5B37"/>
    <w:rsid w:val="409A0980"/>
    <w:rsid w:val="409C46F8"/>
    <w:rsid w:val="40A73392"/>
    <w:rsid w:val="40A80AB7"/>
    <w:rsid w:val="40B530C4"/>
    <w:rsid w:val="40D52048"/>
    <w:rsid w:val="40F33877"/>
    <w:rsid w:val="40F956A6"/>
    <w:rsid w:val="41043009"/>
    <w:rsid w:val="41320BB8"/>
    <w:rsid w:val="41E9571B"/>
    <w:rsid w:val="421D53C4"/>
    <w:rsid w:val="4258464E"/>
    <w:rsid w:val="425863FC"/>
    <w:rsid w:val="42B75819"/>
    <w:rsid w:val="42BA70B7"/>
    <w:rsid w:val="42F00D2B"/>
    <w:rsid w:val="430D368B"/>
    <w:rsid w:val="43662FA4"/>
    <w:rsid w:val="43860D47"/>
    <w:rsid w:val="43882D11"/>
    <w:rsid w:val="43B9111D"/>
    <w:rsid w:val="43D1290A"/>
    <w:rsid w:val="43F03E56"/>
    <w:rsid w:val="43F6411F"/>
    <w:rsid w:val="440D2025"/>
    <w:rsid w:val="44207E0E"/>
    <w:rsid w:val="44316C9F"/>
    <w:rsid w:val="44701859"/>
    <w:rsid w:val="44BC4DD3"/>
    <w:rsid w:val="44C50125"/>
    <w:rsid w:val="44D41900"/>
    <w:rsid w:val="44DF6E38"/>
    <w:rsid w:val="44DF74EB"/>
    <w:rsid w:val="44E64193"/>
    <w:rsid w:val="44F51BD1"/>
    <w:rsid w:val="450B59A8"/>
    <w:rsid w:val="455455A1"/>
    <w:rsid w:val="45561319"/>
    <w:rsid w:val="456826CA"/>
    <w:rsid w:val="45BB5620"/>
    <w:rsid w:val="45C51FFB"/>
    <w:rsid w:val="45C83899"/>
    <w:rsid w:val="45CD0EAF"/>
    <w:rsid w:val="45CD7101"/>
    <w:rsid w:val="4650424D"/>
    <w:rsid w:val="46780545"/>
    <w:rsid w:val="46C04255"/>
    <w:rsid w:val="46D74504"/>
    <w:rsid w:val="470152B5"/>
    <w:rsid w:val="471C7AE0"/>
    <w:rsid w:val="47451645"/>
    <w:rsid w:val="47685334"/>
    <w:rsid w:val="476A10AC"/>
    <w:rsid w:val="47B642F1"/>
    <w:rsid w:val="47F70466"/>
    <w:rsid w:val="481D7ECC"/>
    <w:rsid w:val="482A4397"/>
    <w:rsid w:val="482C6361"/>
    <w:rsid w:val="482D19C9"/>
    <w:rsid w:val="482E032B"/>
    <w:rsid w:val="48345216"/>
    <w:rsid w:val="48355EC6"/>
    <w:rsid w:val="483D056E"/>
    <w:rsid w:val="48541414"/>
    <w:rsid w:val="485E04E5"/>
    <w:rsid w:val="486378A9"/>
    <w:rsid w:val="486908F2"/>
    <w:rsid w:val="492359B6"/>
    <w:rsid w:val="492434DC"/>
    <w:rsid w:val="49325BF9"/>
    <w:rsid w:val="4989333F"/>
    <w:rsid w:val="49E63B8C"/>
    <w:rsid w:val="4A3A6AD6"/>
    <w:rsid w:val="4A3E412A"/>
    <w:rsid w:val="4A4C4A99"/>
    <w:rsid w:val="4A5D6CA6"/>
    <w:rsid w:val="4A7B537E"/>
    <w:rsid w:val="4AC5484B"/>
    <w:rsid w:val="4AD131F0"/>
    <w:rsid w:val="4AF64A04"/>
    <w:rsid w:val="4B0709C0"/>
    <w:rsid w:val="4B1706C2"/>
    <w:rsid w:val="4B374E90"/>
    <w:rsid w:val="4B5005B9"/>
    <w:rsid w:val="4B5700E4"/>
    <w:rsid w:val="4B5F25AA"/>
    <w:rsid w:val="4B991F60"/>
    <w:rsid w:val="4BBF1EF3"/>
    <w:rsid w:val="4C1B2975"/>
    <w:rsid w:val="4C3457E4"/>
    <w:rsid w:val="4C762224"/>
    <w:rsid w:val="4CE03BBE"/>
    <w:rsid w:val="4D1B1945"/>
    <w:rsid w:val="4D2373BA"/>
    <w:rsid w:val="4D673998"/>
    <w:rsid w:val="4D73233C"/>
    <w:rsid w:val="4D7E765F"/>
    <w:rsid w:val="4D827EB9"/>
    <w:rsid w:val="4D9662FF"/>
    <w:rsid w:val="4E045E55"/>
    <w:rsid w:val="4E52289A"/>
    <w:rsid w:val="4EC07803"/>
    <w:rsid w:val="4ECC61A8"/>
    <w:rsid w:val="4EE86E84"/>
    <w:rsid w:val="4EF61477"/>
    <w:rsid w:val="4F1E0688"/>
    <w:rsid w:val="4F4B3D3E"/>
    <w:rsid w:val="4F7A5C04"/>
    <w:rsid w:val="4F9D18F3"/>
    <w:rsid w:val="4FB235F0"/>
    <w:rsid w:val="4FB56C3C"/>
    <w:rsid w:val="4FC2067F"/>
    <w:rsid w:val="4FDA48F5"/>
    <w:rsid w:val="4FE31FFC"/>
    <w:rsid w:val="4FEB6B02"/>
    <w:rsid w:val="50175B49"/>
    <w:rsid w:val="50412BC6"/>
    <w:rsid w:val="50B41558"/>
    <w:rsid w:val="51581F75"/>
    <w:rsid w:val="516A7EFA"/>
    <w:rsid w:val="51750D79"/>
    <w:rsid w:val="517D3175"/>
    <w:rsid w:val="519A07DF"/>
    <w:rsid w:val="51C846F3"/>
    <w:rsid w:val="51D174B1"/>
    <w:rsid w:val="51DC2BA6"/>
    <w:rsid w:val="522B58DB"/>
    <w:rsid w:val="524B3888"/>
    <w:rsid w:val="52742DDF"/>
    <w:rsid w:val="527F631B"/>
    <w:rsid w:val="5283316D"/>
    <w:rsid w:val="528943B0"/>
    <w:rsid w:val="52AA6A41"/>
    <w:rsid w:val="52D910E5"/>
    <w:rsid w:val="52DB0D18"/>
    <w:rsid w:val="52F65BC8"/>
    <w:rsid w:val="53193986"/>
    <w:rsid w:val="534A1D91"/>
    <w:rsid w:val="538C4158"/>
    <w:rsid w:val="53EC4BF7"/>
    <w:rsid w:val="53F35F85"/>
    <w:rsid w:val="54065CB8"/>
    <w:rsid w:val="541D7610"/>
    <w:rsid w:val="542425E2"/>
    <w:rsid w:val="543547EF"/>
    <w:rsid w:val="546D21DB"/>
    <w:rsid w:val="549459BA"/>
    <w:rsid w:val="549B3399"/>
    <w:rsid w:val="54B61B71"/>
    <w:rsid w:val="54DB0444"/>
    <w:rsid w:val="550348EE"/>
    <w:rsid w:val="5503669C"/>
    <w:rsid w:val="55197C6D"/>
    <w:rsid w:val="55256612"/>
    <w:rsid w:val="552B25EE"/>
    <w:rsid w:val="55525C11"/>
    <w:rsid w:val="556C4241"/>
    <w:rsid w:val="55986DE4"/>
    <w:rsid w:val="55B81234"/>
    <w:rsid w:val="55CF47D0"/>
    <w:rsid w:val="55CF5EF1"/>
    <w:rsid w:val="5622559B"/>
    <w:rsid w:val="562875A6"/>
    <w:rsid w:val="563C00B7"/>
    <w:rsid w:val="56462CE4"/>
    <w:rsid w:val="56CD6F61"/>
    <w:rsid w:val="56FE35BF"/>
    <w:rsid w:val="57081D47"/>
    <w:rsid w:val="57193F55"/>
    <w:rsid w:val="571C57F3"/>
    <w:rsid w:val="57200B83"/>
    <w:rsid w:val="57555DE6"/>
    <w:rsid w:val="57711FE2"/>
    <w:rsid w:val="577B43D3"/>
    <w:rsid w:val="57B123DF"/>
    <w:rsid w:val="57B74395"/>
    <w:rsid w:val="57B95737"/>
    <w:rsid w:val="57C87729"/>
    <w:rsid w:val="57E427B4"/>
    <w:rsid w:val="57F535F0"/>
    <w:rsid w:val="58101160"/>
    <w:rsid w:val="58663728"/>
    <w:rsid w:val="58B27195"/>
    <w:rsid w:val="58E40592"/>
    <w:rsid w:val="58FC1D80"/>
    <w:rsid w:val="594D25DB"/>
    <w:rsid w:val="596811C3"/>
    <w:rsid w:val="598A113A"/>
    <w:rsid w:val="59D6437F"/>
    <w:rsid w:val="59E06FAB"/>
    <w:rsid w:val="59E36A9C"/>
    <w:rsid w:val="59FD5DAF"/>
    <w:rsid w:val="5A4C6CD8"/>
    <w:rsid w:val="5A4E03B9"/>
    <w:rsid w:val="5A58296B"/>
    <w:rsid w:val="5A5D23AA"/>
    <w:rsid w:val="5A7823A2"/>
    <w:rsid w:val="5AD56B5A"/>
    <w:rsid w:val="5B2F1F99"/>
    <w:rsid w:val="5B555777"/>
    <w:rsid w:val="5B597015"/>
    <w:rsid w:val="5BA364E3"/>
    <w:rsid w:val="5BBB1A7E"/>
    <w:rsid w:val="5BC22E0D"/>
    <w:rsid w:val="5BD20B76"/>
    <w:rsid w:val="5BE977B3"/>
    <w:rsid w:val="5BF15A06"/>
    <w:rsid w:val="5BF25068"/>
    <w:rsid w:val="5C030AA8"/>
    <w:rsid w:val="5C084598"/>
    <w:rsid w:val="5C090F2F"/>
    <w:rsid w:val="5C693288"/>
    <w:rsid w:val="5C6E4DC9"/>
    <w:rsid w:val="5CA50038"/>
    <w:rsid w:val="5CB94A17"/>
    <w:rsid w:val="5CFF3BED"/>
    <w:rsid w:val="5D221689"/>
    <w:rsid w:val="5D414205"/>
    <w:rsid w:val="5D50269A"/>
    <w:rsid w:val="5D7E1EC0"/>
    <w:rsid w:val="5DA87DE0"/>
    <w:rsid w:val="5DFE5C52"/>
    <w:rsid w:val="5E4919D3"/>
    <w:rsid w:val="5E7E119F"/>
    <w:rsid w:val="5EB32EE1"/>
    <w:rsid w:val="5EE96902"/>
    <w:rsid w:val="5EFF6126"/>
    <w:rsid w:val="5F092B01"/>
    <w:rsid w:val="5F1A4D0E"/>
    <w:rsid w:val="5F323AA6"/>
    <w:rsid w:val="5F4E6765"/>
    <w:rsid w:val="5F7C1524"/>
    <w:rsid w:val="5F9C5723"/>
    <w:rsid w:val="5FAF18FA"/>
    <w:rsid w:val="600532C8"/>
    <w:rsid w:val="6036191B"/>
    <w:rsid w:val="6040150D"/>
    <w:rsid w:val="60477D84"/>
    <w:rsid w:val="606E3563"/>
    <w:rsid w:val="609603C4"/>
    <w:rsid w:val="60A96349"/>
    <w:rsid w:val="60F82E2D"/>
    <w:rsid w:val="60FD48E7"/>
    <w:rsid w:val="61001CE1"/>
    <w:rsid w:val="6118527D"/>
    <w:rsid w:val="612F6320"/>
    <w:rsid w:val="61734BA9"/>
    <w:rsid w:val="61AD3C17"/>
    <w:rsid w:val="61B45646"/>
    <w:rsid w:val="61EE40B9"/>
    <w:rsid w:val="62214205"/>
    <w:rsid w:val="623F6839"/>
    <w:rsid w:val="627E7362"/>
    <w:rsid w:val="62B15989"/>
    <w:rsid w:val="62E3561A"/>
    <w:rsid w:val="62E52BF0"/>
    <w:rsid w:val="630006BE"/>
    <w:rsid w:val="63500CFE"/>
    <w:rsid w:val="63A4104A"/>
    <w:rsid w:val="63BA261B"/>
    <w:rsid w:val="63BC2837"/>
    <w:rsid w:val="63C16BEA"/>
    <w:rsid w:val="63DC4C88"/>
    <w:rsid w:val="642E107D"/>
    <w:rsid w:val="642F1B54"/>
    <w:rsid w:val="645C1924"/>
    <w:rsid w:val="6477675E"/>
    <w:rsid w:val="6490560B"/>
    <w:rsid w:val="64942E6C"/>
    <w:rsid w:val="64EA33D4"/>
    <w:rsid w:val="64FC57C2"/>
    <w:rsid w:val="651B7271"/>
    <w:rsid w:val="655960A7"/>
    <w:rsid w:val="657C2D0E"/>
    <w:rsid w:val="659417A4"/>
    <w:rsid w:val="659D726C"/>
    <w:rsid w:val="65B37C6A"/>
    <w:rsid w:val="65C94540"/>
    <w:rsid w:val="65F8742B"/>
    <w:rsid w:val="65FF2424"/>
    <w:rsid w:val="664D59C9"/>
    <w:rsid w:val="6663130C"/>
    <w:rsid w:val="668F6040"/>
    <w:rsid w:val="66B028AC"/>
    <w:rsid w:val="66B73179"/>
    <w:rsid w:val="66C11F13"/>
    <w:rsid w:val="66D103A8"/>
    <w:rsid w:val="66EF082E"/>
    <w:rsid w:val="66F67E0E"/>
    <w:rsid w:val="674F5770"/>
    <w:rsid w:val="677953F6"/>
    <w:rsid w:val="6784541A"/>
    <w:rsid w:val="67CA4DF7"/>
    <w:rsid w:val="67F500C6"/>
    <w:rsid w:val="6804655B"/>
    <w:rsid w:val="68250567"/>
    <w:rsid w:val="688D47A2"/>
    <w:rsid w:val="68AA5354"/>
    <w:rsid w:val="68AB69D7"/>
    <w:rsid w:val="68E1689C"/>
    <w:rsid w:val="690D7691"/>
    <w:rsid w:val="691B3B5C"/>
    <w:rsid w:val="69205616"/>
    <w:rsid w:val="69231D99"/>
    <w:rsid w:val="69531548"/>
    <w:rsid w:val="697B45FB"/>
    <w:rsid w:val="6981521F"/>
    <w:rsid w:val="6996429D"/>
    <w:rsid w:val="69A51678"/>
    <w:rsid w:val="6A541451"/>
    <w:rsid w:val="6A8C11F2"/>
    <w:rsid w:val="6AAB7162"/>
    <w:rsid w:val="6ADE12E5"/>
    <w:rsid w:val="6B431148"/>
    <w:rsid w:val="6B6F018F"/>
    <w:rsid w:val="6BA73DCD"/>
    <w:rsid w:val="6BF3491C"/>
    <w:rsid w:val="6C032AC5"/>
    <w:rsid w:val="6C2E180A"/>
    <w:rsid w:val="6C3F4E4E"/>
    <w:rsid w:val="6C560CAF"/>
    <w:rsid w:val="6C5D26DE"/>
    <w:rsid w:val="6CB30550"/>
    <w:rsid w:val="6CB57E24"/>
    <w:rsid w:val="6CBF6EF4"/>
    <w:rsid w:val="6D095228"/>
    <w:rsid w:val="6D1D48B7"/>
    <w:rsid w:val="6D4425D2"/>
    <w:rsid w:val="6D920165"/>
    <w:rsid w:val="6D9D5488"/>
    <w:rsid w:val="6DDB33BB"/>
    <w:rsid w:val="6E1F2C65"/>
    <w:rsid w:val="6E9C573F"/>
    <w:rsid w:val="6EE844E0"/>
    <w:rsid w:val="6EFC61DE"/>
    <w:rsid w:val="6F0D2199"/>
    <w:rsid w:val="6FF46EB5"/>
    <w:rsid w:val="6FFD045F"/>
    <w:rsid w:val="701B6B38"/>
    <w:rsid w:val="702C664F"/>
    <w:rsid w:val="704240C4"/>
    <w:rsid w:val="70721977"/>
    <w:rsid w:val="708B5A6B"/>
    <w:rsid w:val="708F2650"/>
    <w:rsid w:val="70B14DA6"/>
    <w:rsid w:val="70C66AA3"/>
    <w:rsid w:val="70D958BC"/>
    <w:rsid w:val="713A08A9"/>
    <w:rsid w:val="71866233"/>
    <w:rsid w:val="71A010A2"/>
    <w:rsid w:val="71B96608"/>
    <w:rsid w:val="71C34D91"/>
    <w:rsid w:val="71E929E5"/>
    <w:rsid w:val="72231CD3"/>
    <w:rsid w:val="7229553C"/>
    <w:rsid w:val="722A12B4"/>
    <w:rsid w:val="7235379B"/>
    <w:rsid w:val="723D2D95"/>
    <w:rsid w:val="72402057"/>
    <w:rsid w:val="72451C4A"/>
    <w:rsid w:val="724A3704"/>
    <w:rsid w:val="727A2DEB"/>
    <w:rsid w:val="72AE77EF"/>
    <w:rsid w:val="72B1108D"/>
    <w:rsid w:val="7346211D"/>
    <w:rsid w:val="73614861"/>
    <w:rsid w:val="737A5923"/>
    <w:rsid w:val="7393283D"/>
    <w:rsid w:val="73B88F80"/>
    <w:rsid w:val="73C03C7E"/>
    <w:rsid w:val="73D86C91"/>
    <w:rsid w:val="73EF00BF"/>
    <w:rsid w:val="741E09A4"/>
    <w:rsid w:val="74212243"/>
    <w:rsid w:val="749649DF"/>
    <w:rsid w:val="749857BF"/>
    <w:rsid w:val="74AB0A44"/>
    <w:rsid w:val="74AD776E"/>
    <w:rsid w:val="74C652C4"/>
    <w:rsid w:val="74C94E19"/>
    <w:rsid w:val="75054F76"/>
    <w:rsid w:val="759251A6"/>
    <w:rsid w:val="760D6F22"/>
    <w:rsid w:val="76263B40"/>
    <w:rsid w:val="76937428"/>
    <w:rsid w:val="769431A0"/>
    <w:rsid w:val="769A6A08"/>
    <w:rsid w:val="76C16F73"/>
    <w:rsid w:val="76DD69CC"/>
    <w:rsid w:val="76E01F41"/>
    <w:rsid w:val="77093B3E"/>
    <w:rsid w:val="772047AB"/>
    <w:rsid w:val="77A318EC"/>
    <w:rsid w:val="77E15F71"/>
    <w:rsid w:val="78025A15"/>
    <w:rsid w:val="78767001"/>
    <w:rsid w:val="787A073D"/>
    <w:rsid w:val="789254BD"/>
    <w:rsid w:val="78947487"/>
    <w:rsid w:val="78CD4747"/>
    <w:rsid w:val="78DE6954"/>
    <w:rsid w:val="78E04567"/>
    <w:rsid w:val="790A14F7"/>
    <w:rsid w:val="791D56CF"/>
    <w:rsid w:val="7931117A"/>
    <w:rsid w:val="793D7B1F"/>
    <w:rsid w:val="798C1249"/>
    <w:rsid w:val="7A0643B5"/>
    <w:rsid w:val="7A4078C7"/>
    <w:rsid w:val="7A523156"/>
    <w:rsid w:val="7A85352B"/>
    <w:rsid w:val="7A8C43C6"/>
    <w:rsid w:val="7AA2698F"/>
    <w:rsid w:val="7AAC0AB8"/>
    <w:rsid w:val="7AAD65DE"/>
    <w:rsid w:val="7AE00762"/>
    <w:rsid w:val="7AFB3B2F"/>
    <w:rsid w:val="7B783090"/>
    <w:rsid w:val="7B9F686F"/>
    <w:rsid w:val="7BAE6AB2"/>
    <w:rsid w:val="7BB340C8"/>
    <w:rsid w:val="7BE25154"/>
    <w:rsid w:val="7BE7708B"/>
    <w:rsid w:val="7BF73FB5"/>
    <w:rsid w:val="7C1032C9"/>
    <w:rsid w:val="7C350F81"/>
    <w:rsid w:val="7C43369E"/>
    <w:rsid w:val="7C572CA5"/>
    <w:rsid w:val="7C851F6D"/>
    <w:rsid w:val="7CB974BC"/>
    <w:rsid w:val="7D4C20DE"/>
    <w:rsid w:val="7D503278"/>
    <w:rsid w:val="7D6A5E50"/>
    <w:rsid w:val="7D8C6BBD"/>
    <w:rsid w:val="7DA57DB2"/>
    <w:rsid w:val="7DA963CF"/>
    <w:rsid w:val="7DD16A88"/>
    <w:rsid w:val="7DFA7D8C"/>
    <w:rsid w:val="7E1A3F8B"/>
    <w:rsid w:val="7EB02B41"/>
    <w:rsid w:val="7F8E2E82"/>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62"/>
    <w:qFormat/>
    <w:uiPriority w:val="9"/>
    <w:pPr>
      <w:keepNext/>
      <w:widowControl/>
      <w:spacing w:before="340" w:after="330" w:line="576" w:lineRule="auto"/>
    </w:pPr>
    <w:rPr>
      <w:rFonts w:ascii="???" w:hAnsi="???" w:eastAsia="宋体" w:cs="Arial"/>
      <w:color w:val="020000"/>
      <w:kern w:val="36"/>
      <w:sz w:val="44"/>
      <w:szCs w:val="44"/>
    </w:rPr>
  </w:style>
  <w:style w:type="paragraph" w:styleId="5">
    <w:name w:val="heading 2"/>
    <w:basedOn w:val="1"/>
    <w:next w:val="1"/>
    <w:link w:val="61"/>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6">
    <w:name w:val="heading 3"/>
    <w:basedOn w:val="1"/>
    <w:link w:val="63"/>
    <w:qFormat/>
    <w:uiPriority w:val="0"/>
    <w:pPr>
      <w:keepNext/>
      <w:widowControl/>
      <w:spacing w:before="260" w:after="260" w:line="412" w:lineRule="auto"/>
      <w:outlineLvl w:val="2"/>
    </w:pPr>
    <w:rPr>
      <w:rFonts w:ascii="??" w:hAnsi="??" w:eastAsia="宋体" w:cs="Arial"/>
      <w:b/>
      <w:bCs/>
      <w:color w:val="000000"/>
      <w:kern w:val="0"/>
      <w:sz w:val="32"/>
      <w:szCs w:val="32"/>
    </w:rPr>
  </w:style>
  <w:style w:type="paragraph" w:styleId="7">
    <w:name w:val="heading 4"/>
    <w:basedOn w:val="1"/>
    <w:next w:val="1"/>
    <w:unhideWhenUsed/>
    <w:qFormat/>
    <w:uiPriority w:val="0"/>
    <w:pPr>
      <w:keepNext/>
      <w:keepLines/>
      <w:spacing w:before="280" w:after="290" w:line="377" w:lineRule="auto"/>
      <w:outlineLvl w:val="3"/>
    </w:pPr>
    <w:rPr>
      <w:rFonts w:asciiTheme="majorHAnsi" w:hAnsiTheme="majorHAnsi" w:eastAsiaTheme="majorEastAsia" w:cstheme="majorBidi"/>
      <w:b/>
      <w:bCs/>
      <w:szCs w:val="28"/>
    </w:rPr>
  </w:style>
  <w:style w:type="paragraph" w:styleId="8">
    <w:name w:val="heading 5"/>
    <w:basedOn w:val="1"/>
    <w:next w:val="1"/>
    <w:link w:val="220"/>
    <w:unhideWhenUsed/>
    <w:qFormat/>
    <w:uiPriority w:val="0"/>
    <w:pPr>
      <w:keepNext/>
      <w:keepLines/>
      <w:spacing w:before="280" w:after="290" w:line="376" w:lineRule="auto"/>
      <w:outlineLvl w:val="4"/>
    </w:pPr>
    <w:rPr>
      <w:b/>
      <w:bCs/>
      <w:sz w:val="28"/>
      <w:szCs w:val="28"/>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223"/>
    <w:qFormat/>
    <w:uiPriority w:val="0"/>
    <w:pPr>
      <w:autoSpaceDE w:val="0"/>
      <w:autoSpaceDN w:val="0"/>
      <w:adjustRightInd w:val="0"/>
      <w:spacing w:line="360" w:lineRule="auto"/>
      <w:ind w:firstLine="420" w:firstLineChars="200"/>
    </w:pPr>
    <w:rPr>
      <w:rFonts w:ascii="Arial" w:hAnsi="Arial"/>
      <w:sz w:val="20"/>
      <w:szCs w:val="21"/>
    </w:rPr>
  </w:style>
  <w:style w:type="paragraph" w:styleId="3">
    <w:name w:val="Body Text"/>
    <w:basedOn w:val="1"/>
    <w:next w:val="2"/>
    <w:link w:val="135"/>
    <w:qFormat/>
    <w:uiPriority w:val="99"/>
    <w:pPr>
      <w:spacing w:after="120"/>
    </w:pPr>
    <w:rPr>
      <w:rFonts w:ascii="Calibri" w:hAnsi="Calibri" w:eastAsia="宋体" w:cs="Times New Roman"/>
      <w:kern w:val="0"/>
      <w:sz w:val="24"/>
      <w:szCs w:val="20"/>
    </w:rPr>
  </w:style>
  <w:style w:type="paragraph" w:styleId="9">
    <w:name w:val="toc 7"/>
    <w:basedOn w:val="1"/>
    <w:next w:val="1"/>
    <w:qFormat/>
    <w:uiPriority w:val="0"/>
    <w:pPr>
      <w:ind w:left="2520" w:leftChars="1200"/>
    </w:pPr>
    <w:rPr>
      <w:rFonts w:ascii="Times New Roman" w:hAnsi="Times New Roman" w:eastAsia="宋体" w:cs="Times New Roman"/>
      <w:szCs w:val="24"/>
    </w:rPr>
  </w:style>
  <w:style w:type="paragraph" w:styleId="10">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Normal Indent"/>
    <w:basedOn w:val="1"/>
    <w:next w:val="1"/>
    <w:link w:val="114"/>
    <w:qFormat/>
    <w:uiPriority w:val="0"/>
    <w:pPr>
      <w:ind w:firstLine="420" w:firstLineChars="200"/>
    </w:pPr>
    <w:rPr>
      <w:rFonts w:ascii="Times New Roman" w:hAnsi="Times New Roman" w:eastAsia="宋体" w:cs="Times New Roman"/>
      <w:kern w:val="0"/>
      <w:sz w:val="24"/>
      <w:szCs w:val="20"/>
    </w:rPr>
  </w:style>
  <w:style w:type="paragraph" w:styleId="12">
    <w:name w:val="Document Map"/>
    <w:basedOn w:val="1"/>
    <w:link w:val="132"/>
    <w:qFormat/>
    <w:uiPriority w:val="0"/>
    <w:rPr>
      <w:rFonts w:ascii="宋体" w:hAnsi="Calibri" w:eastAsia="宋体" w:cs="Times New Roman"/>
      <w:kern w:val="0"/>
      <w:sz w:val="18"/>
      <w:szCs w:val="20"/>
    </w:rPr>
  </w:style>
  <w:style w:type="paragraph" w:styleId="13">
    <w:name w:val="toa heading"/>
    <w:basedOn w:val="1"/>
    <w:next w:val="1"/>
    <w:unhideWhenUsed/>
    <w:qFormat/>
    <w:uiPriority w:val="0"/>
    <w:pPr>
      <w:spacing w:before="120"/>
    </w:pPr>
    <w:rPr>
      <w:rFonts w:ascii="Cambria" w:hAnsi="Cambria" w:eastAsia="宋体" w:cs="Times New Roman"/>
      <w:sz w:val="24"/>
    </w:rPr>
  </w:style>
  <w:style w:type="paragraph" w:styleId="14">
    <w:name w:val="annotation text"/>
    <w:basedOn w:val="1"/>
    <w:link w:val="160"/>
    <w:qFormat/>
    <w:uiPriority w:val="0"/>
    <w:pPr>
      <w:jc w:val="left"/>
    </w:pPr>
  </w:style>
  <w:style w:type="paragraph" w:styleId="15">
    <w:name w:val="Salutation"/>
    <w:basedOn w:val="1"/>
    <w:next w:val="1"/>
    <w:link w:val="221"/>
    <w:qFormat/>
    <w:uiPriority w:val="0"/>
    <w:rPr>
      <w:rFonts w:ascii="宋体" w:hAnsi="Times New Roman" w:eastAsia="宋体" w:cs="Times New Roman"/>
      <w:b/>
      <w:sz w:val="28"/>
      <w:szCs w:val="24"/>
    </w:rPr>
  </w:style>
  <w:style w:type="paragraph" w:styleId="16">
    <w:name w:val="Body Text Indent"/>
    <w:basedOn w:val="1"/>
    <w:link w:val="66"/>
    <w:qFormat/>
    <w:uiPriority w:val="0"/>
    <w:pPr>
      <w:widowControl/>
      <w:spacing w:after="120"/>
      <w:ind w:left="420"/>
    </w:pPr>
    <w:rPr>
      <w:rFonts w:ascii="??" w:hAnsi="??" w:eastAsia="宋体" w:cs="Arial"/>
      <w:kern w:val="0"/>
      <w:sz w:val="24"/>
      <w:szCs w:val="24"/>
    </w:rPr>
  </w:style>
  <w:style w:type="paragraph" w:styleId="17">
    <w:name w:val="toc 5"/>
    <w:basedOn w:val="1"/>
    <w:next w:val="1"/>
    <w:qFormat/>
    <w:uiPriority w:val="0"/>
    <w:pPr>
      <w:ind w:left="1680" w:leftChars="800"/>
    </w:pPr>
    <w:rPr>
      <w:rFonts w:ascii="Times New Roman" w:hAnsi="Times New Roman" w:eastAsia="宋体" w:cs="Times New Roman"/>
      <w:szCs w:val="24"/>
    </w:rPr>
  </w:style>
  <w:style w:type="paragraph" w:styleId="18">
    <w:name w:val="toc 3"/>
    <w:basedOn w:val="1"/>
    <w:next w:val="1"/>
    <w:qFormat/>
    <w:uiPriority w:val="39"/>
    <w:pPr>
      <w:ind w:left="840" w:leftChars="400"/>
    </w:pPr>
    <w:rPr>
      <w:rFonts w:ascii="Times New Roman" w:hAnsi="Times New Roman" w:eastAsia="宋体" w:cs="Times New Roman"/>
      <w:szCs w:val="24"/>
    </w:rPr>
  </w:style>
  <w:style w:type="paragraph" w:styleId="19">
    <w:name w:val="Plain Text"/>
    <w:basedOn w:val="1"/>
    <w:link w:val="198"/>
    <w:qFormat/>
    <w:uiPriority w:val="0"/>
    <w:rPr>
      <w:rFonts w:ascii="宋体" w:hAnsi="Courier New" w:eastAsia="宋体" w:cs="宋体"/>
      <w:szCs w:val="21"/>
    </w:rPr>
  </w:style>
  <w:style w:type="paragraph" w:styleId="20">
    <w:name w:val="toc 8"/>
    <w:basedOn w:val="1"/>
    <w:next w:val="1"/>
    <w:qFormat/>
    <w:uiPriority w:val="0"/>
    <w:pPr>
      <w:ind w:left="2940" w:leftChars="1400"/>
    </w:pPr>
    <w:rPr>
      <w:rFonts w:ascii="Times New Roman" w:hAnsi="Times New Roman" w:eastAsia="宋体" w:cs="Times New Roman"/>
      <w:szCs w:val="24"/>
    </w:rPr>
  </w:style>
  <w:style w:type="paragraph" w:styleId="21">
    <w:name w:val="Date"/>
    <w:basedOn w:val="1"/>
    <w:next w:val="1"/>
    <w:link w:val="155"/>
    <w:qFormat/>
    <w:uiPriority w:val="0"/>
    <w:rPr>
      <w:szCs w:val="21"/>
    </w:rPr>
  </w:style>
  <w:style w:type="paragraph" w:styleId="22">
    <w:name w:val="Body Text Indent 2"/>
    <w:basedOn w:val="1"/>
    <w:link w:val="128"/>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3">
    <w:name w:val="Balloon Text"/>
    <w:basedOn w:val="1"/>
    <w:link w:val="78"/>
    <w:qFormat/>
    <w:uiPriority w:val="0"/>
    <w:rPr>
      <w:rFonts w:ascii="Calibri" w:hAnsi="Calibri" w:eastAsia="宋体" w:cs="Times New Roman"/>
      <w:sz w:val="18"/>
      <w:szCs w:val="18"/>
    </w:rPr>
  </w:style>
  <w:style w:type="paragraph" w:styleId="24">
    <w:name w:val="footer"/>
    <w:basedOn w:val="1"/>
    <w:link w:val="65"/>
    <w:qFormat/>
    <w:uiPriority w:val="99"/>
    <w:pPr>
      <w:tabs>
        <w:tab w:val="center" w:pos="4153"/>
        <w:tab w:val="right" w:pos="8306"/>
      </w:tabs>
      <w:snapToGrid w:val="0"/>
      <w:jc w:val="left"/>
    </w:pPr>
    <w:rPr>
      <w:rFonts w:ascii="Calibri" w:hAnsi="Calibri" w:eastAsia="宋体" w:cs="Times New Roman"/>
      <w:sz w:val="18"/>
      <w:szCs w:val="18"/>
    </w:rPr>
  </w:style>
  <w:style w:type="paragraph" w:styleId="25">
    <w:name w:val="header"/>
    <w:basedOn w:val="1"/>
    <w:link w:val="64"/>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6">
    <w:name w:val="toc 1"/>
    <w:basedOn w:val="1"/>
    <w:next w:val="1"/>
    <w:qFormat/>
    <w:uiPriority w:val="39"/>
    <w:rPr>
      <w:rFonts w:ascii="Times New Roman" w:hAnsi="Times New Roman" w:eastAsia="宋体" w:cs="Times New Roman"/>
      <w:szCs w:val="24"/>
    </w:rPr>
  </w:style>
  <w:style w:type="paragraph" w:styleId="27">
    <w:name w:val="toc 4"/>
    <w:basedOn w:val="1"/>
    <w:next w:val="1"/>
    <w:qFormat/>
    <w:uiPriority w:val="0"/>
    <w:pPr>
      <w:ind w:left="1260" w:leftChars="600"/>
    </w:pPr>
    <w:rPr>
      <w:rFonts w:ascii="Times New Roman" w:hAnsi="Times New Roman" w:eastAsia="宋体" w:cs="Times New Roman"/>
      <w:szCs w:val="24"/>
    </w:rPr>
  </w:style>
  <w:style w:type="paragraph" w:styleId="28">
    <w:name w:val="Subtitle"/>
    <w:basedOn w:val="1"/>
    <w:next w:val="1"/>
    <w:link w:val="222"/>
    <w:qFormat/>
    <w:uiPriority w:val="11"/>
    <w:pPr>
      <w:spacing w:before="240" w:after="60" w:line="312" w:lineRule="auto"/>
      <w:jc w:val="center"/>
      <w:outlineLvl w:val="1"/>
    </w:pPr>
    <w:rPr>
      <w:rFonts w:ascii="Cambria" w:hAnsi="Cambria" w:eastAsia="仿宋" w:cs="Times New Roman"/>
      <w:b/>
      <w:bCs/>
      <w:kern w:val="28"/>
      <w:sz w:val="32"/>
      <w:szCs w:val="32"/>
    </w:rPr>
  </w:style>
  <w:style w:type="paragraph" w:styleId="29">
    <w:name w:val="footnote text"/>
    <w:basedOn w:val="1"/>
    <w:link w:val="172"/>
    <w:qFormat/>
    <w:uiPriority w:val="0"/>
    <w:pPr>
      <w:snapToGrid w:val="0"/>
      <w:jc w:val="left"/>
    </w:pPr>
    <w:rPr>
      <w:rFonts w:ascii="Times New Roman" w:hAnsi="Times New Roman" w:eastAsia="宋体" w:cs="Times New Roman"/>
      <w:sz w:val="18"/>
      <w:szCs w:val="18"/>
    </w:rPr>
  </w:style>
  <w:style w:type="paragraph" w:styleId="30">
    <w:name w:val="toc 6"/>
    <w:basedOn w:val="1"/>
    <w:next w:val="1"/>
    <w:qFormat/>
    <w:uiPriority w:val="0"/>
    <w:pPr>
      <w:ind w:left="2100" w:leftChars="1000"/>
    </w:pPr>
    <w:rPr>
      <w:rFonts w:ascii="Times New Roman" w:hAnsi="Times New Roman" w:eastAsia="宋体" w:cs="Times New Roman"/>
      <w:szCs w:val="24"/>
    </w:rPr>
  </w:style>
  <w:style w:type="paragraph" w:styleId="31">
    <w:name w:val="Body Text Indent 3"/>
    <w:basedOn w:val="1"/>
    <w:link w:val="130"/>
    <w:qFormat/>
    <w:uiPriority w:val="99"/>
    <w:pPr>
      <w:spacing w:line="440" w:lineRule="exact"/>
      <w:ind w:firstLine="412" w:firstLineChars="200"/>
    </w:pPr>
    <w:rPr>
      <w:rFonts w:ascii="宋体" w:hAnsi="Calibri" w:eastAsia="宋体" w:cs="Times New Roman"/>
      <w:kern w:val="0"/>
      <w:sz w:val="20"/>
      <w:szCs w:val="20"/>
    </w:rPr>
  </w:style>
  <w:style w:type="paragraph" w:styleId="32">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3">
    <w:name w:val="toc 2"/>
    <w:basedOn w:val="1"/>
    <w:next w:val="1"/>
    <w:qFormat/>
    <w:uiPriority w:val="39"/>
    <w:pPr>
      <w:ind w:left="420" w:leftChars="200"/>
    </w:pPr>
    <w:rPr>
      <w:rFonts w:ascii="Times New Roman" w:hAnsi="Times New Roman" w:eastAsia="宋体" w:cs="Times New Roman"/>
      <w:szCs w:val="24"/>
    </w:rPr>
  </w:style>
  <w:style w:type="paragraph" w:styleId="34">
    <w:name w:val="toc 9"/>
    <w:basedOn w:val="1"/>
    <w:next w:val="1"/>
    <w:qFormat/>
    <w:uiPriority w:val="0"/>
    <w:pPr>
      <w:ind w:left="3360" w:leftChars="1600"/>
    </w:pPr>
    <w:rPr>
      <w:rFonts w:ascii="Times New Roman" w:hAnsi="Times New Roman" w:eastAsia="宋体" w:cs="Times New Roman"/>
      <w:szCs w:val="24"/>
    </w:rPr>
  </w:style>
  <w:style w:type="paragraph" w:styleId="35">
    <w:name w:val="Body Text 2"/>
    <w:basedOn w:val="1"/>
    <w:link w:val="205"/>
    <w:unhideWhenUsed/>
    <w:qFormat/>
    <w:uiPriority w:val="99"/>
    <w:pPr>
      <w:spacing w:after="120" w:line="480" w:lineRule="auto"/>
    </w:pPr>
  </w:style>
  <w:style w:type="paragraph" w:styleId="36">
    <w:name w:val="List Continue 2"/>
    <w:basedOn w:val="1"/>
    <w:qFormat/>
    <w:uiPriority w:val="99"/>
    <w:pPr>
      <w:spacing w:after="120"/>
      <w:ind w:left="840" w:leftChars="400"/>
    </w:pPr>
    <w:rPr>
      <w:rFonts w:ascii="Times New Roman" w:hAnsi="Times New Roman" w:eastAsia="宋体" w:cs="Times New Roman"/>
      <w:szCs w:val="24"/>
    </w:rPr>
  </w:style>
  <w:style w:type="paragraph" w:styleId="37">
    <w:name w:val="HTML Preformatted"/>
    <w:basedOn w:val="1"/>
    <w:link w:val="21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kern w:val="0"/>
      <w:sz w:val="28"/>
      <w:szCs w:val="28"/>
    </w:rPr>
  </w:style>
  <w:style w:type="paragraph" w:styleId="38">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9">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40">
    <w:name w:val="Title"/>
    <w:basedOn w:val="1"/>
    <w:next w:val="1"/>
    <w:link w:val="158"/>
    <w:qFormat/>
    <w:uiPriority w:val="0"/>
    <w:pPr>
      <w:spacing w:before="240" w:after="60"/>
      <w:jc w:val="center"/>
      <w:outlineLvl w:val="0"/>
    </w:pPr>
    <w:rPr>
      <w:rFonts w:ascii="Cambria" w:hAnsi="Cambria" w:cs="Times New Roman"/>
      <w:b/>
      <w:bCs/>
      <w:sz w:val="32"/>
      <w:szCs w:val="32"/>
    </w:rPr>
  </w:style>
  <w:style w:type="paragraph" w:styleId="41">
    <w:name w:val="annotation subject"/>
    <w:basedOn w:val="14"/>
    <w:next w:val="14"/>
    <w:link w:val="165"/>
    <w:qFormat/>
    <w:uiPriority w:val="0"/>
    <w:rPr>
      <w:b/>
      <w:bCs/>
    </w:rPr>
  </w:style>
  <w:style w:type="paragraph" w:styleId="42">
    <w:name w:val="Body Text First Indent 2"/>
    <w:basedOn w:val="16"/>
    <w:next w:val="3"/>
    <w:link w:val="202"/>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44">
    <w:name w:val="Table Grid"/>
    <w:basedOn w:val="4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Strong"/>
    <w:basedOn w:val="45"/>
    <w:qFormat/>
    <w:uiPriority w:val="22"/>
    <w:rPr>
      <w:rFonts w:cs="Times New Roman"/>
      <w:b/>
    </w:rPr>
  </w:style>
  <w:style w:type="character" w:styleId="47">
    <w:name w:val="page number"/>
    <w:basedOn w:val="45"/>
    <w:qFormat/>
    <w:uiPriority w:val="0"/>
    <w:rPr>
      <w:rFonts w:cs="Times New Roman"/>
    </w:rPr>
  </w:style>
  <w:style w:type="character" w:styleId="48">
    <w:name w:val="FollowedHyperlink"/>
    <w:basedOn w:val="45"/>
    <w:qFormat/>
    <w:uiPriority w:val="99"/>
    <w:rPr>
      <w:rFonts w:cs="Times New Roman"/>
      <w:color w:val="555555"/>
      <w:u w:val="none"/>
    </w:rPr>
  </w:style>
  <w:style w:type="character" w:styleId="49">
    <w:name w:val="Emphasis"/>
    <w:basedOn w:val="45"/>
    <w:qFormat/>
    <w:uiPriority w:val="0"/>
    <w:rPr>
      <w:rFonts w:cs="Times New Roman"/>
      <w:i/>
    </w:rPr>
  </w:style>
  <w:style w:type="character" w:styleId="50">
    <w:name w:val="HTML Definition"/>
    <w:basedOn w:val="45"/>
    <w:qFormat/>
    <w:uiPriority w:val="99"/>
    <w:rPr>
      <w:rFonts w:cs="Times New Roman"/>
    </w:rPr>
  </w:style>
  <w:style w:type="character" w:styleId="51">
    <w:name w:val="HTML Acronym"/>
    <w:basedOn w:val="45"/>
    <w:qFormat/>
    <w:uiPriority w:val="99"/>
    <w:rPr>
      <w:rFonts w:cs="Times New Roman"/>
    </w:rPr>
  </w:style>
  <w:style w:type="character" w:styleId="52">
    <w:name w:val="HTML Variable"/>
    <w:basedOn w:val="45"/>
    <w:qFormat/>
    <w:uiPriority w:val="99"/>
    <w:rPr>
      <w:rFonts w:cs="Times New Roman"/>
    </w:rPr>
  </w:style>
  <w:style w:type="character" w:styleId="53">
    <w:name w:val="Hyperlink"/>
    <w:basedOn w:val="45"/>
    <w:qFormat/>
    <w:uiPriority w:val="99"/>
    <w:rPr>
      <w:rFonts w:cs="Times New Roman"/>
      <w:color w:val="555555"/>
      <w:u w:val="none"/>
    </w:rPr>
  </w:style>
  <w:style w:type="character" w:styleId="54">
    <w:name w:val="HTML Code"/>
    <w:basedOn w:val="45"/>
    <w:qFormat/>
    <w:uiPriority w:val="99"/>
    <w:rPr>
      <w:rFonts w:ascii="monospace" w:hAnsi="monospace" w:cs="Times New Roman"/>
      <w:sz w:val="24"/>
    </w:rPr>
  </w:style>
  <w:style w:type="character" w:styleId="55">
    <w:name w:val="annotation reference"/>
    <w:qFormat/>
    <w:uiPriority w:val="0"/>
    <w:rPr>
      <w:sz w:val="21"/>
      <w:szCs w:val="21"/>
    </w:rPr>
  </w:style>
  <w:style w:type="character" w:styleId="56">
    <w:name w:val="HTML Cite"/>
    <w:basedOn w:val="45"/>
    <w:qFormat/>
    <w:uiPriority w:val="99"/>
    <w:rPr>
      <w:rFonts w:cs="Times New Roman"/>
    </w:rPr>
  </w:style>
  <w:style w:type="character" w:styleId="57">
    <w:name w:val="footnote reference"/>
    <w:semiHidden/>
    <w:qFormat/>
    <w:uiPriority w:val="0"/>
    <w:rPr>
      <w:vertAlign w:val="superscript"/>
    </w:rPr>
  </w:style>
  <w:style w:type="character" w:styleId="58">
    <w:name w:val="HTML Keyboard"/>
    <w:basedOn w:val="45"/>
    <w:qFormat/>
    <w:uiPriority w:val="99"/>
    <w:rPr>
      <w:rFonts w:ascii="monospace" w:hAnsi="monospace" w:cs="Times New Roman"/>
      <w:sz w:val="24"/>
    </w:rPr>
  </w:style>
  <w:style w:type="character" w:styleId="59">
    <w:name w:val="HTML Sample"/>
    <w:basedOn w:val="45"/>
    <w:qFormat/>
    <w:uiPriority w:val="99"/>
    <w:rPr>
      <w:rFonts w:ascii="monospace" w:hAnsi="monospace" w:cs="Times New Roman"/>
      <w:sz w:val="24"/>
    </w:rPr>
  </w:style>
  <w:style w:type="paragraph" w:customStyle="1" w:styleId="60">
    <w:name w:val="目录 81"/>
    <w:basedOn w:val="1"/>
    <w:next w:val="1"/>
    <w:qFormat/>
    <w:uiPriority w:val="99"/>
    <w:pPr>
      <w:ind w:left="1470"/>
      <w:jc w:val="left"/>
    </w:pPr>
  </w:style>
  <w:style w:type="character" w:customStyle="1" w:styleId="61">
    <w:name w:val="标题 2 Char"/>
    <w:basedOn w:val="45"/>
    <w:link w:val="5"/>
    <w:qFormat/>
    <w:uiPriority w:val="99"/>
    <w:rPr>
      <w:rFonts w:ascii="???" w:hAnsi="???" w:eastAsia="宋体" w:cs="Arial"/>
      <w:b/>
      <w:bCs/>
      <w:color w:val="020000"/>
      <w:kern w:val="0"/>
      <w:sz w:val="32"/>
      <w:szCs w:val="32"/>
    </w:rPr>
  </w:style>
  <w:style w:type="character" w:customStyle="1" w:styleId="62">
    <w:name w:val="标题 1 Char"/>
    <w:basedOn w:val="45"/>
    <w:link w:val="4"/>
    <w:qFormat/>
    <w:uiPriority w:val="9"/>
    <w:rPr>
      <w:rFonts w:ascii="???" w:hAnsi="???" w:eastAsia="宋体" w:cs="Arial"/>
      <w:b/>
      <w:bCs/>
      <w:color w:val="020000"/>
      <w:kern w:val="36"/>
      <w:sz w:val="44"/>
      <w:szCs w:val="44"/>
    </w:rPr>
  </w:style>
  <w:style w:type="character" w:customStyle="1" w:styleId="63">
    <w:name w:val="标题 3 Char"/>
    <w:basedOn w:val="45"/>
    <w:link w:val="6"/>
    <w:qFormat/>
    <w:uiPriority w:val="99"/>
    <w:rPr>
      <w:rFonts w:ascii="??" w:hAnsi="??" w:eastAsia="宋体" w:cs="Arial"/>
      <w:b/>
      <w:bCs/>
      <w:color w:val="000000"/>
      <w:kern w:val="0"/>
      <w:sz w:val="32"/>
      <w:szCs w:val="32"/>
    </w:rPr>
  </w:style>
  <w:style w:type="character" w:customStyle="1" w:styleId="64">
    <w:name w:val="页眉 Char"/>
    <w:basedOn w:val="45"/>
    <w:link w:val="25"/>
    <w:qFormat/>
    <w:uiPriority w:val="99"/>
    <w:rPr>
      <w:rFonts w:ascii="Calibri" w:hAnsi="Calibri" w:eastAsia="宋体" w:cs="Times New Roman"/>
      <w:sz w:val="18"/>
      <w:szCs w:val="18"/>
    </w:rPr>
  </w:style>
  <w:style w:type="character" w:customStyle="1" w:styleId="65">
    <w:name w:val="页脚 Char"/>
    <w:basedOn w:val="45"/>
    <w:link w:val="24"/>
    <w:qFormat/>
    <w:uiPriority w:val="99"/>
    <w:rPr>
      <w:rFonts w:ascii="Calibri" w:hAnsi="Calibri" w:eastAsia="宋体" w:cs="Times New Roman"/>
      <w:sz w:val="18"/>
      <w:szCs w:val="18"/>
    </w:rPr>
  </w:style>
  <w:style w:type="character" w:customStyle="1" w:styleId="66">
    <w:name w:val="正文文本缩进 Char"/>
    <w:basedOn w:val="45"/>
    <w:link w:val="16"/>
    <w:qFormat/>
    <w:uiPriority w:val="0"/>
    <w:rPr>
      <w:rFonts w:ascii="??" w:hAnsi="??" w:eastAsia="宋体" w:cs="Arial"/>
      <w:kern w:val="0"/>
      <w:sz w:val="24"/>
      <w:szCs w:val="24"/>
    </w:rPr>
  </w:style>
  <w:style w:type="paragraph" w:customStyle="1" w:styleId="67">
    <w:name w:val="列出段落1"/>
    <w:basedOn w:val="1"/>
    <w:link w:val="208"/>
    <w:qFormat/>
    <w:uiPriority w:val="0"/>
    <w:pPr>
      <w:ind w:firstLine="420" w:firstLineChars="200"/>
    </w:pPr>
    <w:rPr>
      <w:rFonts w:ascii="Calibri" w:hAnsi="Calibri" w:eastAsia="宋体" w:cs="Times New Roman"/>
    </w:rPr>
  </w:style>
  <w:style w:type="character" w:customStyle="1" w:styleId="68">
    <w:name w:val="标题 2 Char Char"/>
    <w:qFormat/>
    <w:uiPriority w:val="99"/>
    <w:rPr>
      <w:rFonts w:ascii="Arial" w:hAnsi="Arial" w:eastAsia="黑体"/>
      <w:b/>
      <w:kern w:val="2"/>
      <w:sz w:val="32"/>
      <w:lang w:val="en-US" w:eastAsia="zh-CN"/>
    </w:rPr>
  </w:style>
  <w:style w:type="character" w:customStyle="1" w:styleId="69">
    <w:name w:val="2charchar"/>
    <w:basedOn w:val="45"/>
    <w:qFormat/>
    <w:uiPriority w:val="99"/>
    <w:rPr>
      <w:rFonts w:cs="Times New Roman"/>
    </w:rPr>
  </w:style>
  <w:style w:type="paragraph" w:customStyle="1" w:styleId="70">
    <w:name w:val="表格文字"/>
    <w:basedOn w:val="1"/>
    <w:qFormat/>
    <w:uiPriority w:val="0"/>
    <w:pPr>
      <w:adjustRightInd w:val="0"/>
      <w:spacing w:line="420" w:lineRule="atLeast"/>
      <w:jc w:val="left"/>
    </w:pPr>
    <w:rPr>
      <w:rFonts w:ascii="Times New Roman" w:hAnsi="Times New Roman" w:eastAsia="宋体" w:cs="Times New Roman"/>
      <w:kern w:val="0"/>
      <w:szCs w:val="20"/>
    </w:rPr>
  </w:style>
  <w:style w:type="paragraph" w:customStyle="1" w:styleId="71">
    <w:name w:val="z-窗体顶端1"/>
    <w:basedOn w:val="1"/>
    <w:next w:val="1"/>
    <w:link w:val="72"/>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2">
    <w:name w:val="z-窗体顶端 Char"/>
    <w:basedOn w:val="45"/>
    <w:link w:val="71"/>
    <w:semiHidden/>
    <w:qFormat/>
    <w:uiPriority w:val="99"/>
    <w:rPr>
      <w:rFonts w:ascii="Arial" w:hAnsi="Arial" w:eastAsia="宋体" w:cs="Arial"/>
      <w:vanish/>
      <w:kern w:val="0"/>
      <w:sz w:val="16"/>
      <w:szCs w:val="16"/>
    </w:rPr>
  </w:style>
  <w:style w:type="paragraph" w:customStyle="1" w:styleId="73">
    <w:name w:val="z-窗体底端1"/>
    <w:basedOn w:val="1"/>
    <w:next w:val="1"/>
    <w:link w:val="74"/>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4">
    <w:name w:val="z-窗体底端 Char"/>
    <w:basedOn w:val="45"/>
    <w:link w:val="73"/>
    <w:semiHidden/>
    <w:qFormat/>
    <w:uiPriority w:val="99"/>
    <w:rPr>
      <w:rFonts w:ascii="Arial" w:hAnsi="Arial" w:eastAsia="宋体" w:cs="Arial"/>
      <w:vanish/>
      <w:kern w:val="0"/>
      <w:sz w:val="16"/>
      <w:szCs w:val="16"/>
    </w:rPr>
  </w:style>
  <w:style w:type="paragraph" w:customStyle="1" w:styleId="75">
    <w:name w:val="hu正文"/>
    <w:basedOn w:val="1"/>
    <w:link w:val="76"/>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6">
    <w:name w:val="hu正文 Char"/>
    <w:link w:val="75"/>
    <w:qFormat/>
    <w:locked/>
    <w:uiPriority w:val="99"/>
    <w:rPr>
      <w:rFonts w:ascii="Times New Roman" w:hAnsi="Times New Roman" w:eastAsia="宋体" w:cs="Times New Roman"/>
      <w:kern w:val="0"/>
      <w:sz w:val="24"/>
      <w:szCs w:val="20"/>
    </w:rPr>
  </w:style>
  <w:style w:type="paragraph" w:customStyle="1" w:styleId="77">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8">
    <w:name w:val="批注框文本 Char"/>
    <w:basedOn w:val="45"/>
    <w:link w:val="23"/>
    <w:qFormat/>
    <w:uiPriority w:val="0"/>
    <w:rPr>
      <w:rFonts w:ascii="Calibri" w:hAnsi="Calibri" w:eastAsia="宋体" w:cs="Times New Roman"/>
      <w:sz w:val="18"/>
      <w:szCs w:val="18"/>
    </w:rPr>
  </w:style>
  <w:style w:type="character" w:customStyle="1" w:styleId="79">
    <w:name w:val="ui-bz-bg-hover1"/>
    <w:basedOn w:val="45"/>
    <w:qFormat/>
    <w:uiPriority w:val="99"/>
    <w:rPr>
      <w:rFonts w:cs="Times New Roman"/>
    </w:rPr>
  </w:style>
  <w:style w:type="character" w:customStyle="1" w:styleId="80">
    <w:name w:val="批注框文本 Char1"/>
    <w:qFormat/>
    <w:uiPriority w:val="99"/>
    <w:rPr>
      <w:rFonts w:ascii="Times New Roman" w:hAnsi="Times New Roman" w:eastAsia="宋体"/>
      <w:sz w:val="18"/>
    </w:rPr>
  </w:style>
  <w:style w:type="character" w:customStyle="1" w:styleId="81">
    <w:name w:val="bds_nopic"/>
    <w:basedOn w:val="45"/>
    <w:qFormat/>
    <w:uiPriority w:val="99"/>
    <w:rPr>
      <w:rFonts w:cs="Times New Roman"/>
    </w:rPr>
  </w:style>
  <w:style w:type="character" w:customStyle="1" w:styleId="82">
    <w:name w:val="tip12"/>
    <w:qFormat/>
    <w:uiPriority w:val="99"/>
    <w:rPr>
      <w:vanish/>
      <w:color w:val="FF0000"/>
      <w:sz w:val="18"/>
    </w:rPr>
  </w:style>
  <w:style w:type="character" w:customStyle="1" w:styleId="83">
    <w:name w:val="Body Text Indent 3 Char"/>
    <w:qFormat/>
    <w:locked/>
    <w:uiPriority w:val="99"/>
    <w:rPr>
      <w:rFonts w:ascii="宋体" w:eastAsia="宋体"/>
    </w:rPr>
  </w:style>
  <w:style w:type="character" w:customStyle="1" w:styleId="84">
    <w:name w:val="HTML Markup"/>
    <w:qFormat/>
    <w:uiPriority w:val="99"/>
    <w:rPr>
      <w:vanish/>
      <w:color w:val="FF0000"/>
    </w:rPr>
  </w:style>
  <w:style w:type="character" w:customStyle="1" w:styleId="85">
    <w:name w:val="tip7"/>
    <w:qFormat/>
    <w:uiPriority w:val="99"/>
    <w:rPr>
      <w:vanish/>
      <w:color w:val="FF0000"/>
      <w:sz w:val="18"/>
    </w:rPr>
  </w:style>
  <w:style w:type="character" w:customStyle="1" w:styleId="86">
    <w:name w:val="f-star"/>
    <w:qFormat/>
    <w:uiPriority w:val="99"/>
    <w:rPr>
      <w:color w:val="999999"/>
      <w:sz w:val="21"/>
    </w:rPr>
  </w:style>
  <w:style w:type="character" w:customStyle="1" w:styleId="87">
    <w:name w:val="Document Map Char1"/>
    <w:qFormat/>
    <w:uiPriority w:val="99"/>
    <w:rPr>
      <w:rFonts w:ascii="Times New Roman" w:hAnsi="Times New Roman"/>
      <w:kern w:val="2"/>
      <w:sz w:val="2"/>
    </w:rPr>
  </w:style>
  <w:style w:type="character" w:customStyle="1" w:styleId="88">
    <w:name w:val="my-class2"/>
    <w:basedOn w:val="45"/>
    <w:qFormat/>
    <w:uiPriority w:val="99"/>
    <w:rPr>
      <w:rFonts w:cs="Times New Roman"/>
    </w:rPr>
  </w:style>
  <w:style w:type="character" w:customStyle="1" w:styleId="89">
    <w:name w:val="no52"/>
    <w:basedOn w:val="45"/>
    <w:qFormat/>
    <w:uiPriority w:val="99"/>
    <w:rPr>
      <w:rFonts w:cs="Times New Roman"/>
    </w:rPr>
  </w:style>
  <w:style w:type="character" w:customStyle="1" w:styleId="90">
    <w:name w:val="no4"/>
    <w:basedOn w:val="45"/>
    <w:qFormat/>
    <w:uiPriority w:val="99"/>
    <w:rPr>
      <w:rFonts w:cs="Times New Roman"/>
    </w:rPr>
  </w:style>
  <w:style w:type="character" w:customStyle="1" w:styleId="91">
    <w:name w:val="my-notice"/>
    <w:basedOn w:val="45"/>
    <w:qFormat/>
    <w:uiPriority w:val="99"/>
    <w:rPr>
      <w:rFonts w:cs="Times New Roman"/>
    </w:rPr>
  </w:style>
  <w:style w:type="character" w:customStyle="1" w:styleId="92">
    <w:name w:val="ico-jiang"/>
    <w:basedOn w:val="45"/>
    <w:qFormat/>
    <w:uiPriority w:val="99"/>
    <w:rPr>
      <w:rFonts w:cs="Times New Roman"/>
    </w:rPr>
  </w:style>
  <w:style w:type="character" w:customStyle="1" w:styleId="93">
    <w:name w:val="ico-jiang2"/>
    <w:basedOn w:val="45"/>
    <w:qFormat/>
    <w:uiPriority w:val="99"/>
    <w:rPr>
      <w:rFonts w:cs="Times New Roman"/>
    </w:rPr>
  </w:style>
  <w:style w:type="character" w:customStyle="1" w:styleId="94">
    <w:name w:val="bds_more1"/>
    <w:qFormat/>
    <w:uiPriority w:val="99"/>
    <w:rPr>
      <w:rFonts w:ascii="宋体" w:hAnsi="宋体" w:eastAsia="宋体"/>
    </w:rPr>
  </w:style>
  <w:style w:type="character" w:customStyle="1" w:styleId="95">
    <w:name w:val="Body Text Indent 2 Char"/>
    <w:qFormat/>
    <w:locked/>
    <w:uiPriority w:val="99"/>
    <w:rPr>
      <w:rFonts w:ascii="宋体" w:eastAsia="宋体"/>
      <w:sz w:val="24"/>
    </w:rPr>
  </w:style>
  <w:style w:type="character" w:customStyle="1" w:styleId="96">
    <w:name w:val="org_name"/>
    <w:basedOn w:val="45"/>
    <w:qFormat/>
    <w:uiPriority w:val="99"/>
    <w:rPr>
      <w:rFonts w:cs="Times New Roman"/>
    </w:rPr>
  </w:style>
  <w:style w:type="character" w:customStyle="1" w:styleId="97">
    <w:name w:val="org_name2"/>
    <w:basedOn w:val="45"/>
    <w:qFormat/>
    <w:uiPriority w:val="99"/>
    <w:rPr>
      <w:rFonts w:cs="Times New Roman"/>
    </w:rPr>
  </w:style>
  <w:style w:type="character" w:customStyle="1" w:styleId="98">
    <w:name w:val="tip10"/>
    <w:qFormat/>
    <w:uiPriority w:val="99"/>
    <w:rPr>
      <w:vanish/>
      <w:color w:val="FF0000"/>
      <w:sz w:val="18"/>
    </w:rPr>
  </w:style>
  <w:style w:type="character" w:customStyle="1" w:styleId="99">
    <w:name w:val="orange"/>
    <w:qFormat/>
    <w:uiPriority w:val="99"/>
    <w:rPr>
      <w:color w:val="3FB58F"/>
    </w:rPr>
  </w:style>
  <w:style w:type="character" w:customStyle="1" w:styleId="100">
    <w:name w:val="bds_more"/>
    <w:basedOn w:val="45"/>
    <w:qFormat/>
    <w:uiPriority w:val="99"/>
    <w:rPr>
      <w:rFonts w:cs="Times New Roman"/>
    </w:rPr>
  </w:style>
  <w:style w:type="character" w:customStyle="1" w:styleId="101">
    <w:name w:val="t-tag"/>
    <w:qFormat/>
    <w:uiPriority w:val="99"/>
    <w:rPr>
      <w:color w:val="FFFFFF"/>
      <w:sz w:val="18"/>
      <w:shd w:val="clear" w:color="auto" w:fill="FE8833"/>
    </w:rPr>
  </w:style>
  <w:style w:type="character" w:customStyle="1" w:styleId="102">
    <w:name w:val="top-icon"/>
    <w:basedOn w:val="45"/>
    <w:qFormat/>
    <w:uiPriority w:val="99"/>
    <w:rPr>
      <w:rFonts w:cs="Times New Roman"/>
    </w:rPr>
  </w:style>
  <w:style w:type="character" w:customStyle="1" w:styleId="103">
    <w:name w:val="Body Text Char"/>
    <w:qFormat/>
    <w:locked/>
    <w:uiPriority w:val="99"/>
    <w:rPr>
      <w:sz w:val="24"/>
    </w:rPr>
  </w:style>
  <w:style w:type="character" w:customStyle="1" w:styleId="104">
    <w:name w:val="no72"/>
    <w:basedOn w:val="45"/>
    <w:qFormat/>
    <w:uiPriority w:val="99"/>
    <w:rPr>
      <w:rFonts w:cs="Times New Roman"/>
    </w:rPr>
  </w:style>
  <w:style w:type="character" w:customStyle="1" w:styleId="105">
    <w:name w:val="bds_nopic2"/>
    <w:basedOn w:val="45"/>
    <w:qFormat/>
    <w:uiPriority w:val="99"/>
    <w:rPr>
      <w:rFonts w:cs="Times New Roman"/>
    </w:rPr>
  </w:style>
  <w:style w:type="character" w:customStyle="1" w:styleId="106">
    <w:name w:val="Document Map Char"/>
    <w:qFormat/>
    <w:uiPriority w:val="99"/>
    <w:rPr>
      <w:rFonts w:ascii="宋体"/>
      <w:sz w:val="18"/>
    </w:rPr>
  </w:style>
  <w:style w:type="character" w:customStyle="1" w:styleId="107">
    <w:name w:val="no6"/>
    <w:basedOn w:val="45"/>
    <w:qFormat/>
    <w:uiPriority w:val="99"/>
    <w:rPr>
      <w:rFonts w:cs="Times New Roman"/>
    </w:rPr>
  </w:style>
  <w:style w:type="character" w:customStyle="1" w:styleId="108">
    <w:name w:val="tip"/>
    <w:qFormat/>
    <w:uiPriority w:val="99"/>
    <w:rPr>
      <w:vanish/>
      <w:color w:val="FF0000"/>
      <w:sz w:val="18"/>
    </w:rPr>
  </w:style>
  <w:style w:type="character" w:customStyle="1" w:styleId="109">
    <w:name w:val="apple-converted-space"/>
    <w:basedOn w:val="45"/>
    <w:qFormat/>
    <w:uiPriority w:val="99"/>
    <w:rPr>
      <w:rFonts w:cs="Times New Roman"/>
    </w:rPr>
  </w:style>
  <w:style w:type="character" w:customStyle="1" w:styleId="110">
    <w:name w:val="bds_more2"/>
    <w:basedOn w:val="45"/>
    <w:qFormat/>
    <w:uiPriority w:val="99"/>
    <w:rPr>
      <w:rFonts w:cs="Times New Roman"/>
    </w:rPr>
  </w:style>
  <w:style w:type="character" w:customStyle="1" w:styleId="111">
    <w:name w:val="my-class"/>
    <w:basedOn w:val="45"/>
    <w:qFormat/>
    <w:uiPriority w:val="99"/>
    <w:rPr>
      <w:rFonts w:cs="Times New Roman"/>
    </w:rPr>
  </w:style>
  <w:style w:type="character" w:customStyle="1" w:styleId="112">
    <w:name w:val="ui-bz-bg-hover"/>
    <w:qFormat/>
    <w:uiPriority w:val="99"/>
    <w:rPr>
      <w:shd w:val="clear" w:color="auto" w:fill="000000"/>
    </w:rPr>
  </w:style>
  <w:style w:type="character" w:customStyle="1" w:styleId="113">
    <w:name w:val="no7"/>
    <w:basedOn w:val="45"/>
    <w:qFormat/>
    <w:uiPriority w:val="99"/>
    <w:rPr>
      <w:rFonts w:cs="Times New Roman"/>
    </w:rPr>
  </w:style>
  <w:style w:type="character" w:customStyle="1" w:styleId="114">
    <w:name w:val="正文缩进 Char"/>
    <w:link w:val="11"/>
    <w:qFormat/>
    <w:locked/>
    <w:uiPriority w:val="0"/>
    <w:rPr>
      <w:rFonts w:ascii="Times New Roman" w:hAnsi="Times New Roman" w:eastAsia="宋体" w:cs="Times New Roman"/>
      <w:kern w:val="0"/>
      <w:sz w:val="24"/>
      <w:szCs w:val="20"/>
    </w:rPr>
  </w:style>
  <w:style w:type="character" w:customStyle="1" w:styleId="115">
    <w:name w:val="ico-jiang1"/>
    <w:basedOn w:val="45"/>
    <w:qFormat/>
    <w:uiPriority w:val="99"/>
    <w:rPr>
      <w:rFonts w:cs="Times New Roman"/>
    </w:rPr>
  </w:style>
  <w:style w:type="character" w:customStyle="1" w:styleId="116">
    <w:name w:val="no62"/>
    <w:basedOn w:val="45"/>
    <w:qFormat/>
    <w:uiPriority w:val="99"/>
    <w:rPr>
      <w:rFonts w:cs="Times New Roman"/>
    </w:rPr>
  </w:style>
  <w:style w:type="character" w:customStyle="1" w:styleId="117">
    <w:name w:val="orange5"/>
    <w:qFormat/>
    <w:uiPriority w:val="99"/>
    <w:rPr>
      <w:color w:val="3FB58F"/>
    </w:rPr>
  </w:style>
  <w:style w:type="character" w:customStyle="1" w:styleId="118">
    <w:name w:val="bds_more4"/>
    <w:basedOn w:val="45"/>
    <w:qFormat/>
    <w:uiPriority w:val="99"/>
    <w:rPr>
      <w:rFonts w:cs="Times New Roman"/>
    </w:rPr>
  </w:style>
  <w:style w:type="character" w:customStyle="1" w:styleId="119">
    <w:name w:val="no5"/>
    <w:basedOn w:val="45"/>
    <w:qFormat/>
    <w:uiPriority w:val="99"/>
    <w:rPr>
      <w:rFonts w:cs="Times New Roman"/>
    </w:rPr>
  </w:style>
  <w:style w:type="character" w:customStyle="1" w:styleId="120">
    <w:name w:val="bds_more3"/>
    <w:basedOn w:val="45"/>
    <w:qFormat/>
    <w:uiPriority w:val="99"/>
    <w:rPr>
      <w:rFonts w:cs="Times New Roman"/>
    </w:rPr>
  </w:style>
  <w:style w:type="character" w:customStyle="1" w:styleId="121">
    <w:name w:val="no42"/>
    <w:basedOn w:val="45"/>
    <w:qFormat/>
    <w:uiPriority w:val="99"/>
    <w:rPr>
      <w:rFonts w:cs="Times New Roman"/>
    </w:rPr>
  </w:style>
  <w:style w:type="character" w:customStyle="1" w:styleId="122">
    <w:name w:val="bds_nopic1"/>
    <w:basedOn w:val="45"/>
    <w:qFormat/>
    <w:uiPriority w:val="99"/>
    <w:rPr>
      <w:rFonts w:cs="Times New Roman"/>
    </w:rPr>
  </w:style>
  <w:style w:type="character" w:customStyle="1" w:styleId="123">
    <w:name w:val="my-notice1"/>
    <w:basedOn w:val="45"/>
    <w:qFormat/>
    <w:uiPriority w:val="99"/>
    <w:rPr>
      <w:rFonts w:cs="Times New Roman"/>
    </w:rPr>
  </w:style>
  <w:style w:type="character" w:customStyle="1" w:styleId="124">
    <w:name w:val="orange6"/>
    <w:qFormat/>
    <w:uiPriority w:val="99"/>
    <w:rPr>
      <w:color w:val="3FB58F"/>
    </w:rPr>
  </w:style>
  <w:style w:type="character" w:customStyle="1" w:styleId="125">
    <w:name w:val="Document Map Char2"/>
    <w:qFormat/>
    <w:locked/>
    <w:uiPriority w:val="99"/>
    <w:rPr>
      <w:rFonts w:ascii="宋体"/>
      <w:sz w:val="18"/>
    </w:rPr>
  </w:style>
  <w:style w:type="character" w:customStyle="1" w:styleId="126">
    <w:name w:val="ico-jiang3"/>
    <w:basedOn w:val="45"/>
    <w:qFormat/>
    <w:uiPriority w:val="99"/>
    <w:rPr>
      <w:rFonts w:cs="Times New Roman"/>
    </w:rPr>
  </w:style>
  <w:style w:type="character" w:customStyle="1" w:styleId="127">
    <w:name w:val="tip13"/>
    <w:qFormat/>
    <w:uiPriority w:val="99"/>
    <w:rPr>
      <w:vanish/>
      <w:color w:val="FF0000"/>
      <w:sz w:val="18"/>
    </w:rPr>
  </w:style>
  <w:style w:type="character" w:customStyle="1" w:styleId="128">
    <w:name w:val="正文文本缩进 2 Char"/>
    <w:basedOn w:val="45"/>
    <w:link w:val="22"/>
    <w:qFormat/>
    <w:uiPriority w:val="99"/>
    <w:rPr>
      <w:rFonts w:ascii="宋体" w:hAnsi="Calibri" w:eastAsia="宋体" w:cs="Times New Roman"/>
      <w:kern w:val="0"/>
      <w:sz w:val="24"/>
      <w:szCs w:val="20"/>
    </w:rPr>
  </w:style>
  <w:style w:type="character" w:customStyle="1" w:styleId="129">
    <w:name w:val="Body Text Indent 2 Char1"/>
    <w:basedOn w:val="45"/>
    <w:semiHidden/>
    <w:qFormat/>
    <w:locked/>
    <w:uiPriority w:val="99"/>
    <w:rPr>
      <w:rFonts w:cs="Times New Roman"/>
    </w:rPr>
  </w:style>
  <w:style w:type="character" w:customStyle="1" w:styleId="130">
    <w:name w:val="正文文本缩进 3 Char"/>
    <w:basedOn w:val="45"/>
    <w:link w:val="31"/>
    <w:qFormat/>
    <w:uiPriority w:val="99"/>
    <w:rPr>
      <w:rFonts w:ascii="宋体" w:hAnsi="Calibri" w:eastAsia="宋体" w:cs="Times New Roman"/>
      <w:kern w:val="0"/>
      <w:sz w:val="20"/>
      <w:szCs w:val="20"/>
    </w:rPr>
  </w:style>
  <w:style w:type="character" w:customStyle="1" w:styleId="131">
    <w:name w:val="Body Text Indent 3 Char1"/>
    <w:basedOn w:val="45"/>
    <w:semiHidden/>
    <w:qFormat/>
    <w:locked/>
    <w:uiPriority w:val="99"/>
    <w:rPr>
      <w:rFonts w:cs="Times New Roman"/>
      <w:sz w:val="16"/>
      <w:szCs w:val="16"/>
    </w:rPr>
  </w:style>
  <w:style w:type="character" w:customStyle="1" w:styleId="132">
    <w:name w:val="文档结构图 Char"/>
    <w:basedOn w:val="45"/>
    <w:link w:val="12"/>
    <w:qFormat/>
    <w:uiPriority w:val="99"/>
    <w:rPr>
      <w:rFonts w:ascii="宋体" w:hAnsi="Calibri" w:eastAsia="宋体" w:cs="Times New Roman"/>
      <w:kern w:val="0"/>
      <w:sz w:val="18"/>
      <w:szCs w:val="20"/>
    </w:rPr>
  </w:style>
  <w:style w:type="character" w:customStyle="1" w:styleId="133">
    <w:name w:val="Document Map Char3"/>
    <w:basedOn w:val="45"/>
    <w:semiHidden/>
    <w:qFormat/>
    <w:locked/>
    <w:uiPriority w:val="99"/>
    <w:rPr>
      <w:rFonts w:ascii="Times New Roman" w:hAnsi="Times New Roman" w:cs="Times New Roman"/>
      <w:sz w:val="2"/>
    </w:rPr>
  </w:style>
  <w:style w:type="paragraph" w:customStyle="1" w:styleId="134">
    <w:name w:val="_Style 1"/>
    <w:basedOn w:val="1"/>
    <w:qFormat/>
    <w:uiPriority w:val="99"/>
    <w:pPr>
      <w:ind w:firstLine="420" w:firstLineChars="200"/>
    </w:pPr>
    <w:rPr>
      <w:rFonts w:ascii="Times New Roman" w:hAnsi="Times New Roman" w:eastAsia="宋体" w:cs="Times New Roman"/>
      <w:szCs w:val="24"/>
    </w:rPr>
  </w:style>
  <w:style w:type="character" w:customStyle="1" w:styleId="135">
    <w:name w:val="正文文本 Char"/>
    <w:basedOn w:val="45"/>
    <w:link w:val="3"/>
    <w:qFormat/>
    <w:uiPriority w:val="99"/>
    <w:rPr>
      <w:rFonts w:ascii="Calibri" w:hAnsi="Calibri" w:eastAsia="宋体" w:cs="Times New Roman"/>
      <w:kern w:val="0"/>
      <w:sz w:val="24"/>
      <w:szCs w:val="20"/>
    </w:rPr>
  </w:style>
  <w:style w:type="character" w:customStyle="1" w:styleId="136">
    <w:name w:val="Body Text Char1"/>
    <w:basedOn w:val="45"/>
    <w:semiHidden/>
    <w:qFormat/>
    <w:locked/>
    <w:uiPriority w:val="99"/>
    <w:rPr>
      <w:rFonts w:cs="Times New Roman"/>
    </w:rPr>
  </w:style>
  <w:style w:type="paragraph" w:customStyle="1" w:styleId="137">
    <w:name w:val="_Style 21"/>
    <w:basedOn w:val="1"/>
    <w:qFormat/>
    <w:uiPriority w:val="99"/>
    <w:rPr>
      <w:rFonts w:ascii="Times New Roman" w:hAnsi="Times New Roman" w:eastAsia="宋体" w:cs="Times New Roman"/>
      <w:szCs w:val="20"/>
    </w:rPr>
  </w:style>
  <w:style w:type="paragraph" w:customStyle="1" w:styleId="138">
    <w:name w:val="p0"/>
    <w:basedOn w:val="1"/>
    <w:qFormat/>
    <w:uiPriority w:val="0"/>
    <w:pPr>
      <w:widowControl/>
    </w:pPr>
    <w:rPr>
      <w:rFonts w:ascii="Times New Roman" w:hAnsi="Times New Roman" w:eastAsia="宋体" w:cs="Times New Roman"/>
      <w:kern w:val="0"/>
      <w:szCs w:val="21"/>
    </w:rPr>
  </w:style>
  <w:style w:type="paragraph" w:customStyle="1" w:styleId="139">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40">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41">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2">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3">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4">
    <w:name w:val="_Style 2"/>
    <w:basedOn w:val="1"/>
    <w:qFormat/>
    <w:uiPriority w:val="34"/>
    <w:pPr>
      <w:ind w:firstLine="420" w:firstLineChars="200"/>
    </w:pPr>
    <w:rPr>
      <w:rFonts w:ascii="Calibri" w:hAnsi="Calibri" w:eastAsia="宋体" w:cs="Times New Roman"/>
    </w:rPr>
  </w:style>
  <w:style w:type="paragraph" w:customStyle="1" w:styleId="145">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6">
    <w:name w:val="_Style 11"/>
    <w:basedOn w:val="1"/>
    <w:qFormat/>
    <w:uiPriority w:val="99"/>
    <w:rPr>
      <w:rFonts w:ascii="Times New Roman" w:hAnsi="Times New Roman" w:eastAsia="宋体" w:cs="Times New Roman"/>
      <w:szCs w:val="24"/>
    </w:rPr>
  </w:style>
  <w:style w:type="paragraph" w:customStyle="1" w:styleId="147">
    <w:name w:val="Char"/>
    <w:basedOn w:val="1"/>
    <w:qFormat/>
    <w:uiPriority w:val="99"/>
    <w:rPr>
      <w:rFonts w:ascii="Times New Roman" w:hAnsi="Times New Roman" w:eastAsia="宋体" w:cs="Times New Roman"/>
      <w:szCs w:val="21"/>
    </w:rPr>
  </w:style>
  <w:style w:type="paragraph" w:customStyle="1" w:styleId="148">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9">
    <w:name w:val="列出段落2"/>
    <w:basedOn w:val="1"/>
    <w:qFormat/>
    <w:uiPriority w:val="99"/>
    <w:pPr>
      <w:ind w:firstLine="420" w:firstLineChars="200"/>
    </w:pPr>
    <w:rPr>
      <w:rFonts w:ascii="Times New Roman" w:hAnsi="Times New Roman" w:eastAsia="宋体" w:cs="Times New Roman"/>
      <w:szCs w:val="24"/>
    </w:rPr>
  </w:style>
  <w:style w:type="paragraph" w:customStyle="1" w:styleId="150">
    <w:name w:val="TOC 标题1"/>
    <w:basedOn w:val="4"/>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51">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52">
    <w:name w:val="font41"/>
    <w:qFormat/>
    <w:uiPriority w:val="99"/>
    <w:rPr>
      <w:rFonts w:hint="eastAsia" w:ascii="宋体" w:hAnsi="宋体" w:eastAsia="宋体" w:cs="宋体"/>
      <w:b/>
      <w:color w:val="000000"/>
      <w:sz w:val="22"/>
      <w:szCs w:val="22"/>
      <w:u w:val="none"/>
    </w:rPr>
  </w:style>
  <w:style w:type="character" w:customStyle="1" w:styleId="153">
    <w:name w:val="font81"/>
    <w:qFormat/>
    <w:uiPriority w:val="0"/>
    <w:rPr>
      <w:rFonts w:hint="eastAsia" w:ascii="宋体" w:hAnsi="宋体" w:eastAsia="宋体" w:cs="宋体"/>
      <w:b/>
      <w:color w:val="000000"/>
      <w:sz w:val="22"/>
      <w:szCs w:val="22"/>
      <w:u w:val="none"/>
    </w:rPr>
  </w:style>
  <w:style w:type="character" w:customStyle="1" w:styleId="154">
    <w:name w:val="font21"/>
    <w:qFormat/>
    <w:uiPriority w:val="0"/>
    <w:rPr>
      <w:rFonts w:hint="eastAsia" w:ascii="宋体" w:hAnsi="宋体" w:eastAsia="宋体" w:cs="宋体"/>
      <w:color w:val="000000"/>
      <w:sz w:val="18"/>
      <w:szCs w:val="18"/>
      <w:u w:val="none"/>
    </w:rPr>
  </w:style>
  <w:style w:type="character" w:customStyle="1" w:styleId="155">
    <w:name w:val="日期 Char"/>
    <w:link w:val="21"/>
    <w:qFormat/>
    <w:uiPriority w:val="0"/>
    <w:rPr>
      <w:szCs w:val="21"/>
    </w:rPr>
  </w:style>
  <w:style w:type="character" w:customStyle="1" w:styleId="156">
    <w:name w:val="font01"/>
    <w:qFormat/>
    <w:uiPriority w:val="99"/>
    <w:rPr>
      <w:rFonts w:hint="eastAsia" w:ascii="宋体" w:hAnsi="宋体" w:eastAsia="宋体" w:cs="宋体"/>
      <w:color w:val="000000"/>
      <w:sz w:val="22"/>
      <w:szCs w:val="22"/>
      <w:u w:val="none"/>
    </w:rPr>
  </w:style>
  <w:style w:type="character" w:customStyle="1" w:styleId="157">
    <w:name w:val="Char Char1"/>
    <w:qFormat/>
    <w:uiPriority w:val="0"/>
    <w:rPr>
      <w:rFonts w:eastAsia="宋体"/>
      <w:kern w:val="2"/>
      <w:sz w:val="18"/>
      <w:szCs w:val="18"/>
      <w:lang w:val="en-US" w:eastAsia="zh-CN" w:bidi="ar-SA"/>
    </w:rPr>
  </w:style>
  <w:style w:type="character" w:customStyle="1" w:styleId="158">
    <w:name w:val="标题 Char"/>
    <w:link w:val="40"/>
    <w:qFormat/>
    <w:uiPriority w:val="0"/>
    <w:rPr>
      <w:rFonts w:ascii="Cambria" w:hAnsi="Cambria" w:cs="Times New Roman"/>
      <w:b/>
      <w:bCs/>
      <w:sz w:val="32"/>
      <w:szCs w:val="32"/>
    </w:rPr>
  </w:style>
  <w:style w:type="character" w:customStyle="1" w:styleId="159">
    <w:name w:val="hei141"/>
    <w:qFormat/>
    <w:uiPriority w:val="0"/>
    <w:rPr>
      <w:rFonts w:hint="eastAsia" w:ascii="宋体" w:hAnsi="宋体" w:eastAsia="宋体"/>
      <w:color w:val="000000"/>
      <w:sz w:val="19"/>
      <w:szCs w:val="19"/>
      <w:u w:val="none"/>
    </w:rPr>
  </w:style>
  <w:style w:type="character" w:customStyle="1" w:styleId="160">
    <w:name w:val="批注文字 Char"/>
    <w:link w:val="14"/>
    <w:qFormat/>
    <w:uiPriority w:val="0"/>
  </w:style>
  <w:style w:type="character" w:customStyle="1" w:styleId="161">
    <w:name w:val="apple-style-span"/>
    <w:basedOn w:val="45"/>
    <w:qFormat/>
    <w:uiPriority w:val="0"/>
  </w:style>
  <w:style w:type="character" w:customStyle="1" w:styleId="162">
    <w:name w:val="param-value"/>
    <w:qFormat/>
    <w:uiPriority w:val="99"/>
    <w:rPr>
      <w:rFonts w:cs="Times New Roman"/>
    </w:rPr>
  </w:style>
  <w:style w:type="character" w:customStyle="1" w:styleId="163">
    <w:name w:val="font61"/>
    <w:qFormat/>
    <w:uiPriority w:val="0"/>
    <w:rPr>
      <w:rFonts w:hint="eastAsia" w:ascii="宋体" w:hAnsi="宋体" w:eastAsia="宋体" w:cs="宋体"/>
      <w:color w:val="000000"/>
      <w:sz w:val="22"/>
      <w:szCs w:val="22"/>
      <w:u w:val="none"/>
    </w:rPr>
  </w:style>
  <w:style w:type="character" w:customStyle="1" w:styleId="164">
    <w:name w:val="font11"/>
    <w:qFormat/>
    <w:uiPriority w:val="0"/>
    <w:rPr>
      <w:rFonts w:hint="eastAsia" w:ascii="宋体" w:hAnsi="宋体" w:eastAsia="宋体" w:cs="宋体"/>
      <w:color w:val="FF0000"/>
      <w:sz w:val="22"/>
      <w:szCs w:val="22"/>
      <w:u w:val="none"/>
    </w:rPr>
  </w:style>
  <w:style w:type="character" w:customStyle="1" w:styleId="165">
    <w:name w:val="批注主题 Char"/>
    <w:link w:val="41"/>
    <w:qFormat/>
    <w:uiPriority w:val="0"/>
    <w:rPr>
      <w:b/>
      <w:bCs/>
    </w:rPr>
  </w:style>
  <w:style w:type="character" w:customStyle="1" w:styleId="166">
    <w:name w:val="批注文字 Char1"/>
    <w:basedOn w:val="45"/>
    <w:semiHidden/>
    <w:qFormat/>
    <w:uiPriority w:val="99"/>
  </w:style>
  <w:style w:type="paragraph" w:customStyle="1" w:styleId="167">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8">
    <w:name w:val="批注主题 Char1"/>
    <w:basedOn w:val="166"/>
    <w:semiHidden/>
    <w:qFormat/>
    <w:uiPriority w:val="99"/>
    <w:rPr>
      <w:b/>
      <w:bCs/>
    </w:rPr>
  </w:style>
  <w:style w:type="paragraph" w:customStyle="1" w:styleId="169">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0">
    <w:name w:val="日期 Char1"/>
    <w:basedOn w:val="45"/>
    <w:semiHidden/>
    <w:qFormat/>
    <w:uiPriority w:val="99"/>
  </w:style>
  <w:style w:type="paragraph" w:customStyle="1" w:styleId="171">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2">
    <w:name w:val="脚注文本 Char"/>
    <w:basedOn w:val="45"/>
    <w:link w:val="29"/>
    <w:semiHidden/>
    <w:qFormat/>
    <w:uiPriority w:val="0"/>
    <w:rPr>
      <w:rFonts w:ascii="Times New Roman" w:hAnsi="Times New Roman" w:eastAsia="宋体" w:cs="Times New Roman"/>
      <w:sz w:val="18"/>
      <w:szCs w:val="18"/>
    </w:rPr>
  </w:style>
  <w:style w:type="paragraph" w:customStyle="1" w:styleId="173">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4">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5">
    <w:name w:val="标题 Char1"/>
    <w:basedOn w:val="45"/>
    <w:qFormat/>
    <w:uiPriority w:val="10"/>
    <w:rPr>
      <w:rFonts w:eastAsia="宋体" w:asciiTheme="majorHAnsi" w:hAnsiTheme="majorHAnsi" w:cstheme="majorBidi"/>
      <w:b/>
      <w:bCs/>
      <w:sz w:val="32"/>
      <w:szCs w:val="32"/>
    </w:rPr>
  </w:style>
  <w:style w:type="paragraph" w:customStyle="1" w:styleId="176">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7">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9">
    <w:name w:val="Default"/>
    <w:basedOn w:val="40"/>
    <w:next w:val="4"/>
    <w:qFormat/>
    <w:uiPriority w:val="0"/>
    <w:pPr>
      <w:autoSpaceDE w:val="0"/>
      <w:autoSpaceDN w:val="0"/>
      <w:adjustRightInd w:val="0"/>
      <w:jc w:val="both"/>
    </w:pPr>
    <w:rPr>
      <w:rFonts w:ascii="黑体" w:hAnsi="黑体" w:eastAsia="宋体" w:cs="黑体"/>
      <w:color w:val="000000"/>
      <w:sz w:val="24"/>
      <w:szCs w:val="24"/>
    </w:rPr>
  </w:style>
  <w:style w:type="paragraph" w:customStyle="1" w:styleId="180">
    <w:name w:val="List Paragraph1"/>
    <w:basedOn w:val="1"/>
    <w:qFormat/>
    <w:uiPriority w:val="0"/>
    <w:pPr>
      <w:ind w:firstLine="420" w:firstLineChars="200"/>
    </w:pPr>
    <w:rPr>
      <w:rFonts w:ascii="Times New Roman" w:hAnsi="Times New Roman" w:eastAsia="宋体" w:cs="Times New Roman"/>
      <w:szCs w:val="24"/>
    </w:rPr>
  </w:style>
  <w:style w:type="paragraph" w:customStyle="1" w:styleId="181">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2">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3">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4">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6">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列出段落3"/>
    <w:basedOn w:val="1"/>
    <w:qFormat/>
    <w:uiPriority w:val="0"/>
    <w:pPr>
      <w:ind w:firstLine="420" w:firstLineChars="200"/>
    </w:pPr>
    <w:rPr>
      <w:rFonts w:ascii="Times New Roman" w:hAnsi="Times New Roman" w:eastAsia="宋体" w:cs="Times New Roman"/>
      <w:szCs w:val="24"/>
    </w:rPr>
  </w:style>
  <w:style w:type="character" w:customStyle="1" w:styleId="188">
    <w:name w:val="Char Char12"/>
    <w:qFormat/>
    <w:uiPriority w:val="0"/>
    <w:rPr>
      <w:rFonts w:eastAsia="宋体"/>
      <w:kern w:val="2"/>
      <w:sz w:val="18"/>
      <w:szCs w:val="18"/>
      <w:lang w:val="en-US" w:eastAsia="zh-CN" w:bidi="ar-SA"/>
    </w:rPr>
  </w:style>
  <w:style w:type="paragraph" w:customStyle="1" w:styleId="189">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1">
    <w:name w:val="列出段落4"/>
    <w:basedOn w:val="1"/>
    <w:qFormat/>
    <w:uiPriority w:val="0"/>
    <w:pPr>
      <w:ind w:firstLine="420" w:firstLineChars="200"/>
    </w:pPr>
    <w:rPr>
      <w:rFonts w:ascii="Times New Roman" w:hAnsi="Times New Roman" w:eastAsia="宋体" w:cs="Times New Roman"/>
      <w:szCs w:val="24"/>
    </w:rPr>
  </w:style>
  <w:style w:type="character" w:customStyle="1" w:styleId="192">
    <w:name w:val="Char Char11"/>
    <w:qFormat/>
    <w:uiPriority w:val="0"/>
    <w:rPr>
      <w:rFonts w:eastAsia="宋体"/>
      <w:kern w:val="2"/>
      <w:sz w:val="18"/>
      <w:szCs w:val="18"/>
      <w:lang w:val="en-US" w:eastAsia="zh-CN" w:bidi="ar-SA"/>
    </w:rPr>
  </w:style>
  <w:style w:type="paragraph" w:customStyle="1" w:styleId="193">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4">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5">
    <w:name w:val="列出段落5"/>
    <w:basedOn w:val="1"/>
    <w:qFormat/>
    <w:uiPriority w:val="0"/>
    <w:pPr>
      <w:ind w:firstLine="420" w:firstLineChars="200"/>
    </w:pPr>
    <w:rPr>
      <w:rFonts w:ascii="Times New Roman" w:hAnsi="Times New Roman" w:eastAsia="宋体" w:cs="Times New Roman"/>
      <w:szCs w:val="24"/>
    </w:rPr>
  </w:style>
  <w:style w:type="character" w:customStyle="1" w:styleId="196">
    <w:name w:val="bookmark-item"/>
    <w:basedOn w:val="45"/>
    <w:qFormat/>
    <w:uiPriority w:val="0"/>
  </w:style>
  <w:style w:type="paragraph" w:customStyle="1" w:styleId="197">
    <w:name w:val="列出段落6"/>
    <w:basedOn w:val="1"/>
    <w:qFormat/>
    <w:uiPriority w:val="34"/>
    <w:pPr>
      <w:ind w:firstLine="420" w:firstLineChars="200"/>
    </w:pPr>
    <w:rPr>
      <w:rFonts w:ascii="Calibri" w:hAnsi="Calibri" w:eastAsia="宋体" w:cs="Times New Roman"/>
    </w:rPr>
  </w:style>
  <w:style w:type="character" w:customStyle="1" w:styleId="198">
    <w:name w:val="纯文本 Char"/>
    <w:basedOn w:val="45"/>
    <w:link w:val="19"/>
    <w:qFormat/>
    <w:uiPriority w:val="0"/>
    <w:rPr>
      <w:rFonts w:ascii="宋体" w:hAnsi="Courier New" w:eastAsia="宋体" w:cs="宋体"/>
      <w:kern w:val="2"/>
      <w:sz w:val="21"/>
      <w:szCs w:val="21"/>
    </w:rPr>
  </w:style>
  <w:style w:type="paragraph" w:customStyle="1" w:styleId="199">
    <w:name w:val="0"/>
    <w:basedOn w:val="1"/>
    <w:qFormat/>
    <w:uiPriority w:val="0"/>
    <w:pPr>
      <w:widowControl/>
      <w:snapToGrid w:val="0"/>
      <w:jc w:val="left"/>
    </w:pPr>
    <w:rPr>
      <w:rFonts w:ascii="Times New Roman" w:hAnsi="Times New Roman" w:eastAsia="宋体" w:cs="Times New Roman"/>
      <w:kern w:val="0"/>
      <w:sz w:val="20"/>
      <w:szCs w:val="20"/>
    </w:rPr>
  </w:style>
  <w:style w:type="paragraph" w:customStyle="1" w:styleId="200">
    <w:name w:val="Table Paragraph"/>
    <w:basedOn w:val="1"/>
    <w:qFormat/>
    <w:uiPriority w:val="1"/>
    <w:pPr>
      <w:jc w:val="left"/>
    </w:pPr>
    <w:rPr>
      <w:rFonts w:ascii="Calibri" w:hAnsi="Calibri" w:eastAsia="Calibri" w:cs="Times New Roman"/>
      <w:kern w:val="0"/>
      <w:sz w:val="22"/>
      <w:lang w:eastAsia="en-US"/>
    </w:rPr>
  </w:style>
  <w:style w:type="paragraph" w:customStyle="1" w:styleId="201">
    <w:name w:val="_Style 3"/>
    <w:basedOn w:val="1"/>
    <w:qFormat/>
    <w:uiPriority w:val="34"/>
    <w:pPr>
      <w:ind w:firstLine="420" w:firstLineChars="200"/>
    </w:pPr>
    <w:rPr>
      <w:rFonts w:ascii="Times New Roman" w:hAnsi="Times New Roman" w:eastAsia="宋体" w:cs="黑体"/>
      <w:szCs w:val="24"/>
    </w:rPr>
  </w:style>
  <w:style w:type="character" w:customStyle="1" w:styleId="202">
    <w:name w:val="正文首行缩进 2 Char"/>
    <w:basedOn w:val="66"/>
    <w:link w:val="42"/>
    <w:semiHidden/>
    <w:qFormat/>
    <w:uiPriority w:val="99"/>
    <w:rPr>
      <w:rFonts w:ascii="??" w:hAnsi="??" w:eastAsia="宋体" w:cs="Arial"/>
      <w:kern w:val="2"/>
      <w:sz w:val="21"/>
      <w:szCs w:val="22"/>
    </w:rPr>
  </w:style>
  <w:style w:type="paragraph" w:customStyle="1" w:styleId="203">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4">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5">
    <w:name w:val="正文文本 2 Char"/>
    <w:basedOn w:val="45"/>
    <w:link w:val="35"/>
    <w:semiHidden/>
    <w:qFormat/>
    <w:uiPriority w:val="99"/>
    <w:rPr>
      <w:rFonts w:asciiTheme="minorHAnsi" w:hAnsiTheme="minorHAnsi" w:eastAsiaTheme="minorEastAsia" w:cstheme="minorBidi"/>
      <w:kern w:val="2"/>
      <w:sz w:val="21"/>
      <w:szCs w:val="22"/>
    </w:rPr>
  </w:style>
  <w:style w:type="paragraph" w:customStyle="1" w:styleId="20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07">
    <w:name w:val="列表段落1"/>
    <w:basedOn w:val="1"/>
    <w:qFormat/>
    <w:uiPriority w:val="0"/>
    <w:pPr>
      <w:ind w:firstLine="420" w:firstLineChars="200"/>
    </w:pPr>
    <w:rPr>
      <w:rFonts w:ascii="Times New Roman" w:hAnsi="Times New Roman" w:eastAsia="宋体" w:cs="Times New Roman"/>
    </w:rPr>
  </w:style>
  <w:style w:type="character" w:customStyle="1" w:styleId="208">
    <w:name w:val="列表段落 字符"/>
    <w:link w:val="67"/>
    <w:qFormat/>
    <w:uiPriority w:val="0"/>
    <w:rPr>
      <w:rFonts w:ascii="Calibri" w:hAnsi="Calibri"/>
      <w:kern w:val="2"/>
      <w:sz w:val="21"/>
      <w:szCs w:val="22"/>
    </w:rPr>
  </w:style>
  <w:style w:type="paragraph" w:customStyle="1" w:styleId="209">
    <w:name w:val="列出段落7"/>
    <w:basedOn w:val="1"/>
    <w:unhideWhenUsed/>
    <w:qFormat/>
    <w:uiPriority w:val="99"/>
    <w:pPr>
      <w:ind w:firstLine="420" w:firstLineChars="200"/>
    </w:pPr>
  </w:style>
  <w:style w:type="character" w:customStyle="1" w:styleId="210">
    <w:name w:val="HTML 预设格式 Char"/>
    <w:basedOn w:val="45"/>
    <w:link w:val="37"/>
    <w:qFormat/>
    <w:uiPriority w:val="0"/>
    <w:rPr>
      <w:rFonts w:ascii="Arial" w:hAnsi="Arial" w:cs="Arial" w:eastAsiaTheme="minorEastAsia"/>
      <w:sz w:val="28"/>
      <w:szCs w:val="28"/>
    </w:rPr>
  </w:style>
  <w:style w:type="paragraph" w:customStyle="1" w:styleId="211">
    <w:name w:val="BodyText"/>
    <w:basedOn w:val="1"/>
    <w:next w:val="212"/>
    <w:qFormat/>
    <w:uiPriority w:val="0"/>
    <w:pPr>
      <w:spacing w:line="300" w:lineRule="auto"/>
      <w:jc w:val="center"/>
      <w:textAlignment w:val="baseline"/>
    </w:pPr>
    <w:rPr>
      <w:rFonts w:ascii="宋体" w:hAnsi="宋体" w:eastAsia="宋体"/>
      <w:sz w:val="24"/>
      <w:szCs w:val="24"/>
    </w:rPr>
  </w:style>
  <w:style w:type="paragraph" w:customStyle="1" w:styleId="212">
    <w:name w:val="TOC2"/>
    <w:basedOn w:val="1"/>
    <w:next w:val="1"/>
    <w:qFormat/>
    <w:uiPriority w:val="0"/>
    <w:pPr>
      <w:spacing w:line="413" w:lineRule="auto"/>
      <w:ind w:left="240" w:leftChars="100"/>
      <w:textAlignment w:val="baseline"/>
    </w:pPr>
    <w:rPr>
      <w:rFonts w:ascii="Calibri" w:hAnsi="Calibri" w:eastAsia="仿宋"/>
      <w:sz w:val="24"/>
      <w:szCs w:val="24"/>
    </w:rPr>
  </w:style>
  <w:style w:type="character" w:customStyle="1" w:styleId="213">
    <w:name w:val="纯文本 Char1"/>
    <w:qFormat/>
    <w:uiPriority w:val="0"/>
    <w:rPr>
      <w:rFonts w:eastAsia="宋体"/>
      <w:kern w:val="2"/>
      <w:sz w:val="24"/>
      <w:lang w:val="en-US" w:eastAsia="zh-CN" w:bidi="ar-SA"/>
    </w:rPr>
  </w:style>
  <w:style w:type="character" w:customStyle="1" w:styleId="214">
    <w:name w:val="页脚 Char1"/>
    <w:qFormat/>
    <w:uiPriority w:val="0"/>
    <w:rPr>
      <w:rFonts w:eastAsia="宋体"/>
      <w:kern w:val="2"/>
      <w:sz w:val="18"/>
      <w:szCs w:val="18"/>
      <w:lang w:val="en-US" w:eastAsia="zh-CN" w:bidi="ar-SA"/>
    </w:rPr>
  </w:style>
  <w:style w:type="character" w:customStyle="1" w:styleId="215">
    <w:name w:val="页眉 Char1"/>
    <w:qFormat/>
    <w:uiPriority w:val="0"/>
    <w:rPr>
      <w:rFonts w:eastAsia="宋体"/>
      <w:kern w:val="2"/>
      <w:sz w:val="18"/>
      <w:szCs w:val="18"/>
      <w:lang w:val="en-US" w:eastAsia="zh-CN" w:bidi="ar-SA"/>
    </w:rPr>
  </w:style>
  <w:style w:type="character" w:customStyle="1" w:styleId="216">
    <w:name w:val="正文缩进 Char1"/>
    <w:link w:val="217"/>
    <w:qFormat/>
    <w:uiPriority w:val="0"/>
    <w:rPr>
      <w:rFonts w:ascii="宋体"/>
      <w:sz w:val="24"/>
    </w:rPr>
  </w:style>
  <w:style w:type="paragraph" w:customStyle="1" w:styleId="217">
    <w:name w:val="正文缩进1"/>
    <w:basedOn w:val="1"/>
    <w:link w:val="216"/>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customStyle="1" w:styleId="218">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219">
    <w:name w:val="纯文本1"/>
    <w:basedOn w:val="1"/>
    <w:qFormat/>
    <w:uiPriority w:val="0"/>
    <w:rPr>
      <w:rFonts w:ascii="宋体" w:hAnsi="Courier New" w:eastAsia="宋体" w:cs="Times New Roman"/>
      <w:kern w:val="0"/>
      <w:sz w:val="20"/>
      <w:szCs w:val="20"/>
    </w:rPr>
  </w:style>
  <w:style w:type="character" w:customStyle="1" w:styleId="220">
    <w:name w:val="标题 5 Char"/>
    <w:basedOn w:val="45"/>
    <w:link w:val="8"/>
    <w:semiHidden/>
    <w:qFormat/>
    <w:uiPriority w:val="9"/>
    <w:rPr>
      <w:rFonts w:asciiTheme="minorHAnsi" w:hAnsiTheme="minorHAnsi" w:eastAsiaTheme="minorEastAsia" w:cstheme="minorBidi"/>
      <w:b/>
      <w:bCs/>
      <w:kern w:val="2"/>
      <w:sz w:val="28"/>
      <w:szCs w:val="28"/>
    </w:rPr>
  </w:style>
  <w:style w:type="character" w:customStyle="1" w:styleId="221">
    <w:name w:val="称呼 Char"/>
    <w:basedOn w:val="45"/>
    <w:link w:val="15"/>
    <w:qFormat/>
    <w:uiPriority w:val="0"/>
    <w:rPr>
      <w:rFonts w:ascii="宋体"/>
      <w:b/>
      <w:kern w:val="2"/>
      <w:sz w:val="28"/>
      <w:szCs w:val="24"/>
    </w:rPr>
  </w:style>
  <w:style w:type="character" w:customStyle="1" w:styleId="222">
    <w:name w:val="副标题 Char"/>
    <w:basedOn w:val="45"/>
    <w:link w:val="28"/>
    <w:qFormat/>
    <w:uiPriority w:val="11"/>
    <w:rPr>
      <w:rFonts w:ascii="Cambria" w:hAnsi="Cambria" w:eastAsia="仿宋"/>
      <w:b/>
      <w:bCs/>
      <w:kern w:val="28"/>
      <w:sz w:val="32"/>
      <w:szCs w:val="32"/>
    </w:rPr>
  </w:style>
  <w:style w:type="character" w:customStyle="1" w:styleId="223">
    <w:name w:val="正文首行缩进 Char"/>
    <w:basedOn w:val="135"/>
    <w:link w:val="2"/>
    <w:qFormat/>
    <w:uiPriority w:val="0"/>
    <w:rPr>
      <w:rFonts w:ascii="Arial" w:hAnsi="Arial" w:eastAsia="宋体" w:cs="Times New Roman"/>
      <w:kern w:val="0"/>
      <w:sz w:val="24"/>
      <w:szCs w:val="21"/>
    </w:rPr>
  </w:style>
  <w:style w:type="paragraph" w:customStyle="1" w:styleId="224">
    <w:name w:val="测评方案正文"/>
    <w:basedOn w:val="225"/>
    <w:qFormat/>
    <w:uiPriority w:val="0"/>
    <w:pPr>
      <w:ind w:firstLine="200" w:firstLineChars="200"/>
    </w:pPr>
    <w:rPr>
      <w:b w:val="0"/>
      <w:sz w:val="21"/>
    </w:rPr>
  </w:style>
  <w:style w:type="paragraph" w:customStyle="1" w:styleId="225">
    <w:name w:val="测评方案2级"/>
    <w:basedOn w:val="1"/>
    <w:qFormat/>
    <w:uiPriority w:val="0"/>
    <w:pPr>
      <w:spacing w:beforeLines="50" w:afterLines="50" w:line="300" w:lineRule="auto"/>
    </w:pPr>
    <w:rPr>
      <w:rFonts w:ascii="Times New Roman" w:hAnsi="Times New Roman" w:eastAsia="宋体" w:cs="Times New Roman"/>
      <w:b/>
      <w:sz w:val="28"/>
      <w:szCs w:val="32"/>
    </w:rPr>
  </w:style>
  <w:style w:type="paragraph" w:customStyle="1" w:styleId="226">
    <w:name w:val="正文首行缩进两字符"/>
    <w:qFormat/>
    <w:uiPriority w:val="0"/>
    <w:pPr>
      <w:widowControl w:val="0"/>
      <w:jc w:val="both"/>
    </w:pPr>
    <w:rPr>
      <w:rFonts w:ascii="Calibri" w:hAnsi="Calibri" w:eastAsia="宋体" w:cs="Times New Roman"/>
      <w:kern w:val="2"/>
      <w:sz w:val="21"/>
      <w:lang w:val="en-US" w:eastAsia="zh-CN" w:bidi="ar-SA"/>
    </w:rPr>
  </w:style>
  <w:style w:type="paragraph" w:customStyle="1" w:styleId="227">
    <w:name w:val="测评方案3级"/>
    <w:basedOn w:val="225"/>
    <w:qFormat/>
    <w:uiPriority w:val="0"/>
    <w:pPr>
      <w:spacing w:before="156" w:after="156"/>
    </w:pPr>
    <w:rPr>
      <w:rFonts w:ascii="黑体" w:eastAsia="黑体"/>
      <w:sz w:val="24"/>
    </w:rPr>
  </w:style>
  <w:style w:type="paragraph" w:customStyle="1" w:styleId="228">
    <w:name w:val="Body text|7"/>
    <w:basedOn w:val="1"/>
    <w:qFormat/>
    <w:uiPriority w:val="0"/>
    <w:rPr>
      <w:rFonts w:ascii="Times New Roman" w:hAnsi="Times New Roman" w:eastAsia="宋体" w:cs="Times New Roman"/>
      <w:sz w:val="32"/>
      <w:szCs w:val="32"/>
      <w:shd w:val="clear" w:color="auto" w:fill="FFFFFF"/>
    </w:rPr>
  </w:style>
  <w:style w:type="paragraph" w:customStyle="1" w:styleId="229">
    <w:name w:val="Body text|1"/>
    <w:basedOn w:val="1"/>
    <w:qFormat/>
    <w:uiPriority w:val="0"/>
    <w:pPr>
      <w:spacing w:after="40" w:line="353" w:lineRule="auto"/>
      <w:ind w:firstLine="40"/>
    </w:pPr>
    <w:rPr>
      <w:rFonts w:ascii="宋体" w:hAnsi="宋体" w:eastAsia="宋体" w:cs="宋体"/>
      <w:sz w:val="46"/>
      <w:szCs w:val="46"/>
      <w:lang w:val="zh-TW" w:eastAsia="zh-TW" w:bidi="zh-TW"/>
    </w:rPr>
  </w:style>
  <w:style w:type="paragraph" w:customStyle="1" w:styleId="230">
    <w:name w:val="Body text|2"/>
    <w:basedOn w:val="1"/>
    <w:qFormat/>
    <w:uiPriority w:val="0"/>
    <w:pPr>
      <w:spacing w:after="60"/>
    </w:pPr>
    <w:rPr>
      <w:rFonts w:ascii="宋体" w:hAnsi="宋体" w:eastAsia="宋体" w:cs="宋体"/>
      <w:sz w:val="54"/>
      <w:szCs w:val="54"/>
    </w:rPr>
  </w:style>
  <w:style w:type="paragraph" w:customStyle="1" w:styleId="231">
    <w:name w:val="Body text|6"/>
    <w:basedOn w:val="1"/>
    <w:qFormat/>
    <w:uiPriority w:val="0"/>
    <w:rPr>
      <w:rFonts w:ascii="Times New Roman" w:hAnsi="Times New Roman" w:eastAsia="宋体" w:cs="Times New Roman"/>
      <w:b/>
      <w:bCs/>
      <w:sz w:val="36"/>
      <w:szCs w:val="36"/>
      <w:shd w:val="clear" w:color="auto" w:fill="FFFFFF"/>
    </w:rPr>
  </w:style>
  <w:style w:type="paragraph" w:customStyle="1" w:styleId="232">
    <w:name w:val="正文首行缩进1"/>
    <w:basedOn w:val="3"/>
    <w:qFormat/>
    <w:uiPriority w:val="0"/>
    <w:pPr>
      <w:ind w:firstLine="420" w:firstLineChars="100"/>
    </w:pPr>
    <w:rPr>
      <w:rFonts w:ascii="宋体" w:hAnsi="宋体"/>
      <w:sz w:val="21"/>
      <w:szCs w:val="18"/>
    </w:rPr>
  </w:style>
  <w:style w:type="table" w:customStyle="1" w:styleId="233">
    <w:name w:val="样式9"/>
    <w:basedOn w:val="43"/>
    <w:qFormat/>
    <w:uiPriority w:val="99"/>
    <w:pPr>
      <w:spacing w:line="276" w:lineRule="auto"/>
      <w:jc w:val="center"/>
    </w:pPr>
    <w:rPr>
      <w:rFonts w:eastAsia="华文仿宋"/>
      <w:sz w:val="21"/>
    </w:rPr>
    <w:tblP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
    <w:tcPr>
      <w:vAlign w:val="center"/>
    </w:tcPr>
    <w:tblStylePr w:type="firstRow">
      <w:rPr>
        <w:rFonts w:eastAsia="Tms Rmn"/>
        <w:b/>
      </w:rPr>
    </w:tblStylePr>
  </w:style>
  <w:style w:type="paragraph" w:customStyle="1" w:styleId="234">
    <w:name w:val="表格中文"/>
    <w:qFormat/>
    <w:locked/>
    <w:uiPriority w:val="0"/>
    <w:pPr>
      <w:spacing w:line="240" w:lineRule="atLeast"/>
      <w:jc w:val="both"/>
    </w:pPr>
    <w:rPr>
      <w:rFonts w:ascii="Verdana" w:hAnsi="Verdana" w:eastAsia="宋体" w:cs="Times New Roman"/>
      <w:bCs/>
      <w:sz w:val="18"/>
      <w:szCs w:val="18"/>
      <w:lang w:val="en-US" w:eastAsia="zh-CN" w:bidi="ar-SA"/>
    </w:rPr>
  </w:style>
  <w:style w:type="paragraph" w:customStyle="1" w:styleId="235">
    <w:name w:val="null3"/>
    <w:qFormat/>
    <w:uiPriority w:val="0"/>
    <w:rPr>
      <w:rFonts w:hint="eastAsia" w:ascii="Calibri" w:hAnsi="Calibri" w:eastAsia="宋体" w:cs="Times New Roman"/>
      <w:lang w:val="en-US" w:eastAsia="zh-Hans" w:bidi="ar-SA"/>
    </w:rPr>
  </w:style>
  <w:style w:type="character" w:customStyle="1" w:styleId="236">
    <w:name w:val="15"/>
    <w:qFormat/>
    <w:uiPriority w:val="0"/>
    <w:rPr>
      <w:rFonts w:hint="eastAsia" w:ascii="宋体" w:hAnsi="宋体" w:eastAsia="宋体"/>
      <w:color w:val="000000"/>
      <w:sz w:val="22"/>
      <w:szCs w:val="22"/>
    </w:rPr>
  </w:style>
  <w:style w:type="paragraph" w:customStyle="1" w:styleId="237">
    <w:name w:val="答复表头"/>
    <w:basedOn w:val="238"/>
    <w:next w:val="1"/>
    <w:qFormat/>
    <w:uiPriority w:val="0"/>
    <w:pPr>
      <w:tabs>
        <w:tab w:val="left" w:pos="480"/>
      </w:tabs>
    </w:pPr>
    <w:rPr>
      <w:b/>
    </w:rPr>
  </w:style>
  <w:style w:type="paragraph" w:customStyle="1" w:styleId="238">
    <w:name w:val="正表头"/>
    <w:basedOn w:val="1"/>
    <w:qFormat/>
    <w:uiPriority w:val="0"/>
    <w:pPr>
      <w:tabs>
        <w:tab w:val="left" w:pos="480"/>
      </w:tabs>
      <w:autoSpaceDE w:val="0"/>
      <w:autoSpaceDN w:val="0"/>
      <w:adjustRightInd w:val="0"/>
      <w:jc w:val="center"/>
      <w:textAlignment w:val="baseline"/>
    </w:pPr>
    <w:rPr>
      <w:rFonts w:ascii="宋体" w:hAnsi="Tms Rmn" w:eastAsia="宋体" w:cs="Times New Roman"/>
      <w:color w:val="000000"/>
      <w:kern w:val="0"/>
      <w:szCs w:val="24"/>
    </w:rPr>
  </w:style>
  <w:style w:type="paragraph" w:customStyle="1" w:styleId="239">
    <w:name w:val="表格文字2"/>
    <w:basedOn w:val="240"/>
    <w:qFormat/>
    <w:uiPriority w:val="99"/>
    <w:pPr>
      <w:spacing w:before="25" w:after="25"/>
      <w:jc w:val="left"/>
    </w:pPr>
    <w:rPr>
      <w:bCs/>
      <w:spacing w:val="10"/>
      <w:kern w:val="0"/>
    </w:rPr>
  </w:style>
  <w:style w:type="paragraph" w:customStyle="1" w:styleId="240">
    <w:name w:val="正文1"/>
    <w:qFormat/>
    <w:uiPriority w:val="0"/>
    <w:pPr>
      <w:jc w:val="both"/>
    </w:pPr>
    <w:rPr>
      <w:rFonts w:ascii="Times New Roman" w:hAnsi="Times New Roman" w:eastAsia="宋体" w:cs="Times New Roman"/>
      <w:kern w:val="2"/>
      <w:sz w:val="21"/>
      <w:szCs w:val="21"/>
      <w:lang w:val="en-US" w:eastAsia="zh-CN" w:bidi="ar-SA"/>
    </w:rPr>
  </w:style>
  <w:style w:type="table" w:customStyle="1" w:styleId="241">
    <w:name w:val="Table Normal"/>
    <w:unhideWhenUsed/>
    <w:qFormat/>
    <w:uiPriority w:val="0"/>
    <w:tblPr>
      <w:tblCellMar>
        <w:top w:w="0" w:type="dxa"/>
        <w:left w:w="0" w:type="dxa"/>
        <w:bottom w:w="0" w:type="dxa"/>
        <w:right w:w="0" w:type="dxa"/>
      </w:tblCellMar>
    </w:tblPr>
  </w:style>
  <w:style w:type="paragraph" w:customStyle="1" w:styleId="242">
    <w:name w:val="Normal_6"/>
    <w:qFormat/>
    <w:uiPriority w:val="0"/>
    <w:rPr>
      <w:rFonts w:ascii="宋体" w:hAnsi="宋体" w:eastAsia="宋体" w:cs="Times New Roman"/>
      <w:sz w:val="24"/>
      <w:szCs w:val="24"/>
      <w:lang w:val="en-US" w:eastAsia="zh-CN" w:bidi="ar-SA"/>
    </w:rPr>
  </w:style>
  <w:style w:type="paragraph" w:customStyle="1" w:styleId="243">
    <w:name w:val="Normal Indent1"/>
    <w:next w:val="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styleId="244">
    <w:name w:val="No Spacing"/>
    <w:qFormat/>
    <w:uiPriority w:val="1"/>
    <w:pPr>
      <w:jc w:val="both"/>
    </w:pPr>
    <w:rPr>
      <w:rFonts w:ascii="Times New Roman" w:hAnsi="Times New Roman" w:eastAsia="宋体" w:cs="Times New Roman"/>
      <w:kern w:val="2"/>
      <w:sz w:val="21"/>
      <w:szCs w:val="21"/>
      <w:lang w:val="en-US" w:eastAsia="zh-CN" w:bidi="ar-SA"/>
    </w:rPr>
  </w:style>
  <w:style w:type="paragraph" w:customStyle="1" w:styleId="245">
    <w:name w:val="Table Text"/>
    <w:basedOn w:val="1"/>
    <w:semiHidden/>
    <w:qFormat/>
    <w:uiPriority w:val="0"/>
    <w:pPr>
      <w:widowControl w:val="0"/>
      <w:jc w:val="both"/>
    </w:pPr>
    <w:rPr>
      <w:rFonts w:ascii="仿宋" w:hAnsi="仿宋" w:eastAsia="仿宋" w:cs="仿宋"/>
      <w:kern w:val="2"/>
      <w:sz w:val="28"/>
      <w:szCs w:val="28"/>
      <w:lang w:eastAsia="en-US"/>
    </w:rPr>
  </w:style>
  <w:style w:type="paragraph" w:customStyle="1" w:styleId="246">
    <w:name w:val="目录 62"/>
    <w:next w:val="1"/>
    <w:qFormat/>
    <w:uiPriority w:val="0"/>
    <w:rPr>
      <w:rFonts w:ascii="Times New Roman" w:hAnsi="Times New Roman" w:eastAsia="宋体" w:cs="Times New Roman"/>
      <w:sz w:val="21"/>
      <w:lang w:val="en-US" w:eastAsia="zh-CN" w:bidi="ar-SA"/>
    </w:rPr>
  </w:style>
  <w:style w:type="character" w:customStyle="1" w:styleId="247">
    <w:name w:val="font212"/>
    <w:basedOn w:val="45"/>
    <w:qFormat/>
    <w:uiPriority w:val="0"/>
    <w:rPr>
      <w:rFonts w:hint="eastAsia" w:ascii="宋体" w:hAnsi="宋体" w:eastAsia="宋体" w:cs="宋体"/>
      <w:color w:val="000000"/>
      <w:sz w:val="22"/>
      <w:szCs w:val="22"/>
      <w:u w:val="none"/>
    </w:rPr>
  </w:style>
  <w:style w:type="character" w:customStyle="1" w:styleId="248">
    <w:name w:val="font241"/>
    <w:basedOn w:val="45"/>
    <w:qFormat/>
    <w:uiPriority w:val="0"/>
    <w:rPr>
      <w:rFonts w:hint="eastAsia" w:ascii="方正小标宋简体" w:hAnsi="方正小标宋简体" w:eastAsia="方正小标宋简体" w:cs="方正小标宋简体"/>
      <w:color w:val="000000"/>
      <w:sz w:val="40"/>
      <w:szCs w:val="40"/>
      <w:u w:val="single"/>
    </w:rPr>
  </w:style>
  <w:style w:type="character" w:customStyle="1" w:styleId="249">
    <w:name w:val="font51"/>
    <w:basedOn w:val="45"/>
    <w:qFormat/>
    <w:uiPriority w:val="0"/>
    <w:rPr>
      <w:rFonts w:hint="default" w:ascii="Times New Roman" w:hAnsi="Times New Roman" w:cs="Times New Roman"/>
      <w:color w:val="000000"/>
      <w:sz w:val="20"/>
      <w:szCs w:val="20"/>
      <w:u w:val="none"/>
    </w:rPr>
  </w:style>
  <w:style w:type="character" w:customStyle="1" w:styleId="250">
    <w:name w:val="font101"/>
    <w:basedOn w:val="45"/>
    <w:qFormat/>
    <w:uiPriority w:val="0"/>
    <w:rPr>
      <w:rFonts w:hint="eastAsia" w:ascii="宋体" w:hAnsi="宋体" w:eastAsia="宋体" w:cs="宋体"/>
      <w:color w:val="000000"/>
      <w:sz w:val="20"/>
      <w:szCs w:val="20"/>
      <w:u w:val="none"/>
    </w:rPr>
  </w:style>
  <w:style w:type="character" w:customStyle="1" w:styleId="251">
    <w:name w:val="font251"/>
    <w:basedOn w:val="45"/>
    <w:qFormat/>
    <w:uiPriority w:val="0"/>
    <w:rPr>
      <w:rFonts w:hint="eastAsia" w:ascii="宋体" w:hAnsi="宋体" w:eastAsia="宋体" w:cs="宋体"/>
      <w:color w:val="000000"/>
      <w:sz w:val="20"/>
      <w:szCs w:val="20"/>
      <w:u w:val="none"/>
      <w:vertAlign w:val="superscript"/>
    </w:rPr>
  </w:style>
  <w:style w:type="character" w:customStyle="1" w:styleId="252">
    <w:name w:val="font91"/>
    <w:basedOn w:val="45"/>
    <w:qFormat/>
    <w:uiPriority w:val="0"/>
    <w:rPr>
      <w:rFonts w:hint="eastAsia" w:ascii="宋体" w:hAnsi="宋体" w:eastAsia="宋体" w:cs="宋体"/>
      <w:color w:val="000000"/>
      <w:sz w:val="20"/>
      <w:szCs w:val="20"/>
      <w:u w:val="none"/>
    </w:rPr>
  </w:style>
  <w:style w:type="character" w:customStyle="1" w:styleId="253">
    <w:name w:val="font261"/>
    <w:basedOn w:val="45"/>
    <w:qFormat/>
    <w:uiPriority w:val="0"/>
    <w:rPr>
      <w:rFonts w:hint="eastAsia" w:ascii="宋体" w:hAnsi="宋体" w:eastAsia="宋体" w:cs="宋体"/>
      <w:color w:val="000000"/>
      <w:sz w:val="20"/>
      <w:szCs w:val="20"/>
      <w:u w:val="none"/>
      <w:vertAlign w:val="superscript"/>
    </w:rPr>
  </w:style>
  <w:style w:type="character" w:customStyle="1" w:styleId="254">
    <w:name w:val="font271"/>
    <w:basedOn w:val="45"/>
    <w:qFormat/>
    <w:uiPriority w:val="0"/>
    <w:rPr>
      <w:rFonts w:hint="eastAsia" w:ascii="宋体" w:hAnsi="宋体" w:eastAsia="宋体" w:cs="宋体"/>
      <w:color w:val="000000"/>
      <w:sz w:val="20"/>
      <w:szCs w:val="20"/>
      <w:u w:val="none"/>
      <w:vertAlign w:val="subscript"/>
    </w:rPr>
  </w:style>
  <w:style w:type="character" w:customStyle="1" w:styleId="255">
    <w:name w:val="font161"/>
    <w:basedOn w:val="45"/>
    <w:qFormat/>
    <w:uiPriority w:val="0"/>
    <w:rPr>
      <w:rFonts w:hint="eastAsia" w:ascii="仿宋" w:hAnsi="仿宋" w:eastAsia="仿宋" w:cs="仿宋"/>
      <w:color w:val="000000"/>
      <w:sz w:val="20"/>
      <w:szCs w:val="20"/>
      <w:u w:val="none"/>
    </w:rPr>
  </w:style>
  <w:style w:type="character" w:customStyle="1" w:styleId="256">
    <w:name w:val="font151"/>
    <w:basedOn w:val="45"/>
    <w:qFormat/>
    <w:uiPriority w:val="0"/>
    <w:rPr>
      <w:rFonts w:hint="eastAsia" w:ascii="仿宋" w:hAnsi="仿宋" w:eastAsia="仿宋" w:cs="仿宋"/>
      <w:color w:val="000000"/>
      <w:sz w:val="20"/>
      <w:szCs w:val="20"/>
      <w:u w:val="none"/>
    </w:rPr>
  </w:style>
  <w:style w:type="character" w:customStyle="1" w:styleId="257">
    <w:name w:val="font171"/>
    <w:basedOn w:val="45"/>
    <w:qFormat/>
    <w:uiPriority w:val="0"/>
    <w:rPr>
      <w:rFonts w:hint="default" w:ascii="Arial" w:hAnsi="Arial" w:cs="Arial"/>
      <w:color w:val="000000"/>
      <w:sz w:val="20"/>
      <w:szCs w:val="20"/>
      <w:u w:val="none"/>
    </w:rPr>
  </w:style>
  <w:style w:type="character" w:customStyle="1" w:styleId="258">
    <w:name w:val="font281"/>
    <w:basedOn w:val="45"/>
    <w:qFormat/>
    <w:uiPriority w:val="0"/>
    <w:rPr>
      <w:rFonts w:hint="eastAsia" w:ascii="仿宋" w:hAnsi="仿宋" w:eastAsia="仿宋" w:cs="仿宋"/>
      <w:color w:val="000000"/>
      <w:sz w:val="20"/>
      <w:szCs w:val="20"/>
      <w:u w:val="none"/>
      <w:vertAlign w:val="subscript"/>
    </w:rPr>
  </w:style>
  <w:style w:type="character" w:customStyle="1" w:styleId="259">
    <w:name w:val="font291"/>
    <w:basedOn w:val="45"/>
    <w:qFormat/>
    <w:uiPriority w:val="0"/>
    <w:rPr>
      <w:rFonts w:hint="default" w:ascii="Arial" w:hAnsi="Arial" w:cs="Arial"/>
      <w:color w:val="000000"/>
      <w:sz w:val="20"/>
      <w:szCs w:val="20"/>
      <w:u w:val="none"/>
    </w:rPr>
  </w:style>
  <w:style w:type="character" w:customStyle="1" w:styleId="260">
    <w:name w:val="font181"/>
    <w:basedOn w:val="45"/>
    <w:qFormat/>
    <w:uiPriority w:val="0"/>
    <w:rPr>
      <w:rFonts w:hint="eastAsia" w:ascii="仿宋" w:hAnsi="仿宋" w:eastAsia="仿宋" w:cs="仿宋"/>
      <w:color w:val="000000"/>
      <w:sz w:val="20"/>
      <w:szCs w:val="20"/>
      <w:u w:val="none"/>
    </w:rPr>
  </w:style>
  <w:style w:type="character" w:customStyle="1" w:styleId="261">
    <w:name w:val="font301"/>
    <w:basedOn w:val="45"/>
    <w:qFormat/>
    <w:uiPriority w:val="0"/>
    <w:rPr>
      <w:rFonts w:ascii="微软雅黑" w:hAnsi="微软雅黑" w:eastAsia="微软雅黑" w:cs="微软雅黑"/>
      <w:color w:val="000000"/>
      <w:sz w:val="22"/>
      <w:szCs w:val="22"/>
      <w:u w:val="none"/>
    </w:rPr>
  </w:style>
  <w:style w:type="character" w:customStyle="1" w:styleId="262">
    <w:name w:val="font312"/>
    <w:basedOn w:val="45"/>
    <w:qFormat/>
    <w:uiPriority w:val="0"/>
    <w:rPr>
      <w:rFonts w:hint="eastAsia" w:ascii="微软雅黑" w:hAnsi="微软雅黑" w:eastAsia="微软雅黑" w:cs="微软雅黑"/>
      <w:color w:val="000000"/>
      <w:sz w:val="20"/>
      <w:szCs w:val="20"/>
      <w:u w:val="none"/>
    </w:rPr>
  </w:style>
  <w:style w:type="character" w:customStyle="1" w:styleId="263">
    <w:name w:val="font221"/>
    <w:basedOn w:val="45"/>
    <w:qFormat/>
    <w:uiPriority w:val="0"/>
    <w:rPr>
      <w:rFonts w:hint="default" w:ascii="Times New Roman" w:hAnsi="Times New Roman" w:cs="Times New Roman"/>
      <w:color w:val="000000"/>
      <w:sz w:val="20"/>
      <w:szCs w:val="20"/>
      <w:u w:val="none"/>
    </w:rPr>
  </w:style>
  <w:style w:type="character" w:customStyle="1" w:styleId="264">
    <w:name w:val="font321"/>
    <w:basedOn w:val="45"/>
    <w:qFormat/>
    <w:uiPriority w:val="0"/>
    <w:rPr>
      <w:rFonts w:hint="eastAsia" w:ascii="仿宋" w:hAnsi="仿宋" w:eastAsia="仿宋" w:cs="仿宋"/>
      <w:color w:val="000000"/>
      <w:sz w:val="20"/>
      <w:szCs w:val="20"/>
      <w:u w:val="none"/>
    </w:rPr>
  </w:style>
  <w:style w:type="character" w:customStyle="1" w:styleId="265">
    <w:name w:val="font191"/>
    <w:basedOn w:val="45"/>
    <w:qFormat/>
    <w:uiPriority w:val="0"/>
    <w:rPr>
      <w:rFonts w:hint="eastAsia" w:ascii="仿宋" w:hAnsi="仿宋" w:eastAsia="仿宋" w:cs="仿宋"/>
      <w:color w:val="000000"/>
      <w:sz w:val="20"/>
      <w:szCs w:val="20"/>
      <w:u w:val="none"/>
    </w:rPr>
  </w:style>
  <w:style w:type="character" w:customStyle="1" w:styleId="266">
    <w:name w:val="font331"/>
    <w:basedOn w:val="45"/>
    <w:qFormat/>
    <w:uiPriority w:val="0"/>
    <w:rPr>
      <w:rFonts w:hint="eastAsia" w:ascii="仿宋" w:hAnsi="仿宋" w:eastAsia="仿宋" w:cs="仿宋"/>
      <w:color w:val="000000"/>
      <w:sz w:val="20"/>
      <w:szCs w:val="20"/>
      <w:u w:val="none"/>
      <w:vertAlign w:val="superscript"/>
    </w:rPr>
  </w:style>
  <w:style w:type="paragraph" w:styleId="267">
    <w:name w:val="List Paragraph"/>
    <w:basedOn w:val="1"/>
    <w:qFormat/>
    <w:uiPriority w:val="0"/>
    <w:pPr>
      <w:ind w:firstLine="420" w:firstLineChars="200"/>
    </w:pPr>
  </w:style>
  <w:style w:type="character" w:customStyle="1" w:styleId="268">
    <w:name w:val="font341"/>
    <w:basedOn w:val="45"/>
    <w:qFormat/>
    <w:uiPriority w:val="0"/>
    <w:rPr>
      <w:rFonts w:hint="eastAsia" w:ascii="仿宋" w:hAnsi="仿宋" w:eastAsia="仿宋" w:cs="仿宋"/>
      <w:color w:val="000000"/>
      <w:sz w:val="20"/>
      <w:szCs w:val="20"/>
      <w:u w:val="none"/>
    </w:rPr>
  </w:style>
  <w:style w:type="character" w:customStyle="1" w:styleId="269">
    <w:name w:val="font351"/>
    <w:basedOn w:val="45"/>
    <w:qFormat/>
    <w:uiPriority w:val="0"/>
    <w:rPr>
      <w:rFonts w:hint="eastAsia" w:ascii="仿宋" w:hAnsi="仿宋" w:eastAsia="仿宋" w:cs="仿宋"/>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69</Pages>
  <Words>24316</Words>
  <Characters>25708</Characters>
  <Lines>245</Lines>
  <Paragraphs>68</Paragraphs>
  <TotalTime>4</TotalTime>
  <ScaleCrop>false</ScaleCrop>
  <LinksUpToDate>false</LinksUpToDate>
  <CharactersWithSpaces>26712</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2022-09-12T19:32:00Z</dcterms:created>
  <dc:creator>Administrator</dc:creator>
  <cp:lastModifiedBy>.</cp:lastModifiedBy>
  <cp:lastPrinted>2026-05-11T17:57:00Z</cp:lastPrinted>
  <dcterms:modified xsi:type="dcterms:W3CDTF">2026-05-13T08:56:56Z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2A8DA2544A9349DAAD6F7675E0727964_13</vt:lpwstr>
  </property>
  <property fmtid="{D5CDD505-2E9C-101B-9397-08002B2CF9AE}" pid="4" name="KSOTemplateDocerSaveRecord">
    <vt:lpwstr>eyJoZGlkIjoiYzE5M2NlMWI0ZmI4MTMyOTFjNDg1ODY2YTdiMDE0NzAiLCJ1c2VySWQiOiIyMDc2NjcyMDcifQ==</vt:lpwstr>
  </property>
</Properties>
</file>