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C8E9">
      <w:pPr>
        <w:jc w:val="center"/>
        <w:rPr>
          <w:rFonts w:hint="eastAsia" w:ascii="宋体" w:hAnsi="宋体" w:eastAsia="宋体" w:cs="宋体"/>
          <w:sz w:val="72"/>
          <w:szCs w:val="112"/>
        </w:rPr>
      </w:pPr>
    </w:p>
    <w:p w14:paraId="6E6CF4AB">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37290E4C">
      <w:pPr>
        <w:jc w:val="center"/>
        <w:rPr>
          <w:rFonts w:hint="eastAsia" w:ascii="宋体" w:hAnsi="宋体" w:eastAsia="宋体" w:cs="宋体"/>
          <w:b/>
          <w:bCs/>
          <w:sz w:val="72"/>
          <w:szCs w:val="112"/>
        </w:rPr>
      </w:pPr>
    </w:p>
    <w:p w14:paraId="40560457">
      <w:pPr>
        <w:jc w:val="center"/>
        <w:rPr>
          <w:rFonts w:hint="eastAsia" w:ascii="宋体" w:hAnsi="宋体" w:eastAsia="宋体" w:cs="宋体"/>
          <w:b/>
          <w:bCs/>
          <w:sz w:val="72"/>
          <w:szCs w:val="112"/>
        </w:rPr>
      </w:pPr>
    </w:p>
    <w:p w14:paraId="63105E2D">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10CB1B07">
      <w:pPr>
        <w:jc w:val="center"/>
        <w:rPr>
          <w:rFonts w:hint="eastAsia" w:ascii="宋体" w:hAnsi="宋体" w:eastAsia="宋体" w:cs="宋体"/>
          <w:sz w:val="72"/>
          <w:szCs w:val="112"/>
        </w:rPr>
      </w:pPr>
    </w:p>
    <w:p w14:paraId="2407D85E">
      <w:pPr>
        <w:jc w:val="center"/>
        <w:rPr>
          <w:rFonts w:hint="eastAsia" w:ascii="宋体" w:hAnsi="宋体" w:eastAsia="宋体" w:cs="宋体"/>
          <w:sz w:val="72"/>
          <w:szCs w:val="112"/>
        </w:rPr>
      </w:pPr>
    </w:p>
    <w:p w14:paraId="70191E24">
      <w:pPr>
        <w:jc w:val="left"/>
        <w:rPr>
          <w:rFonts w:hint="eastAsia" w:ascii="宋体" w:hAnsi="宋体" w:eastAsia="宋体" w:cs="宋体"/>
          <w:sz w:val="36"/>
          <w:szCs w:val="44"/>
          <w:lang w:val="en-US" w:eastAsia="zh-CN"/>
        </w:rPr>
      </w:pPr>
      <w:r>
        <w:rPr>
          <w:rFonts w:hint="eastAsia" w:ascii="宋体" w:hAnsi="宋体" w:eastAsia="宋体" w:cs="宋体"/>
          <w:sz w:val="36"/>
          <w:szCs w:val="44"/>
        </w:rPr>
        <w:t>项目编号：</w:t>
      </w:r>
      <w:r>
        <w:rPr>
          <w:rFonts w:hint="eastAsia" w:ascii="宋体" w:hAnsi="宋体" w:eastAsia="宋体" w:cs="宋体"/>
          <w:sz w:val="36"/>
          <w:szCs w:val="44"/>
          <w:u w:val="single"/>
          <w:lang w:eastAsia="zh-CN"/>
        </w:rPr>
        <w:t>XJKC-ZB-2026（035）</w:t>
      </w:r>
    </w:p>
    <w:p w14:paraId="0D14038C">
      <w:pPr>
        <w:jc w:val="left"/>
        <w:rPr>
          <w:rFonts w:hint="eastAsia" w:ascii="宋体" w:hAnsi="宋体" w:eastAsia="宋体" w:cs="宋体"/>
          <w:sz w:val="36"/>
          <w:szCs w:val="44"/>
        </w:rPr>
      </w:pPr>
    </w:p>
    <w:p w14:paraId="25415594">
      <w:pPr>
        <w:jc w:val="left"/>
        <w:rPr>
          <w:rFonts w:hint="eastAsia" w:ascii="宋体" w:hAnsi="宋体" w:eastAsia="宋体" w:cs="宋体"/>
          <w:sz w:val="36"/>
          <w:szCs w:val="44"/>
          <w:u w:val="single"/>
          <w:lang w:val="en-US" w:eastAsia="zh-CN"/>
        </w:rPr>
      </w:pPr>
      <w:r>
        <w:rPr>
          <w:rFonts w:hint="eastAsia" w:ascii="宋体" w:hAnsi="宋体" w:eastAsia="宋体" w:cs="宋体"/>
          <w:sz w:val="36"/>
          <w:szCs w:val="44"/>
        </w:rPr>
        <w:t>项目名称：</w:t>
      </w:r>
      <w:r>
        <w:rPr>
          <w:rFonts w:hint="eastAsia" w:ascii="宋体" w:hAnsi="宋体" w:eastAsia="宋体" w:cs="宋体"/>
          <w:sz w:val="36"/>
          <w:szCs w:val="44"/>
          <w:u w:val="single"/>
          <w:lang w:val="en-US" w:eastAsia="zh-CN"/>
        </w:rPr>
        <w:t>自治区一体化算力网监测调度平台服务类项目-全过程审计服务</w:t>
      </w:r>
    </w:p>
    <w:p w14:paraId="3AA7BF3E">
      <w:pPr>
        <w:pStyle w:val="2"/>
        <w:rPr>
          <w:rFonts w:hint="eastAsia"/>
          <w:lang w:val="en-US" w:eastAsia="zh-CN"/>
        </w:rPr>
      </w:pPr>
    </w:p>
    <w:p w14:paraId="58AD8DD8">
      <w:pPr>
        <w:jc w:val="left"/>
        <w:rPr>
          <w:rFonts w:hint="default" w:ascii="宋体" w:hAnsi="宋体" w:eastAsia="宋体" w:cs="宋体"/>
          <w:sz w:val="36"/>
          <w:szCs w:val="44"/>
          <w:lang w:val="en-US" w:eastAsia="zh-CN"/>
        </w:rPr>
      </w:pPr>
      <w:r>
        <w:rPr>
          <w:rFonts w:hint="eastAsia" w:ascii="宋体" w:hAnsi="宋体" w:eastAsia="宋体" w:cs="宋体"/>
          <w:sz w:val="36"/>
          <w:szCs w:val="44"/>
        </w:rPr>
        <w:t>采购人：</w:t>
      </w:r>
      <w:r>
        <w:rPr>
          <w:rFonts w:hint="eastAsia" w:ascii="宋体" w:hAnsi="宋体" w:eastAsia="宋体" w:cs="宋体"/>
          <w:sz w:val="36"/>
          <w:szCs w:val="44"/>
          <w:highlight w:val="none"/>
          <w:u w:val="single"/>
          <w:lang w:val="en-US" w:eastAsia="zh-CN"/>
        </w:rPr>
        <w:t>新疆维吾尔自治区数据资源和政务服务中心</w:t>
      </w:r>
    </w:p>
    <w:p w14:paraId="6875FC45">
      <w:pPr>
        <w:jc w:val="left"/>
        <w:rPr>
          <w:rFonts w:hint="eastAsia" w:ascii="宋体" w:hAnsi="宋体" w:eastAsia="宋体" w:cs="宋体"/>
          <w:sz w:val="36"/>
          <w:szCs w:val="44"/>
        </w:rPr>
      </w:pPr>
    </w:p>
    <w:p w14:paraId="4B00FD23">
      <w:pPr>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3BF97A21">
      <w:pPr>
        <w:rPr>
          <w:rFonts w:hint="eastAsia" w:ascii="宋体" w:hAnsi="宋体" w:eastAsia="宋体" w:cs="宋体"/>
          <w:sz w:val="36"/>
          <w:szCs w:val="44"/>
          <w:u w:val="single"/>
        </w:rPr>
      </w:pPr>
      <w:r>
        <w:rPr>
          <w:rFonts w:hint="eastAsia" w:ascii="宋体" w:hAnsi="宋体" w:eastAsia="宋体" w:cs="宋体"/>
          <w:sz w:val="36"/>
          <w:szCs w:val="44"/>
          <w:u w:val="single"/>
        </w:rPr>
        <w:br w:type="page"/>
      </w:r>
    </w:p>
    <w:p w14:paraId="5CCD8F84">
      <w:pPr>
        <w:rPr>
          <w:rFonts w:hint="eastAsia" w:ascii="宋体" w:hAnsi="宋体" w:eastAsia="宋体" w:cs="宋体"/>
          <w:szCs w:val="44"/>
          <w:u w:val="none"/>
        </w:rPr>
      </w:pPr>
      <w:bookmarkStart w:id="0" w:name="_Toc22740"/>
    </w:p>
    <w:sdt>
      <w:sdtPr>
        <w:rPr>
          <w:rFonts w:ascii="宋体" w:hAnsi="宋体" w:eastAsia="宋体" w:cstheme="minorBidi"/>
          <w:kern w:val="2"/>
          <w:sz w:val="21"/>
          <w:szCs w:val="24"/>
          <w:lang w:val="en-US" w:eastAsia="zh-CN" w:bidi="ar-SA"/>
        </w:rPr>
        <w:id w:val="147473776"/>
        <w15:color w:val="DBDBDB"/>
        <w:docPartObj>
          <w:docPartGallery w:val="Table of Contents"/>
          <w:docPartUnique/>
        </w:docPartObj>
      </w:sdtPr>
      <w:sdtEndPr>
        <w:rPr>
          <w:rFonts w:hint="eastAsia" w:ascii="仿宋_GB2312" w:hAnsi="Arial" w:eastAsia="仿宋_GB2312" w:cstheme="minorBidi"/>
          <w:kern w:val="2"/>
          <w:sz w:val="30"/>
          <w:szCs w:val="30"/>
          <w:lang w:val="en-US" w:eastAsia="zh-CN" w:bidi="ar-SA"/>
        </w:rPr>
      </w:sdtEndPr>
      <w:sdtContent>
        <w:p w14:paraId="298142F4">
          <w:pPr>
            <w:spacing w:before="0" w:beforeLines="0" w:after="0" w:afterLines="0" w:line="600" w:lineRule="auto"/>
            <w:ind w:left="0" w:leftChars="0" w:right="0" w:rightChars="0" w:firstLine="0" w:firstLineChars="0"/>
            <w:jc w:val="center"/>
            <w:rPr>
              <w:sz w:val="30"/>
              <w:szCs w:val="30"/>
            </w:rPr>
          </w:pPr>
          <w:r>
            <w:rPr>
              <w:rFonts w:ascii="宋体" w:hAnsi="宋体" w:eastAsia="宋体"/>
              <w:sz w:val="30"/>
              <w:szCs w:val="30"/>
            </w:rPr>
            <w:t>目录</w:t>
          </w:r>
        </w:p>
        <w:p w14:paraId="13FD3005">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TOC \o "1-1" \h \u </w:instrText>
          </w:r>
          <w:r>
            <w:rPr>
              <w:rFonts w:hint="eastAsia"/>
              <w:sz w:val="30"/>
              <w:szCs w:val="30"/>
            </w:rPr>
            <w:fldChar w:fldCharType="separate"/>
          </w:r>
          <w:r>
            <w:rPr>
              <w:rFonts w:hint="eastAsia"/>
              <w:sz w:val="30"/>
              <w:szCs w:val="30"/>
            </w:rPr>
            <w:fldChar w:fldCharType="begin"/>
          </w:r>
          <w:r>
            <w:rPr>
              <w:rFonts w:hint="eastAsia"/>
              <w:sz w:val="30"/>
              <w:szCs w:val="30"/>
            </w:rPr>
            <w:instrText xml:space="preserve"> HYPERLINK \l _Toc9228 </w:instrText>
          </w:r>
          <w:r>
            <w:rPr>
              <w:rFonts w:hint="eastAsia"/>
              <w:sz w:val="30"/>
              <w:szCs w:val="30"/>
            </w:rPr>
            <w:fldChar w:fldCharType="separate"/>
          </w:r>
          <w:r>
            <w:rPr>
              <w:rFonts w:hint="eastAsia" w:ascii="宋体" w:hAnsi="宋体" w:eastAsia="宋体" w:cs="宋体"/>
              <w:bCs/>
              <w:sz w:val="30"/>
              <w:szCs w:val="30"/>
            </w:rPr>
            <w:t>第一章  公开招标公告</w:t>
          </w:r>
          <w:r>
            <w:rPr>
              <w:sz w:val="30"/>
              <w:szCs w:val="30"/>
            </w:rPr>
            <w:tab/>
          </w:r>
          <w:r>
            <w:rPr>
              <w:sz w:val="30"/>
              <w:szCs w:val="30"/>
            </w:rPr>
            <w:fldChar w:fldCharType="begin"/>
          </w:r>
          <w:r>
            <w:rPr>
              <w:sz w:val="30"/>
              <w:szCs w:val="30"/>
            </w:rPr>
            <w:instrText xml:space="preserve"> PAGEREF _Toc9228 \h </w:instrText>
          </w:r>
          <w:r>
            <w:rPr>
              <w:sz w:val="30"/>
              <w:szCs w:val="30"/>
            </w:rPr>
            <w:fldChar w:fldCharType="separate"/>
          </w:r>
          <w:r>
            <w:rPr>
              <w:sz w:val="30"/>
              <w:szCs w:val="30"/>
            </w:rPr>
            <w:t>1</w:t>
          </w:r>
          <w:r>
            <w:rPr>
              <w:sz w:val="30"/>
              <w:szCs w:val="30"/>
            </w:rPr>
            <w:fldChar w:fldCharType="end"/>
          </w:r>
          <w:r>
            <w:rPr>
              <w:rFonts w:hint="eastAsia"/>
              <w:sz w:val="30"/>
              <w:szCs w:val="30"/>
            </w:rPr>
            <w:fldChar w:fldCharType="end"/>
          </w:r>
        </w:p>
        <w:p w14:paraId="46B410BC">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_Toc18294 </w:instrText>
          </w:r>
          <w:r>
            <w:rPr>
              <w:rFonts w:hint="eastAsia"/>
              <w:sz w:val="30"/>
              <w:szCs w:val="30"/>
            </w:rPr>
            <w:fldChar w:fldCharType="separate"/>
          </w:r>
          <w:r>
            <w:rPr>
              <w:rFonts w:hint="eastAsia" w:ascii="宋体" w:hAnsi="宋体" w:eastAsia="宋体" w:cs="宋体"/>
              <w:bCs/>
              <w:sz w:val="30"/>
              <w:szCs w:val="30"/>
            </w:rPr>
            <w:t>第二章  投标人须知</w:t>
          </w:r>
          <w:r>
            <w:rPr>
              <w:sz w:val="30"/>
              <w:szCs w:val="30"/>
            </w:rPr>
            <w:tab/>
          </w:r>
          <w:r>
            <w:rPr>
              <w:sz w:val="30"/>
              <w:szCs w:val="30"/>
            </w:rPr>
            <w:fldChar w:fldCharType="begin"/>
          </w:r>
          <w:r>
            <w:rPr>
              <w:sz w:val="30"/>
              <w:szCs w:val="30"/>
            </w:rPr>
            <w:instrText xml:space="preserve"> PAGEREF _Toc18294 \h </w:instrText>
          </w:r>
          <w:r>
            <w:rPr>
              <w:sz w:val="30"/>
              <w:szCs w:val="30"/>
            </w:rPr>
            <w:fldChar w:fldCharType="separate"/>
          </w:r>
          <w:r>
            <w:rPr>
              <w:sz w:val="30"/>
              <w:szCs w:val="30"/>
            </w:rPr>
            <w:t>5</w:t>
          </w:r>
          <w:r>
            <w:rPr>
              <w:sz w:val="30"/>
              <w:szCs w:val="30"/>
            </w:rPr>
            <w:fldChar w:fldCharType="end"/>
          </w:r>
          <w:r>
            <w:rPr>
              <w:rFonts w:hint="eastAsia"/>
              <w:sz w:val="30"/>
              <w:szCs w:val="30"/>
            </w:rPr>
            <w:fldChar w:fldCharType="end"/>
          </w:r>
        </w:p>
        <w:p w14:paraId="5262F441">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_Toc31576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三</w:t>
          </w:r>
          <w:r>
            <w:rPr>
              <w:rFonts w:hint="eastAsia" w:ascii="宋体" w:hAnsi="宋体" w:eastAsia="宋体" w:cs="宋体"/>
              <w:bCs/>
              <w:sz w:val="30"/>
              <w:szCs w:val="30"/>
            </w:rPr>
            <w:t xml:space="preserve">章 </w:t>
          </w:r>
          <w:r>
            <w:rPr>
              <w:rFonts w:hint="eastAsia" w:ascii="宋体" w:hAnsi="宋体" w:eastAsia="宋体" w:cs="宋体"/>
              <w:bCs/>
              <w:sz w:val="30"/>
              <w:szCs w:val="30"/>
              <w:lang w:val="en-US" w:eastAsia="zh-CN"/>
            </w:rPr>
            <w:t>项目</w:t>
          </w:r>
          <w:r>
            <w:rPr>
              <w:rFonts w:hint="eastAsia" w:ascii="宋体" w:hAnsi="宋体" w:eastAsia="宋体" w:cs="宋体"/>
              <w:bCs/>
              <w:sz w:val="30"/>
              <w:szCs w:val="30"/>
            </w:rPr>
            <w:t>需求</w:t>
          </w:r>
          <w:r>
            <w:rPr>
              <w:sz w:val="30"/>
              <w:szCs w:val="30"/>
            </w:rPr>
            <w:tab/>
          </w:r>
          <w:r>
            <w:rPr>
              <w:sz w:val="30"/>
              <w:szCs w:val="30"/>
            </w:rPr>
            <w:fldChar w:fldCharType="begin"/>
          </w:r>
          <w:r>
            <w:rPr>
              <w:sz w:val="30"/>
              <w:szCs w:val="30"/>
            </w:rPr>
            <w:instrText xml:space="preserve"> PAGEREF _Toc31576 \h </w:instrText>
          </w:r>
          <w:r>
            <w:rPr>
              <w:sz w:val="30"/>
              <w:szCs w:val="30"/>
            </w:rPr>
            <w:fldChar w:fldCharType="separate"/>
          </w:r>
          <w:r>
            <w:rPr>
              <w:sz w:val="30"/>
              <w:szCs w:val="30"/>
            </w:rPr>
            <w:t>42</w:t>
          </w:r>
          <w:r>
            <w:rPr>
              <w:sz w:val="30"/>
              <w:szCs w:val="30"/>
            </w:rPr>
            <w:fldChar w:fldCharType="end"/>
          </w:r>
          <w:r>
            <w:rPr>
              <w:rFonts w:hint="eastAsia"/>
              <w:sz w:val="30"/>
              <w:szCs w:val="30"/>
            </w:rPr>
            <w:fldChar w:fldCharType="end"/>
          </w:r>
        </w:p>
        <w:p w14:paraId="266DAE09">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_Toc14722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章  评标办法</w:t>
          </w:r>
          <w:r>
            <w:rPr>
              <w:sz w:val="30"/>
              <w:szCs w:val="30"/>
            </w:rPr>
            <w:tab/>
          </w:r>
          <w:r>
            <w:rPr>
              <w:sz w:val="30"/>
              <w:szCs w:val="30"/>
            </w:rPr>
            <w:fldChar w:fldCharType="begin"/>
          </w:r>
          <w:r>
            <w:rPr>
              <w:sz w:val="30"/>
              <w:szCs w:val="30"/>
            </w:rPr>
            <w:instrText xml:space="preserve"> PAGEREF _Toc14722 \h </w:instrText>
          </w:r>
          <w:r>
            <w:rPr>
              <w:sz w:val="30"/>
              <w:szCs w:val="30"/>
            </w:rPr>
            <w:fldChar w:fldCharType="separate"/>
          </w:r>
          <w:r>
            <w:rPr>
              <w:sz w:val="30"/>
              <w:szCs w:val="30"/>
            </w:rPr>
            <w:t>49</w:t>
          </w:r>
          <w:r>
            <w:rPr>
              <w:sz w:val="30"/>
              <w:szCs w:val="30"/>
            </w:rPr>
            <w:fldChar w:fldCharType="end"/>
          </w:r>
          <w:r>
            <w:rPr>
              <w:rFonts w:hint="eastAsia"/>
              <w:sz w:val="30"/>
              <w:szCs w:val="30"/>
            </w:rPr>
            <w:fldChar w:fldCharType="end"/>
          </w:r>
        </w:p>
        <w:p w14:paraId="183305BA">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_Toc5374 </w:instrText>
          </w:r>
          <w:r>
            <w:rPr>
              <w:rFonts w:hint="eastAsia"/>
              <w:sz w:val="30"/>
              <w:szCs w:val="30"/>
            </w:rPr>
            <w:fldChar w:fldCharType="separate"/>
          </w:r>
          <w:r>
            <w:rPr>
              <w:rFonts w:hint="eastAsia" w:ascii="宋体" w:hAnsi="宋体" w:eastAsia="宋体" w:cs="宋体"/>
              <w:bCs/>
              <w:sz w:val="30"/>
              <w:szCs w:val="30"/>
            </w:rPr>
            <w:t>第五章  签订合同及合同范本</w:t>
          </w:r>
          <w:r>
            <w:rPr>
              <w:sz w:val="30"/>
              <w:szCs w:val="30"/>
            </w:rPr>
            <w:tab/>
          </w:r>
          <w:r>
            <w:rPr>
              <w:sz w:val="30"/>
              <w:szCs w:val="30"/>
            </w:rPr>
            <w:fldChar w:fldCharType="begin"/>
          </w:r>
          <w:r>
            <w:rPr>
              <w:sz w:val="30"/>
              <w:szCs w:val="30"/>
            </w:rPr>
            <w:instrText xml:space="preserve"> PAGEREF _Toc5374 \h </w:instrText>
          </w:r>
          <w:r>
            <w:rPr>
              <w:sz w:val="30"/>
              <w:szCs w:val="30"/>
            </w:rPr>
            <w:fldChar w:fldCharType="separate"/>
          </w:r>
          <w:r>
            <w:rPr>
              <w:sz w:val="30"/>
              <w:szCs w:val="30"/>
            </w:rPr>
            <w:t>58</w:t>
          </w:r>
          <w:r>
            <w:rPr>
              <w:sz w:val="30"/>
              <w:szCs w:val="30"/>
            </w:rPr>
            <w:fldChar w:fldCharType="end"/>
          </w:r>
          <w:r>
            <w:rPr>
              <w:rFonts w:hint="eastAsia"/>
              <w:sz w:val="30"/>
              <w:szCs w:val="30"/>
            </w:rPr>
            <w:fldChar w:fldCharType="end"/>
          </w:r>
        </w:p>
        <w:p w14:paraId="3CC83D42">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_Toc5710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rPr>
            <w:t>章  投标文件格式</w:t>
          </w:r>
          <w:r>
            <w:rPr>
              <w:sz w:val="30"/>
              <w:szCs w:val="30"/>
            </w:rPr>
            <w:tab/>
          </w:r>
          <w:r>
            <w:rPr>
              <w:sz w:val="30"/>
              <w:szCs w:val="30"/>
            </w:rPr>
            <w:fldChar w:fldCharType="begin"/>
          </w:r>
          <w:r>
            <w:rPr>
              <w:sz w:val="30"/>
              <w:szCs w:val="30"/>
            </w:rPr>
            <w:instrText xml:space="preserve"> PAGEREF _Toc5710 \h </w:instrText>
          </w:r>
          <w:r>
            <w:rPr>
              <w:sz w:val="30"/>
              <w:szCs w:val="30"/>
            </w:rPr>
            <w:fldChar w:fldCharType="separate"/>
          </w:r>
          <w:r>
            <w:rPr>
              <w:sz w:val="30"/>
              <w:szCs w:val="30"/>
            </w:rPr>
            <w:t>67</w:t>
          </w:r>
          <w:r>
            <w:rPr>
              <w:sz w:val="30"/>
              <w:szCs w:val="30"/>
            </w:rPr>
            <w:fldChar w:fldCharType="end"/>
          </w:r>
          <w:r>
            <w:rPr>
              <w:rFonts w:hint="eastAsia"/>
              <w:sz w:val="30"/>
              <w:szCs w:val="30"/>
            </w:rPr>
            <w:fldChar w:fldCharType="end"/>
          </w:r>
        </w:p>
        <w:p w14:paraId="025E4706">
          <w:pPr>
            <w:pStyle w:val="2"/>
            <w:spacing w:line="600" w:lineRule="auto"/>
            <w:rPr>
              <w:rFonts w:hint="eastAsia" w:ascii="仿宋_GB2312" w:hAnsi="Arial" w:eastAsia="仿宋_GB2312" w:cstheme="minorBidi"/>
              <w:kern w:val="2"/>
              <w:sz w:val="30"/>
              <w:szCs w:val="30"/>
              <w:lang w:val="en-US" w:eastAsia="zh-CN" w:bidi="ar-SA"/>
            </w:rPr>
            <w:sectPr>
              <w:pgSz w:w="11906" w:h="16838"/>
              <w:pgMar w:top="1440" w:right="1800" w:bottom="1440" w:left="1800" w:header="851" w:footer="992" w:gutter="0"/>
              <w:cols w:space="425" w:num="1"/>
              <w:docGrid w:type="lines" w:linePitch="312" w:charSpace="0"/>
            </w:sectPr>
          </w:pPr>
          <w:r>
            <w:rPr>
              <w:rFonts w:hint="eastAsia"/>
              <w:sz w:val="30"/>
              <w:szCs w:val="30"/>
            </w:rPr>
            <w:fldChar w:fldCharType="end"/>
          </w:r>
        </w:p>
      </w:sdtContent>
    </w:sdt>
    <w:p w14:paraId="193DD2C6">
      <w:pPr>
        <w:jc w:val="center"/>
        <w:outlineLvl w:val="0"/>
        <w:rPr>
          <w:rFonts w:hint="eastAsia" w:ascii="宋体" w:hAnsi="宋体" w:eastAsia="宋体" w:cs="宋体"/>
          <w:b/>
          <w:bCs/>
          <w:sz w:val="36"/>
          <w:szCs w:val="44"/>
          <w:u w:val="none"/>
        </w:rPr>
      </w:pPr>
      <w:bookmarkStart w:id="1" w:name="_Toc9228"/>
      <w:bookmarkStart w:id="14" w:name="_GoBack"/>
      <w:bookmarkEnd w:id="14"/>
      <w:r>
        <w:rPr>
          <w:rFonts w:hint="eastAsia" w:ascii="宋体" w:hAnsi="宋体" w:eastAsia="宋体" w:cs="宋体"/>
          <w:b/>
          <w:bCs/>
          <w:sz w:val="36"/>
          <w:szCs w:val="44"/>
          <w:u w:val="none"/>
        </w:rPr>
        <w:t>第一章  公开招标公告</w:t>
      </w:r>
      <w:bookmarkEnd w:id="0"/>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3154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00C713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项目概况</w:t>
            </w:r>
          </w:p>
          <w:p w14:paraId="6BE9B6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u w:val="none"/>
                <w:lang w:val="en-US" w:eastAsia="zh-CN"/>
              </w:rPr>
              <w:t>自治区一体化算力网监测调度平台服务类项目-全过程审计服务</w:t>
            </w:r>
            <w:r>
              <w:rPr>
                <w:rFonts w:hint="eastAsia" w:ascii="宋体" w:hAnsi="宋体" w:eastAsia="宋体" w:cs="宋体"/>
                <w:sz w:val="24"/>
                <w:szCs w:val="24"/>
                <w:vertAlign w:val="baseline"/>
                <w:lang w:val="en-US" w:eastAsia="zh-CN"/>
              </w:rPr>
              <w:t>的潜在投标人应在政采云平台线上获取招标文件，并于</w:t>
            </w:r>
            <w:r>
              <w:rPr>
                <w:rFonts w:hint="eastAsia" w:ascii="宋体" w:hAnsi="宋体" w:eastAsia="宋体" w:cs="宋体"/>
                <w:sz w:val="24"/>
                <w:szCs w:val="24"/>
                <w:highlight w:val="none"/>
                <w:vertAlign w:val="baseline"/>
                <w:lang w:val="en-US" w:eastAsia="zh-CN"/>
              </w:rPr>
              <w:t>2026年05月22日11：00</w:t>
            </w:r>
            <w:r>
              <w:rPr>
                <w:rFonts w:hint="eastAsia" w:ascii="宋体" w:hAnsi="宋体" w:eastAsia="宋体" w:cs="宋体"/>
                <w:sz w:val="24"/>
                <w:szCs w:val="24"/>
                <w:vertAlign w:val="baseline"/>
                <w:lang w:val="en-US" w:eastAsia="zh-CN"/>
              </w:rPr>
              <w:t>（北京时间）前递交投标文件。</w:t>
            </w:r>
          </w:p>
        </w:tc>
      </w:tr>
    </w:tbl>
    <w:p w14:paraId="0BCE4411">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p>
    <w:p w14:paraId="73C6F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eastAsia="zh-CN"/>
        </w:rPr>
        <w:t>XJKC-ZB-2026（035）</w:t>
      </w:r>
      <w:r>
        <w:rPr>
          <w:rFonts w:hint="eastAsia" w:ascii="宋体" w:hAnsi="宋体" w:eastAsia="宋体" w:cs="宋体"/>
          <w:sz w:val="24"/>
          <w:szCs w:val="24"/>
          <w:u w:val="none"/>
          <w:lang w:val="en-US" w:eastAsia="zh-CN"/>
        </w:rPr>
        <w:t xml:space="preserve"> </w:t>
      </w:r>
    </w:p>
    <w:p w14:paraId="2146E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项目名称：</w:t>
      </w:r>
      <w:r>
        <w:rPr>
          <w:rFonts w:hint="eastAsia" w:ascii="宋体" w:hAnsi="宋体" w:eastAsia="宋体" w:cs="宋体"/>
          <w:sz w:val="24"/>
          <w:szCs w:val="24"/>
          <w:u w:val="none"/>
          <w:lang w:val="en-US" w:eastAsia="zh-CN"/>
        </w:rPr>
        <w:t>自治区一体化算力网监测调度平台服务类项目-全过程审计服务</w:t>
      </w:r>
    </w:p>
    <w:p w14:paraId="01DFBE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采购方式：</w:t>
      </w:r>
      <w:r>
        <w:rPr>
          <w:rFonts w:hint="eastAsia" w:ascii="宋体" w:hAnsi="宋体" w:eastAsia="宋体" w:cs="宋体"/>
          <w:sz w:val="24"/>
          <w:szCs w:val="24"/>
          <w:u w:val="none"/>
          <w:lang w:val="en-US" w:eastAsia="zh-CN"/>
        </w:rPr>
        <w:t>公开招标</w:t>
      </w:r>
    </w:p>
    <w:p w14:paraId="5DF5A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预</w:t>
      </w:r>
      <w:r>
        <w:rPr>
          <w:rFonts w:hint="eastAsia" w:ascii="宋体" w:hAnsi="宋体" w:eastAsia="宋体" w:cs="宋体"/>
          <w:sz w:val="24"/>
          <w:szCs w:val="24"/>
          <w:highlight w:val="none"/>
          <w:u w:val="none"/>
        </w:rPr>
        <w:t>算金额（元）：</w:t>
      </w:r>
      <w:r>
        <w:rPr>
          <w:rFonts w:hint="eastAsia" w:ascii="宋体" w:hAnsi="宋体" w:eastAsia="宋体" w:cs="宋体"/>
          <w:sz w:val="24"/>
          <w:szCs w:val="24"/>
          <w:highlight w:val="none"/>
          <w:u w:val="none"/>
          <w:lang w:val="en-US" w:eastAsia="zh-CN"/>
        </w:rPr>
        <w:t>146000.00元</w:t>
      </w:r>
    </w:p>
    <w:p w14:paraId="5BA16F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本项目设定最高限价</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146000.00元</w:t>
      </w:r>
    </w:p>
    <w:p w14:paraId="0BC792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采购需求：</w:t>
      </w:r>
      <w:r>
        <w:rPr>
          <w:rFonts w:hint="eastAsia" w:ascii="宋体" w:hAnsi="宋体" w:eastAsia="宋体" w:cs="宋体"/>
          <w:sz w:val="24"/>
          <w:szCs w:val="24"/>
          <w:highlight w:val="none"/>
          <w:u w:val="none"/>
          <w:lang w:val="en-US" w:eastAsia="zh-CN"/>
        </w:rPr>
        <w:t>在自治区层面建立统一的一体化算力网监测调度平台，通过建立算力监测指标，整合算力方式，提升多元算力统一调度和算电协同能力，赋能数字经济高质量发展（项目建设工期：13个月）。包括但不限于编制项目全过程审计服务文档、信息化建设项目评审报告、审查工程招投标资格预审文件、投标文件，对项目招标标段划分及各标段临界点设置的合理性提供建议等全过程审计服务，详见第三章项目需求。</w:t>
      </w:r>
    </w:p>
    <w:p w14:paraId="6D0D0E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7.合同履约期限：合同签订至履约完成截止，具体时间以实际签订合同日期为准。</w:t>
      </w:r>
    </w:p>
    <w:p w14:paraId="1C41FA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本项目（是）接受联合体投标。(组成联合体的所有成员数量不得超过2家，并且由全过程造价单位作为联合体牵头人。联合体投标应满足供应商资格要求，联合体各方均不得再以自己名义单独或参加其他联合体在同一标段投标，否则，相关投标均无效)。</w:t>
      </w:r>
    </w:p>
    <w:p w14:paraId="48DF1FAB">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二、申请人的资格要求：</w:t>
      </w:r>
    </w:p>
    <w:p w14:paraId="27354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满足《中华人民共和国政府采购法》第二十二条规定；</w:t>
      </w:r>
    </w:p>
    <w:p w14:paraId="7010A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2</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落实政府采购政策需满足的资格要求：</w:t>
      </w:r>
      <w:r>
        <w:rPr>
          <w:rFonts w:hint="eastAsia" w:ascii="宋体" w:hAnsi="宋体" w:eastAsia="宋体" w:cs="宋体"/>
          <w:b/>
          <w:bCs/>
          <w:sz w:val="24"/>
          <w:szCs w:val="24"/>
          <w:highlight w:val="none"/>
          <w:u w:val="none"/>
        </w:rPr>
        <w:t>本项目为专门面向中小企业（含中型、小型、微型企业）采购项目</w:t>
      </w:r>
      <w:r>
        <w:rPr>
          <w:rFonts w:hint="eastAsia" w:ascii="宋体" w:hAnsi="宋体" w:eastAsia="宋体" w:cs="宋体"/>
          <w:sz w:val="24"/>
          <w:szCs w:val="24"/>
          <w:highlight w:val="none"/>
          <w:u w:val="none"/>
        </w:rPr>
        <w:t>，根据《政府采购促进中小企业发展管理办法》（财库[2020]46号）的规定，不再执行价格评审优惠的扶持政策，必须提供中小企业声明函</w:t>
      </w:r>
      <w:r>
        <w:rPr>
          <w:rFonts w:hint="eastAsia" w:ascii="宋体" w:hAnsi="宋体" w:eastAsia="宋体" w:cs="宋体"/>
          <w:sz w:val="24"/>
          <w:szCs w:val="24"/>
          <w:highlight w:val="none"/>
          <w:u w:val="none"/>
          <w:lang w:val="en-US" w:eastAsia="zh-CN"/>
        </w:rPr>
        <w:t>。</w:t>
      </w:r>
    </w:p>
    <w:p w14:paraId="6C3878A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本项目的特定资格要求：</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项目负责人必须已在投标人单位注册，具有国家一级注册造价师。（2）</w:t>
      </w:r>
      <w:r>
        <w:rPr>
          <w:rFonts w:hint="eastAsia" w:ascii="宋体" w:hAnsi="宋体" w:cs="宋体"/>
          <w:sz w:val="24"/>
          <w:szCs w:val="24"/>
          <w:highlight w:val="none"/>
          <w:lang w:val="en-US" w:eastAsia="zh-CN"/>
        </w:rPr>
        <w:t>具有会计师事务所执业证书。</w:t>
      </w:r>
    </w:p>
    <w:p w14:paraId="78283388">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三、获取招标文件</w:t>
      </w:r>
    </w:p>
    <w:p w14:paraId="364618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时间：202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30</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rPr>
        <w:t>日，每天上午00</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00，下午14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00至23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59（北京时间，法定节假日除外）</w:t>
      </w:r>
    </w:p>
    <w:p w14:paraId="6F807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地点：政采云平台线上</w:t>
      </w:r>
    </w:p>
    <w:p w14:paraId="34B12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方式：供应商登录政采云平台https</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//www</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zcygov</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cn/在线申请获取采购文件（进入“项目采购”应用，在获取采购文件菜单中选择项目，申请获取采购文件），或者点击采购公告底部潜在供应商“获取采购文件”，页面跳转后登陆，直接获取采购文件。</w:t>
      </w:r>
    </w:p>
    <w:p w14:paraId="75DCE9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售价（元）：0</w:t>
      </w:r>
    </w:p>
    <w:p w14:paraId="767C1161">
      <w:pPr>
        <w:spacing w:line="360" w:lineRule="auto"/>
        <w:jc w:val="left"/>
        <w:outlineLvl w:val="1"/>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四、提交投标文件截止时间、开标时间和地点</w:t>
      </w:r>
    </w:p>
    <w:p w14:paraId="700F1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提交投标文件截止时间：2026年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836E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投标地点：请登录政采云投标客户端投标</w:t>
      </w:r>
    </w:p>
    <w:p w14:paraId="2D593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开标时间：2026年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6818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开标地点：投标人登录政采云平台https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//www</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cn/，进入“项目采购-开标评标-右边选择对应项目点击“进入项目”进入开标大厅。</w:t>
      </w:r>
    </w:p>
    <w:p w14:paraId="20670BCC">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五、公告期限</w:t>
      </w:r>
    </w:p>
    <w:p w14:paraId="6BE1E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自本公告发布之日起5个工作日。</w:t>
      </w:r>
    </w:p>
    <w:p w14:paraId="17D9FFDD">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六、其他补充事宜</w:t>
      </w:r>
    </w:p>
    <w:p w14:paraId="67817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1、本项目实行网上投标，采用电子投标文件。</w:t>
      </w:r>
    </w:p>
    <w:p w14:paraId="7D3C7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2、各供应商应在开标前确保成为正式注册入库供应商，并完成CA数字证书</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符合国密标准</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48AA8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3、供应商将政采云电子交易客户端下载、安装完成后，可通过账号密码或CA登录客户端进行投标文件的制作。在使用政采云投标客户端时，建议使用WIN7及以上操作系统。</w:t>
      </w:r>
    </w:p>
    <w:p w14:paraId="161C6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4、其他事项：①本项目采用不见面开标，投标人须在投标截止时间前通过CA上传加密的电子投标响应文件。</w:t>
      </w:r>
    </w:p>
    <w:p w14:paraId="27254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②投标人对不见面开评标系统的技术操作咨询，可通过政采云帮助中心常见问题解答和操作流程讲解视频中自助查询，网址为：https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//helpcenter</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cn/document/#/document/dashboard?siteCode=beijing，“项目采购”—“操作流程-电子招投标”—“政府采购项目电子交易管理操作指南-供应商”版面获取操作指南。</w:t>
      </w:r>
    </w:p>
    <w:p w14:paraId="34FF6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③投标人应当在递交截止时间前,将生成的“电子加密响应文件”上传递交至“政府采购云平台”,递交截止时间以后上传递交的响应文件将被“政府采购云平台”拒收。</w:t>
      </w:r>
    </w:p>
    <w:p w14:paraId="7E250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2E83946C">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特别提示：</w:t>
      </w:r>
    </w:p>
    <w:p w14:paraId="5B6363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1、采购限额标准以上，200万元以下的货物和服务采购项目、400万元以下的工程采购项目，适宜由中小企业提供的，采购人应当专门面向中小企业采购。</w:t>
      </w:r>
    </w:p>
    <w:p w14:paraId="4422A9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2、超过200万元的货物和服务采购项目，预留该部分采购项目预算总额的</w:t>
      </w:r>
      <w:r>
        <w:rPr>
          <w:rFonts w:hint="eastAsia" w:ascii="宋体" w:hAnsi="宋体" w:eastAsia="宋体" w:cs="宋体"/>
          <w:b/>
          <w:bCs/>
          <w:sz w:val="24"/>
          <w:szCs w:val="24"/>
          <w:u w:val="none"/>
          <w:lang w:val="en-US" w:eastAsia="zh-CN"/>
        </w:rPr>
        <w:t>40</w:t>
      </w:r>
      <w:r>
        <w:rPr>
          <w:rFonts w:hint="eastAsia" w:ascii="宋体" w:hAnsi="宋体" w:eastAsia="宋体" w:cs="宋体"/>
          <w:b/>
          <w:bCs/>
          <w:sz w:val="24"/>
          <w:szCs w:val="24"/>
          <w:u w:val="none"/>
        </w:rPr>
        <w:t>%以上专门面向中小企业采购，其中预留给小微企业的比例不低于60%。</w:t>
      </w:r>
    </w:p>
    <w:p w14:paraId="04069A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3、超过400万元的工程采购项目中适宜由中小企业提供的，预留该部分采购项目预算总额的40%以上专门面向中小企业采购，其中预留给小微企业的比例不低于60%。</w:t>
      </w:r>
    </w:p>
    <w:p w14:paraId="5762EB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812D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4F4EEB">
      <w:p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u w:val="none"/>
        </w:rPr>
        <w:t>七、对本次采购提出询问，请按以下方式联系</w:t>
      </w:r>
    </w:p>
    <w:p w14:paraId="05655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采购人信息</w:t>
      </w:r>
    </w:p>
    <w:p w14:paraId="614BE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名称：</w:t>
      </w:r>
      <w:r>
        <w:rPr>
          <w:rFonts w:hint="eastAsia" w:ascii="宋体" w:hAnsi="宋体" w:eastAsia="宋体" w:cs="宋体"/>
          <w:sz w:val="24"/>
          <w:szCs w:val="24"/>
          <w:u w:val="none"/>
          <w:lang w:val="en-US" w:eastAsia="zh-CN"/>
        </w:rPr>
        <w:t>新疆维吾尔自治区数据资源和政务服务中心</w:t>
      </w:r>
    </w:p>
    <w:p w14:paraId="47DD0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val="en-US" w:eastAsia="zh-CN"/>
        </w:rPr>
        <w:t>新疆乌鲁木齐市</w:t>
      </w:r>
    </w:p>
    <w:p w14:paraId="523C4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联系人：彭老师</w:t>
      </w:r>
    </w:p>
    <w:p w14:paraId="0DB96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联系方式：</w:t>
      </w:r>
      <w:r>
        <w:rPr>
          <w:rFonts w:hint="eastAsia" w:ascii="宋体" w:hAnsi="宋体" w:eastAsia="宋体" w:cs="宋体"/>
          <w:sz w:val="24"/>
          <w:szCs w:val="24"/>
          <w:highlight w:val="none"/>
          <w:u w:val="none"/>
          <w:lang w:val="en-US" w:eastAsia="zh-CN"/>
        </w:rPr>
        <w:t>18106481028</w:t>
      </w:r>
    </w:p>
    <w:p w14:paraId="3F585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采购代理机构信息</w:t>
      </w:r>
    </w:p>
    <w:p w14:paraId="7D111A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名称：新疆科辰工程项目管理有限公司</w:t>
      </w:r>
    </w:p>
    <w:p w14:paraId="175F1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eastAsia="zh-CN"/>
        </w:rPr>
        <w:t>新疆乌鲁木齐市水磨沟区陶瓷巷16号4楼203室</w:t>
      </w:r>
    </w:p>
    <w:p w14:paraId="0E8A43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联系人：方启明</w:t>
      </w:r>
    </w:p>
    <w:p w14:paraId="33A30B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18611710842</w:t>
      </w:r>
    </w:p>
    <w:p w14:paraId="38E8BF92">
      <w:pPr>
        <w:rPr>
          <w:rFonts w:hint="eastAsia" w:ascii="宋体" w:hAnsi="宋体" w:eastAsia="宋体" w:cs="宋体"/>
          <w:sz w:val="24"/>
          <w:szCs w:val="24"/>
          <w:u w:val="none"/>
        </w:rPr>
      </w:pPr>
      <w:r>
        <w:rPr>
          <w:rFonts w:hint="eastAsia" w:ascii="宋体" w:hAnsi="宋体" w:eastAsia="宋体" w:cs="宋体"/>
          <w:sz w:val="24"/>
          <w:szCs w:val="24"/>
          <w:u w:val="none"/>
        </w:rPr>
        <w:br w:type="page"/>
      </w:r>
    </w:p>
    <w:p w14:paraId="17406554">
      <w:pPr>
        <w:jc w:val="center"/>
        <w:outlineLvl w:val="0"/>
        <w:rPr>
          <w:rFonts w:hint="eastAsia" w:ascii="宋体" w:hAnsi="宋体" w:eastAsia="宋体" w:cs="宋体"/>
          <w:b/>
          <w:bCs/>
          <w:sz w:val="36"/>
          <w:szCs w:val="44"/>
          <w:u w:val="none"/>
        </w:rPr>
      </w:pPr>
      <w:bookmarkStart w:id="2" w:name="_Toc1785"/>
      <w:bookmarkStart w:id="3" w:name="_Toc18294"/>
      <w:r>
        <w:rPr>
          <w:rFonts w:hint="eastAsia" w:ascii="宋体" w:hAnsi="宋体" w:eastAsia="宋体" w:cs="宋体"/>
          <w:b/>
          <w:bCs/>
          <w:sz w:val="36"/>
          <w:szCs w:val="44"/>
          <w:u w:val="none"/>
        </w:rPr>
        <w:t>第二章  投标人须知</w:t>
      </w:r>
      <w:bookmarkEnd w:id="2"/>
      <w:bookmarkEnd w:id="3"/>
    </w:p>
    <w:p w14:paraId="1621505C">
      <w:pPr>
        <w:jc w:val="center"/>
        <w:outlineLvl w:val="1"/>
        <w:rPr>
          <w:rFonts w:hint="eastAsia" w:ascii="宋体" w:hAnsi="宋体" w:eastAsia="宋体" w:cs="宋体"/>
          <w:b/>
          <w:bCs/>
          <w:sz w:val="28"/>
          <w:szCs w:val="36"/>
          <w:u w:val="none"/>
        </w:rPr>
      </w:pPr>
      <w:bookmarkStart w:id="4" w:name="_Toc21655"/>
      <w:r>
        <w:rPr>
          <w:rFonts w:hint="eastAsia" w:ascii="宋体" w:hAnsi="宋体" w:eastAsia="宋体" w:cs="宋体"/>
          <w:b/>
          <w:bCs/>
          <w:sz w:val="28"/>
          <w:szCs w:val="36"/>
          <w:u w:val="none"/>
        </w:rPr>
        <w:t>（一）投标人须知前附表</w:t>
      </w:r>
      <w:bookmarkEnd w:id="4"/>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235D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22BDF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序列号</w:t>
            </w:r>
          </w:p>
        </w:tc>
        <w:tc>
          <w:tcPr>
            <w:tcW w:w="730" w:type="pct"/>
            <w:vAlign w:val="center"/>
          </w:tcPr>
          <w:p w14:paraId="4640DFA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条款名称</w:t>
            </w:r>
          </w:p>
        </w:tc>
        <w:tc>
          <w:tcPr>
            <w:tcW w:w="3980" w:type="pct"/>
            <w:vAlign w:val="center"/>
          </w:tcPr>
          <w:p w14:paraId="63A4386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编列内容规定</w:t>
            </w:r>
          </w:p>
        </w:tc>
      </w:tr>
      <w:tr w14:paraId="293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EA8E9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w:t>
            </w:r>
          </w:p>
        </w:tc>
        <w:tc>
          <w:tcPr>
            <w:tcW w:w="730" w:type="pct"/>
            <w:vAlign w:val="center"/>
          </w:tcPr>
          <w:p w14:paraId="2356FC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项目名称及项目编号</w:t>
            </w:r>
          </w:p>
        </w:tc>
        <w:tc>
          <w:tcPr>
            <w:tcW w:w="3980" w:type="pct"/>
            <w:vAlign w:val="center"/>
          </w:tcPr>
          <w:p w14:paraId="610FAEFA">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rPr>
              <w:t>项目名称：</w:t>
            </w:r>
            <w:r>
              <w:rPr>
                <w:rFonts w:hint="eastAsia" w:ascii="宋体" w:hAnsi="宋体" w:eastAsia="宋体" w:cs="宋体"/>
                <w:b w:val="0"/>
                <w:bCs w:val="0"/>
                <w:sz w:val="24"/>
                <w:szCs w:val="32"/>
                <w:u w:val="single"/>
                <w:vertAlign w:val="baseline"/>
                <w:lang w:val="en-US" w:eastAsia="zh-CN"/>
              </w:rPr>
              <w:t>自治区一体化算力网监测调度平台服务类项目-全过程审计服务</w:t>
            </w:r>
          </w:p>
          <w:p w14:paraId="6AC1A06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项目编号：</w:t>
            </w:r>
            <w:r>
              <w:rPr>
                <w:rFonts w:hint="eastAsia" w:ascii="宋体" w:hAnsi="宋体" w:eastAsia="宋体" w:cs="宋体"/>
                <w:b w:val="0"/>
                <w:bCs w:val="0"/>
                <w:sz w:val="24"/>
                <w:szCs w:val="32"/>
                <w:u w:val="single"/>
                <w:vertAlign w:val="baseline"/>
                <w:lang w:val="en-US" w:eastAsia="zh-CN"/>
              </w:rPr>
              <w:t>XJKC-ZB-2026（035）</w:t>
            </w:r>
          </w:p>
        </w:tc>
      </w:tr>
      <w:tr w14:paraId="586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3CAA1D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w:t>
            </w:r>
          </w:p>
        </w:tc>
        <w:tc>
          <w:tcPr>
            <w:tcW w:w="730" w:type="pct"/>
            <w:vAlign w:val="center"/>
          </w:tcPr>
          <w:p w14:paraId="28D1AB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采购人</w:t>
            </w:r>
          </w:p>
        </w:tc>
        <w:tc>
          <w:tcPr>
            <w:tcW w:w="3980" w:type="pct"/>
            <w:vAlign w:val="center"/>
          </w:tcPr>
          <w:p w14:paraId="664BEA1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单位：</w:t>
            </w:r>
            <w:r>
              <w:rPr>
                <w:rFonts w:hint="eastAsia" w:ascii="宋体" w:hAnsi="宋体" w:eastAsia="宋体" w:cs="宋体"/>
                <w:b w:val="0"/>
                <w:bCs w:val="0"/>
                <w:sz w:val="24"/>
                <w:szCs w:val="32"/>
                <w:u w:val="single"/>
                <w:vertAlign w:val="baseline"/>
                <w:lang w:val="en-US" w:eastAsia="zh-CN"/>
              </w:rPr>
              <w:t>新疆维吾尔自治区数据资源和政务服务中心</w:t>
            </w:r>
          </w:p>
          <w:p w14:paraId="442169D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val="en-US" w:eastAsia="zh-CN"/>
              </w:rPr>
              <w:t>新疆乌鲁木齐市</w:t>
            </w:r>
          </w:p>
          <w:p w14:paraId="6B34838D">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联系方式：</w:t>
            </w:r>
            <w:r>
              <w:rPr>
                <w:rFonts w:hint="eastAsia" w:ascii="宋体" w:hAnsi="宋体" w:eastAsia="宋体" w:cs="宋体"/>
                <w:b w:val="0"/>
                <w:bCs w:val="0"/>
                <w:sz w:val="24"/>
                <w:szCs w:val="32"/>
                <w:highlight w:val="none"/>
                <w:u w:val="single"/>
                <w:vertAlign w:val="baseline"/>
                <w:lang w:val="en-US" w:eastAsia="zh-CN"/>
              </w:rPr>
              <w:t>18106481028</w:t>
            </w:r>
          </w:p>
        </w:tc>
      </w:tr>
      <w:tr w14:paraId="528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01DCF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w:t>
            </w:r>
          </w:p>
        </w:tc>
        <w:tc>
          <w:tcPr>
            <w:tcW w:w="730" w:type="pct"/>
            <w:vAlign w:val="center"/>
          </w:tcPr>
          <w:p w14:paraId="0080B46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采购代理机构</w:t>
            </w:r>
          </w:p>
        </w:tc>
        <w:tc>
          <w:tcPr>
            <w:tcW w:w="3980" w:type="pct"/>
            <w:vAlign w:val="center"/>
          </w:tcPr>
          <w:p w14:paraId="55B0AD3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新疆科辰工程项目管理有限公司</w:t>
            </w:r>
          </w:p>
          <w:p w14:paraId="3A13053E">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eastAsia="zh-CN"/>
              </w:rPr>
              <w:t>新疆乌鲁木齐市水磨沟区陶瓷巷16号4楼203室</w:t>
            </w:r>
          </w:p>
          <w:p w14:paraId="6A3A0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none"/>
                <w:vertAlign w:val="baseline"/>
                <w:lang w:val="en-US" w:eastAsia="zh-CN"/>
              </w:rPr>
              <w:t>方启明</w:t>
            </w:r>
          </w:p>
          <w:p w14:paraId="5A9444E1">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val="en-US" w:eastAsia="zh-CN"/>
              </w:rPr>
              <w:t>18611710842</w:t>
            </w:r>
          </w:p>
        </w:tc>
      </w:tr>
      <w:tr w14:paraId="6BEB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365FB1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4</w:t>
            </w:r>
          </w:p>
        </w:tc>
        <w:tc>
          <w:tcPr>
            <w:tcW w:w="730" w:type="pct"/>
            <w:vAlign w:val="center"/>
          </w:tcPr>
          <w:p w14:paraId="146852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监管部门</w:t>
            </w:r>
          </w:p>
        </w:tc>
        <w:tc>
          <w:tcPr>
            <w:tcW w:w="3980" w:type="pct"/>
            <w:vAlign w:val="center"/>
          </w:tcPr>
          <w:p w14:paraId="5FE1D6F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新疆维吾尔自治区财政厅政府采购管理处</w:t>
            </w:r>
          </w:p>
          <w:p w14:paraId="69EE6905">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lang w:val="en-US" w:eastAsia="zh-CN"/>
              </w:rPr>
              <w:t>监督投诉电话：</w:t>
            </w:r>
            <w:r>
              <w:rPr>
                <w:rFonts w:hint="eastAsia" w:ascii="宋体" w:hAnsi="宋体" w:eastAsia="宋体" w:cs="宋体"/>
                <w:b w:val="0"/>
                <w:bCs w:val="0"/>
                <w:sz w:val="24"/>
                <w:szCs w:val="32"/>
                <w:u w:val="single"/>
                <w:vertAlign w:val="baseline"/>
                <w:lang w:val="en-US" w:eastAsia="zh-CN"/>
              </w:rPr>
              <w:t>0991-2359482</w:t>
            </w:r>
          </w:p>
          <w:p w14:paraId="2763C28F">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通讯地址：</w:t>
            </w:r>
            <w:r>
              <w:rPr>
                <w:rFonts w:hint="eastAsia" w:ascii="宋体" w:hAnsi="宋体" w:eastAsia="宋体" w:cs="宋体"/>
                <w:b w:val="0"/>
                <w:bCs w:val="0"/>
                <w:sz w:val="24"/>
                <w:szCs w:val="32"/>
                <w:u w:val="single"/>
                <w:vertAlign w:val="baseline"/>
                <w:lang w:val="en-US" w:eastAsia="zh-CN"/>
              </w:rPr>
              <w:t>乌鲁木齐市天山区明德路16号</w:t>
            </w:r>
          </w:p>
        </w:tc>
      </w:tr>
      <w:tr w14:paraId="7E3D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AA876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5</w:t>
            </w:r>
          </w:p>
        </w:tc>
        <w:tc>
          <w:tcPr>
            <w:tcW w:w="730" w:type="pct"/>
            <w:vAlign w:val="center"/>
          </w:tcPr>
          <w:p w14:paraId="36AAAEC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资金来源以及资金构成</w:t>
            </w:r>
          </w:p>
        </w:tc>
        <w:tc>
          <w:tcPr>
            <w:tcW w:w="3980" w:type="pct"/>
            <w:vAlign w:val="center"/>
          </w:tcPr>
          <w:p w14:paraId="5288B74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预算金</w:t>
            </w:r>
            <w:r>
              <w:rPr>
                <w:rFonts w:hint="eastAsia" w:ascii="宋体" w:hAnsi="宋体" w:eastAsia="宋体" w:cs="宋体"/>
                <w:b w:val="0"/>
                <w:bCs w:val="0"/>
                <w:sz w:val="24"/>
                <w:szCs w:val="32"/>
                <w:highlight w:val="none"/>
                <w:u w:val="none"/>
                <w:vertAlign w:val="baseline"/>
              </w:rPr>
              <w:t>额为</w:t>
            </w:r>
            <w:r>
              <w:rPr>
                <w:rFonts w:hint="eastAsia" w:ascii="宋体" w:hAnsi="宋体" w:eastAsia="宋体" w:cs="宋体"/>
                <w:b w:val="0"/>
                <w:bCs w:val="0"/>
                <w:sz w:val="24"/>
                <w:szCs w:val="32"/>
                <w:highlight w:val="none"/>
                <w:u w:val="single"/>
                <w:vertAlign w:val="baseline"/>
                <w:lang w:val="en-US" w:eastAsia="zh-CN"/>
              </w:rPr>
              <w:t>146000.00</w:t>
            </w:r>
            <w:r>
              <w:rPr>
                <w:rFonts w:hint="eastAsia" w:ascii="宋体" w:hAnsi="宋体" w:eastAsia="宋体" w:cs="宋体"/>
                <w:b w:val="0"/>
                <w:bCs w:val="0"/>
                <w:sz w:val="24"/>
                <w:szCs w:val="32"/>
                <w:highlight w:val="none"/>
                <w:u w:val="none"/>
                <w:vertAlign w:val="baseline"/>
              </w:rPr>
              <w:t>元，其中财政资金为</w:t>
            </w:r>
            <w:r>
              <w:rPr>
                <w:rFonts w:hint="eastAsia" w:ascii="宋体" w:hAnsi="宋体" w:eastAsia="宋体" w:cs="宋体"/>
                <w:b w:val="0"/>
                <w:bCs w:val="0"/>
                <w:sz w:val="24"/>
                <w:szCs w:val="32"/>
                <w:highlight w:val="none"/>
                <w:u w:val="single"/>
                <w:vertAlign w:val="baseline"/>
                <w:lang w:val="en-US" w:eastAsia="zh-CN"/>
              </w:rPr>
              <w:t>146000.00</w:t>
            </w:r>
            <w:r>
              <w:rPr>
                <w:rFonts w:hint="eastAsia" w:ascii="宋体" w:hAnsi="宋体" w:eastAsia="宋体" w:cs="宋体"/>
                <w:b w:val="0"/>
                <w:bCs w:val="0"/>
                <w:sz w:val="24"/>
                <w:szCs w:val="32"/>
                <w:highlight w:val="none"/>
                <w:u w:val="none"/>
                <w:vertAlign w:val="baseline"/>
              </w:rPr>
              <w:t>元</w:t>
            </w:r>
            <w:r>
              <w:rPr>
                <w:rFonts w:hint="eastAsia" w:ascii="宋体" w:hAnsi="宋体" w:eastAsia="宋体" w:cs="宋体"/>
                <w:b w:val="0"/>
                <w:bCs w:val="0"/>
                <w:sz w:val="24"/>
                <w:szCs w:val="32"/>
                <w:u w:val="none"/>
                <w:vertAlign w:val="baseline"/>
              </w:rPr>
              <w:t>，其他资金为</w:t>
            </w:r>
            <w:r>
              <w:rPr>
                <w:rFonts w:hint="eastAsia" w:ascii="宋体" w:hAnsi="宋体" w:eastAsia="宋体" w:cs="宋体"/>
                <w:b w:val="0"/>
                <w:bCs w:val="0"/>
                <w:sz w:val="24"/>
                <w:szCs w:val="32"/>
                <w:u w:val="single"/>
                <w:vertAlign w:val="baseline"/>
              </w:rPr>
              <w:t>0</w:t>
            </w:r>
            <w:r>
              <w:rPr>
                <w:rFonts w:hint="eastAsia" w:ascii="宋体" w:hAnsi="宋体" w:eastAsia="宋体" w:cs="宋体"/>
                <w:b w:val="0"/>
                <w:bCs w:val="0"/>
                <w:sz w:val="24"/>
                <w:szCs w:val="32"/>
                <w:u w:val="none"/>
                <w:vertAlign w:val="baseline"/>
              </w:rPr>
              <w:t>元。</w:t>
            </w:r>
          </w:p>
        </w:tc>
      </w:tr>
      <w:tr w14:paraId="393A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BBEE46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6</w:t>
            </w:r>
          </w:p>
        </w:tc>
        <w:tc>
          <w:tcPr>
            <w:tcW w:w="730" w:type="pct"/>
            <w:vAlign w:val="center"/>
          </w:tcPr>
          <w:p w14:paraId="03DF14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分包及中标规定</w:t>
            </w:r>
          </w:p>
        </w:tc>
        <w:tc>
          <w:tcPr>
            <w:tcW w:w="3980" w:type="pct"/>
            <w:vAlign w:val="center"/>
          </w:tcPr>
          <w:p w14:paraId="0739AA6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本项目不分包。</w:t>
            </w:r>
          </w:p>
          <w:p w14:paraId="43E26D9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本项目分为多个包，投标人可以选择多包投标，投标人中标包数不受限制。</w:t>
            </w:r>
          </w:p>
          <w:p w14:paraId="490AACF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本项目分为多个包，投标人可以选择多包投标，但投标人最多只能中标</w:t>
            </w:r>
            <w:r>
              <w:rPr>
                <w:rFonts w:hint="eastAsia" w:ascii="宋体" w:hAnsi="宋体" w:eastAsia="宋体" w:cs="宋体"/>
                <w:b w:val="0"/>
                <w:bCs w:val="0"/>
                <w:sz w:val="24"/>
                <w:szCs w:val="32"/>
                <w:u w:val="single"/>
                <w:vertAlign w:val="baseline"/>
                <w:lang w:val="en-US" w:eastAsia="zh-CN"/>
              </w:rPr>
              <w:t xml:space="preserve"> 1 </w:t>
            </w:r>
            <w:r>
              <w:rPr>
                <w:rFonts w:hint="eastAsia" w:ascii="宋体" w:hAnsi="宋体" w:eastAsia="宋体" w:cs="宋体"/>
                <w:b w:val="0"/>
                <w:bCs w:val="0"/>
                <w:sz w:val="24"/>
                <w:szCs w:val="32"/>
                <w:u w:val="none"/>
                <w:vertAlign w:val="baseline"/>
              </w:rPr>
              <w:t>个包。若同一投标人在2个及以上包的投标排名均第一的，按照以下规则确定中标人：</w:t>
            </w:r>
            <w:r>
              <w:rPr>
                <w:rFonts w:hint="eastAsia" w:ascii="宋体" w:hAnsi="宋体" w:eastAsia="宋体" w:cs="宋体"/>
                <w:b w:val="0"/>
                <w:bCs w:val="0"/>
                <w:sz w:val="24"/>
                <w:szCs w:val="32"/>
                <w:u w:val="single"/>
                <w:vertAlign w:val="baseline"/>
                <w:lang w:val="en-US" w:eastAsia="zh-CN"/>
              </w:rPr>
              <w:t xml:space="preserve"> ①按包号顺序确定；②按开标时间先后顺序确定 </w:t>
            </w:r>
          </w:p>
        </w:tc>
      </w:tr>
      <w:tr w14:paraId="6DC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7456A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7</w:t>
            </w:r>
          </w:p>
        </w:tc>
        <w:tc>
          <w:tcPr>
            <w:tcW w:w="730" w:type="pct"/>
            <w:vAlign w:val="center"/>
          </w:tcPr>
          <w:p w14:paraId="2941ED1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是否接受联合体投标</w:t>
            </w:r>
          </w:p>
        </w:tc>
        <w:tc>
          <w:tcPr>
            <w:tcW w:w="3980" w:type="pct"/>
            <w:vAlign w:val="center"/>
          </w:tcPr>
          <w:p w14:paraId="4C7E24EE">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lang w:eastAsia="zh-CN"/>
              </w:rPr>
              <w:t>□</w:t>
            </w:r>
            <w:r>
              <w:rPr>
                <w:rFonts w:hint="eastAsia" w:ascii="宋体" w:hAnsi="宋体" w:eastAsia="宋体" w:cs="宋体"/>
                <w:b w:val="0"/>
                <w:bCs w:val="0"/>
                <w:sz w:val="24"/>
                <w:szCs w:val="32"/>
                <w:highlight w:val="none"/>
                <w:u w:val="none"/>
                <w:vertAlign w:val="baseline"/>
              </w:rPr>
              <w:t>不接受</w:t>
            </w:r>
          </w:p>
          <w:p w14:paraId="5293B8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接受，应满足下列要求：</w:t>
            </w:r>
            <w:r>
              <w:rPr>
                <w:rFonts w:hint="eastAsia" w:ascii="宋体" w:hAnsi="宋体" w:eastAsia="宋体" w:cs="宋体"/>
                <w:b w:val="0"/>
                <w:bCs w:val="0"/>
                <w:sz w:val="24"/>
                <w:szCs w:val="32"/>
                <w:u w:val="single"/>
                <w:vertAlign w:val="baseline"/>
                <w:lang w:val="en-US" w:eastAsia="zh-CN"/>
              </w:rPr>
              <w:t xml:space="preserve"> 详见第三章项目需求 </w:t>
            </w:r>
          </w:p>
        </w:tc>
      </w:tr>
      <w:tr w14:paraId="615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E07F84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8</w:t>
            </w:r>
          </w:p>
        </w:tc>
        <w:tc>
          <w:tcPr>
            <w:tcW w:w="730" w:type="pct"/>
            <w:vAlign w:val="center"/>
          </w:tcPr>
          <w:p w14:paraId="09FF018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面向中小企业预留情况及小微企业报价扣除标准</w:t>
            </w:r>
          </w:p>
        </w:tc>
        <w:tc>
          <w:tcPr>
            <w:tcW w:w="3980" w:type="pct"/>
            <w:vAlign w:val="center"/>
          </w:tcPr>
          <w:p w14:paraId="6DC12CF6">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lang w:eastAsia="zh-CN"/>
              </w:rPr>
              <w:t>☑</w:t>
            </w:r>
            <w:r>
              <w:rPr>
                <w:rFonts w:hint="eastAsia" w:ascii="宋体" w:hAnsi="宋体" w:eastAsia="宋体" w:cs="宋体"/>
                <w:b/>
                <w:bCs/>
                <w:sz w:val="24"/>
                <w:szCs w:val="32"/>
                <w:highlight w:val="none"/>
                <w:u w:val="none"/>
                <w:vertAlign w:val="baseline"/>
              </w:rPr>
              <w:t>本</w:t>
            </w:r>
            <w:r>
              <w:rPr>
                <w:rFonts w:hint="eastAsia" w:ascii="宋体" w:hAnsi="宋体" w:eastAsia="宋体" w:cs="宋体"/>
                <w:b/>
                <w:bCs/>
                <w:sz w:val="24"/>
                <w:szCs w:val="32"/>
                <w:highlight w:val="none"/>
                <w:u w:val="none"/>
                <w:vertAlign w:val="baseline"/>
                <w:lang w:val="en-US" w:eastAsia="zh-CN"/>
              </w:rPr>
              <w:t>项目</w:t>
            </w:r>
            <w:r>
              <w:rPr>
                <w:rFonts w:hint="eastAsia" w:ascii="宋体" w:hAnsi="宋体" w:eastAsia="宋体" w:cs="宋体"/>
                <w:b/>
                <w:bCs/>
                <w:sz w:val="24"/>
                <w:szCs w:val="32"/>
                <w:highlight w:val="none"/>
                <w:u w:val="none"/>
                <w:vertAlign w:val="baseline"/>
              </w:rPr>
              <w:t>为面向中小企业预留份额的采购包，专门面向中小企业采购，有关要求详见招标公告。小微企业不享受价格折扣优惠。</w:t>
            </w:r>
          </w:p>
          <w:p w14:paraId="577354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□本包为面向中小企业预留份额的采购包，要求投标人以联合体形式参加采购活动，且联合体中中小企业承担的部分达到一定比例，有关要求详见招标公告。小微企业不享受价格折扣优惠。</w:t>
            </w:r>
          </w:p>
          <w:p w14:paraId="226E5BE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□本包为面向中小企业预留份额的采购包，要求获得采购合同的投标人将采购项目中的一定比例分包给一家或者多家中小企业，有关要求详见招标公告。小微企业不享受价格折扣优惠。</w:t>
            </w:r>
          </w:p>
          <w:p w14:paraId="71BD5A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本项目</w:t>
            </w:r>
            <w:r>
              <w:rPr>
                <w:rFonts w:hint="eastAsia" w:ascii="宋体" w:hAnsi="宋体" w:eastAsia="宋体" w:cs="宋体"/>
                <w:b w:val="0"/>
                <w:bCs w:val="0"/>
                <w:sz w:val="24"/>
                <w:szCs w:val="32"/>
                <w:u w:val="none"/>
                <w:vertAlign w:val="baseline"/>
              </w:rPr>
              <w:t>为</w:t>
            </w:r>
            <w:r>
              <w:rPr>
                <w:rFonts w:hint="eastAsia" w:ascii="宋体" w:hAnsi="宋体" w:eastAsia="宋体" w:cs="宋体"/>
                <w:b w:val="0"/>
                <w:bCs w:val="0"/>
                <w:sz w:val="24"/>
                <w:szCs w:val="32"/>
                <w:u w:val="none"/>
                <w:vertAlign w:val="baseline"/>
                <w:lang w:val="en-US" w:eastAsia="zh-CN"/>
              </w:rPr>
              <w:t>不专门</w:t>
            </w:r>
            <w:r>
              <w:rPr>
                <w:rFonts w:hint="eastAsia" w:ascii="宋体" w:hAnsi="宋体" w:eastAsia="宋体" w:cs="宋体"/>
                <w:b w:val="0"/>
                <w:bCs w:val="0"/>
                <w:sz w:val="24"/>
                <w:szCs w:val="32"/>
                <w:u w:val="none"/>
                <w:vertAlign w:val="baseline"/>
              </w:rPr>
              <w:t>面向中小企业预留份额的采购包。小微企业报价扣除标准如下：</w:t>
            </w:r>
          </w:p>
          <w:p w14:paraId="0637DE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对符合《政府采购促进中小企业发展管理办法》（财库〔2020〕46号）规定的小微企业报价给予</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lang w:val="en-US" w:eastAsia="zh-CN"/>
              </w:rPr>
              <w:t>%</w:t>
            </w:r>
            <w:r>
              <w:rPr>
                <w:rFonts w:hint="eastAsia" w:ascii="宋体" w:hAnsi="宋体" w:eastAsia="宋体" w:cs="宋体"/>
                <w:b w:val="0"/>
                <w:bCs w:val="0"/>
                <w:sz w:val="24"/>
                <w:szCs w:val="32"/>
                <w:u w:val="none"/>
                <w:vertAlign w:val="baseline"/>
              </w:rPr>
              <w:t>的扣除，用扣除后的价格参与评审。</w:t>
            </w:r>
          </w:p>
        </w:tc>
      </w:tr>
      <w:tr w14:paraId="3C9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F2DD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9</w:t>
            </w:r>
          </w:p>
        </w:tc>
        <w:tc>
          <w:tcPr>
            <w:tcW w:w="730" w:type="pct"/>
            <w:vAlign w:val="center"/>
          </w:tcPr>
          <w:p w14:paraId="399A2CB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是否允许递交备选投标方案</w:t>
            </w:r>
          </w:p>
        </w:tc>
        <w:tc>
          <w:tcPr>
            <w:tcW w:w="3980" w:type="pct"/>
            <w:vAlign w:val="center"/>
          </w:tcPr>
          <w:p w14:paraId="4733C398">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☑不允许</w:t>
            </w:r>
            <w:r>
              <w:rPr>
                <w:rFonts w:hint="eastAsia" w:ascii="宋体" w:hAnsi="宋体" w:eastAsia="宋体" w:cs="宋体"/>
                <w:b w:val="0"/>
                <w:bCs w:val="0"/>
                <w:sz w:val="24"/>
                <w:szCs w:val="32"/>
                <w:u w:val="none"/>
                <w:vertAlign w:val="baseline"/>
                <w:lang w:eastAsia="zh-CN"/>
              </w:rPr>
              <w:t>。</w:t>
            </w:r>
          </w:p>
          <w:p w14:paraId="4638173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□允许。要求：只有中标人所递交的备选投标方案方可予以考虑。评标委员会认为中标人的备选投标方案优于其按照招标文件要求的投标方案，采购人可以接受该备选投标方案。</w:t>
            </w:r>
          </w:p>
        </w:tc>
      </w:tr>
      <w:tr w14:paraId="349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A348BD">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10</w:t>
            </w:r>
          </w:p>
        </w:tc>
        <w:tc>
          <w:tcPr>
            <w:tcW w:w="730" w:type="pct"/>
            <w:vAlign w:val="center"/>
          </w:tcPr>
          <w:p w14:paraId="7E6C31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进口产品投标</w:t>
            </w:r>
          </w:p>
        </w:tc>
        <w:tc>
          <w:tcPr>
            <w:tcW w:w="3980" w:type="pct"/>
            <w:vAlign w:val="center"/>
          </w:tcPr>
          <w:p w14:paraId="6D2A314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56F4D96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□允许，产品名目清单：</w:t>
            </w:r>
            <w:r>
              <w:rPr>
                <w:rFonts w:hint="eastAsia" w:ascii="宋体" w:hAnsi="宋体" w:eastAsia="宋体" w:cs="宋体"/>
                <w:b w:val="0"/>
                <w:bCs w:val="0"/>
                <w:sz w:val="24"/>
                <w:szCs w:val="32"/>
                <w:u w:val="single"/>
                <w:vertAlign w:val="baseline"/>
                <w:lang w:val="en-US" w:eastAsia="zh-CN"/>
              </w:rPr>
              <w:t xml:space="preserve">        </w:t>
            </w:r>
          </w:p>
        </w:tc>
      </w:tr>
      <w:tr w14:paraId="145C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C919FF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11</w:t>
            </w:r>
          </w:p>
        </w:tc>
        <w:tc>
          <w:tcPr>
            <w:tcW w:w="730" w:type="pct"/>
            <w:vAlign w:val="center"/>
          </w:tcPr>
          <w:p w14:paraId="628D0C4A">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投标截止时间</w:t>
            </w:r>
          </w:p>
        </w:tc>
        <w:tc>
          <w:tcPr>
            <w:tcW w:w="3980" w:type="pct"/>
            <w:vAlign w:val="center"/>
          </w:tcPr>
          <w:p w14:paraId="7F12E97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详见招标公告。</w:t>
            </w:r>
          </w:p>
        </w:tc>
      </w:tr>
      <w:tr w14:paraId="3BE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A5A0E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12</w:t>
            </w:r>
          </w:p>
        </w:tc>
        <w:tc>
          <w:tcPr>
            <w:tcW w:w="730" w:type="pct"/>
            <w:vAlign w:val="center"/>
          </w:tcPr>
          <w:p w14:paraId="1C69DB9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投标报价的范围</w:t>
            </w:r>
          </w:p>
        </w:tc>
        <w:tc>
          <w:tcPr>
            <w:tcW w:w="3980" w:type="pct"/>
            <w:vAlign w:val="center"/>
          </w:tcPr>
          <w:p w14:paraId="43C5FF4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含税全包价。</w:t>
            </w:r>
          </w:p>
        </w:tc>
      </w:tr>
      <w:tr w14:paraId="430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0F2CBF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13</w:t>
            </w:r>
          </w:p>
        </w:tc>
        <w:tc>
          <w:tcPr>
            <w:tcW w:w="730" w:type="pct"/>
            <w:vAlign w:val="center"/>
          </w:tcPr>
          <w:p w14:paraId="474EE3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投标报价的次数</w:t>
            </w:r>
          </w:p>
        </w:tc>
        <w:tc>
          <w:tcPr>
            <w:tcW w:w="3980" w:type="pct"/>
            <w:vAlign w:val="center"/>
          </w:tcPr>
          <w:p w14:paraId="104704D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本次投标报价为一次不得更改报价，投标人只有一次报价的机会。投标报价（即开标报价）不得有选择性报价和附有条件的报价，且不得高于最高限价。</w:t>
            </w:r>
          </w:p>
        </w:tc>
      </w:tr>
      <w:tr w14:paraId="0628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3E24B7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14</w:t>
            </w:r>
          </w:p>
        </w:tc>
        <w:tc>
          <w:tcPr>
            <w:tcW w:w="730" w:type="pct"/>
            <w:vAlign w:val="center"/>
          </w:tcPr>
          <w:p w14:paraId="28B7444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询问和质疑</w:t>
            </w:r>
          </w:p>
        </w:tc>
        <w:tc>
          <w:tcPr>
            <w:tcW w:w="3980" w:type="pct"/>
            <w:vAlign w:val="center"/>
          </w:tcPr>
          <w:p w14:paraId="53EF07D2">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1.关于第三章采购需求等内容的询问与质疑请联系采购单位。</w:t>
            </w:r>
          </w:p>
          <w:p w14:paraId="7A9D4318">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彭老师</w:t>
            </w:r>
          </w:p>
          <w:p w14:paraId="0D8D1B5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联系电话：</w:t>
            </w:r>
            <w:r>
              <w:rPr>
                <w:rFonts w:hint="eastAsia" w:ascii="宋体" w:hAnsi="宋体" w:eastAsia="宋体" w:cs="宋体"/>
                <w:b w:val="0"/>
                <w:bCs w:val="0"/>
                <w:sz w:val="24"/>
                <w:szCs w:val="32"/>
                <w:highlight w:val="none"/>
                <w:u w:val="single"/>
                <w:vertAlign w:val="baseline"/>
                <w:lang w:val="en-US" w:eastAsia="zh-CN"/>
              </w:rPr>
              <w:t>18106481028</w:t>
            </w:r>
          </w:p>
          <w:p w14:paraId="3323903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2.关于采购流程、获取采购文件等内容的询问与质疑请联系采购代理机构。</w:t>
            </w:r>
          </w:p>
          <w:p w14:paraId="03069E59">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方启明</w:t>
            </w:r>
          </w:p>
          <w:p w14:paraId="32461CBB">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val="en-US" w:eastAsia="zh-CN"/>
              </w:rPr>
              <w:t>18611710842</w:t>
            </w:r>
          </w:p>
          <w:p w14:paraId="2C5D7B9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邮箱：</w:t>
            </w:r>
            <w:r>
              <w:rPr>
                <w:rFonts w:hint="eastAsia" w:ascii="宋体" w:hAnsi="宋体" w:eastAsia="宋体" w:cs="宋体"/>
                <w:b w:val="0"/>
                <w:bCs w:val="0"/>
                <w:sz w:val="24"/>
                <w:szCs w:val="32"/>
                <w:u w:val="single"/>
                <w:vertAlign w:val="baseline"/>
                <w:lang w:val="en-US" w:eastAsia="zh-CN"/>
              </w:rPr>
              <w:t>593547143</w:t>
            </w:r>
            <w:r>
              <w:rPr>
                <w:rFonts w:hint="eastAsia" w:ascii="宋体" w:hAnsi="宋体" w:eastAsia="宋体" w:cs="宋体"/>
                <w:b w:val="0"/>
                <w:bCs w:val="0"/>
                <w:sz w:val="24"/>
                <w:szCs w:val="32"/>
                <w:u w:val="single"/>
                <w:vertAlign w:val="baseline"/>
              </w:rPr>
              <w:t>@</w:t>
            </w:r>
            <w:r>
              <w:rPr>
                <w:rFonts w:hint="eastAsia" w:ascii="宋体" w:hAnsi="宋体" w:eastAsia="宋体" w:cs="宋体"/>
                <w:b w:val="0"/>
                <w:bCs w:val="0"/>
                <w:sz w:val="24"/>
                <w:szCs w:val="32"/>
                <w:u w:val="single"/>
                <w:vertAlign w:val="baseline"/>
                <w:lang w:val="en-US" w:eastAsia="zh-CN"/>
              </w:rPr>
              <w:t>qq</w:t>
            </w:r>
            <w:r>
              <w:rPr>
                <w:rFonts w:hint="eastAsia" w:ascii="宋体" w:hAnsi="宋体" w:eastAsia="宋体" w:cs="宋体"/>
                <w:b w:val="0"/>
                <w:bCs w:val="0"/>
                <w:sz w:val="24"/>
                <w:szCs w:val="32"/>
                <w:u w:val="single"/>
                <w:vertAlign w:val="baseline"/>
                <w:lang w:eastAsia="zh-CN"/>
              </w:rPr>
              <w:t>.</w:t>
            </w:r>
            <w:r>
              <w:rPr>
                <w:rFonts w:hint="eastAsia" w:ascii="宋体" w:hAnsi="宋体" w:eastAsia="宋体" w:cs="宋体"/>
                <w:b w:val="0"/>
                <w:bCs w:val="0"/>
                <w:sz w:val="24"/>
                <w:szCs w:val="32"/>
                <w:u w:val="single"/>
                <w:vertAlign w:val="baseline"/>
              </w:rPr>
              <w:t>com</w:t>
            </w:r>
          </w:p>
          <w:p w14:paraId="148F54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递交方式：</w:t>
            </w:r>
            <w:r>
              <w:rPr>
                <w:rFonts w:hint="eastAsia" w:ascii="宋体" w:hAnsi="宋体" w:eastAsia="宋体" w:cs="宋体"/>
                <w:b w:val="0"/>
                <w:bCs w:val="0"/>
                <w:sz w:val="24"/>
                <w:szCs w:val="32"/>
                <w:u w:val="single"/>
                <w:vertAlign w:val="baseline"/>
              </w:rPr>
              <w:t>现场递交纸质版质疑函（加盖</w:t>
            </w:r>
            <w:r>
              <w:rPr>
                <w:rFonts w:hint="eastAsia" w:ascii="宋体" w:hAnsi="宋体" w:eastAsia="宋体" w:cs="宋体"/>
                <w:b w:val="0"/>
                <w:bCs w:val="0"/>
                <w:sz w:val="24"/>
                <w:szCs w:val="32"/>
                <w:u w:val="single"/>
                <w:vertAlign w:val="baseline"/>
                <w:lang w:val="en-US" w:eastAsia="zh-CN"/>
              </w:rPr>
              <w:t>供应商单位</w:t>
            </w:r>
            <w:r>
              <w:rPr>
                <w:rFonts w:hint="eastAsia" w:ascii="宋体" w:hAnsi="宋体" w:eastAsia="宋体" w:cs="宋体"/>
                <w:b w:val="0"/>
                <w:bCs w:val="0"/>
                <w:sz w:val="24"/>
                <w:szCs w:val="32"/>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u w:val="single"/>
                <w:vertAlign w:val="baseline"/>
                <w:lang w:val="en-US" w:eastAsia="zh-CN"/>
              </w:rPr>
              <w:t>及</w:t>
            </w:r>
            <w:r>
              <w:rPr>
                <w:rFonts w:hint="eastAsia" w:ascii="宋体" w:hAnsi="宋体" w:eastAsia="宋体" w:cs="宋体"/>
                <w:b w:val="0"/>
                <w:bCs w:val="0"/>
                <w:sz w:val="24"/>
                <w:szCs w:val="32"/>
                <w:u w:val="single"/>
                <w:vertAlign w:val="baseline"/>
              </w:rPr>
              <w:t>法定代表人身份证原件，如</w:t>
            </w:r>
            <w:r>
              <w:rPr>
                <w:rFonts w:hint="eastAsia" w:ascii="宋体" w:hAnsi="宋体" w:eastAsia="宋体" w:cs="宋体"/>
                <w:b w:val="0"/>
                <w:bCs w:val="0"/>
                <w:sz w:val="24"/>
                <w:szCs w:val="32"/>
                <w:u w:val="single"/>
                <w:vertAlign w:val="baseline"/>
                <w:lang w:val="en-US" w:eastAsia="zh-CN"/>
              </w:rPr>
              <w:t>‌委托人（被授权人）</w:t>
            </w:r>
            <w:r>
              <w:rPr>
                <w:rFonts w:hint="eastAsia" w:ascii="宋体" w:hAnsi="宋体" w:eastAsia="宋体" w:cs="宋体"/>
                <w:b w:val="0"/>
                <w:bCs w:val="0"/>
                <w:sz w:val="24"/>
                <w:szCs w:val="32"/>
                <w:u w:val="single"/>
                <w:vertAlign w:val="baseline"/>
              </w:rPr>
              <w:t>前来递交需携带法定代表人授权委托书及委托人</w:t>
            </w:r>
            <w:r>
              <w:rPr>
                <w:rFonts w:hint="eastAsia" w:ascii="宋体" w:hAnsi="宋体" w:eastAsia="宋体" w:cs="宋体"/>
                <w:b w:val="0"/>
                <w:bCs w:val="0"/>
                <w:sz w:val="24"/>
                <w:szCs w:val="32"/>
                <w:u w:val="single"/>
                <w:vertAlign w:val="baseline"/>
                <w:lang w:val="en-US" w:eastAsia="zh-CN"/>
              </w:rPr>
              <w:t>（被授权人）</w:t>
            </w:r>
            <w:r>
              <w:rPr>
                <w:rFonts w:hint="eastAsia" w:ascii="宋体" w:hAnsi="宋体" w:eastAsia="宋体" w:cs="宋体"/>
                <w:b w:val="0"/>
                <w:bCs w:val="0"/>
                <w:sz w:val="24"/>
                <w:szCs w:val="32"/>
                <w:u w:val="single"/>
                <w:vertAlign w:val="baseline"/>
              </w:rPr>
              <w:t>身份证原件。</w:t>
            </w:r>
          </w:p>
          <w:p w14:paraId="7B48C4C7">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递交</w:t>
            </w:r>
            <w:r>
              <w:rPr>
                <w:rFonts w:hint="eastAsia" w:ascii="宋体" w:hAnsi="宋体" w:eastAsia="宋体" w:cs="宋体"/>
                <w:b w:val="0"/>
                <w:bCs w:val="0"/>
                <w:sz w:val="24"/>
                <w:szCs w:val="32"/>
                <w:u w:val="none"/>
                <w:vertAlign w:val="baseline"/>
                <w:lang w:val="en-US" w:eastAsia="zh-CN"/>
              </w:rPr>
              <w:t>地址</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single"/>
                <w:vertAlign w:val="baseline"/>
                <w:lang w:eastAsia="zh-CN"/>
              </w:rPr>
              <w:t>新疆乌鲁木齐市水磨沟区陶瓷巷16号4楼203室</w:t>
            </w:r>
          </w:p>
          <w:p w14:paraId="25750DC8">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注：1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根据《中华人民共和国政府采购法》的规定，投标人质疑不得超出公开招标文件、公开招标过程及公开招标结果的范围及时效限制。</w:t>
            </w:r>
          </w:p>
          <w:p w14:paraId="28933CC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34E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4FF82C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057B799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投标人投诉</w:t>
            </w:r>
          </w:p>
        </w:tc>
        <w:tc>
          <w:tcPr>
            <w:tcW w:w="3980" w:type="pct"/>
            <w:vAlign w:val="center"/>
          </w:tcPr>
          <w:p w14:paraId="31DE75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投诉受理单位：本项目同级财政部门，即新疆维吾尔自治区财政厅。</w:t>
            </w:r>
          </w:p>
          <w:p w14:paraId="6DE36CB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注：根据《中华人民共和国政府采购法实施条例》的规定，投标人投诉事项不得超出已质疑事项的范围。</w:t>
            </w:r>
          </w:p>
          <w:p w14:paraId="6282269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投诉书请参照新疆政府采购网-下载专区-投诉书范本（http</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//www</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ccgp-xinjiang</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gov</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cn/site/detail?parentId=3338&amp;articleId=8AgNKoBT6+eooi69tssU7w==&amp;utm=site</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site-PC-42166</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1024-pc-wsg-secondLevelPage-front</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dd6233e05eca11efbc5b930dcb75e3e2）编制。</w:t>
            </w:r>
          </w:p>
        </w:tc>
      </w:tr>
      <w:tr w14:paraId="3100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FD9F36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16</w:t>
            </w:r>
          </w:p>
        </w:tc>
        <w:tc>
          <w:tcPr>
            <w:tcW w:w="730" w:type="pct"/>
            <w:vAlign w:val="center"/>
          </w:tcPr>
          <w:p w14:paraId="5211634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信息公告媒体</w:t>
            </w:r>
          </w:p>
        </w:tc>
        <w:tc>
          <w:tcPr>
            <w:tcW w:w="3980" w:type="pct"/>
            <w:vAlign w:val="center"/>
          </w:tcPr>
          <w:p w14:paraId="612B0CB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新疆政府采购网（http</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//www</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ccgp-xinjiang</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gov</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cn/）</w:t>
            </w:r>
          </w:p>
        </w:tc>
      </w:tr>
      <w:tr w14:paraId="4BC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801D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17</w:t>
            </w:r>
          </w:p>
        </w:tc>
        <w:tc>
          <w:tcPr>
            <w:tcW w:w="730" w:type="pct"/>
            <w:vAlign w:val="center"/>
          </w:tcPr>
          <w:p w14:paraId="2D6E49A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确定参加招标的投标人数量和方式</w:t>
            </w:r>
          </w:p>
        </w:tc>
        <w:tc>
          <w:tcPr>
            <w:tcW w:w="3980" w:type="pct"/>
            <w:vAlign w:val="center"/>
          </w:tcPr>
          <w:p w14:paraId="4CB3C60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本次采购采取发布公告的方式邀请不少于三家合格的投标人参加公开招标。</w:t>
            </w:r>
          </w:p>
        </w:tc>
      </w:tr>
      <w:tr w14:paraId="2D2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350F7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18</w:t>
            </w:r>
          </w:p>
        </w:tc>
        <w:tc>
          <w:tcPr>
            <w:tcW w:w="730" w:type="pct"/>
            <w:vAlign w:val="center"/>
          </w:tcPr>
          <w:p w14:paraId="6985B8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投标文件编制、递交与投标文件解密时间</w:t>
            </w:r>
          </w:p>
        </w:tc>
        <w:tc>
          <w:tcPr>
            <w:tcW w:w="3980" w:type="pct"/>
            <w:vAlign w:val="center"/>
          </w:tcPr>
          <w:p w14:paraId="3DBBF60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投标人使用【政采云平台投标文件制作工具】编制电子投标文件；</w:t>
            </w:r>
          </w:p>
          <w:p w14:paraId="03263C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68593B6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开标时间后30分钟内投标人可以登录“政采云”平台，用“项目采购-开标评标”功能进行解密投标文件。若投标人在规定时间内未按时解密的，视为投标文件撤回。</w:t>
            </w:r>
          </w:p>
        </w:tc>
      </w:tr>
      <w:tr w14:paraId="67A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2F7A04">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19</w:t>
            </w:r>
          </w:p>
        </w:tc>
        <w:tc>
          <w:tcPr>
            <w:tcW w:w="730" w:type="pct"/>
            <w:vAlign w:val="center"/>
          </w:tcPr>
          <w:p w14:paraId="2E92C49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公开招标投标保证金</w:t>
            </w:r>
          </w:p>
        </w:tc>
        <w:tc>
          <w:tcPr>
            <w:tcW w:w="3980" w:type="pct"/>
            <w:vAlign w:val="center"/>
          </w:tcPr>
          <w:p w14:paraId="46206461">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投标保证金的金额：</w:t>
            </w:r>
            <w:r>
              <w:rPr>
                <w:rFonts w:hint="eastAsia" w:ascii="宋体" w:hAnsi="宋体" w:eastAsia="宋体" w:cs="宋体"/>
                <w:bCs/>
                <w:color w:val="auto"/>
                <w:sz w:val="24"/>
                <w:szCs w:val="24"/>
                <w:highlight w:val="none"/>
                <w:u w:val="single"/>
                <w:lang w:val="en-US" w:eastAsia="zh-CN"/>
              </w:rPr>
              <w:t>1460.00元</w:t>
            </w:r>
            <w:r>
              <w:rPr>
                <w:rFonts w:hint="eastAsia" w:ascii="宋体" w:hAnsi="宋体" w:eastAsia="宋体" w:cs="宋体"/>
                <w:bCs/>
                <w:color w:val="auto"/>
                <w:sz w:val="24"/>
                <w:szCs w:val="24"/>
                <w:highlight w:val="none"/>
                <w:u w:val="none"/>
                <w:lang w:val="en-US" w:eastAsia="zh-CN"/>
              </w:rPr>
              <w:t>（人民币）</w:t>
            </w:r>
          </w:p>
          <w:p w14:paraId="116F99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缴纳</w:t>
            </w:r>
            <w:r>
              <w:rPr>
                <w:rFonts w:hint="eastAsia" w:ascii="宋体" w:hAnsi="宋体" w:eastAsia="宋体" w:cs="宋体"/>
                <w:b w:val="0"/>
                <w:bCs w:val="0"/>
                <w:sz w:val="24"/>
                <w:szCs w:val="32"/>
                <w:u w:val="none"/>
                <w:vertAlign w:val="baseline"/>
              </w:rPr>
              <w:t>方式：电汇、银行转账或投标保函等形式递交投标保证金</w:t>
            </w:r>
          </w:p>
          <w:p w14:paraId="36D36A4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投标保证金缴纳账户：</w:t>
            </w:r>
          </w:p>
          <w:p w14:paraId="48059177">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账户名称：</w:t>
            </w:r>
            <w:r>
              <w:rPr>
                <w:rFonts w:hint="eastAsia" w:ascii="宋体" w:hAnsi="宋体" w:eastAsia="宋体" w:cs="宋体"/>
                <w:b w:val="0"/>
                <w:bCs w:val="0"/>
                <w:sz w:val="24"/>
                <w:szCs w:val="32"/>
                <w:highlight w:val="none"/>
                <w:u w:val="none"/>
                <w:vertAlign w:val="baseline"/>
                <w:lang w:eastAsia="zh-CN"/>
              </w:rPr>
              <w:t>新疆科辰工程项目管理有限公司</w:t>
            </w:r>
            <w:r>
              <w:rPr>
                <w:rFonts w:hint="eastAsia" w:ascii="宋体" w:hAnsi="宋体" w:eastAsia="宋体" w:cs="宋体"/>
                <w:b w:val="0"/>
                <w:bCs w:val="0"/>
                <w:sz w:val="24"/>
                <w:szCs w:val="32"/>
                <w:highlight w:val="none"/>
                <w:u w:val="none"/>
                <w:vertAlign w:val="baseline"/>
                <w:lang w:val="en-US" w:eastAsia="zh-CN"/>
              </w:rPr>
              <w:t>乌鲁木齐分公司</w:t>
            </w:r>
          </w:p>
          <w:p w14:paraId="05704C0F">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开户银行：</w:t>
            </w:r>
            <w:r>
              <w:rPr>
                <w:rFonts w:hint="eastAsia" w:ascii="宋体" w:hAnsi="宋体" w:eastAsia="宋体" w:cs="宋体"/>
                <w:b w:val="0"/>
                <w:bCs w:val="0"/>
                <w:sz w:val="24"/>
                <w:szCs w:val="32"/>
                <w:highlight w:val="none"/>
                <w:u w:val="none"/>
                <w:vertAlign w:val="baseline"/>
                <w:lang w:val="en-US" w:eastAsia="zh-CN"/>
              </w:rPr>
              <w:t>乌鲁木齐银行油城支行</w:t>
            </w:r>
          </w:p>
          <w:p w14:paraId="2C14D0B2">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账号：</w:t>
            </w:r>
            <w:r>
              <w:rPr>
                <w:rFonts w:hint="eastAsia" w:ascii="宋体" w:hAnsi="宋体" w:eastAsia="宋体" w:cs="宋体"/>
                <w:b w:val="0"/>
                <w:bCs w:val="0"/>
                <w:sz w:val="24"/>
                <w:szCs w:val="32"/>
                <w:highlight w:val="none"/>
                <w:u w:val="none"/>
                <w:vertAlign w:val="baseline"/>
                <w:lang w:val="en-US" w:eastAsia="zh-CN"/>
              </w:rPr>
              <w:t>0000020090110015375523</w:t>
            </w:r>
          </w:p>
          <w:p w14:paraId="0DC42225">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行号：</w:t>
            </w:r>
            <w:r>
              <w:rPr>
                <w:rFonts w:hint="eastAsia" w:ascii="宋体" w:hAnsi="宋体" w:eastAsia="宋体" w:cs="宋体"/>
                <w:b w:val="0"/>
                <w:bCs w:val="0"/>
                <w:sz w:val="24"/>
                <w:szCs w:val="32"/>
                <w:highlight w:val="none"/>
                <w:u w:val="none"/>
                <w:vertAlign w:val="baseline"/>
                <w:lang w:val="en-US" w:eastAsia="zh-CN"/>
              </w:rPr>
              <w:t>J8810044723901</w:t>
            </w:r>
          </w:p>
          <w:p w14:paraId="3BDBCD5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递交时间：投标文件提交截止时间</w:t>
            </w:r>
            <w:r>
              <w:rPr>
                <w:rFonts w:hint="eastAsia" w:ascii="宋体" w:hAnsi="宋体" w:eastAsia="宋体" w:cs="宋体"/>
                <w:b w:val="0"/>
                <w:bCs w:val="0"/>
                <w:sz w:val="24"/>
                <w:szCs w:val="32"/>
                <w:u w:val="none"/>
                <w:vertAlign w:val="baseline"/>
                <w:lang w:val="en-US" w:eastAsia="zh-CN"/>
              </w:rPr>
              <w:t>前</w:t>
            </w:r>
          </w:p>
          <w:p w14:paraId="531E7D2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特别提示</w:t>
            </w:r>
            <w:r>
              <w:rPr>
                <w:rFonts w:hint="eastAsia" w:ascii="宋体" w:hAnsi="宋体" w:eastAsia="宋体" w:cs="宋体"/>
                <w:b w:val="0"/>
                <w:bCs w:val="0"/>
                <w:sz w:val="24"/>
                <w:szCs w:val="32"/>
                <w:u w:val="none"/>
                <w:vertAlign w:val="baseline"/>
              </w:rPr>
              <w:t>：投标保证金必须从</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企业</w:t>
            </w:r>
            <w:r>
              <w:rPr>
                <w:rFonts w:hint="eastAsia" w:ascii="宋体" w:hAnsi="宋体" w:eastAsia="宋体" w:cs="宋体"/>
                <w:b w:val="0"/>
                <w:bCs w:val="0"/>
                <w:sz w:val="24"/>
                <w:szCs w:val="32"/>
                <w:u w:val="none"/>
                <w:vertAlign w:val="baseline"/>
                <w:lang w:val="en-US" w:eastAsia="zh-CN"/>
              </w:rPr>
              <w:t>的</w:t>
            </w:r>
            <w:r>
              <w:rPr>
                <w:rFonts w:hint="eastAsia" w:ascii="宋体" w:hAnsi="宋体" w:eastAsia="宋体" w:cs="宋体"/>
                <w:b w:val="0"/>
                <w:bCs w:val="0"/>
                <w:sz w:val="24"/>
                <w:szCs w:val="32"/>
                <w:u w:val="none"/>
                <w:vertAlign w:val="baseline"/>
              </w:rPr>
              <w:t>帐户缴纳至采购代理机构给定的账户。以个人、企业的办事处、分公司、子公司名义或从他人帐户缴纳的投标保证金无效。打款时需注明项目名称（可简写）及项目编号，递交投标保证金应充分考虑相关时间。</w:t>
            </w:r>
          </w:p>
          <w:p w14:paraId="72411EC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注：投标保证金到账时间以采购代理机构账户实际到账时间为准，如未在</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文件规定的时间内到账，视为</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无效，自行承担责任。为简化手续，优化流程，采用电子支付方式</w:t>
            </w:r>
            <w:r>
              <w:rPr>
                <w:rFonts w:hint="eastAsia" w:ascii="宋体" w:hAnsi="宋体" w:eastAsia="宋体" w:cs="宋体"/>
                <w:b w:val="0"/>
                <w:bCs w:val="0"/>
                <w:sz w:val="24"/>
                <w:szCs w:val="32"/>
                <w:u w:val="none"/>
                <w:vertAlign w:val="baseline"/>
                <w:lang w:val="en-US" w:eastAsia="zh-CN"/>
              </w:rPr>
              <w:t>缴纳投标</w:t>
            </w:r>
            <w:r>
              <w:rPr>
                <w:rFonts w:hint="eastAsia" w:ascii="宋体" w:hAnsi="宋体" w:eastAsia="宋体" w:cs="宋体"/>
                <w:b w:val="0"/>
                <w:bCs w:val="0"/>
                <w:sz w:val="24"/>
                <w:szCs w:val="32"/>
                <w:u w:val="none"/>
                <w:vertAlign w:val="baseline"/>
              </w:rPr>
              <w:t>保证金的，在退还时，按原路退回，收取时不开具收据，退还时也不要求提交收据。</w:t>
            </w:r>
          </w:p>
          <w:p w14:paraId="07DE55F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采用电子保函形式应按以下要求办理：</w:t>
            </w:r>
          </w:p>
          <w:p w14:paraId="733411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17D0635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保函投保金额（元）：</w:t>
            </w:r>
            <w:r>
              <w:rPr>
                <w:rFonts w:hint="eastAsia" w:ascii="宋体" w:hAnsi="宋体" w:eastAsia="宋体" w:cs="宋体"/>
                <w:bCs/>
                <w:color w:val="auto"/>
                <w:sz w:val="24"/>
                <w:szCs w:val="24"/>
                <w:highlight w:val="none"/>
                <w:u w:val="single"/>
                <w:lang w:val="en-US" w:eastAsia="zh-CN"/>
              </w:rPr>
              <w:t>1460.00元</w:t>
            </w:r>
            <w:r>
              <w:rPr>
                <w:rFonts w:hint="eastAsia" w:ascii="宋体" w:hAnsi="宋体" w:eastAsia="宋体" w:cs="宋体"/>
                <w:b w:val="0"/>
                <w:bCs w:val="0"/>
                <w:sz w:val="24"/>
                <w:szCs w:val="32"/>
                <w:highlight w:val="none"/>
                <w:u w:val="none"/>
                <w:vertAlign w:val="baseline"/>
              </w:rPr>
              <w:t>（人民币）</w:t>
            </w:r>
          </w:p>
        </w:tc>
      </w:tr>
      <w:tr w14:paraId="373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CB737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20</w:t>
            </w:r>
          </w:p>
        </w:tc>
        <w:tc>
          <w:tcPr>
            <w:tcW w:w="730" w:type="pct"/>
            <w:vAlign w:val="center"/>
          </w:tcPr>
          <w:p w14:paraId="2DC2CA4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评标办法</w:t>
            </w:r>
          </w:p>
        </w:tc>
        <w:tc>
          <w:tcPr>
            <w:tcW w:w="3980" w:type="pct"/>
            <w:vAlign w:val="center"/>
          </w:tcPr>
          <w:p w14:paraId="5090C9C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本项目评审采用：</w:t>
            </w:r>
            <w:r>
              <w:rPr>
                <w:rFonts w:hint="eastAsia" w:ascii="宋体" w:hAnsi="宋体" w:eastAsia="宋体" w:cs="宋体"/>
                <w:b w:val="0"/>
                <w:bCs w:val="0"/>
                <w:sz w:val="24"/>
                <w:szCs w:val="32"/>
                <w:u w:val="single"/>
                <w:vertAlign w:val="baseline"/>
              </w:rPr>
              <w:t>综合评分法</w:t>
            </w:r>
          </w:p>
        </w:tc>
      </w:tr>
      <w:tr w14:paraId="6B3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EE4DF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21</w:t>
            </w:r>
          </w:p>
        </w:tc>
        <w:tc>
          <w:tcPr>
            <w:tcW w:w="730" w:type="pct"/>
            <w:vAlign w:val="center"/>
          </w:tcPr>
          <w:p w14:paraId="062E95F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投标有效期</w:t>
            </w:r>
          </w:p>
        </w:tc>
        <w:tc>
          <w:tcPr>
            <w:tcW w:w="3980" w:type="pct"/>
            <w:vAlign w:val="center"/>
          </w:tcPr>
          <w:p w14:paraId="2E34794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自投标截止之日起</w:t>
            </w:r>
            <w:r>
              <w:rPr>
                <w:rFonts w:hint="eastAsia" w:ascii="宋体" w:hAnsi="宋体" w:eastAsia="宋体" w:cs="宋体"/>
                <w:b w:val="0"/>
                <w:bCs w:val="0"/>
                <w:sz w:val="24"/>
                <w:szCs w:val="32"/>
                <w:u w:val="single"/>
                <w:vertAlign w:val="baseline"/>
                <w:lang w:val="en-US" w:eastAsia="zh-CN"/>
              </w:rPr>
              <w:t>90</w:t>
            </w:r>
            <w:r>
              <w:rPr>
                <w:rFonts w:hint="eastAsia" w:ascii="宋体" w:hAnsi="宋体" w:eastAsia="宋体" w:cs="宋体"/>
                <w:b w:val="0"/>
                <w:bCs w:val="0"/>
                <w:sz w:val="24"/>
                <w:szCs w:val="32"/>
                <w:u w:val="none"/>
                <w:vertAlign w:val="baseline"/>
              </w:rPr>
              <w:t>个日历天。</w:t>
            </w:r>
          </w:p>
        </w:tc>
      </w:tr>
      <w:tr w14:paraId="1C3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640F02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22</w:t>
            </w:r>
          </w:p>
        </w:tc>
        <w:tc>
          <w:tcPr>
            <w:tcW w:w="730" w:type="pct"/>
            <w:vAlign w:val="center"/>
          </w:tcPr>
          <w:p w14:paraId="60B1FE1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评标委员会</w:t>
            </w:r>
          </w:p>
        </w:tc>
        <w:tc>
          <w:tcPr>
            <w:tcW w:w="3980" w:type="pct"/>
            <w:vAlign w:val="center"/>
          </w:tcPr>
          <w:p w14:paraId="0CCB8BF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依法组建评标委员会共</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人组成，其中：评标专家</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w:t>
            </w:r>
          </w:p>
        </w:tc>
      </w:tr>
      <w:tr w14:paraId="1D1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07A39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23</w:t>
            </w:r>
          </w:p>
        </w:tc>
        <w:tc>
          <w:tcPr>
            <w:tcW w:w="730" w:type="pct"/>
            <w:vAlign w:val="center"/>
          </w:tcPr>
          <w:p w14:paraId="3A8EBB8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中标人确定方式</w:t>
            </w:r>
          </w:p>
        </w:tc>
        <w:tc>
          <w:tcPr>
            <w:tcW w:w="3980" w:type="pct"/>
            <w:vAlign w:val="center"/>
          </w:tcPr>
          <w:p w14:paraId="1032F80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名中标候选人，采购人按照中标候选人排名顺序，确定排名第一的为中标人。</w:t>
            </w:r>
          </w:p>
          <w:p w14:paraId="65C82D1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名中标候选人，并按照中标候选人排名顺序，确定排名第一的为中标人。</w:t>
            </w:r>
          </w:p>
          <w:p w14:paraId="02AA2E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1A0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50EF733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24</w:t>
            </w:r>
          </w:p>
        </w:tc>
        <w:tc>
          <w:tcPr>
            <w:tcW w:w="730" w:type="pct"/>
            <w:vAlign w:val="center"/>
          </w:tcPr>
          <w:p w14:paraId="02EE59F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合同分包</w:t>
            </w:r>
          </w:p>
        </w:tc>
        <w:tc>
          <w:tcPr>
            <w:tcW w:w="3980" w:type="pct"/>
            <w:vAlign w:val="center"/>
          </w:tcPr>
          <w:p w14:paraId="6DDF9EF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w:t>
            </w:r>
            <w:r>
              <w:rPr>
                <w:rFonts w:hint="eastAsia" w:ascii="宋体" w:hAnsi="宋体" w:eastAsia="宋体" w:cs="宋体"/>
                <w:b w:val="0"/>
                <w:bCs w:val="0"/>
                <w:sz w:val="24"/>
                <w:szCs w:val="32"/>
                <w:u w:val="single"/>
                <w:vertAlign w:val="baseline"/>
              </w:rPr>
              <w:t>不接受</w:t>
            </w:r>
            <w:r>
              <w:rPr>
                <w:rFonts w:hint="eastAsia" w:ascii="宋体" w:hAnsi="宋体" w:eastAsia="宋体" w:cs="宋体"/>
                <w:b w:val="0"/>
                <w:bCs w:val="0"/>
                <w:sz w:val="24"/>
                <w:szCs w:val="32"/>
                <w:u w:val="none"/>
                <w:vertAlign w:val="baseline"/>
              </w:rPr>
              <w:t>合同分包。</w:t>
            </w:r>
          </w:p>
        </w:tc>
      </w:tr>
      <w:tr w14:paraId="32E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70626F">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25</w:t>
            </w:r>
          </w:p>
        </w:tc>
        <w:tc>
          <w:tcPr>
            <w:tcW w:w="730" w:type="pct"/>
            <w:vAlign w:val="center"/>
          </w:tcPr>
          <w:p w14:paraId="547633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中标公告</w:t>
            </w:r>
          </w:p>
        </w:tc>
        <w:tc>
          <w:tcPr>
            <w:tcW w:w="3980" w:type="pct"/>
            <w:vAlign w:val="center"/>
          </w:tcPr>
          <w:p w14:paraId="15FB0E7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中标结果在新疆政府采购网公告，公告期限为</w:t>
            </w:r>
            <w:r>
              <w:rPr>
                <w:rFonts w:hint="eastAsia" w:ascii="宋体" w:hAnsi="宋体" w:eastAsia="宋体" w:cs="宋体"/>
                <w:b w:val="0"/>
                <w:bCs w:val="0"/>
                <w:sz w:val="24"/>
                <w:szCs w:val="32"/>
                <w:u w:val="single"/>
                <w:vertAlign w:val="baseline"/>
              </w:rPr>
              <w:t>1</w:t>
            </w:r>
            <w:r>
              <w:rPr>
                <w:rFonts w:hint="eastAsia" w:ascii="宋体" w:hAnsi="宋体" w:eastAsia="宋体" w:cs="宋体"/>
                <w:b w:val="0"/>
                <w:bCs w:val="0"/>
                <w:sz w:val="24"/>
                <w:szCs w:val="32"/>
                <w:u w:val="none"/>
                <w:vertAlign w:val="baseline"/>
              </w:rPr>
              <w:t>个工作日。</w:t>
            </w:r>
          </w:p>
          <w:p w14:paraId="1A15A3D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中标结果公告中，同时对中标投标人提供的中小企业声明函（若有）进行公告。</w:t>
            </w:r>
          </w:p>
        </w:tc>
      </w:tr>
      <w:tr w14:paraId="3CB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3B4D69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26</w:t>
            </w:r>
          </w:p>
        </w:tc>
        <w:tc>
          <w:tcPr>
            <w:tcW w:w="730" w:type="pct"/>
            <w:vAlign w:val="center"/>
          </w:tcPr>
          <w:p w14:paraId="086467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踏勘现场</w:t>
            </w:r>
          </w:p>
        </w:tc>
        <w:tc>
          <w:tcPr>
            <w:tcW w:w="3980" w:type="pct"/>
            <w:vAlign w:val="center"/>
          </w:tcPr>
          <w:p w14:paraId="4153AD3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自行踏勘。</w:t>
            </w:r>
          </w:p>
          <w:p w14:paraId="48371B3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□由采购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组织统一踏勘。</w:t>
            </w:r>
          </w:p>
          <w:p w14:paraId="0A36FC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无需</w:t>
            </w:r>
            <w:r>
              <w:rPr>
                <w:rFonts w:hint="eastAsia" w:ascii="宋体" w:hAnsi="宋体" w:eastAsia="宋体" w:cs="宋体"/>
                <w:b w:val="0"/>
                <w:bCs w:val="0"/>
                <w:sz w:val="24"/>
                <w:szCs w:val="32"/>
                <w:u w:val="none"/>
                <w:vertAlign w:val="baseline"/>
              </w:rPr>
              <w:t>踏勘</w:t>
            </w:r>
          </w:p>
        </w:tc>
      </w:tr>
      <w:tr w14:paraId="6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2B89D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27</w:t>
            </w:r>
          </w:p>
        </w:tc>
        <w:tc>
          <w:tcPr>
            <w:tcW w:w="730" w:type="pct"/>
            <w:vAlign w:val="center"/>
          </w:tcPr>
          <w:p w14:paraId="379F912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代理服务费</w:t>
            </w:r>
          </w:p>
        </w:tc>
        <w:tc>
          <w:tcPr>
            <w:tcW w:w="3980" w:type="pct"/>
            <w:vAlign w:val="center"/>
          </w:tcPr>
          <w:p w14:paraId="345BA4B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收费对象：□采购人支付☑成交人支付</w:t>
            </w:r>
          </w:p>
          <w:p w14:paraId="5553B98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收费标准：</w:t>
            </w:r>
            <w:r>
              <w:rPr>
                <w:rFonts w:hint="eastAsia" w:ascii="宋体" w:hAnsi="宋体" w:eastAsia="宋体" w:cs="宋体"/>
                <w:b w:val="0"/>
                <w:bCs w:val="0"/>
                <w:sz w:val="24"/>
                <w:szCs w:val="32"/>
                <w:u w:val="single"/>
                <w:vertAlign w:val="baseline"/>
              </w:rPr>
              <w:t>参照中华人民共和国国家计划委员会计价格[2002]1980号文的计算方法计取</w:t>
            </w:r>
          </w:p>
          <w:p w14:paraId="7767264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收取时间：</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人领取</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通知书前支付完成</w:t>
            </w:r>
          </w:p>
          <w:p w14:paraId="5235C3D8">
            <w:pPr>
              <w:spacing w:line="360" w:lineRule="auto"/>
              <w:jc w:val="both"/>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32"/>
                <w:u w:val="none"/>
                <w:vertAlign w:val="baseline"/>
              </w:rPr>
              <w:t>4</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收取方式：</w:t>
            </w:r>
            <w:r>
              <w:rPr>
                <w:rFonts w:hint="eastAsia" w:ascii="宋体" w:hAnsi="宋体" w:eastAsia="宋体" w:cs="宋体"/>
                <w:b w:val="0"/>
                <w:bCs w:val="0"/>
                <w:sz w:val="24"/>
                <w:szCs w:val="32"/>
                <w:u w:val="single"/>
                <w:vertAlign w:val="baseline"/>
              </w:rPr>
              <w:t>现金或</w:t>
            </w:r>
            <w:r>
              <w:rPr>
                <w:rFonts w:hint="eastAsia" w:ascii="宋体" w:hAnsi="宋体" w:eastAsia="宋体" w:cs="宋体"/>
                <w:b w:val="0"/>
                <w:bCs w:val="0"/>
                <w:sz w:val="24"/>
                <w:szCs w:val="32"/>
                <w:u w:val="single"/>
                <w:vertAlign w:val="baseline"/>
                <w:lang w:val="en-US" w:eastAsia="zh-CN"/>
              </w:rPr>
              <w:t>电汇、银行转账等形式</w:t>
            </w:r>
          </w:p>
        </w:tc>
      </w:tr>
      <w:tr w14:paraId="64E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0FE1AA2">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28</w:t>
            </w:r>
          </w:p>
        </w:tc>
        <w:tc>
          <w:tcPr>
            <w:tcW w:w="730" w:type="pct"/>
            <w:vAlign w:val="center"/>
          </w:tcPr>
          <w:p w14:paraId="6E01E9E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付款方式</w:t>
            </w:r>
          </w:p>
        </w:tc>
        <w:tc>
          <w:tcPr>
            <w:tcW w:w="3980" w:type="pct"/>
            <w:vAlign w:val="center"/>
          </w:tcPr>
          <w:p w14:paraId="49273ED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具体以双方签订合同为准。</w:t>
            </w:r>
          </w:p>
        </w:tc>
      </w:tr>
      <w:tr w14:paraId="677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63A60C">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29</w:t>
            </w:r>
          </w:p>
        </w:tc>
        <w:tc>
          <w:tcPr>
            <w:tcW w:w="730" w:type="pct"/>
            <w:vAlign w:val="center"/>
          </w:tcPr>
          <w:p w14:paraId="2CB8B11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落实政府采购政策</w:t>
            </w:r>
          </w:p>
        </w:tc>
        <w:tc>
          <w:tcPr>
            <w:tcW w:w="3980" w:type="pct"/>
            <w:vAlign w:val="center"/>
          </w:tcPr>
          <w:p w14:paraId="632FCB2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相关标准按以下文件执行：</w:t>
            </w:r>
          </w:p>
          <w:p w14:paraId="0A379C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（1）财政部、工业和信息化部《关于印发《政府采购促进中小企业发展管理办法》的通知》（财库[2020]46号文）《关于进一步加大政府采购支持中小企业力度的通知》（财库[2022]19号文）执行；</w:t>
            </w:r>
          </w:p>
          <w:p w14:paraId="3FB2C7B3">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（2）根据财政部发布的《关于政府采购支持</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企业发展有关问题的通知》规定，</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企业视同小微企业。</w:t>
            </w:r>
          </w:p>
          <w:p w14:paraId="34B97B3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（3）根据财政部、民政部、中国残疾人联合会发布的《关于促进残疾人就业政府采购政策的通知》规定，残疾人福利性单位视同小微企业。</w:t>
            </w:r>
          </w:p>
          <w:p w14:paraId="0B08D0B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注：中小微企业以投标人填写的《中小企业声明函》为判定标准，残疾人福利性单位以投标人填写的《残疾人福利性单位声明函》为判定标准，</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企业须投标人提供由省级以上</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管理局、戒毒管理局（含新疆生产建设兵团）出具的属于</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企业的证明文件，否则不予认定。以上政策不重复享受。</w:t>
            </w:r>
          </w:p>
          <w:p w14:paraId="6DCE1C6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664EBF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0F6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DB9A93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30</w:t>
            </w:r>
          </w:p>
        </w:tc>
        <w:tc>
          <w:tcPr>
            <w:tcW w:w="730" w:type="pct"/>
            <w:vAlign w:val="center"/>
          </w:tcPr>
          <w:p w14:paraId="709D975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履约保证金</w:t>
            </w:r>
          </w:p>
        </w:tc>
        <w:tc>
          <w:tcPr>
            <w:tcW w:w="3980" w:type="pct"/>
            <w:vAlign w:val="center"/>
          </w:tcPr>
          <w:p w14:paraId="3F49398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不需要</w:t>
            </w:r>
          </w:p>
          <w:p w14:paraId="3AFC95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需要，履约保证金的金额：中标合同金额的</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rPr>
              <w:t>%（履约保证金允许以担保支票、押金证明、保险单、保函、信用证等形式提交）。</w:t>
            </w:r>
          </w:p>
        </w:tc>
      </w:tr>
      <w:tr w14:paraId="56E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18CC4E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31</w:t>
            </w:r>
          </w:p>
        </w:tc>
        <w:tc>
          <w:tcPr>
            <w:tcW w:w="730" w:type="pct"/>
            <w:vAlign w:val="center"/>
          </w:tcPr>
          <w:p w14:paraId="651567E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采购标的对应的投标人中小企业划分标准所属行业</w:t>
            </w:r>
          </w:p>
        </w:tc>
        <w:tc>
          <w:tcPr>
            <w:tcW w:w="3980" w:type="pct"/>
            <w:vAlign w:val="center"/>
          </w:tcPr>
          <w:p w14:paraId="23ADA21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本项目采购标的对应的中小企业划分标准所属行业为：</w:t>
            </w:r>
            <w:r>
              <w:rPr>
                <w:rFonts w:hint="eastAsia" w:ascii="宋体" w:hAnsi="宋体" w:eastAsia="宋体" w:cs="宋体"/>
                <w:b w:val="0"/>
                <w:bCs w:val="0"/>
                <w:sz w:val="24"/>
                <w:szCs w:val="32"/>
                <w:u w:val="single"/>
                <w:vertAlign w:val="baseline"/>
                <w:lang w:val="en-US" w:eastAsia="zh-CN"/>
              </w:rPr>
              <w:t>其他未列明行业</w:t>
            </w:r>
            <w:r>
              <w:rPr>
                <w:rFonts w:hint="eastAsia" w:ascii="宋体" w:hAnsi="宋体" w:eastAsia="宋体" w:cs="宋体"/>
                <w:b w:val="0"/>
                <w:bCs w:val="0"/>
                <w:sz w:val="24"/>
                <w:szCs w:val="32"/>
                <w:u w:val="none"/>
                <w:vertAlign w:val="baseline"/>
              </w:rPr>
              <w:t>。</w:t>
            </w:r>
          </w:p>
          <w:p w14:paraId="3AA068B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rPr>
              <w:t>注：</w:t>
            </w:r>
            <w:r>
              <w:rPr>
                <w:rFonts w:hint="eastAsia" w:ascii="宋体" w:hAnsi="宋体" w:eastAsia="宋体" w:cs="宋体"/>
                <w:b w:val="0"/>
                <w:bCs w:val="0"/>
                <w:sz w:val="24"/>
                <w:szCs w:val="32"/>
                <w:u w:val="none"/>
                <w:vertAlign w:val="baseline"/>
                <w:lang w:val="en-US" w:eastAsia="zh-CN"/>
              </w:rPr>
              <w:t>1.其他所属行业划分标准按照《关于落实好政府采购支持中小企业发展的通知》（新财购〔2022〕22号）执行；</w:t>
            </w:r>
          </w:p>
          <w:p w14:paraId="5AC50C1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2.</w:t>
            </w:r>
            <w:r>
              <w:rPr>
                <w:rFonts w:hint="eastAsia" w:ascii="宋体" w:hAnsi="宋体" w:eastAsia="宋体" w:cs="宋体"/>
                <w:b w:val="0"/>
                <w:bCs w:val="0"/>
                <w:sz w:val="24"/>
                <w:szCs w:val="32"/>
                <w:u w:val="none"/>
                <w:vertAlign w:val="baseline"/>
              </w:rPr>
              <w:t>根据《国家统计局关于印发〈统计上大中小微型企业划分办法</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2017</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〉的通知》</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国统字[2017]213号</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要求：大型、中型和小型企业须同时满足所列指标（即：从业人员和营业收入）的下限,否则下划一档</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微型企业只须满足所列指标中的一项即可。</w:t>
            </w:r>
          </w:p>
        </w:tc>
      </w:tr>
      <w:tr w14:paraId="38A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8B2F15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32</w:t>
            </w:r>
          </w:p>
        </w:tc>
        <w:tc>
          <w:tcPr>
            <w:tcW w:w="730" w:type="pct"/>
            <w:vAlign w:val="center"/>
          </w:tcPr>
          <w:p w14:paraId="4DC9AD1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利害关系人处理</w:t>
            </w:r>
          </w:p>
        </w:tc>
        <w:tc>
          <w:tcPr>
            <w:tcW w:w="3980" w:type="pct"/>
            <w:vAlign w:val="center"/>
          </w:tcPr>
          <w:p w14:paraId="1C57FF9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①</w:t>
            </w:r>
            <w:r>
              <w:rPr>
                <w:rFonts w:hint="eastAsia" w:ascii="宋体" w:hAnsi="宋体" w:eastAsia="宋体" w:cs="宋体"/>
                <w:b w:val="0"/>
                <w:bCs w:val="0"/>
                <w:sz w:val="24"/>
                <w:szCs w:val="32"/>
                <w:u w:val="none"/>
                <w:vertAlign w:val="baseline"/>
              </w:rPr>
              <w:t>2家以上的投标人不得在同一合同项下的采购项目中，同时委托同一个自然人、同一家庭的人员、同一单位的人员作为其代理人，否则，其投标文件作为无效处理。</w:t>
            </w:r>
          </w:p>
          <w:p w14:paraId="2F14F9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②</w:t>
            </w:r>
            <w:r>
              <w:rPr>
                <w:rFonts w:hint="eastAsia" w:ascii="宋体" w:hAnsi="宋体" w:eastAsia="宋体" w:cs="宋体"/>
                <w:b w:val="0"/>
                <w:bCs w:val="0"/>
                <w:sz w:val="24"/>
                <w:szCs w:val="32"/>
                <w:u w:val="none"/>
                <w:vertAlign w:val="baseline"/>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0AF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AAA86E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33</w:t>
            </w:r>
          </w:p>
        </w:tc>
        <w:tc>
          <w:tcPr>
            <w:tcW w:w="730" w:type="pct"/>
            <w:vAlign w:val="center"/>
          </w:tcPr>
          <w:p w14:paraId="41A6F2B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其他需补充的内容</w:t>
            </w:r>
          </w:p>
        </w:tc>
        <w:tc>
          <w:tcPr>
            <w:tcW w:w="3980" w:type="pct"/>
            <w:vAlign w:val="center"/>
          </w:tcPr>
          <w:p w14:paraId="60935784">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特别提醒：</w:t>
            </w:r>
          </w:p>
          <w:p w14:paraId="6D804DA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1.所有投标人的报价</w:t>
            </w:r>
            <w:r>
              <w:rPr>
                <w:rFonts w:hint="eastAsia" w:ascii="宋体" w:hAnsi="宋体" w:eastAsia="宋体" w:cs="宋体"/>
                <w:b/>
                <w:bCs/>
                <w:sz w:val="24"/>
                <w:szCs w:val="32"/>
                <w:u w:val="none"/>
                <w:vertAlign w:val="baseline"/>
                <w:lang w:val="en-US" w:eastAsia="zh-CN"/>
              </w:rPr>
              <w:t>高于</w:t>
            </w:r>
            <w:r>
              <w:rPr>
                <w:rFonts w:hint="eastAsia" w:ascii="宋体" w:hAnsi="宋体" w:eastAsia="宋体" w:cs="宋体"/>
                <w:b w:val="0"/>
                <w:bCs w:val="0"/>
                <w:sz w:val="24"/>
                <w:szCs w:val="32"/>
                <w:u w:val="none"/>
                <w:vertAlign w:val="baseline"/>
                <w:lang w:val="en-US" w:eastAsia="zh-CN"/>
              </w:rPr>
              <w:t>本项目（标项）最高限价额度的视为无效报价（即作否决投标处理）。</w:t>
            </w:r>
          </w:p>
          <w:p w14:paraId="1706297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2.1采用</w:t>
            </w:r>
            <w:r>
              <w:rPr>
                <w:rFonts w:hint="eastAsia" w:ascii="宋体" w:hAnsi="宋体" w:eastAsia="宋体" w:cs="宋体"/>
                <w:b/>
                <w:bCs/>
                <w:sz w:val="24"/>
                <w:szCs w:val="32"/>
                <w:u w:val="none"/>
                <w:vertAlign w:val="baseline"/>
                <w:lang w:val="en-US" w:eastAsia="zh-CN"/>
              </w:rPr>
              <w:t>最低评标价法</w:t>
            </w:r>
            <w:r>
              <w:rPr>
                <w:rFonts w:hint="eastAsia" w:ascii="宋体" w:hAnsi="宋体" w:eastAsia="宋体" w:cs="宋体"/>
                <w:b w:val="0"/>
                <w:bCs w:val="0"/>
                <w:sz w:val="24"/>
                <w:szCs w:val="32"/>
                <w:u w:val="none"/>
                <w:vertAlign w:val="baseline"/>
                <w:lang w:val="en-US" w:eastAsia="zh-CN"/>
              </w:rPr>
              <w:t>的采购项目，提供相同品牌产品的不同投标人参加同一合同项下投标的，以其中通过资格审查、符合性审查且</w:t>
            </w:r>
            <w:r>
              <w:rPr>
                <w:rFonts w:hint="eastAsia" w:ascii="宋体" w:hAnsi="宋体" w:eastAsia="宋体" w:cs="宋体"/>
                <w:b/>
                <w:bCs/>
                <w:sz w:val="24"/>
                <w:szCs w:val="32"/>
                <w:u w:val="none"/>
                <w:vertAlign w:val="baseline"/>
                <w:lang w:val="en-US" w:eastAsia="zh-CN"/>
              </w:rPr>
              <w:t>报价最低</w:t>
            </w:r>
            <w:r>
              <w:rPr>
                <w:rFonts w:hint="eastAsia" w:ascii="宋体" w:hAnsi="宋体" w:eastAsia="宋体" w:cs="宋体"/>
                <w:b w:val="0"/>
                <w:bCs w:val="0"/>
                <w:sz w:val="24"/>
                <w:szCs w:val="32"/>
                <w:u w:val="none"/>
                <w:vertAlign w:val="baseline"/>
                <w:lang w:val="en-US" w:eastAsia="zh-CN"/>
              </w:rPr>
              <w:t>的参加评标；报价</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的，由采购人或者采购人委托评标委员会按照招标文件规定的方式确定1个参加评标的投标人，招标文件未规定的采取随机抽取方式确定，其他投标无效。</w:t>
            </w:r>
          </w:p>
          <w:p w14:paraId="739754F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2.2使用</w:t>
            </w:r>
            <w:r>
              <w:rPr>
                <w:rFonts w:hint="eastAsia" w:ascii="宋体" w:hAnsi="宋体" w:eastAsia="宋体" w:cs="宋体"/>
                <w:b/>
                <w:bCs/>
                <w:sz w:val="24"/>
                <w:szCs w:val="32"/>
                <w:u w:val="none"/>
                <w:vertAlign w:val="baseline"/>
                <w:lang w:val="en-US" w:eastAsia="zh-CN"/>
              </w:rPr>
              <w:t>综合评分法</w:t>
            </w:r>
            <w:r>
              <w:rPr>
                <w:rFonts w:hint="eastAsia" w:ascii="宋体" w:hAnsi="宋体" w:eastAsia="宋体" w:cs="宋体"/>
                <w:b w:val="0"/>
                <w:bCs w:val="0"/>
                <w:sz w:val="24"/>
                <w:szCs w:val="32"/>
                <w:u w:val="none"/>
                <w:vertAlign w:val="baseline"/>
                <w:lang w:val="en-US" w:eastAsia="zh-CN"/>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u w:val="none"/>
                <w:vertAlign w:val="baseline"/>
                <w:lang w:val="en-US" w:eastAsia="zh-CN"/>
              </w:rPr>
              <w:t>得分最高</w:t>
            </w:r>
            <w:r>
              <w:rPr>
                <w:rFonts w:hint="eastAsia" w:ascii="宋体" w:hAnsi="宋体" w:eastAsia="宋体" w:cs="宋体"/>
                <w:b w:val="0"/>
                <w:bCs w:val="0"/>
                <w:sz w:val="24"/>
                <w:szCs w:val="32"/>
                <w:u w:val="none"/>
                <w:vertAlign w:val="baseline"/>
                <w:lang w:val="en-US" w:eastAsia="zh-CN"/>
              </w:rPr>
              <w:t>的同品牌投标人获得中标人推荐资格；评审得分</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的，由采购人或者采购人委托评标委员会按照招标文件规定的方式确定1个投标人获得中标人推荐资格，招标文件未规定的采取随机抽取方式确定，其他同品牌投标人不作为中标候选人。</w:t>
            </w:r>
          </w:p>
          <w:p w14:paraId="7E1F5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3.投标人的报价明显</w:t>
            </w:r>
            <w:r>
              <w:rPr>
                <w:rFonts w:hint="eastAsia" w:ascii="宋体" w:hAnsi="宋体" w:eastAsia="宋体" w:cs="宋体"/>
                <w:b/>
                <w:bCs/>
                <w:sz w:val="24"/>
                <w:szCs w:val="32"/>
                <w:u w:val="none"/>
                <w:vertAlign w:val="baseline"/>
                <w:lang w:val="en-US" w:eastAsia="zh-CN"/>
              </w:rPr>
              <w:t>低于</w:t>
            </w:r>
            <w:r>
              <w:rPr>
                <w:rFonts w:hint="eastAsia" w:ascii="宋体" w:hAnsi="宋体" w:eastAsia="宋体" w:cs="宋体"/>
                <w:b w:val="0"/>
                <w:bCs w:val="0"/>
                <w:sz w:val="24"/>
                <w:szCs w:val="32"/>
                <w:u w:val="none"/>
                <w:vertAlign w:val="baseline"/>
                <w:lang w:val="en-US" w:eastAsia="zh-CN"/>
              </w:rPr>
              <w:t>其他投标报价或者在设有标底时明显低于标底，使得其投标报价可能低于其个别成本的，应当要求该投标人</w:t>
            </w:r>
            <w:r>
              <w:rPr>
                <w:rFonts w:hint="eastAsia" w:ascii="宋体" w:hAnsi="宋体" w:eastAsia="宋体" w:cs="宋体"/>
                <w:b/>
                <w:bCs/>
                <w:sz w:val="24"/>
                <w:szCs w:val="32"/>
                <w:u w:val="none"/>
                <w:vertAlign w:val="baseline"/>
                <w:lang w:val="en-US" w:eastAsia="zh-CN"/>
              </w:rPr>
              <w:t>作出书面说明并提供相应证明材料</w:t>
            </w:r>
            <w:r>
              <w:rPr>
                <w:rFonts w:hint="eastAsia" w:ascii="宋体" w:hAnsi="宋体" w:eastAsia="宋体" w:cs="宋体"/>
                <w:b w:val="0"/>
                <w:bCs w:val="0"/>
                <w:sz w:val="24"/>
                <w:szCs w:val="32"/>
                <w:u w:val="none"/>
                <w:vertAlign w:val="baseline"/>
                <w:lang w:val="en-US" w:eastAsia="zh-CN"/>
              </w:rPr>
              <w:t>。投标人不能合理或者不能提供相应证明材料的，由评标委员会认定该投标人以低于成本报价竞标，其投标视为</w:t>
            </w:r>
            <w:r>
              <w:rPr>
                <w:rFonts w:hint="eastAsia" w:ascii="宋体" w:hAnsi="宋体" w:eastAsia="宋体" w:cs="宋体"/>
                <w:b/>
                <w:bCs/>
                <w:sz w:val="24"/>
                <w:szCs w:val="32"/>
                <w:u w:val="none"/>
                <w:vertAlign w:val="baseline"/>
                <w:lang w:val="en-US" w:eastAsia="zh-CN"/>
              </w:rPr>
              <w:t>无效标处理</w:t>
            </w:r>
            <w:r>
              <w:rPr>
                <w:rFonts w:hint="eastAsia" w:ascii="宋体" w:hAnsi="宋体" w:eastAsia="宋体" w:cs="宋体"/>
                <w:b w:val="0"/>
                <w:bCs w:val="0"/>
                <w:sz w:val="24"/>
                <w:szCs w:val="32"/>
                <w:u w:val="none"/>
                <w:vertAlign w:val="baseline"/>
                <w:lang w:val="en-US" w:eastAsia="zh-CN"/>
              </w:rPr>
              <w:t>。</w:t>
            </w:r>
          </w:p>
          <w:p w14:paraId="5E36AEB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4.更正补充公告请自行登录新疆政府采购网查看下载。</w:t>
            </w:r>
          </w:p>
          <w:p w14:paraId="74D6C74A">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5.采购代理机构将拒绝接受未在政采云平台获取招标文件的投标人的投标文件。</w:t>
            </w:r>
          </w:p>
          <w:p w14:paraId="6C407DD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6.所有投标单位对招标文件中所有条款如有疑问或异议请在</w:t>
            </w:r>
            <w:r>
              <w:rPr>
                <w:rFonts w:hint="eastAsia" w:ascii="宋体" w:hAnsi="宋体" w:eastAsia="宋体" w:cs="宋体"/>
                <w:b/>
                <w:bCs/>
                <w:sz w:val="24"/>
                <w:szCs w:val="32"/>
                <w:u w:val="none"/>
                <w:vertAlign w:val="baseline"/>
                <w:lang w:val="en-US" w:eastAsia="zh-CN"/>
              </w:rPr>
              <w:t>开标前</w:t>
            </w:r>
            <w:r>
              <w:rPr>
                <w:rFonts w:hint="eastAsia" w:ascii="宋体" w:hAnsi="宋体" w:eastAsia="宋体" w:cs="宋体"/>
                <w:b w:val="0"/>
                <w:bCs w:val="0"/>
                <w:sz w:val="24"/>
                <w:szCs w:val="32"/>
                <w:u w:val="none"/>
                <w:vertAlign w:val="baseline"/>
                <w:lang w:val="en-US" w:eastAsia="zh-CN"/>
              </w:rPr>
              <w:t>以书面形式提出，否则</w:t>
            </w:r>
            <w:r>
              <w:rPr>
                <w:rFonts w:hint="eastAsia" w:ascii="宋体" w:hAnsi="宋体" w:eastAsia="宋体" w:cs="宋体"/>
                <w:b/>
                <w:bCs/>
                <w:sz w:val="24"/>
                <w:szCs w:val="32"/>
                <w:u w:val="none"/>
                <w:vertAlign w:val="baseline"/>
                <w:lang w:val="en-US" w:eastAsia="zh-CN"/>
              </w:rPr>
              <w:t>不予受理</w:t>
            </w:r>
            <w:r>
              <w:rPr>
                <w:rFonts w:hint="eastAsia" w:ascii="宋体" w:hAnsi="宋体" w:eastAsia="宋体" w:cs="宋体"/>
                <w:b w:val="0"/>
                <w:bCs w:val="0"/>
                <w:sz w:val="24"/>
                <w:szCs w:val="32"/>
                <w:u w:val="none"/>
                <w:vertAlign w:val="baseline"/>
                <w:lang w:val="en-US" w:eastAsia="zh-CN"/>
              </w:rPr>
              <w:t>。</w:t>
            </w:r>
          </w:p>
          <w:p w14:paraId="579B140C">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7.投标人在投标截止时间（开标时间）至评标结束期间，应派工作人员及时关注系统平台信息，并确保所留联系人的</w:t>
            </w:r>
            <w:r>
              <w:rPr>
                <w:rFonts w:hint="eastAsia" w:ascii="宋体" w:hAnsi="宋体" w:eastAsia="宋体" w:cs="宋体"/>
                <w:b/>
                <w:bCs/>
                <w:sz w:val="24"/>
                <w:szCs w:val="32"/>
                <w:u w:val="none"/>
                <w:vertAlign w:val="baseline"/>
                <w:lang w:val="en-US" w:eastAsia="zh-CN"/>
              </w:rPr>
              <w:t>电话保持畅通</w:t>
            </w:r>
            <w:r>
              <w:rPr>
                <w:rFonts w:hint="eastAsia" w:ascii="宋体" w:hAnsi="宋体" w:eastAsia="宋体" w:cs="宋体"/>
                <w:b w:val="0"/>
                <w:bCs w:val="0"/>
                <w:sz w:val="24"/>
                <w:szCs w:val="32"/>
                <w:u w:val="none"/>
                <w:vertAlign w:val="baseline"/>
                <w:lang w:val="en-US" w:eastAsia="zh-CN"/>
              </w:rPr>
              <w:t>，如因联系不上或未及时答复造成的相关后果由投标人自行负责。</w:t>
            </w:r>
          </w:p>
          <w:p w14:paraId="547C580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8.投标人在获取采购文件至签订合同之间所产生的一切费用（含废标、重新采购等情况）由投标人</w:t>
            </w:r>
            <w:r>
              <w:rPr>
                <w:rFonts w:hint="eastAsia" w:ascii="宋体" w:hAnsi="宋体" w:eastAsia="宋体" w:cs="宋体"/>
                <w:b/>
                <w:bCs/>
                <w:sz w:val="24"/>
                <w:szCs w:val="32"/>
                <w:u w:val="none"/>
                <w:vertAlign w:val="baseline"/>
                <w:lang w:val="en-US" w:eastAsia="zh-CN"/>
              </w:rPr>
              <w:t>自行承担</w:t>
            </w:r>
            <w:r>
              <w:rPr>
                <w:rFonts w:hint="eastAsia" w:ascii="宋体" w:hAnsi="宋体" w:eastAsia="宋体" w:cs="宋体"/>
                <w:b w:val="0"/>
                <w:bCs w:val="0"/>
                <w:sz w:val="24"/>
                <w:szCs w:val="32"/>
                <w:u w:val="none"/>
                <w:vertAlign w:val="baseline"/>
                <w:lang w:val="en-US" w:eastAsia="zh-CN"/>
              </w:rPr>
              <w:t>。</w:t>
            </w:r>
          </w:p>
          <w:p w14:paraId="509B94B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11BBDE4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7C607FEE">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41FDD57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12.本项目采用不见面开标。</w:t>
            </w:r>
          </w:p>
          <w:p w14:paraId="1EE5978D">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13.如招标文件出现前后不一致时，以投标人须知前附表为准。</w:t>
            </w:r>
          </w:p>
        </w:tc>
      </w:tr>
      <w:tr w14:paraId="486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BB7C6A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备注</w:t>
            </w:r>
          </w:p>
        </w:tc>
        <w:tc>
          <w:tcPr>
            <w:tcW w:w="4710" w:type="pct"/>
            <w:gridSpan w:val="2"/>
            <w:vAlign w:val="center"/>
          </w:tcPr>
          <w:p w14:paraId="0FA7291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除本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文件另有规定外，</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文件中出现的类似于“近三年”或“前三年”、“近五年”或“前五年”均指递交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文件时间以前三年或前五年，以此类推。</w:t>
            </w:r>
          </w:p>
          <w:p w14:paraId="6EF2E59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如：递交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文件时间为</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日，则“近三年”是指</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日至</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w:t>
            </w:r>
          </w:p>
          <w:p w14:paraId="6C5E29A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文件所称的“以上”、“以下”、“内”、“以内”，包括本数；所称的“不足”，不包括本数。</w:t>
            </w:r>
          </w:p>
        </w:tc>
      </w:tr>
    </w:tbl>
    <w:p w14:paraId="38D84648">
      <w:pPr>
        <w:jc w:val="center"/>
        <w:outlineLvl w:val="9"/>
        <w:rPr>
          <w:rFonts w:hint="eastAsia" w:ascii="宋体" w:hAnsi="宋体" w:eastAsia="宋体" w:cs="宋体"/>
          <w:b/>
          <w:bCs/>
          <w:sz w:val="28"/>
          <w:szCs w:val="36"/>
          <w:u w:val="none"/>
        </w:rPr>
      </w:pPr>
      <w:r>
        <w:rPr>
          <w:rFonts w:hint="eastAsia" w:ascii="宋体" w:hAnsi="宋体" w:eastAsia="宋体" w:cs="宋体"/>
          <w:b/>
          <w:bCs/>
          <w:sz w:val="28"/>
          <w:szCs w:val="36"/>
          <w:u w:val="none"/>
        </w:rPr>
        <w:t>注：本表中“</w:t>
      </w:r>
      <w:r>
        <w:rPr>
          <w:rFonts w:hint="eastAsia" w:ascii="宋体" w:hAnsi="宋体" w:eastAsia="宋体" w:cs="宋体"/>
          <w:b/>
          <w:bCs/>
          <w:sz w:val="28"/>
          <w:szCs w:val="36"/>
          <w:u w:val="none"/>
          <w:lang w:eastAsia="zh-CN"/>
        </w:rPr>
        <w:t>☑</w:t>
      </w:r>
      <w:r>
        <w:rPr>
          <w:rFonts w:hint="eastAsia" w:ascii="宋体" w:hAnsi="宋体" w:eastAsia="宋体" w:cs="宋体"/>
          <w:b/>
          <w:bCs/>
          <w:sz w:val="28"/>
          <w:szCs w:val="36"/>
          <w:u w:val="none"/>
        </w:rPr>
        <w:t>”标示选择使用该项</w:t>
      </w:r>
    </w:p>
    <w:p w14:paraId="03068DA0">
      <w:pPr>
        <w:rPr>
          <w:rFonts w:hint="eastAsia" w:ascii="宋体" w:hAnsi="宋体" w:eastAsia="宋体" w:cs="宋体"/>
          <w:b/>
          <w:bCs/>
          <w:sz w:val="28"/>
          <w:szCs w:val="36"/>
          <w:u w:val="none"/>
        </w:rPr>
      </w:pPr>
      <w:r>
        <w:rPr>
          <w:rFonts w:hint="eastAsia" w:ascii="宋体" w:hAnsi="宋体" w:eastAsia="宋体" w:cs="宋体"/>
          <w:b/>
          <w:bCs/>
          <w:sz w:val="28"/>
          <w:szCs w:val="36"/>
          <w:u w:val="none"/>
        </w:rPr>
        <w:br w:type="page"/>
      </w:r>
    </w:p>
    <w:p w14:paraId="11950F55">
      <w:pPr>
        <w:jc w:val="center"/>
        <w:outlineLvl w:val="1"/>
        <w:rPr>
          <w:rFonts w:hint="eastAsia" w:ascii="宋体" w:hAnsi="宋体" w:eastAsia="宋体" w:cs="宋体"/>
          <w:b/>
          <w:bCs/>
          <w:sz w:val="28"/>
          <w:szCs w:val="36"/>
          <w:u w:val="none"/>
        </w:rPr>
      </w:pPr>
      <w:bookmarkStart w:id="5" w:name="_Toc21067"/>
      <w:r>
        <w:rPr>
          <w:rFonts w:hint="eastAsia" w:ascii="宋体" w:hAnsi="宋体" w:eastAsia="宋体" w:cs="宋体"/>
          <w:b/>
          <w:bCs/>
          <w:sz w:val="28"/>
          <w:szCs w:val="36"/>
          <w:u w:val="none"/>
        </w:rPr>
        <w:t>（</w:t>
      </w:r>
      <w:r>
        <w:rPr>
          <w:rFonts w:hint="eastAsia" w:ascii="宋体" w:hAnsi="宋体" w:eastAsia="宋体" w:cs="宋体"/>
          <w:b/>
          <w:bCs/>
          <w:sz w:val="28"/>
          <w:szCs w:val="36"/>
          <w:u w:val="none"/>
          <w:lang w:val="en-US" w:eastAsia="zh-CN"/>
        </w:rPr>
        <w:t>二</w:t>
      </w:r>
      <w:r>
        <w:rPr>
          <w:rFonts w:hint="eastAsia" w:ascii="宋体" w:hAnsi="宋体" w:eastAsia="宋体" w:cs="宋体"/>
          <w:b/>
          <w:bCs/>
          <w:sz w:val="28"/>
          <w:szCs w:val="36"/>
          <w:u w:val="none"/>
        </w:rPr>
        <w:t>）投标人须知说明</w:t>
      </w:r>
      <w:bookmarkEnd w:id="5"/>
    </w:p>
    <w:p w14:paraId="533B9A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一、总则</w:t>
      </w:r>
    </w:p>
    <w:p w14:paraId="1FC4B8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适用范围</w:t>
      </w:r>
    </w:p>
    <w:p w14:paraId="09063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1《中华人民共和国政府采购法》；</w:t>
      </w:r>
    </w:p>
    <w:p w14:paraId="049F29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2《中华人民共和国政府采购法实施条例》；</w:t>
      </w:r>
    </w:p>
    <w:p w14:paraId="0DC586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3《政府采购货物和服务招标投标管理办法》；</w:t>
      </w:r>
    </w:p>
    <w:p w14:paraId="29B71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4《政府采购质疑和投诉办法》；</w:t>
      </w:r>
    </w:p>
    <w:p w14:paraId="719EBD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5《中华人民共和国民法典》；</w:t>
      </w:r>
    </w:p>
    <w:p w14:paraId="08815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6其他有关法律、行政法规以及省市规范性文件规定。</w:t>
      </w:r>
    </w:p>
    <w:p w14:paraId="3B5F98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定义</w:t>
      </w:r>
    </w:p>
    <w:p w14:paraId="6A876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1“采购人”名称见本招标文件第二章“投标人须知前附表”中第2项。</w:t>
      </w:r>
    </w:p>
    <w:p w14:paraId="4A7B35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2“采购代理机构”名称见本招标文件第二章“投标人须知前附表”中第3项。</w:t>
      </w:r>
    </w:p>
    <w:p w14:paraId="207D9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3“招标货物”指招标文件第三章所述所有货物；“服务”指招标文件第三章所述投标人应该履行的承诺和义务。</w:t>
      </w:r>
    </w:p>
    <w:p w14:paraId="61546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4“潜在投标人”指符合招标文件各项规定的投标人。</w:t>
      </w:r>
    </w:p>
    <w:p w14:paraId="529D1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5“投标人”指符合招标文件规定并参加投标的投标人。</w:t>
      </w:r>
    </w:p>
    <w:p w14:paraId="34D327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6“投标人公章”在投标文件中指与投标人标准公章一致的投标人电子签章。</w:t>
      </w:r>
    </w:p>
    <w:p w14:paraId="03E2C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合格投标人的条件</w:t>
      </w:r>
    </w:p>
    <w:p w14:paraId="2BCD6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1遵守有关的国家法律、法规和条例，具备《中华人民共和国政府采购法》和本文件中规定的条件：</w:t>
      </w:r>
    </w:p>
    <w:p w14:paraId="0921E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具有独立承担民事责任的能力；</w:t>
      </w:r>
    </w:p>
    <w:p w14:paraId="7FC9E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具有良好的商业信誉和健全的财务会计制度；</w:t>
      </w:r>
    </w:p>
    <w:p w14:paraId="67B62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具有履行合同所必需的设备和专业技术能力；</w:t>
      </w:r>
    </w:p>
    <w:p w14:paraId="6E79F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具有依法缴纳税收和社会保障资金的良好记录；</w:t>
      </w:r>
    </w:p>
    <w:p w14:paraId="313B2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参加政府采购活动前三年内，在经营活动中没有重大违法记录；</w:t>
      </w:r>
    </w:p>
    <w:p w14:paraId="767979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法律、行政法规规定的其他条件；</w:t>
      </w:r>
    </w:p>
    <w:p w14:paraId="4C5E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符合本招标文件规定的资格要求，且按照要求提供相关证明材料；</w:t>
      </w:r>
    </w:p>
    <w:p w14:paraId="77F96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2单位负责人为同一人或者存在直接控股、管理关系的不同投标人，不得参加同一合同项下的政府采购活动；</w:t>
      </w:r>
    </w:p>
    <w:p w14:paraId="75B0B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3投标人须知前附表规定接受联合体投标的，应符合以下规定：</w:t>
      </w:r>
    </w:p>
    <w:p w14:paraId="01BE6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1联合体各方应按照招标文件提供的格式签订联合体协议书，明确联合体牵头人和各方权利义务；</w:t>
      </w:r>
    </w:p>
    <w:p w14:paraId="21D5A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2联合体各方均应当符合《政府采购法》第二十二条规定的条件；</w:t>
      </w:r>
    </w:p>
    <w:p w14:paraId="70437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3联合体中有同类资质的投标人按照联合体分工承担相同工作的，应当按照资质等级较低的投标人确定资质等级。</w:t>
      </w:r>
    </w:p>
    <w:p w14:paraId="1E9C4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4以联合体形式参加政府采购活动的，联合体各方不得再单独参加或者与其他投标人另外组成联合体参加同一合同项下的政府采购活动。</w:t>
      </w:r>
    </w:p>
    <w:p w14:paraId="04D236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5联合体各方应当共同与采购人签订采购合同，就合同约定的事项对采购人承担连带责任；</w:t>
      </w:r>
    </w:p>
    <w:p w14:paraId="1222B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6鼓励大中型企业和其他自然人、法人或者其他组织与小型、微型企业组成联合体投标，但联合体各方均应符合上述规定。</w:t>
      </w:r>
    </w:p>
    <w:p w14:paraId="1942D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4鼓励大中型企业和其他自然人、法人或者其他组织与小型、微型企业组成联合体投标，但联合体各方均应符合上述规定。</w:t>
      </w:r>
    </w:p>
    <w:p w14:paraId="27ED4F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5除采购人拟采购进口产品通过财政部门审核外，投标人不得提供直接进口或者委托进口产品（包括已进入中国境内的进口产品）。</w:t>
      </w:r>
    </w:p>
    <w:p w14:paraId="0D5BC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6为本项目提供整体设计、规范编制或者项目管理、监理、检测等服务的投标人，不得再参加本项目的招标活动。</w:t>
      </w:r>
    </w:p>
    <w:p w14:paraId="3DBA1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7采购代理机构及其分支机构不得在所代理的采购项目中投标或者代理投标，不得为所代理的采购项目的投标人参加本项目提供投标咨询。</w:t>
      </w:r>
    </w:p>
    <w:p w14:paraId="0F82A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8投标人提供的证明材料内容必须真实可靠。</w:t>
      </w:r>
    </w:p>
    <w:p w14:paraId="547DD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9投标人按时足额交纳投标保证金</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如有</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14:paraId="09E15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10投标人不得与采购人、采购代理机构等有利害关系。</w:t>
      </w:r>
    </w:p>
    <w:p w14:paraId="31A58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符合上述条件的投标人即为合格投标人，具有参与公开招标的资格。</w:t>
      </w:r>
    </w:p>
    <w:p w14:paraId="45397A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投标费用</w:t>
      </w:r>
    </w:p>
    <w:p w14:paraId="1F8A3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1投标人应承担所有与准备和参加投标有关的费用。</w:t>
      </w:r>
    </w:p>
    <w:p w14:paraId="58B7DB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纪律</w:t>
      </w:r>
    </w:p>
    <w:p w14:paraId="4953D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1投标人纪律</w:t>
      </w:r>
    </w:p>
    <w:p w14:paraId="4F7F3A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1投标人的投标行为应遵守中国的有关法律、法规和规章。</w:t>
      </w:r>
    </w:p>
    <w:p w14:paraId="7CF7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2投标人不得相互串通投标报价，不得妨碍其他投标人的公平竞争，不得损害采购人或其他投标人的合法权益，投标人不得以向采购人、评标委员会成员行贿或者采取其他不正当手段谋取中标。</w:t>
      </w:r>
    </w:p>
    <w:p w14:paraId="744DE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3有下列情形之一的，属于投标人相互串通投标：</w:t>
      </w:r>
    </w:p>
    <w:p w14:paraId="4B612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1投标人之间协商投标报价等投标文件的实质性内容；</w:t>
      </w:r>
    </w:p>
    <w:p w14:paraId="1F99E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2投标人之间约定中标人；</w:t>
      </w:r>
    </w:p>
    <w:p w14:paraId="4BE567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3投标人之间约定部分投标人放弃投标或者中标；</w:t>
      </w:r>
    </w:p>
    <w:p w14:paraId="43F02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4属于同一集团、协会、商会等组织成员的投标人按照该组织要求协同投标；</w:t>
      </w:r>
    </w:p>
    <w:p w14:paraId="37F8F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5投标人之间为谋取中标或者排斥特定投标人而采取的其他联合行动。</w:t>
      </w:r>
    </w:p>
    <w:p w14:paraId="0A8652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4有下列情形之一的，视为投标人相互串通投标：</w:t>
      </w:r>
    </w:p>
    <w:p w14:paraId="61070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1不同投标人的投标文件由同一单位或者个人编制；</w:t>
      </w:r>
    </w:p>
    <w:p w14:paraId="76E9E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2不同投标人的投标文件载明的项目管理成员为同一人；</w:t>
      </w:r>
    </w:p>
    <w:p w14:paraId="35ED53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3不同投标人的投标文件异常一致或者投标报价呈规律性差异；</w:t>
      </w:r>
    </w:p>
    <w:p w14:paraId="2FCFF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4不同投标人的投标文件相互混装；</w:t>
      </w:r>
    </w:p>
    <w:p w14:paraId="3A203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5不同投标人的投标保证金从同一单位或者个人的账户转出。</w:t>
      </w:r>
    </w:p>
    <w:p w14:paraId="3ABB2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2对采购人的纪律要求</w:t>
      </w:r>
    </w:p>
    <w:p w14:paraId="09212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37BFF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2采购人不得向投标人索要或者接受其给予的赠品、回扣或者与采购无关的其他商品、服务。</w:t>
      </w:r>
    </w:p>
    <w:p w14:paraId="62688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3对投标人的纪律要求</w:t>
      </w:r>
    </w:p>
    <w:p w14:paraId="05D4B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1投标人应当遵循公平竞争的原则，不得恶意串通，不得妨碍其他投标人的竞争行为，不得损害采购人或者其他投标人的合法权益。</w:t>
      </w:r>
    </w:p>
    <w:p w14:paraId="254482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4对评标委员会成员的纪律要求</w:t>
      </w:r>
    </w:p>
    <w:p w14:paraId="68235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1评标委员会及其成员不得有下列行为：</w:t>
      </w:r>
    </w:p>
    <w:p w14:paraId="0DAEC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（一）确定参与评标至评标结束前私自接触投标人；</w:t>
      </w:r>
    </w:p>
    <w:p w14:paraId="3972A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（二）接受投标人提出的与投标文件不一致的澄清或者说明，法律规定允许澄清或说明的情形除外；</w:t>
      </w:r>
    </w:p>
    <w:p w14:paraId="6A526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（三）违反评标纪律发表倾向性意见或者征询采购人的倾向性意见；</w:t>
      </w:r>
    </w:p>
    <w:p w14:paraId="710924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（四）对需要专业判断的主观评标因素协商评分；</w:t>
      </w:r>
    </w:p>
    <w:p w14:paraId="7A1E06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（五）在评标过程中擅离职守，影响评标程序正常进行的；</w:t>
      </w:r>
    </w:p>
    <w:p w14:paraId="27510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（六）记录、复制或者带走任何评标资料；</w:t>
      </w:r>
    </w:p>
    <w:p w14:paraId="667B0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（七）其他不遵守评标纪律的行为。</w:t>
      </w:r>
    </w:p>
    <w:p w14:paraId="540AB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评标委员会成员有前款第一至五项行为之一的，其评标意见无效，并不得获取评标劳务报酬和报销异地评标差旅费。</w:t>
      </w:r>
    </w:p>
    <w:p w14:paraId="3391B3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5对与评标活动有关的工作人员的纪律要求</w:t>
      </w:r>
    </w:p>
    <w:p w14:paraId="6F73E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03A3B6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通知</w:t>
      </w:r>
    </w:p>
    <w:p w14:paraId="3476E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8AFD0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二、招标文件</w:t>
      </w:r>
    </w:p>
    <w:p w14:paraId="4C3D9E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招标文件组成</w:t>
      </w:r>
    </w:p>
    <w:p w14:paraId="27E532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1招标文件的组成</w:t>
      </w:r>
    </w:p>
    <w:p w14:paraId="17139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1招标文件是用以阐明所需货物以及服务、招标程序和合同格式的规范性文件。招标文件主要由以下部分组成：</w:t>
      </w:r>
    </w:p>
    <w:p w14:paraId="1F9EA7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（1）招标公告；</w:t>
      </w:r>
    </w:p>
    <w:p w14:paraId="67F70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（2）投标人须知；</w:t>
      </w:r>
    </w:p>
    <w:p w14:paraId="1FE16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（3）采购需求；</w:t>
      </w:r>
    </w:p>
    <w:p w14:paraId="5A97F7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（4）评标办法；</w:t>
      </w:r>
    </w:p>
    <w:p w14:paraId="168AD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（5）签订合同及合同范本；</w:t>
      </w:r>
    </w:p>
    <w:p w14:paraId="18B4E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（6）投标文件格式。</w:t>
      </w:r>
    </w:p>
    <w:p w14:paraId="46DB15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2根据本章第7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2款对采购文件所作的澄清和修改，构成采购文件的组成部分。</w:t>
      </w:r>
    </w:p>
    <w:p w14:paraId="35AFA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3除非有特殊要求，招标文件不单独提供项目所在地的自然环境、气候条件、公用设施等情况，投标人被视为熟悉上述与履行合同有关的一切情况。</w:t>
      </w:r>
    </w:p>
    <w:p w14:paraId="50360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2答疑及招标文件的澄清和修改</w:t>
      </w:r>
    </w:p>
    <w:p w14:paraId="2F84A9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053BA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投标人在规定的时间内未对招标文件提出疑问或要求澄清的，采购代理机构将视其为同意，对在“答疑接受时间”后就招标文件内容提出的疑问及澄清要求将不予受理。</w:t>
      </w:r>
    </w:p>
    <w:p w14:paraId="02A1C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4F0A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特殊情况下，采购代理机构发布澄清、修改文件后，征得投标人同意，可不改变投标截止时间和开标时间。</w:t>
      </w:r>
    </w:p>
    <w:p w14:paraId="02CED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B5BCF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78E62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5澄清、修改文件发出后，投标人必须使用最新的答疑、澄清文件制作电子投标文件，否则将无法完成上传。</w:t>
      </w:r>
    </w:p>
    <w:p w14:paraId="2C956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招标文件的澄清或者修改在同一内容的表述上不一致时，以最后发出的公告为准。</w:t>
      </w:r>
    </w:p>
    <w:p w14:paraId="44B01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踏勘现场</w:t>
      </w:r>
    </w:p>
    <w:p w14:paraId="32C2D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1本项目是否统一组织投标人踏勘现场见招标文件第二部分“投标人须知前附表”中的规定。无论是否统一组织，投标人应对供货现场和周围环境进行勘察，以获取编制投标文件所需的资料。</w:t>
      </w:r>
    </w:p>
    <w:p w14:paraId="6F51D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65E5A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3除非有特殊要求，招标文件不单独提供供货使用地的自然环境、气候条件、公用设施等情况，投标人被视为熟悉上述与履行合同有关的一切情况。</w:t>
      </w:r>
    </w:p>
    <w:p w14:paraId="0CE713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4除采购人原因外，投标人自行负责在踏勘现场中所发生的人员伤亡和财产损失。</w:t>
      </w:r>
    </w:p>
    <w:p w14:paraId="75F1D2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知识产权</w:t>
      </w:r>
    </w:p>
    <w:p w14:paraId="38010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10D4F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2投标人如欲在项目实施过程中采用自有知识成果，须在投标文件中声明，并提供相关知识产权证明文件。使用该知识成果后，投标人须提供开发接口和开发手册等技术文档。</w:t>
      </w:r>
    </w:p>
    <w:p w14:paraId="0DDDEF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三、投标文件</w:t>
      </w:r>
    </w:p>
    <w:p w14:paraId="238C49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投标文件的语言及计量单位</w:t>
      </w:r>
    </w:p>
    <w:p w14:paraId="2ACD5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1投标人提交的投标文件（包括相关资料、附件）以及投标人与采购代理机构就有关投标的所有来往函电均应使用中文简体字。</w:t>
      </w:r>
    </w:p>
    <w:p w14:paraId="5D24D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023A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3除非招标文件另有规定，投标文件所使用的计量单位，应使用国家法定计量单位。</w:t>
      </w:r>
    </w:p>
    <w:p w14:paraId="524CD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4对违反上述规定情形的，评标委员会有权要求投标人限期提供相应文件或决定对其投标予以拒绝。</w:t>
      </w:r>
    </w:p>
    <w:p w14:paraId="650136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5电报、电话、传真形式的投标概不接受。投标人的投标文件一律不予退还。</w:t>
      </w:r>
    </w:p>
    <w:p w14:paraId="3D2A6B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投标文件组成及编制</w:t>
      </w:r>
    </w:p>
    <w:p w14:paraId="0A734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1投标人应按照招标文件的要求编制投标文件，并保证其真实性、准确性以及完整性，按照招标文件要求提交全部资料并做出实质性投标。</w:t>
      </w:r>
    </w:p>
    <w:p w14:paraId="309EA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2投标文件由报价要求响应文件、资格响应文件、商务技术响应文件组成</w:t>
      </w:r>
      <w:r>
        <w:rPr>
          <w:rFonts w:hint="eastAsia" w:ascii="宋体" w:hAnsi="宋体" w:eastAsia="宋体" w:cs="宋体"/>
          <w:sz w:val="24"/>
          <w:szCs w:val="24"/>
          <w:u w:val="none"/>
          <w:lang w:eastAsia="zh-CN"/>
        </w:rPr>
        <w:t>。</w:t>
      </w:r>
    </w:p>
    <w:p w14:paraId="6F81C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3具体内容详见“第六章  投标文件格式”的相关内容。</w:t>
      </w:r>
    </w:p>
    <w:p w14:paraId="0157AE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电子投标文件的编制</w:t>
      </w:r>
    </w:p>
    <w:p w14:paraId="367A69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16348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2电子投标文件须使用投标人公章的电子签章以及法定代表人的电子签章。若无电子签章，则视为无效投标。</w:t>
      </w:r>
    </w:p>
    <w:p w14:paraId="596C3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01EA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投标报价</w:t>
      </w:r>
    </w:p>
    <w:p w14:paraId="7D815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1投标报价的范围：见投标人须知前附表。</w:t>
      </w:r>
    </w:p>
    <w:p w14:paraId="640DE1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2投标人应对所投项目中的服务（货物）进行报价，对每一项服务（货物）的报价必须全部报齐。</w:t>
      </w:r>
    </w:p>
    <w:p w14:paraId="37776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3投标报价的次数：见投标人须知前附表。</w:t>
      </w:r>
    </w:p>
    <w:p w14:paraId="0C0D0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4投标人不得以任何方式或者方法提供投标以外的任何附赠条款。</w:t>
      </w:r>
    </w:p>
    <w:p w14:paraId="769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5投标人应按照招标文件中要求的内容填写报价，并由法定代表人或者授权代表签署。</w:t>
      </w:r>
    </w:p>
    <w:p w14:paraId="3C10E4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6投标人须按照附件格式表中的各单项明细逐项填写，以方便评标委员会对各投标文件进行比较。</w:t>
      </w:r>
    </w:p>
    <w:p w14:paraId="62F6C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7投标文件报价出现前后不一致的，除招标文件另有规定外，视其投标无效。</w:t>
      </w:r>
    </w:p>
    <w:p w14:paraId="4598A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8唱标时，采购代理机构只对按照招标文件要求编制的投标报价进行唱标。</w:t>
      </w:r>
    </w:p>
    <w:p w14:paraId="5BA70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9投标人的中标价格在合同执行中是固定不变的，不得以任何理由予以变更，不得出现任何包含价格调整的要求。</w:t>
      </w:r>
    </w:p>
    <w:p w14:paraId="582AF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E15C2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不接受可选择或可调整的投标方案和报价，任何有选择的或可调整的投标方案和报价将被视为非投标性投标而被拒绝。</w:t>
      </w:r>
    </w:p>
    <w:p w14:paraId="5E9B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本项目是否接受进口产品按照招标文件第二章“投标人须知前附表”的规定执行。</w:t>
      </w:r>
    </w:p>
    <w:p w14:paraId="55C7C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本项目是否允许投标人将项目的非主体、非关键性工作交由他人完成按照招标文件第二章“投标人须知前附表”的规定。</w:t>
      </w:r>
    </w:p>
    <w:p w14:paraId="7D908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投标人须严格按照报价明细表规定的内容填写单价以及其他事项。</w:t>
      </w:r>
    </w:p>
    <w:p w14:paraId="5A11A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投标人对投标报价若有说明应在投标文件中显著处注明。除政策性文件规定以外，投标人所报价格在合同实施期间不因市场变化因素而变动。</w:t>
      </w:r>
    </w:p>
    <w:p w14:paraId="297556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7A4C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最低报价不能作为中标的保证。</w:t>
      </w:r>
    </w:p>
    <w:p w14:paraId="09E582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投标有效期</w:t>
      </w:r>
    </w:p>
    <w:p w14:paraId="24B54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1本项目的投标有效期按照招标文件第二章“投标人须知前附表”的规定。投标有效期自开标之日起计算，短于规定期限的投标将按无效投标处理。</w:t>
      </w:r>
    </w:p>
    <w:p w14:paraId="0867F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CB97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投标内容填写说明</w:t>
      </w:r>
    </w:p>
    <w:p w14:paraId="5BBF0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740AA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42A48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3开标一览表为在开标仪式上唱标的内容，要求按格式统一填写，不得自行增减内容。</w:t>
      </w:r>
    </w:p>
    <w:p w14:paraId="4BCBC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57B4E2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5投标人必须保证投标文件所提供的全部资料真实可靠，并接受采购代理机构或评标委员会对其中任何资料进一步审查的要求。</w:t>
      </w:r>
    </w:p>
    <w:p w14:paraId="786C5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D8D6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四、投标保证金</w:t>
      </w:r>
    </w:p>
    <w:p w14:paraId="469DC9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投标保证金（如有）</w:t>
      </w:r>
    </w:p>
    <w:p w14:paraId="70EFA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1投标人应按照招标文件第二章“投标人须知前附表”中的规定交纳。投标保证金须于到账截止时间前到帐，并经采购代理机构确认。</w:t>
      </w:r>
    </w:p>
    <w:p w14:paraId="328B7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2采购代理机构不接收以现金或汇票方式递交的投标保证金。未按要求提交投标保证金的，将被视为无效投标。</w:t>
      </w:r>
    </w:p>
    <w:p w14:paraId="60736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3未中标的投标人的投标保证金在中标通知书发出之日起5个工作日内退还；中标人的投标保证金将在交纳履约保证金并于合同生效后5个工作日内退还。</w:t>
      </w:r>
    </w:p>
    <w:p w14:paraId="36AB8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4投标保证金退还一律采用网上银行转帐方式退还至投标人的汇款帐户，资金原路返回。</w:t>
      </w:r>
    </w:p>
    <w:p w14:paraId="57D8C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5如开标时投标人对本单位投标保证金缴纳情况有疑义，投标人应在开标结束前向</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人提交书面申请核实保证金缴纳情况。由银行或保险公司核实后出具书面材料予以答复。</w:t>
      </w:r>
    </w:p>
    <w:p w14:paraId="76DFA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6开标结束后，转账、电汇、网银形式缴纳的保证金由招标代理或</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001542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五、投标文件的递交</w:t>
      </w:r>
    </w:p>
    <w:p w14:paraId="443E87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投标文件加密</w:t>
      </w:r>
    </w:p>
    <w:p w14:paraId="31A72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B5EB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投标截止时间以政采云平台显示的时间为准，逾期系统将自动关闭，未完成上传的投标文件视为逾期送达，将被拒绝。</w:t>
      </w:r>
    </w:p>
    <w:p w14:paraId="5C2054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投标文件的递交</w:t>
      </w:r>
    </w:p>
    <w:p w14:paraId="1E3D9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1投标人应当在招标文件要求提交投标文件的截止时间前按照采购文件中的有关要求线上递交投标文件。</w:t>
      </w:r>
    </w:p>
    <w:p w14:paraId="2CF79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2在招标文件要求提交投标文件的截止时间之后送达的投标文件，为无效投标文件，采购代理机构将拒绝接收。</w:t>
      </w:r>
    </w:p>
    <w:p w14:paraId="7E166B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3004A1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投标文件的修改和撤回</w:t>
      </w:r>
    </w:p>
    <w:p w14:paraId="42BBBF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1投标人在招标文件要求提交投标文件截止时间前，可以修改或者撤回已上传的投标文件。</w:t>
      </w:r>
    </w:p>
    <w:p w14:paraId="73275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2在提交投标文件截止时间后到招标文件规定的投标有效期终止之前，投标人不得补充、修改或者撤销其投标文件。</w:t>
      </w:r>
    </w:p>
    <w:p w14:paraId="3C34A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六、开标</w:t>
      </w:r>
    </w:p>
    <w:p w14:paraId="5590BF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开标</w:t>
      </w:r>
    </w:p>
    <w:p w14:paraId="6D455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1开标程序</w:t>
      </w:r>
    </w:p>
    <w:p w14:paraId="4637B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1宣布开标纪律；</w:t>
      </w:r>
    </w:p>
    <w:p w14:paraId="683FE7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2宣布主持人、唱标人、记录人等有关人员姓名；</w:t>
      </w:r>
    </w:p>
    <w:p w14:paraId="01F80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3查看在线签到家数，少于三家开标会结束；不少于三家开标会继续进行；</w:t>
      </w:r>
    </w:p>
    <w:p w14:paraId="76B3C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4投标人根据要求在限定时间内通过电子招标投标交易平台对已上传的电子投标文件开始解密。</w:t>
      </w:r>
    </w:p>
    <w:p w14:paraId="7EA559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5开标结束。</w:t>
      </w:r>
    </w:p>
    <w:p w14:paraId="3DBDA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w:t>
      </w:r>
    </w:p>
    <w:p w14:paraId="0D225B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1开标应当在招标文件确定的提交投标文件截止时间的同一时间通过电子招标投标交易平台公开进行。所有投标人须在开标前规定时间内签到。</w:t>
      </w:r>
    </w:p>
    <w:p w14:paraId="5796F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2开标由采购代理机构指定专人负责，开标记录由投标人线上确认。</w:t>
      </w:r>
    </w:p>
    <w:p w14:paraId="1971A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3投标人代表对开标过程和开标记录有疑义，以及认为采购人、采购代理机构相关工作人员有需要回避的情形的，应当场</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在线</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提出询问或者回避申请。采购人、采购代理机构对投标人代表提出的询问或者回避申请应当及时处理。投标人未参加开标的，视同认可开标结果。</w:t>
      </w:r>
    </w:p>
    <w:p w14:paraId="4E2434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4投标人不足3家的，不得开标。</w:t>
      </w:r>
    </w:p>
    <w:p w14:paraId="63E9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04CB6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A．采用见面开标方式（是否采用详见投标人须知前附表）</w:t>
      </w:r>
    </w:p>
    <w:p w14:paraId="23993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2D0B9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E248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因网上招标系统故障导致所有投标人均解密失败时，投标人使用未加密的电子投标文件进行开评标。</w:t>
      </w:r>
    </w:p>
    <w:p w14:paraId="247BD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462C7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在评标结束前，未得到采购代理机构允许，投标人法定代表人或授权代理人不得离开开标现场。</w:t>
      </w:r>
    </w:p>
    <w:p w14:paraId="3C82E0D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B．采用不见面开标方式（是否采用详见投标人须知前附表）</w:t>
      </w:r>
    </w:p>
    <w:p w14:paraId="0DA37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155E1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8846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七、评标</w:t>
      </w:r>
    </w:p>
    <w:p w14:paraId="5380F7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组建评标委员会</w:t>
      </w:r>
    </w:p>
    <w:p w14:paraId="233B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21.1评标委员会的组成</w:t>
      </w:r>
    </w:p>
    <w:p w14:paraId="1DBD7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379AA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75E9B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21.2评标专家的抽取</w:t>
      </w:r>
    </w:p>
    <w:p w14:paraId="6FF5B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21.2.1采用随机抽取方式从省级以上财政部门设立的政府采购评标专家库中抽取评标专家。任何单位和个人都不得指定评标专家或干预评标专家的抽取工作。</w:t>
      </w:r>
    </w:p>
    <w:p w14:paraId="7FF024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21.2.2参加评标专家抽取的有关人员对被抽取的专家的姓名、单位和联系方式等内容负有保密的义务。评标委员会成员的名单在中标结果确定前必须严格保密。</w:t>
      </w:r>
    </w:p>
    <w:p w14:paraId="21BB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21.3评标专家不得参加与自身存在利害关系的政府采购项目的评标及相关活动，与自己有利害关系的应当回避，已经进入的必须更换。</w:t>
      </w:r>
    </w:p>
    <w:p w14:paraId="36E6A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21.4评标委员会负责对各投标文件进行评标、比较、评定，并按本招标文件的规定确定中标候选人名单，以及根据采购人委托直接确定中标人。</w:t>
      </w:r>
    </w:p>
    <w:p w14:paraId="71448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02CF8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21.6评标委员会的职责：</w:t>
      </w:r>
    </w:p>
    <w:p w14:paraId="6B06C1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21.6.1审查、评价投标文件是否符合招标文件的商务、技术等实质性要求；</w:t>
      </w:r>
    </w:p>
    <w:p w14:paraId="2ABE0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21.6.2要求投标人对投标文件有关事项作出澄清或者说明；</w:t>
      </w:r>
    </w:p>
    <w:p w14:paraId="4365D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21.6.3对投标文件进行比较和评价；</w:t>
      </w:r>
    </w:p>
    <w:p w14:paraId="7A5B7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21.6.4推荐中标候选人名单，或根据采购人委托直接确定中标人；</w:t>
      </w:r>
    </w:p>
    <w:p w14:paraId="68C58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21.6.5向采购人、采购代理机构或者有关部门报告评标中发现的违法行为。</w:t>
      </w:r>
    </w:p>
    <w:p w14:paraId="5FB39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21.7评标委员会的义务：</w:t>
      </w:r>
    </w:p>
    <w:p w14:paraId="66205C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21.7.1遵纪守法，客观、公正、廉洁地履行职责；</w:t>
      </w:r>
    </w:p>
    <w:p w14:paraId="0AD73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21.7.2提出真实、可靠的评标意见；</w:t>
      </w:r>
    </w:p>
    <w:p w14:paraId="66896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21.7.3严格遵守评标纪律，不得向外界泄露评标情况；</w:t>
      </w:r>
    </w:p>
    <w:p w14:paraId="16E0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21.7.4发现投标人在招投标活动中有不正当竞争或者恶意串通等违规行为，应及时向监督部门报告并加以制止；</w:t>
      </w:r>
    </w:p>
    <w:p w14:paraId="05256C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21.7.5按照招标文件规定的评标方法和评标标准进行评标，对评标意见承担个人责任；</w:t>
      </w:r>
    </w:p>
    <w:p w14:paraId="40697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21.7.6编写评标报告；</w:t>
      </w:r>
    </w:p>
    <w:p w14:paraId="25B81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21.7.7配合采购人或者采购代理机构答复投标人提出的质疑；</w:t>
      </w:r>
    </w:p>
    <w:p w14:paraId="3FFB6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21.7.8对评标过程和结果，以及采购人、投标人的商业秘密保密；</w:t>
      </w:r>
    </w:p>
    <w:p w14:paraId="2CD7E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21.7.9配合监管部门处理投诉；</w:t>
      </w:r>
    </w:p>
    <w:p w14:paraId="68DE9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21.8评标委员会成员有下列情形之一的，应当回避：</w:t>
      </w:r>
    </w:p>
    <w:p w14:paraId="02642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21.8.1投标人或者投标人主要负责人的近亲属；</w:t>
      </w:r>
    </w:p>
    <w:p w14:paraId="367F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21.8.3参加过采购项目前期咨询论证的；</w:t>
      </w:r>
    </w:p>
    <w:p w14:paraId="1EA93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21.8.4自身与政府采购项目存在利害关系的；</w:t>
      </w:r>
    </w:p>
    <w:p w14:paraId="28814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21.9评标程序</w:t>
      </w:r>
    </w:p>
    <w:p w14:paraId="520A0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21.9.1资格审查</w:t>
      </w:r>
    </w:p>
    <w:p w14:paraId="62D5D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21.9.2宣布评标纪律以及回避提示；</w:t>
      </w:r>
    </w:p>
    <w:p w14:paraId="5649D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21.9.3组织推荐评标委员会组长；</w:t>
      </w:r>
    </w:p>
    <w:p w14:paraId="59DAD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21.9.4符合性审查；</w:t>
      </w:r>
    </w:p>
    <w:p w14:paraId="02C42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21.9.5技术和商务评标；</w:t>
      </w:r>
    </w:p>
    <w:p w14:paraId="5B60A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21.9.6澄清有关问题；</w:t>
      </w:r>
    </w:p>
    <w:p w14:paraId="338E9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21.9.7比较与评价；</w:t>
      </w:r>
    </w:p>
    <w:p w14:paraId="3F2FF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21.9.8确定中标人或者推荐中标候选人名单；</w:t>
      </w:r>
    </w:p>
    <w:p w14:paraId="58DC08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21.9.9编写评标报告。</w:t>
      </w:r>
    </w:p>
    <w:p w14:paraId="06AC1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21.9.10宣布评标结果。</w:t>
      </w:r>
    </w:p>
    <w:p w14:paraId="7F2B9A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资格审查</w:t>
      </w:r>
    </w:p>
    <w:p w14:paraId="3A4571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4EDD2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信用信息查询记录及相关证据应当与其他采购文件一并保存。</w:t>
      </w:r>
    </w:p>
    <w:p w14:paraId="79BDB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22.3在资格性审查时，对属于不合格投标人，采购人或者采购代理机构必须提出不合格的事实依据并出具不合格说明。</w:t>
      </w:r>
    </w:p>
    <w:p w14:paraId="485A17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评标过程</w:t>
      </w:r>
    </w:p>
    <w:p w14:paraId="52A36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23.1采购人或者采购代理机构负责组织评标工作，并履行下列职责：</w:t>
      </w:r>
    </w:p>
    <w:p w14:paraId="5BABF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23.1.1核对评标专家身份和采购人代表授权函，对评标专家在政府采购活动中的职责履行情况予以记录，并及时将有关违法违规行为向财政部门报告；</w:t>
      </w:r>
    </w:p>
    <w:p w14:paraId="0053F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23.1.2专家阅读评标纪律；</w:t>
      </w:r>
    </w:p>
    <w:p w14:paraId="0A575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23.1.3公布投标人名单，告知评标专家应当回避的情形；</w:t>
      </w:r>
    </w:p>
    <w:p w14:paraId="4E1A7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23.1.4组织评标委员会推选评标组长，采购人代表不得担任组长；</w:t>
      </w:r>
    </w:p>
    <w:p w14:paraId="52A8B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23.1.5在评标期间采取必要的通讯管理措施，保证评标活动不受外界干扰；</w:t>
      </w:r>
    </w:p>
    <w:p w14:paraId="73BF0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23.1.6根据评标委员会的要求介绍政府采购相关政策法规、招标文件；</w:t>
      </w:r>
    </w:p>
    <w:p w14:paraId="7571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23.1.7维护评标秩序，监督评标委员会依照招标文件规定的评标程序、方法和标准进行独立评标，及时制止和纠正采购人代表、评标专家的倾向性言论或者违法违规行为；</w:t>
      </w:r>
    </w:p>
    <w:p w14:paraId="702E7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23.1.8核对评标结果，有以下情形的，要求评标委员会复核或者书面说明理由，评标委员会拒绝的，应予记录并向本级财政部门报告；</w:t>
      </w:r>
    </w:p>
    <w:p w14:paraId="399F6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23.1.8.1分值汇总计算错误的；</w:t>
      </w:r>
    </w:p>
    <w:p w14:paraId="25FD4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23.1.8.2分项评分超出评分标准范围的；</w:t>
      </w:r>
    </w:p>
    <w:p w14:paraId="3509E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23.1.8.3评标委员会成员对客观评标因素评分不一致的；</w:t>
      </w:r>
    </w:p>
    <w:p w14:paraId="39C14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23.1.8.4经评标委员会认定评分畸高、畸低的。</w:t>
      </w:r>
    </w:p>
    <w:p w14:paraId="44A594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23.1.9评标工作完成后，按照规定向评标专家支付劳务报酬和异地评标差旅费，不得向评标专家以外的其他人员支付评标劳务报酬；</w:t>
      </w:r>
    </w:p>
    <w:p w14:paraId="61603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23.1.10处理与评标有关的其他事项。</w:t>
      </w:r>
    </w:p>
    <w:p w14:paraId="1D07D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采购人可以在评标前说明项目背景和采购需求，说明内容不得含有歧视性、倾向性意见，不得超出招标文件所述范围。说明应当提交书面材料，并随采购文件一并存档。</w:t>
      </w:r>
    </w:p>
    <w:p w14:paraId="2E9F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23.2符合性审查</w:t>
      </w:r>
    </w:p>
    <w:p w14:paraId="078C0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评标委员会应当对符合资格的投标人的投标文件进行符合性审查，以确定其是否满足招标文件的实质性要求。</w:t>
      </w:r>
    </w:p>
    <w:p w14:paraId="6C2E9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在符合性审查时，对属于投标无效的投标人，评标委员会必须提出投标无效的事实依据，并出具投标无效说明。</w:t>
      </w:r>
    </w:p>
    <w:p w14:paraId="2A038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23.3技术和商务评标</w:t>
      </w:r>
    </w:p>
    <w:p w14:paraId="7C606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23.3.1评标委员会按照招标文件中规定的评标方法和标准，对符合性审查合格的投标文件进行商务和技术评估（包括政府采购政策执行），综合比较与评价。</w:t>
      </w:r>
    </w:p>
    <w:p w14:paraId="6B529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23.3.2采用综合评分法的，评标委员会各成员应当独立对每个投标人的投标文件进行评价，并汇总每个投标人的得分。</w:t>
      </w:r>
    </w:p>
    <w:p w14:paraId="12AE4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83F4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3E6FD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40D6AE9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投标的澄清</w:t>
      </w:r>
    </w:p>
    <w:p w14:paraId="623017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4C568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64499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4B8F6C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定标</w:t>
      </w:r>
    </w:p>
    <w:p w14:paraId="5CF26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25.1评标委员会根据投标人须知前附表的规定确定中标候选人或直接确定中标人。</w:t>
      </w:r>
    </w:p>
    <w:p w14:paraId="4A58E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25.2本次招标评标办法：见投标人须知前附表。</w:t>
      </w:r>
    </w:p>
    <w:p w14:paraId="29A2B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5E8DA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25.4采用最低评标价法的，评标结果按投标报价由低到高顺序排列，投标报价相同的并列。投标文件满足招标文件全部实质性要求且投标报价最低的投标人为排名第一的中标候选人。</w:t>
      </w:r>
    </w:p>
    <w:p w14:paraId="24041C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25.5对于分包招标的项目，投标人可以选择多包投标但限制中标包数的，中标人的选择按照投标人须知前附表“分包及中标规定”确定。</w:t>
      </w:r>
    </w:p>
    <w:p w14:paraId="562D7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25.6评标委员会成员对需要共同认定的事项存在争议的，应当按照少数服从多数的原则作出结论。持不同意见的评标委员会成员应当在评标报告上签署不同意见及理由，否则视为同意评标报告。</w:t>
      </w:r>
    </w:p>
    <w:p w14:paraId="6BC5B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25.7评标结果汇总完成后，除下列情形外，任何人不得修改评标结果：</w:t>
      </w:r>
    </w:p>
    <w:p w14:paraId="25AE42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（一）分值汇总计算错误的；</w:t>
      </w:r>
    </w:p>
    <w:p w14:paraId="06379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（二）分项评分超出评分标准范围的；</w:t>
      </w:r>
    </w:p>
    <w:p w14:paraId="6F2FF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（三）评标委员会成员对客观评标因素评分不一致的；</w:t>
      </w:r>
    </w:p>
    <w:p w14:paraId="3E3859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（四）经评标委员会认定评分畸高、畸低的。</w:t>
      </w:r>
    </w:p>
    <w:p w14:paraId="10450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4CF31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25.8评标委员会根据全体评标成员签字的原始评标记录和评标结果编写评标报告。</w:t>
      </w:r>
    </w:p>
    <w:p w14:paraId="55DD1B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评标相关要求</w:t>
      </w:r>
    </w:p>
    <w:p w14:paraId="073D1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26.1开标之后，直到签订合同止，凡是属于审查、澄清、评价和比较投标的有关资料以及定标意向等，均不向投标人或者其他与评标无关的人员透露。</w:t>
      </w:r>
    </w:p>
    <w:p w14:paraId="2C00BF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26.2在确定中标人之前，投标人试图在投标文件审查、澄清、比较和评标时对评标委员会、采购人和采购代理机构施加任何影响都可能导致其投标无效。</w:t>
      </w:r>
    </w:p>
    <w:p w14:paraId="45607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26.3电子招投标的应急措施</w:t>
      </w:r>
    </w:p>
    <w:p w14:paraId="2C87A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26.3.1电子开标、评标如出现下列原因，导致系统无法正常运行或无法正常评标时，应采取应急措施。</w:t>
      </w:r>
    </w:p>
    <w:p w14:paraId="6C460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（1）系统服务器发生故障，无法访问或无法使用系统；</w:t>
      </w:r>
    </w:p>
    <w:p w14:paraId="73C7B4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（2）系统的软件或数据库出现错误，不能进行正常操作；</w:t>
      </w:r>
    </w:p>
    <w:p w14:paraId="2AC45D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（3）系统发现有安全漏洞，有潜在的泄密危险；</w:t>
      </w:r>
    </w:p>
    <w:p w14:paraId="1E4E4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（4）病毒发作或受到外来病毒的攻击；</w:t>
      </w:r>
    </w:p>
    <w:p w14:paraId="1FB42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（5）出现其他不可抗拒的客观原因造成开评标系统无法正常使用。</w:t>
      </w:r>
    </w:p>
    <w:p w14:paraId="7EFC1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出现上述情况时，应对未开标的暂停开标。已在系统内开标、评标的立即停止。采取应急措施时，必须对原有资料及信息作出妥善保密处理。</w:t>
      </w:r>
    </w:p>
    <w:p w14:paraId="19F96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26.3.2因系统原因导致投标人均无法解密电子投标文件时，采购代理机构可在开标现场直接导入投标人在投标截止时间前递交的未加密的电子投标文件进行开标、评标。</w:t>
      </w:r>
    </w:p>
    <w:p w14:paraId="54CB13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投标人瑕疵滞后发现的处理规则</w:t>
      </w:r>
    </w:p>
    <w:p w14:paraId="1D8B0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7B92BB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中标公告以及中标通知书</w:t>
      </w:r>
    </w:p>
    <w:p w14:paraId="6F5BF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28.1评标结束后，不再现场宣布评标结果。采购人或者采购代理机构应当自中标人确定后立即发出中标通知书，并在政采云平台公告中标结果（公告期限为1个工作日）。</w:t>
      </w:r>
    </w:p>
    <w:p w14:paraId="1D7A7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28.2采购人或采购代理机构不按照规定发布中标公告或者发布中标公告后不签发中标通知书的，应当承担法律责任，给中标人造成经济损失的应承担赔偿责任。</w:t>
      </w:r>
    </w:p>
    <w:p w14:paraId="506D3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28.3中标通知书发出后，中标人放弃中标，应当依法承担法律责任。</w:t>
      </w:r>
    </w:p>
    <w:p w14:paraId="323BB8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不合格投标人或投标无效</w:t>
      </w:r>
    </w:p>
    <w:p w14:paraId="6B7C1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出现下列情形之一的，为不合格投标人或投标无效：</w:t>
      </w:r>
    </w:p>
    <w:p w14:paraId="1E7CD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29.1报价超过招标文件中规定的预算金额或者最高限价的；</w:t>
      </w:r>
    </w:p>
    <w:p w14:paraId="1512A8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29.2对实质性条款未做出实质性投标或者发生负偏离的；</w:t>
      </w:r>
    </w:p>
    <w:p w14:paraId="3A471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29.3应提供而未提供政府强制采购节能、环保产品的；</w:t>
      </w:r>
    </w:p>
    <w:p w14:paraId="6BEB0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29.4对于不允许偏离的实质性要求和条件发生偏离的；</w:t>
      </w:r>
    </w:p>
    <w:p w14:paraId="06CF4F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29.5不按照招标文件规定报价、没有分项报价、拒绝报价、有多个报价（招标文件另有规定的除外）、有选择性报价、附有条件的报价或者拒绝修正报价的；</w:t>
      </w:r>
    </w:p>
    <w:p w14:paraId="3E19EA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29.6投标有效期不满足招标文件要求的；</w:t>
      </w:r>
    </w:p>
    <w:p w14:paraId="4013D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29.7评标委员会判定投标人涂改证明材料或者提供虚假材料和承诺的；</w:t>
      </w:r>
    </w:p>
    <w:p w14:paraId="4BCA8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29.8投标文件未按招标文件要求编制、签章的；</w:t>
      </w:r>
    </w:p>
    <w:p w14:paraId="380FE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29.9投标文件含有采购人不能接受的附加条件的；</w:t>
      </w:r>
    </w:p>
    <w:p w14:paraId="407A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29.10投标文件存在记录的MAC地址、CPU序列号、硬盘序列号中两项及以上相同的；</w:t>
      </w:r>
    </w:p>
    <w:p w14:paraId="77EFE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29.11法律、法规和招标文件规定的其他无效情形。</w:t>
      </w:r>
    </w:p>
    <w:p w14:paraId="50D8C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对投标无效的认定，必须经评标委员会集体做出决定并出具投标无效的事实依据。</w:t>
      </w:r>
    </w:p>
    <w:p w14:paraId="420F5D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采购项目废标</w:t>
      </w:r>
    </w:p>
    <w:p w14:paraId="0C327A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30.1出现下列情形之一的，应予废标：</w:t>
      </w:r>
    </w:p>
    <w:p w14:paraId="217BE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30.1.1在投标截止时间后参加投标的投标人不足3家或者通过资格审查或符合性审查的投标人不足3家的；</w:t>
      </w:r>
    </w:p>
    <w:p w14:paraId="12409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30.1.2出现影响采购公正的违法违规行为的；</w:t>
      </w:r>
    </w:p>
    <w:p w14:paraId="4EFB8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30.1.3投标人的报价均超过预算金额或者最高限价的；</w:t>
      </w:r>
    </w:p>
    <w:p w14:paraId="0E021F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30.1.4因重大变故，采购任务取消的；</w:t>
      </w:r>
    </w:p>
    <w:p w14:paraId="51E757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30.1.5法律、法规以及招标文件规定的其他废标情形。</w:t>
      </w:r>
    </w:p>
    <w:p w14:paraId="16DA0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30.2废标后，采购人或者采购代理机构应当将废标理由通知所有投标人。</w:t>
      </w:r>
    </w:p>
    <w:p w14:paraId="59DA27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特殊情况处置程序</w:t>
      </w:r>
    </w:p>
    <w:p w14:paraId="36E21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31.1评标委员会成员的更换</w:t>
      </w:r>
    </w:p>
    <w:p w14:paraId="595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31.1.1评标委员会应当执行连续评标的原则，按照招标文件规定的程序、内容、方法、标准完成全部评标工作。</w:t>
      </w:r>
    </w:p>
    <w:p w14:paraId="7584E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91E61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6619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采购人或者采购代理机构应当将变更、重新组建评标委员会的情况予以记录，并随采购文件一并存档。</w:t>
      </w:r>
    </w:p>
    <w:p w14:paraId="7FAD1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31.2记名投票</w:t>
      </w:r>
    </w:p>
    <w:p w14:paraId="31AF5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在评标过程中，评标委员会发生分歧或者评标结论有异议需表决的，按照少数服从多数的原则，由评标委员会全体成员以记名投票方式表决。</w:t>
      </w:r>
    </w:p>
    <w:p w14:paraId="0D69E5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违法违规情形</w:t>
      </w:r>
    </w:p>
    <w:p w14:paraId="21000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32.1有下列情形之一的，属于投标人相互串通投标：</w:t>
      </w:r>
    </w:p>
    <w:p w14:paraId="280D4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32.1.1投标人之间协商投标报价等投标文件的实质性内容；</w:t>
      </w:r>
    </w:p>
    <w:p w14:paraId="1006C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32.1.2投标人之间约定中标人；</w:t>
      </w:r>
    </w:p>
    <w:p w14:paraId="5F000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32.1.3投标人之间约定章投标人放弃投标或者中标；</w:t>
      </w:r>
    </w:p>
    <w:p w14:paraId="7FAC0B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32.1.4属于同一集团、协会、商会等组织成员的投标人按照该组织要求协同投标；</w:t>
      </w:r>
    </w:p>
    <w:p w14:paraId="6DE13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32.1.5投标人之间为谋取中标或者排斥特定投标人而采取的其他联合行动。</w:t>
      </w:r>
    </w:p>
    <w:p w14:paraId="5813F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32.2有下列情形之一的，视为投标人相互串通投标，评标委员会应当出具违法违规认定意见并作投标无效处理：</w:t>
      </w:r>
    </w:p>
    <w:p w14:paraId="59793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32.2.1不同投标人的投标文件由同一单位或者个人编制；</w:t>
      </w:r>
    </w:p>
    <w:p w14:paraId="0DB7E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32.2.2不同投标人委托同一单位或者个人办理投标事宜；</w:t>
      </w:r>
    </w:p>
    <w:p w14:paraId="6C8DB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32.2.3不同投标人的投标文件载明的项目管理成员或者联系人员为同一人；</w:t>
      </w:r>
    </w:p>
    <w:p w14:paraId="0E5F4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32.2.4不同投标人的投标文件异常一致或者投标报价呈规律性差异；</w:t>
      </w:r>
    </w:p>
    <w:p w14:paraId="7CF35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32.2.5不同投标人的投标文件相互混装；</w:t>
      </w:r>
    </w:p>
    <w:p w14:paraId="569C4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32.3有下列情形之一的，属于采购人与投标人串通投标：</w:t>
      </w:r>
    </w:p>
    <w:p w14:paraId="144EF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32.3.1采购人在开标前开启投标文件并将有关信息泄露给其他投标人；</w:t>
      </w:r>
    </w:p>
    <w:p w14:paraId="6528C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32.3.2采购人直接或者间接向投标人泄露标底、评标委员会成员等信息；</w:t>
      </w:r>
    </w:p>
    <w:p w14:paraId="54F2A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32.3.3采购人明示或者暗示投标人压低或者抬高投标报价；</w:t>
      </w:r>
    </w:p>
    <w:p w14:paraId="2C5A6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32.3.4采购人授意投标人撤换、修改投标文件；</w:t>
      </w:r>
    </w:p>
    <w:p w14:paraId="14868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32.3.5采购人明示或者暗示投标人为特定投标人中标提供方便；</w:t>
      </w:r>
    </w:p>
    <w:p w14:paraId="794DA2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32.3.6采购人与投标人为谋求特定投标人中标而采取的其他串通行为。</w:t>
      </w:r>
    </w:p>
    <w:p w14:paraId="58A122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在评标过程中发现投标人有上述情形的，评标委员会应当认定其投标无效，并书面报告本级财政部门。</w:t>
      </w:r>
    </w:p>
    <w:p w14:paraId="5C1022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违规处理</w:t>
      </w:r>
    </w:p>
    <w:p w14:paraId="552E9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投标人有下列情形之一的，将列入不良行为记录名单，视情节在一至三年内禁止参加政府采购活动：</w:t>
      </w:r>
    </w:p>
    <w:p w14:paraId="7BE61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33.1提供虚假投标材料谋取中标的；</w:t>
      </w:r>
    </w:p>
    <w:p w14:paraId="10721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33.2采取不正当手段诋毁、排挤其他投标人的；</w:t>
      </w:r>
    </w:p>
    <w:p w14:paraId="6C96F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33.3与采购人、其他投标人或者采购代理机构恶意串通的；</w:t>
      </w:r>
    </w:p>
    <w:p w14:paraId="4A27FF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33.4向采购人、采购代理机构行贿或者提供其他不正当利益的；</w:t>
      </w:r>
    </w:p>
    <w:p w14:paraId="12418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33.5在招标采购过程中与采购人进行协商谈判的；</w:t>
      </w:r>
    </w:p>
    <w:p w14:paraId="5C980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33.6拒绝有关部门监督检查或者提供虚假情况的；</w:t>
      </w:r>
    </w:p>
    <w:p w14:paraId="2E2F8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33.7一年内累计三次以上投诉均查无实据的；</w:t>
      </w:r>
    </w:p>
    <w:p w14:paraId="37D48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33.8捏造事实、提供虚假材料或者以非法手段取得证明材料进行投诉的；</w:t>
      </w:r>
    </w:p>
    <w:p w14:paraId="27609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33.9法律、法规和招标文件中规定的其他情形。</w:t>
      </w:r>
    </w:p>
    <w:p w14:paraId="48DD02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八、履约担保</w:t>
      </w:r>
    </w:p>
    <w:p w14:paraId="4E4DBD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履约担保</w:t>
      </w:r>
    </w:p>
    <w:p w14:paraId="100679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6DB69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34.2中标人在中标公告发布后及时足额交纳履约保证金，未按照要求提交履约担保的，视为放弃中标，中标人应当对采购人造成的损失给予赔偿。</w:t>
      </w:r>
    </w:p>
    <w:p w14:paraId="06C8A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九、签订合同</w:t>
      </w:r>
    </w:p>
    <w:p w14:paraId="30C3C6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中标通知</w:t>
      </w:r>
    </w:p>
    <w:p w14:paraId="3AE42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2975C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35.2采购代理机构对未中标的投标人不作未中标原因的解释，但中标结果的有效性不以未中标的投标人是否收到相应的通知为前提。</w:t>
      </w:r>
    </w:p>
    <w:p w14:paraId="6B334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35.3中标通知书是合同的组成部分。</w:t>
      </w:r>
    </w:p>
    <w:p w14:paraId="3E82AC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39E929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36.1中标人须在中标通知书发出之日起 30 日内与采购人签订采购合同。</w:t>
      </w:r>
    </w:p>
    <w:p w14:paraId="186B1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36.2中标人须按照招标文件、投标文件及评标过程中的有关澄清、说明或者补正文件的内容与采购人签订合同。中标人不得再与采购人签订背离合同实质性内容的其他协议或声明。</w:t>
      </w:r>
    </w:p>
    <w:p w14:paraId="26C0C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23B3A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36.4中标人一旦中标及签订合同后，不得转包，亦不得将合同全部及任何权利、义务向第三方转让。</w:t>
      </w:r>
    </w:p>
    <w:p w14:paraId="78527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36.5中标人不履行合同的，采购人可在报经同级人民政府财政部门核准后，与排位在中标人之后的第一位中标候选人签订合同，以此类推；或在报经同级人民政府财政部门核准后重新组织采购。</w:t>
      </w:r>
    </w:p>
    <w:p w14:paraId="3E754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36.6违反36.1条、36.2条的规定，给对方造成损失的，应承担赔偿责任。</w:t>
      </w:r>
    </w:p>
    <w:p w14:paraId="149EB1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十、处罚、询问、质疑和投诉</w:t>
      </w:r>
    </w:p>
    <w:p w14:paraId="52C557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处罚</w:t>
      </w:r>
    </w:p>
    <w:p w14:paraId="396F2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37.1发生下列情况之一，采购人或采购代理机构将如实向同级财政部门报送相关情况，由财政部门给予处罚：</w:t>
      </w:r>
    </w:p>
    <w:p w14:paraId="457EF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1）开标后在投标有效期内，投标人撤回其投标；</w:t>
      </w:r>
    </w:p>
    <w:p w14:paraId="35810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2）中标后无正当理由不与采购人签订合同的；</w:t>
      </w:r>
    </w:p>
    <w:p w14:paraId="77F00C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3）中标人与采购人订立背离合同实质性内容的其他协议；</w:t>
      </w:r>
    </w:p>
    <w:p w14:paraId="79BA8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4）将中标项目转让给他人，或者在投标文件中未说明，且未经采购人同意，将中标项目合同分包给他人的；</w:t>
      </w:r>
    </w:p>
    <w:p w14:paraId="66B6A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5）存在串通投标行为的；</w:t>
      </w:r>
    </w:p>
    <w:p w14:paraId="2B3C8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6）存在弄虚作假或提供虚假材料谋取中标的；</w:t>
      </w:r>
    </w:p>
    <w:p w14:paraId="610A7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7）投标人其他未按招标文件规定和合同约定履行义务的行为。</w:t>
      </w:r>
    </w:p>
    <w:p w14:paraId="185B40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询问</w:t>
      </w:r>
    </w:p>
    <w:p w14:paraId="2A783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38.1投标人对采购事项有疑问的，可以向采购人或采购代理机构提出询问。</w:t>
      </w:r>
    </w:p>
    <w:p w14:paraId="466DE6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投标人有权就招标事宜提出质疑</w:t>
      </w:r>
    </w:p>
    <w:p w14:paraId="28879B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72CD9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潜在投标人已依法获取其可质疑的采购文件的，可以依法对该文件提出质疑。</w:t>
      </w:r>
    </w:p>
    <w:p w14:paraId="3E540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39.2投标人应知其权益受到损害之日，是指：</w:t>
      </w:r>
    </w:p>
    <w:p w14:paraId="1ECF3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（一）对可以质疑的采购文件提出质疑的，为收到采购文件之日或者采购文件公告期限届满之日；</w:t>
      </w:r>
    </w:p>
    <w:p w14:paraId="1F049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（二）对采购过程提出质疑的，为各采购程序环节结束之日；</w:t>
      </w:r>
    </w:p>
    <w:p w14:paraId="2F8602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（三）对中标结果提出质疑的，为中标结果公告期限届满之日。</w:t>
      </w:r>
    </w:p>
    <w:p w14:paraId="77A153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39.3投标人应当在法定质疑期内一次性提出针对本项目同一采购程序环节的质疑。</w:t>
      </w:r>
    </w:p>
    <w:p w14:paraId="1AC373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39.4质疑函内容应包括以下主要内容：</w:t>
      </w:r>
    </w:p>
    <w:p w14:paraId="3F685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（一）投标人的姓名或者名称、地址、邮编、联系人及联系电话；</w:t>
      </w:r>
    </w:p>
    <w:p w14:paraId="76B72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（二）质疑项目的名称、编号；</w:t>
      </w:r>
    </w:p>
    <w:p w14:paraId="2F0F59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（三）具体、明确的质疑事项和与质疑事项相关的请求；</w:t>
      </w:r>
    </w:p>
    <w:p w14:paraId="3977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3650FC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（五）必要的法律依据；</w:t>
      </w:r>
    </w:p>
    <w:p w14:paraId="19850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（六）提出质疑的日期。</w:t>
      </w:r>
    </w:p>
    <w:p w14:paraId="7B129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投标人为自然人的，应当由本人签字；投标人为法人或者其他组织的，应当由法定代表人、主要负责人，或者其授权代表签字或者盖章，并加盖公章。否则采购人或者采购代理机构不予受理。</w:t>
      </w:r>
    </w:p>
    <w:p w14:paraId="0052E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08C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39.6采购人或者采购代理机构在收到质疑函后7个工作日内做出答复，并通过系统以电子文档形式通知质疑投标人和其他有关投标人，但答复不得涉及商业秘密。</w:t>
      </w:r>
    </w:p>
    <w:p w14:paraId="3C4A1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39.7投标人进行虚假和恶意质疑的，采购代理机构将提请有关部门将其列入不良记录名单，在一至三年内禁止参加政府采购活动，并将处理决定在相关政府采购媒体上公布。</w:t>
      </w:r>
    </w:p>
    <w:p w14:paraId="37ACDB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投诉</w:t>
      </w:r>
    </w:p>
    <w:p w14:paraId="566B94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3F567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40.2投诉人提起投诉应符合下列条件：</w:t>
      </w:r>
    </w:p>
    <w:p w14:paraId="4C29F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（一）提起投诉前已依法进行质疑；</w:t>
      </w:r>
    </w:p>
    <w:p w14:paraId="42615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（二）投诉书内容符合本办法的规定；</w:t>
      </w:r>
    </w:p>
    <w:p w14:paraId="1F3B3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（三）在投诉有效期限内提起投诉；</w:t>
      </w:r>
    </w:p>
    <w:p w14:paraId="1F3A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（四）同一投诉事项未经财政部门投诉处理；</w:t>
      </w:r>
    </w:p>
    <w:p w14:paraId="0A5C0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（五）财政部规定的其他条件。</w:t>
      </w:r>
    </w:p>
    <w:p w14:paraId="025F3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投标人投诉的事项不得超出已质疑事项的范围，但基于质疑答复内容提出的投诉事项除外。以联合体形式参加政府采购活动的，其投诉应当由组成联合体的所有投标人共同提出。</w:t>
      </w:r>
    </w:p>
    <w:p w14:paraId="67924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40.3投诉人投诉时,应当提交投诉书和必要的证明材料，并按照被投诉采购人、采购代理机构和与投诉事项有关的投标人数量提供投诉书的副本。</w:t>
      </w:r>
    </w:p>
    <w:p w14:paraId="4C32B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40.4投诉书应当包括以下主要内容：</w:t>
      </w:r>
    </w:p>
    <w:p w14:paraId="3E42A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（一）投诉人和被投诉人的姓名或者名称、通讯地址、邮编、联系人及联系电话；</w:t>
      </w:r>
    </w:p>
    <w:p w14:paraId="47759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（二）质疑和质疑答复情况说明及相关证明材料；</w:t>
      </w:r>
    </w:p>
    <w:p w14:paraId="5E3C79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（三）具体、明确的投诉事项和与投诉事项相关的投诉请求；</w:t>
      </w:r>
    </w:p>
    <w:p w14:paraId="08FADD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B71D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（五）法律依据；</w:t>
      </w:r>
    </w:p>
    <w:p w14:paraId="06CB4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（六）提起投诉的日期。</w:t>
      </w:r>
    </w:p>
    <w:p w14:paraId="1A1BE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投诉人为自然人的，应当由本人签字；投诉人为法人或者其他组织的，应当由法定代表人、主要负责人，或者其授权代表签字或者盖章，并加盖公章。</w:t>
      </w:r>
    </w:p>
    <w:p w14:paraId="6A0A06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0ED0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代表人、主要负责人签字或者盖章，并加盖公章。</w:t>
      </w:r>
    </w:p>
    <w:p w14:paraId="2A490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40.6投诉人在全国范围12个月内三次以上投诉查无实据的，由财政部门列入不良行为记录名单。</w:t>
      </w:r>
    </w:p>
    <w:p w14:paraId="69A6CA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投诉人有下列行为之一的，属于虚假、恶意投诉，由财政部门列入不良行为记录名单，禁止其1至3年内参加政府采购活动：</w:t>
      </w:r>
    </w:p>
    <w:p w14:paraId="0F61A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（一）捏造事实；</w:t>
      </w:r>
    </w:p>
    <w:p w14:paraId="6D206C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（二）提供虚假材料；</w:t>
      </w:r>
    </w:p>
    <w:p w14:paraId="4C00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（三）以非法手段取得证明材料。证据来源的合法性存在明显疑问，投诉人无法证明其取得方式合法的，视为以非法手段取得证明材料。</w:t>
      </w:r>
    </w:p>
    <w:p w14:paraId="4211D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十一、保密和披露</w:t>
      </w:r>
    </w:p>
    <w:p w14:paraId="7698A7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保密和披露</w:t>
      </w:r>
    </w:p>
    <w:p w14:paraId="55456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5C43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41.2采购代理机构有权将投标人提供的所有资料向有关政府部门或评标标书的有关人员披露。</w:t>
      </w:r>
    </w:p>
    <w:p w14:paraId="4C0EB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85A7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十二、其他需补充的内容</w:t>
      </w:r>
    </w:p>
    <w:p w14:paraId="3EE5D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1.其他需补充的内容：见投标人须知前附表。</w:t>
      </w:r>
    </w:p>
    <w:p w14:paraId="3E7F3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2.若此招标文件中出现的内容表述不一致时，以各章具体要求为准。</w:t>
      </w:r>
    </w:p>
    <w:p w14:paraId="06C253C5">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22A432A2">
      <w:pPr>
        <w:jc w:val="center"/>
        <w:outlineLvl w:val="0"/>
        <w:rPr>
          <w:rFonts w:hint="eastAsia" w:ascii="宋体" w:hAnsi="宋体" w:eastAsia="宋体" w:cs="宋体"/>
          <w:b/>
          <w:bCs/>
          <w:sz w:val="36"/>
          <w:szCs w:val="44"/>
          <w:u w:val="none"/>
        </w:rPr>
      </w:pPr>
      <w:bookmarkStart w:id="6" w:name="_Toc31576"/>
      <w:bookmarkStart w:id="7" w:name="_Toc652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三</w:t>
      </w:r>
      <w:r>
        <w:rPr>
          <w:rFonts w:hint="eastAsia" w:ascii="宋体" w:hAnsi="宋体" w:eastAsia="宋体" w:cs="宋体"/>
          <w:b/>
          <w:bCs/>
          <w:sz w:val="36"/>
          <w:szCs w:val="44"/>
          <w:u w:val="none"/>
        </w:rPr>
        <w:t xml:space="preserve">章 </w:t>
      </w:r>
      <w:r>
        <w:rPr>
          <w:rFonts w:hint="eastAsia" w:ascii="宋体" w:hAnsi="宋体" w:eastAsia="宋体" w:cs="宋体"/>
          <w:b/>
          <w:bCs/>
          <w:sz w:val="36"/>
          <w:szCs w:val="44"/>
          <w:u w:val="none"/>
          <w:lang w:val="en-US" w:eastAsia="zh-CN"/>
        </w:rPr>
        <w:t>项目</w:t>
      </w:r>
      <w:r>
        <w:rPr>
          <w:rFonts w:hint="eastAsia" w:ascii="宋体" w:hAnsi="宋体" w:eastAsia="宋体" w:cs="宋体"/>
          <w:b/>
          <w:bCs/>
          <w:sz w:val="36"/>
          <w:szCs w:val="44"/>
          <w:u w:val="none"/>
        </w:rPr>
        <w:t>需求</w:t>
      </w:r>
      <w:bookmarkEnd w:id="6"/>
      <w:bookmarkEnd w:id="7"/>
    </w:p>
    <w:p w14:paraId="07212729">
      <w:pPr>
        <w:pStyle w:val="4"/>
        <w:numPr>
          <w:ilvl w:val="2"/>
          <w:numId w:val="0"/>
        </w:numPr>
        <w:spacing w:line="360" w:lineRule="auto"/>
        <w:jc w:val="both"/>
        <w:rPr>
          <w:rFonts w:hint="eastAsia" w:ascii="Times New Roman" w:hAnsi="Times New Roman" w:cs="Arial"/>
          <w:b/>
          <w:bCs/>
          <w:sz w:val="32"/>
          <w:highlight w:val="none"/>
          <w:lang w:val="en-US" w:eastAsia="zh-CN"/>
        </w:rPr>
      </w:pPr>
      <w:r>
        <w:rPr>
          <w:rFonts w:hint="eastAsia" w:ascii="Times New Roman" w:hAnsi="Times New Roman" w:cs="Arial"/>
          <w:b/>
          <w:bCs/>
          <w:sz w:val="32"/>
          <w:highlight w:val="none"/>
          <w:lang w:val="en-US" w:eastAsia="zh-CN"/>
        </w:rPr>
        <w:t>全过程审计服务</w:t>
      </w:r>
    </w:p>
    <w:p w14:paraId="15B94068">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（一）采购清单</w:t>
      </w:r>
    </w:p>
    <w:p w14:paraId="13D96D79">
      <w:pPr>
        <w:pStyle w:val="6"/>
        <w:numPr>
          <w:ilvl w:val="3"/>
          <w:numId w:val="0"/>
        </w:numPr>
        <w:bidi w:val="0"/>
        <w:ind w:left="567" w:leftChars="0" w:hanging="567" w:firstLineChars="0"/>
        <w:outlineLvl w:val="4"/>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1.总体采购清单</w:t>
      </w:r>
    </w:p>
    <w:tbl>
      <w:tblPr>
        <w:tblStyle w:val="10"/>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428"/>
        <w:gridCol w:w="7091"/>
      </w:tblGrid>
      <w:tr w14:paraId="3A8062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838" w:type="pct"/>
            <w:tcBorders>
              <w:tl2br w:val="nil"/>
              <w:tr2bl w:val="nil"/>
            </w:tcBorders>
            <w:noWrap/>
            <w:vAlign w:val="center"/>
          </w:tcPr>
          <w:p w14:paraId="394683D5">
            <w:pPr>
              <w:keepNext w:val="0"/>
              <w:keepLines w:val="0"/>
              <w:widowControl/>
              <w:suppressLineNumbers w:val="0"/>
              <w:jc w:val="center"/>
              <w:textAlignment w:val="center"/>
              <w:rPr>
                <w:rFonts w:ascii="Times New Roman" w:hAnsi="Times New Roman" w:eastAsia="黑体" w:cs="黑体"/>
                <w:i w:val="0"/>
                <w:iCs w:val="0"/>
                <w:color w:val="000000"/>
                <w:sz w:val="21"/>
                <w:szCs w:val="21"/>
                <w:u w:val="none"/>
              </w:rPr>
            </w:pPr>
            <w:r>
              <w:rPr>
                <w:rFonts w:hint="eastAsia" w:ascii="Times New Roman" w:hAnsi="Times New Roman" w:eastAsia="黑体" w:cs="黑体"/>
                <w:i w:val="0"/>
                <w:iCs w:val="0"/>
                <w:color w:val="000000"/>
                <w:kern w:val="0"/>
                <w:sz w:val="21"/>
                <w:szCs w:val="21"/>
                <w:u w:val="none"/>
                <w:lang w:val="en-US" w:eastAsia="zh-CN" w:bidi="ar"/>
              </w:rPr>
              <w:t>序号</w:t>
            </w:r>
          </w:p>
        </w:tc>
        <w:tc>
          <w:tcPr>
            <w:tcW w:w="4161" w:type="pct"/>
            <w:tcBorders>
              <w:tl2br w:val="nil"/>
              <w:tr2bl w:val="nil"/>
            </w:tcBorders>
            <w:noWrap/>
            <w:vAlign w:val="center"/>
          </w:tcPr>
          <w:p w14:paraId="4E494FA0">
            <w:pPr>
              <w:keepNext w:val="0"/>
              <w:keepLines w:val="0"/>
              <w:widowControl/>
              <w:suppressLineNumbers w:val="0"/>
              <w:jc w:val="center"/>
              <w:textAlignment w:val="center"/>
              <w:rPr>
                <w:rFonts w:hint="eastAsia" w:ascii="Times New Roman" w:hAnsi="Times New Roman"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采购名称</w:t>
            </w:r>
          </w:p>
        </w:tc>
      </w:tr>
      <w:tr w14:paraId="067D83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8" w:hRule="atLeast"/>
          <w:jc w:val="center"/>
        </w:trPr>
        <w:tc>
          <w:tcPr>
            <w:tcW w:w="838" w:type="pct"/>
            <w:tcBorders>
              <w:tl2br w:val="nil"/>
              <w:tr2bl w:val="nil"/>
            </w:tcBorders>
            <w:noWrap/>
            <w:vAlign w:val="center"/>
          </w:tcPr>
          <w:p w14:paraId="6A575014">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（一）</w:t>
            </w:r>
          </w:p>
        </w:tc>
        <w:tc>
          <w:tcPr>
            <w:tcW w:w="4161" w:type="pct"/>
            <w:tcBorders>
              <w:tl2br w:val="nil"/>
              <w:tr2bl w:val="nil"/>
            </w:tcBorders>
            <w:noWrap/>
            <w:vAlign w:val="center"/>
          </w:tcPr>
          <w:p w14:paraId="31E4DA3E">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u w:val="none"/>
                <w:lang w:val="en-US"/>
              </w:rPr>
            </w:pPr>
            <w:r>
              <w:rPr>
                <w:rFonts w:hint="eastAsia" w:ascii="Times New Roman" w:hAnsi="Times New Roman" w:eastAsia="宋体" w:cs="宋体"/>
                <w:b/>
                <w:bCs/>
                <w:i w:val="0"/>
                <w:iCs w:val="0"/>
                <w:color w:val="000000"/>
                <w:kern w:val="0"/>
                <w:sz w:val="21"/>
                <w:szCs w:val="21"/>
                <w:u w:val="none"/>
                <w:lang w:val="en-US" w:eastAsia="zh-CN" w:bidi="ar"/>
              </w:rPr>
              <w:t>全过程审计服务</w:t>
            </w:r>
          </w:p>
        </w:tc>
      </w:tr>
    </w:tbl>
    <w:p w14:paraId="2022F240">
      <w:pPr>
        <w:rPr>
          <w:rFonts w:ascii="Times New Roman" w:hAnsi="Times New Roman" w:eastAsia="宋体" w:cs="Times New Roman"/>
          <w:b/>
          <w:bCs/>
        </w:rPr>
      </w:pPr>
    </w:p>
    <w:p w14:paraId="3209671D">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（二）基本需求</w:t>
      </w:r>
    </w:p>
    <w:p w14:paraId="18266420">
      <w:pPr>
        <w:pStyle w:val="6"/>
        <w:numPr>
          <w:ilvl w:val="3"/>
          <w:numId w:val="0"/>
        </w:numPr>
        <w:bidi w:val="0"/>
        <w:ind w:left="567" w:leftChars="0" w:hanging="567" w:firstLineChars="0"/>
        <w:outlineLvl w:val="4"/>
        <w:rPr>
          <w:rFonts w:hint="default"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1.全过程审计服务技术要求</w:t>
      </w:r>
    </w:p>
    <w:p w14:paraId="48308CE3">
      <w:pPr>
        <w:pStyle w:val="7"/>
        <w:numPr>
          <w:ilvl w:val="4"/>
          <w:numId w:val="0"/>
        </w:numPr>
        <w:spacing w:line="360" w:lineRule="auto"/>
        <w:ind w:firstLine="0" w:firstLineChars="0"/>
        <w:outlineLvl w:val="5"/>
        <w:rPr>
          <w:rFonts w:hint="eastAsia" w:ascii="Times New Roman" w:hAnsi="Times New Roman" w:eastAsia="宋体" w:cs="Times New Roman"/>
          <w:highlight w:val="none"/>
          <w:lang w:val="en-US" w:eastAsia="zh-CN"/>
        </w:rPr>
      </w:pPr>
      <w:r>
        <w:rPr>
          <w:rFonts w:hint="eastAsia" w:ascii="Times New Roman" w:hAnsi="Times New Roman" w:eastAsia="宋体" w:cs="Times New Roman"/>
          <w:b/>
          <w:sz w:val="24"/>
          <w:szCs w:val="24"/>
          <w:highlight w:val="none"/>
          <w:lang w:val="en-US" w:eastAsia="zh-CN"/>
        </w:rPr>
        <w:t>（1）</w:t>
      </w:r>
      <w:r>
        <w:rPr>
          <w:rFonts w:hint="eastAsia" w:ascii="Times New Roman" w:hAnsi="Times New Roman" w:eastAsia="宋体" w:cs="Times New Roman"/>
          <w:highlight w:val="none"/>
          <w:lang w:val="en-US" w:eastAsia="zh-CN"/>
        </w:rPr>
        <w:t>标准服务内容</w:t>
      </w:r>
    </w:p>
    <w:p w14:paraId="64F94C64">
      <w:pPr>
        <w:spacing w:line="360" w:lineRule="auto"/>
        <w:ind w:firstLine="420" w:firstLineChars="200"/>
        <w:rPr>
          <w:rFonts w:hint="eastAsia"/>
          <w:lang w:val="en-US" w:eastAsia="zh-CN"/>
        </w:rPr>
      </w:pPr>
      <w:r>
        <w:rPr>
          <w:rFonts w:hint="eastAsia"/>
          <w:lang w:val="en-US" w:eastAsia="zh-CN"/>
        </w:rPr>
        <w:t>本项目全过程审计服务覆盖软件平台项目规划立项、招标采购、开发实施、测试上线、竣工验收、结算运维全生命周期，中标人需按照国家法律法规、行业标准及招标人要求，提供专业化、全流程、闭环式的审计服务，具体服务内容如下：</w:t>
      </w:r>
    </w:p>
    <w:p w14:paraId="576C4E11">
      <w:pPr>
        <w:spacing w:line="360" w:lineRule="auto"/>
        <w:ind w:firstLine="420" w:firstLineChars="200"/>
        <w:rPr>
          <w:rFonts w:hint="eastAsia"/>
          <w:lang w:val="en-US" w:eastAsia="zh-CN"/>
        </w:rPr>
      </w:pPr>
      <w:r>
        <w:rPr>
          <w:rFonts w:hint="eastAsia"/>
          <w:lang w:val="en-US" w:eastAsia="zh-CN"/>
        </w:rPr>
        <w:t>1.立项阶段审计服务：核查项目立项申请的政策依据、业务需求真实性、可行性研究报告完整性与科学性，审核项目投资预算的合理性、资金来源合规性，排查虚假立项、预算超支风险，出具立项阶段审计意见报告。</w:t>
      </w:r>
    </w:p>
    <w:p w14:paraId="1D97DED1">
      <w:pPr>
        <w:spacing w:line="360" w:lineRule="auto"/>
        <w:ind w:firstLine="420" w:firstLineChars="200"/>
        <w:rPr>
          <w:rFonts w:hint="eastAsia"/>
          <w:lang w:val="en-US" w:eastAsia="zh-CN"/>
        </w:rPr>
      </w:pPr>
      <w:r>
        <w:rPr>
          <w:rFonts w:hint="eastAsia"/>
          <w:lang w:val="en-US" w:eastAsia="zh-CN"/>
        </w:rPr>
        <w:t>2.招标采购阶段审计服务：审查招标方式、评标流程的合规性，核查招标文件编制、投标单位资格审查、评标结果确定等环节的公平性与规范性，审核采购合同条款的完整性、权责明晰性及与招标结果的一致性，防范违规招标、合同不符等问题。</w:t>
      </w:r>
    </w:p>
    <w:p w14:paraId="4038BDFE">
      <w:pPr>
        <w:spacing w:line="360" w:lineRule="auto"/>
        <w:ind w:firstLine="420" w:firstLineChars="200"/>
        <w:rPr>
          <w:rFonts w:hint="eastAsia"/>
          <w:lang w:val="en-US" w:eastAsia="zh-CN"/>
        </w:rPr>
      </w:pPr>
      <w:r>
        <w:rPr>
          <w:rFonts w:hint="eastAsia"/>
          <w:lang w:val="en-US" w:eastAsia="zh-CN"/>
        </w:rPr>
        <w:t>3.开发实施阶段审计服务：跟踪软件平台开发进度与合同执行情况，审核项目资金支付的真实性、合规性，核查开发团队人员到位情况、项目变更审批流程，监督软件开发技术方案落地、软硬件配置与投标文件的一致性，审查监理单位工作有效性，出具阶段性审计跟踪报告。</w:t>
      </w:r>
    </w:p>
    <w:p w14:paraId="7E0CC2C5">
      <w:pPr>
        <w:spacing w:line="360" w:lineRule="auto"/>
        <w:ind w:firstLine="420" w:firstLineChars="200"/>
        <w:rPr>
          <w:rFonts w:hint="eastAsia"/>
          <w:lang w:val="en-US" w:eastAsia="zh-CN"/>
        </w:rPr>
      </w:pPr>
      <w:r>
        <w:rPr>
          <w:rFonts w:hint="eastAsia"/>
          <w:lang w:val="en-US" w:eastAsia="zh-CN"/>
        </w:rPr>
        <w:t>4.测试上线阶段审计服务：核查软件平台功能测试、性能测试、安全测试的完整性与合规性，审核测试报告的真实性，评估系统上线前的准备工作是否充分，排查系统上线的技术风险与数据安全风险，出具测试上线审计核查报告。</w:t>
      </w:r>
    </w:p>
    <w:p w14:paraId="62FD5328">
      <w:pPr>
        <w:spacing w:line="360" w:lineRule="auto"/>
        <w:ind w:firstLine="420" w:firstLineChars="200"/>
        <w:rPr>
          <w:rFonts w:hint="eastAsia"/>
          <w:lang w:val="en-US" w:eastAsia="zh-CN"/>
        </w:rPr>
      </w:pPr>
      <w:r>
        <w:rPr>
          <w:rFonts w:hint="eastAsia"/>
          <w:lang w:val="en-US" w:eastAsia="zh-CN"/>
        </w:rPr>
        <w:t>5.竣工验收阶段审计服务：验证项目验收流程的合法有效性，审核验收文档的完整性与规范性，核查软件平台实际交付成果与合同约定、需求规格的一致性，评估项目建设目标的实现程度，出具竣工验收审计报告。</w:t>
      </w:r>
    </w:p>
    <w:p w14:paraId="15B053D5">
      <w:pPr>
        <w:spacing w:line="360" w:lineRule="auto"/>
        <w:ind w:firstLine="420" w:firstLineChars="200"/>
        <w:rPr>
          <w:rFonts w:hint="eastAsia"/>
          <w:lang w:val="en-US" w:eastAsia="zh-CN"/>
        </w:rPr>
      </w:pPr>
      <w:r>
        <w:rPr>
          <w:rFonts w:hint="eastAsia"/>
          <w:lang w:val="en-US" w:eastAsia="zh-CN"/>
        </w:rPr>
        <w:t>6.结算运维阶段审计服务：开展项目结算审计，核查结算凭证、工程量清单、费率标准的合规性，排查重复计费、虚增费用等问题；审核项目运维方案的合理性、运维资金使用的规范性，评估软件平台运维效果与绩效水平，出具结算运维审计总报告及整改建议。</w:t>
      </w:r>
    </w:p>
    <w:p w14:paraId="7419C42B">
      <w:pPr>
        <w:spacing w:line="360" w:lineRule="auto"/>
        <w:ind w:firstLine="420" w:firstLineChars="200"/>
        <w:rPr>
          <w:rFonts w:hint="eastAsia"/>
          <w:lang w:val="en-US" w:eastAsia="zh-CN"/>
        </w:rPr>
      </w:pPr>
      <w:r>
        <w:rPr>
          <w:rFonts w:hint="eastAsia"/>
          <w:lang w:val="en-US" w:eastAsia="zh-CN"/>
        </w:rPr>
        <w:t>7.配套增值服务：针对审计过程中发现的问题，为招标人提供专业的整改指导建议；组织审计结果交底会，解答招标人相关疑问；协助招标人建立软件平台项目审计档案，提供项目全流程审计资料归档服务；在服务期内提供7×24小时审计咨询服务。</w:t>
      </w:r>
    </w:p>
    <w:p w14:paraId="745510B9">
      <w:pPr>
        <w:pStyle w:val="7"/>
        <w:numPr>
          <w:ilvl w:val="4"/>
          <w:numId w:val="0"/>
        </w:numPr>
        <w:spacing w:line="360" w:lineRule="auto"/>
        <w:ind w:firstLine="0" w:firstLineChars="0"/>
        <w:outlineLvl w:val="5"/>
        <w:rPr>
          <w:rFonts w:hint="eastAsia" w:ascii="Times New Roman" w:hAnsi="Times New Roman" w:eastAsia="宋体" w:cs="Times New Roman"/>
          <w:highlight w:val="none"/>
          <w:lang w:val="en-US" w:eastAsia="zh-CN"/>
        </w:rPr>
      </w:pPr>
      <w:r>
        <w:rPr>
          <w:rFonts w:hint="eastAsia" w:ascii="Times New Roman" w:hAnsi="Times New Roman" w:eastAsia="宋体" w:cs="Times New Roman"/>
          <w:b/>
          <w:sz w:val="24"/>
          <w:szCs w:val="24"/>
          <w:highlight w:val="none"/>
          <w:lang w:val="en-US" w:eastAsia="zh-CN"/>
        </w:rPr>
        <w:t>（2）</w:t>
      </w:r>
      <w:r>
        <w:rPr>
          <w:rFonts w:hint="eastAsia" w:ascii="Times New Roman" w:hAnsi="Times New Roman" w:eastAsia="宋体" w:cs="Times New Roman"/>
          <w:highlight w:val="none"/>
          <w:lang w:val="en-US" w:eastAsia="zh-CN"/>
        </w:rPr>
        <w:t>核心审计要求</w:t>
      </w:r>
    </w:p>
    <w:p w14:paraId="376CBA33">
      <w:pPr>
        <w:spacing w:line="360" w:lineRule="auto"/>
        <w:ind w:firstLine="420" w:firstLineChars="200"/>
        <w:rPr>
          <w:rFonts w:hint="eastAsia"/>
          <w:lang w:val="en-US" w:eastAsia="zh-CN"/>
        </w:rPr>
      </w:pPr>
      <w:r>
        <w:rPr>
          <w:rFonts w:hint="eastAsia"/>
          <w:lang w:val="en-US" w:eastAsia="zh-CN"/>
        </w:rPr>
        <w:t>（一）基本合规要求</w:t>
      </w:r>
    </w:p>
    <w:p w14:paraId="01A491A3">
      <w:pPr>
        <w:spacing w:line="360" w:lineRule="auto"/>
        <w:ind w:firstLine="420" w:firstLineChars="200"/>
        <w:rPr>
          <w:rFonts w:hint="eastAsia"/>
          <w:lang w:val="en-US" w:eastAsia="zh-CN"/>
        </w:rPr>
      </w:pPr>
      <w:r>
        <w:rPr>
          <w:rFonts w:hint="eastAsia"/>
          <w:lang w:val="en-US" w:eastAsia="zh-CN"/>
        </w:rPr>
        <w:t>1.审计工作需严格遵循《中华人民共和国招标投标法》《中华人民共和国政府采购法》《软件系统验收规范》（GB/T 28035-2011）等国家及地方相关法律法规、行业标准，同时符合招标人内部管理制度要求。</w:t>
      </w:r>
    </w:p>
    <w:p w14:paraId="454B456A">
      <w:pPr>
        <w:spacing w:line="360" w:lineRule="auto"/>
        <w:ind w:firstLine="420" w:firstLineChars="200"/>
        <w:rPr>
          <w:rFonts w:hint="eastAsia"/>
          <w:lang w:val="en-US" w:eastAsia="zh-CN"/>
        </w:rPr>
      </w:pPr>
      <w:r>
        <w:rPr>
          <w:rFonts w:hint="eastAsia"/>
          <w:lang w:val="en-US" w:eastAsia="zh-CN"/>
        </w:rPr>
        <w:t>2.中标人需秉持客观、公正、独立、严谨的原则开展审计工作，不得与项目开发方、监理方等相关单位存在利益关联，确保审计结果真实、有效、可追溯。</w:t>
      </w:r>
    </w:p>
    <w:p w14:paraId="2A067C40">
      <w:pPr>
        <w:spacing w:line="360" w:lineRule="auto"/>
        <w:ind w:firstLine="420" w:firstLineChars="200"/>
        <w:rPr>
          <w:rFonts w:hint="eastAsia"/>
          <w:lang w:val="en-US" w:eastAsia="zh-CN"/>
        </w:rPr>
      </w:pPr>
      <w:r>
        <w:rPr>
          <w:rFonts w:hint="eastAsia"/>
          <w:lang w:val="en-US" w:eastAsia="zh-CN"/>
        </w:rPr>
        <w:t>3.审计过程中需严格遵守保密规定，对项目涉及的商业机密、敏感数据、招标人内部信息等进行严格保密，不得泄露、篡改或非法使用，如发生信息泄露，需承担相应法律责任及经济赔偿责任。</w:t>
      </w:r>
    </w:p>
    <w:p w14:paraId="46C5398F">
      <w:pPr>
        <w:spacing w:line="360" w:lineRule="auto"/>
        <w:ind w:firstLine="420" w:firstLineChars="200"/>
        <w:rPr>
          <w:rFonts w:hint="eastAsia"/>
          <w:lang w:val="en-US" w:eastAsia="zh-CN"/>
        </w:rPr>
      </w:pPr>
      <w:r>
        <w:rPr>
          <w:rFonts w:hint="eastAsia"/>
          <w:lang w:val="en-US" w:eastAsia="zh-CN"/>
        </w:rPr>
        <w:t>（二）服务主体要求</w:t>
      </w:r>
    </w:p>
    <w:p w14:paraId="67E666F3">
      <w:pPr>
        <w:spacing w:line="360" w:lineRule="auto"/>
        <w:ind w:firstLine="420"/>
        <w:rPr>
          <w:rFonts w:hint="eastAsia" w:ascii="Times New Roman" w:hAnsi="Times New Roman"/>
          <w:highlight w:val="none"/>
          <w:lang w:val="en-US" w:eastAsia="zh-CN"/>
        </w:rPr>
      </w:pPr>
      <w:r>
        <w:rPr>
          <w:rFonts w:hint="eastAsia"/>
          <w:highlight w:val="none"/>
          <w:lang w:val="en-US" w:eastAsia="zh-CN"/>
        </w:rPr>
        <w:t>1.中标人需组建专业的审计服务团队</w:t>
      </w:r>
      <w:r>
        <w:rPr>
          <w:rFonts w:hint="eastAsia" w:ascii="Times New Roman" w:hAnsi="Times New Roman"/>
          <w:highlight w:val="none"/>
          <w:lang w:val="en-US" w:eastAsia="zh-CN"/>
        </w:rPr>
        <w:t>，至少包括项目负责人1人(项目负责人必须已在投标人单位注册，具有国家一级注册造价师且具备工程或经济类高级职称。)</w:t>
      </w:r>
    </w:p>
    <w:p w14:paraId="6F35283C">
      <w:pPr>
        <w:spacing w:line="360" w:lineRule="auto"/>
        <w:ind w:firstLine="420"/>
        <w:rPr>
          <w:rFonts w:hint="eastAsia" w:ascii="Times New Roman" w:hAnsi="Times New Roman"/>
          <w:highlight w:val="none"/>
          <w:lang w:val="en-US" w:eastAsia="zh-CN"/>
        </w:rPr>
      </w:pPr>
      <w:r>
        <w:rPr>
          <w:rFonts w:hint="eastAsia" w:ascii="Times New Roman" w:hAnsi="Times New Roman"/>
          <w:highlight w:val="none"/>
          <w:lang w:val="en-US" w:eastAsia="zh-CN"/>
        </w:rPr>
        <w:t>2、拟投入人员均为本单位注册，具有国家注册造价师证书的专业人员1人，具有二级造价师不少于3人的结构配备。</w:t>
      </w:r>
    </w:p>
    <w:p w14:paraId="573544C4">
      <w:pPr>
        <w:spacing w:line="360" w:lineRule="auto"/>
        <w:ind w:firstLine="420"/>
        <w:rPr>
          <w:rFonts w:hint="default" w:ascii="Times New Roman" w:hAnsi="Times New Roman"/>
          <w:highlight w:val="none"/>
          <w:lang w:val="en-US" w:eastAsia="zh-CN"/>
        </w:rPr>
      </w:pPr>
      <w:r>
        <w:rPr>
          <w:rFonts w:hint="eastAsia" w:ascii="Times New Roman" w:hAnsi="Times New Roman"/>
          <w:highlight w:val="none"/>
          <w:lang w:val="en-US" w:eastAsia="zh-CN"/>
        </w:rPr>
        <w:t>3、拟投入人员均为本单位注册，具高级会计师的专业人员2名，中级及以上职称会计师（经济类）不少于3人。</w:t>
      </w:r>
    </w:p>
    <w:p w14:paraId="7DA88617">
      <w:pPr>
        <w:spacing w:line="360" w:lineRule="auto"/>
        <w:ind w:firstLine="420"/>
        <w:rPr>
          <w:rFonts w:hint="eastAsia" w:ascii="Times New Roman" w:hAnsi="Times New Roman"/>
          <w:highlight w:val="yellow"/>
        </w:rPr>
      </w:pPr>
      <w:r>
        <w:rPr>
          <w:rFonts w:hint="eastAsia" w:ascii="Times New Roman" w:hAnsi="Times New Roman"/>
          <w:highlight w:val="none"/>
          <w:lang w:val="en-US" w:eastAsia="zh-CN"/>
        </w:rPr>
        <w:t>★</w:t>
      </w:r>
      <w:r>
        <w:rPr>
          <w:rFonts w:hint="eastAsia" w:ascii="Times New Roman" w:hAnsi="Times New Roman"/>
          <w:b/>
          <w:bCs/>
          <w:highlight w:val="none"/>
          <w:lang w:val="en-US" w:eastAsia="zh-CN"/>
        </w:rPr>
        <w:t>4.驻场人员按照采购人要求，在指定地点开展审计工作，项目实施期间无特殊原因不得随意更换；</w:t>
      </w:r>
      <w:r>
        <w:rPr>
          <w:rFonts w:hint="eastAsia"/>
          <w:b/>
          <w:bCs/>
          <w:lang w:val="en-US" w:eastAsia="zh-CN"/>
        </w:rPr>
        <w:t>在服务期间，如采购人通知增加项目成员，需保证增加人员2小时到位。</w:t>
      </w:r>
      <w:r>
        <w:rPr>
          <w:rFonts w:hint="eastAsia" w:ascii="Times New Roman" w:hAnsi="Times New Roman"/>
          <w:b/>
          <w:bCs/>
          <w:highlight w:val="none"/>
          <w:lang w:val="en-US" w:eastAsia="zh-CN"/>
        </w:rPr>
        <w:t>拟参加项目人员即为中标单位今后参加项目的人员，每个参加项目的人员必须具有相关资格证书，如特殊原因需要更换工作人员的需提前和招标人申请，经采购人审核同意后，方可更换相关工作人员。（投标人提供详细承诺函）</w:t>
      </w:r>
    </w:p>
    <w:p w14:paraId="799B0EE2">
      <w:pPr>
        <w:spacing w:line="360" w:lineRule="auto"/>
        <w:ind w:firstLine="420" w:firstLineChars="200"/>
        <w:rPr>
          <w:rFonts w:hint="eastAsia"/>
          <w:lang w:val="en-US" w:eastAsia="zh-CN"/>
        </w:rPr>
      </w:pPr>
      <w:r>
        <w:rPr>
          <w:rFonts w:hint="eastAsia"/>
          <w:lang w:val="en-US" w:eastAsia="zh-CN"/>
        </w:rPr>
        <w:t>5.中标人需为审计团队配备必要的审计工具、软硬件设备，确保审计工作的顺利开展，审计设备需符合国家信息安全标准，避免对软件平台系统造成安全风险。</w:t>
      </w:r>
    </w:p>
    <w:p w14:paraId="4F507282">
      <w:pPr>
        <w:spacing w:line="360" w:lineRule="auto"/>
        <w:ind w:firstLine="420" w:firstLineChars="200"/>
        <w:rPr>
          <w:rFonts w:hint="eastAsia"/>
          <w:lang w:val="en-US" w:eastAsia="zh-CN"/>
        </w:rPr>
      </w:pPr>
      <w:r>
        <w:rPr>
          <w:rFonts w:hint="eastAsia"/>
          <w:lang w:val="en-US" w:eastAsia="zh-CN"/>
        </w:rPr>
        <w:t>（三）审计实施要求</w:t>
      </w:r>
    </w:p>
    <w:p w14:paraId="5B0193D7">
      <w:pPr>
        <w:spacing w:line="360" w:lineRule="auto"/>
        <w:ind w:firstLine="420" w:firstLineChars="200"/>
        <w:rPr>
          <w:rFonts w:hint="eastAsia"/>
          <w:lang w:val="en-US" w:eastAsia="zh-CN"/>
        </w:rPr>
      </w:pPr>
      <w:r>
        <w:rPr>
          <w:rFonts w:hint="eastAsia"/>
          <w:lang w:val="en-US" w:eastAsia="zh-CN"/>
        </w:rPr>
        <w:t>1.资料审查要求：审计过程中需对项目全流程的各类资料进行全面、细致审查，包括但不限于立项文件、招标采购资料、合同协议、开发文档、测试报告、验收资料、财务凭证、运维记录等，确保资料的完整性、真实性、一致性。</w:t>
      </w:r>
    </w:p>
    <w:p w14:paraId="766D95FA">
      <w:pPr>
        <w:spacing w:line="360" w:lineRule="auto"/>
        <w:ind w:firstLine="420" w:firstLineChars="200"/>
        <w:rPr>
          <w:rFonts w:hint="eastAsia"/>
          <w:lang w:val="en-US" w:eastAsia="zh-CN"/>
        </w:rPr>
      </w:pPr>
      <w:r>
        <w:rPr>
          <w:rFonts w:hint="eastAsia"/>
          <w:lang w:val="en-US" w:eastAsia="zh-CN"/>
        </w:rPr>
        <w:t>2.现场核查要求：对软件平台开发、测试、上线、运维等关键环节开展现场核查，采用数据比对、现场测试、人员访谈、系统核验等多种方式，确保审计结果与项目实际情况相符。</w:t>
      </w:r>
    </w:p>
    <w:p w14:paraId="0ABCBA23">
      <w:pPr>
        <w:spacing w:line="360" w:lineRule="auto"/>
        <w:ind w:firstLine="420" w:firstLineChars="200"/>
        <w:rPr>
          <w:rFonts w:hint="eastAsia"/>
          <w:lang w:val="en-US" w:eastAsia="zh-CN"/>
        </w:rPr>
      </w:pPr>
      <w:r>
        <w:rPr>
          <w:rFonts w:hint="eastAsia"/>
          <w:lang w:val="en-US" w:eastAsia="zh-CN"/>
        </w:rPr>
        <w:t>3.进度与报告要求：中标人需制定详细的审计工作计划，明确各阶段审计节点与交付成果，按招标人要求定期提交审计进度报告；各阶段审计工作完成后，需在5个工作日内出具正式的审计报告，报告需包含审计依据、过程、结果、问题分析及整改建议，且需经审计团队负责人、中标人技术负责人签字并加盖单位公章。</w:t>
      </w:r>
    </w:p>
    <w:p w14:paraId="1B85A263">
      <w:pPr>
        <w:spacing w:line="360" w:lineRule="auto"/>
        <w:ind w:firstLine="420" w:firstLineChars="200"/>
        <w:rPr>
          <w:rFonts w:hint="eastAsia"/>
          <w:lang w:val="en-US" w:eastAsia="zh-CN"/>
        </w:rPr>
      </w:pPr>
      <w:r>
        <w:rPr>
          <w:rFonts w:hint="eastAsia"/>
          <w:lang w:val="en-US" w:eastAsia="zh-CN"/>
        </w:rPr>
        <w:t>4.问题整改跟踪要求：针对审计过程中发现的问题，中标人需建立问题台账，明确整改责任人、整改时限、整改要求，跟踪整改进度，对整改结果进行复核，确保问题整改到位，形成“发现问题-提出建议-跟踪整改-复核验收”的闭环管理。</w:t>
      </w:r>
    </w:p>
    <w:p w14:paraId="7574A6ED">
      <w:pPr>
        <w:spacing w:line="360" w:lineRule="auto"/>
        <w:ind w:firstLine="420" w:firstLineChars="200"/>
        <w:rPr>
          <w:rFonts w:hint="eastAsia"/>
          <w:highlight w:val="none"/>
          <w:lang w:val="en-US" w:eastAsia="zh-CN"/>
        </w:rPr>
      </w:pPr>
      <w:r>
        <w:rPr>
          <w:rFonts w:hint="eastAsia"/>
          <w:highlight w:val="none"/>
          <w:lang w:val="en-US" w:eastAsia="zh-CN"/>
        </w:rPr>
        <w:t>5.财务审计要求</w:t>
      </w:r>
    </w:p>
    <w:p w14:paraId="7945E02E">
      <w:pPr>
        <w:spacing w:line="360" w:lineRule="auto"/>
        <w:ind w:firstLine="420" w:firstLineChars="200"/>
        <w:rPr>
          <w:rFonts w:hint="default"/>
          <w:highlight w:val="none"/>
          <w:lang w:val="en-US" w:eastAsia="zh-CN"/>
        </w:rPr>
      </w:pPr>
      <w:r>
        <w:rPr>
          <w:rFonts w:hint="eastAsia"/>
          <w:highlight w:val="none"/>
          <w:lang w:val="en-US" w:eastAsia="zh-CN"/>
        </w:rPr>
        <w:t>（1）</w:t>
      </w:r>
      <w:r>
        <w:rPr>
          <w:rFonts w:hint="default"/>
          <w:highlight w:val="none"/>
          <w:lang w:val="en-US" w:eastAsia="zh-CN"/>
        </w:rPr>
        <w:t>项目建设总体情况审核</w:t>
      </w:r>
    </w:p>
    <w:p w14:paraId="098F9CAB">
      <w:pPr>
        <w:spacing w:line="360" w:lineRule="auto"/>
        <w:ind w:firstLine="420" w:firstLineChars="200"/>
        <w:rPr>
          <w:rFonts w:hint="default"/>
          <w:highlight w:val="none"/>
          <w:lang w:val="en-US" w:eastAsia="zh-CN"/>
        </w:rPr>
      </w:pPr>
      <w:r>
        <w:rPr>
          <w:rFonts w:hint="default"/>
          <w:highlight w:val="none"/>
          <w:lang w:val="en-US" w:eastAsia="zh-CN"/>
        </w:rPr>
        <w:t>核查项目立项、可行性研究、初步设计、概算批复、投资计划等文件是否齐全、有效；审核项目建设规模、建设内容、建设标准及总投资是否严格按照批复文件执行，核查是否存在擅自调整建设内容、超规模、超标准、超概算等问题，分析概算执行差异原因。</w:t>
      </w:r>
    </w:p>
    <w:p w14:paraId="027F4620">
      <w:pPr>
        <w:spacing w:line="360" w:lineRule="auto"/>
        <w:ind w:firstLine="420" w:firstLineChars="200"/>
        <w:rPr>
          <w:rFonts w:hint="default"/>
          <w:highlight w:val="none"/>
          <w:lang w:val="en-US" w:eastAsia="zh-CN"/>
        </w:rPr>
      </w:pPr>
      <w:r>
        <w:rPr>
          <w:rFonts w:hint="eastAsia"/>
          <w:highlight w:val="none"/>
          <w:lang w:val="en-US" w:eastAsia="zh-CN"/>
        </w:rPr>
        <w:t>（2）</w:t>
      </w:r>
      <w:r>
        <w:rPr>
          <w:rFonts w:hint="default"/>
          <w:highlight w:val="none"/>
          <w:lang w:val="en-US" w:eastAsia="zh-CN"/>
        </w:rPr>
        <w:t>建设资金来源与到位情况审核</w:t>
      </w:r>
    </w:p>
    <w:p w14:paraId="265638C1">
      <w:pPr>
        <w:spacing w:line="360" w:lineRule="auto"/>
        <w:ind w:firstLine="420" w:firstLineChars="200"/>
        <w:rPr>
          <w:rFonts w:hint="default"/>
          <w:highlight w:val="none"/>
          <w:lang w:val="en-US" w:eastAsia="zh-CN"/>
        </w:rPr>
      </w:pPr>
      <w:r>
        <w:rPr>
          <w:rFonts w:hint="default"/>
          <w:highlight w:val="none"/>
          <w:lang w:val="en-US" w:eastAsia="zh-CN"/>
        </w:rPr>
        <w:t>审核项目资金来源构成（财政资金、自筹资金、其他资金等）是否符合批复及相关规定；核查资金到位金额、到位时间、入账依据，核实资金筹集的合规性、真实性、完整性；检查是否存在资金到位不及时、挤占、挪用、滞留项目资金等情况。</w:t>
      </w:r>
    </w:p>
    <w:p w14:paraId="03182A90">
      <w:pPr>
        <w:spacing w:line="360" w:lineRule="auto"/>
        <w:ind w:firstLine="420" w:firstLineChars="200"/>
        <w:rPr>
          <w:rFonts w:hint="default"/>
          <w:highlight w:val="none"/>
          <w:lang w:val="en-US" w:eastAsia="zh-CN"/>
        </w:rPr>
      </w:pPr>
      <w:r>
        <w:rPr>
          <w:rFonts w:hint="eastAsia"/>
          <w:highlight w:val="none"/>
          <w:lang w:val="en-US" w:eastAsia="zh-CN"/>
        </w:rPr>
        <w:t>（3）</w:t>
      </w:r>
      <w:r>
        <w:rPr>
          <w:rFonts w:hint="default"/>
          <w:highlight w:val="none"/>
          <w:lang w:val="en-US" w:eastAsia="zh-CN"/>
        </w:rPr>
        <w:t>建设成本及各项支出审核</w:t>
      </w:r>
    </w:p>
    <w:p w14:paraId="02CA09DD">
      <w:pPr>
        <w:spacing w:line="360" w:lineRule="auto"/>
        <w:ind w:firstLine="420" w:firstLineChars="200"/>
        <w:rPr>
          <w:rFonts w:hint="default"/>
          <w:highlight w:val="none"/>
          <w:lang w:val="en-US" w:eastAsia="zh-CN"/>
        </w:rPr>
      </w:pPr>
      <w:r>
        <w:rPr>
          <w:rFonts w:hint="default"/>
          <w:highlight w:val="none"/>
          <w:lang w:val="en-US" w:eastAsia="zh-CN"/>
        </w:rPr>
        <w:t>对项目全部建设成本进行全面审核，包括但不限于：</w:t>
      </w:r>
    </w:p>
    <w:p w14:paraId="0F5562FD">
      <w:pPr>
        <w:spacing w:line="360" w:lineRule="auto"/>
        <w:ind w:firstLine="420" w:firstLineChars="200"/>
        <w:rPr>
          <w:rFonts w:hint="default"/>
          <w:highlight w:val="none"/>
          <w:lang w:val="en-US" w:eastAsia="zh-CN"/>
        </w:rPr>
      </w:pPr>
      <w:r>
        <w:rPr>
          <w:rFonts w:hint="eastAsia"/>
          <w:highlight w:val="none"/>
          <w:lang w:val="en-US" w:eastAsia="zh-CN"/>
        </w:rPr>
        <w:t>平台、</w:t>
      </w:r>
      <w:r>
        <w:rPr>
          <w:rFonts w:hint="default"/>
          <w:highlight w:val="none"/>
          <w:lang w:val="en-US" w:eastAsia="zh-CN"/>
        </w:rPr>
        <w:t>设备</w:t>
      </w:r>
      <w:r>
        <w:rPr>
          <w:rFonts w:hint="eastAsia"/>
          <w:highlight w:val="none"/>
          <w:lang w:val="en-US" w:eastAsia="zh-CN"/>
        </w:rPr>
        <w:t>等</w:t>
      </w:r>
      <w:r>
        <w:rPr>
          <w:rFonts w:hint="default"/>
          <w:highlight w:val="none"/>
          <w:lang w:val="en-US" w:eastAsia="zh-CN"/>
        </w:rPr>
        <w:t>投资支出：审核设备采购、招标、合同、验收、入库、付款等环节，核查设备价格、数量、规格与批复一致性；</w:t>
      </w:r>
    </w:p>
    <w:p w14:paraId="3F2EC818">
      <w:pPr>
        <w:spacing w:line="360" w:lineRule="auto"/>
        <w:ind w:firstLine="420" w:firstLineChars="200"/>
        <w:rPr>
          <w:rFonts w:hint="default"/>
          <w:highlight w:val="none"/>
          <w:lang w:val="en-US" w:eastAsia="zh-CN"/>
        </w:rPr>
      </w:pPr>
      <w:r>
        <w:rPr>
          <w:rFonts w:hint="default"/>
          <w:highlight w:val="none"/>
          <w:lang w:val="en-US" w:eastAsia="zh-CN"/>
        </w:rPr>
        <w:t>待摊投资支出：对设计费、监理费、招投标费、建设单位管理费、可行性研究费、审计费等</w:t>
      </w:r>
      <w:r>
        <w:rPr>
          <w:rFonts w:hint="eastAsia"/>
          <w:highlight w:val="none"/>
          <w:lang w:val="en-US" w:eastAsia="zh-CN"/>
        </w:rPr>
        <w:t>其他费用</w:t>
      </w:r>
      <w:r>
        <w:rPr>
          <w:rFonts w:hint="default"/>
          <w:highlight w:val="none"/>
          <w:lang w:val="en-US" w:eastAsia="zh-CN"/>
        </w:rPr>
        <w:t>逐项审核，核查列支范围、标准、票据、支付依据是否符合国家及行业财务制度，有无超标准、超范围列支；</w:t>
      </w:r>
    </w:p>
    <w:p w14:paraId="1F1E9788">
      <w:pPr>
        <w:spacing w:line="360" w:lineRule="auto"/>
        <w:ind w:firstLine="420" w:firstLineChars="200"/>
        <w:rPr>
          <w:rFonts w:hint="default"/>
          <w:highlight w:val="none"/>
          <w:lang w:val="en-US" w:eastAsia="zh-CN"/>
        </w:rPr>
      </w:pPr>
      <w:r>
        <w:rPr>
          <w:rFonts w:hint="eastAsia"/>
          <w:highlight w:val="none"/>
          <w:lang w:val="en-US" w:eastAsia="zh-CN"/>
        </w:rPr>
        <w:t>（4）</w:t>
      </w:r>
      <w:r>
        <w:rPr>
          <w:rFonts w:hint="default"/>
          <w:highlight w:val="none"/>
          <w:lang w:val="en-US" w:eastAsia="zh-CN"/>
        </w:rPr>
        <w:t>债权债务、资产及往来款项清理审核</w:t>
      </w:r>
    </w:p>
    <w:p w14:paraId="102B0329">
      <w:pPr>
        <w:spacing w:line="360" w:lineRule="auto"/>
        <w:ind w:firstLine="420" w:firstLineChars="200"/>
        <w:rPr>
          <w:rFonts w:hint="default"/>
          <w:highlight w:val="none"/>
          <w:lang w:val="en-US" w:eastAsia="zh-CN"/>
        </w:rPr>
      </w:pPr>
      <w:r>
        <w:rPr>
          <w:rFonts w:hint="default"/>
          <w:highlight w:val="none"/>
          <w:lang w:val="en-US" w:eastAsia="zh-CN"/>
        </w:rPr>
        <w:t>清理项目各类应收、应付款项，核对合同、结算、付款记录，核查债权债务真实性、准确性；审核存货、固定资产、无形资产等资产核算与管理情况，确保账实相符、账账相符；检查是否存在长期挂账、虚列往来、资产流失等问题。</w:t>
      </w:r>
    </w:p>
    <w:p w14:paraId="03CFD378">
      <w:pPr>
        <w:spacing w:line="360" w:lineRule="auto"/>
        <w:ind w:firstLine="420" w:firstLineChars="200"/>
        <w:rPr>
          <w:rFonts w:hint="default"/>
          <w:highlight w:val="none"/>
          <w:lang w:val="en-US" w:eastAsia="zh-CN"/>
        </w:rPr>
      </w:pPr>
      <w:r>
        <w:rPr>
          <w:rFonts w:hint="eastAsia"/>
          <w:highlight w:val="none"/>
          <w:lang w:val="en-US" w:eastAsia="zh-CN"/>
        </w:rPr>
        <w:t>（5）</w:t>
      </w:r>
      <w:r>
        <w:rPr>
          <w:rFonts w:hint="default"/>
          <w:highlight w:val="none"/>
          <w:lang w:val="en-US" w:eastAsia="zh-CN"/>
        </w:rPr>
        <w:t>待摊投资分摊与成本归集审核</w:t>
      </w:r>
    </w:p>
    <w:p w14:paraId="3822E585">
      <w:pPr>
        <w:spacing w:line="360" w:lineRule="auto"/>
        <w:ind w:firstLine="420" w:firstLineChars="200"/>
        <w:rPr>
          <w:rFonts w:hint="default"/>
          <w:highlight w:val="none"/>
          <w:lang w:val="en-US" w:eastAsia="zh-CN"/>
        </w:rPr>
      </w:pPr>
      <w:r>
        <w:rPr>
          <w:rFonts w:hint="default"/>
          <w:highlight w:val="none"/>
          <w:lang w:val="en-US" w:eastAsia="zh-CN"/>
        </w:rPr>
        <w:t>审核待摊投资的分摊原则、分摊方法、分摊基数是否合理、合规，是否按照受益对象和资产类别进行准确分摊，确保各项资产成本归集真实、完整、准确，符合财务会计制度及竣工财务决算编制要求。</w:t>
      </w:r>
    </w:p>
    <w:p w14:paraId="589C556E">
      <w:pPr>
        <w:spacing w:line="360" w:lineRule="auto"/>
        <w:ind w:firstLine="420" w:firstLineChars="200"/>
        <w:rPr>
          <w:rFonts w:hint="default"/>
          <w:highlight w:val="none"/>
          <w:lang w:val="en-US" w:eastAsia="zh-CN"/>
        </w:rPr>
      </w:pPr>
      <w:r>
        <w:rPr>
          <w:rFonts w:hint="eastAsia"/>
          <w:highlight w:val="none"/>
          <w:lang w:val="en-US" w:eastAsia="zh-CN"/>
        </w:rPr>
        <w:t>（6）</w:t>
      </w:r>
      <w:r>
        <w:rPr>
          <w:rFonts w:hint="default"/>
          <w:highlight w:val="none"/>
          <w:lang w:val="en-US" w:eastAsia="zh-CN"/>
        </w:rPr>
        <w:t>竣工财务决算报表编制与审核</w:t>
      </w:r>
    </w:p>
    <w:p w14:paraId="67ACF6C6">
      <w:pPr>
        <w:spacing w:line="360" w:lineRule="auto"/>
        <w:ind w:firstLine="420" w:firstLineChars="200"/>
        <w:rPr>
          <w:rFonts w:hint="default"/>
          <w:highlight w:val="none"/>
          <w:lang w:val="en-US" w:eastAsia="zh-CN"/>
        </w:rPr>
      </w:pPr>
      <w:r>
        <w:rPr>
          <w:rFonts w:hint="default"/>
          <w:highlight w:val="none"/>
          <w:lang w:val="en-US" w:eastAsia="zh-CN"/>
        </w:rPr>
        <w:t>协助并审核</w:t>
      </w:r>
      <w:r>
        <w:rPr>
          <w:rFonts w:hint="eastAsia"/>
          <w:highlight w:val="none"/>
          <w:lang w:val="en-US" w:eastAsia="zh-CN"/>
        </w:rPr>
        <w:t>采购人</w:t>
      </w:r>
      <w:r>
        <w:rPr>
          <w:rFonts w:hint="default"/>
          <w:highlight w:val="none"/>
          <w:lang w:val="en-US" w:eastAsia="zh-CN"/>
        </w:rPr>
        <w:t>按照国家及财政部门规定，规范编制竣工财务决算报表，包括：</w:t>
      </w:r>
    </w:p>
    <w:p w14:paraId="30230536">
      <w:pPr>
        <w:spacing w:line="360" w:lineRule="auto"/>
        <w:ind w:firstLine="420" w:firstLineChars="200"/>
        <w:rPr>
          <w:rFonts w:hint="default"/>
          <w:highlight w:val="none"/>
          <w:lang w:val="en-US" w:eastAsia="zh-CN"/>
        </w:rPr>
      </w:pPr>
      <w:r>
        <w:rPr>
          <w:rFonts w:hint="default"/>
          <w:highlight w:val="none"/>
          <w:lang w:val="en-US" w:eastAsia="zh-CN"/>
        </w:rPr>
        <w:t>- 项目竣工财务决算总表</w:t>
      </w:r>
    </w:p>
    <w:p w14:paraId="0C04622D">
      <w:pPr>
        <w:spacing w:line="360" w:lineRule="auto"/>
        <w:ind w:firstLine="420" w:firstLineChars="200"/>
        <w:rPr>
          <w:rFonts w:hint="default"/>
          <w:highlight w:val="none"/>
          <w:lang w:val="en-US" w:eastAsia="zh-CN"/>
        </w:rPr>
      </w:pPr>
      <w:r>
        <w:rPr>
          <w:rFonts w:hint="default"/>
          <w:highlight w:val="none"/>
          <w:lang w:val="en-US" w:eastAsia="zh-CN"/>
        </w:rPr>
        <w:t>- 资金来源及支出明细表</w:t>
      </w:r>
    </w:p>
    <w:p w14:paraId="27D680C8">
      <w:pPr>
        <w:spacing w:line="360" w:lineRule="auto"/>
        <w:ind w:firstLine="420" w:firstLineChars="200"/>
        <w:rPr>
          <w:rFonts w:hint="default"/>
          <w:highlight w:val="none"/>
          <w:lang w:val="en-US" w:eastAsia="zh-CN"/>
        </w:rPr>
      </w:pPr>
      <w:r>
        <w:rPr>
          <w:rFonts w:hint="default"/>
          <w:highlight w:val="none"/>
          <w:lang w:val="en-US" w:eastAsia="zh-CN"/>
        </w:rPr>
        <w:t>- 待摊投资明细表</w:t>
      </w:r>
    </w:p>
    <w:p w14:paraId="5B7F6C29">
      <w:pPr>
        <w:spacing w:line="360" w:lineRule="auto"/>
        <w:ind w:firstLine="420" w:firstLineChars="200"/>
        <w:rPr>
          <w:rFonts w:hint="default"/>
          <w:highlight w:val="none"/>
          <w:lang w:val="en-US" w:eastAsia="zh-CN"/>
        </w:rPr>
      </w:pPr>
      <w:r>
        <w:rPr>
          <w:rFonts w:hint="default"/>
          <w:highlight w:val="none"/>
          <w:lang w:val="en-US" w:eastAsia="zh-CN"/>
        </w:rPr>
        <w:t>- 交付使用资产明细表</w:t>
      </w:r>
    </w:p>
    <w:p w14:paraId="5C8A24DE">
      <w:pPr>
        <w:spacing w:line="360" w:lineRule="auto"/>
        <w:ind w:firstLine="420" w:firstLineChars="200"/>
        <w:rPr>
          <w:rFonts w:hint="default"/>
          <w:highlight w:val="none"/>
          <w:lang w:val="en-US" w:eastAsia="zh-CN"/>
        </w:rPr>
      </w:pPr>
      <w:r>
        <w:rPr>
          <w:rFonts w:hint="default"/>
          <w:highlight w:val="none"/>
          <w:lang w:val="en-US" w:eastAsia="zh-CN"/>
        </w:rPr>
        <w:t>- 相关附表及说明</w:t>
      </w:r>
    </w:p>
    <w:p w14:paraId="0AF0D945">
      <w:pPr>
        <w:spacing w:line="360" w:lineRule="auto"/>
        <w:ind w:firstLine="420" w:firstLineChars="200"/>
        <w:rPr>
          <w:rFonts w:hint="default"/>
          <w:highlight w:val="none"/>
          <w:lang w:val="en-US" w:eastAsia="zh-CN"/>
        </w:rPr>
      </w:pPr>
      <w:r>
        <w:rPr>
          <w:rFonts w:hint="default"/>
          <w:highlight w:val="none"/>
          <w:lang w:val="en-US" w:eastAsia="zh-CN"/>
        </w:rPr>
        <w:t>审核报表数据之间勾稽关系、与账簿、凭证、合同、结算资料一致性，保证数据真实、准确、完整。</w:t>
      </w:r>
    </w:p>
    <w:p w14:paraId="61BBFBE1">
      <w:pPr>
        <w:spacing w:line="360" w:lineRule="auto"/>
        <w:ind w:firstLine="420" w:firstLineChars="200"/>
        <w:rPr>
          <w:rFonts w:hint="default"/>
          <w:highlight w:val="none"/>
          <w:lang w:val="en-US" w:eastAsia="zh-CN"/>
        </w:rPr>
      </w:pPr>
      <w:r>
        <w:rPr>
          <w:rFonts w:hint="eastAsia"/>
          <w:highlight w:val="none"/>
          <w:lang w:val="en-US" w:eastAsia="zh-CN"/>
        </w:rPr>
        <w:t>（7）</w:t>
      </w:r>
      <w:r>
        <w:rPr>
          <w:rFonts w:hint="default"/>
          <w:highlight w:val="none"/>
          <w:lang w:val="en-US" w:eastAsia="zh-CN"/>
        </w:rPr>
        <w:t>竣工财务决算说明书编制审核</w:t>
      </w:r>
    </w:p>
    <w:p w14:paraId="64A25AD6">
      <w:pPr>
        <w:spacing w:line="360" w:lineRule="auto"/>
        <w:ind w:firstLine="420" w:firstLineChars="200"/>
        <w:rPr>
          <w:rFonts w:hint="default"/>
          <w:highlight w:val="none"/>
          <w:lang w:val="en-US" w:eastAsia="zh-CN"/>
        </w:rPr>
      </w:pPr>
      <w:r>
        <w:rPr>
          <w:rFonts w:hint="default"/>
          <w:highlight w:val="none"/>
          <w:lang w:val="en-US" w:eastAsia="zh-CN"/>
        </w:rPr>
        <w:t>协助并审核编制竣工财务决算说明书，内容包括：项目概况、资金来源及使用情况、概算执行情况、招标及合同履行情况、建设成本分析、债权债务清理、资产交付情况、主要经验与问题、整改建议等，确保内容完整、表述规范、符合决算批复要求。</w:t>
      </w:r>
    </w:p>
    <w:p w14:paraId="58B2FA7D">
      <w:pPr>
        <w:spacing w:line="360" w:lineRule="auto"/>
        <w:ind w:firstLine="420" w:firstLineChars="200"/>
        <w:rPr>
          <w:rFonts w:hint="default"/>
          <w:highlight w:val="none"/>
          <w:lang w:val="en-US" w:eastAsia="zh-CN"/>
        </w:rPr>
      </w:pPr>
      <w:r>
        <w:rPr>
          <w:rFonts w:hint="eastAsia"/>
          <w:highlight w:val="none"/>
          <w:lang w:val="en-US" w:eastAsia="zh-CN"/>
        </w:rPr>
        <w:t>（8）</w:t>
      </w:r>
      <w:r>
        <w:rPr>
          <w:rFonts w:hint="default"/>
          <w:highlight w:val="none"/>
          <w:lang w:val="en-US" w:eastAsia="zh-CN"/>
        </w:rPr>
        <w:t>结余资金及尾工工程审核</w:t>
      </w:r>
    </w:p>
    <w:p w14:paraId="012DC05C">
      <w:pPr>
        <w:spacing w:line="360" w:lineRule="auto"/>
        <w:ind w:firstLine="420" w:firstLineChars="200"/>
        <w:rPr>
          <w:rFonts w:hint="default"/>
          <w:highlight w:val="none"/>
          <w:lang w:val="en-US" w:eastAsia="zh-CN"/>
        </w:rPr>
      </w:pPr>
      <w:r>
        <w:rPr>
          <w:rFonts w:hint="default"/>
          <w:highlight w:val="none"/>
          <w:lang w:val="en-US" w:eastAsia="zh-CN"/>
        </w:rPr>
        <w:t>核实项目结余资金形成原因、金额及管理情况，审核是否按规定上缴或统筹使用；审核尾工工程内容、投资估算、合理性，严禁虚列尾工、预留不合理资金。</w:t>
      </w:r>
    </w:p>
    <w:p w14:paraId="2103E5CD">
      <w:pPr>
        <w:spacing w:line="360" w:lineRule="auto"/>
        <w:ind w:firstLine="420" w:firstLineChars="200"/>
        <w:rPr>
          <w:rFonts w:hint="default"/>
          <w:highlight w:val="none"/>
          <w:lang w:val="en-US" w:eastAsia="zh-CN"/>
        </w:rPr>
      </w:pPr>
      <w:r>
        <w:rPr>
          <w:rFonts w:hint="eastAsia"/>
          <w:highlight w:val="none"/>
          <w:lang w:val="en-US" w:eastAsia="zh-CN"/>
        </w:rPr>
        <w:t>（9）</w:t>
      </w:r>
      <w:r>
        <w:rPr>
          <w:rFonts w:hint="default"/>
          <w:highlight w:val="none"/>
          <w:lang w:val="en-US" w:eastAsia="zh-CN"/>
        </w:rPr>
        <w:t>资产移交与资产入账审核</w:t>
      </w:r>
    </w:p>
    <w:p w14:paraId="0AB95E9E">
      <w:pPr>
        <w:spacing w:line="360" w:lineRule="auto"/>
        <w:ind w:firstLine="420" w:firstLineChars="200"/>
        <w:rPr>
          <w:rFonts w:hint="default"/>
          <w:highlight w:val="none"/>
          <w:lang w:val="en-US" w:eastAsia="zh-CN"/>
        </w:rPr>
      </w:pPr>
      <w:r>
        <w:rPr>
          <w:rFonts w:hint="default"/>
          <w:highlight w:val="none"/>
          <w:lang w:val="en-US" w:eastAsia="zh-CN"/>
        </w:rPr>
        <w:t>审核交付使用资产清单、资产价值、权属资料，配合办理资产移交手续，为行政事业单位资产入账、国有资产管理提供准确依据。</w:t>
      </w:r>
    </w:p>
    <w:p w14:paraId="73578887">
      <w:pPr>
        <w:spacing w:line="360" w:lineRule="auto"/>
        <w:ind w:firstLine="420" w:firstLineChars="200"/>
        <w:rPr>
          <w:rFonts w:hint="default"/>
          <w:highlight w:val="none"/>
          <w:lang w:val="en-US" w:eastAsia="zh-CN"/>
        </w:rPr>
      </w:pPr>
      <w:r>
        <w:rPr>
          <w:rFonts w:hint="eastAsia"/>
          <w:highlight w:val="none"/>
          <w:lang w:val="en-US" w:eastAsia="zh-CN"/>
        </w:rPr>
        <w:t>（10）</w:t>
      </w:r>
      <w:r>
        <w:rPr>
          <w:rFonts w:hint="default"/>
          <w:highlight w:val="none"/>
          <w:lang w:val="en-US" w:eastAsia="zh-CN"/>
        </w:rPr>
        <w:t>配合决算批复、审计及检查</w:t>
      </w:r>
    </w:p>
    <w:p w14:paraId="44BAE2CE">
      <w:pPr>
        <w:spacing w:line="360" w:lineRule="auto"/>
        <w:ind w:firstLine="420" w:firstLineChars="200"/>
        <w:rPr>
          <w:rFonts w:hint="default"/>
          <w:highlight w:val="none"/>
          <w:lang w:val="en-US" w:eastAsia="zh-CN"/>
        </w:rPr>
      </w:pPr>
      <w:r>
        <w:rPr>
          <w:rFonts w:hint="default"/>
          <w:highlight w:val="none"/>
          <w:lang w:val="en-US" w:eastAsia="zh-CN"/>
        </w:rPr>
        <w:t>配合财政部门、主管部门、审计机关对竣工财务决算的审核、批复、检查及调研工作，按要求提供资料、说明情况、落实整改意见，全程协助完成决算批复全流程工作。</w:t>
      </w:r>
    </w:p>
    <w:p w14:paraId="75AF19A7">
      <w:pPr>
        <w:spacing w:line="360" w:lineRule="auto"/>
        <w:ind w:firstLine="420" w:firstLineChars="200"/>
        <w:rPr>
          <w:rFonts w:hint="eastAsia"/>
          <w:lang w:val="en-US" w:eastAsia="zh-CN"/>
        </w:rPr>
      </w:pPr>
      <w:r>
        <w:rPr>
          <w:rFonts w:hint="eastAsia"/>
          <w:lang w:val="en-US" w:eastAsia="zh-CN"/>
        </w:rPr>
        <w:t>（四）质量控制要求</w:t>
      </w:r>
    </w:p>
    <w:p w14:paraId="0E0AA48B">
      <w:pPr>
        <w:spacing w:line="360" w:lineRule="auto"/>
        <w:ind w:firstLine="420" w:firstLineChars="200"/>
        <w:rPr>
          <w:rFonts w:hint="eastAsia"/>
          <w:lang w:val="en-US" w:eastAsia="zh-CN"/>
        </w:rPr>
      </w:pPr>
      <w:r>
        <w:rPr>
          <w:rFonts w:hint="eastAsia"/>
          <w:lang w:val="en-US" w:eastAsia="zh-CN"/>
        </w:rPr>
        <w:t>1.中标人需建立完善的内部审计质量控制体系，对审计工作的全过程进行质量管控，包括审计计划编制、审计实施、审计报告编制等环节，确保审计工作质量符合招标文件及招标人要求。</w:t>
      </w:r>
    </w:p>
    <w:p w14:paraId="52740A61">
      <w:pPr>
        <w:spacing w:line="360" w:lineRule="auto"/>
        <w:ind w:firstLine="420" w:firstLineChars="200"/>
        <w:rPr>
          <w:rFonts w:hint="eastAsia"/>
          <w:lang w:val="en-US" w:eastAsia="zh-CN"/>
        </w:rPr>
      </w:pPr>
      <w:r>
        <w:rPr>
          <w:rFonts w:hint="eastAsia"/>
          <w:lang w:val="en-US" w:eastAsia="zh-CN"/>
        </w:rPr>
        <w:t>2.审计报告需做到内容完整、数据准确、分析深入、建议可行，不得出现虚假记载、误导性陈述或重大遗漏；招标人对审计报告提出异议的，中标人需在3个工作日内予以答复，并根据招标人要求进行补充审计或修改报告。</w:t>
      </w:r>
    </w:p>
    <w:p w14:paraId="0B81CCA5">
      <w:pPr>
        <w:spacing w:line="360" w:lineRule="auto"/>
        <w:ind w:firstLine="420" w:firstLineChars="200"/>
        <w:rPr>
          <w:rFonts w:hint="eastAsia"/>
          <w:lang w:val="en-US" w:eastAsia="zh-CN"/>
        </w:rPr>
      </w:pPr>
      <w:r>
        <w:rPr>
          <w:rFonts w:hint="eastAsia"/>
          <w:lang w:val="en-US" w:eastAsia="zh-CN"/>
        </w:rPr>
        <w:t>3.审计工作需满足项目建设的时间要求，不得因审计工作延误软件平台项目的开发、上线、验收等关键节点，如因中标人原因造成项目延误，中标人需承担相应的违约责任。</w:t>
      </w:r>
    </w:p>
    <w:p w14:paraId="2A95EBDA">
      <w:pPr>
        <w:pStyle w:val="7"/>
        <w:numPr>
          <w:ilvl w:val="4"/>
          <w:numId w:val="0"/>
        </w:numPr>
        <w:spacing w:line="360" w:lineRule="auto"/>
        <w:ind w:firstLine="0" w:firstLineChars="0"/>
        <w:outlineLvl w:val="5"/>
        <w:rPr>
          <w:rFonts w:hint="default" w:ascii="Times New Roman" w:hAnsi="Times New Roman" w:eastAsia="宋体" w:cs="Times New Roman"/>
          <w:highlight w:val="none"/>
          <w:lang w:val="en-US" w:eastAsia="zh-CN"/>
        </w:rPr>
      </w:pPr>
      <w:r>
        <w:rPr>
          <w:rFonts w:hint="eastAsia" w:ascii="Times New Roman" w:hAnsi="Times New Roman" w:eastAsia="宋体" w:cs="Times New Roman"/>
          <w:b/>
          <w:sz w:val="24"/>
          <w:szCs w:val="24"/>
          <w:highlight w:val="none"/>
          <w:lang w:val="en-US" w:eastAsia="zh-CN"/>
        </w:rPr>
        <w:t>（3）</w:t>
      </w:r>
      <w:r>
        <w:rPr>
          <w:rFonts w:hint="eastAsia" w:ascii="Times New Roman" w:hAnsi="Times New Roman" w:eastAsia="宋体" w:cs="Times New Roman"/>
          <w:highlight w:val="none"/>
          <w:lang w:val="en-US" w:eastAsia="zh-CN"/>
        </w:rPr>
        <w:t>审计要求</w:t>
      </w:r>
    </w:p>
    <w:p w14:paraId="6F7A0D91">
      <w:pPr>
        <w:spacing w:line="360" w:lineRule="auto"/>
        <w:ind w:firstLine="420" w:firstLineChars="200"/>
        <w:rPr>
          <w:rFonts w:hint="eastAsia"/>
          <w:lang w:val="en-US" w:eastAsia="zh-CN"/>
        </w:rPr>
      </w:pPr>
      <w:r>
        <w:rPr>
          <w:rFonts w:hint="eastAsia"/>
          <w:lang w:val="en-US" w:eastAsia="zh-CN"/>
        </w:rPr>
        <w:t>（一）基本要求</w:t>
      </w:r>
    </w:p>
    <w:p w14:paraId="7B5831A0">
      <w:pPr>
        <w:spacing w:line="360" w:lineRule="auto"/>
        <w:ind w:firstLine="420" w:firstLineChars="200"/>
        <w:rPr>
          <w:rFonts w:hint="eastAsia"/>
          <w:lang w:val="en-US" w:eastAsia="zh-CN"/>
        </w:rPr>
      </w:pPr>
      <w:r>
        <w:rPr>
          <w:rFonts w:hint="eastAsia"/>
          <w:lang w:val="en-US" w:eastAsia="zh-CN"/>
        </w:rPr>
        <w:t>1.中标人已按招标文件及合同约定，完成软件平台项目全生命周期各阶段的审计服务，无服务内容遗漏。</w:t>
      </w:r>
    </w:p>
    <w:p w14:paraId="6C7BEF25">
      <w:pPr>
        <w:spacing w:line="360" w:lineRule="auto"/>
        <w:ind w:firstLine="420" w:firstLineChars="200"/>
        <w:rPr>
          <w:rFonts w:hint="eastAsia"/>
          <w:lang w:val="en-US" w:eastAsia="zh-CN"/>
        </w:rPr>
      </w:pPr>
      <w:r>
        <w:rPr>
          <w:rFonts w:hint="eastAsia"/>
          <w:lang w:val="en-US" w:eastAsia="zh-CN"/>
        </w:rPr>
        <w:t>2.中标人已按要求提交各阶段审计报告、审计工作底稿、问题台账、整改复核报告、审计总报告等全部审计成果资料，资料完整、规范、签字盖章齐全。</w:t>
      </w:r>
    </w:p>
    <w:p w14:paraId="31E996AB">
      <w:pPr>
        <w:spacing w:line="360" w:lineRule="auto"/>
        <w:ind w:firstLine="420" w:firstLineChars="200"/>
        <w:rPr>
          <w:rFonts w:hint="eastAsia"/>
          <w:lang w:val="en-US" w:eastAsia="zh-CN"/>
        </w:rPr>
      </w:pPr>
      <w:r>
        <w:rPr>
          <w:rFonts w:hint="eastAsia"/>
          <w:lang w:val="en-US" w:eastAsia="zh-CN"/>
        </w:rPr>
        <w:t>3.审计过程中发现的问题已全部完成整改，且经中标人复核确认，招标人对整改结果无异议。</w:t>
      </w:r>
    </w:p>
    <w:p w14:paraId="407A0ACD">
      <w:pPr>
        <w:spacing w:line="360" w:lineRule="auto"/>
        <w:ind w:firstLine="420" w:firstLineChars="200"/>
        <w:rPr>
          <w:rFonts w:hint="eastAsia"/>
          <w:lang w:val="en-US" w:eastAsia="zh-CN"/>
        </w:rPr>
      </w:pPr>
      <w:r>
        <w:rPr>
          <w:rFonts w:hint="eastAsia"/>
          <w:lang w:val="en-US" w:eastAsia="zh-CN"/>
        </w:rPr>
        <w:t>4.中标人已完成审计资料的归档工作，向招标人移交完整的审计档案，包括电子档和纸质档。</w:t>
      </w:r>
    </w:p>
    <w:p w14:paraId="0401C39D">
      <w:pPr>
        <w:spacing w:line="360" w:lineRule="auto"/>
        <w:ind w:firstLine="420" w:firstLineChars="200"/>
        <w:rPr>
          <w:rFonts w:hint="eastAsia"/>
          <w:lang w:val="en-US" w:eastAsia="zh-CN"/>
        </w:rPr>
      </w:pPr>
      <w:r>
        <w:rPr>
          <w:rFonts w:hint="eastAsia"/>
          <w:lang w:val="en-US" w:eastAsia="zh-CN"/>
        </w:rPr>
        <w:t>（二）阶段要求</w:t>
      </w:r>
    </w:p>
    <w:p w14:paraId="3C79F698">
      <w:pPr>
        <w:spacing w:line="360" w:lineRule="auto"/>
        <w:ind w:firstLine="420" w:firstLineChars="200"/>
        <w:rPr>
          <w:rFonts w:hint="eastAsia"/>
          <w:lang w:val="en-US" w:eastAsia="zh-CN"/>
        </w:rPr>
      </w:pPr>
      <w:r>
        <w:rPr>
          <w:rFonts w:hint="eastAsia"/>
          <w:lang w:val="en-US" w:eastAsia="zh-CN"/>
        </w:rPr>
        <w:t>1.立项阶段审计要求：审计意见报告内容完整，准确指出立项阶段存在的问题（如有），并提出可行的整改建议；项目立项的合规性、预算的合理性经审计核查后，无重大违规问题。</w:t>
      </w:r>
    </w:p>
    <w:p w14:paraId="4329E398">
      <w:pPr>
        <w:spacing w:line="360" w:lineRule="auto"/>
        <w:ind w:firstLine="420" w:firstLineChars="200"/>
        <w:rPr>
          <w:rFonts w:hint="eastAsia"/>
          <w:lang w:val="en-US" w:eastAsia="zh-CN"/>
        </w:rPr>
      </w:pPr>
      <w:r>
        <w:rPr>
          <w:rFonts w:hint="eastAsia"/>
          <w:lang w:val="en-US" w:eastAsia="zh-CN"/>
        </w:rPr>
        <w:t>2.招标采购阶段审计要求：审计核查报告完整反映招标采购全流程的审计情况，准确排查招标采购环节的合规风险，对合同条款的审核意见专业、合理；招标采购环节无重大违规操作，合同与招标结果一致。</w:t>
      </w:r>
    </w:p>
    <w:p w14:paraId="4C8F0989">
      <w:pPr>
        <w:spacing w:line="360" w:lineRule="auto"/>
        <w:ind w:firstLine="420" w:firstLineChars="200"/>
        <w:rPr>
          <w:rFonts w:hint="eastAsia"/>
          <w:lang w:val="en-US" w:eastAsia="zh-CN"/>
        </w:rPr>
      </w:pPr>
      <w:r>
        <w:rPr>
          <w:rFonts w:hint="eastAsia"/>
          <w:lang w:val="en-US" w:eastAsia="zh-CN"/>
        </w:rPr>
        <w:t>3.开发实施阶段审计要求：阶段性审计跟踪报告及时、准确，全面反映项目开发进度、资金支付、合同执行等情况；有效发现开发实施阶段的问题并及时预警，对项目变更、人员到位等环节的审计核查无遗漏。</w:t>
      </w:r>
    </w:p>
    <w:p w14:paraId="4D1F72D0">
      <w:pPr>
        <w:spacing w:line="360" w:lineRule="auto"/>
        <w:ind w:firstLine="420" w:firstLineChars="200"/>
        <w:rPr>
          <w:rFonts w:hint="eastAsia"/>
          <w:lang w:val="en-US" w:eastAsia="zh-CN"/>
        </w:rPr>
      </w:pPr>
      <w:r>
        <w:rPr>
          <w:rFonts w:hint="eastAsia"/>
          <w:lang w:val="en-US" w:eastAsia="zh-CN"/>
        </w:rPr>
        <w:t>4.测试上线阶段审计要求：测试上线审计核查报告完整审核系统测试的合规性与真实性，准确评估系统上线风险，提出的风险防控建议具有可操作性；软件平台上线前的准备工作经审计核查后，无重大技术风险与数据安全风险。</w:t>
      </w:r>
    </w:p>
    <w:p w14:paraId="0755C265">
      <w:pPr>
        <w:spacing w:line="360" w:lineRule="auto"/>
        <w:ind w:firstLine="420" w:firstLineChars="200"/>
        <w:rPr>
          <w:rFonts w:hint="eastAsia"/>
          <w:lang w:val="en-US" w:eastAsia="zh-CN"/>
        </w:rPr>
      </w:pPr>
      <w:r>
        <w:rPr>
          <w:rFonts w:hint="eastAsia"/>
          <w:lang w:val="en-US" w:eastAsia="zh-CN"/>
        </w:rPr>
        <w:t>5.竣工验收阶段审计要求：竣工验收审计报告准确验证项目验收流程的合法性，完整审核验收文档，客观评估项目建设目标的实现程度；项目验收环节无违规操作，交付成果与合同约定基本一致。</w:t>
      </w:r>
    </w:p>
    <w:p w14:paraId="526BCA11">
      <w:pPr>
        <w:spacing w:line="360" w:lineRule="auto"/>
        <w:ind w:firstLine="420" w:firstLineChars="200"/>
        <w:rPr>
          <w:rFonts w:hint="eastAsia"/>
          <w:lang w:val="en-US" w:eastAsia="zh-CN"/>
        </w:rPr>
      </w:pPr>
      <w:r>
        <w:rPr>
          <w:rFonts w:hint="eastAsia"/>
          <w:lang w:val="en-US" w:eastAsia="zh-CN"/>
        </w:rPr>
        <w:t>6.结算运维阶段审计要求：结算运维审计总报告完整开展项目结算与运维审计，有效排查结算环节的计费问题，客观评估运维效果与项目绩效；结算凭证合规、计费准确，无重复计费、虚增费用等问题，运维方案合理、资金使用规范。</w:t>
      </w:r>
    </w:p>
    <w:p w14:paraId="12B187F1">
      <w:pPr>
        <w:spacing w:line="360" w:lineRule="auto"/>
        <w:ind w:firstLine="420" w:firstLineChars="200"/>
        <w:rPr>
          <w:rFonts w:hint="eastAsia"/>
          <w:lang w:val="en-US" w:eastAsia="zh-CN"/>
        </w:rPr>
      </w:pPr>
      <w:r>
        <w:rPr>
          <w:rFonts w:hint="eastAsia"/>
          <w:lang w:val="en-US" w:eastAsia="zh-CN"/>
        </w:rPr>
        <w:t>（三）整体要求</w:t>
      </w:r>
    </w:p>
    <w:p w14:paraId="427BE13F">
      <w:pPr>
        <w:spacing w:line="360" w:lineRule="auto"/>
        <w:ind w:firstLine="420"/>
        <w:rPr>
          <w:rFonts w:hint="eastAsia"/>
          <w:lang w:val="en-US" w:eastAsia="zh-CN"/>
        </w:rPr>
      </w:pPr>
      <w:r>
        <w:rPr>
          <w:rFonts w:hint="eastAsia"/>
          <w:lang w:val="en-US" w:eastAsia="zh-CN"/>
        </w:rPr>
        <w:t>1.审计成果质量：</w:t>
      </w:r>
      <w:r>
        <w:rPr>
          <w:rFonts w:hint="eastAsia" w:ascii="Times New Roman" w:hAnsi="Times New Roman"/>
          <w:highlight w:val="none"/>
          <w:lang w:val="en-US" w:eastAsia="zh-CN"/>
        </w:rPr>
        <w:t>竣工结算审核阶段，进行工程竣工结算审核，编制结算审核报告。保证竣工结算真实地反映工程项目的实际造价，合理确定工程竣工结算价格，并协助采购单位进行账务处理，出具</w:t>
      </w:r>
      <w:r>
        <w:rPr>
          <w:rFonts w:hint="eastAsia" w:ascii="Times New Roman" w:hAnsi="Times New Roman"/>
          <w:b/>
          <w:bCs/>
          <w:highlight w:val="none"/>
          <w:lang w:val="en-US" w:eastAsia="zh-CN"/>
        </w:rPr>
        <w:t>工程</w:t>
      </w:r>
      <w:r>
        <w:rPr>
          <w:rFonts w:hint="eastAsia" w:ascii="Times New Roman" w:hAnsi="Times New Roman" w:eastAsia="宋体" w:cs="Times New Roman"/>
          <w:b/>
          <w:bCs/>
          <w:highlight w:val="none"/>
          <w:lang w:val="en-US" w:eastAsia="zh-CN"/>
        </w:rPr>
        <w:t>结算报告和竣工决算报告</w:t>
      </w:r>
      <w:r>
        <w:rPr>
          <w:rFonts w:hint="eastAsia" w:ascii="Times New Roman" w:hAnsi="Times New Roman"/>
          <w:highlight w:val="none"/>
          <w:lang w:val="en-US" w:eastAsia="zh-CN"/>
        </w:rPr>
        <w:t>，</w:t>
      </w:r>
      <w:r>
        <w:rPr>
          <w:rFonts w:hint="eastAsia" w:ascii="Times New Roman" w:hAnsi="Times New Roman" w:eastAsia="宋体" w:cs="Times New Roman"/>
          <w:b/>
          <w:bCs/>
          <w:highlight w:val="none"/>
          <w:lang w:val="en-US" w:eastAsia="zh-CN"/>
        </w:rPr>
        <w:t>全过程跟踪审计报告</w:t>
      </w:r>
      <w:r>
        <w:rPr>
          <w:rFonts w:hint="eastAsia"/>
          <w:highlight w:val="none"/>
          <w:lang w:val="en-US" w:eastAsia="zh-CN"/>
        </w:rPr>
        <w:t>成果</w:t>
      </w:r>
      <w:r>
        <w:rPr>
          <w:rFonts w:hint="eastAsia"/>
          <w:lang w:val="en-US" w:eastAsia="zh-CN"/>
        </w:rPr>
        <w:t>资料符合国家及行业标准，内容真实、数据准确、分析深入，整改建议具有针对性和可操作性；审计工作底稿完整、规范，审计过程可追溯。</w:t>
      </w:r>
    </w:p>
    <w:p w14:paraId="1CB1E950">
      <w:pPr>
        <w:spacing w:line="360" w:lineRule="auto"/>
        <w:ind w:firstLine="420" w:firstLineChars="200"/>
        <w:rPr>
          <w:rFonts w:hint="eastAsia"/>
          <w:lang w:val="en-US" w:eastAsia="zh-CN"/>
        </w:rPr>
      </w:pPr>
      <w:r>
        <w:rPr>
          <w:rFonts w:hint="eastAsia"/>
          <w:lang w:val="en-US" w:eastAsia="zh-CN"/>
        </w:rPr>
        <w:t>2.审计服务效果：通过全流程审计，有效防范软件平台项目的合规风险、技术风险、资金风险，及时发现并督促整改项目建设过程中的问题，保障项目按合同约定顺利实施，实现项目建设目标。</w:t>
      </w:r>
    </w:p>
    <w:p w14:paraId="2F91E688">
      <w:pPr>
        <w:spacing w:line="360" w:lineRule="auto"/>
        <w:ind w:firstLine="420" w:firstLineChars="200"/>
        <w:rPr>
          <w:rFonts w:hint="eastAsia"/>
          <w:lang w:val="en-US" w:eastAsia="zh-CN"/>
        </w:rPr>
      </w:pPr>
      <w:r>
        <w:rPr>
          <w:rFonts w:hint="eastAsia"/>
          <w:lang w:val="en-US" w:eastAsia="zh-CN"/>
        </w:rPr>
        <w:t>3.资料归档：审计档案资料分类清晰、整理规范，电子档与纸质档内容一致，符合招标人档案管理要求，已完成全部资料移交。</w:t>
      </w:r>
    </w:p>
    <w:p w14:paraId="156ED616">
      <w:pPr>
        <w:numPr>
          <w:ilvl w:val="4"/>
          <w:numId w:val="0"/>
        </w:numPr>
        <w:spacing w:line="360" w:lineRule="auto"/>
        <w:ind w:left="0" w:leftChars="0" w:firstLine="0" w:firstLineChars="0"/>
        <w:outlineLvl w:val="9"/>
        <w:rPr>
          <w:rFonts w:hint="eastAsia" w:ascii="Times New Roman" w:hAnsi="Times New Roman" w:eastAsia="宋体" w:cs="Times New Roman"/>
          <w:b/>
          <w:sz w:val="32"/>
          <w:szCs w:val="32"/>
          <w:highlight w:val="none"/>
          <w:lang w:val="en-US" w:eastAsia="zh-CN"/>
        </w:rPr>
      </w:pPr>
    </w:p>
    <w:p w14:paraId="11FD3880">
      <w:pPr>
        <w:numPr>
          <w:ilvl w:val="4"/>
          <w:numId w:val="0"/>
        </w:numPr>
        <w:spacing w:line="360" w:lineRule="auto"/>
        <w:ind w:left="0" w:leftChars="0" w:firstLine="0" w:firstLineChars="0"/>
        <w:outlineLvl w:val="9"/>
        <w:rPr>
          <w:rFonts w:hint="default" w:ascii="Times New Roman" w:hAnsi="Times New Roman" w:eastAsia="宋体" w:cs="Times New Roman"/>
          <w:b/>
          <w:sz w:val="32"/>
          <w:szCs w:val="32"/>
          <w:highlight w:val="none"/>
          <w:lang w:val="en-US" w:eastAsia="zh-CN"/>
        </w:rPr>
      </w:pPr>
      <w:r>
        <w:rPr>
          <w:rFonts w:hint="eastAsia" w:ascii="Times New Roman" w:hAnsi="Times New Roman" w:eastAsia="宋体" w:cs="Times New Roman"/>
          <w:b/>
          <w:sz w:val="32"/>
          <w:szCs w:val="32"/>
          <w:highlight w:val="none"/>
          <w:lang w:val="en-US" w:eastAsia="zh-CN"/>
        </w:rPr>
        <w:t>商务要求</w:t>
      </w:r>
    </w:p>
    <w:p w14:paraId="258D59C0">
      <w:pPr>
        <w:pStyle w:val="7"/>
        <w:numPr>
          <w:ilvl w:val="4"/>
          <w:numId w:val="0"/>
        </w:numPr>
        <w:spacing w:line="360" w:lineRule="auto"/>
        <w:ind w:left="0" w:leftChars="0" w:firstLine="0" w:firstLineChars="0"/>
        <w:outlineLvl w:val="5"/>
        <w:rPr>
          <w:rFonts w:hint="eastAsia" w:ascii="Times New Roman" w:hAnsi="Times New Roman" w:eastAsia="宋体" w:cs="Times New Roman"/>
          <w:b/>
          <w:sz w:val="24"/>
          <w:szCs w:val="24"/>
          <w:highlight w:val="none"/>
          <w:lang w:val="en-US" w:eastAsia="zh-CN"/>
        </w:rPr>
      </w:pPr>
      <w:r>
        <w:rPr>
          <w:rFonts w:hint="eastAsia" w:ascii="Times New Roman" w:hAnsi="Times New Roman" w:eastAsia="宋体" w:cs="Times New Roman"/>
          <w:b/>
          <w:sz w:val="24"/>
          <w:szCs w:val="24"/>
          <w:highlight w:val="none"/>
          <w:lang w:val="en-US" w:eastAsia="zh-CN"/>
        </w:rPr>
        <w:t>（1）服务期限</w:t>
      </w:r>
    </w:p>
    <w:p w14:paraId="78494117">
      <w:pPr>
        <w:numPr>
          <w:ilvl w:val="0"/>
          <w:numId w:val="0"/>
        </w:numPr>
        <w:spacing w:line="360" w:lineRule="auto"/>
        <w:ind w:firstLine="420" w:firstLineChars="200"/>
        <w:rPr>
          <w:rFonts w:hint="eastAsia" w:ascii="Times New Roman" w:hAnsi="Times New Roman" w:eastAsia="宋体" w:cs="Times New Roman"/>
          <w:color w:val="auto"/>
          <w:highlight w:val="none"/>
          <w:lang w:val="en-US" w:eastAsia="zh-CN"/>
        </w:rPr>
      </w:pPr>
      <w:r>
        <w:rPr>
          <w:rFonts w:hint="default" w:ascii="Times New Roman" w:hAnsi="Times New Roman" w:eastAsia="宋体" w:cs="Times New Roman"/>
          <w:b w:val="0"/>
          <w:color w:val="auto"/>
          <w:sz w:val="21"/>
          <w:szCs w:val="24"/>
          <w:highlight w:val="none"/>
          <w:lang w:val="en-US" w:eastAsia="zh-CN"/>
        </w:rPr>
        <w:t>交付物：包括，但不限于《</w:t>
      </w:r>
      <w:r>
        <w:rPr>
          <w:rFonts w:hint="default" w:ascii="Times New Roman" w:hAnsi="Times New Roman" w:eastAsia="宋体" w:cs="Times New Roman"/>
          <w:b w:val="0"/>
          <w:bCs w:val="0"/>
          <w:color w:val="auto"/>
          <w:highlight w:val="none"/>
          <w:lang w:val="en-US" w:eastAsia="zh-CN"/>
        </w:rPr>
        <w:t>工程结算报告</w:t>
      </w:r>
      <w:r>
        <w:rPr>
          <w:rFonts w:hint="default" w:ascii="Times New Roman" w:hAnsi="Times New Roman" w:eastAsia="宋体" w:cs="Times New Roman"/>
          <w:b w:val="0"/>
          <w:color w:val="auto"/>
          <w:sz w:val="21"/>
          <w:szCs w:val="24"/>
          <w:highlight w:val="none"/>
          <w:lang w:val="en-US" w:eastAsia="zh-CN"/>
        </w:rPr>
        <w:t>》</w:t>
      </w:r>
      <w:r>
        <w:rPr>
          <w:rFonts w:hint="default" w:ascii="Times New Roman" w:hAnsi="Times New Roman" w:eastAsia="宋体" w:cs="Times New Roman"/>
          <w:b w:val="0"/>
          <w:bCs w:val="0"/>
          <w:color w:val="auto"/>
          <w:highlight w:val="none"/>
          <w:lang w:val="en-US" w:eastAsia="zh-CN"/>
        </w:rPr>
        <w:t>、《竣工决算报告》、《全过程跟踪审计报告》等</w:t>
      </w:r>
    </w:p>
    <w:p w14:paraId="2C2486E9">
      <w:pPr>
        <w:numPr>
          <w:ilvl w:val="0"/>
          <w:numId w:val="0"/>
        </w:numPr>
        <w:spacing w:line="360" w:lineRule="auto"/>
        <w:ind w:firstLine="42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本项目审计服务期为：自项目签订合同起，至工程结算报告及财务竣工决算报告移交采购人为止。</w:t>
      </w:r>
    </w:p>
    <w:p w14:paraId="2C180B5E">
      <w:pPr>
        <w:pStyle w:val="7"/>
        <w:numPr>
          <w:ilvl w:val="4"/>
          <w:numId w:val="0"/>
        </w:numPr>
        <w:spacing w:line="360" w:lineRule="auto"/>
        <w:ind w:left="0" w:leftChars="0" w:firstLine="0" w:firstLineChars="0"/>
        <w:outlineLvl w:val="5"/>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（2）服务费支付方式</w:t>
      </w:r>
    </w:p>
    <w:p w14:paraId="02943C57">
      <w:pPr>
        <w:spacing w:line="360" w:lineRule="auto"/>
        <w:ind w:firstLine="42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项目实际金额以成交价格为准，支付方式按合同约定执行。</w:t>
      </w:r>
    </w:p>
    <w:p w14:paraId="36E26F64">
      <w:pPr>
        <w:pStyle w:val="7"/>
        <w:numPr>
          <w:ilvl w:val="4"/>
          <w:numId w:val="0"/>
        </w:numPr>
        <w:spacing w:line="360" w:lineRule="auto"/>
        <w:ind w:firstLine="0"/>
        <w:outlineLvl w:val="5"/>
        <w:rPr>
          <w:rFonts w:hint="eastAsia" w:ascii="Times New Roman" w:hAnsi="Times New Roman" w:eastAsia="宋体" w:cs="Times New Roman"/>
          <w:b/>
          <w:bCs/>
          <w:highlight w:val="none"/>
          <w:lang w:val="en-US" w:eastAsia="zh-CN"/>
        </w:rPr>
      </w:pPr>
      <w:r>
        <w:rPr>
          <w:rFonts w:hint="eastAsia" w:ascii="Times New Roman" w:hAnsi="Times New Roman" w:eastAsia="宋体" w:cs="Times New Roman"/>
          <w:b/>
          <w:bCs/>
          <w:highlight w:val="none"/>
          <w:lang w:val="en-US" w:eastAsia="zh-CN"/>
        </w:rPr>
        <w:t>（3）联合体投标要求</w:t>
      </w:r>
    </w:p>
    <w:p w14:paraId="4F0C8297">
      <w:pPr>
        <w:numPr>
          <w:ilvl w:val="-1"/>
          <w:numId w:val="0"/>
        </w:numPr>
        <w:spacing w:line="360" w:lineRule="auto"/>
        <w:ind w:firstLine="42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主体资格：各方均需满足《政府采购法》第22条（独立承担民事责任、良好信誉、无重大违法记录等）</w:t>
      </w:r>
      <w:r>
        <w:rPr>
          <w:rFonts w:hint="eastAsia" w:ascii="Times New Roman" w:hAnsi="Times New Roman" w:eastAsia="宋体" w:cs="Times New Roman"/>
          <w:b w:val="0"/>
          <w:bCs w:val="0"/>
          <w:color w:val="auto"/>
          <w:highlight w:val="none"/>
          <w:lang w:val="en-US" w:eastAsia="zh-CN"/>
        </w:rPr>
        <w:t>。</w:t>
      </w:r>
      <w:r>
        <w:rPr>
          <w:rFonts w:hint="default" w:ascii="Times New Roman" w:hAnsi="Times New Roman" w:eastAsia="宋体" w:cs="Times New Roman"/>
          <w:b w:val="0"/>
          <w:bCs w:val="0"/>
          <w:color w:val="auto"/>
          <w:highlight w:val="none"/>
          <w:lang w:val="en-US" w:eastAsia="zh-CN"/>
        </w:rPr>
        <w:t xml:space="preserve">  </w:t>
      </w:r>
    </w:p>
    <w:p w14:paraId="35ED474B">
      <w:pPr>
        <w:numPr>
          <w:ilvl w:val="-1"/>
          <w:numId w:val="0"/>
        </w:numPr>
        <w:spacing w:line="360" w:lineRule="auto"/>
        <w:ind w:firstLine="42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资质认定：同专业按就低不就高；不同专业按分工各自具备对应资质</w:t>
      </w:r>
      <w:r>
        <w:rPr>
          <w:rFonts w:hint="eastAsia" w:ascii="Times New Roman" w:hAnsi="Times New Roman" w:eastAsia="宋体" w:cs="Times New Roman"/>
          <w:b w:val="0"/>
          <w:bCs w:val="0"/>
          <w:color w:val="auto"/>
          <w:highlight w:val="none"/>
          <w:lang w:val="en-US" w:eastAsia="zh-CN"/>
        </w:rPr>
        <w:t>；</w:t>
      </w:r>
    </w:p>
    <w:p w14:paraId="4548B4E4">
      <w:pPr>
        <w:numPr>
          <w:ilvl w:val="-1"/>
          <w:numId w:val="0"/>
        </w:numPr>
        <w:spacing w:line="360" w:lineRule="auto"/>
        <w:ind w:firstLine="42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唯一性：签联合协议后，各方不得再单独/另组联合体投同一项目</w:t>
      </w:r>
      <w:r>
        <w:rPr>
          <w:rFonts w:hint="eastAsia" w:ascii="Times New Roman" w:hAnsi="Times New Roman" w:eastAsia="宋体" w:cs="Times New Roman"/>
          <w:b w:val="0"/>
          <w:bCs w:val="0"/>
          <w:color w:val="auto"/>
          <w:highlight w:val="none"/>
          <w:lang w:val="en-US" w:eastAsia="zh-CN"/>
        </w:rPr>
        <w:t>；</w:t>
      </w:r>
    </w:p>
    <w:p w14:paraId="71E7E9A1">
      <w:pPr>
        <w:numPr>
          <w:ilvl w:val="-1"/>
          <w:numId w:val="0"/>
        </w:numPr>
        <w:spacing w:line="360" w:lineRule="auto"/>
        <w:ind w:firstLine="42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牵头人：</w:t>
      </w:r>
      <w:r>
        <w:rPr>
          <w:rFonts w:hint="eastAsia" w:ascii="Times New Roman" w:hAnsi="Times New Roman" w:eastAsia="宋体" w:cs="Times New Roman"/>
          <w:b w:val="0"/>
          <w:bCs w:val="0"/>
          <w:color w:val="auto"/>
          <w:highlight w:val="none"/>
          <w:lang w:val="en-US" w:eastAsia="zh-CN"/>
        </w:rPr>
        <w:t>明确</w:t>
      </w:r>
      <w:r>
        <w:rPr>
          <w:rFonts w:hint="default" w:ascii="Times New Roman" w:hAnsi="Times New Roman" w:eastAsia="宋体" w:cs="Times New Roman"/>
          <w:b w:val="0"/>
          <w:bCs w:val="0"/>
          <w:color w:val="auto"/>
          <w:highlight w:val="none"/>
          <w:lang w:val="en-US" w:eastAsia="zh-CN"/>
        </w:rPr>
        <w:t>牵头</w:t>
      </w:r>
      <w:r>
        <w:rPr>
          <w:rFonts w:hint="eastAsia" w:ascii="Times New Roman" w:hAnsi="Times New Roman" w:eastAsia="宋体" w:cs="Times New Roman"/>
          <w:b w:val="0"/>
          <w:bCs w:val="0"/>
          <w:color w:val="auto"/>
          <w:highlight w:val="none"/>
          <w:lang w:val="en-US" w:eastAsia="zh-CN"/>
        </w:rPr>
        <w:t>方（牵头人）与成员方（联合体成员）职责，</w:t>
      </w:r>
      <w:r>
        <w:rPr>
          <w:rFonts w:hint="default" w:ascii="Times New Roman" w:hAnsi="Times New Roman" w:eastAsia="宋体" w:cs="Times New Roman"/>
          <w:b w:val="0"/>
          <w:bCs w:val="0"/>
          <w:color w:val="auto"/>
          <w:highlight w:val="none"/>
          <w:lang w:val="en-US" w:eastAsia="zh-CN"/>
        </w:rPr>
        <w:t>并授权，负责投标、签约、协调、收款</w:t>
      </w:r>
      <w:r>
        <w:rPr>
          <w:rFonts w:hint="eastAsia" w:ascii="Times New Roman" w:hAnsi="Times New Roman" w:eastAsia="宋体" w:cs="Times New Roman"/>
          <w:b w:val="0"/>
          <w:bCs w:val="0"/>
          <w:color w:val="auto"/>
          <w:highlight w:val="none"/>
          <w:lang w:val="en-US" w:eastAsia="zh-CN"/>
        </w:rPr>
        <w:t>；</w:t>
      </w:r>
    </w:p>
    <w:p w14:paraId="7B151497">
      <w:pPr>
        <w:numPr>
          <w:ilvl w:val="-1"/>
          <w:numId w:val="0"/>
        </w:numPr>
        <w:spacing w:line="360" w:lineRule="auto"/>
        <w:ind w:firstLine="420" w:firstLineChars="200"/>
        <w:rPr>
          <w:rFonts w:hint="default" w:ascii="Times New Roman" w:hAnsi="Times New Roman" w:eastAsia="宋体" w:cs="Times New Roman"/>
          <w:b w:val="0"/>
          <w:bCs w:val="0"/>
          <w:color w:val="auto"/>
          <w:highlight w:val="none"/>
          <w:lang w:val="en-US" w:eastAsia="zh-CN"/>
        </w:rPr>
      </w:pPr>
      <w:r>
        <w:rPr>
          <w:rFonts w:hint="default" w:ascii="Times New Roman" w:hAnsi="Times New Roman" w:eastAsia="宋体" w:cs="Times New Roman"/>
          <w:b w:val="0"/>
          <w:bCs w:val="0"/>
          <w:color w:val="auto"/>
          <w:highlight w:val="none"/>
          <w:lang w:val="en-US" w:eastAsia="zh-CN"/>
        </w:rPr>
        <w:t>连带责任：共同签合同，对外连带责任；对内按协议划分</w:t>
      </w:r>
      <w:r>
        <w:rPr>
          <w:rFonts w:hint="eastAsia" w:ascii="Times New Roman" w:hAnsi="Times New Roman" w:eastAsia="宋体" w:cs="Times New Roman"/>
          <w:b w:val="0"/>
          <w:bCs w:val="0"/>
          <w:color w:val="auto"/>
          <w:highlight w:val="none"/>
          <w:lang w:val="en-US" w:eastAsia="zh-CN"/>
        </w:rPr>
        <w:t>；</w:t>
      </w:r>
    </w:p>
    <w:p w14:paraId="34466C6F">
      <w:pPr>
        <w:numPr>
          <w:ilvl w:val="0"/>
          <w:numId w:val="0"/>
        </w:numPr>
        <w:spacing w:line="360" w:lineRule="auto"/>
        <w:ind w:firstLine="422" w:firstLineChars="200"/>
        <w:rPr>
          <w:rFonts w:hint="default" w:ascii="Times New Roman" w:hAnsi="Times New Roman" w:eastAsia="宋体" w:cs="Times New Roman"/>
          <w:b/>
          <w:bCs/>
          <w:highlight w:val="none"/>
          <w:lang w:val="en-US" w:eastAsia="zh-CN"/>
        </w:rPr>
      </w:pPr>
    </w:p>
    <w:p w14:paraId="5B582448">
      <w:pPr>
        <w:rPr>
          <w:rFonts w:hint="eastAsia" w:ascii="Times New Roman" w:hAnsi="Times New Roman" w:eastAsia="宋体" w:cs="Calibri"/>
          <w:szCs w:val="21"/>
          <w:highlight w:val="none"/>
          <w:lang w:val="en-US" w:eastAsia="zh-CN"/>
        </w:rPr>
      </w:pPr>
      <w:r>
        <w:rPr>
          <w:rFonts w:hint="eastAsia" w:ascii="Times New Roman" w:hAnsi="Times New Roman" w:eastAsia="宋体" w:cs="Calibri"/>
          <w:szCs w:val="21"/>
          <w:highlight w:val="none"/>
          <w:lang w:val="en-US" w:eastAsia="zh-CN"/>
        </w:rPr>
        <w:br w:type="page"/>
      </w:r>
    </w:p>
    <w:p w14:paraId="4AE5443C">
      <w:pPr>
        <w:jc w:val="center"/>
        <w:outlineLvl w:val="0"/>
        <w:rPr>
          <w:rFonts w:hint="eastAsia" w:ascii="宋体" w:hAnsi="宋体" w:eastAsia="宋体" w:cs="宋体"/>
          <w:b/>
          <w:bCs/>
          <w:sz w:val="36"/>
          <w:szCs w:val="44"/>
          <w:u w:val="none"/>
        </w:rPr>
      </w:pPr>
      <w:bookmarkStart w:id="8" w:name="_Toc14722"/>
      <w:bookmarkStart w:id="9" w:name="_Toc28631"/>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四</w:t>
      </w:r>
      <w:r>
        <w:rPr>
          <w:rFonts w:hint="eastAsia" w:ascii="宋体" w:hAnsi="宋体" w:eastAsia="宋体" w:cs="宋体"/>
          <w:b/>
          <w:bCs/>
          <w:sz w:val="36"/>
          <w:szCs w:val="44"/>
          <w:u w:val="none"/>
        </w:rPr>
        <w:t>章  评标办法</w:t>
      </w:r>
      <w:bookmarkEnd w:id="8"/>
      <w:bookmarkEnd w:id="9"/>
    </w:p>
    <w:p w14:paraId="79002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项目说明</w:t>
      </w:r>
    </w:p>
    <w:p w14:paraId="18A04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1.1执行国家统一定价标准和采用固定价格采购的项目，其价格不列为评标因素。</w:t>
      </w:r>
    </w:p>
    <w:p w14:paraId="4EE653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36C546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1.2.1享受政府采购支持政策的残疾人福利性单位应当同时满足以下条件：</w:t>
      </w:r>
    </w:p>
    <w:p w14:paraId="5CF35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（1）安置的残疾人占本单位在职职工人数的比例不低于25%（含25%），并且安置的残疾人人数不少于10人（含10人）；</w:t>
      </w:r>
    </w:p>
    <w:p w14:paraId="5D366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（2）依法与安置的每位残疾人签订了一年以上（含一年）的劳动合同或服务协议；</w:t>
      </w:r>
    </w:p>
    <w:p w14:paraId="4FC3DC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（3）为安置的每位残疾人按月足额缴纳了基本养老保险、基本医疗保险、失业保险、工伤保险和生育保险等社会保险费；</w:t>
      </w:r>
    </w:p>
    <w:p w14:paraId="5B42C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（4）通过银行等金融机构向安置的每位残疾人，按月支付了不低于单位所在区县适用的经省级人民政府批准的月最低工资标准的工资；</w:t>
      </w:r>
    </w:p>
    <w:p w14:paraId="4DE21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（5）提供本单位制造的货物、承担的工程或者服务（以下简称产品），或者提供其他残疾人福利性单位制造的货物（不包括使用非残疾人福利性单位注册商标的货物）。</w:t>
      </w:r>
    </w:p>
    <w:p w14:paraId="742E6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12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1.2.3符合条件的残疾人福利性单位在参加政府采购活动时，应当提供《残疾人福利性单位声明函》（见附件），并对声明的真实性负责。</w:t>
      </w:r>
    </w:p>
    <w:p w14:paraId="17BC7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1.2.4成交投标人为残疾人福利性单位的，采购代理机构应当随成交结果同时公告其《残疾人福利性单位声明函》，接受社会监督。</w:t>
      </w:r>
    </w:p>
    <w:p w14:paraId="14CE26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1.2.5投标人提供的《残疾人福利性单位声明函》与事实不符的，依照《政府采购法》第七十七条第一款的规定追究法律责任。</w:t>
      </w:r>
    </w:p>
    <w:p w14:paraId="08E40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1.3面向中小企业预留情况详见投标人须知前附表。</w:t>
      </w:r>
    </w:p>
    <w:p w14:paraId="44FE8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1.3.1依据财政部、工业和信息化部《政府采购促进中小企业发展管理办法》（财库〔2020〕46 号）规定，中型、小型和微型企业参加政府采购活动的须提供《中小企业声明函》（格式见附件），否则不得享受相关中小企业扶持政策；</w:t>
      </w:r>
    </w:p>
    <w:p w14:paraId="5DA77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1.3.2企业划型标准按照《关于印发中小企业划型标准规定的通知》（工信部联企业〔2011〕300号）规定执行。</w:t>
      </w:r>
    </w:p>
    <w:p w14:paraId="6D4C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1.3.3投标人提供的货物、工程或者服务符合下列情形的，享受《政府采购促进中小企业发展管理办法》（财库〔2020〕46号）规定的中小企业扶持政策：</w:t>
      </w:r>
    </w:p>
    <w:p w14:paraId="7E67A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（一）在货物采购项目中，货物由中小企业制造，即货物由中小企业生产且使用该中小企业商号或者注册商标；</w:t>
      </w:r>
    </w:p>
    <w:p w14:paraId="5302C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（二）在工程采购项目中，工程由中小企业承建，即工程施工单位为中小企业；</w:t>
      </w:r>
    </w:p>
    <w:p w14:paraId="050FA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（三）在服务采购项目中，服务由中小企业承接，即提供服务的人员为中小企业依照《中华人民共和国劳动合同法》订立劳动合同的从业人员。</w:t>
      </w:r>
    </w:p>
    <w:p w14:paraId="66192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在货物采购项目中，投标人提供的货物既有中小企业制造货物，也有大型企业制造货物的，不享受本办法规定的中小企业扶持政策。</w:t>
      </w:r>
    </w:p>
    <w:p w14:paraId="55F3D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以联合体形式参加政府采购活动，联合体各方均为中小企业的，联合体视同中小企业。其中，联合体各方均为小微企业的，联合体视同小微企业。</w:t>
      </w:r>
    </w:p>
    <w:p w14:paraId="3230EE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1.4评分得分非整数的保留小数点后两位（小数点后第三位数四舍五入）。</w:t>
      </w:r>
    </w:p>
    <w:p w14:paraId="2C394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1543E9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评分标准</w:t>
      </w:r>
    </w:p>
    <w:p w14:paraId="59B7E9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本项目采用</w:t>
      </w:r>
      <w:r>
        <w:rPr>
          <w:rFonts w:hint="eastAsia" w:ascii="宋体" w:hAnsi="宋体" w:eastAsia="宋体" w:cs="宋体"/>
          <w:sz w:val="24"/>
          <w:szCs w:val="24"/>
          <w:u w:val="single"/>
          <w:lang w:val="en-US" w:eastAsia="zh-CN"/>
        </w:rPr>
        <w:t>综合评分法</w:t>
      </w:r>
      <w:r>
        <w:rPr>
          <w:rFonts w:hint="eastAsia" w:ascii="宋体" w:hAnsi="宋体" w:eastAsia="宋体" w:cs="宋体"/>
          <w:sz w:val="24"/>
          <w:szCs w:val="24"/>
          <w:u w:val="none"/>
          <w:lang w:val="en-US" w:eastAsia="zh-CN"/>
        </w:rPr>
        <w:t>进行评标。</w:t>
      </w:r>
    </w:p>
    <w:p w14:paraId="7002E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综合评分法，是指投标文件满足招标文件全部实质性要求且按评标因素的量化指标评标得分最高的投标人为中标候选投标人的评标方法。</w:t>
      </w:r>
    </w:p>
    <w:p w14:paraId="004418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政策加分以及计算方法</w:t>
      </w:r>
    </w:p>
    <w:p w14:paraId="0B8B67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3.1说明：</w:t>
      </w:r>
    </w:p>
    <w:p w14:paraId="46C58C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567F3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3.2小微企业价格扣除优惠标准详见投标人须知前附表。</w:t>
      </w:r>
    </w:p>
    <w:p w14:paraId="152B0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1859B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（1）采购标的物属于节能、环境标志产品品目清单中强制性采购产品的，投标人必须提供国家确定的认证机构出具的、处于有效期之内的节能产品认证证书；</w:t>
      </w:r>
    </w:p>
    <w:p w14:paraId="71901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（2）采购标的物属于节能、环境标志产品品目清单中非强制性采购产品的，享受政府采购优先政策：</w:t>
      </w:r>
    </w:p>
    <w:p w14:paraId="5E7D7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·在综合评分法项目中，评审得分相同的投标人，对提供清单中非强制性采购产品的相关认证证书的投标人，可优先选择。</w:t>
      </w:r>
    </w:p>
    <w:p w14:paraId="002CA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·在最低评标价法项目中，最终报价相同的投标人，提供清单中非强制性采购产品的相关认证证书的投标人，可优先选择。</w:t>
      </w:r>
    </w:p>
    <w:p w14:paraId="08DC54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4.评标细则</w:t>
      </w:r>
    </w:p>
    <w:p w14:paraId="46E227A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4.1资格性审查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68B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64C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2B73E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04BF1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3320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581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B0ED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具有独立承担民事责任的能力（保险、石油、电信等特殊行业可分公司参与）</w:t>
            </w:r>
          </w:p>
        </w:tc>
        <w:tc>
          <w:tcPr>
            <w:tcW w:w="0" w:type="auto"/>
            <w:vAlign w:val="center"/>
          </w:tcPr>
          <w:p w14:paraId="17C5E5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法人、其他组织或者自然人的证明文件</w:t>
            </w:r>
          </w:p>
          <w:p w14:paraId="6D14C5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1、供应商为企业（包括合伙企业）的，应提供有效的“营业执照”；</w:t>
            </w:r>
          </w:p>
          <w:p w14:paraId="57F45A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2、供应商为事业单位的，应提供有效的“事业单位法人证书”；</w:t>
            </w:r>
          </w:p>
          <w:p w14:paraId="19D202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3、供应商为非企业机构的，应提供有效的“执业许可证”、“登记证书”等证明文件；</w:t>
            </w:r>
          </w:p>
          <w:p w14:paraId="3ACED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4、供应商是个体工商户的，应提供有效的“个体工商户营业执照”；</w:t>
            </w:r>
          </w:p>
          <w:p w14:paraId="45B7E8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5、供应商是自然人的，应提供有效的自然人身份证明。</w:t>
            </w:r>
          </w:p>
        </w:tc>
      </w:tr>
      <w:tr w14:paraId="29C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A6C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458DC8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具有良好的商业信誉和健全的财务会计制度</w:t>
            </w:r>
          </w:p>
        </w:tc>
        <w:tc>
          <w:tcPr>
            <w:tcW w:w="0" w:type="auto"/>
            <w:vAlign w:val="center"/>
          </w:tcPr>
          <w:p w14:paraId="39CB95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w:t>
            </w:r>
            <w:r>
              <w:rPr>
                <w:rFonts w:hint="eastAsia" w:ascii="宋体" w:hAnsi="宋体" w:eastAsia="宋体" w:cs="宋体"/>
                <w:sz w:val="24"/>
                <w:szCs w:val="24"/>
                <w:highlight w:val="none"/>
                <w:u w:val="none"/>
                <w:vertAlign w:val="baseline"/>
                <w:lang w:val="en-US" w:eastAsia="zh-CN"/>
              </w:rPr>
              <w:t>和本单位财务会计制度文件（开标当月新成立公司无需提供）。</w:t>
            </w:r>
          </w:p>
        </w:tc>
      </w:tr>
      <w:tr w14:paraId="337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86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7E6B7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具有履行合同所必需的设备和专业技术能力</w:t>
            </w:r>
          </w:p>
        </w:tc>
        <w:tc>
          <w:tcPr>
            <w:tcW w:w="0" w:type="auto"/>
            <w:vAlign w:val="center"/>
          </w:tcPr>
          <w:p w14:paraId="3F0D48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078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BC2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2170A7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有依法缴纳税收和社会保障资金的良好记录</w:t>
            </w:r>
          </w:p>
        </w:tc>
        <w:tc>
          <w:tcPr>
            <w:tcW w:w="0" w:type="auto"/>
            <w:vAlign w:val="center"/>
          </w:tcPr>
          <w:p w14:paraId="02D1C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6263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8AB8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148D40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参加政府采购活动前三年内，在经营活动中没有重大违法记录</w:t>
            </w:r>
          </w:p>
        </w:tc>
        <w:tc>
          <w:tcPr>
            <w:tcW w:w="0" w:type="auto"/>
            <w:vAlign w:val="center"/>
          </w:tcPr>
          <w:p w14:paraId="232B50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3F8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319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67300A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0" w:type="auto"/>
            <w:vAlign w:val="center"/>
          </w:tcPr>
          <w:p w14:paraId="1A7DD2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提供相关网页截图</w:t>
            </w:r>
          </w:p>
        </w:tc>
      </w:tr>
      <w:tr w14:paraId="2DAA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F805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vAlign w:val="center"/>
          </w:tcPr>
          <w:p w14:paraId="7B8F3E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联合体协议书</w:t>
            </w:r>
          </w:p>
        </w:tc>
        <w:tc>
          <w:tcPr>
            <w:tcW w:w="0" w:type="auto"/>
            <w:vAlign w:val="center"/>
          </w:tcPr>
          <w:p w14:paraId="69B66EA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提供联合体协议书（格式以招标文件提供的为准）。</w:t>
            </w:r>
          </w:p>
        </w:tc>
      </w:tr>
      <w:tr w14:paraId="66C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463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vAlign w:val="center"/>
          </w:tcPr>
          <w:p w14:paraId="1D1C79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供应商应为中小企业</w:t>
            </w:r>
          </w:p>
        </w:tc>
        <w:tc>
          <w:tcPr>
            <w:tcW w:w="0" w:type="auto"/>
            <w:vAlign w:val="center"/>
          </w:tcPr>
          <w:p w14:paraId="095538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请根据要求单独上传《中小企业声明函》。格式以采购文件要求为准。</w:t>
            </w:r>
          </w:p>
        </w:tc>
      </w:tr>
      <w:tr w14:paraId="33EB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45C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9</w:t>
            </w:r>
          </w:p>
        </w:tc>
        <w:tc>
          <w:tcPr>
            <w:tcW w:w="0" w:type="auto"/>
            <w:vAlign w:val="center"/>
          </w:tcPr>
          <w:p w14:paraId="60293E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投标保证金</w:t>
            </w:r>
          </w:p>
        </w:tc>
        <w:tc>
          <w:tcPr>
            <w:tcW w:w="0" w:type="auto"/>
            <w:vAlign w:val="center"/>
          </w:tcPr>
          <w:p w14:paraId="2954C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提供投标保证金汇款凭证或电子保函的证明材料</w:t>
            </w:r>
          </w:p>
        </w:tc>
      </w:tr>
      <w:tr w14:paraId="718F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2"/>
            <w:vAlign w:val="center"/>
          </w:tcPr>
          <w:p w14:paraId="4D5BD6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特定资质</w:t>
            </w:r>
          </w:p>
        </w:tc>
        <w:tc>
          <w:tcPr>
            <w:tcW w:w="0" w:type="auto"/>
            <w:vAlign w:val="center"/>
          </w:tcPr>
          <w:p w14:paraId="46A0F2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p>
        </w:tc>
      </w:tr>
      <w:tr w14:paraId="275B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E0C9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290265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（1）项目负责人必须已在投标人单位注册，具有国家一级注册造价师。（2）具有会计师事务所执业证书。</w:t>
            </w:r>
          </w:p>
        </w:tc>
        <w:tc>
          <w:tcPr>
            <w:tcW w:w="0" w:type="auto"/>
            <w:vAlign w:val="center"/>
          </w:tcPr>
          <w:p w14:paraId="3B799D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提供有效的资格证书</w:t>
            </w:r>
          </w:p>
        </w:tc>
      </w:tr>
      <w:tr w14:paraId="6B9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1A9F98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备注：1.以上条款均为有效期内通过年度年检或复审的证书。</w:t>
            </w:r>
          </w:p>
          <w:p w14:paraId="21663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0659B1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3.如果投标文件中有一项未通过上述审查标准，资格审查小组将认定整个投标文件为无效响应处理，并且不允许投标人通过修改或撤销其不符合要求投标文件。</w:t>
            </w:r>
          </w:p>
        </w:tc>
      </w:tr>
    </w:tbl>
    <w:p w14:paraId="0DDECBF8">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195DA68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4.2符合性审查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1"/>
        <w:gridCol w:w="5587"/>
      </w:tblGrid>
      <w:tr w14:paraId="3A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EB0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1C409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3823B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0E6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335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0A54BA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投标文件按照招标文件要求签字、盖章</w:t>
            </w:r>
          </w:p>
        </w:tc>
        <w:tc>
          <w:tcPr>
            <w:tcW w:w="0" w:type="auto"/>
            <w:vAlign w:val="center"/>
          </w:tcPr>
          <w:p w14:paraId="236D06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投标文件签署符合采购文件要求在规定区域签字、盖章。</w:t>
            </w:r>
          </w:p>
        </w:tc>
      </w:tr>
      <w:tr w14:paraId="7B6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05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34591F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报价不得超过招标文件中规定的预算金额</w:t>
            </w:r>
          </w:p>
        </w:tc>
        <w:tc>
          <w:tcPr>
            <w:tcW w:w="0" w:type="auto"/>
            <w:vAlign w:val="center"/>
          </w:tcPr>
          <w:p w14:paraId="1B710B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投标报价为有效报价，未超过政府采购预算金额（设置最高限价的，不得超过最高限价）。</w:t>
            </w:r>
          </w:p>
        </w:tc>
      </w:tr>
      <w:tr w14:paraId="6A8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8B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286E25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投标文件不得含有不能接受的附加条件</w:t>
            </w:r>
          </w:p>
        </w:tc>
        <w:tc>
          <w:tcPr>
            <w:tcW w:w="0" w:type="auto"/>
            <w:vAlign w:val="center"/>
          </w:tcPr>
          <w:p w14:paraId="4E464F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投标文件中不得含有不能接受的附加条件。</w:t>
            </w:r>
          </w:p>
        </w:tc>
      </w:tr>
      <w:tr w14:paraId="07A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89D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4</w:t>
            </w:r>
          </w:p>
        </w:tc>
        <w:tc>
          <w:tcPr>
            <w:tcW w:w="0" w:type="auto"/>
            <w:vAlign w:val="center"/>
          </w:tcPr>
          <w:p w14:paraId="1186D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w:t>
            </w:r>
          </w:p>
        </w:tc>
        <w:tc>
          <w:tcPr>
            <w:tcW w:w="0" w:type="auto"/>
            <w:vAlign w:val="center"/>
          </w:tcPr>
          <w:p w14:paraId="46CA5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投标文件符合招标文件中规定的实质性要求（含政府采购政策需落实的内容）。</w:t>
            </w:r>
          </w:p>
        </w:tc>
      </w:tr>
      <w:tr w14:paraId="12F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1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5AD4D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投标文件对招标文件的实质性要求和条件做出投标响应</w:t>
            </w:r>
          </w:p>
        </w:tc>
        <w:tc>
          <w:tcPr>
            <w:tcW w:w="0" w:type="auto"/>
            <w:vAlign w:val="center"/>
          </w:tcPr>
          <w:p w14:paraId="3740A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投标文件对招标文件实质性要求和条件皆做出投标响应（包含投标承诺函、商务条款投标及偏离说明表和技术参数投标及偏离说明表等内容）。</w:t>
            </w:r>
          </w:p>
        </w:tc>
      </w:tr>
      <w:tr w14:paraId="6A4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E3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3C2AA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投标有效期</w:t>
            </w:r>
          </w:p>
        </w:tc>
        <w:tc>
          <w:tcPr>
            <w:tcW w:w="0" w:type="auto"/>
            <w:vAlign w:val="center"/>
          </w:tcPr>
          <w:p w14:paraId="510D9B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符合招标文件的要求</w:t>
            </w:r>
          </w:p>
        </w:tc>
      </w:tr>
      <w:tr w14:paraId="618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4BED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备注：如果投标文件中有一项未通过上述审查标准，评标委员会将认定整个投标文件为无效响应处理，并且不允许投标人通过修改或撤销其不符合要求投标文件。</w:t>
            </w:r>
          </w:p>
        </w:tc>
      </w:tr>
    </w:tbl>
    <w:p w14:paraId="21C01E42">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65963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4.3综合评分表</w:t>
      </w:r>
    </w:p>
    <w:p w14:paraId="160A86E4">
      <w:pPr>
        <w:pStyle w:val="4"/>
        <w:numPr>
          <w:ilvl w:val="3"/>
          <w:numId w:val="0"/>
        </w:numPr>
        <w:bidi w:val="0"/>
        <w:ind w:left="567" w:leftChars="0" w:hanging="567" w:firstLineChars="0"/>
        <w:outlineLvl w:val="2"/>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评标办法和评标标准</w:t>
      </w:r>
    </w:p>
    <w:tbl>
      <w:tblPr>
        <w:tblStyle w:val="10"/>
        <w:tblW w:w="8680"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13"/>
        <w:gridCol w:w="1340"/>
        <w:gridCol w:w="6227"/>
      </w:tblGrid>
      <w:tr w14:paraId="6BCAB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1113" w:type="dxa"/>
            <w:tcBorders>
              <w:tl2br w:val="nil"/>
              <w:tr2bl w:val="nil"/>
            </w:tcBorders>
            <w:shd w:val="clear" w:color="auto" w:fill="F2F2F2"/>
            <w:noWrap/>
            <w:vAlign w:val="center"/>
          </w:tcPr>
          <w:p w14:paraId="592D5FA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评标因素</w:t>
            </w:r>
          </w:p>
        </w:tc>
        <w:tc>
          <w:tcPr>
            <w:tcW w:w="1340" w:type="dxa"/>
            <w:tcBorders>
              <w:tl2br w:val="nil"/>
              <w:tr2bl w:val="nil"/>
            </w:tcBorders>
            <w:shd w:val="clear" w:color="auto" w:fill="F2F2F2"/>
            <w:noWrap/>
            <w:vAlign w:val="center"/>
          </w:tcPr>
          <w:p w14:paraId="4F8D15B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p>
        </w:tc>
        <w:tc>
          <w:tcPr>
            <w:tcW w:w="6227" w:type="dxa"/>
            <w:tcBorders>
              <w:tl2br w:val="nil"/>
              <w:tr2bl w:val="nil"/>
            </w:tcBorders>
            <w:shd w:val="clear" w:color="auto" w:fill="F2F2F2"/>
            <w:noWrap/>
            <w:vAlign w:val="center"/>
          </w:tcPr>
          <w:p w14:paraId="3A32A09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评分要求</w:t>
            </w:r>
          </w:p>
        </w:tc>
      </w:tr>
      <w:tr w14:paraId="4D0385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1113" w:type="dxa"/>
            <w:tcBorders>
              <w:tl2br w:val="nil"/>
              <w:tr2bl w:val="nil"/>
            </w:tcBorders>
            <w:noWrap/>
            <w:vAlign w:val="center"/>
          </w:tcPr>
          <w:p w14:paraId="5BBC6B26">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价格部分(10分)</w:t>
            </w:r>
          </w:p>
        </w:tc>
        <w:tc>
          <w:tcPr>
            <w:tcW w:w="1340" w:type="dxa"/>
            <w:tcBorders>
              <w:tl2br w:val="nil"/>
              <w:tr2bl w:val="nil"/>
            </w:tcBorders>
            <w:noWrap/>
            <w:vAlign w:val="center"/>
          </w:tcPr>
          <w:p w14:paraId="0C0F6B83">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投标报价得分(10分)</w:t>
            </w:r>
          </w:p>
        </w:tc>
        <w:tc>
          <w:tcPr>
            <w:tcW w:w="6227" w:type="dxa"/>
            <w:tcBorders>
              <w:tl2br w:val="nil"/>
              <w:tr2bl w:val="nil"/>
            </w:tcBorders>
            <w:noWrap/>
            <w:vAlign w:val="center"/>
          </w:tcPr>
          <w:p w14:paraId="53F224CB">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价格分采用低价优先法计算，即满足本招标文件要求的最低投标报价为评标基准价，其价格分为满分，其它投标人的价格分统一按照下列公式计算：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投标报价得分=(评标基准价╱投标报价)×10(精确到小数点后两位)。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超过了采购项目预算或最高限价的，为无效投标。</w:t>
            </w:r>
          </w:p>
        </w:tc>
      </w:tr>
      <w:tr w14:paraId="3FCEF8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06" w:hRule="atLeast"/>
        </w:trPr>
        <w:tc>
          <w:tcPr>
            <w:tcW w:w="1113" w:type="dxa"/>
            <w:vMerge w:val="restart"/>
            <w:tcBorders>
              <w:tl2br w:val="nil"/>
              <w:tr2bl w:val="nil"/>
            </w:tcBorders>
            <w:noWrap w:val="0"/>
            <w:vAlign w:val="center"/>
          </w:tcPr>
          <w:p w14:paraId="41C65E42">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商务部分</w:t>
            </w:r>
          </w:p>
          <w:p w14:paraId="372B7C9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(37分)</w:t>
            </w:r>
          </w:p>
        </w:tc>
        <w:tc>
          <w:tcPr>
            <w:tcW w:w="1340" w:type="dxa"/>
            <w:tcBorders>
              <w:tl2br w:val="nil"/>
              <w:tr2bl w:val="nil"/>
            </w:tcBorders>
            <w:noWrap/>
            <w:vAlign w:val="center"/>
          </w:tcPr>
          <w:p w14:paraId="1CCCFD19">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类似业绩(12分）</w:t>
            </w:r>
          </w:p>
        </w:tc>
        <w:tc>
          <w:tcPr>
            <w:tcW w:w="6227" w:type="dxa"/>
            <w:tcBorders>
              <w:tl2br w:val="nil"/>
              <w:tr2bl w:val="nil"/>
            </w:tcBorders>
            <w:noWrap w:val="0"/>
            <w:vAlign w:val="center"/>
          </w:tcPr>
          <w:p w14:paraId="0A3C080A">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提供自2023年1月1日至今，具有信息化项目造价咨询相关业绩，1个得2分，本项最多6分，未提供不得分。</w:t>
            </w:r>
          </w:p>
          <w:p w14:paraId="41545592">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2.提供自2023年1月1日至今具有信息化项目财务审计相关业绩，1个得2分，本项最多6分，未提供不得分。</w:t>
            </w:r>
          </w:p>
          <w:p w14:paraId="4CB06C6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（注：上述业绩不能重复，需提供业绩证明材料包括合同关键页、项目名称、项目金额与双方盖章、签订日期等扫描件，业绩时间以合同签订日期为准。</w:t>
            </w:r>
          </w:p>
        </w:tc>
      </w:tr>
      <w:tr w14:paraId="48075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22" w:hRule="atLeast"/>
        </w:trPr>
        <w:tc>
          <w:tcPr>
            <w:tcW w:w="1113" w:type="dxa"/>
            <w:vMerge w:val="continue"/>
            <w:tcBorders>
              <w:tl2br w:val="nil"/>
              <w:tr2bl w:val="nil"/>
            </w:tcBorders>
            <w:noWrap w:val="0"/>
            <w:vAlign w:val="center"/>
          </w:tcPr>
          <w:p w14:paraId="3E497FF5">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0"/>
            <w:vAlign w:val="center"/>
          </w:tcPr>
          <w:p w14:paraId="1429C398">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拟委任的项目负责人(6分）</w:t>
            </w:r>
          </w:p>
        </w:tc>
        <w:tc>
          <w:tcPr>
            <w:tcW w:w="6227" w:type="dxa"/>
            <w:tcBorders>
              <w:tl2br w:val="nil"/>
              <w:tr2bl w:val="nil"/>
            </w:tcBorders>
            <w:noWrap w:val="0"/>
            <w:vAlign w:val="center"/>
          </w:tcPr>
          <w:p w14:paraId="488E2360">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highlight w:val="none"/>
                <w:u w:val="none"/>
                <w:lang w:val="en-US" w:eastAsia="zh-CN" w:bidi="ar"/>
              </w:rPr>
              <w:t>负责人：</w:t>
            </w:r>
          </w:p>
          <w:p w14:paraId="4F43110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（1）造价负责人具备工程或经济类高级职称（在有效期内）；满足得1 分，最高2分。</w:t>
            </w:r>
          </w:p>
          <w:p w14:paraId="12DCCB5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（2）近3年作为项目负责人的类似业绩，每项业绩提供合同关键页，1项得2分，最高4分；</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注：须提供项目负责人相关职业资格证书复印件及近三个月社保证明复印件，否则不予认定。提供（本人业绩证明材料包括合同关键页、项目名称、项目金额与双方盖章、签订日期等）扫描件。</w:t>
            </w:r>
          </w:p>
        </w:tc>
      </w:tr>
      <w:tr w14:paraId="02DF24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113" w:type="dxa"/>
            <w:vMerge w:val="continue"/>
            <w:tcBorders>
              <w:tl2br w:val="nil"/>
              <w:tr2bl w:val="nil"/>
            </w:tcBorders>
            <w:noWrap w:val="0"/>
            <w:vAlign w:val="center"/>
          </w:tcPr>
          <w:p w14:paraId="228C7A32">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0"/>
            <w:vAlign w:val="center"/>
          </w:tcPr>
          <w:p w14:paraId="63785AAA">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i w:val="0"/>
                <w:iCs w:val="0"/>
                <w:color w:val="000000"/>
                <w:kern w:val="0"/>
                <w:sz w:val="21"/>
                <w:szCs w:val="21"/>
                <w:highlight w:val="none"/>
                <w:u w:val="none"/>
                <w:lang w:val="en-US" w:eastAsia="zh-CN" w:bidi="ar"/>
              </w:rPr>
              <w:t>项目组人员情况(19分）</w:t>
            </w:r>
          </w:p>
        </w:tc>
        <w:tc>
          <w:tcPr>
            <w:tcW w:w="6227" w:type="dxa"/>
            <w:tcBorders>
              <w:tl2br w:val="nil"/>
              <w:tr2bl w:val="nil"/>
            </w:tcBorders>
            <w:noWrap w:val="0"/>
            <w:vAlign w:val="center"/>
          </w:tcPr>
          <w:p w14:paraId="1967416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（1）团队总人数不少于9人（含项目负责人），且均为本单位在册人员，得7分。</w:t>
            </w:r>
          </w:p>
          <w:p w14:paraId="5CCC5A3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（2）具有国家一级注册造价师证书的专业人员1人，具有二级造价师不少于3人的结构配备。每提供1人得1分，最高4分。</w:t>
            </w:r>
          </w:p>
          <w:p w14:paraId="42F49E1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（3）具高级会计师的专业人员2名，中级及以上职称会计师（经济类）不少于3人。每提供1人得1分，最高5分。</w:t>
            </w:r>
          </w:p>
          <w:p w14:paraId="5EDB0263">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b w:val="0"/>
                <w:bCs w:val="0"/>
                <w:i w:val="0"/>
                <w:iCs w:val="0"/>
                <w:color w:val="000000"/>
                <w:kern w:val="0"/>
                <w:sz w:val="21"/>
                <w:szCs w:val="21"/>
                <w:highlight w:val="none"/>
                <w:u w:val="none"/>
                <w:lang w:val="en-US" w:eastAsia="zh-CN" w:bidi="ar"/>
              </w:rPr>
              <w:t>（4）项目驻场人员不得少于1人，</w:t>
            </w:r>
            <w:r>
              <w:rPr>
                <w:rFonts w:hint="eastAsia" w:ascii="宋体" w:hAnsi="宋体" w:eastAsia="宋体" w:cs="宋体"/>
                <w:i w:val="0"/>
                <w:iCs w:val="0"/>
                <w:color w:val="000000"/>
                <w:kern w:val="0"/>
                <w:sz w:val="21"/>
                <w:szCs w:val="21"/>
                <w:highlight w:val="none"/>
                <w:u w:val="none"/>
                <w:lang w:val="en-US" w:eastAsia="zh-CN" w:bidi="ar"/>
              </w:rPr>
              <w:t>提供软件造价师证书或中级以上会计师证书，得</w:t>
            </w:r>
            <w:r>
              <w:rPr>
                <w:rFonts w:hint="eastAsia" w:ascii="宋体" w:hAnsi="宋体" w:eastAsia="宋体" w:cs="宋体"/>
                <w:b w:val="0"/>
                <w:bCs w:val="0"/>
                <w:i w:val="0"/>
                <w:iCs w:val="0"/>
                <w:color w:val="000000"/>
                <w:kern w:val="0"/>
                <w:sz w:val="21"/>
                <w:szCs w:val="21"/>
                <w:highlight w:val="none"/>
                <w:u w:val="none"/>
                <w:lang w:val="en-US" w:eastAsia="zh-CN" w:bidi="ar"/>
              </w:rPr>
              <w:t>3分，未满足不得分。</w:t>
            </w:r>
          </w:p>
          <w:p w14:paraId="33C591E2">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highlight w:val="yellow"/>
                <w:u w:val="none"/>
              </w:rPr>
            </w:pPr>
            <w:r>
              <w:rPr>
                <w:rFonts w:hint="eastAsia" w:ascii="宋体" w:hAnsi="宋体" w:eastAsia="宋体" w:cs="宋体"/>
                <w:b/>
                <w:bCs/>
                <w:i w:val="0"/>
                <w:iCs w:val="0"/>
                <w:color w:val="000000"/>
                <w:kern w:val="0"/>
                <w:sz w:val="21"/>
                <w:szCs w:val="21"/>
                <w:u w:val="none"/>
                <w:lang w:val="en-US" w:eastAsia="zh-CN" w:bidi="ar"/>
              </w:rPr>
              <w:t>注：投标人须提供上述人员与本投标单位签订的有效劳动合同复印件以及由官方机构出具的投标文件之日前近3个月的社保缴纳证明并加盖公章。如新入职、退休返聘等原因，</w:t>
            </w:r>
            <w:r>
              <w:rPr>
                <w:rFonts w:hint="eastAsia" w:ascii="宋体" w:hAnsi="宋体" w:eastAsia="宋体" w:cs="宋体"/>
                <w:b/>
                <w:bCs/>
                <w:color w:val="000000"/>
                <w:kern w:val="0"/>
                <w:sz w:val="21"/>
                <w:szCs w:val="21"/>
                <w:lang w:bidi="ar"/>
              </w:rPr>
              <w:t>无法完全提供上述</w:t>
            </w:r>
            <w:r>
              <w:rPr>
                <w:rFonts w:hint="eastAsia" w:ascii="宋体" w:hAnsi="宋体" w:eastAsia="宋体" w:cs="宋体"/>
                <w:b/>
                <w:bCs/>
                <w:i w:val="0"/>
                <w:iCs w:val="0"/>
                <w:color w:val="000000"/>
                <w:kern w:val="0"/>
                <w:sz w:val="21"/>
                <w:szCs w:val="21"/>
                <w:u w:val="none"/>
                <w:lang w:val="en-US" w:eastAsia="zh-CN" w:bidi="ar"/>
              </w:rPr>
              <w:t>可体现缴纳单位的官方凭证</w:t>
            </w:r>
            <w:r>
              <w:rPr>
                <w:rFonts w:hint="eastAsia" w:ascii="宋体" w:hAnsi="宋体" w:eastAsia="宋体" w:cs="宋体"/>
                <w:b/>
                <w:bCs/>
                <w:color w:val="000000"/>
                <w:kern w:val="0"/>
                <w:sz w:val="21"/>
                <w:szCs w:val="21"/>
                <w:lang w:bidi="ar"/>
              </w:rPr>
              <w:t>材料的，</w:t>
            </w:r>
            <w:r>
              <w:rPr>
                <w:rStyle w:val="13"/>
                <w:rFonts w:hint="eastAsia" w:ascii="宋体" w:hAnsi="宋体" w:eastAsia="宋体" w:cs="宋体"/>
                <w:b/>
                <w:bCs/>
                <w:color w:val="000000"/>
                <w:kern w:val="0"/>
                <w:sz w:val="21"/>
                <w:szCs w:val="21"/>
                <w:lang w:bidi="ar"/>
              </w:rPr>
              <w:t>应提供情况说明及相关合法替代证明文件</w:t>
            </w:r>
            <w:r>
              <w:rPr>
                <w:rFonts w:hint="eastAsia" w:ascii="宋体" w:hAnsi="宋体" w:eastAsia="宋体" w:cs="宋体"/>
                <w:b/>
                <w:bCs/>
                <w:color w:val="000000"/>
                <w:kern w:val="0"/>
                <w:sz w:val="21"/>
                <w:szCs w:val="21"/>
                <w:lang w:bidi="ar"/>
              </w:rPr>
              <w:t>（如：新入职人员可提供入职证明及首月缴纳记录；退休返聘人员可提供退休证明及聘用协议</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i w:val="0"/>
                <w:iCs w:val="0"/>
                <w:color w:val="000000"/>
                <w:kern w:val="0"/>
                <w:sz w:val="21"/>
                <w:szCs w:val="21"/>
                <w:u w:val="none"/>
                <w:lang w:val="en-US" w:eastAsia="zh-CN" w:bidi="ar"/>
              </w:rPr>
              <w:t>未提供、材料不全不得分。</w:t>
            </w:r>
          </w:p>
        </w:tc>
      </w:tr>
      <w:tr w14:paraId="25A49A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1113" w:type="dxa"/>
            <w:vMerge w:val="restart"/>
            <w:tcBorders>
              <w:tl2br w:val="nil"/>
              <w:tr2bl w:val="nil"/>
            </w:tcBorders>
            <w:noWrap w:val="0"/>
            <w:vAlign w:val="center"/>
          </w:tcPr>
          <w:p w14:paraId="0C74B888">
            <w:pPr>
              <w:keepNext w:val="0"/>
              <w:keepLines w:val="0"/>
              <w:widowControl/>
              <w:suppressLineNumbers w:val="0"/>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技术部分 </w:t>
            </w:r>
          </w:p>
          <w:p w14:paraId="0E90CA8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(53分)</w:t>
            </w:r>
          </w:p>
        </w:tc>
        <w:tc>
          <w:tcPr>
            <w:tcW w:w="1340" w:type="dxa"/>
            <w:tcBorders>
              <w:tl2br w:val="nil"/>
              <w:tr2bl w:val="nil"/>
            </w:tcBorders>
            <w:noWrap/>
            <w:vAlign w:val="center"/>
          </w:tcPr>
          <w:p w14:paraId="5CABD43D">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跟踪审计目标（9分）</w:t>
            </w:r>
          </w:p>
        </w:tc>
        <w:tc>
          <w:tcPr>
            <w:tcW w:w="6227" w:type="dxa"/>
            <w:tcBorders>
              <w:tl2br w:val="nil"/>
              <w:tr2bl w:val="nil"/>
            </w:tcBorders>
            <w:noWrap w:val="0"/>
            <w:vAlign w:val="center"/>
          </w:tcPr>
          <w:p w14:paraId="50DB4BB6">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跟踪审计目标（9分）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w:t>
            </w:r>
            <w:r>
              <w:rPr>
                <w:rFonts w:hint="eastAsia" w:ascii="宋体" w:hAnsi="宋体" w:eastAsia="宋体" w:cs="宋体"/>
                <w:i w:val="0"/>
                <w:iCs w:val="0"/>
                <w:color w:val="000000"/>
                <w:kern w:val="0"/>
                <w:sz w:val="21"/>
                <w:szCs w:val="21"/>
                <w:highlight w:val="none"/>
                <w:u w:val="none"/>
                <w:lang w:val="en-US" w:eastAsia="zh-CN" w:bidi="ar"/>
              </w:rPr>
              <w:t>应提供针对本项目全过程跟踪审计工作的</w:t>
            </w:r>
            <w:r>
              <w:rPr>
                <w:rFonts w:hint="eastAsia" w:ascii="宋体" w:hAnsi="宋体" w:eastAsia="宋体" w:cs="宋体"/>
                <w:i w:val="0"/>
                <w:iCs w:val="0"/>
                <w:color w:val="000000"/>
                <w:kern w:val="0"/>
                <w:sz w:val="21"/>
                <w:szCs w:val="21"/>
                <w:u w:val="none"/>
                <w:lang w:val="en-US" w:eastAsia="zh-CN" w:bidi="ar"/>
              </w:rPr>
              <w:t>指导思想和跟踪审计目标等，内容包括但不限于：</w:t>
            </w:r>
          </w:p>
          <w:p w14:paraId="1C746005">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（1）明确贴合项目实际的跟踪审计总体目标，做到清晰具体、落地可行；</w:t>
            </w:r>
          </w:p>
          <w:p w14:paraId="26CDEA0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（2）精准把握项目审计关键问题，贴合国家审计、造价相关政策要求；</w:t>
            </w:r>
          </w:p>
          <w:p w14:paraId="5FFB1CCE">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（3）围绕项目合规性与财务管控，制定针对性的审计实施指导思想。</w:t>
            </w:r>
          </w:p>
          <w:p w14:paraId="023B391C">
            <w:pPr>
              <w:keepNext w:val="0"/>
              <w:keepLines w:val="0"/>
              <w:widowControl/>
              <w:numPr>
                <w:ilvl w:val="0"/>
                <w:numId w:val="0"/>
              </w:numPr>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以上内容每缺少一项扣3分，每项中内容存在缺陷或不足扣1分，扣完为止，未提供不得分。</w:t>
            </w:r>
          </w:p>
          <w:p w14:paraId="7F38388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58CC5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0" w:hRule="atLeast"/>
        </w:trPr>
        <w:tc>
          <w:tcPr>
            <w:tcW w:w="1113" w:type="dxa"/>
            <w:vMerge w:val="continue"/>
            <w:tcBorders>
              <w:tl2br w:val="nil"/>
              <w:tr2bl w:val="nil"/>
            </w:tcBorders>
            <w:noWrap w:val="0"/>
            <w:vAlign w:val="center"/>
          </w:tcPr>
          <w:p w14:paraId="0D9EDC36">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ign w:val="center"/>
          </w:tcPr>
          <w:p w14:paraId="7B04B66E">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实施方案（15分）</w:t>
            </w:r>
          </w:p>
        </w:tc>
        <w:tc>
          <w:tcPr>
            <w:tcW w:w="6227" w:type="dxa"/>
            <w:tcBorders>
              <w:tl2br w:val="nil"/>
              <w:tr2bl w:val="nil"/>
            </w:tcBorders>
            <w:noWrap w:val="0"/>
            <w:vAlign w:val="center"/>
          </w:tcPr>
          <w:p w14:paraId="4DC400D9">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1.实施方案按照采购方实际需求对全过程审计服务中的项目合规性审计和项目财务跟踪审计的两方面内容制定实施方案，包含但不限于：</w:t>
            </w:r>
          </w:p>
          <w:p w14:paraId="2A12B572">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围绕项目类型、（2）资金性质、（3）当前所处阶段、（4）审计目标、（5）工作主线方案。</w:t>
            </w:r>
          </w:p>
          <w:p w14:paraId="4E4EF3BB">
            <w:pPr>
              <w:keepNext w:val="0"/>
              <w:keepLines w:val="0"/>
              <w:widowControl/>
              <w:numPr>
                <w:ilvl w:val="0"/>
                <w:numId w:val="0"/>
              </w:numPr>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7C145E2F">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2.全过程各阶段审计内容覆盖完整性</w:t>
            </w:r>
            <w:r>
              <w:rPr>
                <w:rFonts w:hint="eastAsia" w:ascii="宋体" w:hAnsi="宋体" w:eastAsia="宋体" w:cs="宋体"/>
                <w:i w:val="0"/>
                <w:iCs w:val="0"/>
                <w:color w:val="000000"/>
                <w:kern w:val="0"/>
                <w:sz w:val="21"/>
                <w:szCs w:val="21"/>
                <w:u w:val="none"/>
                <w:lang w:val="en-US" w:eastAsia="zh-CN" w:bidi="ar"/>
              </w:rPr>
              <w:t>，方案须覆盖以下关键阶段，包括但不限于：</w:t>
            </w:r>
          </w:p>
          <w:p w14:paraId="6438CF0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（1）招投标与合同管理审计、（2）工程变更与签证审计、（3）工程计量与进度款支付审核、（4）材料设备认质认价监督、（5）竣工结算初步审核。</w:t>
            </w:r>
          </w:p>
          <w:p w14:paraId="4541BCC6">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33375ADC">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5B64B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5" w:hRule="atLeast"/>
        </w:trPr>
        <w:tc>
          <w:tcPr>
            <w:tcW w:w="1113" w:type="dxa"/>
            <w:vMerge w:val="continue"/>
            <w:tcBorders>
              <w:tl2br w:val="nil"/>
              <w:tr2bl w:val="nil"/>
            </w:tcBorders>
            <w:noWrap w:val="0"/>
            <w:vAlign w:val="center"/>
          </w:tcPr>
          <w:p w14:paraId="286182EB">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0"/>
            <w:vAlign w:val="center"/>
          </w:tcPr>
          <w:p w14:paraId="2B072F14">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项目审核重点、难点分析（10分）</w:t>
            </w:r>
          </w:p>
        </w:tc>
        <w:tc>
          <w:tcPr>
            <w:tcW w:w="6227" w:type="dxa"/>
            <w:tcBorders>
              <w:tl2br w:val="nil"/>
              <w:tr2bl w:val="nil"/>
            </w:tcBorders>
            <w:noWrap w:val="0"/>
            <w:vAlign w:val="center"/>
          </w:tcPr>
          <w:p w14:paraId="260851F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根据投标人对本项目合规性审计和财务跟踪审计两方面内容分析本项目审核的重点、难点，包括但不限于：</w:t>
            </w:r>
          </w:p>
          <w:p w14:paraId="54D981C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（1）梳理项目合规性审计核心要点，精准分析实施中的重点、难点问题；</w:t>
            </w:r>
          </w:p>
          <w:p w14:paraId="1067C47A">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（2）深挖项目财务跟踪审计关键环节，明确各类潜在风险与管控难点；</w:t>
            </w:r>
          </w:p>
          <w:p w14:paraId="4E5A265B">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（3）针对资金使用合规性、审批手续完整性应对解决方案；</w:t>
            </w:r>
          </w:p>
          <w:p w14:paraId="5B33CC4C">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（4）工程造价与结算真实性、合理性，招投标及合同履约情况；</w:t>
            </w:r>
          </w:p>
          <w:p w14:paraId="6C17A07E">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（5）财务收支、票据及会计核算，项目建设程序与内控制度执行解决方案。</w:t>
            </w:r>
          </w:p>
          <w:p w14:paraId="328914F4">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0B1E1A02">
            <w:pPr>
              <w:keepNext w:val="0"/>
              <w:keepLines w:val="0"/>
              <w:widowControl/>
              <w:suppressLineNumbers w:val="0"/>
              <w:spacing w:line="360" w:lineRule="auto"/>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2DB4A8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1113" w:type="dxa"/>
            <w:vMerge w:val="continue"/>
            <w:tcBorders>
              <w:tl2br w:val="nil"/>
              <w:tr2bl w:val="nil"/>
            </w:tcBorders>
            <w:noWrap w:val="0"/>
            <w:vAlign w:val="center"/>
          </w:tcPr>
          <w:p w14:paraId="640ECC86">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ign w:val="center"/>
          </w:tcPr>
          <w:p w14:paraId="74B63ABF">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质量控制体系（10分）</w:t>
            </w:r>
          </w:p>
        </w:tc>
        <w:tc>
          <w:tcPr>
            <w:tcW w:w="6227" w:type="dxa"/>
            <w:tcBorders>
              <w:tl2br w:val="nil"/>
              <w:tr2bl w:val="nil"/>
            </w:tcBorders>
            <w:noWrap w:val="0"/>
            <w:vAlign w:val="center"/>
          </w:tcPr>
          <w:p w14:paraId="4494E592">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质量控制体系</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投标人提供对整个审计过程健全的质量控制体系，内容包括但不限于：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（1）搭建覆盖审计全流程的质量控制体系，明确各环节管控标准与操作规范；</w:t>
            </w:r>
          </w:p>
          <w:p w14:paraId="7DCAF183">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制定审计工作底稿、报告等成果的质量审核与复核机制；</w:t>
            </w:r>
          </w:p>
          <w:p w14:paraId="011D54B7">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建立审计人员履职质量考核标准，明确岗位质量责任；</w:t>
            </w:r>
          </w:p>
          <w:p w14:paraId="10ADB42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（4）</w:t>
            </w:r>
            <w:r>
              <w:rPr>
                <w:rFonts w:hint="eastAsia" w:ascii="宋体" w:hAnsi="宋体" w:eastAsia="宋体" w:cs="宋体"/>
                <w:i w:val="0"/>
                <w:iCs w:val="0"/>
                <w:color w:val="000000"/>
                <w:kern w:val="0"/>
                <w:sz w:val="21"/>
                <w:szCs w:val="21"/>
                <w:u w:val="none"/>
                <w:lang w:val="en-US" w:eastAsia="zh-CN" w:bidi="ar"/>
              </w:rPr>
              <w:t>设定审计质量问题的识别、整改及追溯流程，形成闭环管理；</w:t>
            </w:r>
          </w:p>
          <w:p w14:paraId="30F970E9">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（5）</w:t>
            </w:r>
            <w:r>
              <w:rPr>
                <w:rFonts w:hint="eastAsia" w:ascii="宋体" w:hAnsi="宋体" w:eastAsia="宋体" w:cs="宋体"/>
                <w:i w:val="0"/>
                <w:iCs w:val="0"/>
                <w:color w:val="000000"/>
                <w:kern w:val="0"/>
                <w:sz w:val="21"/>
                <w:szCs w:val="21"/>
                <w:u w:val="none"/>
                <w:lang w:val="en-US" w:eastAsia="zh-CN" w:bidi="ar"/>
              </w:rPr>
              <w:t>结合项目实际优化体系细节，确保针对性、可行性与有效性。</w:t>
            </w:r>
          </w:p>
          <w:p w14:paraId="294A5525">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74FA7BDB">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4CB39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50" w:hRule="atLeast"/>
        </w:trPr>
        <w:tc>
          <w:tcPr>
            <w:tcW w:w="1113" w:type="dxa"/>
            <w:vMerge w:val="continue"/>
            <w:tcBorders>
              <w:tl2br w:val="nil"/>
              <w:tr2bl w:val="nil"/>
            </w:tcBorders>
            <w:noWrap w:val="0"/>
            <w:vAlign w:val="center"/>
          </w:tcPr>
          <w:p w14:paraId="185E5477">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ign w:val="center"/>
          </w:tcPr>
          <w:p w14:paraId="3789C677">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质量保障措施（5分）</w:t>
            </w:r>
          </w:p>
        </w:tc>
        <w:tc>
          <w:tcPr>
            <w:tcW w:w="6227" w:type="dxa"/>
            <w:tcBorders>
              <w:tl2br w:val="nil"/>
              <w:tr2bl w:val="nil"/>
            </w:tcBorders>
            <w:noWrap w:val="0"/>
            <w:vAlign w:val="center"/>
          </w:tcPr>
          <w:p w14:paraId="7046524D">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质量保障措施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投标人能结合审计工作对质量保障措施进行阐述，内容包括但不限于：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（1）制定贴合审计工作实际的质量保障实施细则，明确各环节质量把控要求；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（2）建立审计成果多级复核机制；</w:t>
            </w:r>
          </w:p>
          <w:p w14:paraId="59E4CBA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（3）</w:t>
            </w:r>
            <w:r>
              <w:rPr>
                <w:rFonts w:hint="eastAsia" w:ascii="宋体" w:hAnsi="宋体" w:eastAsia="宋体" w:cs="宋体"/>
                <w:i w:val="0"/>
                <w:iCs w:val="0"/>
                <w:color w:val="000000"/>
                <w:kern w:val="0"/>
                <w:sz w:val="21"/>
                <w:szCs w:val="21"/>
                <w:u w:val="none"/>
                <w:lang w:val="en-US" w:eastAsia="zh-CN" w:bidi="ar"/>
              </w:rPr>
              <w:t>落实审计人员专业培训与考核，保障团队具备胜任项目的专业能力；</w:t>
            </w:r>
          </w:p>
          <w:p w14:paraId="512A2D8C">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（4）</w:t>
            </w:r>
            <w:r>
              <w:rPr>
                <w:rFonts w:hint="eastAsia" w:ascii="宋体" w:hAnsi="宋体" w:eastAsia="宋体" w:cs="宋体"/>
                <w:i w:val="0"/>
                <w:iCs w:val="0"/>
                <w:color w:val="000000"/>
                <w:kern w:val="0"/>
                <w:sz w:val="21"/>
                <w:szCs w:val="21"/>
                <w:u w:val="none"/>
                <w:lang w:val="en-US" w:eastAsia="zh-CN" w:bidi="ar"/>
              </w:rPr>
              <w:t>规范审计作业流程，对关键审计步骤实施全程质量监督与管控；</w:t>
            </w:r>
          </w:p>
          <w:p w14:paraId="17ADDF6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（5）建立质量问题反馈与整改机制。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5D6A17B8">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4F1745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10" w:hRule="atLeast"/>
        </w:trPr>
        <w:tc>
          <w:tcPr>
            <w:tcW w:w="1113" w:type="dxa"/>
            <w:vMerge w:val="continue"/>
            <w:tcBorders>
              <w:tl2br w:val="nil"/>
              <w:tr2bl w:val="nil"/>
            </w:tcBorders>
            <w:noWrap w:val="0"/>
            <w:vAlign w:val="center"/>
          </w:tcPr>
          <w:p w14:paraId="52A39596">
            <w:pPr>
              <w:spacing w:line="360" w:lineRule="auto"/>
              <w:jc w:val="center"/>
              <w:rPr>
                <w:rFonts w:hint="eastAsia" w:ascii="宋体" w:hAnsi="宋体" w:eastAsia="宋体" w:cs="宋体"/>
                <w:i w:val="0"/>
                <w:iCs w:val="0"/>
                <w:color w:val="000000"/>
                <w:sz w:val="21"/>
                <w:szCs w:val="21"/>
                <w:u w:val="none"/>
              </w:rPr>
            </w:pPr>
          </w:p>
        </w:tc>
        <w:tc>
          <w:tcPr>
            <w:tcW w:w="1340" w:type="dxa"/>
            <w:tcBorders>
              <w:tl2br w:val="nil"/>
              <w:tr2bl w:val="nil"/>
            </w:tcBorders>
            <w:noWrap/>
            <w:vAlign w:val="center"/>
          </w:tcPr>
          <w:p w14:paraId="5BB48D43">
            <w:pPr>
              <w:keepNext w:val="0"/>
              <w:keepLines w:val="0"/>
              <w:widowControl/>
              <w:suppressLineNumbers w:val="0"/>
              <w:spacing w:line="36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信息安全措施（4分）</w:t>
            </w:r>
          </w:p>
        </w:tc>
        <w:tc>
          <w:tcPr>
            <w:tcW w:w="6227" w:type="dxa"/>
            <w:tcBorders>
              <w:tl2br w:val="nil"/>
              <w:tr2bl w:val="nil"/>
            </w:tcBorders>
            <w:noWrap w:val="0"/>
            <w:vAlign w:val="center"/>
          </w:tcPr>
          <w:p w14:paraId="26922AB8">
            <w:pPr>
              <w:keepNext w:val="0"/>
              <w:keepLines w:val="0"/>
              <w:widowControl/>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根据项目需求制定信息安全管理措施主要内容，包括但不限于：：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（1）组织所有参与人员开展信息安全培训教育，全员签订正式信息安全责任协议，明确信息安全责任与违规追责要求</w:t>
            </w:r>
          </w:p>
          <w:p w14:paraId="18899671">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（2）</w:t>
            </w:r>
            <w:r>
              <w:rPr>
                <w:rFonts w:hint="eastAsia" w:ascii="宋体" w:hAnsi="宋体" w:eastAsia="宋体" w:cs="宋体"/>
                <w:i w:val="0"/>
                <w:iCs w:val="0"/>
                <w:color w:val="000000"/>
                <w:kern w:val="0"/>
                <w:sz w:val="21"/>
                <w:szCs w:val="21"/>
                <w:u w:val="none"/>
                <w:lang w:val="en-US" w:eastAsia="zh-CN" w:bidi="ar"/>
              </w:rPr>
              <w:t>明确审计全流程重要信息、项目资料的管理标准，对项目重要数据收集、存储、传输、使用及归档销毁全环节实施闭环管控，同时建立项目资料使用审批、全程留痕机制。</w:t>
            </w:r>
          </w:p>
          <w:p w14:paraId="45DD77EA">
            <w:pPr>
              <w:keepNext w:val="0"/>
              <w:keepLines w:val="0"/>
              <w:widowControl/>
              <w:suppressLineNumbers w:val="0"/>
              <w:spacing w:line="360" w:lineRule="auto"/>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以上内容每缺少一项扣2分，每项中内容存在缺陷或不足扣1分，扣完为止，未提供不得分。</w:t>
            </w:r>
          </w:p>
          <w:p w14:paraId="5B2FBD5D">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bl>
    <w:p w14:paraId="451F51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bookmarkStart w:id="10" w:name="_Toc10842"/>
      <w:bookmarkStart w:id="11" w:name="_Toc5374"/>
      <w:bookmarkStart w:id="12" w:name="_Toc29513"/>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858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6A56B3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1769C7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49D274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5AE0E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4783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725B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BD6D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1F74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622B2AF8">
      <w:pPr>
        <w:rPr>
          <w:rFonts w:hint="eastAsia" w:ascii="宋体" w:hAnsi="宋体" w:eastAsia="宋体" w:cs="宋体"/>
          <w:b/>
          <w:bCs/>
          <w:sz w:val="36"/>
          <w:szCs w:val="44"/>
          <w:u w:val="none"/>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r>
        <w:rPr>
          <w:rFonts w:hint="eastAsia" w:ascii="宋体" w:hAnsi="宋体" w:eastAsia="宋体" w:cs="宋体"/>
          <w:b/>
          <w:bCs/>
          <w:sz w:val="36"/>
          <w:szCs w:val="44"/>
          <w:u w:val="none"/>
        </w:rPr>
        <w:br w:type="page"/>
      </w:r>
    </w:p>
    <w:p w14:paraId="0B60BAAA">
      <w:pPr>
        <w:jc w:val="center"/>
        <w:outlineLvl w:val="0"/>
        <w:rPr>
          <w:rFonts w:hint="eastAsia" w:ascii="宋体" w:hAnsi="宋体" w:eastAsia="宋体" w:cs="宋体"/>
          <w:b/>
          <w:bCs/>
          <w:sz w:val="36"/>
          <w:szCs w:val="44"/>
          <w:u w:val="none"/>
        </w:rPr>
      </w:pPr>
      <w:r>
        <w:rPr>
          <w:rFonts w:hint="eastAsia" w:ascii="宋体" w:hAnsi="宋体" w:eastAsia="宋体" w:cs="宋体"/>
          <w:b/>
          <w:bCs/>
          <w:sz w:val="36"/>
          <w:szCs w:val="44"/>
          <w:u w:val="none"/>
        </w:rPr>
        <w:t>第五章  签订合同及合同范本</w:t>
      </w:r>
      <w:bookmarkEnd w:id="10"/>
      <w:bookmarkEnd w:id="11"/>
    </w:p>
    <w:p w14:paraId="707A8F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010A22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5C6A77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52112E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5B8BC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7BB4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16BA1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363D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1B76C4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07D23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3F05FD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23824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3FA499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79396F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A145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5C510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67EA7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69051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2E7EA3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30D5C6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79C02A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8FF544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04B6BD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7CA84BE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）的中标结果，由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单位为中标人。根据《中华人民共和国政府采购法》、《中华人民共和国民法典》之规定，经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（以下简称采购人）和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（以下简称中标人）协商，就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项目，达成以下合同条款：</w:t>
      </w:r>
    </w:p>
    <w:p w14:paraId="5BF317F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4F45B5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3D1865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F810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32D3B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DA107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10EB8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DA53F0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8CF0C3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017A2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CAFD5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4D720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C195BE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14564D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日，完成日期：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天。</w:t>
      </w:r>
    </w:p>
    <w:p w14:paraId="2100AA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日内完成合同约定事项，即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日前，完成相关服务工作并将最终成果交给甲方。</w:t>
      </w:r>
    </w:p>
    <w:p w14:paraId="1367893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1C78D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521E4D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C979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1C1CD93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p>
    <w:p w14:paraId="1CBB4F9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等工作及税费等乙方为履行本合而产生的所有费用，除该合同金额外，甲方不再支付任何其他费用。</w:t>
      </w:r>
    </w:p>
    <w:p w14:paraId="5C19AF6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36BBAC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621ACC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E9C25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2BF964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C2E15E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38ED8A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3C4413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1D328C4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6940DE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日内，供方应向需方提交合同总价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%的履约保证金（人民币，取整数位到百元）。履约保证金可以采用银行转账、现金方式提交。</w:t>
      </w:r>
    </w:p>
    <w:p w14:paraId="13DE39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14CC3D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7D2BEA9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2B2E80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109E36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1CF15FF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4BDC755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BFB129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CD816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1AB58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0A3ABF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0C16E1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15ECC4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17AC6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398B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3BC5CF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88F04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6D523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5B4D94B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59824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E5937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5BE51B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130C760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个阶段：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EC82B7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284E17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4C0E09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1DC1A42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3389FA7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53FD95D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1DD88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5EE2EC4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7AB2E92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3A79072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BC4D9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26300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466A11F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1484AC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%计算。</w:t>
      </w:r>
    </w:p>
    <w:p w14:paraId="5238FA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4864EAA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2E1C0C3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0BC568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3F361D9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B9CD52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7AF948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份、采购代理机构执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份，本合同甲、乙、确认各方签字盖章后生效，合同执行完毕后，自动失效（合同的服务承诺则长期有效）。</w:t>
      </w:r>
    </w:p>
    <w:p w14:paraId="169A15A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6CE3BA6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4E92ED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2F7CFD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67E961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1422A1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 方                                  乙 方</w:t>
      </w:r>
    </w:p>
    <w:p w14:paraId="0DC4ED6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                      单位名称：（盖章）</w:t>
      </w:r>
    </w:p>
    <w:p w14:paraId="030606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                             法定代表人</w:t>
      </w:r>
    </w:p>
    <w:p w14:paraId="7CC62D3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            或委托代理人（签字或盖章）：</w:t>
      </w:r>
    </w:p>
    <w:p w14:paraId="12A92B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                                地 址：</w:t>
      </w:r>
    </w:p>
    <w:p w14:paraId="5DBDE4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                             邮政编码：</w:t>
      </w:r>
    </w:p>
    <w:p w14:paraId="6EF809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                                 电 话：</w:t>
      </w:r>
    </w:p>
    <w:p w14:paraId="6661AE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                                 传真：</w:t>
      </w:r>
    </w:p>
    <w:p w14:paraId="1B63D9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                             电子信箱：</w:t>
      </w:r>
    </w:p>
    <w:p w14:paraId="6C2853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                             开户银行：</w:t>
      </w:r>
    </w:p>
    <w:p w14:paraId="789335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                                 账 号：</w:t>
      </w:r>
    </w:p>
    <w:p w14:paraId="44A3B0A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    年  月  日               签订日期：    年  月  日</w:t>
      </w:r>
    </w:p>
    <w:p w14:paraId="426DAD97">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44F379E">
      <w:pPr>
        <w:jc w:val="center"/>
        <w:outlineLvl w:val="0"/>
        <w:rPr>
          <w:rFonts w:hint="eastAsia" w:ascii="宋体" w:hAnsi="宋体" w:eastAsia="宋体" w:cs="宋体"/>
          <w:b/>
          <w:bCs/>
          <w:sz w:val="36"/>
          <w:szCs w:val="44"/>
          <w:u w:val="none"/>
        </w:rPr>
      </w:pPr>
      <w:bookmarkStart w:id="13" w:name="_Toc5710"/>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  投标文件格式</w:t>
      </w:r>
      <w:bookmarkEnd w:id="12"/>
      <w:bookmarkEnd w:id="13"/>
    </w:p>
    <w:p w14:paraId="6AD58C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3DB8B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FB1D1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1598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F766A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4C0D1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7EEF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D574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621970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581DC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6109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F24D1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FCEE39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36CD6DF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7C21EBC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2827445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BEB406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5E212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 xml:space="preserve">    年   月   日</w:t>
      </w:r>
    </w:p>
    <w:p w14:paraId="7E1D1A97">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6CD2F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56D74E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0CAE56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69B1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21A7C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395988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7DF1BE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p w14:paraId="13109C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7224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6029B5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0BFBD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75F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70042C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1A5ACE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5AC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1FA870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6C52E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3441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8F97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4918D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285C16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5E760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DA90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9C84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79B05A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7A0DC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68AB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178BD88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896E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6DCE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28863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2F71F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68746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735EC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BB744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FCDA0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B8E8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0236B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632B6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3D48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1C17C9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54898E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62860FB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1B19651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7B17E8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61CCAD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09FB7DAC">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709C7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177B7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16EA9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7AEB3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2B5E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4C825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71B93F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1785F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37A1F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161BD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AD89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08600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10A53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3DB7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0CDD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7061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7D3B4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11C2A8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BA953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5EF5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6358C5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5456F5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347AD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0024A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65C16E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39695B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232EBBF4">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7228D9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2D4789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4AA8F9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225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380D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02FFD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C497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35A8D5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C003B4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提供相关网页截图</w:t>
      </w:r>
    </w:p>
    <w:p w14:paraId="6F1A0B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0DC15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1E6880E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EDC8A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66D873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6D11A52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13F795F5">
      <w:pPr>
        <w:keepNext w:val="0"/>
        <w:keepLines w:val="0"/>
        <w:widowControl/>
        <w:suppressLineNumbers w:val="0"/>
        <w:spacing w:line="480" w:lineRule="auto"/>
        <w:jc w:val="center"/>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联合体协议书</w:t>
      </w:r>
    </w:p>
    <w:p w14:paraId="46EA5230">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(所有成员单位名称)自愿组成</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(联合体名称)联合体，以一个供应商的身份共同参加</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(项目名称)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（项目编号）的投标。现就联合体投标事宜订立如下协议： </w:t>
      </w:r>
    </w:p>
    <w:p w14:paraId="63823C9C">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(某成员单位名称)为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(联合体名称) 牵头人。 </w:t>
      </w:r>
    </w:p>
    <w:p w14:paraId="308FCF63">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 联合体牵头人合法代表联合体各成员负责本招标项目响应文件编制和合同谈判活动，并代表联合体提交和接收相关的资料、信息及指示，并处理与之有关的一切事务，负责合同实施阶段的主办、组织和协调工作。 </w:t>
      </w:r>
    </w:p>
    <w:p w14:paraId="2700F008">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3、联合体将严格按照招标文件的各项要求，递交响应文件，履行合同，并对外承担连带责任。 </w:t>
      </w:r>
    </w:p>
    <w:p w14:paraId="1463E3CC">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联合体各方不得再以自己名义参与本项目投标响应，联合体各方不能作为其它联合体或单独投标响应单位的项目组成员参加本项目投标响应。因发生上述问题导致联合体投标响应成为废标，联合体的其他成员可追究其违约责任和经济损失。 </w:t>
      </w:r>
    </w:p>
    <w:p w14:paraId="404D87CB">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5、联合体如因违约过失责任而导致采购人经济损失或被索赔时，本联合体任何一方均同意无条件优先清偿采购人的一切债务和经济赔偿。 </w:t>
      </w:r>
    </w:p>
    <w:p w14:paraId="17E7625D">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6、联合体各成员单位内部的职责分工如下：</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6D0A9115">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7、本协议书自签署之日起生效，合同履行完毕后自动失效。 </w:t>
      </w:r>
    </w:p>
    <w:p w14:paraId="31FB07BF">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8、本协议书一式</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份，联合体成员和招标人各执一份。 </w:t>
      </w:r>
    </w:p>
    <w:p w14:paraId="24295FA0">
      <w:pPr>
        <w:keepNext w:val="0"/>
        <w:keepLines w:val="0"/>
        <w:widowControl/>
        <w:suppressLineNumbers w:val="0"/>
        <w:spacing w:line="48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注 ：本协议书由委托代理人签字的，应附法定代表人签字的授权委托书。 </w:t>
      </w:r>
    </w:p>
    <w:p w14:paraId="6192FA2A">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牵头人名称：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(盖单位章) </w:t>
      </w:r>
    </w:p>
    <w:p w14:paraId="7DB63ED5">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法定代表人或授权代表：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(签字或盖章) </w:t>
      </w:r>
    </w:p>
    <w:p w14:paraId="68585D9C">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成员一名称：</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(盖单位章) </w:t>
      </w:r>
    </w:p>
    <w:p w14:paraId="6C9E18B3">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法定代表人或授权代表：</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(签字或盖章) </w:t>
      </w:r>
    </w:p>
    <w:p w14:paraId="1D282310">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 … </w:t>
      </w:r>
    </w:p>
    <w:p w14:paraId="7CF73099">
      <w:pPr>
        <w:keepNext w:val="0"/>
        <w:keepLines w:val="0"/>
        <w:widowControl/>
        <w:suppressLineNumbers w:val="0"/>
        <w:spacing w:line="480" w:lineRule="auto"/>
        <w:jc w:val="right"/>
        <w:rPr>
          <w:rFonts w:hint="eastAsia" w:ascii="宋体" w:hAnsi="宋体" w:eastAsia="宋体" w:cs="宋体"/>
          <w:sz w:val="24"/>
          <w:szCs w:val="24"/>
        </w:rPr>
      </w:pP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日 </w:t>
      </w:r>
    </w:p>
    <w:p w14:paraId="79FE042B">
      <w:pPr>
        <w:keepNext w:val="0"/>
        <w:keepLines w:val="0"/>
        <w:widowControl/>
        <w:suppressLineNumbers w:val="0"/>
        <w:spacing w:line="48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注：本协议书为参考格式，联合体各方可依据实际自行补充完善。</w:t>
      </w:r>
    </w:p>
    <w:p w14:paraId="1BD5654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62B7E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（七）中小企业声明函（工程、服务）</w:t>
      </w:r>
    </w:p>
    <w:p w14:paraId="76AB8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ACC8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1F274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3262C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37607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以上企业，不属于大企业的分支机构，不存在控股股东为大企业的情形，也不存在与大企业的负责人为同一人的情形。</w:t>
      </w:r>
    </w:p>
    <w:p w14:paraId="4F725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本企业对上述声明内容的真实性负责。如有虚假，将依法承担相应责任。</w:t>
      </w:r>
    </w:p>
    <w:p w14:paraId="1BF89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14:paraId="4C44E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DAAA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备注：1.重要提示：供应商应仔细阅读本函附件1关于“中小企业声明函”的填写要求及提交要求，否则，因填写或提交等产生的一切不利后果，须自行承担。</w:t>
      </w:r>
    </w:p>
    <w:p w14:paraId="4E8F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2.从业人员、营业收入、资产总额填报上一年度数据，无上一年度数据的新成立企业可不填报。</w:t>
      </w:r>
    </w:p>
    <w:p w14:paraId="3A9F06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E0D2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133841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（一）关于“中小企业声明函”的填写要求：</w:t>
      </w:r>
    </w:p>
    <w:p w14:paraId="1E4C4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“中小企业声明函”具体填写要求如下：</w:t>
      </w:r>
    </w:p>
    <w:p w14:paraId="26841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1.“单位名称”应填写采购人名称。</w:t>
      </w:r>
    </w:p>
    <w:p w14:paraId="24499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20B8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D7C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4D78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4F7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8EA1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5.“企业名称”应填写投标（响应）的货物制造商/服务承接商/工程承建商（根据项目属性确定）。</w:t>
      </w:r>
    </w:p>
    <w:p w14:paraId="12E45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对于分包方式面向中小企业采购的项目，“企业名称”应填写分包部分采购标的对应的货物制造商/服务承接商/工程承建商（根据项目属性确定）。</w:t>
      </w:r>
    </w:p>
    <w:p w14:paraId="1E8C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对于以联合体方式面向中小企业采购的项目，“企业名称”应填写联合体中中小企业承担采购标的对应的货物制造商/服务承接商/工程承建商（根据项目属性确定）。</w:t>
      </w:r>
    </w:p>
    <w:p w14:paraId="5A251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6.从业人员、资产总额指标以上年度末数据为依据，营业收入指标以上年度累计数据为依据。无上年度数据的新成立企业可不填报。</w:t>
      </w:r>
    </w:p>
    <w:p w14:paraId="06C9E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82C0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D602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（二）关于“中小企业声明函”的提交要求</w:t>
      </w:r>
    </w:p>
    <w:p w14:paraId="116F2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21D2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2.鼓励供应商在投标（响应）时一并提供对货物制造商、服务承接商、工程承建商相关信息的核实核验情况以及其他佐证材料。</w:t>
      </w:r>
    </w:p>
    <w:p w14:paraId="3B76E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58115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31CE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w:t>
      </w:r>
    </w:p>
    <w:p w14:paraId="08D6AF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关于印发中小企业划型标准规定的通知工信部联企业〔2011〕300号</w:t>
      </w:r>
    </w:p>
    <w:p w14:paraId="2A0B04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各省、自治区、直辖市人民政府，国务院各部委、各直属机构及有关单位：</w:t>
      </w:r>
    </w:p>
    <w:p w14:paraId="791F7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24406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经国务院同意，现印发给你们，请遵照执行。</w:t>
      </w:r>
    </w:p>
    <w:p w14:paraId="55416B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　国家统计局</w:t>
      </w:r>
    </w:p>
    <w:p w14:paraId="69DA7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国家发展和改革委员会　财政部</w:t>
      </w:r>
    </w:p>
    <w:p w14:paraId="483028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二○一一年六月十八日</w:t>
      </w:r>
    </w:p>
    <w:p w14:paraId="45AFE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A3569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中小企业划型标准规定</w:t>
      </w:r>
    </w:p>
    <w:p w14:paraId="40AA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一、根据《中华人民共和国中小企业促进法》和《国务院关于进一步促进中小企业发展的若干意见》（国发〔2009〕36号），制定本规定。</w:t>
      </w:r>
    </w:p>
    <w:p w14:paraId="3F3BF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二、中小企业划分为中型、小型、微型三种类型，具体标准根据企业从业人员、营业收入、资产总额等指标，结合行业特点制定。</w:t>
      </w:r>
    </w:p>
    <w:p w14:paraId="69ACE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E53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四、各行业划型标准为：</w:t>
      </w:r>
    </w:p>
    <w:p w14:paraId="14459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471EF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28A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F51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9B3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A0B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1B2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6C9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DA5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C5B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C75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5EB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F6E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015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27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4D0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6152C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五、企业类型的划分以统计部门的统计数据为依据。</w:t>
      </w:r>
    </w:p>
    <w:p w14:paraId="6535C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六、本规定适用于在中华人民共和国境内依法设立的各类所有制和各种组织形式的企业。个体工商户和本规定以外的行业，参照本规定进行划型。</w:t>
      </w:r>
    </w:p>
    <w:p w14:paraId="273BB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2795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八、本规定由工业和信息化部、国家统计局会同有关部门根据《国民经济行业分类》修订情况和企业发展变化情况适时修订。</w:t>
      </w:r>
    </w:p>
    <w:p w14:paraId="7F023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九、本规定由工业和信息化部、国家统计局会同有关部门负责解释。</w:t>
      </w:r>
    </w:p>
    <w:p w14:paraId="7C116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十、本规定自发布之日起执行，原国家经贸委、原国家计委、财政部和国家统计局2003年颁布的《中小企业标准暂行规定》同时废止。</w:t>
      </w:r>
    </w:p>
    <w:p w14:paraId="6A620E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C4059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（八）监狱企业证明[若有，格式自拟]</w:t>
      </w:r>
    </w:p>
    <w:p w14:paraId="1D54B5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F3746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注：1.监狱企业参加政府采购活动时，应当提供由省级以上监狱管理局、戒毒管理局（含新疆生产建设兵团）出具的属于监狱企业的证明文件，并加盖单位公章。</w:t>
      </w:r>
    </w:p>
    <w:p w14:paraId="449742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2.监狱企业视同小型、微型企业，享受预留份额、评标中价格扣除等政府采购促进中小企业发展的政府采购政策。监狱企业属于小型、微型企业的，不重复享受政策。</w:t>
      </w:r>
    </w:p>
    <w:p w14:paraId="03152FE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D223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（九）残疾人福利性单位声明函[若有，统一格式]</w:t>
      </w:r>
    </w:p>
    <w:p w14:paraId="223C7A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0172A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项目采购活动提供本单位制造的货物（由本单位提供货物（服务），或者提供其他残疾人福利性单位制造的货物（不包括使用非残疾人福利性单位注册商标的货物）。</w:t>
      </w:r>
    </w:p>
    <w:p w14:paraId="11ADDA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5AD91A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33F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3F5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27A8A1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150B1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6E768D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0232E4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C08EB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2719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A4700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712C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89D4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989A0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1F26D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5DAA5E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2FA7A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E047A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044D69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72410BF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0961A9E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353EDD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16CD9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6D451905">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46AE2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（一）投标承诺函</w:t>
      </w:r>
    </w:p>
    <w:p w14:paraId="1FA2A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5510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（职务/职称）为我方代表，参加贵方组织的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（项目名称、项目编号）招标的有关活动，并对此项目进行投标。为此：</w:t>
      </w:r>
    </w:p>
    <w:p w14:paraId="34E702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1、我方承诺：已经具备《中华人民共和国政府采购法》中规定的参加政府采购活动的投标人应当具备的条件和本招标文件中规定的条件。</w:t>
      </w:r>
    </w:p>
    <w:p w14:paraId="6D578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2、我方同意在本项目招标文件中规定的投标有效期内遵守本投标文件中的承诺且在此期限期满之前均具有约束力。如果在开启投标文件后规定的投标有效期内撤回投标，我方的投标保证金可被贵方没收。</w:t>
      </w:r>
    </w:p>
    <w:p w14:paraId="22BF0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3、按照招标文件规定提供全部投标文件，按照招标文件要求提供的报价见开标一览表。</w:t>
      </w:r>
    </w:p>
    <w:p w14:paraId="14CF1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4、我方承诺：接受招标文件中的全部条款且无任何异议，保证遵守招标文件的规定。</w:t>
      </w:r>
    </w:p>
    <w:p w14:paraId="4C9F7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5、我方承诺：完全满足和投标招标文件中的各项技术和服务要求，若有偏差，已在偏离表中予以明确特别说明。</w:t>
      </w:r>
    </w:p>
    <w:p w14:paraId="23E71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6、我方完全理解贵方不一定接受最低价的投标或收到的任何投标，以及投标报价若超过项目预算时投标将被拒绝。</w:t>
      </w:r>
    </w:p>
    <w:p w14:paraId="4EE4E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7、我方已详细审核全部投标文件，包括投标文件修改书（如有的话）、参考资料及有关附件，确认无误。</w:t>
      </w:r>
    </w:p>
    <w:p w14:paraId="26D11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8、我方承诺：与在本项目中设计编制技术规格的机构及其附属机构无任何直接隶属关系和利益关联。</w:t>
      </w:r>
    </w:p>
    <w:p w14:paraId="0C6B6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9、保证忠实地执行双方所签订的合同，并承担合同规定的责任和义务。</w:t>
      </w:r>
    </w:p>
    <w:p w14:paraId="4A8D7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86EA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9EF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1B3B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7CC36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3ADB5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78E69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3D42D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4CB35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56C49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65B52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  讯  地  址：</w:t>
      </w:r>
      <w:r>
        <w:rPr>
          <w:rFonts w:hint="eastAsia" w:ascii="宋体" w:hAnsi="宋体" w:eastAsia="宋体" w:cs="宋体"/>
          <w:sz w:val="24"/>
          <w:szCs w:val="24"/>
          <w:u w:val="single"/>
          <w:lang w:val="en-US" w:eastAsia="zh-CN"/>
        </w:rPr>
        <w:t xml:space="preserve">                              </w:t>
      </w:r>
    </w:p>
    <w:p w14:paraId="5539A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          真：</w:t>
      </w:r>
      <w:r>
        <w:rPr>
          <w:rFonts w:hint="eastAsia" w:ascii="宋体" w:hAnsi="宋体" w:eastAsia="宋体" w:cs="宋体"/>
          <w:sz w:val="24"/>
          <w:szCs w:val="24"/>
          <w:u w:val="single"/>
          <w:lang w:val="en-US" w:eastAsia="zh-CN"/>
        </w:rPr>
        <w:t xml:space="preserve">                              </w:t>
      </w:r>
    </w:p>
    <w:p w14:paraId="1E1F0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64415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子  邮  邮：</w:t>
      </w:r>
      <w:r>
        <w:rPr>
          <w:rFonts w:hint="eastAsia" w:ascii="宋体" w:hAnsi="宋体" w:eastAsia="宋体" w:cs="宋体"/>
          <w:sz w:val="24"/>
          <w:szCs w:val="24"/>
          <w:u w:val="single"/>
          <w:lang w:val="en-US" w:eastAsia="zh-CN"/>
        </w:rPr>
        <w:t xml:space="preserve">                              </w:t>
      </w:r>
    </w:p>
    <w:p w14:paraId="16C0E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r>
        <w:rPr>
          <w:rFonts w:hint="eastAsia" w:ascii="宋体" w:hAnsi="宋体" w:eastAsia="宋体" w:cs="宋体"/>
          <w:sz w:val="24"/>
          <w:szCs w:val="24"/>
          <w:u w:val="single"/>
          <w:lang w:val="en-US" w:eastAsia="zh-CN"/>
        </w:rPr>
        <w:t xml:space="preserve">                          </w:t>
      </w:r>
    </w:p>
    <w:p w14:paraId="1718A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9FC7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59B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B5D1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45FF8C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96D42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F4E538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EC1E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（二）法定代表人（单位负责人）身份证明</w:t>
      </w:r>
    </w:p>
    <w:p w14:paraId="47796A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0F5CF6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7819E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4AC38E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3647F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FBAAD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22C28C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007C0E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613D61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（供应商）的法定代表人（单位负责人）。</w:t>
      </w:r>
    </w:p>
    <w:p w14:paraId="1F9407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5F3C7F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08764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56566D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9ABCE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FD0FA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9F0E1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1711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9B103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0FF4EB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789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（三）法定代表人授权委托书</w:t>
      </w:r>
    </w:p>
    <w:p w14:paraId="5963D0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（供应商名称）的法定代表人（单位负责人），现委托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（姓名）为我方代理人。代理人根据授权，以我方名义签署、澄清确认、说明、补正、递交、撤回、修改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（项目名称）响应文件、签订合同和处理有关事宜，其法律后果由我方承担。</w:t>
      </w:r>
    </w:p>
    <w:p w14:paraId="19AD8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1FCBBC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48FD11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75794A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u w:val="single"/>
          <w:lang w:val="en-US" w:eastAsia="zh-CN"/>
        </w:rPr>
        <w:t xml:space="preserve">               </w:t>
      </w:r>
    </w:p>
    <w:p w14:paraId="068964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32C49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7AE70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5C366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8F27D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967A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5136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57FA26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D1785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9651337">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08DE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（四）商务条款偏离表</w:t>
      </w:r>
    </w:p>
    <w:p w14:paraId="651D5C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DFDDF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69"/>
        <w:gridCol w:w="1523"/>
        <w:gridCol w:w="1949"/>
        <w:gridCol w:w="1096"/>
        <w:gridCol w:w="2589"/>
      </w:tblGrid>
      <w:tr w14:paraId="64D5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2482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D264D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64C8B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8FC20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57924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799618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3EA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DFEB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2FBC53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5221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25FA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5710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6C102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7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F607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0DA91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1CF1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12827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E5C5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E92CF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E39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AC67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0D0B9A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EB03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A066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767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1F850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8D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87D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8CC5F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23E3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0515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86AC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0A9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6AF1B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13DF38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BF599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61EB5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062D2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196A84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97935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CC6F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658A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说明：1、如投标人提交的商务条款与招标文件的要求存在偏离，需逐项填写《商务条款偏离表》。</w:t>
      </w:r>
    </w:p>
    <w:p w14:paraId="7E998D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7F8C00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63A0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（五）技术条款偏离表</w:t>
      </w:r>
    </w:p>
    <w:p w14:paraId="58FD18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1DAC44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31B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1122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6FE85F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12C9BD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A6FBE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B84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12057B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43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4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54D74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57F0F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5C43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F3D5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D89B1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55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9683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A794E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E5E59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6AB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8BD3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73C49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F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ECC9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9E729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5C6B8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9A80D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DE10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88AF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DA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F085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106F7C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2794C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0D181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7C2C5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79A3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37B9B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E4BE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83C0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FF508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48504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7AAF2F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3CCE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4762D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说明：1、如投标人提交的技术条款与招标文件的要求存在偏离，需逐项填写《技术条款偏离表》。</w:t>
      </w:r>
    </w:p>
    <w:p w14:paraId="4A6FF8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4A4645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E9F8E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（六）商务部分资料清单</w:t>
      </w:r>
      <w:r>
        <w:rPr>
          <w:rFonts w:hint="eastAsia" w:ascii="宋体" w:hAnsi="宋体" w:eastAsia="宋体" w:cs="宋体"/>
          <w:sz w:val="24"/>
          <w:szCs w:val="24"/>
          <w:lang w:val="en-US" w:eastAsia="zh-CN"/>
        </w:rPr>
        <w:t>（若有，格式自拟）</w:t>
      </w:r>
    </w:p>
    <w:p w14:paraId="0703BD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751D90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364C9A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20F7D8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1B046E9F">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1B97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（七）业绩一览表（若有）</w:t>
      </w:r>
    </w:p>
    <w:p w14:paraId="009AEE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EFBA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01F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47C7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30402E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3EAA42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7AAE05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2D33A5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2D4A0B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366CEF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7AF3D8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A8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5CCC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8685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B4F1A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6F53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788D9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BF9B2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EE45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4252F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F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3464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FD3F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8694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043E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6670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1493C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6B00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4A97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1E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2A9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D27F0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9A8B6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098C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FD86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CDA1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1562B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DE6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29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98A5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934EA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DDF3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36191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CEBD8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A0FA9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B5E22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E04FA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39F901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59AE6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DD523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77A74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6FBE3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FFECF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C4980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3F87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751E38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6142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（八）项目管理机构一览表（若有）</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70D9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DEF6E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3EC49D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31E035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57D060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1984DD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30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2F15F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9715E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33DD1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BA59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7374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8B0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AC0DE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7C979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C170E2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6FF6A8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E731C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BC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79F70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0DD7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1BDC5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38019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F7DB1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88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BEB7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2AC54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123A4B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FFFE1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8C958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2B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8AC5E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0190C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D6C2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5E592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BE408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AA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E328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A5FFC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4FFE5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1CF841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A2462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B0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FD8C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4572F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0AC72C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2A6D9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9C7B5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4C2C9E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85819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AB6D1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5A767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D2F2A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89406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F5CDB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42E5CC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53EC124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A22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（九）技术部分资料清单</w:t>
      </w:r>
      <w:r>
        <w:rPr>
          <w:rFonts w:hint="eastAsia" w:ascii="宋体" w:hAnsi="宋体" w:eastAsia="宋体" w:cs="宋体"/>
          <w:sz w:val="24"/>
          <w:szCs w:val="24"/>
          <w:lang w:val="en-US" w:eastAsia="zh-CN"/>
        </w:rPr>
        <w:t>（若有，格式自拟）</w:t>
      </w:r>
    </w:p>
    <w:p w14:paraId="1C9644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217A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64298E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428CDA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57A8353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C7F23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sz w:val="24"/>
          <w:szCs w:val="24"/>
          <w:lang w:val="en-US" w:eastAsia="zh-CN"/>
        </w:rPr>
        <w:t>（十）投标文件中的附加条件（若有，格式自拟）</w:t>
      </w:r>
    </w:p>
    <w:p w14:paraId="3A648A8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B56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CA67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CA67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A19FE"/>
    <w:rsid w:val="0A993E0F"/>
    <w:rsid w:val="0C344DB1"/>
    <w:rsid w:val="29970251"/>
    <w:rsid w:val="29FC585A"/>
    <w:rsid w:val="2FE319A1"/>
    <w:rsid w:val="33336223"/>
    <w:rsid w:val="35426BA2"/>
    <w:rsid w:val="3F01184A"/>
    <w:rsid w:val="431A4F12"/>
    <w:rsid w:val="57367609"/>
    <w:rsid w:val="5C0A19FE"/>
    <w:rsid w:val="5D581932"/>
    <w:rsid w:val="610D716F"/>
    <w:rsid w:val="67A2286C"/>
    <w:rsid w:val="70D0347E"/>
    <w:rsid w:val="77FC4ABD"/>
    <w:rsid w:val="7D924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5"/>
    <w:next w:val="1"/>
    <w:qFormat/>
    <w:uiPriority w:val="0"/>
    <w:pPr>
      <w:keepNext/>
      <w:autoSpaceDE w:val="0"/>
      <w:autoSpaceDN w:val="0"/>
      <w:adjustRightInd w:val="0"/>
      <w:outlineLvl w:val="4"/>
    </w:pPr>
    <w:rPr>
      <w:rFonts w:ascii="宋体"/>
      <w:color w:val="000000"/>
      <w:kern w:val="0"/>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2"/>
    <w:qFormat/>
    <w:uiPriority w:val="0"/>
    <w:rPr>
      <w:rFonts w:ascii="楷体_GB2312" w:hAnsi="Arial" w:eastAsia="楷体_GB2312"/>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table" w:customStyle="1" w:styleId="14">
    <w:name w:val="灰色表头"/>
    <w:basedOn w:val="10"/>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15642</Words>
  <Characters>17088</Characters>
  <Lines>0</Lines>
  <Paragraphs>0</Paragraphs>
  <TotalTime>26</TotalTime>
  <ScaleCrop>false</ScaleCrop>
  <LinksUpToDate>false</LinksUpToDate>
  <CharactersWithSpaces>17162</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2026-04-28T03:59:00Z</dcterms:created>
  <dc:creator>！</dc:creator>
  <cp:lastModifiedBy>！</cp:lastModifiedBy>
  <dcterms:modified xsi:type="dcterms:W3CDTF">2026-04-30T05:41:46Z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C92F40A434024209AE125B5058B720C7_11</vt:lpwstr>
  </property>
  <property fmtid="{D5CDD505-2E9C-101B-9397-08002B2CF9AE}" pid="4" name="KSOTemplateDocerSaveRecord">
    <vt:lpwstr>eyJoZGlkIjoiMTliMDc2ZjMyNTJmNDhmMzdiNmNhZGU4MzFiNzkzYmMiLCJ1c2VySWQiOiIyNzEwNzY1ODMifQ==</vt:lpwstr>
  </property>
</Properties>
</file>