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49AA7">
      <w:pPr>
        <w:snapToGrid w:val="0"/>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  </w:t>
      </w:r>
    </w:p>
    <w:p w14:paraId="7C33FC8D">
      <w:pPr>
        <w:snapToGrid w:val="0"/>
        <w:spacing w:line="360" w:lineRule="auto"/>
        <w:jc w:val="center"/>
        <w:rPr>
          <w:rFonts w:hint="eastAsia" w:ascii="宋体" w:hAnsi="宋体" w:eastAsia="宋体" w:cs="宋体"/>
          <w:b/>
          <w:color w:val="auto"/>
          <w:sz w:val="24"/>
          <w:szCs w:val="24"/>
          <w:highlight w:val="none"/>
        </w:rPr>
      </w:pPr>
    </w:p>
    <w:p w14:paraId="13EAEB2E">
      <w:pPr>
        <w:snapToGrid w:val="0"/>
        <w:spacing w:line="360" w:lineRule="auto"/>
        <w:jc w:val="center"/>
        <w:rPr>
          <w:rFonts w:hint="eastAsia" w:ascii="宋体" w:hAnsi="宋体" w:eastAsia="宋体" w:cs="宋体"/>
          <w:b/>
          <w:color w:val="auto"/>
          <w:sz w:val="36"/>
          <w:szCs w:val="36"/>
          <w:highlight w:val="none"/>
        </w:rPr>
      </w:pPr>
    </w:p>
    <w:p w14:paraId="13624C92">
      <w:pPr>
        <w:snapToGrid w:val="0"/>
        <w:spacing w:line="360" w:lineRule="auto"/>
        <w:jc w:val="center"/>
        <w:rPr>
          <w:rFonts w:hint="eastAsia" w:ascii="宋体" w:hAnsi="宋体" w:eastAsia="宋体" w:cs="宋体"/>
          <w:b/>
          <w:color w:val="auto"/>
          <w:sz w:val="36"/>
          <w:szCs w:val="36"/>
          <w:highlight w:val="none"/>
        </w:rPr>
      </w:pPr>
    </w:p>
    <w:p w14:paraId="756258EC">
      <w:pPr>
        <w:snapToGrid w:val="0"/>
        <w:spacing w:line="360" w:lineRule="auto"/>
        <w:jc w:val="center"/>
        <w:rPr>
          <w:rStyle w:val="38"/>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竞 争 性 磋 商 文 件</w:t>
      </w:r>
    </w:p>
    <w:p w14:paraId="2E9CC874">
      <w:pPr>
        <w:snapToGrid w:val="0"/>
        <w:spacing w:line="360" w:lineRule="auto"/>
        <w:jc w:val="center"/>
        <w:rPr>
          <w:rStyle w:val="38"/>
          <w:rFonts w:hint="eastAsia" w:ascii="宋体" w:hAnsi="宋体" w:eastAsia="宋体" w:cs="宋体"/>
          <w:b w:val="0"/>
          <w:bCs/>
          <w:color w:val="auto"/>
          <w:sz w:val="24"/>
          <w:szCs w:val="24"/>
          <w:highlight w:val="none"/>
        </w:rPr>
      </w:pPr>
    </w:p>
    <w:p w14:paraId="05C03B46">
      <w:pPr>
        <w:pStyle w:val="11"/>
        <w:spacing w:line="360" w:lineRule="auto"/>
        <w:rPr>
          <w:rStyle w:val="38"/>
          <w:rFonts w:hint="eastAsia" w:ascii="宋体" w:hAnsi="宋体" w:eastAsia="宋体" w:cs="宋体"/>
          <w:b w:val="0"/>
          <w:bCs/>
          <w:color w:val="auto"/>
          <w:sz w:val="24"/>
          <w:szCs w:val="24"/>
          <w:highlight w:val="none"/>
        </w:rPr>
      </w:pPr>
    </w:p>
    <w:p w14:paraId="0E0BA55C">
      <w:pPr>
        <w:spacing w:line="360" w:lineRule="auto"/>
        <w:rPr>
          <w:rFonts w:hint="eastAsia" w:ascii="宋体" w:hAnsi="宋体" w:eastAsia="宋体" w:cs="宋体"/>
          <w:color w:val="auto"/>
          <w:sz w:val="24"/>
          <w:szCs w:val="24"/>
          <w:highlight w:val="none"/>
        </w:rPr>
      </w:pPr>
    </w:p>
    <w:p w14:paraId="7F2488F8">
      <w:pPr>
        <w:pStyle w:val="6"/>
        <w:spacing w:line="360" w:lineRule="auto"/>
        <w:rPr>
          <w:rFonts w:hint="eastAsia" w:ascii="宋体" w:hAnsi="宋体" w:eastAsia="宋体" w:cs="宋体"/>
          <w:color w:val="auto"/>
          <w:sz w:val="24"/>
          <w:szCs w:val="24"/>
          <w:highlight w:val="none"/>
        </w:rPr>
      </w:pPr>
    </w:p>
    <w:p w14:paraId="4F5D2469">
      <w:pPr>
        <w:pStyle w:val="20"/>
        <w:spacing w:line="360" w:lineRule="auto"/>
        <w:rPr>
          <w:rFonts w:hint="eastAsia" w:ascii="宋体" w:hAnsi="宋体" w:eastAsia="宋体" w:cs="宋体"/>
          <w:color w:val="auto"/>
          <w:sz w:val="24"/>
          <w:szCs w:val="24"/>
          <w:highlight w:val="none"/>
        </w:rPr>
      </w:pPr>
    </w:p>
    <w:p w14:paraId="6BB3D8F9">
      <w:pPr>
        <w:spacing w:line="360" w:lineRule="auto"/>
        <w:rPr>
          <w:rFonts w:hint="eastAsia" w:ascii="宋体" w:hAnsi="宋体" w:eastAsia="宋体" w:cs="宋体"/>
          <w:color w:val="auto"/>
          <w:highlight w:val="none"/>
        </w:rPr>
      </w:pPr>
    </w:p>
    <w:p w14:paraId="1F610B57">
      <w:pPr>
        <w:snapToGrid w:val="0"/>
        <w:spacing w:line="360" w:lineRule="auto"/>
        <w:jc w:val="center"/>
        <w:rPr>
          <w:rStyle w:val="38"/>
          <w:rFonts w:hint="eastAsia" w:ascii="宋体" w:hAnsi="宋体" w:eastAsia="宋体" w:cs="宋体"/>
          <w:b w:val="0"/>
          <w:bCs/>
          <w:color w:val="auto"/>
          <w:sz w:val="24"/>
          <w:szCs w:val="24"/>
          <w:highlight w:val="none"/>
        </w:rPr>
      </w:pPr>
    </w:p>
    <w:p w14:paraId="619D95BC">
      <w:pPr>
        <w:snapToGrid w:val="0"/>
        <w:spacing w:line="360" w:lineRule="auto"/>
        <w:ind w:firstLine="357"/>
        <w:rPr>
          <w:rFonts w:hint="eastAsia" w:ascii="宋体" w:hAnsi="宋体" w:eastAsia="宋体" w:cs="宋体"/>
          <w:b w:val="0"/>
          <w:bCs/>
          <w:color w:val="auto"/>
          <w:kern w:val="0"/>
          <w:sz w:val="24"/>
          <w:szCs w:val="24"/>
          <w:highlight w:val="none"/>
          <w:lang w:val="en-US" w:eastAsia="zh-CN"/>
        </w:rPr>
      </w:pPr>
      <w:r>
        <w:rPr>
          <w:rStyle w:val="39"/>
          <w:rFonts w:hint="eastAsia" w:ascii="宋体" w:hAnsi="宋体" w:eastAsia="宋体" w:cs="宋体"/>
          <w:b w:val="0"/>
          <w:bCs/>
          <w:color w:val="auto"/>
          <w:sz w:val="24"/>
          <w:szCs w:val="24"/>
          <w:highlight w:val="none"/>
        </w:rPr>
        <w:t>项目名称：</w:t>
      </w:r>
      <w:r>
        <w:rPr>
          <w:rFonts w:hint="eastAsia" w:ascii="宋体" w:hAnsi="宋体" w:eastAsia="宋体" w:cs="宋体"/>
          <w:b w:val="0"/>
          <w:bCs/>
          <w:color w:val="auto"/>
          <w:kern w:val="0"/>
          <w:sz w:val="24"/>
          <w:szCs w:val="24"/>
          <w:highlight w:val="none"/>
          <w:lang w:val="en-US" w:eastAsia="zh-CN"/>
        </w:rPr>
        <w:t>新疆师范大学大数据分析系统服务项目</w:t>
      </w:r>
    </w:p>
    <w:p w14:paraId="17A1DD80">
      <w:pPr>
        <w:snapToGrid w:val="0"/>
        <w:spacing w:line="360" w:lineRule="auto"/>
        <w:ind w:firstLine="357"/>
        <w:rPr>
          <w:rStyle w:val="39"/>
          <w:rFonts w:hint="eastAsia" w:ascii="宋体" w:hAnsi="宋体" w:eastAsia="宋体" w:cs="宋体"/>
          <w:b w:val="0"/>
          <w:bCs/>
          <w:color w:val="auto"/>
          <w:sz w:val="24"/>
          <w:szCs w:val="24"/>
          <w:highlight w:val="none"/>
          <w:lang w:val="en-US" w:eastAsia="zh-CN"/>
        </w:rPr>
      </w:pPr>
      <w:r>
        <w:rPr>
          <w:rStyle w:val="39"/>
          <w:rFonts w:hint="eastAsia" w:ascii="宋体" w:hAnsi="宋体" w:eastAsia="宋体" w:cs="宋体"/>
          <w:b w:val="0"/>
          <w:bCs/>
          <w:color w:val="auto"/>
          <w:sz w:val="24"/>
          <w:szCs w:val="24"/>
          <w:highlight w:val="none"/>
          <w:lang w:val="en-US" w:eastAsia="zh-CN"/>
        </w:rPr>
        <w:t>项目编号：[2026]10504号</w:t>
      </w:r>
    </w:p>
    <w:p w14:paraId="361A6179">
      <w:pPr>
        <w:snapToGrid w:val="0"/>
        <w:spacing w:line="360" w:lineRule="auto"/>
        <w:ind w:firstLine="357"/>
        <w:rPr>
          <w:rStyle w:val="39"/>
          <w:rFonts w:hint="eastAsia" w:ascii="宋体" w:hAnsi="宋体" w:eastAsia="宋体" w:cs="宋体"/>
          <w:b w:val="0"/>
          <w:bCs/>
          <w:color w:val="auto"/>
          <w:sz w:val="24"/>
          <w:szCs w:val="24"/>
          <w:highlight w:val="none"/>
          <w:lang w:val="en-US" w:eastAsia="zh-CN"/>
        </w:rPr>
      </w:pPr>
      <w:r>
        <w:rPr>
          <w:rStyle w:val="39"/>
          <w:rFonts w:hint="eastAsia" w:ascii="宋体" w:hAnsi="宋体" w:eastAsia="宋体" w:cs="宋体"/>
          <w:b w:val="0"/>
          <w:bCs/>
          <w:color w:val="auto"/>
          <w:sz w:val="24"/>
          <w:szCs w:val="24"/>
          <w:highlight w:val="none"/>
          <w:lang w:val="en-US" w:eastAsia="zh-CN"/>
        </w:rPr>
        <w:t>采购人（盖章）:新疆师范大学</w:t>
      </w:r>
    </w:p>
    <w:p w14:paraId="0E5728A4">
      <w:pPr>
        <w:snapToGrid w:val="0"/>
        <w:spacing w:line="360" w:lineRule="auto"/>
        <w:ind w:firstLine="357"/>
        <w:rPr>
          <w:rStyle w:val="39"/>
          <w:rFonts w:hint="eastAsia" w:ascii="宋体" w:hAnsi="宋体" w:eastAsia="宋体" w:cs="宋体"/>
          <w:b w:val="0"/>
          <w:bCs/>
          <w:color w:val="auto"/>
          <w:sz w:val="24"/>
          <w:szCs w:val="24"/>
          <w:highlight w:val="none"/>
          <w:lang w:val="en-US" w:eastAsia="zh-CN"/>
        </w:rPr>
      </w:pPr>
      <w:r>
        <w:rPr>
          <w:rStyle w:val="39"/>
          <w:rFonts w:hint="eastAsia" w:ascii="宋体" w:hAnsi="宋体" w:eastAsia="宋体" w:cs="宋体"/>
          <w:b w:val="0"/>
          <w:bCs/>
          <w:color w:val="auto"/>
          <w:sz w:val="24"/>
          <w:szCs w:val="24"/>
          <w:highlight w:val="none"/>
          <w:lang w:val="en-US" w:eastAsia="zh-CN"/>
        </w:rPr>
        <w:t>联系人：杨老师</w:t>
      </w:r>
    </w:p>
    <w:p w14:paraId="3DB3FB32">
      <w:pPr>
        <w:snapToGrid w:val="0"/>
        <w:spacing w:line="360" w:lineRule="auto"/>
        <w:ind w:firstLine="357"/>
        <w:rPr>
          <w:rStyle w:val="39"/>
          <w:rFonts w:hint="eastAsia" w:ascii="宋体" w:hAnsi="宋体" w:eastAsia="宋体" w:cs="宋体"/>
          <w:b w:val="0"/>
          <w:bCs/>
          <w:color w:val="auto"/>
          <w:sz w:val="24"/>
          <w:szCs w:val="24"/>
          <w:highlight w:val="none"/>
          <w:lang w:val="en-US" w:eastAsia="zh-CN"/>
        </w:rPr>
      </w:pPr>
      <w:r>
        <w:rPr>
          <w:rStyle w:val="39"/>
          <w:rFonts w:hint="eastAsia" w:ascii="宋体" w:hAnsi="宋体" w:eastAsia="宋体" w:cs="宋体"/>
          <w:b w:val="0"/>
          <w:bCs/>
          <w:color w:val="auto"/>
          <w:sz w:val="24"/>
          <w:szCs w:val="24"/>
          <w:highlight w:val="none"/>
          <w:lang w:val="en-US" w:eastAsia="zh-CN"/>
        </w:rPr>
        <w:t>电话：0991-7654181</w:t>
      </w:r>
    </w:p>
    <w:p w14:paraId="6912F3CD">
      <w:pPr>
        <w:snapToGrid w:val="0"/>
        <w:spacing w:line="360" w:lineRule="auto"/>
        <w:ind w:firstLine="357"/>
        <w:rPr>
          <w:rStyle w:val="39"/>
          <w:rFonts w:hint="eastAsia" w:ascii="宋体" w:hAnsi="宋体" w:eastAsia="宋体" w:cs="宋体"/>
          <w:bCs/>
          <w:sz w:val="24"/>
          <w:szCs w:val="24"/>
          <w:highlight w:val="none"/>
          <w:lang w:val="en-US" w:eastAsia="zh-CN"/>
        </w:rPr>
      </w:pPr>
      <w:r>
        <w:rPr>
          <w:rStyle w:val="39"/>
          <w:rFonts w:hint="eastAsia" w:ascii="宋体" w:hAnsi="宋体" w:eastAsia="宋体" w:cs="宋体"/>
          <w:bCs/>
          <w:sz w:val="24"/>
          <w:szCs w:val="24"/>
          <w:highlight w:val="none"/>
        </w:rPr>
        <w:t>详细地址：新疆乌鲁木齐市</w:t>
      </w:r>
      <w:r>
        <w:rPr>
          <w:rStyle w:val="39"/>
          <w:rFonts w:hint="eastAsia" w:ascii="宋体" w:hAnsi="宋体" w:eastAsia="宋体" w:cs="宋体"/>
          <w:bCs/>
          <w:sz w:val="24"/>
          <w:szCs w:val="24"/>
          <w:highlight w:val="none"/>
          <w:lang w:val="en-US" w:eastAsia="zh-CN"/>
        </w:rPr>
        <w:t>水磨沟区观园路100号</w:t>
      </w:r>
    </w:p>
    <w:p w14:paraId="0D12AC60">
      <w:pPr>
        <w:snapToGrid w:val="0"/>
        <w:spacing w:line="360" w:lineRule="auto"/>
        <w:ind w:firstLine="357"/>
        <w:rPr>
          <w:rStyle w:val="39"/>
          <w:rFonts w:hint="eastAsia" w:ascii="宋体" w:hAnsi="宋体" w:eastAsia="宋体" w:cs="宋体"/>
          <w:bCs/>
          <w:sz w:val="24"/>
          <w:szCs w:val="24"/>
          <w:highlight w:val="none"/>
        </w:rPr>
      </w:pPr>
    </w:p>
    <w:p w14:paraId="5C71317A">
      <w:pPr>
        <w:snapToGrid w:val="0"/>
        <w:spacing w:line="360" w:lineRule="auto"/>
        <w:ind w:firstLine="357"/>
        <w:rPr>
          <w:rStyle w:val="39"/>
          <w:rFonts w:hint="eastAsia" w:ascii="宋体" w:hAnsi="宋体" w:eastAsia="宋体" w:cs="宋体"/>
          <w:bCs/>
          <w:sz w:val="24"/>
          <w:szCs w:val="24"/>
          <w:highlight w:val="none"/>
        </w:rPr>
      </w:pPr>
      <w:r>
        <w:rPr>
          <w:rStyle w:val="39"/>
          <w:rFonts w:hint="eastAsia" w:ascii="宋体" w:hAnsi="宋体" w:eastAsia="宋体" w:cs="宋体"/>
          <w:bCs/>
          <w:sz w:val="24"/>
          <w:szCs w:val="24"/>
          <w:highlight w:val="none"/>
        </w:rPr>
        <w:t>采购代理机构（盖章）:新疆拓源工程管理咨询有限公司</w:t>
      </w:r>
    </w:p>
    <w:p w14:paraId="3B414526">
      <w:pPr>
        <w:snapToGrid w:val="0"/>
        <w:spacing w:line="360" w:lineRule="auto"/>
        <w:ind w:firstLine="357"/>
        <w:rPr>
          <w:rFonts w:hint="eastAsia" w:ascii="宋体" w:hAnsi="宋体" w:eastAsia="宋体" w:cs="宋体"/>
          <w:bCs/>
          <w:sz w:val="24"/>
          <w:szCs w:val="24"/>
          <w:highlight w:val="none"/>
        </w:rPr>
      </w:pPr>
      <w:r>
        <w:rPr>
          <w:rStyle w:val="39"/>
          <w:rFonts w:hint="eastAsia" w:ascii="宋体" w:hAnsi="宋体" w:eastAsia="宋体" w:cs="宋体"/>
          <w:bCs/>
          <w:spacing w:val="35"/>
          <w:kern w:val="0"/>
          <w:sz w:val="24"/>
          <w:szCs w:val="24"/>
          <w:highlight w:val="none"/>
        </w:rPr>
        <w:t>法定代表</w:t>
      </w:r>
      <w:r>
        <w:rPr>
          <w:rStyle w:val="39"/>
          <w:rFonts w:hint="eastAsia" w:ascii="宋体" w:hAnsi="宋体" w:eastAsia="宋体" w:cs="宋体"/>
          <w:bCs/>
          <w:spacing w:val="3"/>
          <w:kern w:val="0"/>
          <w:sz w:val="24"/>
          <w:szCs w:val="24"/>
          <w:highlight w:val="none"/>
        </w:rPr>
        <w:t>人</w:t>
      </w:r>
      <w:r>
        <w:rPr>
          <w:rStyle w:val="39"/>
          <w:rFonts w:hint="eastAsia" w:ascii="宋体" w:hAnsi="宋体" w:eastAsia="宋体" w:cs="宋体"/>
          <w:bCs/>
          <w:sz w:val="24"/>
          <w:szCs w:val="24"/>
          <w:highlight w:val="none"/>
        </w:rPr>
        <w:t>（盖章）:石崇华</w:t>
      </w:r>
    </w:p>
    <w:p w14:paraId="65244BB6">
      <w:pPr>
        <w:snapToGrid w:val="0"/>
        <w:spacing w:line="360" w:lineRule="auto"/>
        <w:ind w:firstLine="357"/>
        <w:rPr>
          <w:rStyle w:val="39"/>
          <w:rFonts w:hint="eastAsia" w:ascii="宋体" w:hAnsi="宋体" w:eastAsia="宋体" w:cs="宋体"/>
          <w:bCs/>
          <w:sz w:val="24"/>
          <w:szCs w:val="24"/>
          <w:highlight w:val="none"/>
        </w:rPr>
      </w:pPr>
      <w:r>
        <w:rPr>
          <w:rStyle w:val="39"/>
          <w:rFonts w:hint="eastAsia" w:ascii="宋体" w:hAnsi="宋体" w:eastAsia="宋体" w:cs="宋体"/>
          <w:bCs/>
          <w:spacing w:val="35"/>
          <w:kern w:val="0"/>
          <w:sz w:val="24"/>
          <w:szCs w:val="24"/>
          <w:highlight w:val="none"/>
        </w:rPr>
        <w:t>项 目 联系人</w:t>
      </w:r>
      <w:r>
        <w:rPr>
          <w:rStyle w:val="39"/>
          <w:rFonts w:hint="eastAsia" w:ascii="宋体" w:hAnsi="宋体" w:eastAsia="宋体" w:cs="宋体"/>
          <w:bCs/>
          <w:sz w:val="24"/>
          <w:szCs w:val="24"/>
          <w:highlight w:val="none"/>
        </w:rPr>
        <w:t>：金山虎、黄莎莎</w:t>
      </w:r>
    </w:p>
    <w:p w14:paraId="39F38A3C">
      <w:pPr>
        <w:snapToGrid w:val="0"/>
        <w:spacing w:line="360" w:lineRule="auto"/>
        <w:ind w:firstLine="357"/>
        <w:rPr>
          <w:rStyle w:val="39"/>
          <w:rFonts w:hint="eastAsia" w:ascii="宋体" w:hAnsi="宋体" w:eastAsia="宋体" w:cs="宋体"/>
          <w:bCs/>
          <w:sz w:val="24"/>
          <w:szCs w:val="24"/>
          <w:highlight w:val="none"/>
        </w:rPr>
      </w:pPr>
      <w:r>
        <w:rPr>
          <w:rStyle w:val="39"/>
          <w:rFonts w:hint="eastAsia" w:ascii="宋体" w:hAnsi="宋体" w:eastAsia="宋体" w:cs="宋体"/>
          <w:bCs/>
          <w:spacing w:val="560"/>
          <w:kern w:val="0"/>
          <w:sz w:val="24"/>
          <w:szCs w:val="24"/>
          <w:highlight w:val="none"/>
        </w:rPr>
        <w:t>电</w:t>
      </w:r>
      <w:r>
        <w:rPr>
          <w:rStyle w:val="39"/>
          <w:rFonts w:hint="eastAsia" w:ascii="宋体" w:hAnsi="宋体" w:eastAsia="宋体" w:cs="宋体"/>
          <w:bCs/>
          <w:kern w:val="0"/>
          <w:sz w:val="24"/>
          <w:szCs w:val="24"/>
          <w:highlight w:val="none"/>
        </w:rPr>
        <w:t>话</w:t>
      </w:r>
      <w:r>
        <w:rPr>
          <w:rStyle w:val="39"/>
          <w:rFonts w:hint="eastAsia" w:ascii="宋体" w:hAnsi="宋体" w:eastAsia="宋体" w:cs="宋体"/>
          <w:bCs/>
          <w:sz w:val="24"/>
          <w:szCs w:val="24"/>
          <w:highlight w:val="none"/>
        </w:rPr>
        <w:t>：13209920205、15099530785</w:t>
      </w:r>
    </w:p>
    <w:p w14:paraId="7B438C70">
      <w:pPr>
        <w:snapToGrid w:val="0"/>
        <w:spacing w:line="360" w:lineRule="auto"/>
        <w:ind w:firstLine="357"/>
        <w:rPr>
          <w:rStyle w:val="39"/>
          <w:rFonts w:hint="eastAsia" w:ascii="宋体" w:hAnsi="宋体" w:eastAsia="宋体" w:cs="宋体"/>
          <w:bCs/>
          <w:sz w:val="28"/>
          <w:szCs w:val="28"/>
          <w:highlight w:val="none"/>
        </w:rPr>
      </w:pPr>
      <w:r>
        <w:rPr>
          <w:rStyle w:val="39"/>
          <w:rFonts w:hint="eastAsia" w:ascii="宋体" w:hAnsi="宋体" w:eastAsia="宋体" w:cs="宋体"/>
          <w:bCs/>
          <w:spacing w:val="93"/>
          <w:kern w:val="0"/>
          <w:sz w:val="24"/>
          <w:szCs w:val="24"/>
          <w:highlight w:val="none"/>
        </w:rPr>
        <w:t>详细地</w:t>
      </w:r>
      <w:r>
        <w:rPr>
          <w:rStyle w:val="39"/>
          <w:rFonts w:hint="eastAsia" w:ascii="宋体" w:hAnsi="宋体" w:eastAsia="宋体" w:cs="宋体"/>
          <w:bCs/>
          <w:spacing w:val="1"/>
          <w:kern w:val="0"/>
          <w:sz w:val="24"/>
          <w:szCs w:val="24"/>
          <w:highlight w:val="none"/>
        </w:rPr>
        <w:t>址：</w:t>
      </w:r>
      <w:r>
        <w:rPr>
          <w:rStyle w:val="39"/>
          <w:rFonts w:hint="eastAsia" w:ascii="宋体" w:hAnsi="宋体" w:eastAsia="宋体" w:cs="宋体"/>
          <w:bCs/>
          <w:sz w:val="24"/>
          <w:szCs w:val="24"/>
          <w:highlight w:val="none"/>
        </w:rPr>
        <w:t>乌鲁木齐市水磨沟区龙盛街898号万科中央公园S6栋5层</w:t>
      </w:r>
    </w:p>
    <w:p w14:paraId="66C044B6">
      <w:pPr>
        <w:snapToGrid w:val="0"/>
        <w:spacing w:after="120" w:line="360" w:lineRule="auto"/>
        <w:ind w:firstLine="437"/>
        <w:jc w:val="center"/>
        <w:rPr>
          <w:rFonts w:hint="eastAsia" w:ascii="宋体" w:hAnsi="宋体" w:eastAsia="宋体" w:cs="宋体"/>
          <w:color w:val="auto"/>
          <w:sz w:val="24"/>
          <w:szCs w:val="24"/>
          <w:highlight w:val="none"/>
        </w:rPr>
      </w:pPr>
    </w:p>
    <w:p w14:paraId="5F7BE344">
      <w:pPr>
        <w:snapToGrid w:val="0"/>
        <w:spacing w:after="120" w:line="360" w:lineRule="auto"/>
        <w:ind w:firstLine="437"/>
        <w:jc w:val="center"/>
        <w:rPr>
          <w:rFonts w:hint="eastAsia" w:ascii="宋体" w:hAnsi="宋体" w:eastAsia="宋体" w:cs="宋体"/>
          <w:color w:val="auto"/>
          <w:sz w:val="24"/>
          <w:szCs w:val="24"/>
          <w:highlight w:val="none"/>
        </w:rPr>
      </w:pPr>
    </w:p>
    <w:p w14:paraId="09D37600">
      <w:pPr>
        <w:snapToGrid w:val="0"/>
        <w:spacing w:after="120" w:line="360" w:lineRule="auto"/>
        <w:rPr>
          <w:rFonts w:hint="eastAsia" w:ascii="宋体" w:hAnsi="宋体" w:eastAsia="宋体" w:cs="宋体"/>
          <w:color w:val="auto"/>
          <w:sz w:val="24"/>
          <w:szCs w:val="24"/>
          <w:highlight w:val="none"/>
        </w:rPr>
      </w:pPr>
    </w:p>
    <w:p w14:paraId="101B4257">
      <w:pPr>
        <w:snapToGrid w:val="0"/>
        <w:spacing w:after="120" w:line="360" w:lineRule="auto"/>
        <w:ind w:firstLine="437"/>
        <w:jc w:val="center"/>
        <w:rPr>
          <w:rFonts w:hint="eastAsia" w:ascii="宋体" w:hAnsi="宋体" w:eastAsia="宋体" w:cs="宋体"/>
          <w:color w:val="auto"/>
          <w:sz w:val="24"/>
          <w:szCs w:val="24"/>
          <w:highlight w:val="none"/>
        </w:rPr>
      </w:pPr>
    </w:p>
    <w:p w14:paraId="56E17F40">
      <w:pPr>
        <w:snapToGrid w:val="0"/>
        <w:spacing w:after="12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文件编制:</w:t>
      </w:r>
      <w:r>
        <w:rPr>
          <w:rFonts w:hint="eastAsia" w:ascii="宋体" w:hAnsi="宋体" w:eastAsia="宋体" w:cs="宋体"/>
          <w:color w:val="auto"/>
          <w:sz w:val="24"/>
          <w:szCs w:val="24"/>
          <w:highlight w:val="none"/>
          <w:lang w:val="en-US" w:eastAsia="zh-CN"/>
        </w:rPr>
        <w:t>黄莎莎</w:t>
      </w:r>
    </w:p>
    <w:p w14:paraId="30163B69">
      <w:pPr>
        <w:snapToGrid w:val="0"/>
        <w:spacing w:after="12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文件复核:</w:t>
      </w:r>
      <w:r>
        <w:rPr>
          <w:rFonts w:hint="eastAsia" w:ascii="宋体" w:hAnsi="宋体" w:eastAsia="宋体" w:cs="宋体"/>
          <w:color w:val="auto"/>
          <w:sz w:val="24"/>
          <w:szCs w:val="24"/>
          <w:highlight w:val="none"/>
          <w:lang w:val="en-US" w:eastAsia="zh-CN"/>
        </w:rPr>
        <w:t>金山虎</w:t>
      </w:r>
    </w:p>
    <w:p w14:paraId="71126863">
      <w:pPr>
        <w:snapToGrid w:val="0"/>
        <w:spacing w:after="12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文件终审:</w:t>
      </w:r>
      <w:r>
        <w:rPr>
          <w:rFonts w:hint="eastAsia" w:ascii="宋体" w:hAnsi="宋体" w:eastAsia="宋体" w:cs="宋体"/>
          <w:color w:val="auto"/>
          <w:sz w:val="24"/>
          <w:szCs w:val="24"/>
          <w:highlight w:val="none"/>
          <w:lang w:val="en-US" w:eastAsia="zh-CN"/>
        </w:rPr>
        <w:t>张曼</w:t>
      </w:r>
      <w:r>
        <w:rPr>
          <w:rFonts w:hint="eastAsia" w:ascii="宋体" w:hAnsi="宋体" w:eastAsia="宋体" w:cs="宋体"/>
          <w:color w:val="auto"/>
          <w:sz w:val="24"/>
          <w:szCs w:val="24"/>
          <w:highlight w:val="none"/>
        </w:rPr>
        <w:t xml:space="preserve">  </w:t>
      </w:r>
    </w:p>
    <w:p w14:paraId="024CAB1B">
      <w:pPr>
        <w:snapToGrid w:val="0"/>
        <w:spacing w:after="12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法律顾问:杜红</w:t>
      </w:r>
    </w:p>
    <w:p w14:paraId="421FA8A3">
      <w:pPr>
        <w:snapToGrid w:val="0"/>
        <w:spacing w:after="120" w:line="360" w:lineRule="auto"/>
        <w:jc w:val="left"/>
        <w:rPr>
          <w:rFonts w:hint="eastAsia" w:ascii="宋体" w:hAnsi="宋体" w:eastAsia="宋体" w:cs="宋体"/>
          <w:color w:val="auto"/>
          <w:sz w:val="24"/>
          <w:szCs w:val="24"/>
          <w:highlight w:val="none"/>
        </w:rPr>
      </w:pPr>
    </w:p>
    <w:p w14:paraId="1C51F3EE">
      <w:pPr>
        <w:snapToGrid w:val="0"/>
        <w:spacing w:after="120" w:line="360" w:lineRule="auto"/>
        <w:jc w:val="left"/>
        <w:rPr>
          <w:rFonts w:hint="eastAsia" w:ascii="宋体" w:hAnsi="宋体" w:eastAsia="宋体" w:cs="宋体"/>
          <w:color w:val="auto"/>
          <w:sz w:val="24"/>
          <w:szCs w:val="24"/>
          <w:highlight w:val="none"/>
        </w:rPr>
      </w:pPr>
    </w:p>
    <w:p w14:paraId="735FECE7">
      <w:pPr>
        <w:snapToGrid w:val="0"/>
        <w:spacing w:after="120" w:line="360" w:lineRule="auto"/>
        <w:jc w:val="left"/>
        <w:rPr>
          <w:rFonts w:hint="eastAsia" w:ascii="宋体" w:hAnsi="宋体" w:eastAsia="宋体" w:cs="宋体"/>
          <w:color w:val="auto"/>
          <w:sz w:val="24"/>
          <w:szCs w:val="24"/>
          <w:highlight w:val="none"/>
        </w:rPr>
      </w:pPr>
    </w:p>
    <w:p w14:paraId="253F9298">
      <w:pPr>
        <w:snapToGrid w:val="0"/>
        <w:spacing w:after="120" w:line="360" w:lineRule="auto"/>
        <w:jc w:val="left"/>
        <w:rPr>
          <w:rFonts w:hint="eastAsia" w:ascii="宋体" w:hAnsi="宋体" w:eastAsia="宋体" w:cs="宋体"/>
          <w:color w:val="auto"/>
          <w:sz w:val="24"/>
          <w:szCs w:val="24"/>
          <w:highlight w:val="none"/>
        </w:rPr>
      </w:pPr>
    </w:p>
    <w:p w14:paraId="408D6005">
      <w:pPr>
        <w:snapToGrid w:val="0"/>
        <w:spacing w:after="120" w:line="360" w:lineRule="auto"/>
        <w:jc w:val="left"/>
        <w:rPr>
          <w:rFonts w:hint="eastAsia" w:ascii="宋体" w:hAnsi="宋体" w:eastAsia="宋体" w:cs="宋体"/>
          <w:color w:val="auto"/>
          <w:sz w:val="24"/>
          <w:szCs w:val="24"/>
          <w:highlight w:val="none"/>
        </w:rPr>
      </w:pPr>
    </w:p>
    <w:p w14:paraId="1A185678">
      <w:pPr>
        <w:snapToGrid w:val="0"/>
        <w:spacing w:after="120" w:line="360" w:lineRule="auto"/>
        <w:jc w:val="left"/>
        <w:rPr>
          <w:rFonts w:hint="eastAsia" w:ascii="宋体" w:hAnsi="宋体" w:eastAsia="宋体" w:cs="宋体"/>
          <w:color w:val="auto"/>
          <w:sz w:val="24"/>
          <w:szCs w:val="24"/>
          <w:highlight w:val="none"/>
        </w:rPr>
      </w:pPr>
    </w:p>
    <w:p w14:paraId="11EF73F8">
      <w:pPr>
        <w:snapToGrid w:val="0"/>
        <w:spacing w:after="120" w:line="360" w:lineRule="auto"/>
        <w:jc w:val="left"/>
        <w:rPr>
          <w:rFonts w:hint="eastAsia" w:ascii="宋体" w:hAnsi="宋体" w:eastAsia="宋体" w:cs="宋体"/>
          <w:color w:val="auto"/>
          <w:sz w:val="24"/>
          <w:szCs w:val="24"/>
          <w:highlight w:val="none"/>
        </w:rPr>
      </w:pPr>
    </w:p>
    <w:p w14:paraId="17899A6E">
      <w:pPr>
        <w:snapToGrid w:val="0"/>
        <w:spacing w:after="120" w:line="360" w:lineRule="auto"/>
        <w:jc w:val="left"/>
        <w:rPr>
          <w:rFonts w:hint="eastAsia" w:ascii="宋体" w:hAnsi="宋体" w:eastAsia="宋体" w:cs="宋体"/>
          <w:color w:val="auto"/>
          <w:sz w:val="24"/>
          <w:szCs w:val="24"/>
          <w:highlight w:val="none"/>
        </w:rPr>
      </w:pPr>
    </w:p>
    <w:p w14:paraId="0F6D7CF7">
      <w:pPr>
        <w:snapToGrid w:val="0"/>
        <w:spacing w:after="120" w:line="360" w:lineRule="auto"/>
        <w:jc w:val="left"/>
        <w:rPr>
          <w:rFonts w:hint="eastAsia" w:ascii="宋体" w:hAnsi="宋体" w:eastAsia="宋体" w:cs="宋体"/>
          <w:color w:val="auto"/>
          <w:sz w:val="24"/>
          <w:szCs w:val="24"/>
          <w:highlight w:val="none"/>
        </w:rPr>
      </w:pPr>
    </w:p>
    <w:p w14:paraId="6F7BBCF6">
      <w:pPr>
        <w:snapToGrid w:val="0"/>
        <w:spacing w:after="120" w:line="360" w:lineRule="auto"/>
        <w:jc w:val="left"/>
        <w:rPr>
          <w:rFonts w:hint="eastAsia" w:ascii="宋体" w:hAnsi="宋体" w:eastAsia="宋体" w:cs="宋体"/>
          <w:color w:val="auto"/>
          <w:sz w:val="24"/>
          <w:szCs w:val="24"/>
          <w:highlight w:val="none"/>
        </w:rPr>
      </w:pPr>
    </w:p>
    <w:p w14:paraId="187FB0EB">
      <w:pPr>
        <w:pStyle w:val="42"/>
        <w:snapToGrid w:val="0"/>
        <w:spacing w:line="360" w:lineRule="auto"/>
        <w:rPr>
          <w:rStyle w:val="39"/>
          <w:rFonts w:hint="eastAsia" w:ascii="宋体" w:hAnsi="宋体" w:eastAsia="宋体" w:cs="宋体"/>
          <w:color w:val="auto"/>
          <w:sz w:val="24"/>
          <w:szCs w:val="24"/>
          <w:highlight w:val="none"/>
        </w:rPr>
      </w:pPr>
    </w:p>
    <w:p w14:paraId="3BA90818">
      <w:pPr>
        <w:spacing w:line="360" w:lineRule="auto"/>
        <w:rPr>
          <w:rFonts w:hint="eastAsia" w:ascii="宋体" w:hAnsi="宋体" w:eastAsia="宋体" w:cs="宋体"/>
          <w:b/>
          <w:color w:val="auto"/>
          <w:sz w:val="24"/>
          <w:szCs w:val="24"/>
          <w:highlight w:val="none"/>
        </w:rPr>
      </w:pPr>
    </w:p>
    <w:p w14:paraId="5BB11BCA">
      <w:pPr>
        <w:spacing w:line="360" w:lineRule="auto"/>
        <w:rPr>
          <w:rFonts w:hint="eastAsia" w:ascii="宋体" w:hAnsi="宋体" w:eastAsia="宋体" w:cs="宋体"/>
          <w:b/>
          <w:color w:val="auto"/>
          <w:sz w:val="24"/>
          <w:szCs w:val="24"/>
          <w:highlight w:val="none"/>
        </w:rPr>
      </w:pPr>
      <w:bookmarkStart w:id="0" w:name="_Toc20653"/>
      <w:bookmarkStart w:id="1" w:name="_Toc2686"/>
      <w:bookmarkStart w:id="2" w:name="_Toc7536"/>
      <w:bookmarkStart w:id="3" w:name="_Toc18699"/>
      <w:bookmarkStart w:id="4" w:name="_Toc31151"/>
      <w:bookmarkStart w:id="5" w:name="_Toc10043"/>
      <w:r>
        <w:rPr>
          <w:rFonts w:hint="eastAsia" w:ascii="宋体" w:hAnsi="宋体" w:eastAsia="宋体" w:cs="宋体"/>
          <w:b/>
          <w:color w:val="auto"/>
          <w:sz w:val="24"/>
          <w:szCs w:val="24"/>
          <w:highlight w:val="none"/>
        </w:rPr>
        <w:br w:type="page"/>
      </w:r>
    </w:p>
    <w:bookmarkEnd w:id="0"/>
    <w:bookmarkEnd w:id="1"/>
    <w:bookmarkEnd w:id="2"/>
    <w:bookmarkEnd w:id="3"/>
    <w:bookmarkEnd w:id="4"/>
    <w:bookmarkEnd w:id="5"/>
    <w:sdt>
      <w:sdtPr>
        <w:rPr>
          <w:rFonts w:hint="eastAsia" w:ascii="宋体" w:hAnsi="宋体" w:eastAsia="宋体" w:cs="宋体"/>
          <w:kern w:val="2"/>
          <w:sz w:val="32"/>
          <w:szCs w:val="32"/>
          <w:highlight w:val="none"/>
          <w:lang w:val="en-US" w:eastAsia="zh-CN" w:bidi="ar-SA"/>
        </w:rPr>
        <w:id w:val="147458984"/>
        <w15:color w:val="DBDBDB"/>
        <w:docPartObj>
          <w:docPartGallery w:val="Table of Contents"/>
          <w:docPartUnique/>
        </w:docPartObj>
      </w:sdtPr>
      <w:sdtEndPr>
        <w:rPr>
          <w:rFonts w:hint="eastAsia" w:ascii="宋体" w:hAnsi="宋体" w:eastAsia="宋体" w:cs="宋体"/>
          <w:color w:val="auto"/>
          <w:kern w:val="2"/>
          <w:sz w:val="21"/>
          <w:szCs w:val="24"/>
          <w:highlight w:val="none"/>
          <w:lang w:val="en-US" w:eastAsia="zh-CN" w:bidi="ar-SA"/>
        </w:rPr>
      </w:sdtEndPr>
      <w:sdtContent>
        <w:p w14:paraId="218BB851">
          <w:pPr>
            <w:spacing w:before="0" w:beforeLines="0" w:after="0" w:afterLines="0" w:line="360" w:lineRule="auto"/>
            <w:ind w:left="0" w:leftChars="0" w:right="0" w:rightChars="0" w:firstLine="0" w:firstLineChars="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目录</w:t>
          </w:r>
        </w:p>
        <w:p w14:paraId="7040B4AD">
          <w:pPr>
            <w:pStyle w:val="19"/>
            <w:tabs>
              <w:tab w:val="right" w:leader="dot" w:pos="8959"/>
            </w:tabs>
            <w:spacing w:line="360" w:lineRule="auto"/>
            <w:rPr>
              <w:rFonts w:hint="eastAsia" w:ascii="宋体" w:hAnsi="宋体" w:eastAsia="宋体" w:cs="宋体"/>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TOC \o "1-2" \h \u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kern w:val="2"/>
              <w:sz w:val="28"/>
              <w:szCs w:val="28"/>
              <w:highlight w:val="none"/>
              <w:lang w:val="en-US" w:eastAsia="zh-CN" w:bidi="ar-SA"/>
            </w:rPr>
            <w:instrText xml:space="preserve"> HYPERLINK \l _Toc28850 </w:instrText>
          </w:r>
          <w:r>
            <w:rPr>
              <w:rFonts w:hint="eastAsia" w:ascii="宋体" w:hAnsi="宋体" w:eastAsia="宋体" w:cs="宋体"/>
              <w:kern w:val="2"/>
              <w:sz w:val="28"/>
              <w:szCs w:val="28"/>
              <w:highlight w:val="none"/>
              <w:lang w:val="en-US" w:eastAsia="zh-CN" w:bidi="ar-SA"/>
            </w:rPr>
            <w:fldChar w:fldCharType="separate"/>
          </w:r>
          <w:r>
            <w:rPr>
              <w:rFonts w:hint="eastAsia" w:ascii="宋体" w:hAnsi="宋体" w:eastAsia="宋体" w:cs="宋体"/>
              <w:bCs w:val="0"/>
              <w:sz w:val="28"/>
              <w:szCs w:val="28"/>
              <w:highlight w:val="none"/>
            </w:rPr>
            <w:t>第一章  磋商公告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_Toc28850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14:paraId="71008ACE">
          <w:pPr>
            <w:pStyle w:val="19"/>
            <w:tabs>
              <w:tab w:val="right" w:leader="dot" w:pos="8959"/>
            </w:tabs>
            <w:spacing w:line="360" w:lineRule="auto"/>
            <w:rPr>
              <w:rFonts w:hint="eastAsia" w:ascii="宋体" w:hAnsi="宋体" w:eastAsia="宋体" w:cs="宋体"/>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kern w:val="2"/>
              <w:sz w:val="28"/>
              <w:szCs w:val="28"/>
              <w:highlight w:val="none"/>
              <w:lang w:val="en-US" w:eastAsia="zh-CN" w:bidi="ar-SA"/>
            </w:rPr>
            <w:instrText xml:space="preserve"> HYPERLINK \l _Toc30817 </w:instrText>
          </w:r>
          <w:r>
            <w:rPr>
              <w:rFonts w:hint="eastAsia" w:ascii="宋体" w:hAnsi="宋体" w:eastAsia="宋体" w:cs="宋体"/>
              <w:kern w:val="2"/>
              <w:sz w:val="28"/>
              <w:szCs w:val="28"/>
              <w:highlight w:val="none"/>
              <w:lang w:val="en-US" w:eastAsia="zh-CN" w:bidi="ar-SA"/>
            </w:rPr>
            <w:fldChar w:fldCharType="separate"/>
          </w:r>
          <w:r>
            <w:rPr>
              <w:rFonts w:hint="eastAsia" w:ascii="宋体" w:hAnsi="宋体" w:eastAsia="宋体" w:cs="宋体"/>
              <w:bCs w:val="0"/>
              <w:sz w:val="28"/>
              <w:szCs w:val="28"/>
              <w:highlight w:val="none"/>
            </w:rPr>
            <w:t>第</w:t>
          </w:r>
          <w:r>
            <w:rPr>
              <w:rFonts w:hint="eastAsia" w:ascii="宋体" w:hAnsi="宋体" w:eastAsia="宋体" w:cs="宋体"/>
              <w:bCs w:val="0"/>
              <w:sz w:val="28"/>
              <w:szCs w:val="28"/>
              <w:highlight w:val="none"/>
              <w:lang w:val="en-US" w:eastAsia="zh-CN"/>
            </w:rPr>
            <w:t>二</w:t>
          </w:r>
          <w:r>
            <w:rPr>
              <w:rFonts w:hint="eastAsia" w:ascii="宋体" w:hAnsi="宋体" w:eastAsia="宋体" w:cs="宋体"/>
              <w:bCs w:val="0"/>
              <w:sz w:val="28"/>
              <w:szCs w:val="28"/>
              <w:highlight w:val="none"/>
            </w:rPr>
            <w:t xml:space="preserve">章  </w:t>
          </w:r>
          <w:r>
            <w:rPr>
              <w:rFonts w:hint="eastAsia" w:ascii="宋体" w:hAnsi="宋体" w:eastAsia="宋体" w:cs="宋体"/>
              <w:bCs w:val="0"/>
              <w:sz w:val="28"/>
              <w:szCs w:val="28"/>
              <w:highlight w:val="none"/>
              <w:lang w:val="en-US" w:eastAsia="zh-CN"/>
            </w:rPr>
            <w:t>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_Toc30817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w:t>
          </w:r>
          <w:r>
            <w:rPr>
              <w:rFonts w:hint="eastAsia" w:ascii="宋体" w:hAnsi="宋体" w:eastAsia="宋体" w:cs="宋体"/>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14:paraId="5167B969">
          <w:pPr>
            <w:pStyle w:val="19"/>
            <w:tabs>
              <w:tab w:val="right" w:leader="dot" w:pos="8959"/>
            </w:tabs>
            <w:spacing w:line="360" w:lineRule="auto"/>
            <w:rPr>
              <w:rFonts w:hint="eastAsia" w:ascii="宋体" w:hAnsi="宋体" w:eastAsia="宋体" w:cs="宋体"/>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kern w:val="2"/>
              <w:sz w:val="28"/>
              <w:szCs w:val="28"/>
              <w:highlight w:val="none"/>
              <w:lang w:val="en-US" w:eastAsia="zh-CN" w:bidi="ar-SA"/>
            </w:rPr>
            <w:instrText xml:space="preserve"> HYPERLINK \l _Toc27638 </w:instrText>
          </w:r>
          <w:r>
            <w:rPr>
              <w:rFonts w:hint="eastAsia" w:ascii="宋体" w:hAnsi="宋体" w:eastAsia="宋体" w:cs="宋体"/>
              <w:kern w:val="2"/>
              <w:sz w:val="28"/>
              <w:szCs w:val="28"/>
              <w:highlight w:val="none"/>
              <w:lang w:val="en-US" w:eastAsia="zh-CN" w:bidi="ar-SA"/>
            </w:rPr>
            <w:fldChar w:fldCharType="separate"/>
          </w:r>
          <w:r>
            <w:rPr>
              <w:rFonts w:hint="eastAsia" w:ascii="宋体" w:hAnsi="宋体" w:eastAsia="宋体" w:cs="宋体"/>
              <w:sz w:val="28"/>
              <w:szCs w:val="28"/>
              <w:highlight w:val="none"/>
            </w:rPr>
            <w:t>第三章 响应文件格式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_Toc27638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22</w:t>
          </w:r>
          <w:r>
            <w:rPr>
              <w:rFonts w:hint="eastAsia" w:ascii="宋体" w:hAnsi="宋体" w:eastAsia="宋体" w:cs="宋体"/>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14:paraId="7C60E78B">
          <w:pPr>
            <w:pStyle w:val="19"/>
            <w:tabs>
              <w:tab w:val="right" w:leader="dot" w:pos="8959"/>
            </w:tabs>
            <w:spacing w:line="360" w:lineRule="auto"/>
            <w:rPr>
              <w:rFonts w:hint="eastAsia" w:ascii="宋体" w:hAnsi="宋体" w:eastAsia="宋体" w:cs="宋体"/>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kern w:val="2"/>
              <w:sz w:val="28"/>
              <w:szCs w:val="28"/>
              <w:highlight w:val="none"/>
              <w:lang w:val="en-US" w:eastAsia="zh-CN" w:bidi="ar-SA"/>
            </w:rPr>
            <w:instrText xml:space="preserve"> HYPERLINK \l _Toc22438 </w:instrText>
          </w:r>
          <w:r>
            <w:rPr>
              <w:rFonts w:hint="eastAsia" w:ascii="宋体" w:hAnsi="宋体" w:eastAsia="宋体" w:cs="宋体"/>
              <w:kern w:val="2"/>
              <w:sz w:val="28"/>
              <w:szCs w:val="28"/>
              <w:highlight w:val="none"/>
              <w:lang w:val="en-US" w:eastAsia="zh-CN" w:bidi="ar-SA"/>
            </w:rPr>
            <w:fldChar w:fldCharType="separate"/>
          </w:r>
          <w:r>
            <w:rPr>
              <w:rFonts w:hint="eastAsia" w:ascii="宋体" w:hAnsi="宋体" w:eastAsia="宋体" w:cs="宋体"/>
              <w:bCs/>
              <w:sz w:val="28"/>
              <w:szCs w:val="28"/>
              <w:highlight w:val="none"/>
            </w:rPr>
            <w:t xml:space="preserve">第四章 </w:t>
          </w:r>
          <w:r>
            <w:rPr>
              <w:rFonts w:hint="eastAsia" w:ascii="宋体" w:hAnsi="宋体" w:eastAsia="宋体" w:cs="宋体"/>
              <w:bCs/>
              <w:sz w:val="28"/>
              <w:szCs w:val="28"/>
              <w:highlight w:val="none"/>
              <w:lang w:eastAsia="zh-CN"/>
            </w:rPr>
            <w:t>项目技术要求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_Toc22438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11</w:t>
          </w:r>
          <w:r>
            <w:rPr>
              <w:rFonts w:hint="eastAsia" w:ascii="宋体" w:hAnsi="宋体" w:eastAsia="宋体" w:cs="宋体"/>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14:paraId="58F07235">
          <w:pPr>
            <w:pStyle w:val="19"/>
            <w:tabs>
              <w:tab w:val="right" w:leader="dot" w:pos="8959"/>
            </w:tabs>
            <w:spacing w:line="360" w:lineRule="auto"/>
            <w:rPr>
              <w:rFonts w:hint="eastAsia" w:ascii="宋体" w:hAnsi="宋体" w:eastAsia="宋体" w:cs="宋体"/>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kern w:val="2"/>
              <w:sz w:val="28"/>
              <w:szCs w:val="28"/>
              <w:highlight w:val="none"/>
              <w:lang w:val="en-US" w:eastAsia="zh-CN" w:bidi="ar-SA"/>
            </w:rPr>
            <w:instrText xml:space="preserve"> HYPERLINK \l _Toc20745 </w:instrText>
          </w:r>
          <w:r>
            <w:rPr>
              <w:rFonts w:hint="eastAsia" w:ascii="宋体" w:hAnsi="宋体" w:eastAsia="宋体" w:cs="宋体"/>
              <w:kern w:val="2"/>
              <w:sz w:val="28"/>
              <w:szCs w:val="28"/>
              <w:highlight w:val="none"/>
              <w:lang w:val="en-US" w:eastAsia="zh-CN" w:bidi="ar-SA"/>
            </w:rPr>
            <w:fldChar w:fldCharType="separate"/>
          </w:r>
          <w:r>
            <w:rPr>
              <w:rFonts w:hint="eastAsia" w:ascii="宋体" w:hAnsi="宋体" w:eastAsia="宋体" w:cs="宋体"/>
              <w:bCs/>
              <w:sz w:val="28"/>
              <w:szCs w:val="28"/>
              <w:highlight w:val="none"/>
            </w:rPr>
            <w:t>第五章 评审办法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_Toc20745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19</w:t>
          </w:r>
          <w:r>
            <w:rPr>
              <w:rFonts w:hint="eastAsia" w:ascii="宋体" w:hAnsi="宋体" w:eastAsia="宋体" w:cs="宋体"/>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14:paraId="61FDB860">
          <w:pPr>
            <w:pStyle w:val="19"/>
            <w:tabs>
              <w:tab w:val="right" w:leader="dot" w:pos="8959"/>
            </w:tabs>
            <w:spacing w:line="360" w:lineRule="auto"/>
            <w:rPr>
              <w:rFonts w:hint="eastAsia" w:ascii="宋体" w:hAnsi="宋体" w:eastAsia="宋体" w:cs="宋体"/>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kern w:val="2"/>
              <w:sz w:val="28"/>
              <w:szCs w:val="28"/>
              <w:highlight w:val="none"/>
              <w:lang w:val="en-US" w:eastAsia="zh-CN" w:bidi="ar-SA"/>
            </w:rPr>
            <w:instrText xml:space="preserve"> HYPERLINK \l _Toc11291 </w:instrText>
          </w:r>
          <w:r>
            <w:rPr>
              <w:rFonts w:hint="eastAsia" w:ascii="宋体" w:hAnsi="宋体" w:eastAsia="宋体" w:cs="宋体"/>
              <w:kern w:val="2"/>
              <w:sz w:val="28"/>
              <w:szCs w:val="28"/>
              <w:highlight w:val="none"/>
              <w:lang w:val="en-US" w:eastAsia="zh-CN" w:bidi="ar-SA"/>
            </w:rPr>
            <w:fldChar w:fldCharType="separate"/>
          </w:r>
          <w:r>
            <w:rPr>
              <w:rFonts w:hint="eastAsia" w:ascii="宋体" w:hAnsi="宋体" w:eastAsia="宋体" w:cs="宋体"/>
              <w:bCs/>
              <w:sz w:val="28"/>
              <w:szCs w:val="28"/>
              <w:highlight w:val="none"/>
            </w:rPr>
            <w:t>第六章 合同草案条款</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_Toc11291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31</w:t>
          </w:r>
          <w:r>
            <w:rPr>
              <w:rFonts w:hint="eastAsia" w:ascii="宋体" w:hAnsi="宋体" w:eastAsia="宋体" w:cs="宋体"/>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14:paraId="036DE7DA">
          <w:pPr>
            <w:pStyle w:val="11"/>
            <w:spacing w:after="0"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8"/>
              <w:szCs w:val="28"/>
              <w:highlight w:val="none"/>
              <w:lang w:val="en-US" w:eastAsia="zh-CN" w:bidi="ar-SA"/>
            </w:rPr>
            <w:fldChar w:fldCharType="end"/>
          </w:r>
        </w:p>
      </w:sdtContent>
    </w:sdt>
    <w:p w14:paraId="7D70A37C">
      <w:pPr>
        <w:pStyle w:val="11"/>
        <w:spacing w:after="0" w:line="360" w:lineRule="auto"/>
        <w:rPr>
          <w:rFonts w:hint="eastAsia" w:ascii="宋体" w:hAnsi="宋体" w:eastAsia="宋体" w:cs="宋体"/>
          <w:color w:val="auto"/>
          <w:kern w:val="2"/>
          <w:sz w:val="21"/>
          <w:szCs w:val="24"/>
          <w:highlight w:val="none"/>
          <w:lang w:val="en-US" w:eastAsia="zh-CN" w:bidi="ar-SA"/>
        </w:rPr>
      </w:pPr>
      <w:bookmarkStart w:id="265" w:name="_GoBack"/>
      <w:bookmarkEnd w:id="265"/>
    </w:p>
    <w:p w14:paraId="505EA76C">
      <w:pPr>
        <w:spacing w:line="360" w:lineRule="auto"/>
        <w:ind w:firstLine="480" w:firstLineChars="200"/>
        <w:rPr>
          <w:rFonts w:hint="eastAsia" w:ascii="宋体" w:hAnsi="宋体" w:eastAsia="宋体" w:cs="宋体"/>
          <w:bCs/>
          <w:color w:val="auto"/>
          <w:sz w:val="24"/>
          <w:szCs w:val="24"/>
          <w:highlight w:val="none"/>
        </w:rPr>
      </w:pPr>
    </w:p>
    <w:p w14:paraId="7DBDDB99">
      <w:pPr>
        <w:pStyle w:val="2"/>
        <w:spacing w:before="0" w:after="0" w:line="360" w:lineRule="auto"/>
        <w:jc w:val="center"/>
        <w:rPr>
          <w:rFonts w:hint="eastAsia" w:ascii="宋体" w:hAnsi="宋体" w:eastAsia="宋体" w:cs="宋体"/>
          <w:bCs w:val="0"/>
          <w:color w:val="auto"/>
          <w:sz w:val="24"/>
          <w:szCs w:val="24"/>
          <w:highlight w:val="none"/>
        </w:rPr>
        <w:sectPr>
          <w:headerReference r:id="rId3" w:type="default"/>
          <w:footerReference r:id="rId4" w:type="default"/>
          <w:pgSz w:w="11907" w:h="16840"/>
          <w:pgMar w:top="1440" w:right="1474" w:bottom="1440" w:left="1474" w:header="851" w:footer="992" w:gutter="0"/>
          <w:pgNumType w:start="1"/>
          <w:cols w:space="720" w:num="1"/>
          <w:docGrid w:linePitch="312" w:charSpace="0"/>
        </w:sectPr>
      </w:pPr>
    </w:p>
    <w:p w14:paraId="33E8624E">
      <w:pPr>
        <w:pStyle w:val="2"/>
        <w:bidi w:val="0"/>
        <w:rPr>
          <w:rFonts w:hint="eastAsia"/>
        </w:rPr>
      </w:pPr>
      <w:bookmarkStart w:id="6" w:name="_Toc647_WPSOffice_Level1"/>
      <w:bookmarkStart w:id="7" w:name="_Toc28850"/>
      <w:bookmarkStart w:id="8" w:name="_Toc1846"/>
      <w:bookmarkStart w:id="9" w:name="_Toc30754"/>
      <w:bookmarkStart w:id="10" w:name="_Toc14368"/>
      <w:bookmarkStart w:id="11" w:name="_Toc213396945"/>
      <w:bookmarkStart w:id="12" w:name="_Toc217446031"/>
      <w:bookmarkStart w:id="13" w:name="_Toc213496267"/>
      <w:bookmarkStart w:id="14" w:name="_Toc213396759"/>
      <w:bookmarkStart w:id="15" w:name="_Toc213397009"/>
      <w:r>
        <w:rPr>
          <w:rFonts w:hint="eastAsia"/>
        </w:rPr>
        <w:t xml:space="preserve">第一章  </w:t>
      </w:r>
      <w:bookmarkEnd w:id="6"/>
      <w:r>
        <w:rPr>
          <w:rFonts w:hint="eastAsia"/>
        </w:rPr>
        <w:t>磋商公告</w:t>
      </w:r>
      <w:bookmarkEnd w:id="7"/>
      <w:bookmarkEnd w:id="8"/>
      <w:bookmarkEnd w:id="9"/>
      <w:bookmarkEnd w:id="10"/>
      <w:bookmarkStart w:id="16" w:name="_Toc856_WPSOffice_Level1"/>
    </w:p>
    <w:p w14:paraId="5D1EB3A7">
      <w:pPr>
        <w:pStyle w:val="108"/>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u w:val="single"/>
        </w:rPr>
      </w:pPr>
      <w:r>
        <w:rPr>
          <w:rFonts w:hint="eastAsia" w:ascii="宋体" w:hAnsi="宋体" w:eastAsia="宋体" w:cs="宋体"/>
          <w:caps w:val="0"/>
          <w:color w:val="auto"/>
          <w:spacing w:val="0"/>
          <w:sz w:val="24"/>
          <w:szCs w:val="24"/>
          <w:highlight w:val="none"/>
        </w:rPr>
        <w:t>受(</w:t>
      </w:r>
      <w:r>
        <w:rPr>
          <w:rFonts w:hint="eastAsia" w:ascii="宋体" w:hAnsi="宋体" w:eastAsia="宋体" w:cs="宋体"/>
          <w:caps w:val="0"/>
          <w:color w:val="auto"/>
          <w:spacing w:val="0"/>
          <w:sz w:val="24"/>
          <w:szCs w:val="24"/>
          <w:highlight w:val="none"/>
          <w:lang w:val="en-US" w:eastAsia="zh-CN"/>
        </w:rPr>
        <w:t>采购人</w:t>
      </w:r>
      <w:r>
        <w:rPr>
          <w:rFonts w:hint="eastAsia" w:ascii="宋体" w:hAnsi="宋体" w:eastAsia="宋体" w:cs="宋体"/>
          <w:caps w:val="0"/>
          <w:color w:val="auto"/>
          <w:spacing w:val="0"/>
          <w:sz w:val="24"/>
          <w:szCs w:val="24"/>
          <w:highlight w:val="none"/>
        </w:rPr>
        <w:t>)</w:t>
      </w:r>
      <w:r>
        <w:rPr>
          <w:rFonts w:hint="eastAsia" w:ascii="宋体" w:hAnsi="宋体" w:eastAsia="宋体" w:cs="宋体"/>
          <w:caps w:val="0"/>
          <w:color w:val="auto"/>
          <w:spacing w:val="0"/>
          <w:sz w:val="24"/>
          <w:szCs w:val="24"/>
          <w:highlight w:val="none"/>
          <w:u w:val="single"/>
          <w:lang w:eastAsia="zh-CN"/>
        </w:rPr>
        <w:t>新疆师范大学</w:t>
      </w:r>
      <w:r>
        <w:rPr>
          <w:rFonts w:hint="eastAsia" w:ascii="宋体" w:hAnsi="宋体" w:eastAsia="宋体" w:cs="宋体"/>
          <w:caps w:val="0"/>
          <w:color w:val="auto"/>
          <w:spacing w:val="0"/>
          <w:sz w:val="24"/>
          <w:szCs w:val="24"/>
          <w:highlight w:val="none"/>
        </w:rPr>
        <w:t>委托，（</w:t>
      </w:r>
      <w:r>
        <w:rPr>
          <w:rFonts w:hint="eastAsia" w:ascii="宋体" w:hAnsi="宋体" w:eastAsia="宋体" w:cs="宋体"/>
          <w:caps w:val="0"/>
          <w:color w:val="auto"/>
          <w:spacing w:val="0"/>
          <w:sz w:val="24"/>
          <w:szCs w:val="24"/>
          <w:highlight w:val="none"/>
          <w:lang w:val="en-US" w:eastAsia="zh-CN"/>
        </w:rPr>
        <w:t>采购</w:t>
      </w:r>
      <w:r>
        <w:rPr>
          <w:rFonts w:hint="eastAsia" w:ascii="宋体" w:hAnsi="宋体" w:eastAsia="宋体" w:cs="宋体"/>
          <w:caps w:val="0"/>
          <w:color w:val="auto"/>
          <w:spacing w:val="0"/>
          <w:sz w:val="24"/>
          <w:szCs w:val="24"/>
          <w:highlight w:val="none"/>
        </w:rPr>
        <w:t>代理机构）</w:t>
      </w:r>
      <w:r>
        <w:rPr>
          <w:rFonts w:hint="eastAsia" w:ascii="宋体" w:hAnsi="宋体" w:eastAsia="宋体" w:cs="宋体"/>
          <w:caps w:val="0"/>
          <w:color w:val="auto"/>
          <w:spacing w:val="0"/>
          <w:sz w:val="24"/>
          <w:szCs w:val="24"/>
          <w:highlight w:val="none"/>
          <w:u w:val="single"/>
        </w:rPr>
        <w:t>新疆拓源工程管理咨询有限公司</w:t>
      </w:r>
      <w:r>
        <w:rPr>
          <w:rFonts w:hint="eastAsia" w:ascii="宋体" w:hAnsi="宋体" w:eastAsia="宋体" w:cs="宋体"/>
          <w:caps w:val="0"/>
          <w:color w:val="auto"/>
          <w:spacing w:val="0"/>
          <w:sz w:val="24"/>
          <w:szCs w:val="24"/>
          <w:highlight w:val="none"/>
        </w:rPr>
        <w:t>对</w:t>
      </w:r>
      <w:r>
        <w:rPr>
          <w:rFonts w:hint="eastAsia" w:ascii="宋体" w:hAnsi="宋体" w:eastAsia="宋体" w:cs="宋体"/>
          <w:caps w:val="0"/>
          <w:color w:val="auto"/>
          <w:spacing w:val="0"/>
          <w:sz w:val="24"/>
          <w:szCs w:val="24"/>
          <w:highlight w:val="none"/>
          <w:lang w:eastAsia="zh-CN"/>
        </w:rPr>
        <w:t>项目编号</w:t>
      </w:r>
      <w:r>
        <w:rPr>
          <w:rFonts w:hint="eastAsia" w:ascii="宋体" w:hAnsi="宋体" w:eastAsia="宋体" w:cs="宋体"/>
          <w:caps w:val="0"/>
          <w:color w:val="auto"/>
          <w:spacing w:val="0"/>
          <w:sz w:val="24"/>
          <w:szCs w:val="24"/>
          <w:highlight w:val="none"/>
        </w:rPr>
        <w:t>：</w:t>
      </w:r>
      <w:r>
        <w:rPr>
          <w:rFonts w:hint="eastAsia" w:ascii="宋体" w:hAnsi="宋体" w:eastAsia="宋体" w:cs="宋体"/>
          <w:caps w:val="0"/>
          <w:color w:val="auto"/>
          <w:spacing w:val="0"/>
          <w:sz w:val="24"/>
          <w:szCs w:val="24"/>
          <w:highlight w:val="none"/>
          <w:u w:val="single"/>
          <w:lang w:val="en-US" w:eastAsia="zh-CN"/>
        </w:rPr>
        <w:t>[2026]10504号</w:t>
      </w:r>
      <w:r>
        <w:rPr>
          <w:rFonts w:hint="eastAsia" w:ascii="宋体" w:hAnsi="宋体" w:eastAsia="宋体" w:cs="宋体"/>
          <w:caps w:val="0"/>
          <w:color w:val="auto"/>
          <w:spacing w:val="0"/>
          <w:sz w:val="24"/>
          <w:szCs w:val="24"/>
          <w:highlight w:val="none"/>
          <w:u w:val="none"/>
          <w:lang w:eastAsia="zh-CN"/>
        </w:rPr>
        <w:t>，</w:t>
      </w:r>
      <w:r>
        <w:rPr>
          <w:rFonts w:hint="eastAsia" w:ascii="宋体" w:hAnsi="宋体" w:eastAsia="宋体" w:cs="宋体"/>
          <w:caps w:val="0"/>
          <w:color w:val="auto"/>
          <w:spacing w:val="0"/>
          <w:sz w:val="24"/>
          <w:szCs w:val="24"/>
          <w:highlight w:val="none"/>
        </w:rPr>
        <w:t>项目名称：</w:t>
      </w:r>
      <w:r>
        <w:rPr>
          <w:rFonts w:hint="eastAsia" w:ascii="宋体" w:hAnsi="宋体" w:eastAsia="宋体" w:cs="宋体"/>
          <w:caps w:val="0"/>
          <w:color w:val="auto"/>
          <w:spacing w:val="0"/>
          <w:sz w:val="24"/>
          <w:szCs w:val="24"/>
          <w:highlight w:val="none"/>
          <w:u w:val="single"/>
          <w:lang w:eastAsia="zh-CN"/>
        </w:rPr>
        <w:t>新疆师范大学大数据分析系统服务项目</w:t>
      </w:r>
      <w:r>
        <w:rPr>
          <w:rFonts w:hint="eastAsia" w:ascii="宋体" w:hAnsi="宋体" w:eastAsia="宋体" w:cs="宋体"/>
          <w:caps w:val="0"/>
          <w:color w:val="auto"/>
          <w:spacing w:val="0"/>
          <w:sz w:val="24"/>
          <w:szCs w:val="24"/>
          <w:highlight w:val="none"/>
        </w:rPr>
        <w:t>进行（采购方式）</w:t>
      </w:r>
      <w:r>
        <w:rPr>
          <w:rFonts w:hint="eastAsia" w:ascii="宋体" w:hAnsi="宋体" w:eastAsia="宋体" w:cs="宋体"/>
          <w:caps w:val="0"/>
          <w:color w:val="auto"/>
          <w:spacing w:val="0"/>
          <w:sz w:val="24"/>
          <w:szCs w:val="24"/>
          <w:highlight w:val="none"/>
          <w:u w:val="single"/>
        </w:rPr>
        <w:t>竞争性磋商</w:t>
      </w:r>
      <w:r>
        <w:rPr>
          <w:rFonts w:hint="eastAsia" w:ascii="宋体" w:hAnsi="宋体" w:eastAsia="宋体" w:cs="宋体"/>
          <w:caps w:val="0"/>
          <w:color w:val="auto"/>
          <w:spacing w:val="0"/>
          <w:sz w:val="24"/>
          <w:szCs w:val="24"/>
          <w:highlight w:val="none"/>
        </w:rPr>
        <w:t>，现欢迎合格的供应商前来参加磋商。</w:t>
      </w:r>
    </w:p>
    <w:p w14:paraId="71E32B96">
      <w:pPr>
        <w:spacing w:line="360" w:lineRule="auto"/>
        <w:rPr>
          <w:rFonts w:hint="eastAsia" w:ascii="宋体" w:hAnsi="宋体" w:eastAsia="宋体" w:cs="宋体"/>
          <w:color w:val="auto"/>
          <w:sz w:val="24"/>
          <w:highlight w:val="none"/>
        </w:rPr>
      </w:pPr>
      <w:bookmarkStart w:id="17" w:name="_Toc28359002"/>
      <w:bookmarkStart w:id="18" w:name="_Toc35393790"/>
      <w:bookmarkStart w:id="19" w:name="_Toc28359079"/>
      <w:bookmarkStart w:id="20" w:name="_Toc35393621"/>
      <w:bookmarkStart w:id="21" w:name="_Hlk24379207"/>
      <w:r>
        <w:rPr>
          <w:rFonts w:hint="eastAsia" w:ascii="宋体" w:hAnsi="宋体" w:eastAsia="宋体" w:cs="宋体"/>
          <w:color w:val="auto"/>
          <w:sz w:val="24"/>
          <w:highlight w:val="none"/>
        </w:rPr>
        <w:t>一、项目基本情况</w:t>
      </w:r>
      <w:bookmarkEnd w:id="17"/>
      <w:bookmarkEnd w:id="18"/>
      <w:bookmarkEnd w:id="19"/>
      <w:bookmarkEnd w:id="20"/>
    </w:p>
    <w:p w14:paraId="2DB3D9D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项目编号：[2026]10504号</w:t>
      </w:r>
      <w:r>
        <w:rPr>
          <w:rFonts w:hint="eastAsia" w:ascii="宋体" w:hAnsi="宋体" w:eastAsia="宋体" w:cs="宋体"/>
          <w:color w:val="auto"/>
          <w:sz w:val="24"/>
          <w:highlight w:val="none"/>
          <w:lang w:val="en-US" w:eastAsia="zh-CN"/>
        </w:rPr>
        <w:t xml:space="preserve">     </w:t>
      </w:r>
    </w:p>
    <w:p w14:paraId="35314172">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bookmarkEnd w:id="21"/>
      <w:r>
        <w:rPr>
          <w:rFonts w:hint="eastAsia" w:ascii="宋体" w:hAnsi="宋体" w:eastAsia="宋体" w:cs="宋体"/>
          <w:color w:val="auto"/>
          <w:sz w:val="24"/>
          <w:highlight w:val="none"/>
          <w:lang w:eastAsia="zh-CN"/>
        </w:rPr>
        <w:t>新疆师范大学大数据分析系统服务项目</w:t>
      </w:r>
    </w:p>
    <w:p w14:paraId="511A0018">
      <w:pPr>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200000.00</w:t>
      </w:r>
    </w:p>
    <w:p w14:paraId="440A081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最高限价（</w:t>
      </w:r>
      <w:r>
        <w:rPr>
          <w:rFonts w:hint="eastAsia" w:ascii="宋体" w:hAnsi="宋体" w:eastAsia="宋体" w:cs="宋体"/>
          <w:color w:val="auto"/>
          <w:sz w:val="24"/>
          <w:highlight w:val="none"/>
          <w:lang w:val="en-US" w:eastAsia="zh-CN"/>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200000.00</w:t>
      </w:r>
    </w:p>
    <w:p w14:paraId="7AA94B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14:paraId="1BDA755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标项名称:</w:t>
      </w:r>
      <w:r>
        <w:rPr>
          <w:rFonts w:hint="eastAsia" w:ascii="宋体" w:hAnsi="宋体" w:eastAsia="宋体" w:cs="宋体"/>
          <w:color w:val="auto"/>
          <w:sz w:val="24"/>
          <w:szCs w:val="24"/>
          <w:highlight w:val="none"/>
          <w:lang w:eastAsia="zh-CN"/>
        </w:rPr>
        <w:t>新疆师范大学大数据分析系统服务项目</w:t>
      </w:r>
    </w:p>
    <w:p w14:paraId="35FE88FC">
      <w:pPr>
        <w:pageBreakBefore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数量:1</w:t>
      </w:r>
    </w:p>
    <w:p w14:paraId="08F9D6CB">
      <w:pPr>
        <w:pageBreakBefore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预算金额（元）:</w:t>
      </w:r>
      <w:r>
        <w:rPr>
          <w:rFonts w:hint="eastAsia" w:ascii="宋体" w:hAnsi="宋体" w:eastAsia="宋体" w:cs="宋体"/>
          <w:color w:val="auto"/>
          <w:sz w:val="24"/>
          <w:szCs w:val="24"/>
          <w:highlight w:val="none"/>
          <w:lang w:eastAsia="zh-CN"/>
        </w:rPr>
        <w:t>200000.00</w:t>
      </w:r>
    </w:p>
    <w:p w14:paraId="58D53601">
      <w:pPr>
        <w:pageBreakBefore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简要规格描述或项目基本概况介绍、用途：</w:t>
      </w:r>
      <w:r>
        <w:rPr>
          <w:rFonts w:hint="eastAsia" w:ascii="宋体" w:hAnsi="宋体" w:eastAsia="宋体" w:cs="宋体"/>
          <w:color w:val="auto"/>
          <w:sz w:val="24"/>
          <w:szCs w:val="24"/>
          <w:highlight w:val="none"/>
          <w:lang w:eastAsia="zh-CN"/>
        </w:rPr>
        <w:t>新疆师范大学大数据分析系统服务项目</w:t>
      </w:r>
      <w:r>
        <w:rPr>
          <w:rFonts w:hint="eastAsia" w:ascii="宋体" w:hAnsi="宋体" w:eastAsia="宋体" w:cs="宋体"/>
          <w:color w:val="auto"/>
          <w:sz w:val="24"/>
          <w:szCs w:val="24"/>
          <w:highlight w:val="none"/>
        </w:rPr>
        <w:t xml:space="preserve">详见招标文件“第四章  </w:t>
      </w:r>
      <w:r>
        <w:rPr>
          <w:rFonts w:hint="eastAsia" w:ascii="宋体" w:hAnsi="宋体" w:eastAsia="宋体" w:cs="宋体"/>
          <w:color w:val="auto"/>
          <w:sz w:val="24"/>
          <w:szCs w:val="24"/>
          <w:highlight w:val="none"/>
          <w:lang w:eastAsia="zh-CN"/>
        </w:rPr>
        <w:t>项目技术要求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 </w:t>
      </w:r>
    </w:p>
    <w:p w14:paraId="5DC3DED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自合同签订之日起5日内完成交付验收。</w:t>
      </w:r>
    </w:p>
    <w:p w14:paraId="6AC1E78C">
      <w:pPr>
        <w:spacing w:line="360" w:lineRule="auto"/>
        <w:rPr>
          <w:rFonts w:hint="eastAsia" w:ascii="宋体" w:hAnsi="宋体" w:eastAsia="宋体" w:cs="宋体"/>
          <w:color w:val="auto"/>
          <w:sz w:val="24"/>
          <w:szCs w:val="24"/>
          <w:highlight w:val="none"/>
        </w:rPr>
      </w:pPr>
      <w:bookmarkStart w:id="22" w:name="_Toc35393622"/>
      <w:bookmarkStart w:id="23" w:name="_Toc28359080"/>
      <w:bookmarkStart w:id="24" w:name="_Toc35393791"/>
      <w:bookmarkStart w:id="25" w:name="_Toc28359003"/>
      <w:r>
        <w:rPr>
          <w:rFonts w:hint="eastAsia" w:ascii="宋体" w:hAnsi="宋体" w:eastAsia="宋体" w:cs="宋体"/>
          <w:color w:val="auto"/>
          <w:sz w:val="24"/>
          <w:szCs w:val="24"/>
          <w:highlight w:val="none"/>
        </w:rPr>
        <w:t>二、申请人的资格要求：</w:t>
      </w:r>
      <w:bookmarkEnd w:id="22"/>
      <w:bookmarkEnd w:id="23"/>
      <w:bookmarkEnd w:id="24"/>
      <w:bookmarkEnd w:id="25"/>
    </w:p>
    <w:p w14:paraId="1934D6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47374A1E">
      <w:pPr>
        <w:spacing w:line="360" w:lineRule="auto"/>
        <w:ind w:firstLine="480" w:firstLineChars="200"/>
        <w:rPr>
          <w:rFonts w:hint="eastAsia" w:ascii="宋体" w:hAnsi="宋体" w:eastAsia="宋体" w:cs="宋体"/>
          <w:color w:val="auto"/>
          <w:sz w:val="24"/>
          <w:szCs w:val="24"/>
          <w:highlight w:val="none"/>
        </w:rPr>
      </w:pPr>
      <w:bookmarkStart w:id="26" w:name="_Toc28359004"/>
      <w:bookmarkStart w:id="27" w:name="_Toc28359081"/>
      <w:r>
        <w:rPr>
          <w:rFonts w:hint="eastAsia" w:ascii="宋体" w:hAnsi="宋体" w:eastAsia="宋体" w:cs="宋体"/>
          <w:color w:val="auto"/>
          <w:sz w:val="24"/>
          <w:szCs w:val="24"/>
          <w:highlight w:val="none"/>
        </w:rPr>
        <w:t>2.落实政府采购政策需满足的资格要求：本项目为专门面向中小企业（含中型、小型、微型企业）采购项目；</w:t>
      </w:r>
    </w:p>
    <w:p w14:paraId="68C65782">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3.本项目的特定资格要求：</w:t>
      </w:r>
      <w:r>
        <w:rPr>
          <w:rFonts w:hint="eastAsia" w:ascii="宋体" w:hAnsi="宋体" w:eastAsia="宋体" w:cs="宋体"/>
          <w:color w:val="auto"/>
          <w:sz w:val="24"/>
          <w:highlight w:val="none"/>
          <w:lang w:eastAsia="zh-CN"/>
        </w:rPr>
        <w:t>（1）除单一来源采购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14:paraId="1629A284">
      <w:pPr>
        <w:pStyle w:val="46"/>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shd w:val="clear" w:color="auto" w:fill="auto"/>
          <w:lang w:val="en-US" w:eastAsia="zh-CN"/>
        </w:rPr>
        <w:t>4.</w:t>
      </w:r>
      <w:r>
        <w:rPr>
          <w:rFonts w:hint="eastAsia" w:ascii="宋体" w:hAnsi="宋体" w:eastAsia="宋体" w:cs="宋体"/>
          <w:color w:val="auto"/>
          <w:kern w:val="0"/>
          <w:sz w:val="24"/>
          <w:szCs w:val="24"/>
          <w:highlight w:val="none"/>
          <w:shd w:val="clear" w:color="auto" w:fill="auto"/>
        </w:rPr>
        <w:t>本项目</w:t>
      </w:r>
      <w:r>
        <w:rPr>
          <w:rFonts w:hint="eastAsia" w:ascii="宋体" w:hAnsi="宋体" w:eastAsia="宋体" w:cs="宋体"/>
          <w:color w:val="auto"/>
          <w:kern w:val="0"/>
          <w:sz w:val="24"/>
          <w:szCs w:val="24"/>
          <w:highlight w:val="none"/>
          <w:u w:val="none"/>
          <w:shd w:val="clear" w:color="auto" w:fill="auto"/>
        </w:rPr>
        <w:t>不接受</w:t>
      </w:r>
      <w:r>
        <w:rPr>
          <w:rFonts w:hint="eastAsia" w:ascii="宋体" w:hAnsi="宋体" w:eastAsia="宋体" w:cs="宋体"/>
          <w:color w:val="auto"/>
          <w:kern w:val="0"/>
          <w:sz w:val="24"/>
          <w:szCs w:val="24"/>
          <w:highlight w:val="none"/>
          <w:shd w:val="clear" w:color="auto" w:fill="auto"/>
        </w:rPr>
        <w:t>联合体。</w:t>
      </w:r>
    </w:p>
    <w:p w14:paraId="086A0CBE">
      <w:pPr>
        <w:spacing w:line="360" w:lineRule="auto"/>
        <w:rPr>
          <w:rFonts w:hint="eastAsia" w:ascii="宋体" w:hAnsi="宋体" w:eastAsia="宋体" w:cs="宋体"/>
          <w:color w:val="auto"/>
          <w:sz w:val="24"/>
          <w:highlight w:val="none"/>
        </w:rPr>
      </w:pPr>
      <w:bookmarkStart w:id="28" w:name="_Toc35393623"/>
      <w:bookmarkStart w:id="29" w:name="_Toc35393792"/>
      <w:r>
        <w:rPr>
          <w:rFonts w:hint="eastAsia" w:ascii="宋体" w:hAnsi="宋体" w:eastAsia="宋体" w:cs="宋体"/>
          <w:color w:val="auto"/>
          <w:sz w:val="24"/>
          <w:highlight w:val="none"/>
        </w:rPr>
        <w:t>三、获取招标文件</w:t>
      </w:r>
      <w:bookmarkEnd w:id="26"/>
      <w:bookmarkEnd w:id="27"/>
      <w:bookmarkEnd w:id="28"/>
      <w:bookmarkEnd w:id="29"/>
    </w:p>
    <w:p w14:paraId="16A9C7E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时间：202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日至202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日，每天上午00:00至12:00，下午12：00至23:59（北京时间，线上获取法定节假日均可）</w:t>
      </w:r>
    </w:p>
    <w:p w14:paraId="74B2974B">
      <w:pPr>
        <w:spacing w:line="360" w:lineRule="auto"/>
        <w:ind w:firstLine="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登陆政采云平台http://www.zcygov.cn/，在线申请获取招标文件（登录政府采购云平台 → 项目采购 → 获取招标文件→申请</w:t>
      </w:r>
      <w:r>
        <w:rPr>
          <w:rFonts w:hint="eastAsia" w:ascii="宋体" w:hAnsi="宋体" w:eastAsia="宋体" w:cs="宋体"/>
          <w:color w:val="auto"/>
          <w:sz w:val="24"/>
          <w:highlight w:val="none"/>
          <w:lang w:eastAsia="zh-CN"/>
        </w:rPr>
        <w:t>即</w:t>
      </w:r>
      <w:r>
        <w:rPr>
          <w:rFonts w:hint="eastAsia" w:ascii="宋体" w:hAnsi="宋体" w:eastAsia="宋体" w:cs="宋体"/>
          <w:color w:val="auto"/>
          <w:sz w:val="24"/>
          <w:highlight w:val="none"/>
        </w:rPr>
        <w:t>可下载招标文件，如有操作性问题，可与政采云在线客服进行咨询，咨询电话：95763）。</w:t>
      </w:r>
    </w:p>
    <w:p w14:paraId="1D34F670">
      <w:pPr>
        <w:spacing w:line="360" w:lineRule="auto"/>
        <w:ind w:firstLine="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登录新疆政府采购云平台https://www.zcygov.cn/在线申请获取招标文件（登录政府采购云平台 → 项目采购 → 获取招标文件→ 申请</w:t>
      </w:r>
      <w:r>
        <w:rPr>
          <w:rFonts w:hint="eastAsia" w:ascii="宋体" w:hAnsi="宋体" w:eastAsia="宋体" w:cs="宋体"/>
          <w:color w:val="auto"/>
          <w:sz w:val="24"/>
          <w:highlight w:val="none"/>
          <w:lang w:eastAsia="zh-CN"/>
        </w:rPr>
        <w:t>即可</w:t>
      </w:r>
      <w:r>
        <w:rPr>
          <w:rFonts w:hint="eastAsia" w:ascii="宋体" w:hAnsi="宋体" w:eastAsia="宋体" w:cs="宋体"/>
          <w:color w:val="auto"/>
          <w:sz w:val="24"/>
          <w:highlight w:val="none"/>
        </w:rPr>
        <w:t>下载招标文件）</w:t>
      </w:r>
    </w:p>
    <w:p w14:paraId="7027E4DC">
      <w:pPr>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售价：0元</w:t>
      </w:r>
    </w:p>
    <w:p w14:paraId="56AC6E0F">
      <w:pPr>
        <w:spacing w:line="360" w:lineRule="auto"/>
        <w:rPr>
          <w:rFonts w:hint="eastAsia" w:ascii="宋体" w:hAnsi="宋体" w:eastAsia="宋体" w:cs="宋体"/>
          <w:color w:val="auto"/>
          <w:sz w:val="24"/>
          <w:highlight w:val="none"/>
        </w:rPr>
      </w:pPr>
      <w:bookmarkStart w:id="30" w:name="_Toc28359005"/>
      <w:bookmarkStart w:id="31" w:name="_Toc28359082"/>
      <w:bookmarkStart w:id="32" w:name="_Toc35393793"/>
      <w:bookmarkStart w:id="33" w:name="_Toc35393624"/>
      <w:r>
        <w:rPr>
          <w:rFonts w:hint="eastAsia" w:ascii="宋体" w:hAnsi="宋体" w:eastAsia="宋体" w:cs="宋体"/>
          <w:color w:val="auto"/>
          <w:sz w:val="24"/>
          <w:highlight w:val="none"/>
        </w:rPr>
        <w:t>四、提交</w:t>
      </w:r>
      <w:bookmarkEnd w:id="30"/>
      <w:bookmarkEnd w:id="31"/>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截止时间和地点</w:t>
      </w:r>
      <w:bookmarkEnd w:id="32"/>
      <w:bookmarkEnd w:id="33"/>
    </w:p>
    <w:p w14:paraId="0B02658C">
      <w:pPr>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提交</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截止时间</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05月26日11</w:t>
      </w:r>
      <w:r>
        <w:rPr>
          <w:rFonts w:hint="eastAsia" w:ascii="宋体" w:hAnsi="宋体" w:eastAsia="宋体" w:cs="宋体"/>
          <w:color w:val="auto"/>
          <w:sz w:val="24"/>
          <w:highlight w:val="none"/>
        </w:rPr>
        <w:t>点</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分（北京时间）</w:t>
      </w:r>
    </w:p>
    <w:p w14:paraId="69DD9A25">
      <w:pPr>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递交</w:t>
      </w:r>
      <w:r>
        <w:rPr>
          <w:rFonts w:hint="eastAsia" w:ascii="宋体" w:hAnsi="宋体" w:eastAsia="宋体" w:cs="宋体"/>
          <w:color w:val="auto"/>
          <w:sz w:val="24"/>
          <w:highlight w:val="none"/>
        </w:rPr>
        <w:t>地点：</w:t>
      </w:r>
      <w:bookmarkStart w:id="34" w:name="_Toc35393625"/>
      <w:bookmarkStart w:id="35" w:name="_Toc28359007"/>
      <w:bookmarkStart w:id="36" w:name="_Toc35393794"/>
      <w:bookmarkStart w:id="37" w:name="_Toc28359084"/>
      <w:r>
        <w:rPr>
          <w:rFonts w:hint="eastAsia" w:ascii="宋体" w:hAnsi="宋体" w:eastAsia="宋体" w:cs="宋体"/>
          <w:color w:val="auto"/>
          <w:sz w:val="24"/>
          <w:highlight w:val="none"/>
        </w:rPr>
        <w:t>政采云平台http://www.zcygov.cn/</w:t>
      </w:r>
    </w:p>
    <w:p w14:paraId="760BF8E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五、公告期限</w:t>
      </w:r>
      <w:bookmarkEnd w:id="34"/>
      <w:bookmarkEnd w:id="35"/>
      <w:bookmarkEnd w:id="36"/>
      <w:bookmarkEnd w:id="37"/>
    </w:p>
    <w:p w14:paraId="1E017F22">
      <w:pPr>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自本公告发布之日起</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个工作日。</w:t>
      </w:r>
    </w:p>
    <w:p w14:paraId="01B66F4B">
      <w:pPr>
        <w:spacing w:line="360" w:lineRule="auto"/>
        <w:rPr>
          <w:rFonts w:hint="eastAsia" w:ascii="宋体" w:hAnsi="宋体" w:eastAsia="宋体" w:cs="宋体"/>
          <w:color w:val="auto"/>
          <w:sz w:val="24"/>
          <w:highlight w:val="none"/>
        </w:rPr>
      </w:pPr>
      <w:bookmarkStart w:id="38" w:name="_Toc35393626"/>
      <w:bookmarkStart w:id="39" w:name="_Toc35393795"/>
      <w:r>
        <w:rPr>
          <w:rFonts w:hint="eastAsia" w:ascii="宋体" w:hAnsi="宋体" w:eastAsia="宋体" w:cs="宋体"/>
          <w:color w:val="auto"/>
          <w:sz w:val="24"/>
          <w:highlight w:val="none"/>
        </w:rPr>
        <w:t>六、其他补充事宜</w:t>
      </w:r>
      <w:bookmarkEnd w:id="38"/>
      <w:bookmarkEnd w:id="39"/>
    </w:p>
    <w:p w14:paraId="5EB3DE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bookmarkStart w:id="40" w:name="_Toc28359008"/>
      <w:bookmarkStart w:id="41" w:name="_Toc28359085"/>
      <w:bookmarkStart w:id="42" w:name="_Toc35393627"/>
      <w:bookmarkStart w:id="43" w:name="_Toc35393796"/>
      <w:r>
        <w:rPr>
          <w:rFonts w:hint="eastAsia" w:ascii="宋体" w:hAnsi="宋体" w:eastAsia="宋体" w:cs="宋体"/>
          <w:color w:val="auto"/>
          <w:sz w:val="24"/>
          <w:highlight w:val="none"/>
        </w:rPr>
        <w:t>1.本项目实行电子招投标，供应商须登录政采云平台申请获取采购文件，并需要使用CA锁，登录政采云电子投标客户端制作投标文件，若供应商参与投标,自行承担与投标有关的一切费用。</w:t>
      </w:r>
    </w:p>
    <w:p w14:paraId="624C2E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6DEC8D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3.供应商可前往新疆政府采购网（http://www.ccgp-xinjiang.gov.cn/）下载专区，下载政采云电子投标客户端，安装完成后，可通过账号密码或CA登录客户端进行投标文件制作。</w:t>
      </w:r>
    </w:p>
    <w:p w14:paraId="7B866B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4.供应商在开标时须携带制作加密电子投标文件所使用的CA锁，电脑须提前配置好浏览器，以便开标时在线解密。</w:t>
      </w:r>
    </w:p>
    <w:p w14:paraId="173C8E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5.投标供应商应当在投标截止时间前，将生成的“电子加密投标文件”上传递交至“政府采购云平台”，投标截止时间以后上传递交的投标文件将被“政府采购云平台”拒收。</w:t>
      </w:r>
    </w:p>
    <w:p w14:paraId="4557BE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七、对本次招标提出询问，请按以下方式联系</w:t>
      </w:r>
      <w:bookmarkEnd w:id="40"/>
      <w:bookmarkEnd w:id="41"/>
      <w:bookmarkEnd w:id="42"/>
      <w:bookmarkEnd w:id="43"/>
      <w:r>
        <w:rPr>
          <w:rFonts w:hint="eastAsia" w:ascii="宋体" w:hAnsi="宋体" w:eastAsia="宋体" w:cs="宋体"/>
          <w:color w:val="auto"/>
          <w:sz w:val="24"/>
          <w:highlight w:val="none"/>
        </w:rPr>
        <w:t>：</w:t>
      </w:r>
    </w:p>
    <w:p w14:paraId="375926E0">
      <w:pPr>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43AEECDA">
      <w:pPr>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采购人:新疆师范大学</w:t>
      </w:r>
    </w:p>
    <w:p w14:paraId="51CCE600">
      <w:pPr>
        <w:spacing w:line="360" w:lineRule="auto"/>
        <w:ind w:firstLine="5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杨老师</w:t>
      </w:r>
    </w:p>
    <w:p w14:paraId="54096D44">
      <w:pPr>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电话：0991-7654181</w:t>
      </w:r>
    </w:p>
    <w:p w14:paraId="4430BCF9">
      <w:pPr>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详细地址：新疆乌鲁木齐市水磨沟区观园路100号</w:t>
      </w:r>
    </w:p>
    <w:p w14:paraId="4C96837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bookmarkStart w:id="44" w:name="_Toc28359086"/>
      <w:bookmarkStart w:id="45" w:name="_Toc28359009"/>
    </w:p>
    <w:p w14:paraId="6F5064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bookmarkEnd w:id="44"/>
      <w:bookmarkEnd w:id="45"/>
    </w:p>
    <w:p w14:paraId="5CC72AA1">
      <w:pPr>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采购代理机构:新疆拓源工程管理咨询有限公司</w:t>
      </w:r>
    </w:p>
    <w:p w14:paraId="6548034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项目联系人：金山虎、黄莎莎</w:t>
      </w:r>
    </w:p>
    <w:p w14:paraId="250AA87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电话：13209920205、15099530785</w:t>
      </w:r>
    </w:p>
    <w:p w14:paraId="36AB356F">
      <w:pPr>
        <w:spacing w:line="360" w:lineRule="auto"/>
        <w:ind w:firstLine="480" w:firstLineChars="200"/>
        <w:rPr>
          <w:rFonts w:hint="eastAsia" w:ascii="宋体" w:hAnsi="宋体" w:eastAsia="宋体" w:cs="宋体"/>
          <w:color w:val="auto"/>
          <w:sz w:val="24"/>
          <w:highlight w:val="none"/>
        </w:rPr>
      </w:pPr>
      <w:bookmarkStart w:id="46" w:name="_Toc30817"/>
      <w:r>
        <w:rPr>
          <w:rFonts w:hint="eastAsia" w:ascii="宋体" w:hAnsi="宋体" w:eastAsia="宋体" w:cs="宋体"/>
          <w:color w:val="auto"/>
          <w:sz w:val="24"/>
          <w:highlight w:val="none"/>
        </w:rPr>
        <w:t>详细地址：乌鲁木齐市水磨沟区龙盛街898号万科中央公园S6栋5层　</w:t>
      </w:r>
      <w:bookmarkEnd w:id="11"/>
      <w:bookmarkEnd w:id="12"/>
      <w:bookmarkEnd w:id="13"/>
      <w:bookmarkEnd w:id="14"/>
      <w:bookmarkEnd w:id="15"/>
      <w:bookmarkEnd w:id="16"/>
    </w:p>
    <w:p w14:paraId="6D96612D">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9FACF80">
      <w:pPr>
        <w:pStyle w:val="2"/>
        <w:bidi w:val="0"/>
        <w:rPr>
          <w:rFonts w:hint="eastAsia" w:ascii="宋体" w:hAnsi="宋体" w:eastAsia="宋体" w:cs="宋体"/>
          <w:color w:val="auto"/>
          <w:sz w:val="24"/>
          <w:szCs w:val="24"/>
          <w:highlight w:val="none"/>
          <w:lang w:val="en-US" w:eastAsia="zh-CN"/>
        </w:rPr>
      </w:pPr>
      <w:r>
        <w:rPr>
          <w:rStyle w:val="87"/>
          <w:rFonts w:hint="eastAsia"/>
          <w:b/>
          <w:bCs/>
          <w:lang w:val="en-US" w:eastAsia="zh-CN"/>
        </w:rPr>
        <w:t>第二章  供应商须知</w:t>
      </w:r>
      <w:bookmarkEnd w:id="46"/>
    </w:p>
    <w:p w14:paraId="2248B5A1">
      <w:pPr>
        <w:pStyle w:val="3"/>
        <w:pageBreakBefore w:val="0"/>
        <w:kinsoku/>
        <w:wordWrap/>
        <w:overflowPunct/>
        <w:topLinePunct w:val="0"/>
        <w:autoSpaceDE/>
        <w:autoSpaceDN/>
        <w:bidi w:val="0"/>
        <w:spacing w:before="0" w:after="0" w:line="360" w:lineRule="auto"/>
        <w:jc w:val="center"/>
        <w:textAlignment w:val="auto"/>
        <w:rPr>
          <w:rFonts w:hint="eastAsia" w:ascii="宋体" w:hAnsi="宋体" w:eastAsia="宋体" w:cs="宋体"/>
          <w:color w:val="auto"/>
          <w:sz w:val="24"/>
          <w:szCs w:val="24"/>
          <w:highlight w:val="none"/>
        </w:rPr>
      </w:pPr>
      <w:bookmarkStart w:id="47" w:name="_Toc22767"/>
      <w:bookmarkStart w:id="48" w:name="_Toc213396946"/>
      <w:bookmarkStart w:id="49" w:name="_Toc217446032"/>
      <w:bookmarkStart w:id="50" w:name="_Toc213496268"/>
      <w:bookmarkStart w:id="51" w:name="_Toc213396760"/>
      <w:bookmarkStart w:id="52" w:name="_Toc189727030"/>
      <w:bookmarkStart w:id="53" w:name="_Toc25857"/>
      <w:bookmarkStart w:id="54" w:name="_Toc213397010"/>
      <w:r>
        <w:rPr>
          <w:rFonts w:hint="eastAsia" w:ascii="宋体" w:hAnsi="宋体" w:eastAsia="宋体" w:cs="宋体"/>
          <w:color w:val="auto"/>
          <w:sz w:val="24"/>
          <w:szCs w:val="24"/>
          <w:highlight w:val="none"/>
        </w:rPr>
        <w:t>一、供应商须知前附表</w:t>
      </w:r>
      <w:bookmarkEnd w:id="47"/>
      <w:bookmarkEnd w:id="48"/>
      <w:bookmarkEnd w:id="49"/>
      <w:bookmarkEnd w:id="50"/>
      <w:bookmarkEnd w:id="51"/>
      <w:bookmarkEnd w:id="52"/>
      <w:bookmarkEnd w:id="53"/>
      <w:bookmarkEnd w:id="54"/>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744"/>
        <w:gridCol w:w="6809"/>
      </w:tblGrid>
      <w:tr w14:paraId="0268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93" w:type="pct"/>
            <w:vAlign w:val="center"/>
          </w:tcPr>
          <w:p w14:paraId="2B9B6BD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939" w:type="pct"/>
            <w:vAlign w:val="center"/>
          </w:tcPr>
          <w:p w14:paraId="74DA314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 称</w:t>
            </w:r>
          </w:p>
        </w:tc>
        <w:tc>
          <w:tcPr>
            <w:tcW w:w="3667" w:type="pct"/>
            <w:vAlign w:val="center"/>
          </w:tcPr>
          <w:p w14:paraId="346CB59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72B1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3" w:type="pct"/>
            <w:vAlign w:val="center"/>
          </w:tcPr>
          <w:p w14:paraId="380774E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39" w:type="pct"/>
            <w:vAlign w:val="center"/>
          </w:tcPr>
          <w:p w14:paraId="5FD7E5E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3667" w:type="pct"/>
            <w:vAlign w:val="center"/>
          </w:tcPr>
          <w:p w14:paraId="7571195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采购人:新疆师范大学</w:t>
            </w:r>
          </w:p>
          <w:p w14:paraId="07A3CDD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联系人：杨老师</w:t>
            </w:r>
          </w:p>
          <w:p w14:paraId="738D76E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电话：0991-7654181</w:t>
            </w:r>
          </w:p>
          <w:p w14:paraId="788F77D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详细地址：新疆乌鲁木齐市水磨沟区观园路100号</w:t>
            </w:r>
          </w:p>
        </w:tc>
      </w:tr>
      <w:tr w14:paraId="6F21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393" w:type="pct"/>
            <w:vAlign w:val="center"/>
          </w:tcPr>
          <w:p w14:paraId="0DC9126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39" w:type="pct"/>
            <w:vAlign w:val="center"/>
          </w:tcPr>
          <w:p w14:paraId="7C379B1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3667" w:type="pct"/>
            <w:vAlign w:val="center"/>
          </w:tcPr>
          <w:p w14:paraId="3DC0A63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采购代理机构:新疆拓源工程管理咨询有限公司</w:t>
            </w:r>
          </w:p>
          <w:p w14:paraId="381105A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法定代表人:石崇华</w:t>
            </w:r>
          </w:p>
          <w:p w14:paraId="23B6478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项目联系人：金山虎、黄莎莎</w:t>
            </w:r>
          </w:p>
          <w:p w14:paraId="53DB45E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电话：13209920205、15099530785</w:t>
            </w:r>
          </w:p>
          <w:p w14:paraId="564B218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详细地址：乌鲁木齐市水磨沟区龙盛街898号万科中央公园S6栋5层　</w:t>
            </w:r>
          </w:p>
        </w:tc>
      </w:tr>
      <w:tr w14:paraId="3EDF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93" w:type="pct"/>
            <w:vAlign w:val="center"/>
          </w:tcPr>
          <w:p w14:paraId="721888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39" w:type="pct"/>
            <w:vAlign w:val="center"/>
          </w:tcPr>
          <w:p w14:paraId="5BD051A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667" w:type="pct"/>
            <w:vAlign w:val="center"/>
          </w:tcPr>
          <w:p w14:paraId="3E71E30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color w:val="auto"/>
                <w:sz w:val="24"/>
                <w:highlight w:val="none"/>
                <w:lang w:eastAsia="zh-CN"/>
              </w:rPr>
              <w:t>新疆师范大学大数据分析系统服务项目</w:t>
            </w:r>
          </w:p>
        </w:tc>
      </w:tr>
      <w:tr w14:paraId="60AB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93" w:type="pct"/>
            <w:vAlign w:val="center"/>
          </w:tcPr>
          <w:p w14:paraId="06B2ABC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39" w:type="pct"/>
            <w:vAlign w:val="center"/>
          </w:tcPr>
          <w:p w14:paraId="628D813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3667" w:type="pct"/>
            <w:vAlign w:val="center"/>
          </w:tcPr>
          <w:p w14:paraId="38A84DE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[2026]10504号</w:t>
            </w:r>
          </w:p>
        </w:tc>
      </w:tr>
      <w:tr w14:paraId="10C5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3" w:type="pct"/>
            <w:vAlign w:val="center"/>
          </w:tcPr>
          <w:p w14:paraId="292EE65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39" w:type="pct"/>
            <w:vAlign w:val="center"/>
          </w:tcPr>
          <w:p w14:paraId="0F6251A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资金来源、预算金额（最高限价）</w:t>
            </w:r>
          </w:p>
        </w:tc>
        <w:tc>
          <w:tcPr>
            <w:tcW w:w="3667" w:type="pct"/>
            <w:vAlign w:val="center"/>
          </w:tcPr>
          <w:p w14:paraId="10D55A3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本项目资金来源为：财政资金</w:t>
            </w:r>
          </w:p>
          <w:p w14:paraId="3739C3C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预算金额（最高限价）：</w:t>
            </w:r>
            <w:r>
              <w:rPr>
                <w:rFonts w:hint="eastAsia" w:ascii="宋体" w:hAnsi="宋体" w:eastAsia="宋体" w:cs="宋体"/>
                <w:color w:val="auto"/>
                <w:sz w:val="24"/>
                <w:highlight w:val="none"/>
                <w:lang w:val="en-US" w:eastAsia="zh-CN"/>
              </w:rPr>
              <w:t>200000.00</w:t>
            </w:r>
            <w:r>
              <w:rPr>
                <w:rFonts w:hint="eastAsia" w:ascii="宋体" w:hAnsi="宋体" w:eastAsia="宋体" w:cs="宋体"/>
                <w:color w:val="auto"/>
                <w:sz w:val="24"/>
                <w:highlight w:val="none"/>
                <w:lang w:eastAsia="zh-CN"/>
              </w:rPr>
              <w:t>元</w:t>
            </w:r>
          </w:p>
          <w:p w14:paraId="74A2492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最高限价：</w:t>
            </w:r>
            <w:r>
              <w:rPr>
                <w:rFonts w:hint="eastAsia" w:ascii="宋体" w:hAnsi="宋体" w:eastAsia="宋体" w:cs="宋体"/>
                <w:color w:val="auto"/>
                <w:sz w:val="24"/>
                <w:highlight w:val="none"/>
                <w:lang w:val="en-US" w:eastAsia="zh-CN"/>
              </w:rPr>
              <w:t>200000.00元</w:t>
            </w:r>
          </w:p>
          <w:p w14:paraId="57A72773">
            <w:pPr>
              <w:pStyle w:val="28"/>
              <w:keepNext w:val="0"/>
              <w:keepLines w:val="0"/>
              <w:pageBreakBefore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备注：</w:t>
            </w:r>
            <w:r>
              <w:rPr>
                <w:rFonts w:hint="eastAsia" w:ascii="宋体" w:hAnsi="宋体" w:eastAsia="宋体" w:cs="宋体"/>
                <w:b/>
                <w:bCs/>
                <w:color w:val="auto"/>
                <w:sz w:val="24"/>
                <w:szCs w:val="24"/>
                <w:highlight w:val="none"/>
              </w:rPr>
              <w:t>报价不得超出预算金额（最高限价），否则响应无效，此次报价包括所投项目相关人工费、保险费、税费等所有技术和服务费用。</w:t>
            </w:r>
          </w:p>
        </w:tc>
      </w:tr>
      <w:tr w14:paraId="0652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393" w:type="pct"/>
            <w:vAlign w:val="center"/>
          </w:tcPr>
          <w:p w14:paraId="15DCD72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39" w:type="pct"/>
            <w:vAlign w:val="center"/>
          </w:tcPr>
          <w:p w14:paraId="1D8A7DD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范围</w:t>
            </w:r>
          </w:p>
        </w:tc>
        <w:tc>
          <w:tcPr>
            <w:tcW w:w="3667" w:type="pct"/>
            <w:vAlign w:val="center"/>
          </w:tcPr>
          <w:p w14:paraId="231D7134">
            <w:pPr>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新疆师范大学大数据分析系统服务项目</w:t>
            </w:r>
            <w:r>
              <w:rPr>
                <w:rFonts w:hint="eastAsia" w:ascii="宋体" w:hAnsi="宋体" w:eastAsia="宋体" w:cs="宋体"/>
                <w:color w:val="auto"/>
                <w:sz w:val="24"/>
                <w:szCs w:val="24"/>
                <w:highlight w:val="none"/>
              </w:rPr>
              <w:t xml:space="preserve">详见招标文件“第四章  </w:t>
            </w:r>
            <w:r>
              <w:rPr>
                <w:rFonts w:hint="eastAsia" w:ascii="宋体" w:hAnsi="宋体" w:eastAsia="宋体" w:cs="宋体"/>
                <w:color w:val="auto"/>
                <w:sz w:val="24"/>
                <w:szCs w:val="24"/>
                <w:highlight w:val="none"/>
                <w:lang w:eastAsia="zh-CN"/>
              </w:rPr>
              <w:t>项目技术要求</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eastAsia="zh-CN"/>
              </w:rPr>
              <w:t> </w:t>
            </w:r>
          </w:p>
        </w:tc>
      </w:tr>
      <w:tr w14:paraId="3208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3" w:type="pct"/>
            <w:vAlign w:val="center"/>
          </w:tcPr>
          <w:p w14:paraId="3B07B57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939" w:type="pct"/>
            <w:vAlign w:val="center"/>
          </w:tcPr>
          <w:p w14:paraId="7B18933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报价方式</w:t>
            </w:r>
          </w:p>
        </w:tc>
        <w:tc>
          <w:tcPr>
            <w:tcW w:w="3667" w:type="pct"/>
            <w:vAlign w:val="center"/>
          </w:tcPr>
          <w:p w14:paraId="27F1063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本项目为二轮或多轮报价，以最终报价进行评审，</w:t>
            </w:r>
            <w:r>
              <w:rPr>
                <w:rFonts w:hint="eastAsia" w:ascii="宋体" w:hAnsi="宋体" w:eastAsia="宋体" w:cs="宋体"/>
                <w:bCs/>
                <w:color w:val="auto"/>
                <w:sz w:val="24"/>
                <w:szCs w:val="24"/>
                <w:highlight w:val="none"/>
                <w:lang w:val="en-US" w:eastAsia="zh-CN"/>
              </w:rPr>
              <w:t>最终报价</w:t>
            </w:r>
            <w:r>
              <w:rPr>
                <w:rFonts w:hint="eastAsia" w:ascii="宋体" w:hAnsi="宋体" w:eastAsia="宋体" w:cs="宋体"/>
                <w:bCs/>
                <w:color w:val="auto"/>
                <w:sz w:val="24"/>
                <w:szCs w:val="24"/>
                <w:highlight w:val="none"/>
              </w:rPr>
              <w:t>不得超过</w:t>
            </w:r>
            <w:r>
              <w:rPr>
                <w:rFonts w:hint="eastAsia" w:ascii="宋体" w:hAnsi="宋体" w:eastAsia="宋体" w:cs="宋体"/>
                <w:bCs/>
                <w:color w:val="auto"/>
                <w:sz w:val="24"/>
                <w:szCs w:val="24"/>
                <w:highlight w:val="none"/>
                <w:lang w:val="en-US" w:eastAsia="zh-CN"/>
              </w:rPr>
              <w:t>首轮</w:t>
            </w:r>
            <w:r>
              <w:rPr>
                <w:rFonts w:hint="eastAsia" w:ascii="宋体" w:hAnsi="宋体" w:eastAsia="宋体" w:cs="宋体"/>
                <w:bCs/>
                <w:color w:val="auto"/>
                <w:sz w:val="24"/>
                <w:szCs w:val="24"/>
                <w:highlight w:val="none"/>
              </w:rPr>
              <w:t>报价，否则</w:t>
            </w:r>
            <w:r>
              <w:rPr>
                <w:rFonts w:hint="eastAsia" w:ascii="宋体" w:hAnsi="宋体" w:eastAsia="宋体" w:cs="宋体"/>
                <w:b/>
                <w:bCs w:val="0"/>
                <w:color w:val="auto"/>
                <w:sz w:val="24"/>
                <w:szCs w:val="24"/>
                <w:highlight w:val="none"/>
              </w:rPr>
              <w:t>响应无效</w:t>
            </w:r>
            <w:r>
              <w:rPr>
                <w:rFonts w:hint="eastAsia" w:ascii="宋体" w:hAnsi="宋体" w:eastAsia="宋体" w:cs="宋体"/>
                <w:bCs/>
                <w:color w:val="auto"/>
                <w:sz w:val="24"/>
                <w:szCs w:val="24"/>
                <w:highlight w:val="none"/>
              </w:rPr>
              <w:t>。</w:t>
            </w:r>
          </w:p>
        </w:tc>
      </w:tr>
      <w:tr w14:paraId="46D1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393" w:type="pct"/>
            <w:vAlign w:val="center"/>
          </w:tcPr>
          <w:p w14:paraId="7351885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939" w:type="pct"/>
            <w:vAlign w:val="center"/>
          </w:tcPr>
          <w:p w14:paraId="0465836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w:t>
            </w:r>
          </w:p>
        </w:tc>
        <w:tc>
          <w:tcPr>
            <w:tcW w:w="3667" w:type="pct"/>
            <w:vAlign w:val="center"/>
          </w:tcPr>
          <w:p w14:paraId="56792F0F">
            <w:pPr>
              <w:pStyle w:val="6"/>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自合同签订之日起5日内完成交付验收。</w:t>
            </w:r>
          </w:p>
        </w:tc>
      </w:tr>
      <w:tr w14:paraId="490B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93" w:type="pct"/>
            <w:vAlign w:val="center"/>
          </w:tcPr>
          <w:p w14:paraId="47DC7B2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939" w:type="pct"/>
            <w:vAlign w:val="center"/>
          </w:tcPr>
          <w:p w14:paraId="5F6F507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3667" w:type="pct"/>
            <w:vAlign w:val="center"/>
          </w:tcPr>
          <w:p w14:paraId="5168B7C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自授权之日起两年。</w:t>
            </w:r>
          </w:p>
        </w:tc>
      </w:tr>
      <w:tr w14:paraId="7CF5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393" w:type="pct"/>
            <w:vAlign w:val="center"/>
          </w:tcPr>
          <w:p w14:paraId="02ED4BB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939" w:type="pct"/>
            <w:vAlign w:val="center"/>
          </w:tcPr>
          <w:p w14:paraId="6BFE2FD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7312B4E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政策</w:t>
            </w:r>
          </w:p>
        </w:tc>
        <w:tc>
          <w:tcPr>
            <w:tcW w:w="3667" w:type="pct"/>
            <w:vAlign w:val="center"/>
          </w:tcPr>
          <w:p w14:paraId="4760D2B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为专门面向中小企业（含中型、小型、微型企业）采购项目，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司法部关于政府采购支持监狱企业发展有关问题的通知》（财库〔2014〕68号）和《三部门联合发布关于促进残疾人就业政府采购政策的通知》（财库〔2017〕141号）的规定，投标人需在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中提交《中小企业声明函》、《残疾人福利性单位声明函》或省级以上监狱管理局、戒毒管理局（含新疆生产建设兵团）出具的属于监狱企业的证明文件，不再执行价格评审优惠的扶持政策。</w:t>
            </w:r>
          </w:p>
          <w:p w14:paraId="4B4A3CA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2、所属行业：软件和信息技术服务业</w:t>
            </w:r>
          </w:p>
          <w:p w14:paraId="14A6D60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3、项目属性：</w:t>
            </w:r>
            <w:r>
              <w:rPr>
                <w:rFonts w:hint="eastAsia" w:ascii="宋体" w:hAnsi="宋体" w:eastAsia="宋体" w:cs="宋体"/>
                <w:color w:val="auto"/>
                <w:sz w:val="24"/>
                <w:szCs w:val="24"/>
                <w:highlight w:val="none"/>
                <w:lang w:val="en-US" w:eastAsia="zh-CN"/>
              </w:rPr>
              <w:t>服务</w:t>
            </w:r>
          </w:p>
          <w:p w14:paraId="341431E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《中小企业声明函》中所列行业与采购文件所明确的行业不一致但不改变划型结果的不影响声明有效性。</w:t>
            </w:r>
          </w:p>
        </w:tc>
      </w:tr>
      <w:tr w14:paraId="17B3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29109DE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939" w:type="pct"/>
            <w:vAlign w:val="center"/>
          </w:tcPr>
          <w:p w14:paraId="3E9B582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供应商资格要求</w:t>
            </w:r>
          </w:p>
        </w:tc>
        <w:tc>
          <w:tcPr>
            <w:tcW w:w="3667" w:type="pct"/>
            <w:vAlign w:val="center"/>
          </w:tcPr>
          <w:p w14:paraId="7765FC9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1C7E346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2.落实政府采购政策需满足的资格要求：本项目为专门面向中小企业（含中型、小型、微型企业）采购项目；</w:t>
            </w:r>
          </w:p>
          <w:p w14:paraId="091AD10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3.本项目的特定资格要求：</w:t>
            </w:r>
            <w:r>
              <w:rPr>
                <w:rFonts w:hint="eastAsia" w:ascii="宋体" w:hAnsi="宋体" w:eastAsia="宋体" w:cs="宋体"/>
                <w:color w:val="auto"/>
                <w:kern w:val="0"/>
                <w:sz w:val="24"/>
                <w:szCs w:val="24"/>
                <w:highlight w:val="none"/>
                <w:lang w:eastAsia="zh-CN"/>
              </w:rPr>
              <w:t>（1）除单一来源采购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tc>
      </w:tr>
      <w:tr w14:paraId="4D10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6244B30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939" w:type="pct"/>
            <w:vAlign w:val="center"/>
          </w:tcPr>
          <w:p w14:paraId="4C26118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磋商保证金</w:t>
            </w:r>
          </w:p>
        </w:tc>
        <w:tc>
          <w:tcPr>
            <w:tcW w:w="3667" w:type="pct"/>
            <w:vAlign w:val="center"/>
          </w:tcPr>
          <w:p w14:paraId="0D9804E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小写：4000.00元（大写：肆仟元整）</w:t>
            </w:r>
          </w:p>
          <w:p w14:paraId="0FDD7DF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一、磋商保证金缴纳：</w:t>
            </w:r>
          </w:p>
          <w:p w14:paraId="5F06EE4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磋商保证金应当以电汇、网银、</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rPr>
              <w:t>保函等非现金形式提交</w:t>
            </w:r>
            <w:r>
              <w:rPr>
                <w:rFonts w:hint="eastAsia" w:ascii="宋体" w:hAnsi="宋体" w:eastAsia="宋体" w:cs="宋体"/>
                <w:color w:val="auto"/>
                <w:kern w:val="0"/>
                <w:sz w:val="24"/>
                <w:szCs w:val="24"/>
                <w:highlight w:val="none"/>
              </w:rPr>
              <w:t>；</w:t>
            </w:r>
          </w:p>
          <w:p w14:paraId="15BC4CD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bidi="ar"/>
              </w:rPr>
              <w:t>缴纳磋商保证金时需备注项目名称</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如字数超限，可简写</w:t>
            </w:r>
            <w:r>
              <w:rPr>
                <w:rFonts w:hint="eastAsia" w:ascii="宋体" w:hAnsi="宋体" w:eastAsia="宋体" w:cs="宋体"/>
                <w:color w:val="auto"/>
                <w:kern w:val="0"/>
                <w:sz w:val="24"/>
                <w:szCs w:val="24"/>
                <w:highlight w:val="none"/>
              </w:rPr>
              <w:t>；</w:t>
            </w:r>
          </w:p>
          <w:p w14:paraId="7930C1E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3.磋商保证金</w:t>
            </w:r>
            <w:r>
              <w:rPr>
                <w:rFonts w:hint="eastAsia" w:ascii="宋体" w:hAnsi="宋体" w:eastAsia="宋体" w:cs="宋体"/>
                <w:color w:val="auto"/>
                <w:kern w:val="0"/>
                <w:sz w:val="24"/>
                <w:szCs w:val="24"/>
                <w:highlight w:val="none"/>
                <w:lang w:val="en-US" w:eastAsia="zh-CN"/>
              </w:rPr>
              <w:t>缴纳</w:t>
            </w:r>
            <w:r>
              <w:rPr>
                <w:rFonts w:hint="eastAsia" w:ascii="宋体" w:hAnsi="宋体" w:eastAsia="宋体" w:cs="宋体"/>
                <w:color w:val="auto"/>
                <w:kern w:val="0"/>
                <w:sz w:val="24"/>
                <w:szCs w:val="24"/>
                <w:highlight w:val="none"/>
              </w:rPr>
              <w:t>截止时间：同响应文件</w:t>
            </w:r>
            <w:r>
              <w:rPr>
                <w:rFonts w:hint="eastAsia" w:ascii="宋体" w:hAnsi="宋体" w:eastAsia="宋体" w:cs="宋体"/>
                <w:color w:val="auto"/>
                <w:kern w:val="0"/>
                <w:sz w:val="24"/>
                <w:szCs w:val="24"/>
                <w:highlight w:val="none"/>
                <w:lang w:val="en-US" w:eastAsia="zh-CN"/>
              </w:rPr>
              <w:t>上传</w:t>
            </w:r>
            <w:r>
              <w:rPr>
                <w:rFonts w:hint="eastAsia" w:ascii="宋体" w:hAnsi="宋体" w:eastAsia="宋体" w:cs="宋体"/>
                <w:color w:val="auto"/>
                <w:kern w:val="0"/>
                <w:sz w:val="24"/>
                <w:szCs w:val="24"/>
                <w:highlight w:val="none"/>
              </w:rPr>
              <w:t>截止时间；</w:t>
            </w:r>
          </w:p>
          <w:p w14:paraId="46AE532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磋商保证金缴纳账户：</w:t>
            </w:r>
          </w:p>
          <w:p w14:paraId="57E191B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单位名称：新疆拓源工程管理咨询有限公司</w:t>
            </w:r>
          </w:p>
          <w:p w14:paraId="26D0680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账号：107675470537</w:t>
            </w:r>
          </w:p>
          <w:p w14:paraId="76D121E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开户行名称：中国银行乌鲁木齐市银川路支行</w:t>
            </w:r>
          </w:p>
          <w:p w14:paraId="66286BE2">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行号：104881006135</w:t>
            </w:r>
          </w:p>
          <w:p w14:paraId="7456CC0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二、磋商保证金退还：</w:t>
            </w:r>
          </w:p>
          <w:p w14:paraId="26A978E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1.未成交供应商的磋商保证金将在成交通知书发出后5个工作日内退还。</w:t>
            </w:r>
          </w:p>
          <w:p w14:paraId="5F5B813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2.成交供应商的磋商保证金将在成交供应商与采购人签订合同，并将合同递交至采购代理后5个工作日内，无息退还。</w:t>
            </w:r>
          </w:p>
          <w:p w14:paraId="0465E8C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3.有下列情形之一的，磋商保证金不予退还：详见总则第15.5条。 </w:t>
            </w:r>
          </w:p>
          <w:p w14:paraId="66736D0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三、备注：</w:t>
            </w:r>
          </w:p>
          <w:p w14:paraId="0C666A8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lang w:val="en-US" w:eastAsia="zh-CN"/>
              </w:rPr>
              <w:t>供应商无需前往代理公司换取收据，仅需将</w:t>
            </w:r>
            <w:r>
              <w:rPr>
                <w:rFonts w:hint="eastAsia" w:ascii="宋体" w:hAnsi="宋体" w:eastAsia="宋体" w:cs="宋体"/>
                <w:color w:val="auto"/>
                <w:sz w:val="24"/>
                <w:szCs w:val="24"/>
                <w:highlight w:val="none"/>
              </w:rPr>
              <w:t>加盖公章的磋商保证金缴纳凭证，装订在响应文件中相应位置</w:t>
            </w:r>
            <w:r>
              <w:rPr>
                <w:rFonts w:hint="eastAsia" w:ascii="宋体" w:hAnsi="宋体" w:eastAsia="宋体" w:cs="宋体"/>
                <w:color w:val="auto"/>
                <w:sz w:val="24"/>
                <w:szCs w:val="24"/>
                <w:highlight w:val="none"/>
                <w:lang w:val="en-US" w:eastAsia="zh-CN"/>
              </w:rPr>
              <w:t>即可</w:t>
            </w:r>
            <w:r>
              <w:rPr>
                <w:rFonts w:hint="eastAsia" w:ascii="宋体" w:hAnsi="宋体" w:eastAsia="宋体" w:cs="宋体"/>
                <w:color w:val="auto"/>
                <w:sz w:val="24"/>
                <w:szCs w:val="24"/>
                <w:highlight w:val="none"/>
                <w:lang w:eastAsia="zh-CN"/>
              </w:rPr>
              <w:t>；</w:t>
            </w:r>
          </w:p>
          <w:p w14:paraId="5AE2783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2、供应商未按照磋商文件要求缴纳磋商保证金的，响应无效。</w:t>
            </w:r>
          </w:p>
        </w:tc>
      </w:tr>
      <w:tr w14:paraId="74FA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0F06FF0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939" w:type="pct"/>
            <w:vAlign w:val="center"/>
          </w:tcPr>
          <w:p w14:paraId="4B3A86F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w:t>
            </w:r>
          </w:p>
        </w:tc>
        <w:tc>
          <w:tcPr>
            <w:tcW w:w="3667" w:type="pct"/>
            <w:vAlign w:val="center"/>
          </w:tcPr>
          <w:p w14:paraId="6B5BAB9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4D07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3BE32EA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939" w:type="pct"/>
            <w:vAlign w:val="center"/>
          </w:tcPr>
          <w:p w14:paraId="7233880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3667" w:type="pct"/>
            <w:vAlign w:val="center"/>
          </w:tcPr>
          <w:p w14:paraId="0A635A9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4B26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393" w:type="pct"/>
            <w:vAlign w:val="center"/>
          </w:tcPr>
          <w:p w14:paraId="5F8DB4A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939" w:type="pct"/>
            <w:vAlign w:val="center"/>
          </w:tcPr>
          <w:p w14:paraId="07FDD06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截止时间及地点</w:t>
            </w:r>
          </w:p>
        </w:tc>
        <w:tc>
          <w:tcPr>
            <w:tcW w:w="3667" w:type="pct"/>
            <w:vAlign w:val="center"/>
          </w:tcPr>
          <w:p w14:paraId="0DC9F4AF">
            <w:pPr>
              <w:pStyle w:val="46"/>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响应文件</w:t>
            </w:r>
            <w:r>
              <w:rPr>
                <w:rFonts w:hint="eastAsia" w:ascii="宋体" w:hAnsi="宋体" w:eastAsia="宋体" w:cs="宋体"/>
                <w:color w:val="auto"/>
                <w:kern w:val="0"/>
                <w:sz w:val="24"/>
                <w:szCs w:val="24"/>
                <w:highlight w:val="none"/>
                <w:lang w:val="en-US" w:eastAsia="zh-CN"/>
              </w:rPr>
              <w:t>递交</w:t>
            </w:r>
            <w:r>
              <w:rPr>
                <w:rFonts w:hint="eastAsia" w:ascii="宋体" w:hAnsi="宋体" w:eastAsia="宋体" w:cs="宋体"/>
                <w:color w:val="auto"/>
                <w:kern w:val="0"/>
                <w:sz w:val="24"/>
                <w:szCs w:val="24"/>
                <w:highlight w:val="none"/>
              </w:rPr>
              <w:t>截止时间</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05月26日11时00</w:t>
            </w:r>
            <w:r>
              <w:rPr>
                <w:rFonts w:hint="eastAsia" w:ascii="宋体" w:hAnsi="宋体" w:eastAsia="宋体" w:cs="宋体"/>
                <w:color w:val="auto"/>
                <w:sz w:val="24"/>
                <w:highlight w:val="none"/>
              </w:rPr>
              <w:t>分</w:t>
            </w:r>
            <w:r>
              <w:rPr>
                <w:rFonts w:hint="eastAsia" w:ascii="宋体" w:hAnsi="宋体" w:eastAsia="宋体" w:cs="宋体"/>
                <w:color w:val="auto"/>
                <w:kern w:val="0"/>
                <w:sz w:val="24"/>
                <w:szCs w:val="24"/>
                <w:highlight w:val="none"/>
              </w:rPr>
              <w:t>（北京时间）</w:t>
            </w:r>
          </w:p>
          <w:p w14:paraId="723331A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响应文件</w:t>
            </w:r>
            <w:r>
              <w:rPr>
                <w:rFonts w:hint="eastAsia" w:ascii="宋体" w:hAnsi="宋体" w:eastAsia="宋体" w:cs="宋体"/>
                <w:color w:val="auto"/>
                <w:kern w:val="0"/>
                <w:sz w:val="24"/>
                <w:szCs w:val="24"/>
                <w:highlight w:val="none"/>
                <w:lang w:val="en-US" w:eastAsia="zh-CN"/>
              </w:rPr>
              <w:t>递交</w:t>
            </w:r>
            <w:r>
              <w:rPr>
                <w:rFonts w:hint="eastAsia" w:ascii="宋体" w:hAnsi="宋体" w:eastAsia="宋体" w:cs="宋体"/>
                <w:color w:val="auto"/>
                <w:kern w:val="0"/>
                <w:sz w:val="24"/>
                <w:szCs w:val="24"/>
                <w:highlight w:val="none"/>
              </w:rPr>
              <w:t>地点：在磋商截止时间前将电子加密响应文件成功上传至“政府采购云平台”</w:t>
            </w:r>
            <w:r>
              <w:rPr>
                <w:rFonts w:hint="eastAsia" w:ascii="宋体" w:hAnsi="宋体" w:eastAsia="宋体" w:cs="宋体"/>
                <w:color w:val="auto"/>
                <w:sz w:val="24"/>
                <w:szCs w:val="24"/>
                <w:highlight w:val="none"/>
              </w:rPr>
              <w:t>。</w:t>
            </w:r>
          </w:p>
        </w:tc>
      </w:tr>
      <w:tr w14:paraId="03C4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3" w:type="pct"/>
            <w:vAlign w:val="center"/>
          </w:tcPr>
          <w:p w14:paraId="29E716E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939" w:type="pct"/>
            <w:vAlign w:val="center"/>
          </w:tcPr>
          <w:p w14:paraId="6BD88D9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响应文件的上传</w:t>
            </w:r>
          </w:p>
        </w:tc>
        <w:tc>
          <w:tcPr>
            <w:tcW w:w="3667" w:type="pct"/>
            <w:vAlign w:val="center"/>
          </w:tcPr>
          <w:p w14:paraId="64DDDAA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（1）响应文件解密时间：</w:t>
            </w:r>
            <w:r>
              <w:rPr>
                <w:rFonts w:hint="eastAsia" w:ascii="宋体" w:hAnsi="宋体" w:eastAsia="宋体" w:cs="宋体"/>
                <w:color w:val="auto"/>
                <w:sz w:val="24"/>
                <w:szCs w:val="24"/>
                <w:highlight w:val="none"/>
              </w:rPr>
              <w:t>响应文件解密时间30分钟，磋商前供应商需用CA证书登录“政采云平台开标大厅”签到，在30分钟解密时间内输入CA证书PIN码解密响应文件，在30分钟解密时间内未进行解密的供应商，响应无效（解密时间开始时政采云平台将以短信形式向供应商在政采云平台预留的手机号发送短信通知，请供应商及时关注）。</w:t>
            </w:r>
          </w:p>
          <w:p w14:paraId="20F31A0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（2）供应商报价CA签字确认：</w:t>
            </w:r>
            <w:r>
              <w:rPr>
                <w:rFonts w:hint="eastAsia" w:ascii="宋体" w:hAnsi="宋体" w:eastAsia="宋体" w:cs="宋体"/>
                <w:color w:val="auto"/>
                <w:sz w:val="24"/>
                <w:szCs w:val="24"/>
                <w:highlight w:val="none"/>
              </w:rPr>
              <w:t>报价文件开启后将开启签字时段，供应商须在20分钟内用CA证书对报价进行签字确认。</w:t>
            </w:r>
          </w:p>
          <w:p w14:paraId="2773A91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（3）备注:</w:t>
            </w:r>
          </w:p>
          <w:p w14:paraId="2F24288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①本次采购采用电子交易方式，电子交易平台为“政府采购云平台（www.zcygov.cn）”，供应商参与本项目电子交易活动前，应注册成为政府采购平台供应商，编制电子响应文件前还需申领CA证书并绑定帐号。</w:t>
            </w:r>
          </w:p>
          <w:p w14:paraId="6349443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供应商编制电子响应文件应安装“电子招投标供应商客户端”软件，并按照本采购文件和“电子招投标供应商客户端”的要求编制并加密响应文件，未按规定加密的响应文件，将被“电子招投标供应商客户端”拒收，“电子招投标供应商客户端”请供应商自行前往“新疆政府采购网—下载专区—新疆维吾尔自治区全流程电子招投标项目管理系统--电子招投标供应商客户端”版块获取。</w:t>
            </w:r>
          </w:p>
          <w:p w14:paraId="53A1058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③供应商应当在响应截止时间前，将“电子招投标供应商客户端”生成的“电子加密响应文件”上传电子交易平台。</w:t>
            </w:r>
          </w:p>
          <w:p w14:paraId="5569E8AC">
            <w:pPr>
              <w:pStyle w:val="6"/>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④服务与支持。各政府采购代理机构（含集采机构）及供应商对不见面开评审系统的技术操作咨询，可通过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"https://edu.zcygov.cn/luban/xinjiang-e-biding"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https://edu.zcygov.cn/luban/xinjiang-e-biding</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自助查询，也可在政采云帮助中心常见问题解答和操作流程讲解视频中自助查询，网址为：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"https://service.zcygov.cn/" \l "/help"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https://service.zcygov.cn/#/help</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，“项目采购—操作流程—电子招投标—政府服务项目电子交易管理操作指南-供应商”版面获取操作指南，同时对自助查询无法解决的问题可通过钉钉群及政采云在线客服获取服务支持。</w:t>
            </w:r>
          </w:p>
          <w:p w14:paraId="77ECC352">
            <w:pPr>
              <w:pStyle w:val="6"/>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政采云热线人工号码：400-881-7190（工作时间：工作日08:00~20：00）</w:t>
            </w:r>
          </w:p>
        </w:tc>
      </w:tr>
      <w:tr w14:paraId="56F7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3" w:type="pct"/>
            <w:vAlign w:val="center"/>
          </w:tcPr>
          <w:p w14:paraId="201411E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939" w:type="pct"/>
            <w:vAlign w:val="center"/>
          </w:tcPr>
          <w:p w14:paraId="57B5D1A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3667" w:type="pct"/>
            <w:vAlign w:val="center"/>
          </w:tcPr>
          <w:p w14:paraId="271834B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1、报价合理性：采购评审中出现下列情形之一的，评标委员会启动异常低价响应审查程序：</w:t>
            </w:r>
          </w:p>
          <w:p w14:paraId="5917013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1.投标(响应)报价低于全部通过符合性审查供应商投标(响应)报价「平均值」50%的，即投标(响应)报价&lt;全部通过符合性审查供应商投标（响应）报价平均值×50%；</w:t>
            </w:r>
          </w:p>
          <w:p w14:paraId="63FA973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2.投标(响应)报价低于通过符合性审查的「次低报价」供应商投标(响应)报价50%的，即投标(响应)报价&lt;通过符合性审查供应商投标(响应)报价×50%；</w:t>
            </w:r>
          </w:p>
          <w:p w14:paraId="5F1CBA6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3.投标(响应)报价低于采购项目「最高限价」45%的，即投标(响应)报价&lt;采购项目最高限价×45%；</w:t>
            </w:r>
          </w:p>
          <w:p w14:paraId="62304A2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4.评审委员会基于专业判断，认为供应商报价过低，有可能影响产品质量或者不能诚信履约的其他情形。</w:t>
            </w:r>
          </w:p>
          <w:p w14:paraId="7AAE871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D806A7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794949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2、投标人的报价包含提供的所有货物及相关工作范围内所有费用的总价。</w:t>
            </w:r>
          </w:p>
        </w:tc>
      </w:tr>
      <w:tr w14:paraId="6082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3" w:type="pct"/>
            <w:vAlign w:val="center"/>
          </w:tcPr>
          <w:p w14:paraId="7B9E824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939" w:type="pct"/>
            <w:vAlign w:val="center"/>
          </w:tcPr>
          <w:p w14:paraId="3A97375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3667" w:type="pct"/>
            <w:vAlign w:val="center"/>
          </w:tcPr>
          <w:p w14:paraId="17FED14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不组织，供应商自行踏勘，无论供应商对现场考察与否，都将被视为熟悉履行合同有关的一切情况，供应商现场踏勘发生的费用自理。</w:t>
            </w:r>
          </w:p>
        </w:tc>
      </w:tr>
      <w:tr w14:paraId="2664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393" w:type="pct"/>
            <w:vAlign w:val="center"/>
          </w:tcPr>
          <w:p w14:paraId="308FCC4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939" w:type="pct"/>
            <w:vAlign w:val="center"/>
          </w:tcPr>
          <w:p w14:paraId="614AA82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磋商答疑会</w:t>
            </w:r>
          </w:p>
        </w:tc>
        <w:tc>
          <w:tcPr>
            <w:tcW w:w="3667" w:type="pct"/>
            <w:vAlign w:val="center"/>
          </w:tcPr>
          <w:p w14:paraId="1A89F18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不召开</w:t>
            </w:r>
          </w:p>
        </w:tc>
      </w:tr>
      <w:tr w14:paraId="5BBC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67ADAF2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939" w:type="pct"/>
            <w:vAlign w:val="center"/>
          </w:tcPr>
          <w:p w14:paraId="6D7ADBE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近年财务状况年份要求</w:t>
            </w:r>
          </w:p>
        </w:tc>
        <w:tc>
          <w:tcPr>
            <w:tcW w:w="3667" w:type="pct"/>
            <w:vAlign w:val="center"/>
          </w:tcPr>
          <w:p w14:paraId="56F5466A">
            <w:pPr>
              <w:pStyle w:val="23"/>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银行出具的近1年内资信证明或2025年度经审计并赋码的财务审计报告</w:t>
            </w:r>
          </w:p>
        </w:tc>
      </w:tr>
      <w:tr w14:paraId="1B40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393" w:type="pct"/>
            <w:vAlign w:val="center"/>
          </w:tcPr>
          <w:p w14:paraId="23085C5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939" w:type="pct"/>
            <w:vAlign w:val="center"/>
          </w:tcPr>
          <w:p w14:paraId="79B895A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3667" w:type="pct"/>
            <w:vAlign w:val="center"/>
          </w:tcPr>
          <w:p w14:paraId="1C625F9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从提交响应文件的截止之日起</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0天</w:t>
            </w:r>
          </w:p>
        </w:tc>
      </w:tr>
      <w:tr w14:paraId="61C9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3C7D7B0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939" w:type="pct"/>
            <w:vAlign w:val="center"/>
          </w:tcPr>
          <w:p w14:paraId="238F8E7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磋商小组的组建</w:t>
            </w:r>
          </w:p>
        </w:tc>
        <w:tc>
          <w:tcPr>
            <w:tcW w:w="3667" w:type="pct"/>
            <w:vAlign w:val="center"/>
          </w:tcPr>
          <w:p w14:paraId="5ECB8A9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磋商小组构成：3人</w:t>
            </w:r>
            <w:r>
              <w:rPr>
                <w:rFonts w:hint="eastAsia" w:ascii="宋体" w:hAnsi="宋体" w:eastAsia="宋体" w:cs="宋体"/>
                <w:color w:val="auto"/>
                <w:sz w:val="24"/>
                <w:szCs w:val="24"/>
                <w:highlight w:val="none"/>
                <w:lang w:val="en-US" w:eastAsia="zh-CN"/>
              </w:rPr>
              <w:t>。</w:t>
            </w:r>
          </w:p>
          <w:p w14:paraId="7D51B44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评审专家确定方式：经济、技术专家不少于磋商小组组成人员的三分之二，按相关规定从自治区政府采购专家库中随机抽取。</w:t>
            </w:r>
          </w:p>
        </w:tc>
      </w:tr>
      <w:tr w14:paraId="7237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393" w:type="pct"/>
            <w:vAlign w:val="center"/>
          </w:tcPr>
          <w:p w14:paraId="2DB6CB3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939" w:type="pct"/>
            <w:vAlign w:val="center"/>
          </w:tcPr>
          <w:p w14:paraId="3466E72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3667" w:type="pct"/>
            <w:vAlign w:val="center"/>
          </w:tcPr>
          <w:p w14:paraId="167DCCD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14:paraId="5D1A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2E83061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939" w:type="pct"/>
            <w:vAlign w:val="center"/>
          </w:tcPr>
          <w:p w14:paraId="287DC71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是否授权磋商小组确定成交人</w:t>
            </w:r>
          </w:p>
        </w:tc>
        <w:tc>
          <w:tcPr>
            <w:tcW w:w="3667" w:type="pct"/>
            <w:vAlign w:val="center"/>
          </w:tcPr>
          <w:p w14:paraId="1CC1F9A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名成交候选人。</w:t>
            </w:r>
          </w:p>
        </w:tc>
      </w:tr>
      <w:tr w14:paraId="3158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93" w:type="pct"/>
            <w:vAlign w:val="center"/>
          </w:tcPr>
          <w:p w14:paraId="5811274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939" w:type="pct"/>
            <w:vAlign w:val="center"/>
          </w:tcPr>
          <w:p w14:paraId="50B365E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3667" w:type="pct"/>
            <w:vAlign w:val="center"/>
          </w:tcPr>
          <w:p w14:paraId="3B4CFD1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本项目无需缴纳履约保证金。</w:t>
            </w:r>
          </w:p>
        </w:tc>
      </w:tr>
      <w:tr w14:paraId="4F00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5E53D5A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939" w:type="pct"/>
            <w:vAlign w:val="center"/>
          </w:tcPr>
          <w:p w14:paraId="3F30AB1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w:t>
            </w:r>
          </w:p>
        </w:tc>
        <w:tc>
          <w:tcPr>
            <w:tcW w:w="3667" w:type="pct"/>
            <w:vAlign w:val="center"/>
          </w:tcPr>
          <w:p w14:paraId="72C6AC3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本次招标代理服务费参照发改价格[2011]534号及计价格[2002]1980号文件计算下浮65%计取。由</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单位在</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通知书领取前一次性支付给招标代理公司。</w:t>
            </w:r>
          </w:p>
        </w:tc>
      </w:tr>
      <w:tr w14:paraId="2118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393" w:type="pct"/>
            <w:vAlign w:val="center"/>
          </w:tcPr>
          <w:p w14:paraId="55CD79D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939" w:type="pct"/>
            <w:vAlign w:val="center"/>
          </w:tcPr>
          <w:p w14:paraId="518E71C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3667" w:type="pct"/>
            <w:vAlign w:val="center"/>
          </w:tcPr>
          <w:p w14:paraId="47BEC7C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合同签订后支付合同金额的95%,设备到货、安装调试完成、验收合格后支付合同金额的5%。</w:t>
            </w:r>
          </w:p>
        </w:tc>
      </w:tr>
      <w:tr w14:paraId="4972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5576108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939" w:type="pct"/>
            <w:vAlign w:val="center"/>
          </w:tcPr>
          <w:p w14:paraId="410FDEA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3667" w:type="pct"/>
            <w:vAlign w:val="center"/>
          </w:tcPr>
          <w:p w14:paraId="6E8231F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本项目如有变更、澄清或其他通知将在发布磋商公告的网站上公布。</w:t>
            </w:r>
          </w:p>
        </w:tc>
      </w:tr>
      <w:tr w14:paraId="0286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vAlign w:val="center"/>
          </w:tcPr>
          <w:p w14:paraId="45AE5522">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highlight w:val="none"/>
                <w:lang w:val="en-US" w:eastAsia="zh-CN"/>
              </w:rPr>
              <w:t>29</w:t>
            </w:r>
          </w:p>
        </w:tc>
        <w:tc>
          <w:tcPr>
            <w:tcW w:w="939" w:type="pct"/>
            <w:vAlign w:val="center"/>
          </w:tcPr>
          <w:p w14:paraId="7F556060">
            <w:pPr>
              <w:widowControl/>
              <w:tabs>
                <w:tab w:val="left" w:pos="720"/>
                <w:tab w:val="left" w:pos="900"/>
                <w:tab w:val="left" w:pos="1080"/>
                <w:tab w:val="left" w:pos="1260"/>
                <w:tab w:val="left" w:pos="1440"/>
                <w:tab w:val="left" w:pos="1800"/>
              </w:tabs>
              <w:snapToGrid w:val="0"/>
              <w:spacing w:line="360" w:lineRule="auto"/>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特别说明</w:t>
            </w:r>
          </w:p>
        </w:tc>
        <w:tc>
          <w:tcPr>
            <w:tcW w:w="3667" w:type="pct"/>
            <w:vAlign w:val="center"/>
          </w:tcPr>
          <w:p w14:paraId="4AD375D6">
            <w:pPr>
              <w:pStyle w:val="6"/>
              <w:spacing w:line="360" w:lineRule="auto"/>
              <w:ind w:left="0" w:leftChars="0" w:firstLine="0" w:firstLineChars="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1）供应商</w:t>
            </w:r>
            <w:r>
              <w:rPr>
                <w:rFonts w:hint="eastAsia" w:ascii="宋体" w:hAnsi="宋体" w:eastAsia="宋体" w:cs="宋体"/>
                <w:spacing w:val="-2"/>
                <w:sz w:val="24"/>
                <w:szCs w:val="24"/>
                <w:highlight w:val="none"/>
              </w:rPr>
              <w:t>严格遵守国家的法律法规及招标纪律，无违法违纪及商业贿赂行为。</w:t>
            </w:r>
          </w:p>
          <w:p w14:paraId="7BF5D5A7">
            <w:pPr>
              <w:pStyle w:val="6"/>
              <w:spacing w:line="360" w:lineRule="auto"/>
              <w:ind w:left="0" w:leftChars="0" w:firstLine="0" w:firstLineChars="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2）</w:t>
            </w:r>
            <w:r>
              <w:rPr>
                <w:rFonts w:hint="eastAsia" w:ascii="宋体" w:hAnsi="宋体" w:eastAsia="宋体" w:cs="宋体"/>
                <w:spacing w:val="-2"/>
                <w:sz w:val="24"/>
                <w:szCs w:val="24"/>
                <w:highlight w:val="none"/>
              </w:rPr>
              <w:t>不管投标结果如何，</w:t>
            </w:r>
            <w:r>
              <w:rPr>
                <w:rFonts w:hint="eastAsia" w:ascii="宋体" w:hAnsi="宋体" w:eastAsia="宋体" w:cs="宋体"/>
                <w:spacing w:val="-2"/>
                <w:sz w:val="24"/>
                <w:szCs w:val="24"/>
                <w:highlight w:val="none"/>
                <w:lang w:eastAsia="zh-CN"/>
              </w:rPr>
              <w:t>供应商</w:t>
            </w:r>
            <w:r>
              <w:rPr>
                <w:rFonts w:hint="eastAsia" w:ascii="宋体" w:hAnsi="宋体" w:eastAsia="宋体" w:cs="宋体"/>
                <w:spacing w:val="-2"/>
                <w:sz w:val="24"/>
                <w:szCs w:val="24"/>
                <w:highlight w:val="none"/>
              </w:rPr>
              <w:t>均应自行承担投标所需一切费用(应包括：劳务、管理、材料、制作、安装、调试、维修、利润、税金及政策性文件规定的各项应有费用以及垃圾处理、环保费、保险费、检验费、仓储费等；现场安全措施、</w:t>
            </w:r>
            <w:r>
              <w:rPr>
                <w:rFonts w:hint="eastAsia" w:ascii="宋体" w:hAnsi="宋体" w:eastAsia="宋体" w:cs="宋体"/>
                <w:spacing w:val="-2"/>
                <w:sz w:val="24"/>
                <w:szCs w:val="24"/>
                <w:highlight w:val="none"/>
                <w:lang w:val="en-US" w:eastAsia="zh-CN"/>
              </w:rPr>
              <w:t>服务</w:t>
            </w:r>
            <w:r>
              <w:rPr>
                <w:rFonts w:hint="eastAsia" w:ascii="宋体" w:hAnsi="宋体" w:eastAsia="宋体" w:cs="宋体"/>
                <w:spacing w:val="-2"/>
                <w:sz w:val="24"/>
                <w:szCs w:val="24"/>
                <w:highlight w:val="none"/>
              </w:rPr>
              <w:t>期保证、质量保证、各种不利因素的影响产生的措施和风险费用以及设备的装卸费)。</w:t>
            </w:r>
          </w:p>
          <w:p w14:paraId="2ED4DFF3">
            <w:pPr>
              <w:pStyle w:val="6"/>
              <w:spacing w:line="360" w:lineRule="auto"/>
              <w:ind w:left="0" w:leftChars="0" w:firstLine="0" w:firstLineChars="0"/>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3）</w:t>
            </w:r>
            <w:r>
              <w:rPr>
                <w:rFonts w:hint="eastAsia" w:ascii="宋体" w:hAnsi="宋体" w:eastAsia="宋体" w:cs="宋体"/>
                <w:spacing w:val="-2"/>
                <w:sz w:val="24"/>
                <w:szCs w:val="24"/>
                <w:highlight w:val="none"/>
              </w:rPr>
              <w:t>为保证本项目产品质量，良好的售后服务；最低报价不作为中标的唯一依据。</w:t>
            </w:r>
          </w:p>
          <w:p w14:paraId="765C57B4">
            <w:pPr>
              <w:pStyle w:val="6"/>
              <w:numPr>
                <w:ilvl w:val="0"/>
                <w:numId w:val="0"/>
              </w:numPr>
              <w:spacing w:line="360" w:lineRule="auto"/>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4</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rPr>
              <w:t>各</w:t>
            </w:r>
            <w:r>
              <w:rPr>
                <w:rFonts w:hint="eastAsia" w:ascii="宋体" w:hAnsi="宋体" w:eastAsia="宋体" w:cs="宋体"/>
                <w:spacing w:val="-2"/>
                <w:sz w:val="24"/>
                <w:szCs w:val="24"/>
                <w:highlight w:val="none"/>
                <w:lang w:eastAsia="zh-CN"/>
              </w:rPr>
              <w:t>供应商</w:t>
            </w:r>
            <w:r>
              <w:rPr>
                <w:rFonts w:hint="eastAsia" w:ascii="宋体" w:hAnsi="宋体" w:eastAsia="宋体" w:cs="宋体"/>
                <w:spacing w:val="-2"/>
                <w:sz w:val="24"/>
                <w:szCs w:val="24"/>
                <w:highlight w:val="none"/>
              </w:rPr>
              <w:t>的调研费、差旅费等费用自理。无论投标结果如何，</w:t>
            </w:r>
            <w:r>
              <w:rPr>
                <w:rFonts w:hint="eastAsia" w:ascii="宋体" w:hAnsi="宋体" w:eastAsia="宋体" w:cs="宋体"/>
                <w:spacing w:val="-2"/>
                <w:sz w:val="24"/>
                <w:szCs w:val="24"/>
                <w:highlight w:val="none"/>
                <w:lang w:eastAsia="zh-CN"/>
              </w:rPr>
              <w:t>供应商</w:t>
            </w:r>
            <w:r>
              <w:rPr>
                <w:rFonts w:hint="eastAsia" w:ascii="宋体" w:hAnsi="宋体" w:eastAsia="宋体" w:cs="宋体"/>
                <w:spacing w:val="-2"/>
                <w:sz w:val="24"/>
                <w:szCs w:val="24"/>
                <w:highlight w:val="none"/>
              </w:rPr>
              <w:t>均应自行承担投标所需一切费用。</w:t>
            </w:r>
          </w:p>
          <w:p w14:paraId="71B2BA2A">
            <w:pPr>
              <w:pStyle w:val="6"/>
              <w:numPr>
                <w:ilvl w:val="0"/>
                <w:numId w:val="0"/>
              </w:numPr>
              <w:spacing w:line="360" w:lineRule="auto"/>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5</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磋商</w:t>
            </w:r>
            <w:r>
              <w:rPr>
                <w:rFonts w:hint="eastAsia" w:ascii="宋体" w:hAnsi="宋体" w:eastAsia="宋体" w:cs="宋体"/>
                <w:spacing w:val="-2"/>
                <w:sz w:val="24"/>
                <w:szCs w:val="24"/>
                <w:highlight w:val="none"/>
                <w:lang w:eastAsia="zh-CN"/>
              </w:rPr>
              <w:t>文件</w:t>
            </w:r>
            <w:r>
              <w:rPr>
                <w:rFonts w:hint="eastAsia" w:ascii="宋体" w:hAnsi="宋体" w:eastAsia="宋体" w:cs="宋体"/>
                <w:spacing w:val="-2"/>
                <w:sz w:val="24"/>
                <w:szCs w:val="24"/>
                <w:highlight w:val="none"/>
              </w:rPr>
              <w:t>中除（技术</w:t>
            </w:r>
            <w:r>
              <w:rPr>
                <w:rFonts w:hint="eastAsia" w:ascii="宋体" w:hAnsi="宋体" w:eastAsia="宋体" w:cs="宋体"/>
                <w:spacing w:val="-2"/>
                <w:sz w:val="24"/>
                <w:szCs w:val="24"/>
                <w:highlight w:val="none"/>
                <w:lang w:val="en-US" w:eastAsia="zh-CN"/>
              </w:rPr>
              <w:t>要求</w:t>
            </w:r>
            <w:r>
              <w:rPr>
                <w:rFonts w:hint="eastAsia" w:ascii="宋体" w:hAnsi="宋体" w:eastAsia="宋体" w:cs="宋体"/>
                <w:spacing w:val="-2"/>
                <w:sz w:val="24"/>
                <w:szCs w:val="24"/>
                <w:highlight w:val="none"/>
              </w:rPr>
              <w:t>外）部分加标“★”、加粗、加下划线、废标、无效标、投标被拒绝字样的条款，为招标的实质性要求和条件，着重提醒各</w:t>
            </w:r>
            <w:r>
              <w:rPr>
                <w:rFonts w:hint="eastAsia" w:ascii="宋体" w:hAnsi="宋体" w:eastAsia="宋体" w:cs="宋体"/>
                <w:spacing w:val="-2"/>
                <w:sz w:val="24"/>
                <w:szCs w:val="24"/>
                <w:highlight w:val="none"/>
                <w:lang w:eastAsia="zh-CN"/>
              </w:rPr>
              <w:t>供应商</w:t>
            </w:r>
            <w:r>
              <w:rPr>
                <w:rFonts w:hint="eastAsia" w:ascii="宋体" w:hAnsi="宋体" w:eastAsia="宋体" w:cs="宋体"/>
                <w:spacing w:val="-2"/>
                <w:sz w:val="24"/>
                <w:szCs w:val="24"/>
                <w:highlight w:val="none"/>
              </w:rPr>
              <w:t>注意，并认真查看</w:t>
            </w:r>
            <w:r>
              <w:rPr>
                <w:rFonts w:hint="eastAsia" w:ascii="宋体" w:hAnsi="宋体" w:eastAsia="宋体" w:cs="宋体"/>
                <w:spacing w:val="-2"/>
                <w:sz w:val="24"/>
                <w:szCs w:val="24"/>
                <w:highlight w:val="none"/>
                <w:lang w:eastAsia="zh-CN"/>
              </w:rPr>
              <w:t>采购文件</w:t>
            </w:r>
            <w:r>
              <w:rPr>
                <w:rFonts w:hint="eastAsia" w:ascii="宋体" w:hAnsi="宋体" w:eastAsia="宋体" w:cs="宋体"/>
                <w:spacing w:val="-2"/>
                <w:sz w:val="24"/>
                <w:szCs w:val="24"/>
                <w:highlight w:val="none"/>
              </w:rPr>
              <w:t>中的每一个条款及要求，因误读</w:t>
            </w:r>
            <w:r>
              <w:rPr>
                <w:rFonts w:hint="eastAsia" w:ascii="宋体" w:hAnsi="宋体" w:eastAsia="宋体" w:cs="宋体"/>
                <w:spacing w:val="-2"/>
                <w:sz w:val="24"/>
                <w:szCs w:val="24"/>
                <w:highlight w:val="none"/>
                <w:lang w:eastAsia="zh-CN"/>
              </w:rPr>
              <w:t>采购文件</w:t>
            </w:r>
            <w:r>
              <w:rPr>
                <w:rFonts w:hint="eastAsia" w:ascii="宋体" w:hAnsi="宋体" w:eastAsia="宋体" w:cs="宋体"/>
                <w:spacing w:val="-2"/>
                <w:sz w:val="24"/>
                <w:szCs w:val="24"/>
                <w:highlight w:val="none"/>
              </w:rPr>
              <w:t>而造成的后果，采购人概不负责。</w:t>
            </w:r>
          </w:p>
          <w:p w14:paraId="049B9924">
            <w:pPr>
              <w:pStyle w:val="6"/>
              <w:spacing w:line="360" w:lineRule="auto"/>
              <w:ind w:left="0" w:leftChars="0" w:firstLine="0" w:firstLineChars="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（6）</w:t>
            </w:r>
            <w:r>
              <w:rPr>
                <w:rFonts w:hint="eastAsia" w:ascii="宋体" w:hAnsi="宋体" w:eastAsia="宋体" w:cs="宋体"/>
                <w:b/>
                <w:bCs/>
                <w:spacing w:val="-2"/>
                <w:sz w:val="24"/>
                <w:szCs w:val="24"/>
                <w:highlight w:val="none"/>
                <w:lang w:val="en-US" w:eastAsia="zh-CN"/>
              </w:rPr>
              <w:t>响应</w:t>
            </w:r>
            <w:r>
              <w:rPr>
                <w:rFonts w:hint="eastAsia" w:ascii="宋体" w:hAnsi="宋体" w:eastAsia="宋体" w:cs="宋体"/>
                <w:b/>
                <w:bCs/>
                <w:spacing w:val="-2"/>
                <w:sz w:val="24"/>
                <w:szCs w:val="24"/>
                <w:highlight w:val="none"/>
              </w:rPr>
              <w:t>文件中有弄虚作假的内容，</w:t>
            </w:r>
            <w:r>
              <w:rPr>
                <w:rFonts w:hint="eastAsia" w:ascii="宋体" w:hAnsi="宋体" w:eastAsia="宋体" w:cs="宋体"/>
                <w:b/>
                <w:bCs/>
                <w:spacing w:val="-2"/>
                <w:sz w:val="24"/>
                <w:szCs w:val="24"/>
                <w:highlight w:val="none"/>
                <w:lang w:val="en-US" w:eastAsia="zh-CN"/>
              </w:rPr>
              <w:t>是指</w:t>
            </w:r>
            <w:r>
              <w:rPr>
                <w:rFonts w:hint="eastAsia" w:ascii="宋体" w:hAnsi="宋体" w:eastAsia="宋体" w:cs="宋体"/>
                <w:b/>
                <w:bCs/>
                <w:sz w:val="24"/>
                <w:szCs w:val="24"/>
                <w:highlight w:val="none"/>
                <w:lang w:val="en-US" w:eastAsia="zh-CN"/>
              </w:rPr>
              <w:t>技术参数有负偏离的在偏离表中标注正偏离或无偏离的，</w:t>
            </w:r>
            <w:r>
              <w:rPr>
                <w:rFonts w:hint="eastAsia" w:ascii="宋体" w:hAnsi="宋体" w:eastAsia="宋体" w:cs="宋体"/>
                <w:b/>
                <w:bCs/>
                <w:spacing w:val="-2"/>
                <w:sz w:val="24"/>
                <w:szCs w:val="24"/>
                <w:highlight w:val="none"/>
              </w:rPr>
              <w:t>其</w:t>
            </w:r>
            <w:r>
              <w:rPr>
                <w:rFonts w:hint="eastAsia" w:ascii="宋体" w:hAnsi="宋体" w:eastAsia="宋体" w:cs="宋体"/>
                <w:b/>
                <w:bCs/>
                <w:spacing w:val="-2"/>
                <w:sz w:val="24"/>
                <w:szCs w:val="24"/>
                <w:highlight w:val="none"/>
                <w:lang w:eastAsia="zh-CN"/>
              </w:rPr>
              <w:t>响应文件</w:t>
            </w:r>
            <w:r>
              <w:rPr>
                <w:rFonts w:hint="eastAsia" w:ascii="宋体" w:hAnsi="宋体" w:eastAsia="宋体" w:cs="宋体"/>
                <w:b/>
                <w:bCs/>
                <w:spacing w:val="-2"/>
                <w:sz w:val="24"/>
                <w:szCs w:val="24"/>
                <w:highlight w:val="none"/>
              </w:rPr>
              <w:t>作废。</w:t>
            </w:r>
            <w:r>
              <w:rPr>
                <w:rFonts w:hint="eastAsia" w:ascii="宋体" w:hAnsi="宋体" w:eastAsia="宋体" w:cs="宋体"/>
                <w:spacing w:val="-2"/>
                <w:sz w:val="24"/>
                <w:szCs w:val="24"/>
                <w:highlight w:val="none"/>
              </w:rPr>
              <w:t>在签订合同之前，采购人如发现</w:t>
            </w:r>
            <w:r>
              <w:rPr>
                <w:rFonts w:hint="eastAsia" w:ascii="宋体" w:hAnsi="宋体" w:eastAsia="宋体" w:cs="宋体"/>
                <w:spacing w:val="-2"/>
                <w:sz w:val="24"/>
                <w:szCs w:val="24"/>
                <w:highlight w:val="none"/>
                <w:lang w:eastAsia="zh-CN"/>
              </w:rPr>
              <w:t>供应商</w:t>
            </w:r>
            <w:r>
              <w:rPr>
                <w:rFonts w:hint="eastAsia" w:ascii="宋体" w:hAnsi="宋体" w:eastAsia="宋体" w:cs="宋体"/>
                <w:spacing w:val="-2"/>
                <w:sz w:val="24"/>
                <w:szCs w:val="24"/>
                <w:highlight w:val="none"/>
              </w:rPr>
              <w:t>的</w:t>
            </w:r>
            <w:r>
              <w:rPr>
                <w:rFonts w:hint="eastAsia" w:ascii="宋体" w:hAnsi="宋体" w:eastAsia="宋体" w:cs="宋体"/>
                <w:spacing w:val="-2"/>
                <w:sz w:val="24"/>
                <w:szCs w:val="24"/>
                <w:highlight w:val="none"/>
                <w:lang w:eastAsia="zh-CN"/>
              </w:rPr>
              <w:t>响应文件</w:t>
            </w:r>
            <w:r>
              <w:rPr>
                <w:rFonts w:hint="eastAsia" w:ascii="宋体" w:hAnsi="宋体" w:eastAsia="宋体" w:cs="宋体"/>
                <w:spacing w:val="-2"/>
                <w:sz w:val="24"/>
                <w:szCs w:val="24"/>
                <w:highlight w:val="none"/>
              </w:rPr>
              <w:t>有弄虚作假内容，采购人可拒绝与其签订合同。</w:t>
            </w:r>
          </w:p>
          <w:p w14:paraId="13781F6D">
            <w:pPr>
              <w:widowControl/>
              <w:tabs>
                <w:tab w:val="left" w:pos="720"/>
                <w:tab w:val="left" w:pos="900"/>
                <w:tab w:val="left" w:pos="1080"/>
                <w:tab w:val="left" w:pos="1260"/>
                <w:tab w:val="left" w:pos="1440"/>
                <w:tab w:val="left" w:pos="1800"/>
              </w:tabs>
              <w:snapToGrid w:val="0"/>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spacing w:val="-2"/>
                <w:sz w:val="24"/>
                <w:szCs w:val="24"/>
                <w:highlight w:val="none"/>
              </w:rPr>
              <w:t>（7）</w:t>
            </w:r>
            <w:r>
              <w:rPr>
                <w:rFonts w:hint="eastAsia" w:ascii="宋体" w:hAnsi="宋体" w:eastAsia="宋体" w:cs="宋体"/>
                <w:spacing w:val="-2"/>
                <w:sz w:val="24"/>
                <w:szCs w:val="24"/>
                <w:highlight w:val="none"/>
                <w:lang w:val="en-US" w:eastAsia="zh-CN"/>
              </w:rPr>
              <w:t>磋商</w:t>
            </w:r>
            <w:r>
              <w:rPr>
                <w:rFonts w:hint="eastAsia" w:ascii="宋体" w:hAnsi="宋体" w:eastAsia="宋体" w:cs="宋体"/>
                <w:spacing w:val="-2"/>
                <w:sz w:val="24"/>
                <w:szCs w:val="24"/>
                <w:highlight w:val="none"/>
                <w:lang w:eastAsia="zh-CN"/>
              </w:rPr>
              <w:t>文件</w:t>
            </w:r>
            <w:r>
              <w:rPr>
                <w:rFonts w:hint="eastAsia" w:ascii="宋体" w:hAnsi="宋体" w:eastAsia="宋体" w:cs="宋体"/>
                <w:spacing w:val="-2"/>
                <w:sz w:val="24"/>
                <w:szCs w:val="24"/>
                <w:highlight w:val="none"/>
                <w:lang w:val="en-US" w:eastAsia="zh-CN"/>
              </w:rPr>
              <w:t>前后</w:t>
            </w:r>
            <w:r>
              <w:rPr>
                <w:rFonts w:hint="eastAsia" w:ascii="宋体" w:hAnsi="宋体" w:eastAsia="宋体" w:cs="宋体"/>
                <w:spacing w:val="-2"/>
                <w:sz w:val="24"/>
                <w:szCs w:val="24"/>
                <w:highlight w:val="none"/>
              </w:rPr>
              <w:t>如出现不一致情况，以前附表为准。</w:t>
            </w:r>
          </w:p>
        </w:tc>
      </w:tr>
    </w:tbl>
    <w:p w14:paraId="0B9591A3">
      <w:pPr>
        <w:pStyle w:val="3"/>
        <w:pageBreakBefore w:val="0"/>
        <w:widowControl w:val="0"/>
        <w:kinsoku/>
        <w:wordWrap/>
        <w:overflowPunct/>
        <w:topLinePunct w:val="0"/>
        <w:autoSpaceDE/>
        <w:autoSpaceDN/>
        <w:bidi w:val="0"/>
        <w:spacing w:before="0" w:after="0" w:line="360" w:lineRule="auto"/>
        <w:jc w:val="center"/>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br w:type="page"/>
      </w:r>
      <w:bookmarkStart w:id="55" w:name="_Toc1024"/>
      <w:bookmarkStart w:id="56" w:name="_Toc17480"/>
      <w:r>
        <w:rPr>
          <w:rFonts w:hint="eastAsia" w:ascii="宋体" w:hAnsi="宋体" w:eastAsia="宋体" w:cs="宋体"/>
          <w:bCs w:val="0"/>
          <w:color w:val="auto"/>
          <w:sz w:val="24"/>
          <w:szCs w:val="24"/>
          <w:highlight w:val="none"/>
        </w:rPr>
        <w:t>二、总  则</w:t>
      </w:r>
      <w:bookmarkEnd w:id="55"/>
      <w:bookmarkEnd w:id="56"/>
    </w:p>
    <w:p w14:paraId="730068FB">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color w:val="auto"/>
          <w:sz w:val="24"/>
          <w:szCs w:val="24"/>
          <w:highlight w:val="none"/>
        </w:rPr>
      </w:pPr>
      <w:bookmarkStart w:id="57" w:name="_Toc183682342"/>
      <w:bookmarkStart w:id="58" w:name="_Toc183582205"/>
      <w:bookmarkStart w:id="59" w:name="_Toc217446034"/>
      <w:bookmarkStart w:id="60" w:name="_Toc5850_WPSOffice_Level1"/>
      <w:r>
        <w:rPr>
          <w:rFonts w:hint="eastAsia" w:ascii="宋体" w:hAnsi="宋体" w:eastAsia="宋体" w:cs="宋体"/>
          <w:color w:val="auto"/>
          <w:sz w:val="24"/>
          <w:szCs w:val="24"/>
          <w:highlight w:val="none"/>
        </w:rPr>
        <w:t>1.</w:t>
      </w:r>
      <w:bookmarkEnd w:id="57"/>
      <w:bookmarkEnd w:id="58"/>
      <w:r>
        <w:rPr>
          <w:rFonts w:hint="eastAsia" w:ascii="宋体" w:hAnsi="宋体" w:eastAsia="宋体" w:cs="宋体"/>
          <w:color w:val="auto"/>
          <w:sz w:val="24"/>
          <w:szCs w:val="24"/>
          <w:highlight w:val="none"/>
        </w:rPr>
        <w:t xml:space="preserve"> 适用范围</w:t>
      </w:r>
      <w:bookmarkEnd w:id="59"/>
    </w:p>
    <w:p w14:paraId="1BFB0319">
      <w:pPr>
        <w:pageBreakBefore w:val="0"/>
        <w:widowControl w:val="0"/>
        <w:tabs>
          <w:tab w:val="left" w:pos="766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本磋商文件仅适用于本次政府采购项目。</w:t>
      </w:r>
    </w:p>
    <w:p w14:paraId="4D933742">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color w:val="auto"/>
          <w:sz w:val="24"/>
          <w:szCs w:val="24"/>
          <w:highlight w:val="none"/>
        </w:rPr>
      </w:pPr>
      <w:bookmarkStart w:id="61" w:name="_Toc183582206"/>
      <w:bookmarkStart w:id="62" w:name="_Toc183682343"/>
      <w:bookmarkStart w:id="63" w:name="_Toc217446035"/>
      <w:bookmarkStart w:id="64" w:name="_Toc183582207"/>
      <w:bookmarkStart w:id="65" w:name="_Toc217446036"/>
      <w:bookmarkStart w:id="66" w:name="_Toc217390843"/>
      <w:bookmarkStart w:id="67" w:name="_Toc183682344"/>
      <w:r>
        <w:rPr>
          <w:rFonts w:hint="eastAsia" w:ascii="宋体" w:hAnsi="宋体" w:eastAsia="宋体" w:cs="宋体"/>
          <w:color w:val="auto"/>
          <w:sz w:val="24"/>
          <w:szCs w:val="24"/>
          <w:highlight w:val="none"/>
        </w:rPr>
        <w:t xml:space="preserve">2. </w:t>
      </w:r>
      <w:bookmarkEnd w:id="61"/>
      <w:bookmarkEnd w:id="62"/>
      <w:r>
        <w:rPr>
          <w:rFonts w:hint="eastAsia" w:ascii="宋体" w:hAnsi="宋体" w:eastAsia="宋体" w:cs="宋体"/>
          <w:color w:val="auto"/>
          <w:sz w:val="24"/>
          <w:szCs w:val="24"/>
          <w:highlight w:val="none"/>
        </w:rPr>
        <w:t>有关定义</w:t>
      </w:r>
      <w:bookmarkEnd w:id="63"/>
    </w:p>
    <w:p w14:paraId="1A66D711">
      <w:pPr>
        <w:pageBreakBefore w:val="0"/>
        <w:widowControl w:val="0"/>
        <w:tabs>
          <w:tab w:val="left" w:pos="766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“采购人”系指依法进行政府采购的国家机关、事业单位、团体组织。本项目采购人是</w:t>
      </w:r>
      <w:r>
        <w:rPr>
          <w:rFonts w:hint="eastAsia" w:ascii="宋体" w:hAnsi="宋体" w:eastAsia="宋体" w:cs="宋体"/>
          <w:color w:val="auto"/>
          <w:kern w:val="0"/>
          <w:sz w:val="24"/>
          <w:szCs w:val="24"/>
          <w:highlight w:val="none"/>
          <w:u w:val="single"/>
          <w:lang w:eastAsia="zh-CN"/>
        </w:rPr>
        <w:t>新疆师范大学</w:t>
      </w:r>
      <w:r>
        <w:rPr>
          <w:rFonts w:hint="eastAsia" w:ascii="宋体" w:hAnsi="宋体" w:eastAsia="宋体" w:cs="宋体"/>
          <w:color w:val="auto"/>
          <w:sz w:val="24"/>
          <w:szCs w:val="24"/>
          <w:highlight w:val="none"/>
        </w:rPr>
        <w:t>。</w:t>
      </w:r>
    </w:p>
    <w:p w14:paraId="1A7F5AE4">
      <w:pPr>
        <w:pageBreakBefore w:val="0"/>
        <w:widowControl w:val="0"/>
        <w:tabs>
          <w:tab w:val="left" w:pos="766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“采购代理机构” 系指根据采购人的委托依法办理采购事宜的采购机构。本次政府采购的采购代理机构是</w:t>
      </w:r>
      <w:r>
        <w:rPr>
          <w:rFonts w:hint="eastAsia" w:ascii="宋体" w:hAnsi="宋体" w:eastAsia="宋体" w:cs="宋体"/>
          <w:color w:val="auto"/>
          <w:sz w:val="24"/>
          <w:szCs w:val="24"/>
          <w:highlight w:val="none"/>
          <w:u w:val="single"/>
        </w:rPr>
        <w:t>新疆拓源工程管理咨询有限公司</w:t>
      </w:r>
      <w:r>
        <w:rPr>
          <w:rFonts w:hint="eastAsia" w:ascii="宋体" w:hAnsi="宋体" w:eastAsia="宋体" w:cs="宋体"/>
          <w:color w:val="auto"/>
          <w:sz w:val="24"/>
          <w:szCs w:val="24"/>
          <w:highlight w:val="none"/>
        </w:rPr>
        <w:t>。</w:t>
      </w:r>
    </w:p>
    <w:p w14:paraId="2137705C">
      <w:pPr>
        <w:pageBreakBefore w:val="0"/>
        <w:widowControl w:val="0"/>
        <w:tabs>
          <w:tab w:val="left" w:pos="766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“采购单位”系指“采购人”和“采购代理机构”的统称。</w:t>
      </w:r>
    </w:p>
    <w:p w14:paraId="5E7ED048">
      <w:pPr>
        <w:pageBreakBefore w:val="0"/>
        <w:widowControl w:val="0"/>
        <w:tabs>
          <w:tab w:val="left" w:pos="766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“供应商”系指下载了磋商文件拟参加磋商和向采购人提供服务的供应商。</w:t>
      </w:r>
    </w:p>
    <w:p w14:paraId="37D5E01E">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合格的</w:t>
      </w:r>
      <w:bookmarkEnd w:id="64"/>
      <w:bookmarkEnd w:id="65"/>
      <w:bookmarkEnd w:id="66"/>
      <w:bookmarkEnd w:id="67"/>
      <w:r>
        <w:rPr>
          <w:rFonts w:hint="eastAsia" w:ascii="宋体" w:hAnsi="宋体" w:eastAsia="宋体" w:cs="宋体"/>
          <w:color w:val="auto"/>
          <w:sz w:val="24"/>
          <w:szCs w:val="24"/>
          <w:highlight w:val="none"/>
        </w:rPr>
        <w:t>供应商</w:t>
      </w:r>
    </w:p>
    <w:p w14:paraId="6BD12065">
      <w:pPr>
        <w:pageBreakBefore w:val="0"/>
        <w:widowControl w:val="0"/>
        <w:tabs>
          <w:tab w:val="left" w:pos="766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合格的供应商应具备以下条件：</w:t>
      </w:r>
    </w:p>
    <w:p w14:paraId="635658FF">
      <w:pPr>
        <w:pageBreakBefore w:val="0"/>
        <w:widowControl w:val="0"/>
        <w:tabs>
          <w:tab w:val="left" w:pos="766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（1）本磋商文件“磋商公告”第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条规定的条件</w:t>
      </w:r>
      <w:r>
        <w:rPr>
          <w:rFonts w:hint="eastAsia" w:ascii="宋体" w:hAnsi="宋体" w:eastAsia="宋体" w:cs="宋体"/>
          <w:color w:val="auto"/>
          <w:spacing w:val="-4"/>
          <w:sz w:val="24"/>
          <w:szCs w:val="24"/>
          <w:highlight w:val="none"/>
        </w:rPr>
        <w:t>；</w:t>
      </w:r>
    </w:p>
    <w:p w14:paraId="0B5369C4">
      <w:pPr>
        <w:pageBreakBefore w:val="0"/>
        <w:widowControl w:val="0"/>
        <w:tabs>
          <w:tab w:val="left" w:pos="766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（2）遵守国家有关的法律、法规、规章和其他政策制度；</w:t>
      </w:r>
    </w:p>
    <w:p w14:paraId="012D82C7">
      <w:pPr>
        <w:pageBreakBefore w:val="0"/>
        <w:widowControl w:val="0"/>
        <w:tabs>
          <w:tab w:val="left" w:pos="766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（3）向采购代理机构下载了磋商文件并</w:t>
      </w:r>
      <w:r>
        <w:rPr>
          <w:rFonts w:hint="eastAsia" w:ascii="宋体" w:hAnsi="宋体" w:eastAsia="宋体" w:cs="宋体"/>
          <w:color w:val="auto"/>
          <w:sz w:val="24"/>
          <w:szCs w:val="24"/>
          <w:highlight w:val="none"/>
          <w:lang w:val="en-US" w:eastAsia="zh-CN"/>
        </w:rPr>
        <w:t>参与竞争</w:t>
      </w:r>
      <w:r>
        <w:rPr>
          <w:rFonts w:hint="eastAsia" w:ascii="宋体" w:hAnsi="宋体" w:eastAsia="宋体" w:cs="宋体"/>
          <w:color w:val="auto"/>
          <w:sz w:val="24"/>
          <w:szCs w:val="24"/>
          <w:highlight w:val="none"/>
        </w:rPr>
        <w:t>。</w:t>
      </w:r>
    </w:p>
    <w:p w14:paraId="3B1CE6B0">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color w:val="auto"/>
          <w:sz w:val="24"/>
          <w:szCs w:val="24"/>
          <w:highlight w:val="none"/>
        </w:rPr>
      </w:pPr>
      <w:bookmarkStart w:id="68" w:name="_Toc183582208"/>
      <w:bookmarkStart w:id="69" w:name="_Toc183682345"/>
      <w:bookmarkStart w:id="70" w:name="_Toc217446037"/>
      <w:r>
        <w:rPr>
          <w:rFonts w:hint="eastAsia" w:ascii="宋体" w:hAnsi="宋体" w:eastAsia="宋体" w:cs="宋体"/>
          <w:color w:val="auto"/>
          <w:sz w:val="24"/>
          <w:szCs w:val="24"/>
          <w:highlight w:val="none"/>
        </w:rPr>
        <w:t>4. 磋商费用</w:t>
      </w:r>
      <w:bookmarkEnd w:id="68"/>
      <w:bookmarkEnd w:id="69"/>
      <w:bookmarkEnd w:id="70"/>
    </w:p>
    <w:p w14:paraId="065ED16C">
      <w:pPr>
        <w:pageBreakBefore w:val="0"/>
        <w:widowControl w:val="0"/>
        <w:tabs>
          <w:tab w:val="left" w:pos="766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供应商参加磋商的有关费用由供应商自行承担。</w:t>
      </w:r>
    </w:p>
    <w:p w14:paraId="423DD5D0">
      <w:pPr>
        <w:pStyle w:val="3"/>
        <w:pageBreakBefore w:val="0"/>
        <w:widowControl w:val="0"/>
        <w:kinsoku/>
        <w:wordWrap/>
        <w:overflowPunct/>
        <w:topLinePunct w:val="0"/>
        <w:autoSpaceDE/>
        <w:autoSpaceDN/>
        <w:bidi w:val="0"/>
        <w:spacing w:before="0" w:after="0" w:line="360" w:lineRule="auto"/>
        <w:jc w:val="center"/>
        <w:textAlignment w:val="auto"/>
        <w:rPr>
          <w:rFonts w:hint="eastAsia" w:ascii="宋体" w:hAnsi="宋体" w:eastAsia="宋体" w:cs="宋体"/>
          <w:bCs w:val="0"/>
          <w:color w:val="auto"/>
          <w:sz w:val="24"/>
          <w:szCs w:val="24"/>
          <w:highlight w:val="none"/>
        </w:rPr>
      </w:pPr>
      <w:bookmarkStart w:id="71" w:name="_Toc183582209"/>
      <w:bookmarkStart w:id="72" w:name="_Toc89075875"/>
      <w:bookmarkStart w:id="73" w:name="_Toc217446038"/>
      <w:bookmarkStart w:id="74" w:name="_Toc183682346"/>
      <w:bookmarkStart w:id="75" w:name="_Toc77400779"/>
      <w:bookmarkStart w:id="76" w:name="_Toc13757"/>
      <w:bookmarkStart w:id="77" w:name="_Toc26228"/>
      <w:r>
        <w:rPr>
          <w:rFonts w:hint="eastAsia" w:ascii="宋体" w:hAnsi="宋体" w:eastAsia="宋体" w:cs="宋体"/>
          <w:bCs w:val="0"/>
          <w:color w:val="auto"/>
          <w:sz w:val="24"/>
          <w:szCs w:val="24"/>
          <w:highlight w:val="none"/>
        </w:rPr>
        <w:t>三、</w:t>
      </w:r>
      <w:bookmarkEnd w:id="71"/>
      <w:bookmarkEnd w:id="72"/>
      <w:bookmarkEnd w:id="73"/>
      <w:bookmarkEnd w:id="74"/>
      <w:bookmarkEnd w:id="75"/>
      <w:r>
        <w:rPr>
          <w:rFonts w:hint="eastAsia" w:ascii="宋体" w:hAnsi="宋体" w:eastAsia="宋体" w:cs="宋体"/>
          <w:bCs w:val="0"/>
          <w:color w:val="auto"/>
          <w:sz w:val="24"/>
          <w:szCs w:val="24"/>
          <w:highlight w:val="none"/>
        </w:rPr>
        <w:t>磋商文件</w:t>
      </w:r>
      <w:bookmarkEnd w:id="76"/>
      <w:bookmarkEnd w:id="77"/>
    </w:p>
    <w:p w14:paraId="79C2E535">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color w:val="auto"/>
          <w:sz w:val="24"/>
          <w:szCs w:val="24"/>
          <w:highlight w:val="none"/>
        </w:rPr>
      </w:pPr>
      <w:bookmarkStart w:id="78" w:name="_Toc183682347"/>
      <w:bookmarkStart w:id="79" w:name="_Toc217446039"/>
      <w:bookmarkStart w:id="80" w:name="_Toc183582210"/>
      <w:r>
        <w:rPr>
          <w:rFonts w:hint="eastAsia" w:ascii="宋体" w:hAnsi="宋体" w:eastAsia="宋体" w:cs="宋体"/>
          <w:color w:val="auto"/>
          <w:sz w:val="24"/>
          <w:szCs w:val="24"/>
          <w:highlight w:val="none"/>
        </w:rPr>
        <w:t>5．磋商文件的构成</w:t>
      </w:r>
      <w:bookmarkEnd w:id="78"/>
      <w:bookmarkEnd w:id="79"/>
      <w:bookmarkEnd w:id="80"/>
    </w:p>
    <w:p w14:paraId="23BA3042">
      <w:pPr>
        <w:pageBreakBefore w:val="0"/>
        <w:widowControl w:val="0"/>
        <w:tabs>
          <w:tab w:val="left" w:pos="720"/>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 磋商文件是供应商准备响应文件和参加磋商的依据，同时也是评审的重要依据，具有准法律文件性质。磋商文件用以阐明采购项目所需的资质、技术、报价、采购程序、有关规定和注意事项以及合同草案条款等。本磋商文件包括以下内容：</w:t>
      </w:r>
    </w:p>
    <w:p w14:paraId="6660F917">
      <w:pPr>
        <w:pageBreakBefore w:val="0"/>
        <w:widowControl w:val="0"/>
        <w:tabs>
          <w:tab w:val="left" w:pos="0"/>
          <w:tab w:val="left" w:pos="766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（1）磋商公告</w:t>
      </w:r>
      <w:r>
        <w:rPr>
          <w:rFonts w:hint="eastAsia" w:ascii="宋体" w:hAnsi="宋体" w:eastAsia="宋体" w:cs="宋体"/>
          <w:color w:val="auto"/>
          <w:sz w:val="24"/>
          <w:szCs w:val="24"/>
          <w:highlight w:val="none"/>
        </w:rPr>
        <w:tab/>
      </w:r>
    </w:p>
    <w:p w14:paraId="1FB5178C">
      <w:pPr>
        <w:pageBreakBefore w:val="0"/>
        <w:widowControl w:val="0"/>
        <w:tabs>
          <w:tab w:val="left" w:pos="0"/>
          <w:tab w:val="left" w:pos="766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r>
        <w:rPr>
          <w:rFonts w:hint="eastAsia" w:ascii="宋体" w:hAnsi="宋体" w:eastAsia="宋体" w:cs="宋体"/>
          <w:color w:val="auto"/>
          <w:sz w:val="24"/>
          <w:szCs w:val="24"/>
          <w:highlight w:val="none"/>
        </w:rPr>
        <w:tab/>
      </w:r>
    </w:p>
    <w:p w14:paraId="7B37C713">
      <w:pPr>
        <w:pageBreakBefore w:val="0"/>
        <w:widowControl w:val="0"/>
        <w:tabs>
          <w:tab w:val="left" w:pos="0"/>
          <w:tab w:val="left" w:pos="766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（3）响应文件格式</w:t>
      </w:r>
      <w:r>
        <w:rPr>
          <w:rFonts w:hint="eastAsia" w:ascii="宋体" w:hAnsi="宋体" w:eastAsia="宋体" w:cs="宋体"/>
          <w:color w:val="auto"/>
          <w:sz w:val="24"/>
          <w:szCs w:val="24"/>
          <w:highlight w:val="none"/>
        </w:rPr>
        <w:tab/>
      </w:r>
    </w:p>
    <w:p w14:paraId="36ADCF25">
      <w:pPr>
        <w:pageBreakBefore w:val="0"/>
        <w:widowControl w:val="0"/>
        <w:tabs>
          <w:tab w:val="left" w:pos="0"/>
          <w:tab w:val="left" w:pos="766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项目技术要求</w:t>
      </w:r>
      <w:r>
        <w:rPr>
          <w:rFonts w:hint="eastAsia" w:ascii="宋体" w:hAnsi="宋体" w:eastAsia="宋体" w:cs="宋体"/>
          <w:color w:val="auto"/>
          <w:sz w:val="24"/>
          <w:szCs w:val="24"/>
          <w:highlight w:val="none"/>
        </w:rPr>
        <w:tab/>
      </w:r>
    </w:p>
    <w:p w14:paraId="22521C2F">
      <w:pPr>
        <w:pageBreakBefore w:val="0"/>
        <w:widowControl w:val="0"/>
        <w:tabs>
          <w:tab w:val="left" w:pos="0"/>
          <w:tab w:val="left" w:pos="766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（5）评审办法</w:t>
      </w:r>
      <w:r>
        <w:rPr>
          <w:rFonts w:hint="eastAsia" w:ascii="宋体" w:hAnsi="宋体" w:eastAsia="宋体" w:cs="宋体"/>
          <w:color w:val="auto"/>
          <w:sz w:val="24"/>
          <w:szCs w:val="24"/>
          <w:highlight w:val="none"/>
        </w:rPr>
        <w:tab/>
      </w:r>
    </w:p>
    <w:p w14:paraId="3467AFFD">
      <w:pPr>
        <w:pageBreakBefore w:val="0"/>
        <w:widowControl w:val="0"/>
        <w:tabs>
          <w:tab w:val="left" w:pos="0"/>
          <w:tab w:val="left" w:pos="766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（6）合同草案条款</w:t>
      </w:r>
      <w:r>
        <w:rPr>
          <w:rFonts w:hint="eastAsia" w:ascii="宋体" w:hAnsi="宋体" w:eastAsia="宋体" w:cs="宋体"/>
          <w:color w:val="auto"/>
          <w:sz w:val="24"/>
          <w:szCs w:val="24"/>
          <w:highlight w:val="none"/>
        </w:rPr>
        <w:tab/>
      </w:r>
    </w:p>
    <w:p w14:paraId="6B4D66DB">
      <w:pPr>
        <w:pageBreakBefore w:val="0"/>
        <w:widowControl w:val="0"/>
        <w:tabs>
          <w:tab w:val="left" w:pos="766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2 供应商应认真阅读和充分理解磋商文件中所有的事项、格式条款和规范要求。供应商没有对磋商文件全面做出实质性响应是供应商的风险。没有按照磋商文件要求作出实质性响应的响应文件，</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p>
    <w:p w14:paraId="286D30C2">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color w:val="auto"/>
          <w:sz w:val="24"/>
          <w:szCs w:val="24"/>
          <w:highlight w:val="none"/>
        </w:rPr>
      </w:pPr>
      <w:bookmarkStart w:id="81" w:name="_Toc183682348"/>
      <w:bookmarkStart w:id="82" w:name="_Toc183582211"/>
      <w:bookmarkStart w:id="83" w:name="_Toc217446040"/>
      <w:r>
        <w:rPr>
          <w:rFonts w:hint="eastAsia" w:ascii="宋体" w:hAnsi="宋体" w:eastAsia="宋体" w:cs="宋体"/>
          <w:color w:val="auto"/>
          <w:sz w:val="24"/>
          <w:szCs w:val="24"/>
          <w:highlight w:val="none"/>
        </w:rPr>
        <w:t>6. 磋商文件的澄清</w:t>
      </w:r>
      <w:bookmarkEnd w:id="81"/>
      <w:bookmarkEnd w:id="82"/>
      <w:r>
        <w:rPr>
          <w:rFonts w:hint="eastAsia" w:ascii="宋体" w:hAnsi="宋体" w:eastAsia="宋体" w:cs="宋体"/>
          <w:color w:val="auto"/>
          <w:sz w:val="24"/>
          <w:szCs w:val="24"/>
          <w:highlight w:val="none"/>
        </w:rPr>
        <w:t>和修改</w:t>
      </w:r>
      <w:bookmarkEnd w:id="83"/>
    </w:p>
    <w:p w14:paraId="262C769A">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提交首次响应文件截止日之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4BDF30EB">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color w:val="auto"/>
          <w:sz w:val="24"/>
          <w:szCs w:val="24"/>
          <w:highlight w:val="none"/>
        </w:rPr>
      </w:pPr>
      <w:bookmarkStart w:id="84" w:name="_Toc208848971"/>
      <w:bookmarkStart w:id="85" w:name="_Toc217446041"/>
      <w:r>
        <w:rPr>
          <w:rFonts w:hint="eastAsia" w:ascii="宋体" w:hAnsi="宋体" w:eastAsia="宋体" w:cs="宋体"/>
          <w:color w:val="auto"/>
          <w:sz w:val="24"/>
          <w:szCs w:val="24"/>
          <w:highlight w:val="none"/>
        </w:rPr>
        <w:t>7 答疑会和现场考察</w:t>
      </w:r>
      <w:bookmarkEnd w:id="84"/>
      <w:bookmarkEnd w:id="85"/>
    </w:p>
    <w:p w14:paraId="11299A2F">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本项目不组织答疑会和现场考察。</w:t>
      </w:r>
    </w:p>
    <w:p w14:paraId="20246AC6">
      <w:pPr>
        <w:pStyle w:val="3"/>
        <w:pageBreakBefore w:val="0"/>
        <w:widowControl w:val="0"/>
        <w:kinsoku/>
        <w:wordWrap/>
        <w:overflowPunct/>
        <w:topLinePunct w:val="0"/>
        <w:autoSpaceDE/>
        <w:autoSpaceDN/>
        <w:bidi w:val="0"/>
        <w:spacing w:before="0" w:after="0" w:line="360" w:lineRule="auto"/>
        <w:jc w:val="center"/>
        <w:textAlignment w:val="auto"/>
        <w:rPr>
          <w:rFonts w:hint="eastAsia" w:ascii="宋体" w:hAnsi="宋体" w:eastAsia="宋体" w:cs="宋体"/>
          <w:bCs w:val="0"/>
          <w:color w:val="auto"/>
          <w:sz w:val="24"/>
          <w:szCs w:val="24"/>
          <w:highlight w:val="none"/>
        </w:rPr>
      </w:pPr>
      <w:bookmarkStart w:id="86" w:name="_Toc183582214"/>
      <w:bookmarkStart w:id="87" w:name="_Toc89075876"/>
      <w:bookmarkStart w:id="88" w:name="_Toc217446042"/>
      <w:bookmarkStart w:id="89" w:name="_Toc183682351"/>
      <w:bookmarkStart w:id="90" w:name="_Toc77400780"/>
      <w:r>
        <w:rPr>
          <w:rFonts w:hint="eastAsia" w:ascii="宋体" w:hAnsi="宋体" w:eastAsia="宋体" w:cs="宋体"/>
          <w:bCs w:val="0"/>
          <w:color w:val="auto"/>
          <w:sz w:val="24"/>
          <w:szCs w:val="24"/>
          <w:highlight w:val="none"/>
          <w:lang w:val="en-US" w:eastAsia="zh-CN"/>
        </w:rPr>
        <w:t xml:space="preserve">  </w:t>
      </w:r>
      <w:bookmarkStart w:id="91" w:name="_Toc29085"/>
      <w:bookmarkStart w:id="92" w:name="_Toc13670"/>
      <w:r>
        <w:rPr>
          <w:rFonts w:hint="eastAsia" w:ascii="宋体" w:hAnsi="宋体" w:eastAsia="宋体" w:cs="宋体"/>
          <w:bCs w:val="0"/>
          <w:color w:val="auto"/>
          <w:sz w:val="24"/>
          <w:szCs w:val="24"/>
          <w:highlight w:val="none"/>
        </w:rPr>
        <w:t>四、</w:t>
      </w:r>
      <w:bookmarkEnd w:id="86"/>
      <w:bookmarkEnd w:id="87"/>
      <w:bookmarkEnd w:id="88"/>
      <w:bookmarkEnd w:id="89"/>
      <w:bookmarkEnd w:id="90"/>
      <w:r>
        <w:rPr>
          <w:rFonts w:hint="eastAsia" w:ascii="宋体" w:hAnsi="宋体" w:eastAsia="宋体" w:cs="宋体"/>
          <w:bCs w:val="0"/>
          <w:color w:val="auto"/>
          <w:sz w:val="24"/>
          <w:szCs w:val="24"/>
          <w:highlight w:val="none"/>
        </w:rPr>
        <w:t>响应文件</w:t>
      </w:r>
      <w:bookmarkEnd w:id="91"/>
      <w:bookmarkEnd w:id="92"/>
    </w:p>
    <w:p w14:paraId="0DF3B978">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bCs w:val="0"/>
          <w:color w:val="auto"/>
          <w:sz w:val="24"/>
          <w:szCs w:val="24"/>
          <w:highlight w:val="none"/>
        </w:rPr>
      </w:pPr>
      <w:bookmarkStart w:id="93" w:name="_Toc217446043"/>
      <w:bookmarkStart w:id="94" w:name="_Toc183682352"/>
      <w:bookmarkStart w:id="95" w:name="_Toc183582215"/>
      <w:r>
        <w:rPr>
          <w:rFonts w:hint="eastAsia" w:ascii="宋体" w:hAnsi="宋体" w:eastAsia="宋体" w:cs="宋体"/>
          <w:bCs w:val="0"/>
          <w:color w:val="auto"/>
          <w:sz w:val="24"/>
          <w:szCs w:val="24"/>
          <w:highlight w:val="none"/>
        </w:rPr>
        <w:t>8．响应文件的语言</w:t>
      </w:r>
      <w:bookmarkEnd w:id="93"/>
      <w:bookmarkEnd w:id="94"/>
      <w:bookmarkEnd w:id="95"/>
    </w:p>
    <w:p w14:paraId="342F9DE7">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供应商提交的响应文件以及供应商与采购单位就有关磋商的所有来往书面文件均须使用中文。响应文件中如附有外文资料，必须逐一对应翻译成中文并加盖供应商公章后附在相关外文资料后面，否则，供应商的响应文件，</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p>
    <w:p w14:paraId="4584EC58">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翻译的中文资料与外文资料如果出现差异和矛盾时，以中文为准。但不能故意错误翻译，否则，供应商的响应文件，</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p>
    <w:p w14:paraId="009B0635">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color w:val="auto"/>
          <w:sz w:val="24"/>
          <w:szCs w:val="24"/>
          <w:highlight w:val="none"/>
        </w:rPr>
      </w:pPr>
      <w:bookmarkStart w:id="96" w:name="_Toc183582216"/>
      <w:bookmarkStart w:id="97" w:name="_Toc183682353"/>
      <w:bookmarkStart w:id="98" w:name="_Toc217446044"/>
      <w:r>
        <w:rPr>
          <w:rFonts w:hint="eastAsia" w:ascii="宋体" w:hAnsi="宋体" w:eastAsia="宋体" w:cs="宋体"/>
          <w:color w:val="auto"/>
          <w:sz w:val="24"/>
          <w:szCs w:val="24"/>
          <w:highlight w:val="none"/>
        </w:rPr>
        <w:t>9．计量单位</w:t>
      </w:r>
      <w:bookmarkEnd w:id="96"/>
      <w:bookmarkEnd w:id="97"/>
      <w:bookmarkEnd w:id="98"/>
    </w:p>
    <w:p w14:paraId="65B03651">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除磋商文件中另有规定外，本服务项下的磋商均采用国家法定的计量单位。</w:t>
      </w:r>
    </w:p>
    <w:p w14:paraId="1D7DF393">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color w:val="auto"/>
          <w:sz w:val="24"/>
          <w:szCs w:val="24"/>
          <w:highlight w:val="none"/>
        </w:rPr>
      </w:pPr>
      <w:bookmarkStart w:id="99" w:name="_Toc217446045"/>
      <w:r>
        <w:rPr>
          <w:rFonts w:hint="eastAsia" w:ascii="宋体" w:hAnsi="宋体" w:eastAsia="宋体" w:cs="宋体"/>
          <w:color w:val="auto"/>
          <w:sz w:val="24"/>
          <w:szCs w:val="24"/>
          <w:highlight w:val="none"/>
        </w:rPr>
        <w:t>10. 磋商货币</w:t>
      </w:r>
      <w:bookmarkEnd w:id="99"/>
    </w:p>
    <w:p w14:paraId="5C763011">
      <w:pPr>
        <w:pageBreakBefore w:val="0"/>
        <w:widowControl w:val="0"/>
        <w:tabs>
          <w:tab w:val="left" w:pos="766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本次服务项目的磋商均以人民币报价。</w:t>
      </w:r>
    </w:p>
    <w:p w14:paraId="2D179A60">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color w:val="auto"/>
          <w:sz w:val="24"/>
          <w:szCs w:val="24"/>
          <w:highlight w:val="none"/>
        </w:rPr>
      </w:pPr>
      <w:bookmarkStart w:id="100" w:name="_Toc217446046"/>
      <w:r>
        <w:rPr>
          <w:rFonts w:hint="eastAsia" w:ascii="宋体" w:hAnsi="宋体" w:eastAsia="宋体" w:cs="宋体"/>
          <w:color w:val="auto"/>
          <w:sz w:val="24"/>
          <w:szCs w:val="24"/>
          <w:highlight w:val="none"/>
        </w:rPr>
        <w:t>11. 联合体</w:t>
      </w:r>
      <w:bookmarkEnd w:id="100"/>
      <w:r>
        <w:rPr>
          <w:rFonts w:hint="eastAsia" w:ascii="宋体" w:hAnsi="宋体" w:eastAsia="宋体" w:cs="宋体"/>
          <w:color w:val="auto"/>
          <w:sz w:val="24"/>
          <w:szCs w:val="24"/>
          <w:highlight w:val="none"/>
        </w:rPr>
        <w:t>磋商</w:t>
      </w:r>
    </w:p>
    <w:p w14:paraId="38650DB4">
      <w:pPr>
        <w:pStyle w:val="12"/>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详见“供应商须知前附表”第13条。</w:t>
      </w:r>
    </w:p>
    <w:p w14:paraId="047C6230">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bCs w:val="0"/>
          <w:color w:val="auto"/>
          <w:sz w:val="24"/>
          <w:szCs w:val="24"/>
          <w:highlight w:val="none"/>
        </w:rPr>
      </w:pPr>
      <w:bookmarkStart w:id="101" w:name="_Toc217446047"/>
      <w:r>
        <w:rPr>
          <w:rFonts w:hint="eastAsia" w:ascii="宋体" w:hAnsi="宋体" w:eastAsia="宋体" w:cs="宋体"/>
          <w:bCs w:val="0"/>
          <w:color w:val="auto"/>
          <w:sz w:val="24"/>
          <w:szCs w:val="24"/>
          <w:highlight w:val="none"/>
        </w:rPr>
        <w:t>12. 知识产权</w:t>
      </w:r>
      <w:bookmarkEnd w:id="101"/>
    </w:p>
    <w:p w14:paraId="1F3172BD">
      <w:pPr>
        <w:pStyle w:val="12"/>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43512DB7">
      <w:pPr>
        <w:pStyle w:val="12"/>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采购人享有本项目实施过程中产生的知识成果及知识产权。</w:t>
      </w:r>
    </w:p>
    <w:p w14:paraId="47F70108">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14:paraId="347B22B0">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12.4 如采用供应商所不拥有的知识产权，则在报价中必须包括合法获取该知识产权的相关费用。 </w:t>
      </w:r>
    </w:p>
    <w:p w14:paraId="52109ECD">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color w:val="auto"/>
          <w:sz w:val="24"/>
          <w:szCs w:val="24"/>
          <w:highlight w:val="none"/>
        </w:rPr>
      </w:pPr>
      <w:bookmarkStart w:id="102" w:name="_Toc217446048"/>
      <w:bookmarkStart w:id="103" w:name="_Toc183582217"/>
      <w:bookmarkStart w:id="104" w:name="_Toc183682354"/>
      <w:r>
        <w:rPr>
          <w:rFonts w:hint="eastAsia" w:ascii="宋体" w:hAnsi="宋体" w:eastAsia="宋体" w:cs="宋体"/>
          <w:color w:val="auto"/>
          <w:sz w:val="24"/>
          <w:szCs w:val="24"/>
          <w:highlight w:val="none"/>
        </w:rPr>
        <w:t>13．响应文件的组成</w:t>
      </w:r>
      <w:bookmarkEnd w:id="102"/>
      <w:bookmarkEnd w:id="103"/>
      <w:bookmarkEnd w:id="104"/>
    </w:p>
    <w:p w14:paraId="24DD202D">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按照磋商文件的规定和要求编制响应文件。磋商文件允许分包的，供应商拟在成交后将成交项目的非主体、非关键性工作交由他人完成的，应当在响应文件中载明。供应商编写的响应文件应包括下列部分：</w:t>
      </w:r>
    </w:p>
    <w:p w14:paraId="38C22565">
      <w:pPr>
        <w:spacing w:line="360" w:lineRule="auto"/>
        <w:ind w:firstLine="240" w:firstLineChars="100"/>
        <w:rPr>
          <w:rFonts w:hint="eastAsia" w:ascii="宋体" w:hAnsi="宋体" w:eastAsia="宋体" w:cs="宋体"/>
          <w:color w:val="auto"/>
          <w:sz w:val="24"/>
          <w:szCs w:val="24"/>
          <w:highlight w:val="none"/>
        </w:rPr>
      </w:pPr>
      <w:bookmarkStart w:id="105" w:name="_Toc183682355"/>
      <w:bookmarkStart w:id="106" w:name="_Toc183582218"/>
      <w:bookmarkStart w:id="107" w:name="_Toc217446049"/>
      <w:r>
        <w:rPr>
          <w:rFonts w:hint="eastAsia" w:ascii="宋体" w:hAnsi="宋体" w:eastAsia="宋体" w:cs="宋体"/>
          <w:color w:val="auto"/>
          <w:sz w:val="24"/>
          <w:szCs w:val="24"/>
          <w:highlight w:val="none"/>
        </w:rPr>
        <w:t>一、响应函</w:t>
      </w:r>
    </w:p>
    <w:p w14:paraId="42837A2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二、身份证明书及授权委托书</w:t>
      </w:r>
    </w:p>
    <w:p w14:paraId="6F392E44">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三、报价明细表</w:t>
      </w:r>
    </w:p>
    <w:p w14:paraId="632EAE48">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四、供应商基本情况表</w:t>
      </w:r>
    </w:p>
    <w:p w14:paraId="7453ADD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五、近年类似项目情况表</w:t>
      </w:r>
    </w:p>
    <w:p w14:paraId="5D9B3000">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拟配备人员情况</w:t>
      </w:r>
    </w:p>
    <w:p w14:paraId="36D744B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、商务条款偏离表</w:t>
      </w:r>
    </w:p>
    <w:p w14:paraId="3670052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、服务方案</w:t>
      </w:r>
    </w:p>
    <w:p w14:paraId="438FE499">
      <w:pPr>
        <w:pStyle w:val="6"/>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、政府采购政策</w:t>
      </w:r>
    </w:p>
    <w:p w14:paraId="7AC9DA1A">
      <w:pPr>
        <w:pStyle w:val="6"/>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（一）中小企业声明函</w:t>
      </w:r>
    </w:p>
    <w:p w14:paraId="6C1C0558">
      <w:pPr>
        <w:pStyle w:val="6"/>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（二）残疾人福利性单位声明函（如有）</w:t>
      </w:r>
    </w:p>
    <w:p w14:paraId="3134BCEB">
      <w:pPr>
        <w:pStyle w:val="6"/>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（三）监狱企业证明文件（如有）</w:t>
      </w:r>
    </w:p>
    <w:p w14:paraId="049B9DE0">
      <w:pPr>
        <w:pStyle w:val="6"/>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）关于符合本国产品标准的声明函（如有）</w:t>
      </w:r>
    </w:p>
    <w:p w14:paraId="4C78C220">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十、供应商认为需要提供的其他资料</w:t>
      </w:r>
    </w:p>
    <w:p w14:paraId="11103BBE">
      <w:pPr>
        <w:pStyle w:val="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（一）磋商保证金缴纳凭证</w:t>
      </w:r>
    </w:p>
    <w:p w14:paraId="28AABC69">
      <w:pPr>
        <w:pStyle w:val="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）其他</w:t>
      </w:r>
    </w:p>
    <w:p w14:paraId="26473AAB">
      <w:pPr>
        <w:pStyle w:val="4"/>
        <w:pageBreakBefore w:val="0"/>
        <w:widowControl w:val="0"/>
        <w:tabs>
          <w:tab w:val="left" w:pos="3480"/>
        </w:tabs>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14．响应文件格式</w:t>
      </w:r>
      <w:bookmarkEnd w:id="105"/>
      <w:bookmarkEnd w:id="106"/>
      <w:bookmarkEnd w:id="107"/>
      <w:r>
        <w:rPr>
          <w:rFonts w:hint="eastAsia" w:ascii="宋体" w:hAnsi="宋体" w:eastAsia="宋体" w:cs="宋体"/>
          <w:color w:val="auto"/>
          <w:sz w:val="24"/>
          <w:szCs w:val="24"/>
          <w:highlight w:val="none"/>
        </w:rPr>
        <w:tab/>
      </w:r>
    </w:p>
    <w:p w14:paraId="7A437183">
      <w:pPr>
        <w:pageBreakBefore w:val="0"/>
        <w:widowControl w:val="0"/>
        <w:tabs>
          <w:tab w:val="left" w:pos="766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供应商应严格按照磋商文件第三章中提供的“响应文件格式”填写相关内容。除明确允许供应商可以自行编写的外，供应商不得以“响应文件格式”规定之外的方式填写相关内容。</w:t>
      </w:r>
    </w:p>
    <w:p w14:paraId="042BA705">
      <w:pPr>
        <w:pageBreakBefore w:val="0"/>
        <w:widowControl w:val="0"/>
        <w:tabs>
          <w:tab w:val="left" w:pos="766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对于没有格式要求的响应文件由供应商自行编写。</w:t>
      </w:r>
    </w:p>
    <w:p w14:paraId="0D818B77">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bCs w:val="0"/>
          <w:color w:val="auto"/>
          <w:sz w:val="24"/>
          <w:szCs w:val="24"/>
          <w:highlight w:val="none"/>
        </w:rPr>
      </w:pPr>
      <w:bookmarkStart w:id="108" w:name="_Toc183682360"/>
      <w:bookmarkStart w:id="109" w:name="_Toc217446050"/>
      <w:bookmarkStart w:id="110" w:name="_Toc183582223"/>
      <w:bookmarkStart w:id="111" w:name="_Toc183682361"/>
      <w:bookmarkStart w:id="112" w:name="_Toc217446051"/>
      <w:bookmarkStart w:id="113" w:name="_Toc183582224"/>
      <w:r>
        <w:rPr>
          <w:rFonts w:hint="eastAsia" w:ascii="宋体" w:hAnsi="宋体" w:eastAsia="宋体" w:cs="宋体"/>
          <w:bCs w:val="0"/>
          <w:color w:val="auto"/>
          <w:sz w:val="24"/>
          <w:szCs w:val="24"/>
          <w:highlight w:val="none"/>
        </w:rPr>
        <w:t>15．</w:t>
      </w:r>
      <w:bookmarkEnd w:id="108"/>
      <w:bookmarkEnd w:id="109"/>
      <w:bookmarkEnd w:id="110"/>
      <w:r>
        <w:rPr>
          <w:rFonts w:hint="eastAsia" w:ascii="宋体" w:hAnsi="宋体" w:eastAsia="宋体" w:cs="宋体"/>
          <w:bCs w:val="0"/>
          <w:color w:val="auto"/>
          <w:sz w:val="24"/>
          <w:szCs w:val="24"/>
          <w:highlight w:val="none"/>
        </w:rPr>
        <w:t>磋商保证金</w:t>
      </w:r>
    </w:p>
    <w:p w14:paraId="31955313">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供应商提供响应文件时，必须按磋商文件规定数额和形式缴纳磋商保证金，并作为其响应文件的一部分。</w:t>
      </w:r>
    </w:p>
    <w:p w14:paraId="0A81D85B">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15.2未按磋商文件要求在规定时间前缴纳规定数额及形式磋商保证金的响应文件，</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p>
    <w:p w14:paraId="75BF7299">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供应商所缴纳的磋商保证金不计利息。</w:t>
      </w:r>
    </w:p>
    <w:p w14:paraId="04A9205C">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采购单位将在采购活动结束后及时退还供应商的磋商保证金，但因供应商自身原因导致无法及时退还的除外。未成交供应商的磋商保证金在成交通知书发出后5个工作日内退还，成交供应商的磋商保证金在合同签订后5个工作日内退还。</w:t>
      </w:r>
    </w:p>
    <w:p w14:paraId="2B08B43C">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15.5发生下列情形之一的，采购单位将</w:t>
      </w:r>
      <w:r>
        <w:rPr>
          <w:rFonts w:hint="eastAsia" w:ascii="宋体" w:hAnsi="宋体" w:eastAsia="宋体" w:cs="宋体"/>
          <w:b/>
          <w:bCs/>
          <w:color w:val="auto"/>
          <w:sz w:val="24"/>
          <w:szCs w:val="24"/>
          <w:highlight w:val="none"/>
        </w:rPr>
        <w:t>不予退还</w:t>
      </w:r>
      <w:r>
        <w:rPr>
          <w:rFonts w:hint="eastAsia" w:ascii="宋体" w:hAnsi="宋体" w:eastAsia="宋体" w:cs="宋体"/>
          <w:color w:val="auto"/>
          <w:sz w:val="24"/>
          <w:szCs w:val="24"/>
          <w:highlight w:val="none"/>
        </w:rPr>
        <w:t>供应商缴纳的磋商保证金：</w:t>
      </w:r>
    </w:p>
    <w:p w14:paraId="7FCB3ABF">
      <w:pPr>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（1）供应商在提交响应文件截止时间后撤回响应文件的；</w:t>
      </w:r>
    </w:p>
    <w:p w14:paraId="02F044FB">
      <w:pPr>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（2）供应商在响应文件中提供虚假材料的；</w:t>
      </w:r>
    </w:p>
    <w:p w14:paraId="482ADDA6">
      <w:pPr>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（3）供应商不接受按响应文件规定对其磋商报价进行修正的；</w:t>
      </w:r>
    </w:p>
    <w:p w14:paraId="734EF908">
      <w:pPr>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（4）除因不可抗力或响应文件认可的情形以外，成交供应商不与采购人签订合同的；</w:t>
      </w:r>
    </w:p>
    <w:p w14:paraId="59C8DF05">
      <w:pPr>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（5）成交人未能在规定期限内与采购人签署合同协议书或提交履约保证金的；</w:t>
      </w:r>
    </w:p>
    <w:p w14:paraId="4586C245">
      <w:pPr>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（6）供应商与采购人、其他供应商或者采购代理机构恶意串通的；</w:t>
      </w:r>
    </w:p>
    <w:p w14:paraId="01C97092">
      <w:pPr>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（7）采购文件规定的其他情形；</w:t>
      </w:r>
    </w:p>
    <w:p w14:paraId="59F269F6">
      <w:pPr>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（8）符合法律、法规规定的其他情形的。</w:t>
      </w:r>
    </w:p>
    <w:bookmarkEnd w:id="111"/>
    <w:bookmarkEnd w:id="112"/>
    <w:bookmarkEnd w:id="113"/>
    <w:p w14:paraId="1F87330F">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bCs w:val="0"/>
          <w:color w:val="auto"/>
          <w:sz w:val="24"/>
          <w:szCs w:val="24"/>
          <w:highlight w:val="none"/>
        </w:rPr>
      </w:pPr>
      <w:bookmarkStart w:id="114" w:name="_Toc217446052"/>
      <w:bookmarkStart w:id="115" w:name="_Toc183582225"/>
      <w:bookmarkStart w:id="116" w:name="_Toc183682362"/>
      <w:r>
        <w:rPr>
          <w:rFonts w:hint="eastAsia" w:ascii="宋体" w:hAnsi="宋体" w:eastAsia="宋体" w:cs="宋体"/>
          <w:bCs w:val="0"/>
          <w:color w:val="auto"/>
          <w:sz w:val="24"/>
          <w:szCs w:val="24"/>
          <w:highlight w:val="none"/>
        </w:rPr>
        <w:t>16．磋商有效期</w:t>
      </w:r>
    </w:p>
    <w:p w14:paraId="1F1DF2F0">
      <w:pPr>
        <w:pageBreakBefore w:val="0"/>
        <w:widowControl w:val="0"/>
        <w:tabs>
          <w:tab w:val="left" w:pos="766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磋商有效期详见“供应商须知前附表”第21条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磋商有效期短于此规定期限的响应文件，</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p>
    <w:p w14:paraId="7BB635EE">
      <w:pPr>
        <w:pageBreakBefore w:val="0"/>
        <w:widowControl w:val="0"/>
        <w:tabs>
          <w:tab w:val="left" w:pos="766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特殊情况下，采购人可于磋商有效期满之前要求供应商同意延长有效期，要求与答复均应为书面形式。供应商可以拒绝上述要求，其磋商保证金</w:t>
      </w:r>
      <w:r>
        <w:rPr>
          <w:rFonts w:hint="eastAsia" w:ascii="宋体" w:hAnsi="宋体" w:eastAsia="宋体" w:cs="宋体"/>
          <w:color w:val="auto"/>
          <w:spacing w:val="8"/>
          <w:sz w:val="24"/>
          <w:szCs w:val="24"/>
          <w:highlight w:val="none"/>
        </w:rPr>
        <w:t>不被没收。</w:t>
      </w:r>
      <w:r>
        <w:rPr>
          <w:rFonts w:hint="eastAsia" w:ascii="宋体" w:hAnsi="宋体" w:eastAsia="宋体" w:cs="宋体"/>
          <w:color w:val="auto"/>
          <w:sz w:val="24"/>
          <w:szCs w:val="24"/>
          <w:highlight w:val="none"/>
        </w:rPr>
        <w:t>拒绝延长磋商有效期的供应商不得再参与该项目后续政府采购活动。同意延长磋商有效期的供应商不能修改其响应文件，关于磋商保证金的有关规定在延长的磋商有效期内继续有效。</w:t>
      </w:r>
    </w:p>
    <w:p w14:paraId="3AC7F9A6">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17．响应文件的签署</w:t>
      </w:r>
      <w:bookmarkEnd w:id="114"/>
      <w:bookmarkEnd w:id="115"/>
      <w:bookmarkEnd w:id="116"/>
    </w:p>
    <w:p w14:paraId="24BDBA20">
      <w:pPr>
        <w:pageBreakBefore w:val="0"/>
        <w:widowControl w:val="0"/>
        <w:tabs>
          <w:tab w:val="left" w:pos="1080"/>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bookmarkStart w:id="117" w:name="_Toc89075877"/>
      <w:bookmarkStart w:id="118" w:name="_Toc77400781"/>
      <w:bookmarkStart w:id="119" w:name="_Toc183682363"/>
      <w:bookmarkStart w:id="120" w:name="_Toc217446053"/>
      <w:bookmarkStart w:id="121" w:name="_Toc183582226"/>
      <w:r>
        <w:rPr>
          <w:rFonts w:hint="eastAsia" w:ascii="宋体" w:hAnsi="宋体" w:eastAsia="宋体" w:cs="宋体"/>
          <w:color w:val="auto"/>
          <w:sz w:val="24"/>
          <w:szCs w:val="24"/>
          <w:highlight w:val="none"/>
        </w:rPr>
        <w:t>17.1 响应文件应根据磋商文件的要求制作、签署、盖章，内容应完整。</w:t>
      </w:r>
    </w:p>
    <w:bookmarkEnd w:id="117"/>
    <w:bookmarkEnd w:id="118"/>
    <w:bookmarkEnd w:id="119"/>
    <w:bookmarkEnd w:id="120"/>
    <w:bookmarkEnd w:id="121"/>
    <w:p w14:paraId="65F3B076">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bCs w:val="0"/>
          <w:color w:val="auto"/>
          <w:sz w:val="24"/>
          <w:szCs w:val="24"/>
          <w:highlight w:val="none"/>
        </w:rPr>
      </w:pPr>
      <w:bookmarkStart w:id="122" w:name="_Toc183582227"/>
      <w:bookmarkStart w:id="123" w:name="_Toc183682364"/>
      <w:bookmarkStart w:id="124" w:name="_Toc217446054"/>
      <w:r>
        <w:rPr>
          <w:rFonts w:hint="eastAsia" w:ascii="宋体" w:hAnsi="宋体" w:eastAsia="宋体" w:cs="宋体"/>
          <w:bCs w:val="0"/>
          <w:color w:val="auto"/>
          <w:sz w:val="24"/>
          <w:szCs w:val="24"/>
          <w:highlight w:val="none"/>
        </w:rPr>
        <w:t>18．</w:t>
      </w:r>
      <w:bookmarkEnd w:id="122"/>
      <w:bookmarkEnd w:id="123"/>
      <w:bookmarkEnd w:id="124"/>
      <w:r>
        <w:rPr>
          <w:rFonts w:hint="eastAsia" w:ascii="宋体" w:hAnsi="宋体" w:eastAsia="宋体" w:cs="宋体"/>
          <w:bCs w:val="0"/>
          <w:color w:val="auto"/>
          <w:sz w:val="24"/>
          <w:szCs w:val="24"/>
          <w:highlight w:val="none"/>
        </w:rPr>
        <w:t>响应文件的</w:t>
      </w:r>
      <w:r>
        <w:rPr>
          <w:rFonts w:hint="eastAsia" w:ascii="宋体" w:hAnsi="宋体" w:eastAsia="宋体" w:cs="宋体"/>
          <w:color w:val="auto"/>
          <w:sz w:val="24"/>
          <w:szCs w:val="24"/>
          <w:highlight w:val="none"/>
        </w:rPr>
        <w:t>上传</w:t>
      </w:r>
    </w:p>
    <w:p w14:paraId="366EBD44">
      <w:pPr>
        <w:pageBreakBefore w:val="0"/>
        <w:widowControl w:val="0"/>
        <w:tabs>
          <w:tab w:val="left" w:pos="109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bookmarkStart w:id="125" w:name="_Toc183582228"/>
      <w:bookmarkStart w:id="126" w:name="_Toc183682365"/>
      <w:bookmarkStart w:id="127" w:name="_Toc217446055"/>
      <w:r>
        <w:rPr>
          <w:rFonts w:hint="eastAsia" w:ascii="宋体" w:hAnsi="宋体" w:eastAsia="宋体" w:cs="宋体"/>
          <w:color w:val="auto"/>
          <w:sz w:val="24"/>
          <w:szCs w:val="24"/>
          <w:highlight w:val="none"/>
        </w:rPr>
        <w:t>18.1 供应商须在响应文件上传截止时间前，将响应文件按“供应商须知前附表”第16条规定上传。</w:t>
      </w:r>
    </w:p>
    <w:p w14:paraId="341E42E0">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19．</w:t>
      </w:r>
      <w:bookmarkEnd w:id="125"/>
      <w:bookmarkEnd w:id="126"/>
      <w:bookmarkEnd w:id="127"/>
      <w:r>
        <w:rPr>
          <w:rFonts w:hint="eastAsia" w:ascii="宋体" w:hAnsi="宋体" w:eastAsia="宋体" w:cs="宋体"/>
          <w:bCs w:val="0"/>
          <w:color w:val="auto"/>
          <w:sz w:val="24"/>
          <w:szCs w:val="24"/>
          <w:highlight w:val="none"/>
        </w:rPr>
        <w:t>响应文件的修改和撤回</w:t>
      </w:r>
    </w:p>
    <w:p w14:paraId="05E8A5CA">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bookmarkStart w:id="128" w:name="_Toc217446056"/>
      <w:bookmarkStart w:id="129" w:name="_Toc183582231"/>
      <w:bookmarkStart w:id="130" w:name="_Toc77400782"/>
      <w:bookmarkStart w:id="131" w:name="_Toc89075878"/>
      <w:bookmarkStart w:id="132" w:name="_Toc183682368"/>
      <w:r>
        <w:rPr>
          <w:rFonts w:hint="eastAsia" w:ascii="宋体" w:hAnsi="宋体" w:eastAsia="宋体" w:cs="宋体"/>
          <w:color w:val="auto"/>
          <w:sz w:val="24"/>
          <w:szCs w:val="24"/>
          <w:highlight w:val="none"/>
        </w:rPr>
        <w:t>19.1 供应商在响应文件上传截止时间前，可以对所上传的响应文件进行补充、修改或撤回。</w:t>
      </w:r>
    </w:p>
    <w:p w14:paraId="71928F37">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在响应文件上传截止时间之后，供应商不得对其上传的响应文件做任何修改、补充或撤回。</w:t>
      </w:r>
    </w:p>
    <w:p w14:paraId="16628F54">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响应文件中-如果出现计算上或累加上的算术错误，可按以下原则进行修改：</w:t>
      </w:r>
    </w:p>
    <w:p w14:paraId="4212F3CF">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（1）响应文件中响应函内容与磋商报价明细表不一致的，以响应函为准;</w:t>
      </w:r>
    </w:p>
    <w:p w14:paraId="79FEA0C8">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（2）用小写金额和大写金额不一致，应以大写金额为准；</w:t>
      </w:r>
    </w:p>
    <w:p w14:paraId="770FD6D6">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（3）总价金额与按单价汇总金额不一致的，以单价金额计算结果为准；</w:t>
      </w:r>
    </w:p>
    <w:p w14:paraId="67ED8B69">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（4）单价金额小数点或者百分比有明显错位的，以响应函的总价为准，并修改单价。</w:t>
      </w:r>
    </w:p>
    <w:p w14:paraId="085AFD82">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同时出现两种以上不一致的，按照前款规定的顺序修正。修正后的磋商报价经供应商确认后产生约束力，供应商不确认的，其</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p>
    <w:p w14:paraId="25EBA83F">
      <w:pPr>
        <w:pStyle w:val="3"/>
        <w:pageBreakBefore w:val="0"/>
        <w:widowControl w:val="0"/>
        <w:kinsoku/>
        <w:wordWrap/>
        <w:overflowPunct/>
        <w:topLinePunct w:val="0"/>
        <w:autoSpaceDE/>
        <w:autoSpaceDN/>
        <w:bidi w:val="0"/>
        <w:spacing w:before="0" w:after="0" w:line="360" w:lineRule="auto"/>
        <w:jc w:val="center"/>
        <w:textAlignment w:val="auto"/>
        <w:rPr>
          <w:rFonts w:hint="eastAsia" w:ascii="宋体" w:hAnsi="宋体" w:eastAsia="宋体" w:cs="宋体"/>
          <w:color w:val="auto"/>
          <w:sz w:val="24"/>
          <w:szCs w:val="24"/>
          <w:highlight w:val="none"/>
        </w:rPr>
      </w:pPr>
      <w:bookmarkStart w:id="133" w:name="_Toc9735"/>
      <w:bookmarkStart w:id="134" w:name="_Toc11961"/>
      <w:r>
        <w:rPr>
          <w:rFonts w:hint="eastAsia" w:ascii="宋体" w:hAnsi="宋体" w:eastAsia="宋体" w:cs="宋体"/>
          <w:color w:val="auto"/>
          <w:sz w:val="24"/>
          <w:szCs w:val="24"/>
          <w:highlight w:val="none"/>
        </w:rPr>
        <w:t>五、磋商和</w:t>
      </w:r>
      <w:bookmarkEnd w:id="128"/>
      <w:bookmarkEnd w:id="129"/>
      <w:bookmarkEnd w:id="130"/>
      <w:bookmarkEnd w:id="131"/>
      <w:bookmarkEnd w:id="132"/>
      <w:r>
        <w:rPr>
          <w:rFonts w:hint="eastAsia" w:ascii="宋体" w:hAnsi="宋体" w:eastAsia="宋体" w:cs="宋体"/>
          <w:color w:val="auto"/>
          <w:sz w:val="24"/>
          <w:szCs w:val="24"/>
          <w:highlight w:val="none"/>
        </w:rPr>
        <w:t>成交</w:t>
      </w:r>
      <w:bookmarkEnd w:id="133"/>
      <w:bookmarkEnd w:id="134"/>
    </w:p>
    <w:p w14:paraId="34CC73F0">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bCs w:val="0"/>
          <w:color w:val="auto"/>
          <w:sz w:val="24"/>
          <w:szCs w:val="24"/>
          <w:highlight w:val="none"/>
        </w:rPr>
      </w:pPr>
      <w:bookmarkStart w:id="135" w:name="_Toc183682369"/>
      <w:bookmarkStart w:id="136" w:name="_Toc183582232"/>
      <w:bookmarkStart w:id="137" w:name="_Toc217446057"/>
      <w:bookmarkStart w:id="138" w:name="_Toc217446074"/>
      <w:bookmarkStart w:id="139" w:name="_Toc183682380"/>
      <w:bookmarkStart w:id="140" w:name="_Toc183582243"/>
      <w:r>
        <w:rPr>
          <w:rFonts w:hint="eastAsia" w:ascii="宋体" w:hAnsi="宋体" w:eastAsia="宋体" w:cs="宋体"/>
          <w:bCs w:val="0"/>
          <w:color w:val="auto"/>
          <w:sz w:val="24"/>
          <w:szCs w:val="24"/>
          <w:highlight w:val="none"/>
        </w:rPr>
        <w:t>20．</w:t>
      </w:r>
      <w:bookmarkEnd w:id="135"/>
      <w:bookmarkEnd w:id="136"/>
      <w:bookmarkEnd w:id="137"/>
      <w:r>
        <w:rPr>
          <w:rFonts w:hint="eastAsia" w:ascii="宋体" w:hAnsi="宋体" w:eastAsia="宋体" w:cs="宋体"/>
          <w:bCs w:val="0"/>
          <w:color w:val="auto"/>
          <w:sz w:val="24"/>
          <w:szCs w:val="24"/>
          <w:highlight w:val="none"/>
        </w:rPr>
        <w:t>磋商程序</w:t>
      </w:r>
    </w:p>
    <w:p w14:paraId="61B8F7D1">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采购代理机构在磋商文件规定的时间和地点组织磋商，邀请所有下载了磋商文件并参与竞争的供应商参加磋商会议。</w:t>
      </w:r>
    </w:p>
    <w:p w14:paraId="2CE71F74">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磋商时，采购代理机构可以邀请有关监督管理部门对磋商进行现场监督。</w:t>
      </w:r>
    </w:p>
    <w:p w14:paraId="1061FC65">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响应文件上传截止时间到，磋商会议开始，公布供应商名单。</w:t>
      </w:r>
    </w:p>
    <w:p w14:paraId="75F50AC9">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20.4开启“响应文件解密”环节，供应商在规定时间内进行解密。</w:t>
      </w:r>
    </w:p>
    <w:p w14:paraId="242C9099">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20.5经确认无误后，公布供应商在响应函中供应商名称、磋商价格和磋商文件规定的需要宣布的其他内容。响应文件中有关明细表内容与“响应函”不一致的，以“响应函”为准。</w:t>
      </w:r>
    </w:p>
    <w:p w14:paraId="3D033020">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对供应商响应文件进行资格审查；</w:t>
      </w:r>
    </w:p>
    <w:p w14:paraId="4AE2C017">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20.7进入评审环节，磋商小组对供应商响应文件符合性审查；</w:t>
      </w:r>
    </w:p>
    <w:p w14:paraId="62F09932">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20.7等待初步审查合格的供应商进行磋商并提交报价，</w:t>
      </w:r>
      <w:bookmarkStart w:id="141" w:name="_Toc183682375"/>
      <w:bookmarkStart w:id="142" w:name="_Toc183582238"/>
      <w:bookmarkStart w:id="143" w:name="_Toc217446063"/>
      <w:r>
        <w:rPr>
          <w:rFonts w:hint="eastAsia" w:ascii="宋体" w:hAnsi="宋体" w:eastAsia="宋体" w:cs="宋体"/>
          <w:bCs/>
          <w:color w:val="auto"/>
          <w:sz w:val="24"/>
          <w:szCs w:val="24"/>
          <w:highlight w:val="none"/>
        </w:rPr>
        <w:t>磋商二轮报价</w:t>
      </w:r>
      <w:r>
        <w:rPr>
          <w:rFonts w:hint="eastAsia" w:ascii="宋体" w:hAnsi="宋体" w:eastAsia="宋体" w:cs="宋体"/>
          <w:bCs/>
          <w:color w:val="auto"/>
          <w:sz w:val="24"/>
          <w:szCs w:val="24"/>
          <w:highlight w:val="none"/>
          <w:lang w:val="en-US" w:eastAsia="zh-CN"/>
        </w:rPr>
        <w:t>为最终报价</w:t>
      </w:r>
      <w:r>
        <w:rPr>
          <w:rFonts w:hint="eastAsia" w:ascii="宋体" w:hAnsi="宋体" w:eastAsia="宋体" w:cs="宋体"/>
          <w:bCs/>
          <w:color w:val="auto"/>
          <w:sz w:val="24"/>
          <w:szCs w:val="24"/>
          <w:highlight w:val="none"/>
        </w:rPr>
        <w:t>，以</w:t>
      </w:r>
      <w:r>
        <w:rPr>
          <w:rFonts w:hint="eastAsia" w:ascii="宋体" w:hAnsi="宋体" w:eastAsia="宋体" w:cs="宋体"/>
          <w:bCs/>
          <w:color w:val="auto"/>
          <w:sz w:val="24"/>
          <w:szCs w:val="24"/>
          <w:highlight w:val="none"/>
          <w:lang w:val="en-US" w:eastAsia="zh-CN"/>
        </w:rPr>
        <w:t>最终报价</w:t>
      </w:r>
      <w:r>
        <w:rPr>
          <w:rFonts w:hint="eastAsia" w:ascii="宋体" w:hAnsi="宋体" w:eastAsia="宋体" w:cs="宋体"/>
          <w:bCs/>
          <w:color w:val="auto"/>
          <w:sz w:val="24"/>
          <w:szCs w:val="24"/>
          <w:highlight w:val="none"/>
        </w:rPr>
        <w:t>进行评审</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最终报价</w:t>
      </w:r>
      <w:r>
        <w:rPr>
          <w:rFonts w:hint="eastAsia" w:ascii="宋体" w:hAnsi="宋体" w:eastAsia="宋体" w:cs="宋体"/>
          <w:bCs/>
          <w:color w:val="auto"/>
          <w:sz w:val="24"/>
          <w:szCs w:val="24"/>
          <w:highlight w:val="none"/>
        </w:rPr>
        <w:t>不得超过</w:t>
      </w:r>
      <w:r>
        <w:rPr>
          <w:rFonts w:hint="eastAsia" w:ascii="宋体" w:hAnsi="宋体" w:eastAsia="宋体" w:cs="宋体"/>
          <w:bCs/>
          <w:color w:val="auto"/>
          <w:sz w:val="24"/>
          <w:szCs w:val="24"/>
          <w:highlight w:val="none"/>
          <w:lang w:val="en-US" w:eastAsia="zh-CN"/>
        </w:rPr>
        <w:t>首轮</w:t>
      </w:r>
      <w:r>
        <w:rPr>
          <w:rFonts w:hint="eastAsia" w:ascii="宋体" w:hAnsi="宋体" w:eastAsia="宋体" w:cs="宋体"/>
          <w:bCs/>
          <w:color w:val="auto"/>
          <w:sz w:val="24"/>
          <w:szCs w:val="24"/>
          <w:highlight w:val="none"/>
        </w:rPr>
        <w:t>报价，否则</w:t>
      </w:r>
      <w:r>
        <w:rPr>
          <w:rFonts w:hint="eastAsia" w:ascii="宋体" w:hAnsi="宋体" w:eastAsia="宋体" w:cs="宋体"/>
          <w:b/>
          <w:bCs w:val="0"/>
          <w:color w:val="auto"/>
          <w:sz w:val="24"/>
          <w:szCs w:val="24"/>
          <w:highlight w:val="none"/>
        </w:rPr>
        <w:t>响应无效</w:t>
      </w:r>
      <w:r>
        <w:rPr>
          <w:rFonts w:hint="eastAsia" w:ascii="宋体" w:hAnsi="宋体" w:eastAsia="宋体" w:cs="宋体"/>
          <w:bCs/>
          <w:color w:val="auto"/>
          <w:sz w:val="24"/>
          <w:szCs w:val="24"/>
          <w:highlight w:val="none"/>
        </w:rPr>
        <w:t>。</w:t>
      </w:r>
    </w:p>
    <w:p w14:paraId="2A74A1AF">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201.8经磋商确定最终服务需求和提交最后报价的供应商后，由磋商小组采用综合评分法对提交最后报价的供应商的响应文件和最终报价进行综合评审。</w:t>
      </w:r>
    </w:p>
    <w:p w14:paraId="749937D3">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20.9磋商小组根据综合评审情况，按照评审得分由高到低顺序推荐3名成交候选供应商，并编写评审报告。</w:t>
      </w:r>
    </w:p>
    <w:p w14:paraId="3D4BEBB5">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20.10采购代理机构在评审结束后2个工作日内将评审报告送采购人确认。</w:t>
      </w:r>
    </w:p>
    <w:p w14:paraId="1DBB8ACB">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21．成交通知</w:t>
      </w:r>
      <w:bookmarkEnd w:id="141"/>
      <w:bookmarkEnd w:id="142"/>
      <w:r>
        <w:rPr>
          <w:rFonts w:hint="eastAsia" w:ascii="宋体" w:hAnsi="宋体" w:eastAsia="宋体" w:cs="宋体"/>
          <w:bCs w:val="0"/>
          <w:color w:val="auto"/>
          <w:sz w:val="24"/>
          <w:szCs w:val="24"/>
          <w:highlight w:val="none"/>
        </w:rPr>
        <w:t>书</w:t>
      </w:r>
      <w:bookmarkEnd w:id="143"/>
    </w:p>
    <w:p w14:paraId="230C2AD8">
      <w:pPr>
        <w:pageBreakBefore w:val="0"/>
        <w:widowControl w:val="0"/>
        <w:tabs>
          <w:tab w:val="left" w:pos="766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 成交通知书为签订服务合同的依据，是合同的有效组成部分。</w:t>
      </w:r>
    </w:p>
    <w:p w14:paraId="09344580">
      <w:pPr>
        <w:pageBreakBefore w:val="0"/>
        <w:widowControl w:val="0"/>
        <w:tabs>
          <w:tab w:val="left" w:pos="766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成交通知书对采购人和成交人均具有法律效力。成交通知书发出后，采购人改变成交结果，或者成交人无正当理由放弃成交的，应当承担相应的法律责任。</w:t>
      </w:r>
    </w:p>
    <w:p w14:paraId="657DFA5A">
      <w:pPr>
        <w:pageBreakBefore w:val="0"/>
        <w:widowControl w:val="0"/>
        <w:tabs>
          <w:tab w:val="left" w:pos="7665"/>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21.3成交人的响应文件本应视为</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或者相关法律法规规章规定的成交无效情形的，采购代理机构在取得有权主体的认定以后，应当宣布发出的成交通知书无效，并收回发出的成交通知书（成交人也应当缴回），依法重新确定成交人或者重新开展政府采购活动。</w:t>
      </w:r>
    </w:p>
    <w:p w14:paraId="1267B7E5">
      <w:pPr>
        <w:pStyle w:val="3"/>
        <w:pageBreakBefore w:val="0"/>
        <w:widowControl w:val="0"/>
        <w:kinsoku/>
        <w:wordWrap/>
        <w:overflowPunct/>
        <w:topLinePunct w:val="0"/>
        <w:autoSpaceDE/>
        <w:autoSpaceDN/>
        <w:bidi w:val="0"/>
        <w:spacing w:before="0" w:after="0" w:line="360" w:lineRule="auto"/>
        <w:ind w:firstLine="482" w:firstLineChars="200"/>
        <w:jc w:val="center"/>
        <w:textAlignment w:val="auto"/>
        <w:rPr>
          <w:rFonts w:hint="eastAsia" w:ascii="宋体" w:hAnsi="宋体" w:eastAsia="宋体" w:cs="宋体"/>
          <w:color w:val="auto"/>
          <w:sz w:val="24"/>
          <w:szCs w:val="24"/>
          <w:highlight w:val="none"/>
        </w:rPr>
      </w:pPr>
      <w:bookmarkStart w:id="144" w:name="_Toc217446064"/>
      <w:bookmarkStart w:id="145" w:name="_Toc17991"/>
      <w:bookmarkStart w:id="146" w:name="_Toc29961"/>
      <w:bookmarkStart w:id="147" w:name="_Toc183582240"/>
      <w:bookmarkStart w:id="148" w:name="_Toc183682377"/>
      <w:r>
        <w:rPr>
          <w:rFonts w:hint="eastAsia" w:ascii="宋体" w:hAnsi="宋体" w:eastAsia="宋体" w:cs="宋体"/>
          <w:color w:val="auto"/>
          <w:sz w:val="24"/>
          <w:szCs w:val="24"/>
          <w:highlight w:val="none"/>
        </w:rPr>
        <w:t>六、</w:t>
      </w:r>
      <w:bookmarkEnd w:id="144"/>
      <w:r>
        <w:rPr>
          <w:rFonts w:hint="eastAsia" w:ascii="宋体" w:hAnsi="宋体" w:eastAsia="宋体" w:cs="宋体"/>
          <w:color w:val="auto"/>
          <w:sz w:val="24"/>
          <w:szCs w:val="24"/>
          <w:highlight w:val="none"/>
        </w:rPr>
        <w:t>签订及履行合同和验收</w:t>
      </w:r>
      <w:bookmarkEnd w:id="145"/>
      <w:bookmarkEnd w:id="146"/>
    </w:p>
    <w:p w14:paraId="724F42ED">
      <w:pPr>
        <w:pageBreakBefore w:val="0"/>
        <w:widowControl w:val="0"/>
        <w:kinsoku/>
        <w:wordWrap/>
        <w:overflowPunct/>
        <w:topLinePunct w:val="0"/>
        <w:autoSpaceDE/>
        <w:autoSpaceDN/>
        <w:bidi w:val="0"/>
        <w:spacing w:line="360" w:lineRule="auto"/>
        <w:ind w:firstLine="482" w:firstLineChars="200"/>
        <w:textAlignment w:val="auto"/>
        <w:outlineLvl w:val="2"/>
        <w:rPr>
          <w:rFonts w:hint="eastAsia" w:ascii="宋体" w:hAnsi="宋体" w:eastAsia="宋体" w:cs="宋体"/>
          <w:b/>
          <w:bCs/>
          <w:color w:val="auto"/>
          <w:sz w:val="24"/>
          <w:szCs w:val="24"/>
          <w:highlight w:val="none"/>
        </w:rPr>
      </w:pPr>
      <w:bookmarkStart w:id="149" w:name="_Toc217446065"/>
      <w:bookmarkStart w:id="150" w:name="_Toc217446066"/>
      <w:r>
        <w:rPr>
          <w:rFonts w:hint="eastAsia" w:ascii="宋体" w:hAnsi="宋体" w:eastAsia="宋体" w:cs="宋体"/>
          <w:b/>
          <w:bCs/>
          <w:color w:val="auto"/>
          <w:sz w:val="24"/>
          <w:szCs w:val="24"/>
          <w:highlight w:val="none"/>
        </w:rPr>
        <w:t>22. 签订合同</w:t>
      </w:r>
      <w:bookmarkEnd w:id="149"/>
    </w:p>
    <w:p w14:paraId="335426C9">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成交人在收到采购人发出的《成交通知书》后，应在法律法规规定的时间内与采购人签订服务合同。由于成交人的原因逾期未与采购人签订服务合同的，将视为放弃成交，取消其成交资格并将按相关规定进行处理。</w:t>
      </w:r>
    </w:p>
    <w:p w14:paraId="193A63E2">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采购人不得向成交人提出任何不合理的要求，作为签订合同的条件，不得与成交人私下订立背离合同实质性内容的任何协议，所签订的合同不得对磋商文件和成交人响应文件作实质性修改。</w:t>
      </w:r>
    </w:p>
    <w:p w14:paraId="49DF9B5C">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成交人因不可抗力原因不能履行服务合同或放弃成交的，采购人可以与排在成交人之后第一位的成交候选人签订服务合同，以此类推。</w:t>
      </w:r>
    </w:p>
    <w:p w14:paraId="4DCE4E81">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成交人在合同签订之后三个工作日内，将签订的合同（彩色扫描件）交至采购代理机构。</w:t>
      </w:r>
    </w:p>
    <w:p w14:paraId="6120F3E2">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合同分包</w:t>
      </w:r>
      <w:bookmarkEnd w:id="150"/>
      <w:r>
        <w:rPr>
          <w:rFonts w:hint="eastAsia" w:ascii="宋体" w:hAnsi="宋体" w:eastAsia="宋体" w:cs="宋体"/>
          <w:color w:val="auto"/>
          <w:sz w:val="24"/>
          <w:szCs w:val="24"/>
          <w:highlight w:val="none"/>
        </w:rPr>
        <w:t>（如有）</w:t>
      </w:r>
    </w:p>
    <w:p w14:paraId="610DB8C1">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若本项目允许分包的，经采购人同意，成交人可以依法采取分包方式履行合同。这种要求应当在合同签订之前征得采购人同意，并且分包供应商履行的技术要求等，必须与成交的一致。</w:t>
      </w:r>
    </w:p>
    <w:p w14:paraId="78F5DD84">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服务合同实行分包履行的，成交人就服务项目和分包项目向采购人负责，分包供应商就分包项目承担责任。</w:t>
      </w:r>
    </w:p>
    <w:p w14:paraId="422386F2">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color w:val="auto"/>
          <w:sz w:val="24"/>
          <w:szCs w:val="24"/>
          <w:highlight w:val="none"/>
        </w:rPr>
      </w:pPr>
      <w:bookmarkStart w:id="151" w:name="_Toc217446067"/>
      <w:r>
        <w:rPr>
          <w:rFonts w:hint="eastAsia" w:ascii="宋体" w:hAnsi="宋体" w:eastAsia="宋体" w:cs="宋体"/>
          <w:color w:val="auto"/>
          <w:sz w:val="24"/>
          <w:szCs w:val="24"/>
          <w:highlight w:val="none"/>
        </w:rPr>
        <w:t>25. 采购人增加合同金额权</w:t>
      </w:r>
      <w:bookmarkEnd w:id="151"/>
      <w:r>
        <w:rPr>
          <w:rFonts w:hint="eastAsia" w:ascii="宋体" w:hAnsi="宋体" w:eastAsia="宋体" w:cs="宋体"/>
          <w:color w:val="auto"/>
          <w:sz w:val="24"/>
          <w:szCs w:val="24"/>
          <w:highlight w:val="none"/>
        </w:rPr>
        <w:t>利</w:t>
      </w:r>
    </w:p>
    <w:p w14:paraId="3FBD3DED">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服务合同履行过程中，采购人需要追加与合同金额相同的服务的，在不改变合同其他条款的前提下，可以与成交供应商协商签订补充合同，但所有补充合同的采购金额不得超过原合同采购金额的百分之十。</w:t>
      </w:r>
    </w:p>
    <w:p w14:paraId="0F622D3A">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color w:val="auto"/>
          <w:sz w:val="24"/>
          <w:szCs w:val="24"/>
          <w:highlight w:val="none"/>
        </w:rPr>
      </w:pPr>
      <w:bookmarkStart w:id="152" w:name="_Toc217446068"/>
      <w:r>
        <w:rPr>
          <w:rFonts w:hint="eastAsia" w:ascii="宋体" w:hAnsi="宋体" w:eastAsia="宋体" w:cs="宋体"/>
          <w:color w:val="auto"/>
          <w:sz w:val="24"/>
          <w:szCs w:val="24"/>
          <w:highlight w:val="none"/>
        </w:rPr>
        <w:t>26. 履约保证金</w:t>
      </w:r>
      <w:bookmarkEnd w:id="152"/>
    </w:p>
    <w:p w14:paraId="5C85F115">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26.1 </w:t>
      </w:r>
      <w:r>
        <w:rPr>
          <w:rFonts w:hint="eastAsia" w:ascii="宋体" w:hAnsi="宋体" w:eastAsia="宋体" w:cs="宋体"/>
          <w:bCs/>
          <w:color w:val="auto"/>
          <w:sz w:val="24"/>
          <w:szCs w:val="24"/>
          <w:highlight w:val="none"/>
        </w:rPr>
        <w:t>本项目无需缴纳履约保证金。</w:t>
      </w:r>
    </w:p>
    <w:p w14:paraId="5BD5F693">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color w:val="auto"/>
          <w:sz w:val="24"/>
          <w:szCs w:val="24"/>
          <w:highlight w:val="none"/>
        </w:rPr>
      </w:pPr>
      <w:bookmarkStart w:id="153" w:name="_Toc217446069"/>
      <w:r>
        <w:rPr>
          <w:rFonts w:hint="eastAsia" w:ascii="宋体" w:hAnsi="宋体" w:eastAsia="宋体" w:cs="宋体"/>
          <w:color w:val="auto"/>
          <w:sz w:val="24"/>
          <w:szCs w:val="24"/>
          <w:highlight w:val="none"/>
        </w:rPr>
        <w:t>27. 履行合同</w:t>
      </w:r>
      <w:bookmarkEnd w:id="153"/>
    </w:p>
    <w:p w14:paraId="6BAF7F99">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成交人与采购人签订合同后，合同双方应严格执行合同条款，履行合同规定的义务，保证合同的顺利完成。</w:t>
      </w:r>
    </w:p>
    <w:p w14:paraId="171CFC26">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在合同履行过程中，如发生合同纠纷，合同双方应按照《中华人民共和国民法典》的有关规定进行处理。</w:t>
      </w:r>
      <w:bookmarkEnd w:id="147"/>
      <w:bookmarkEnd w:id="148"/>
    </w:p>
    <w:p w14:paraId="6AA734D0">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b/>
          <w:bCs/>
          <w:color w:val="auto"/>
          <w:sz w:val="24"/>
          <w:szCs w:val="24"/>
          <w:highlight w:val="none"/>
        </w:rPr>
      </w:pPr>
      <w:bookmarkStart w:id="154" w:name="_Toc217446070"/>
      <w:r>
        <w:rPr>
          <w:rFonts w:hint="eastAsia" w:ascii="宋体" w:hAnsi="宋体" w:eastAsia="宋体" w:cs="宋体"/>
          <w:b/>
          <w:bCs/>
          <w:color w:val="auto"/>
          <w:sz w:val="24"/>
          <w:szCs w:val="24"/>
          <w:highlight w:val="none"/>
          <w:lang w:val="en-US" w:eastAsia="zh-CN"/>
        </w:rPr>
        <w:t>28</w:t>
      </w:r>
      <w:r>
        <w:rPr>
          <w:rFonts w:hint="eastAsia" w:ascii="宋体" w:hAnsi="宋体" w:eastAsia="宋体" w:cs="宋体"/>
          <w:b/>
          <w:bCs/>
          <w:color w:val="auto"/>
          <w:sz w:val="24"/>
          <w:szCs w:val="24"/>
          <w:highlight w:val="none"/>
        </w:rPr>
        <w:t>. 验收</w:t>
      </w:r>
      <w:bookmarkEnd w:id="154"/>
    </w:p>
    <w:p w14:paraId="744C798C">
      <w:pPr>
        <w:pStyle w:val="6"/>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bookmarkStart w:id="155" w:name="_Toc217446071"/>
      <w:r>
        <w:rPr>
          <w:rFonts w:hint="eastAsia" w:ascii="宋体" w:hAnsi="宋体" w:eastAsia="宋体" w:cs="宋体"/>
          <w:color w:val="auto"/>
          <w:sz w:val="24"/>
          <w:szCs w:val="24"/>
          <w:highlight w:val="none"/>
        </w:rPr>
        <w:t>成交人与采购人应严格按照国家财政部《关于进一步加强政府采购需求和履约验收管理的指导意见》（</w:t>
      </w:r>
      <w:r>
        <w:rPr>
          <w:rFonts w:hint="eastAsia" w:ascii="宋体" w:hAnsi="宋体" w:eastAsia="宋体" w:cs="宋体"/>
          <w:color w:val="auto"/>
          <w:sz w:val="24"/>
          <w:szCs w:val="24"/>
          <w:highlight w:val="none"/>
          <w:shd w:val="clear" w:color="auto" w:fill="FFFFFF"/>
        </w:rPr>
        <w:t>财库〔2016〕205号</w:t>
      </w:r>
      <w:r>
        <w:rPr>
          <w:rFonts w:hint="eastAsia" w:ascii="宋体" w:hAnsi="宋体" w:eastAsia="宋体" w:cs="宋体"/>
          <w:color w:val="auto"/>
          <w:sz w:val="24"/>
          <w:szCs w:val="24"/>
          <w:highlight w:val="none"/>
        </w:rPr>
        <w:t>）的要求进行验收。</w:t>
      </w:r>
      <w:bookmarkEnd w:id="155"/>
    </w:p>
    <w:p w14:paraId="158F1121">
      <w:pPr>
        <w:pStyle w:val="3"/>
        <w:pageBreakBefore w:val="0"/>
        <w:widowControl w:val="0"/>
        <w:kinsoku/>
        <w:wordWrap/>
        <w:overflowPunct/>
        <w:topLinePunct w:val="0"/>
        <w:autoSpaceDE/>
        <w:autoSpaceDN/>
        <w:bidi w:val="0"/>
        <w:spacing w:before="0" w:after="0" w:line="360" w:lineRule="auto"/>
        <w:jc w:val="center"/>
        <w:textAlignment w:val="auto"/>
        <w:rPr>
          <w:rFonts w:hint="eastAsia" w:ascii="宋体" w:hAnsi="宋体" w:eastAsia="宋体" w:cs="宋体"/>
          <w:color w:val="auto"/>
          <w:sz w:val="24"/>
          <w:szCs w:val="24"/>
          <w:highlight w:val="none"/>
        </w:rPr>
      </w:pPr>
      <w:bookmarkStart w:id="156" w:name="_Toc12159"/>
      <w:bookmarkStart w:id="157" w:name="_Toc31150"/>
      <w:r>
        <w:rPr>
          <w:rFonts w:hint="eastAsia" w:ascii="宋体" w:hAnsi="宋体" w:eastAsia="宋体" w:cs="宋体"/>
          <w:color w:val="auto"/>
          <w:sz w:val="24"/>
          <w:szCs w:val="24"/>
          <w:highlight w:val="none"/>
        </w:rPr>
        <w:t>七、磋商纪律要求</w:t>
      </w:r>
      <w:bookmarkEnd w:id="138"/>
      <w:bookmarkEnd w:id="156"/>
      <w:bookmarkEnd w:id="157"/>
    </w:p>
    <w:p w14:paraId="126F607A">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bCs w:val="0"/>
          <w:color w:val="auto"/>
          <w:sz w:val="24"/>
          <w:szCs w:val="24"/>
          <w:highlight w:val="none"/>
        </w:rPr>
      </w:pPr>
      <w:bookmarkStart w:id="158" w:name="_Toc217446075"/>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eastAsia="宋体" w:cs="宋体"/>
          <w:bCs w:val="0"/>
          <w:color w:val="auto"/>
          <w:sz w:val="24"/>
          <w:szCs w:val="24"/>
          <w:highlight w:val="none"/>
        </w:rPr>
        <w:t>供应商不得具有的情形</w:t>
      </w:r>
      <w:bookmarkEnd w:id="158"/>
    </w:p>
    <w:p w14:paraId="1A03A13A">
      <w:pPr>
        <w:pStyle w:val="6"/>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供应商参加磋商不得有下列情形：</w:t>
      </w:r>
    </w:p>
    <w:p w14:paraId="44B3B3BA">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（1）提供虚假材料谋取成交；</w:t>
      </w:r>
    </w:p>
    <w:p w14:paraId="6B378374">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（2）采取不正当手段诋毁、排挤其他供应商；</w:t>
      </w:r>
    </w:p>
    <w:p w14:paraId="2701463E">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（3）与采购单位、其他供应商恶意串通；</w:t>
      </w:r>
    </w:p>
    <w:p w14:paraId="0571B213">
      <w:pPr>
        <w:pStyle w:val="6"/>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（4）向采购单位、磋商小组成员行贿或者提供其他不正当利益；</w:t>
      </w:r>
    </w:p>
    <w:p w14:paraId="2D9C23E5">
      <w:pPr>
        <w:pStyle w:val="6"/>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（5）拒绝有关部门的监督检查或者向监督检查部门提供虚假情况。</w:t>
      </w:r>
    </w:p>
    <w:p w14:paraId="19C85BD3">
      <w:pPr>
        <w:pStyle w:val="6"/>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有上述情形之一的供应商，属于不合格供应商，其磋商或成交资格将被取消。</w:t>
      </w:r>
    </w:p>
    <w:p w14:paraId="511F3BD3">
      <w:pPr>
        <w:pStyle w:val="3"/>
        <w:pageBreakBefore w:val="0"/>
        <w:widowControl w:val="0"/>
        <w:kinsoku/>
        <w:wordWrap/>
        <w:overflowPunct/>
        <w:topLinePunct w:val="0"/>
        <w:autoSpaceDE/>
        <w:autoSpaceDN/>
        <w:bidi w:val="0"/>
        <w:spacing w:before="0" w:after="0" w:line="360" w:lineRule="auto"/>
        <w:jc w:val="center"/>
        <w:textAlignment w:val="auto"/>
        <w:rPr>
          <w:rFonts w:hint="eastAsia" w:ascii="宋体" w:hAnsi="宋体" w:eastAsia="宋体" w:cs="宋体"/>
          <w:b w:val="0"/>
          <w:bCs w:val="0"/>
          <w:color w:val="auto"/>
          <w:sz w:val="24"/>
          <w:szCs w:val="24"/>
          <w:highlight w:val="none"/>
        </w:rPr>
      </w:pPr>
      <w:bookmarkStart w:id="159" w:name="_Toc217446076"/>
      <w:bookmarkStart w:id="160" w:name="_Toc20130"/>
      <w:bookmarkStart w:id="161" w:name="_Toc22959"/>
      <w:r>
        <w:rPr>
          <w:rFonts w:hint="eastAsia" w:ascii="宋体" w:hAnsi="宋体" w:eastAsia="宋体" w:cs="宋体"/>
          <w:color w:val="auto"/>
          <w:sz w:val="24"/>
          <w:szCs w:val="24"/>
          <w:highlight w:val="none"/>
        </w:rPr>
        <w:t>八、</w:t>
      </w:r>
      <w:bookmarkEnd w:id="159"/>
      <w:r>
        <w:rPr>
          <w:rFonts w:hint="eastAsia" w:ascii="宋体" w:hAnsi="宋体" w:eastAsia="宋体" w:cs="宋体"/>
          <w:color w:val="auto"/>
          <w:sz w:val="24"/>
          <w:szCs w:val="24"/>
          <w:highlight w:val="none"/>
        </w:rPr>
        <w:t>合同价款支付</w:t>
      </w:r>
      <w:bookmarkEnd w:id="160"/>
      <w:bookmarkEnd w:id="161"/>
    </w:p>
    <w:p w14:paraId="6DDBF416">
      <w:pPr>
        <w:pStyle w:val="4"/>
        <w:pageBreakBefore w:val="0"/>
        <w:widowControl w:val="0"/>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b w:val="0"/>
          <w:color w:val="auto"/>
          <w:sz w:val="24"/>
          <w:szCs w:val="24"/>
          <w:highlight w:val="none"/>
        </w:rPr>
      </w:pPr>
      <w:bookmarkStart w:id="162" w:name="_Toc217446077"/>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w:t>
      </w:r>
      <w:r>
        <w:rPr>
          <w:rFonts w:hint="eastAsia" w:ascii="宋体" w:hAnsi="宋体" w:eastAsia="宋体" w:cs="宋体"/>
          <w:b w:val="0"/>
          <w:color w:val="auto"/>
          <w:sz w:val="24"/>
          <w:szCs w:val="24"/>
          <w:highlight w:val="none"/>
        </w:rPr>
        <w:t xml:space="preserve"> 申请支付</w:t>
      </w:r>
      <w:bookmarkEnd w:id="162"/>
    </w:p>
    <w:p w14:paraId="5BAA01C4">
      <w:pPr>
        <w:pStyle w:val="6"/>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.1采购项目验收合格，采购人签署《验收结算书》后，向财政部门提出支付申请。采购人的自有资金，由采购人直接支付给成交人或者按照有关规定执行。</w:t>
      </w:r>
    </w:p>
    <w:p w14:paraId="1476DF89">
      <w:pPr>
        <w:pStyle w:val="6"/>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.2 财政部门根据采购人的支付申请，并对采购合同进行审核后，直接将集中支付合同价款支付给成交人。</w:t>
      </w:r>
      <w:bookmarkEnd w:id="139"/>
      <w:bookmarkEnd w:id="140"/>
    </w:p>
    <w:p w14:paraId="602488BA">
      <w:pPr>
        <w:pStyle w:val="3"/>
        <w:pageBreakBefore w:val="0"/>
        <w:widowControl w:val="0"/>
        <w:kinsoku/>
        <w:wordWrap/>
        <w:overflowPunct/>
        <w:topLinePunct w:val="0"/>
        <w:autoSpaceDE/>
        <w:autoSpaceDN/>
        <w:bidi w:val="0"/>
        <w:spacing w:before="0" w:after="0" w:line="360" w:lineRule="auto"/>
        <w:jc w:val="center"/>
        <w:textAlignment w:val="auto"/>
        <w:rPr>
          <w:rFonts w:hint="eastAsia" w:ascii="宋体" w:hAnsi="宋体" w:eastAsia="宋体" w:cs="宋体"/>
          <w:color w:val="auto"/>
          <w:sz w:val="24"/>
          <w:szCs w:val="24"/>
          <w:highlight w:val="none"/>
        </w:rPr>
      </w:pPr>
      <w:bookmarkStart w:id="163" w:name="_Toc30402"/>
      <w:bookmarkStart w:id="164" w:name="_Toc20941"/>
      <w:r>
        <w:rPr>
          <w:rFonts w:hint="eastAsia" w:ascii="宋体" w:hAnsi="宋体" w:eastAsia="宋体" w:cs="宋体"/>
          <w:color w:val="auto"/>
          <w:sz w:val="24"/>
          <w:szCs w:val="24"/>
          <w:highlight w:val="none"/>
        </w:rPr>
        <w:t>九、质疑和投诉</w:t>
      </w:r>
      <w:bookmarkEnd w:id="163"/>
      <w:bookmarkEnd w:id="164"/>
    </w:p>
    <w:p w14:paraId="64D739D8">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．质疑、投诉的接收和处理严格按照《中华人共和国政府采购法》、《政府采购质疑和投诉办法》、《财政部关于加强政府采购供应商投诉受理审查工作的通知》的规定办理。</w:t>
      </w:r>
    </w:p>
    <w:p w14:paraId="223D9340">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供应商认为采购文件、采购过程和成交、成交结果使自己的权益受到损害的，可以在知道或者应知其权益受到损害之日起七个工作日内，以书面形式向采购人提出质疑。针对同一采购环节的质疑应一次性提出，提出质疑的供应商应当是参与所质疑项目磋商活动的供应商。</w:t>
      </w:r>
    </w:p>
    <w:p w14:paraId="1B6306A6">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.2潜在供应商已依法获取其可质疑的采购文件的，可以对该文件提出质疑。对采购文件提出质疑的，应当在获取采购文件或者采购文件公告期限届满之日起7个工作日内提出。</w:t>
      </w:r>
    </w:p>
    <w:p w14:paraId="05AA6F18">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7A00CD5">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代理人提出质疑和投诉，应当提交供应商签署的授权委托书。</w:t>
      </w:r>
    </w:p>
    <w:p w14:paraId="1D367C7C">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.4供应商提出质疑应当提交质疑函和必要的证明材料。质疑函应当包括下列内容：</w:t>
      </w:r>
    </w:p>
    <w:p w14:paraId="6912B895">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（一）供应商的姓名或者名称、地址、邮编、联系人及联系电话；</w:t>
      </w:r>
    </w:p>
    <w:p w14:paraId="6D94EC13">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72F9521C">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（三）具体、明确的质疑事项和与质疑事项相关的请求；</w:t>
      </w:r>
    </w:p>
    <w:p w14:paraId="20BE9D82">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5B670BC0">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（五）必要的法律依据；</w:t>
      </w:r>
    </w:p>
    <w:p w14:paraId="15C0CBFC">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0A293778">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供应商为自然人的，应当由本人签字；供应商为法人或者其他组织的，应当由法定代表人、主要负责人或者其被授权人签字或盖章，并加盖公章。</w:t>
      </w:r>
    </w:p>
    <w:p w14:paraId="185892F5">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接收质疑函的方式：书面形式</w:t>
      </w:r>
    </w:p>
    <w:p w14:paraId="7CE66510">
      <w:pPr>
        <w:pStyle w:val="6"/>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联系部门：新疆拓源工程管理咨询有限公司招标部</w:t>
      </w:r>
    </w:p>
    <w:p w14:paraId="18AE37D3">
      <w:pPr>
        <w:pStyle w:val="6"/>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联系人：金山虎、黄莎莎</w:t>
      </w:r>
    </w:p>
    <w:p w14:paraId="001B3532">
      <w:pPr>
        <w:pStyle w:val="6"/>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联系电话：13209920205、15099530785</w:t>
      </w:r>
    </w:p>
    <w:p w14:paraId="2155BC2C">
      <w:pPr>
        <w:pStyle w:val="6"/>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通讯地址：乌鲁木齐市水磨沟区龙盛街898号万科中央公园S6栋5层</w:t>
      </w:r>
    </w:p>
    <w:p w14:paraId="4EF63A79">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.5质疑供应商对采购人、采购代理机构的答复不满意，或者采购人、采购代理机构未在规定时间内作出答复的，可以在答复期满后15个工作日内向本办法第六条规定的财政部门提起投诉。</w:t>
      </w:r>
    </w:p>
    <w:p w14:paraId="6244C8C6">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.6投诉人投诉时，应当提交投诉书和必要的证明材料，并按照被投诉采购人、采购代理机构（以下简称被投诉人）和与投诉事项有关的供应商数量提供投诉书的副本。投诉书应当包括下列内容：</w:t>
      </w:r>
    </w:p>
    <w:p w14:paraId="37E71370">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（一）投诉人和被投诉人的姓名或者名称、通讯地址、邮编、联系人及联系电话；</w:t>
      </w:r>
    </w:p>
    <w:p w14:paraId="4E3E5127">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（二）质疑和质疑答复情况说明及相关证明材料；</w:t>
      </w:r>
    </w:p>
    <w:p w14:paraId="1A382A9C">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（三）具体、明确的投诉事项和与投诉事项相关的投诉请求；</w:t>
      </w:r>
    </w:p>
    <w:p w14:paraId="4408E533">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1EE1CAC1">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3812ABC2">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（六）提起投诉的日期。</w:t>
      </w:r>
    </w:p>
    <w:p w14:paraId="4333EB8E">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4AF0AD0E">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.7投诉人应当根据《政府采购质疑和投诉办法》第七条第二款规定的信息内容，并按照其规定的方式提起投诉。</w:t>
      </w:r>
    </w:p>
    <w:p w14:paraId="015E91D8">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投诉人提起投诉应当符合下列条件：</w:t>
      </w:r>
    </w:p>
    <w:p w14:paraId="6AF5E966">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（一）提起投诉前已依法进行质疑；</w:t>
      </w:r>
    </w:p>
    <w:p w14:paraId="1F6F06CF">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（二）投诉书内容符合本办法的规定；</w:t>
      </w:r>
    </w:p>
    <w:p w14:paraId="5E44A3E8">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（三）在投诉有效期限内提起投诉；</w:t>
      </w:r>
    </w:p>
    <w:p w14:paraId="48FA81C1">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（四）同一投诉事项未经财政部门投诉处理；</w:t>
      </w:r>
    </w:p>
    <w:p w14:paraId="6E0A9DE3">
      <w:pPr>
        <w:pStyle w:val="14"/>
        <w:pageBreakBefore w:val="0"/>
        <w:widowControl w:val="0"/>
        <w:kinsoku/>
        <w:wordWrap/>
        <w:overflowPunct/>
        <w:topLinePunct w:val="0"/>
        <w:autoSpaceDE/>
        <w:autoSpaceDN/>
        <w:bidi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（五）财政部规定的其他条件。</w:t>
      </w:r>
    </w:p>
    <w:p w14:paraId="125BFB1D">
      <w:pPr>
        <w:pStyle w:val="28"/>
        <w:spacing w:line="360" w:lineRule="auto"/>
        <w:rPr>
          <w:rFonts w:hint="eastAsia" w:ascii="宋体" w:hAnsi="宋体" w:eastAsia="宋体" w:cs="宋体"/>
          <w:color w:val="auto"/>
          <w:sz w:val="24"/>
          <w:szCs w:val="24"/>
          <w:highlight w:val="none"/>
        </w:rPr>
      </w:pPr>
    </w:p>
    <w:p w14:paraId="420F2E7B">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4EEF8F0C">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14:paraId="3454F944">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w:t>
      </w:r>
      <w:r>
        <w:rPr>
          <w:rFonts w:hint="eastAsia" w:ascii="宋体" w:hAnsi="宋体" w:eastAsia="宋体" w:cs="宋体"/>
          <w:color w:val="auto"/>
          <w:sz w:val="24"/>
          <w:szCs w:val="24"/>
          <w:highlight w:val="none"/>
          <w:shd w:val="clear" w:color="auto" w:fill="FFFFFF"/>
        </w:rPr>
        <w:t>供应商</w:t>
      </w:r>
      <w:r>
        <w:rPr>
          <w:rFonts w:hint="eastAsia" w:ascii="宋体" w:hAnsi="宋体" w:eastAsia="宋体" w:cs="宋体"/>
          <w:bCs/>
          <w:color w:val="auto"/>
          <w:sz w:val="24"/>
          <w:szCs w:val="24"/>
          <w:highlight w:val="none"/>
        </w:rPr>
        <w:t>基本信息</w:t>
      </w:r>
    </w:p>
    <w:p w14:paraId="6B0BDBFE">
      <w:pPr>
        <w:adjustRightInd w:val="0"/>
        <w:snapToGrid w:val="0"/>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shd w:val="clear" w:color="auto" w:fill="FFFFFF"/>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dotted"/>
        </w:rPr>
        <w:t xml:space="preserve">                                        </w:t>
      </w:r>
    </w:p>
    <w:p w14:paraId="0128E67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B7AFC1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1960CB93">
      <w:pPr>
        <w:adjustRightInd w:val="0"/>
        <w:snapToGrid w:val="0"/>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被授权人：</w:t>
      </w:r>
      <w:r>
        <w:rPr>
          <w:rFonts w:hint="eastAsia" w:ascii="宋体" w:hAnsi="宋体" w:eastAsia="宋体" w:cs="宋体"/>
          <w:color w:val="auto"/>
          <w:sz w:val="24"/>
          <w:szCs w:val="24"/>
          <w:highlight w:val="none"/>
          <w:u w:val="dotted"/>
        </w:rPr>
        <w:t xml:space="preserve">                                          </w:t>
      </w:r>
    </w:p>
    <w:p w14:paraId="3E7ED21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1F6BFB6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692EEA0">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4726314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53EFEFD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0A77DE63">
      <w:pPr>
        <w:adjustRightInd w:val="0"/>
        <w:snapToGrid w:val="0"/>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7986BCA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2016D1B5">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51C844FA">
      <w:pPr>
        <w:adjustRightInd w:val="0"/>
        <w:snapToGrid w:val="0"/>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674D8B91">
      <w:pPr>
        <w:adjustRightInd w:val="0"/>
        <w:snapToGrid w:val="0"/>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21F309B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1020CEE0">
      <w:pPr>
        <w:adjustRightInd w:val="0"/>
        <w:snapToGrid w:val="0"/>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0DF611D7">
      <w:pPr>
        <w:adjustRightInd w:val="0"/>
        <w:snapToGrid w:val="0"/>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3FFE19C9">
      <w:pPr>
        <w:adjustRightInd w:val="0"/>
        <w:snapToGrid w:val="0"/>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2D69A95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D452F1D">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03B3C92F">
      <w:pPr>
        <w:adjustRightInd w:val="0"/>
        <w:snapToGrid w:val="0"/>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4623F51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3C386B0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0B4A227F">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392A5A68">
      <w:pPr>
        <w:spacing w:line="360" w:lineRule="auto"/>
        <w:ind w:firstLine="482" w:firstLineChars="200"/>
        <w:jc w:val="center"/>
        <w:rPr>
          <w:rFonts w:hint="eastAsia" w:ascii="宋体" w:hAnsi="宋体" w:eastAsia="宋体" w:cs="宋体"/>
          <w:b/>
          <w:bCs/>
          <w:color w:val="auto"/>
          <w:sz w:val="24"/>
          <w:szCs w:val="24"/>
          <w:highlight w:val="none"/>
        </w:rPr>
      </w:pPr>
    </w:p>
    <w:p w14:paraId="5CA2C0EC">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770A1D7C">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shd w:val="clear" w:color="auto" w:fill="FFFFFF"/>
        </w:rPr>
        <w:t>供应商</w:t>
      </w:r>
      <w:r>
        <w:rPr>
          <w:rFonts w:hint="eastAsia" w:ascii="宋体" w:hAnsi="宋体" w:eastAsia="宋体" w:cs="宋体"/>
          <w:color w:val="auto"/>
          <w:sz w:val="24"/>
          <w:szCs w:val="24"/>
          <w:highlight w:val="none"/>
        </w:rPr>
        <w:t>提出质疑时，应提交质疑函和必要的证明材料。</w:t>
      </w:r>
    </w:p>
    <w:p w14:paraId="4D64C37F">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w:t>
      </w:r>
      <w:r>
        <w:rPr>
          <w:rFonts w:hint="eastAsia" w:ascii="宋体" w:hAnsi="宋体" w:eastAsia="宋体" w:cs="宋体"/>
          <w:color w:val="auto"/>
          <w:sz w:val="24"/>
          <w:szCs w:val="24"/>
          <w:highlight w:val="none"/>
          <w:shd w:val="clear" w:color="auto" w:fill="FFFFFF"/>
        </w:rPr>
        <w:t>供应商</w:t>
      </w:r>
      <w:r>
        <w:rPr>
          <w:rFonts w:hint="eastAsia" w:ascii="宋体" w:hAnsi="宋体" w:eastAsia="宋体" w:cs="宋体"/>
          <w:color w:val="auto"/>
          <w:sz w:val="24"/>
          <w:szCs w:val="24"/>
          <w:highlight w:val="none"/>
        </w:rPr>
        <w:t>若委托代理人进行质疑的，质疑函应按要求列明“被授权人”的有关内容，并在附件中提交由质疑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2BCB732C">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w:t>
      </w:r>
      <w:r>
        <w:rPr>
          <w:rFonts w:hint="eastAsia" w:ascii="宋体" w:hAnsi="宋体" w:eastAsia="宋体" w:cs="宋体"/>
          <w:color w:val="auto"/>
          <w:sz w:val="24"/>
          <w:szCs w:val="24"/>
          <w:highlight w:val="none"/>
          <w:shd w:val="clear" w:color="auto" w:fill="FFFFFF"/>
        </w:rPr>
        <w:t>供应商</w:t>
      </w:r>
      <w:r>
        <w:rPr>
          <w:rFonts w:hint="eastAsia" w:ascii="宋体" w:hAnsi="宋体" w:eastAsia="宋体" w:cs="宋体"/>
          <w:color w:val="auto"/>
          <w:sz w:val="24"/>
          <w:szCs w:val="24"/>
          <w:highlight w:val="none"/>
        </w:rPr>
        <w:t>若对项目的某一分包进行质疑，质疑函中应列明具体分包号。</w:t>
      </w:r>
    </w:p>
    <w:p w14:paraId="4B8E8A9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550391FC">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002B8B0D">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w:t>
      </w:r>
      <w:r>
        <w:rPr>
          <w:rFonts w:hint="eastAsia" w:ascii="宋体" w:hAnsi="宋体" w:eastAsia="宋体" w:cs="宋体"/>
          <w:color w:val="auto"/>
          <w:sz w:val="24"/>
          <w:szCs w:val="24"/>
          <w:highlight w:val="none"/>
          <w:shd w:val="clear" w:color="auto" w:fill="FFFFFF"/>
        </w:rPr>
        <w:t>供应商</w:t>
      </w:r>
      <w:r>
        <w:rPr>
          <w:rFonts w:hint="eastAsia" w:ascii="宋体" w:hAnsi="宋体" w:eastAsia="宋体" w:cs="宋体"/>
          <w:color w:val="auto"/>
          <w:sz w:val="24"/>
          <w:szCs w:val="24"/>
          <w:highlight w:val="none"/>
        </w:rPr>
        <w:t>为自然人的，质疑函应由本人签字；质疑</w:t>
      </w:r>
      <w:r>
        <w:rPr>
          <w:rFonts w:hint="eastAsia" w:ascii="宋体" w:hAnsi="宋体" w:eastAsia="宋体" w:cs="宋体"/>
          <w:color w:val="auto"/>
          <w:sz w:val="24"/>
          <w:szCs w:val="24"/>
          <w:highlight w:val="none"/>
          <w:shd w:val="clear" w:color="auto" w:fill="FFFFFF"/>
        </w:rPr>
        <w:t>供应商</w:t>
      </w:r>
      <w:r>
        <w:rPr>
          <w:rFonts w:hint="eastAsia" w:ascii="宋体" w:hAnsi="宋体" w:eastAsia="宋体" w:cs="宋体"/>
          <w:color w:val="auto"/>
          <w:sz w:val="24"/>
          <w:szCs w:val="24"/>
          <w:highlight w:val="none"/>
        </w:rPr>
        <w:t>为法人或者其他组织的，质疑函应由法定代表人、主要负责人或者其被授权人签字或者盖章，并加盖公章。</w:t>
      </w:r>
    </w:p>
    <w:p w14:paraId="55E883B1">
      <w:pPr>
        <w:spacing w:line="360" w:lineRule="auto"/>
        <w:jc w:val="center"/>
        <w:rPr>
          <w:rFonts w:hint="eastAsia" w:ascii="宋体" w:hAnsi="宋体" w:eastAsia="宋体" w:cs="宋体"/>
          <w:color w:val="auto"/>
          <w:sz w:val="24"/>
          <w:szCs w:val="24"/>
          <w:highlight w:val="none"/>
        </w:rPr>
      </w:pPr>
    </w:p>
    <w:p w14:paraId="2DA4F4E5">
      <w:pPr>
        <w:pStyle w:val="2"/>
        <w:bidi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bookmarkStart w:id="165" w:name="_Toc27638"/>
      <w:bookmarkStart w:id="166" w:name="_Toc12377"/>
      <w:bookmarkStart w:id="167" w:name="_Toc18799"/>
      <w:bookmarkStart w:id="168" w:name="_Toc15170"/>
      <w:r>
        <w:rPr>
          <w:rFonts w:hint="eastAsia"/>
        </w:rPr>
        <w:t>第三章 响应文件格式</w:t>
      </w:r>
      <w:bookmarkEnd w:id="60"/>
      <w:bookmarkEnd w:id="165"/>
      <w:bookmarkEnd w:id="166"/>
      <w:bookmarkEnd w:id="167"/>
      <w:bookmarkEnd w:id="168"/>
    </w:p>
    <w:p w14:paraId="3A5A7939">
      <w:pPr>
        <w:spacing w:line="360" w:lineRule="auto"/>
        <w:rPr>
          <w:rFonts w:hint="eastAsia" w:ascii="宋体" w:hAnsi="宋体" w:eastAsia="宋体" w:cs="宋体"/>
          <w:color w:val="auto"/>
          <w:sz w:val="24"/>
          <w:szCs w:val="24"/>
          <w:highlight w:val="none"/>
          <w:u w:val="single"/>
        </w:rPr>
      </w:pPr>
      <w:bookmarkStart w:id="169" w:name="_Toc31271_WPSOffice_Level1"/>
      <w:r>
        <w:rPr>
          <w:rFonts w:hint="eastAsia" w:ascii="宋体" w:hAnsi="宋体" w:eastAsia="宋体" w:cs="宋体"/>
          <w:color w:val="auto"/>
          <w:sz w:val="24"/>
          <w:szCs w:val="24"/>
          <w:highlight w:val="none"/>
          <w:u w:val="single"/>
        </w:rPr>
        <w:t>响应文件封面示例</w:t>
      </w:r>
    </w:p>
    <w:p w14:paraId="71A338C2">
      <w:pPr>
        <w:spacing w:line="360" w:lineRule="auto"/>
        <w:jc w:val="righ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bdr w:val="single" w:color="auto" w:sz="4" w:space="0"/>
        </w:rPr>
        <w:t>正本/副本</w:t>
      </w:r>
    </w:p>
    <w:p w14:paraId="760BB177">
      <w:pPr>
        <w:spacing w:line="360" w:lineRule="auto"/>
        <w:rPr>
          <w:rFonts w:hint="eastAsia" w:ascii="宋体" w:hAnsi="宋体" w:eastAsia="宋体" w:cs="宋体"/>
          <w:b/>
          <w:color w:val="auto"/>
          <w:sz w:val="24"/>
          <w:szCs w:val="24"/>
          <w:highlight w:val="none"/>
        </w:rPr>
      </w:pPr>
    </w:p>
    <w:p w14:paraId="77E7463F">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w:t>
      </w:r>
    </w:p>
    <w:p w14:paraId="4257DE5B">
      <w:pPr>
        <w:pStyle w:val="11"/>
        <w:spacing w:line="360" w:lineRule="auto"/>
        <w:jc w:val="center"/>
        <w:rPr>
          <w:rFonts w:hint="eastAsia" w:ascii="宋体" w:hAnsi="宋体" w:eastAsia="宋体" w:cs="宋体"/>
          <w:color w:val="auto"/>
          <w:sz w:val="24"/>
          <w:szCs w:val="24"/>
          <w:highlight w:val="none"/>
        </w:rPr>
      </w:pPr>
    </w:p>
    <w:p w14:paraId="32DE49AE">
      <w:pPr>
        <w:spacing w:line="360" w:lineRule="auto"/>
        <w:rPr>
          <w:rFonts w:hint="eastAsia" w:ascii="宋体" w:hAnsi="宋体" w:eastAsia="宋体" w:cs="宋体"/>
          <w:b/>
          <w:color w:val="auto"/>
          <w:sz w:val="24"/>
          <w:szCs w:val="24"/>
          <w:highlight w:val="none"/>
        </w:rPr>
      </w:pPr>
    </w:p>
    <w:p w14:paraId="39D9398F">
      <w:pPr>
        <w:pStyle w:val="11"/>
        <w:spacing w:after="0" w:line="360" w:lineRule="auto"/>
        <w:rPr>
          <w:rFonts w:hint="eastAsia" w:ascii="宋体" w:hAnsi="宋体" w:eastAsia="宋体" w:cs="宋体"/>
          <w:b/>
          <w:color w:val="auto"/>
          <w:sz w:val="24"/>
          <w:szCs w:val="24"/>
          <w:highlight w:val="none"/>
        </w:rPr>
      </w:pPr>
    </w:p>
    <w:p w14:paraId="2B0D80CC">
      <w:pPr>
        <w:pStyle w:val="27"/>
        <w:spacing w:after="0" w:line="360" w:lineRule="auto"/>
        <w:ind w:firstLine="0" w:firstLineChars="0"/>
        <w:rPr>
          <w:rFonts w:hint="eastAsia" w:ascii="宋体" w:hAnsi="宋体" w:eastAsia="宋体" w:cs="宋体"/>
          <w:b/>
          <w:color w:val="auto"/>
          <w:sz w:val="24"/>
          <w:szCs w:val="24"/>
          <w:highlight w:val="none"/>
        </w:rPr>
      </w:pPr>
    </w:p>
    <w:p w14:paraId="56ADBD26">
      <w:pPr>
        <w:pStyle w:val="27"/>
        <w:spacing w:after="0" w:line="360" w:lineRule="auto"/>
        <w:ind w:firstLine="241"/>
        <w:rPr>
          <w:rFonts w:hint="eastAsia" w:ascii="宋体" w:hAnsi="宋体" w:eastAsia="宋体" w:cs="宋体"/>
          <w:b/>
          <w:color w:val="auto"/>
          <w:sz w:val="24"/>
          <w:szCs w:val="24"/>
          <w:highlight w:val="none"/>
        </w:rPr>
      </w:pPr>
    </w:p>
    <w:p w14:paraId="33BD9379">
      <w:pPr>
        <w:pStyle w:val="27"/>
        <w:spacing w:after="0" w:line="360" w:lineRule="auto"/>
        <w:ind w:firstLine="0" w:firstLineChars="0"/>
        <w:rPr>
          <w:rFonts w:hint="eastAsia" w:ascii="宋体" w:hAnsi="宋体" w:eastAsia="宋体" w:cs="宋体"/>
          <w:b/>
          <w:color w:val="auto"/>
          <w:sz w:val="24"/>
          <w:szCs w:val="24"/>
          <w:highlight w:val="none"/>
        </w:rPr>
      </w:pPr>
    </w:p>
    <w:p w14:paraId="4FB89E6B">
      <w:pPr>
        <w:spacing w:line="360" w:lineRule="auto"/>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p w14:paraId="780D0052">
      <w:pPr>
        <w:spacing w:line="360" w:lineRule="auto"/>
        <w:ind w:firstLine="504"/>
        <w:rPr>
          <w:rFonts w:hint="eastAsia" w:ascii="宋体" w:hAnsi="宋体" w:eastAsia="宋体" w:cs="宋体"/>
          <w:b/>
          <w:color w:val="auto"/>
          <w:sz w:val="24"/>
          <w:szCs w:val="24"/>
          <w:highlight w:val="none"/>
        </w:rPr>
      </w:pPr>
    </w:p>
    <w:p w14:paraId="45E652B8">
      <w:pPr>
        <w:spacing w:line="360" w:lineRule="auto"/>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项目编号：           </w:t>
      </w:r>
    </w:p>
    <w:p w14:paraId="4CB8C431">
      <w:pPr>
        <w:spacing w:line="360" w:lineRule="auto"/>
        <w:ind w:firstLine="504"/>
        <w:rPr>
          <w:rFonts w:hint="eastAsia" w:ascii="宋体" w:hAnsi="宋体" w:eastAsia="宋体" w:cs="宋体"/>
          <w:b/>
          <w:color w:val="auto"/>
          <w:sz w:val="24"/>
          <w:szCs w:val="24"/>
          <w:highlight w:val="none"/>
        </w:rPr>
      </w:pPr>
    </w:p>
    <w:p w14:paraId="3A696D18">
      <w:pPr>
        <w:spacing w:line="360" w:lineRule="auto"/>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供应商名称（盖章）：</w:t>
      </w:r>
    </w:p>
    <w:p w14:paraId="5D03B285">
      <w:pPr>
        <w:spacing w:line="360" w:lineRule="auto"/>
        <w:ind w:firstLine="504"/>
        <w:rPr>
          <w:rFonts w:hint="eastAsia" w:ascii="宋体" w:hAnsi="宋体" w:eastAsia="宋体" w:cs="宋体"/>
          <w:b/>
          <w:color w:val="auto"/>
          <w:sz w:val="24"/>
          <w:szCs w:val="24"/>
          <w:highlight w:val="none"/>
        </w:rPr>
      </w:pPr>
    </w:p>
    <w:p w14:paraId="6933E159">
      <w:pPr>
        <w:spacing w:line="360" w:lineRule="auto"/>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被授权人（签字或盖章）：</w:t>
      </w:r>
    </w:p>
    <w:p w14:paraId="4D7BED04">
      <w:pPr>
        <w:spacing w:line="360" w:lineRule="auto"/>
        <w:ind w:firstLine="504"/>
        <w:rPr>
          <w:rFonts w:hint="eastAsia" w:ascii="宋体" w:hAnsi="宋体" w:eastAsia="宋体" w:cs="宋体"/>
          <w:b/>
          <w:color w:val="auto"/>
          <w:sz w:val="24"/>
          <w:szCs w:val="24"/>
          <w:highlight w:val="none"/>
        </w:rPr>
      </w:pPr>
    </w:p>
    <w:p w14:paraId="34F49D66">
      <w:pPr>
        <w:spacing w:line="360" w:lineRule="auto"/>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项目联系人：</w:t>
      </w:r>
    </w:p>
    <w:p w14:paraId="0007D4A9">
      <w:pPr>
        <w:spacing w:line="360" w:lineRule="auto"/>
        <w:ind w:firstLine="504"/>
        <w:rPr>
          <w:rFonts w:hint="eastAsia" w:ascii="宋体" w:hAnsi="宋体" w:eastAsia="宋体" w:cs="宋体"/>
          <w:b/>
          <w:color w:val="auto"/>
          <w:sz w:val="24"/>
          <w:szCs w:val="24"/>
          <w:highlight w:val="none"/>
        </w:rPr>
      </w:pPr>
    </w:p>
    <w:p w14:paraId="3C906182">
      <w:pPr>
        <w:spacing w:line="360" w:lineRule="auto"/>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联系电话：</w:t>
      </w:r>
    </w:p>
    <w:p w14:paraId="36F3839E">
      <w:pPr>
        <w:spacing w:line="360" w:lineRule="auto"/>
        <w:ind w:firstLine="504"/>
        <w:rPr>
          <w:rFonts w:hint="eastAsia" w:ascii="宋体" w:hAnsi="宋体" w:eastAsia="宋体" w:cs="宋体"/>
          <w:b/>
          <w:color w:val="auto"/>
          <w:sz w:val="24"/>
          <w:szCs w:val="24"/>
          <w:highlight w:val="none"/>
        </w:rPr>
      </w:pPr>
    </w:p>
    <w:p w14:paraId="177B24AD">
      <w:pPr>
        <w:spacing w:line="360" w:lineRule="auto"/>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编制时间：  年  月  日</w:t>
      </w:r>
    </w:p>
    <w:p w14:paraId="702AEE62">
      <w:pPr>
        <w:spacing w:line="360" w:lineRule="auto"/>
        <w:ind w:firstLine="504"/>
        <w:rPr>
          <w:rFonts w:hint="eastAsia" w:ascii="宋体" w:hAnsi="宋体" w:eastAsia="宋体" w:cs="宋体"/>
          <w:b/>
          <w:color w:val="auto"/>
          <w:sz w:val="24"/>
          <w:szCs w:val="24"/>
          <w:highlight w:val="none"/>
        </w:rPr>
      </w:pPr>
    </w:p>
    <w:p w14:paraId="394B5C9D">
      <w:pPr>
        <w:spacing w:line="360" w:lineRule="auto"/>
        <w:rPr>
          <w:rFonts w:hint="eastAsia" w:ascii="宋体" w:hAnsi="宋体" w:eastAsia="宋体" w:cs="宋体"/>
          <w:b/>
          <w:bCs/>
          <w:color w:val="auto"/>
          <w:sz w:val="24"/>
          <w:szCs w:val="24"/>
          <w:highlight w:val="none"/>
        </w:rPr>
      </w:pPr>
    </w:p>
    <w:bookmarkEnd w:id="169"/>
    <w:p w14:paraId="4FE192F0">
      <w:pPr>
        <w:rPr>
          <w:rFonts w:hint="eastAsia" w:ascii="宋体" w:hAnsi="宋体" w:eastAsia="宋体" w:cs="宋体"/>
          <w:b/>
          <w:bCs/>
          <w:color w:val="auto"/>
          <w:sz w:val="24"/>
          <w:szCs w:val="24"/>
          <w:highlight w:val="none"/>
        </w:rPr>
      </w:pPr>
      <w:bookmarkStart w:id="170" w:name="_Toc17884_WPSOffice_Level1"/>
      <w:r>
        <w:rPr>
          <w:rFonts w:hint="eastAsia" w:ascii="宋体" w:hAnsi="宋体" w:eastAsia="宋体" w:cs="宋体"/>
          <w:b/>
          <w:bCs/>
          <w:color w:val="auto"/>
          <w:sz w:val="24"/>
          <w:szCs w:val="24"/>
          <w:highlight w:val="none"/>
        </w:rPr>
        <w:br w:type="page"/>
      </w:r>
    </w:p>
    <w:p w14:paraId="688D0E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响应文件目录</w:t>
      </w:r>
    </w:p>
    <w:p w14:paraId="1CE4EDC4">
      <w:pPr>
        <w:spacing w:line="360" w:lineRule="auto"/>
        <w:rPr>
          <w:rFonts w:hint="eastAsia" w:ascii="宋体" w:hAnsi="宋体" w:eastAsia="宋体" w:cs="宋体"/>
          <w:color w:val="auto"/>
          <w:sz w:val="24"/>
          <w:szCs w:val="24"/>
          <w:highlight w:val="none"/>
        </w:rPr>
      </w:pPr>
    </w:p>
    <w:p w14:paraId="66B1076A">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一、响应函</w:t>
      </w:r>
    </w:p>
    <w:p w14:paraId="611C4BE2">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二、身份证明书及授权委托书</w:t>
      </w:r>
    </w:p>
    <w:p w14:paraId="45C1DEA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三、报价明细表</w:t>
      </w:r>
    </w:p>
    <w:p w14:paraId="6B36698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四、供应商基本情况表</w:t>
      </w:r>
    </w:p>
    <w:p w14:paraId="478A59AD">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五、近年类似项目情况表</w:t>
      </w:r>
    </w:p>
    <w:p w14:paraId="54D09708">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拟配备人员情况</w:t>
      </w:r>
    </w:p>
    <w:p w14:paraId="17D61C74">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、商务条款偏离表</w:t>
      </w:r>
    </w:p>
    <w:p w14:paraId="22F7BBF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、服务方案</w:t>
      </w:r>
    </w:p>
    <w:p w14:paraId="14CFC586">
      <w:pPr>
        <w:pStyle w:val="6"/>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、政府采购政策</w:t>
      </w:r>
    </w:p>
    <w:p w14:paraId="687487D4">
      <w:pPr>
        <w:pStyle w:val="6"/>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（一）中小企业声明函</w:t>
      </w:r>
    </w:p>
    <w:p w14:paraId="482C5EFA">
      <w:pPr>
        <w:pStyle w:val="6"/>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（二）残疾人福利性单位声明函（如有）</w:t>
      </w:r>
    </w:p>
    <w:p w14:paraId="671653D2">
      <w:pPr>
        <w:pStyle w:val="6"/>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（三）监狱企业证明文件（如有）</w:t>
      </w:r>
    </w:p>
    <w:p w14:paraId="2ACE916C">
      <w:pPr>
        <w:pStyle w:val="6"/>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）关于符合本国产品标准的声明函（如有）</w:t>
      </w:r>
    </w:p>
    <w:p w14:paraId="3E71ED64">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十、供应商认为需要提供的其他资料</w:t>
      </w:r>
    </w:p>
    <w:p w14:paraId="0A17225C">
      <w:pPr>
        <w:pStyle w:val="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（一）磋商保证金缴纳凭证</w:t>
      </w:r>
    </w:p>
    <w:p w14:paraId="22407466">
      <w:pPr>
        <w:pStyle w:val="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）其他</w:t>
      </w:r>
    </w:p>
    <w:p w14:paraId="47D67B13">
      <w:pPr>
        <w:spacing w:line="360" w:lineRule="auto"/>
        <w:rPr>
          <w:rFonts w:hint="eastAsia" w:ascii="宋体" w:hAnsi="宋体" w:eastAsia="宋体" w:cs="宋体"/>
          <w:b/>
          <w:color w:val="auto"/>
          <w:sz w:val="24"/>
          <w:szCs w:val="24"/>
          <w:highlight w:val="none"/>
        </w:rPr>
      </w:pPr>
    </w:p>
    <w:p w14:paraId="58960155">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备注：供应商应按以上目录顺序编排响应文件，并标注相应页码。</w:t>
      </w:r>
    </w:p>
    <w:p w14:paraId="5DC97097">
      <w:pPr>
        <w:spacing w:line="360" w:lineRule="auto"/>
        <w:jc w:val="center"/>
        <w:rPr>
          <w:rFonts w:hint="eastAsia" w:ascii="宋体" w:hAnsi="宋体" w:eastAsia="宋体" w:cs="宋体"/>
          <w:b/>
          <w:color w:val="auto"/>
          <w:sz w:val="24"/>
          <w:szCs w:val="24"/>
          <w:highlight w:val="none"/>
        </w:rPr>
      </w:pPr>
    </w:p>
    <w:p w14:paraId="14B763B8">
      <w:pPr>
        <w:spacing w:line="360" w:lineRule="auto"/>
        <w:jc w:val="center"/>
        <w:rPr>
          <w:rFonts w:hint="eastAsia" w:ascii="宋体" w:hAnsi="宋体" w:eastAsia="宋体" w:cs="宋体"/>
          <w:b/>
          <w:color w:val="auto"/>
          <w:sz w:val="24"/>
          <w:szCs w:val="24"/>
          <w:highlight w:val="none"/>
        </w:rPr>
      </w:pPr>
    </w:p>
    <w:p w14:paraId="033659D6">
      <w:pPr>
        <w:spacing w:line="360" w:lineRule="auto"/>
        <w:jc w:val="center"/>
        <w:rPr>
          <w:rFonts w:hint="eastAsia" w:ascii="宋体" w:hAnsi="宋体" w:eastAsia="宋体" w:cs="宋体"/>
          <w:b/>
          <w:color w:val="auto"/>
          <w:sz w:val="24"/>
          <w:szCs w:val="24"/>
          <w:highlight w:val="none"/>
        </w:rPr>
      </w:pPr>
    </w:p>
    <w:p w14:paraId="04B3DC1B">
      <w:pPr>
        <w:pStyle w:val="3"/>
        <w:spacing w:before="0" w:after="0" w:line="360" w:lineRule="auto"/>
        <w:jc w:val="center"/>
        <w:rPr>
          <w:rFonts w:hint="eastAsia" w:ascii="宋体" w:hAnsi="宋体" w:eastAsia="宋体" w:cs="宋体"/>
          <w:color w:val="auto"/>
          <w:sz w:val="24"/>
          <w:szCs w:val="24"/>
          <w:highlight w:val="none"/>
        </w:rPr>
      </w:pPr>
      <w:bookmarkStart w:id="171" w:name="_Toc21189"/>
      <w:r>
        <w:rPr>
          <w:rFonts w:hint="eastAsia" w:ascii="宋体" w:hAnsi="宋体" w:eastAsia="宋体" w:cs="宋体"/>
          <w:color w:val="auto"/>
          <w:sz w:val="24"/>
          <w:szCs w:val="24"/>
          <w:highlight w:val="none"/>
        </w:rPr>
        <w:br w:type="page"/>
      </w:r>
      <w:bookmarkEnd w:id="171"/>
      <w:bookmarkStart w:id="172" w:name="_Toc31466"/>
      <w:bookmarkStart w:id="173" w:name="_Toc2323"/>
      <w:r>
        <w:rPr>
          <w:rFonts w:hint="eastAsia" w:ascii="宋体" w:hAnsi="宋体" w:eastAsia="宋体" w:cs="宋体"/>
          <w:color w:val="auto"/>
          <w:sz w:val="24"/>
          <w:szCs w:val="24"/>
          <w:highlight w:val="none"/>
        </w:rPr>
        <w:t>一、响应函</w:t>
      </w:r>
      <w:bookmarkEnd w:id="172"/>
      <w:bookmarkEnd w:id="173"/>
    </w:p>
    <w:p w14:paraId="4C40A5DA">
      <w:pPr>
        <w:pStyle w:val="14"/>
        <w:spacing w:after="0"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________（采购人）：</w:t>
      </w:r>
    </w:p>
    <w:p w14:paraId="142089EF">
      <w:pPr>
        <w:pStyle w:val="14"/>
        <w:spacing w:after="0"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我方全面研究了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（项目名称、项目编号）”项目采购文件，决定参加贵单位组织的本项目磋商。我方授权</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（姓名、职务）代表我方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（供应商的名称）全权处理本项目磋商的有关事宜。</w:t>
      </w:r>
    </w:p>
    <w:p w14:paraId="170E4B6A">
      <w:pPr>
        <w:pStyle w:val="14"/>
        <w:spacing w:after="0"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1、我方自愿按照磋商文件规定的各项要求向采购人提供所需</w:t>
      </w:r>
      <w:r>
        <w:rPr>
          <w:rFonts w:hint="eastAsia" w:ascii="宋体" w:hAnsi="宋体" w:eastAsia="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，总价为人民币</w:t>
      </w:r>
      <w:r>
        <w:rPr>
          <w:rFonts w:hint="eastAsia" w:ascii="宋体" w:hAnsi="宋体" w:eastAsia="宋体" w:cs="宋体"/>
          <w:bCs/>
          <w:color w:val="auto"/>
          <w:sz w:val="24"/>
          <w:szCs w:val="24"/>
          <w:highlight w:val="none"/>
          <w:lang w:val="en-US" w:eastAsia="zh-CN"/>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lang w:eastAsia="zh-CN"/>
        </w:rPr>
        <w:t>（此次报价包括所投项目相关人工费、保险费、税费等所有技术和服务费用）</w:t>
      </w:r>
      <w:r>
        <w:rPr>
          <w:rFonts w:hint="eastAsia" w:ascii="宋体" w:hAnsi="宋体" w:eastAsia="宋体" w:cs="宋体"/>
          <w:bCs/>
          <w:color w:val="auto"/>
          <w:sz w:val="24"/>
          <w:szCs w:val="24"/>
          <w:highlight w:val="none"/>
        </w:rPr>
        <w:t>，磋商有效期</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744D1336">
      <w:pPr>
        <w:pStyle w:val="14"/>
        <w:spacing w:after="0"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2、一旦我方成交，我方将严格履行合同规定的责任和义务，</w:t>
      </w:r>
      <w:r>
        <w:rPr>
          <w:rFonts w:hint="eastAsia" w:ascii="宋体" w:hAnsi="宋体" w:eastAsia="宋体" w:cs="宋体"/>
          <w:bCs/>
          <w:color w:val="auto"/>
          <w:sz w:val="24"/>
          <w:szCs w:val="24"/>
          <w:highlight w:val="none"/>
          <w:lang w:val="en-US" w:eastAsia="zh-CN"/>
        </w:rPr>
        <w:t>服务期限</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，质保期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277544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3、我方同意按照磋商文件的要求，向贵单位缴纳人民币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）的磋商保证金，并承诺如发生符合“第二章供应商须知”第15.5条的任何情况时，我方将不要求退还磋商保证金。</w:t>
      </w:r>
    </w:p>
    <w:p w14:paraId="13088162">
      <w:pPr>
        <w:pStyle w:val="14"/>
        <w:spacing w:after="0"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4、我方提交的响应文件满足磋商文件实质性要求：</w:t>
      </w:r>
    </w:p>
    <w:p w14:paraId="2128A2A5">
      <w:pPr>
        <w:pStyle w:val="14"/>
        <w:spacing w:after="0"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5、我方愿意提供采购人可能另外要求的，与磋商有关的文件资料，并保证我方已提供和将要提供的文件资料是真实、准确的。</w:t>
      </w:r>
    </w:p>
    <w:p w14:paraId="4422C7AB">
      <w:pPr>
        <w:pStyle w:val="14"/>
        <w:spacing w:after="0" w:line="360" w:lineRule="auto"/>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6、我方完全理解采购人不一定将合同授予最低报价的供应商。</w:t>
      </w:r>
    </w:p>
    <w:p w14:paraId="70696B5B">
      <w:pPr>
        <w:pStyle w:val="14"/>
        <w:spacing w:after="0" w:line="360" w:lineRule="auto"/>
        <w:ind w:left="0" w:leftChars="0" w:firstLine="480" w:firstLineChars="200"/>
        <w:jc w:val="center"/>
        <w:rPr>
          <w:rFonts w:hint="eastAsia" w:ascii="宋体" w:hAnsi="宋体" w:eastAsia="宋体" w:cs="宋体"/>
          <w:bCs/>
          <w:color w:val="auto"/>
          <w:sz w:val="24"/>
          <w:szCs w:val="24"/>
          <w:highlight w:val="none"/>
        </w:rPr>
      </w:pPr>
    </w:p>
    <w:p w14:paraId="7E77657F">
      <w:pPr>
        <w:pStyle w:val="14"/>
        <w:spacing w:after="0" w:line="360" w:lineRule="auto"/>
        <w:ind w:firstLine="3360" w:firstLineChars="1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供应商名称（盖章）：</w:t>
      </w:r>
    </w:p>
    <w:p w14:paraId="44CB8B30">
      <w:pPr>
        <w:pStyle w:val="14"/>
        <w:spacing w:after="0" w:line="360" w:lineRule="auto"/>
        <w:ind w:left="0" w:leftChars="0"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法定代表人</w:t>
      </w:r>
      <w:r>
        <w:rPr>
          <w:rFonts w:hint="eastAsia" w:ascii="宋体" w:hAnsi="宋体" w:eastAsia="宋体" w:cs="宋体"/>
          <w:color w:val="auto"/>
          <w:sz w:val="24"/>
          <w:szCs w:val="24"/>
          <w:highlight w:val="none"/>
        </w:rPr>
        <w:t>或被授权人（签字或盖章）</w:t>
      </w:r>
      <w:r>
        <w:rPr>
          <w:rFonts w:hint="eastAsia" w:ascii="宋体" w:hAnsi="宋体" w:eastAsia="宋体" w:cs="宋体"/>
          <w:bCs/>
          <w:color w:val="auto"/>
          <w:sz w:val="24"/>
          <w:szCs w:val="24"/>
          <w:highlight w:val="none"/>
        </w:rPr>
        <w:t>：</w:t>
      </w:r>
    </w:p>
    <w:p w14:paraId="08B3A457">
      <w:pPr>
        <w:pStyle w:val="14"/>
        <w:spacing w:after="0" w:line="360" w:lineRule="auto"/>
        <w:ind w:firstLine="3360" w:firstLineChars="1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通讯地址：</w:t>
      </w:r>
    </w:p>
    <w:p w14:paraId="67E35103">
      <w:pPr>
        <w:pStyle w:val="14"/>
        <w:spacing w:after="0" w:line="360" w:lineRule="auto"/>
        <w:ind w:firstLine="3360" w:firstLineChars="1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p>
    <w:p w14:paraId="409107D7">
      <w:pPr>
        <w:pStyle w:val="14"/>
        <w:spacing w:after="0" w:line="360" w:lineRule="auto"/>
        <w:ind w:firstLine="3360" w:firstLineChars="1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p>
    <w:p w14:paraId="496602F0">
      <w:pPr>
        <w:pStyle w:val="14"/>
        <w:spacing w:after="0" w:line="360" w:lineRule="auto"/>
        <w:ind w:left="0" w:leftChars="0"/>
        <w:jc w:val="center"/>
        <w:rPr>
          <w:rFonts w:hint="eastAsia" w:ascii="宋体" w:hAnsi="宋体" w:eastAsia="宋体" w:cs="宋体"/>
          <w:bCs/>
          <w:color w:val="auto"/>
          <w:sz w:val="24"/>
          <w:szCs w:val="24"/>
          <w:highlight w:val="none"/>
        </w:rPr>
      </w:pPr>
    </w:p>
    <w:p w14:paraId="65AA2D8B">
      <w:pPr>
        <w:pStyle w:val="3"/>
        <w:numPr>
          <w:ilvl w:val="0"/>
          <w:numId w:val="3"/>
        </w:numPr>
        <w:spacing w:before="0" w:after="0" w:line="360" w:lineRule="auto"/>
        <w:ind w:firstLine="482"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74" w:name="_Toc11074"/>
      <w:bookmarkStart w:id="175" w:name="_Toc13197"/>
      <w:r>
        <w:rPr>
          <w:rFonts w:hint="eastAsia" w:ascii="宋体" w:hAnsi="宋体" w:eastAsia="宋体" w:cs="宋体"/>
          <w:color w:val="auto"/>
          <w:sz w:val="24"/>
          <w:szCs w:val="24"/>
          <w:highlight w:val="none"/>
        </w:rPr>
        <w:t>身份证明书及授权委托书</w:t>
      </w:r>
      <w:bookmarkEnd w:id="174"/>
      <w:bookmarkEnd w:id="175"/>
    </w:p>
    <w:p w14:paraId="234C0AC5">
      <w:pPr>
        <w:spacing w:line="360" w:lineRule="auto"/>
        <w:ind w:firstLine="482" w:firstLineChars="200"/>
        <w:jc w:val="center"/>
        <w:rPr>
          <w:rFonts w:hint="eastAsia" w:ascii="宋体" w:hAnsi="宋体" w:eastAsia="宋体" w:cs="宋体"/>
          <w:b/>
          <w:bCs/>
          <w:color w:val="auto"/>
          <w:sz w:val="24"/>
          <w:szCs w:val="24"/>
          <w:highlight w:val="none"/>
        </w:rPr>
      </w:pPr>
    </w:p>
    <w:p w14:paraId="7B09DA26">
      <w:pPr>
        <w:spacing w:line="360" w:lineRule="auto"/>
        <w:ind w:firstLine="723" w:firstLineChars="3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（一）身份证明书</w:t>
      </w:r>
    </w:p>
    <w:p w14:paraId="0344A983">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 </w:t>
      </w:r>
    </w:p>
    <w:p w14:paraId="0426AC1A">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1343DE0C">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72C70A5A">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04BAEE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的法定代表人，为具有参加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（项目名称）的磋商、签署上述响应文件、进行合同谈判、签署合同和处理与之有关的一切事务权利的供应商。 </w:t>
      </w:r>
    </w:p>
    <w:p w14:paraId="5483831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特此证明。                       </w:t>
      </w:r>
    </w:p>
    <w:p w14:paraId="6719AEF9">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附：法定代表人身份证正反面扫描件。</w:t>
      </w:r>
    </w:p>
    <w:p w14:paraId="025EE599">
      <w:pPr>
        <w:spacing w:line="360" w:lineRule="auto"/>
        <w:ind w:firstLine="480" w:firstLineChars="200"/>
        <w:jc w:val="center"/>
        <w:rPr>
          <w:rFonts w:hint="eastAsia" w:ascii="宋体" w:hAnsi="宋体" w:eastAsia="宋体" w:cs="宋体"/>
          <w:color w:val="auto"/>
          <w:sz w:val="24"/>
          <w:szCs w:val="24"/>
          <w:highlight w:val="none"/>
        </w:rPr>
      </w:pPr>
    </w:p>
    <w:p w14:paraId="10EAD00D">
      <w:pPr>
        <w:spacing w:line="360" w:lineRule="auto"/>
        <w:ind w:firstLine="480" w:firstLineChars="200"/>
        <w:jc w:val="center"/>
        <w:rPr>
          <w:rFonts w:hint="eastAsia" w:ascii="宋体" w:hAnsi="宋体" w:eastAsia="宋体" w:cs="宋体"/>
          <w:color w:val="auto"/>
          <w:sz w:val="24"/>
          <w:szCs w:val="24"/>
          <w:highlight w:val="none"/>
        </w:rPr>
      </w:pPr>
    </w:p>
    <w:p w14:paraId="1430CB64">
      <w:pPr>
        <w:spacing w:line="360" w:lineRule="auto"/>
        <w:ind w:firstLine="480" w:firstLineChars="200"/>
        <w:jc w:val="center"/>
        <w:rPr>
          <w:rFonts w:hint="eastAsia" w:ascii="宋体" w:hAnsi="宋体" w:eastAsia="宋体" w:cs="宋体"/>
          <w:color w:val="auto"/>
          <w:sz w:val="24"/>
          <w:szCs w:val="24"/>
          <w:highlight w:val="none"/>
        </w:rPr>
      </w:pPr>
    </w:p>
    <w:p w14:paraId="6E0FF441">
      <w:pPr>
        <w:spacing w:line="360" w:lineRule="auto"/>
        <w:ind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供应商名称（盖章）：</w:t>
      </w:r>
    </w:p>
    <w:p w14:paraId="7217360A">
      <w:pPr>
        <w:spacing w:line="360" w:lineRule="auto"/>
        <w:ind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                          日   期：  </w:t>
      </w:r>
      <w:r>
        <w:rPr>
          <w:rFonts w:hint="eastAsia" w:ascii="宋体" w:hAnsi="宋体" w:eastAsia="宋体" w:cs="宋体"/>
          <w:bCs/>
          <w:color w:val="auto"/>
          <w:sz w:val="24"/>
          <w:szCs w:val="24"/>
          <w:highlight w:val="none"/>
        </w:rPr>
        <w:t>年   月   日</w:t>
      </w:r>
    </w:p>
    <w:p w14:paraId="76E89AD1">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br w:type="page"/>
      </w:r>
      <w:r>
        <w:rPr>
          <w:rFonts w:hint="eastAsia" w:ascii="宋体" w:hAnsi="宋体" w:eastAsia="宋体" w:cs="宋体"/>
          <w:b/>
          <w:bCs w:val="0"/>
          <w:color w:val="auto"/>
          <w:sz w:val="24"/>
          <w:szCs w:val="24"/>
          <w:highlight w:val="none"/>
          <w:lang w:eastAsia="zh-Hans"/>
        </w:rPr>
        <w:t>（二）</w:t>
      </w:r>
      <w:r>
        <w:rPr>
          <w:rFonts w:hint="eastAsia" w:ascii="宋体" w:hAnsi="宋体" w:eastAsia="宋体" w:cs="宋体"/>
          <w:b/>
          <w:bCs w:val="0"/>
          <w:color w:val="auto"/>
          <w:sz w:val="24"/>
          <w:szCs w:val="24"/>
          <w:highlight w:val="none"/>
        </w:rPr>
        <w:t>法定代</w:t>
      </w:r>
      <w:r>
        <w:rPr>
          <w:rFonts w:hint="eastAsia" w:ascii="宋体" w:hAnsi="宋体" w:eastAsia="宋体" w:cs="宋体"/>
          <w:b/>
          <w:bCs/>
          <w:color w:val="auto"/>
          <w:sz w:val="24"/>
          <w:szCs w:val="24"/>
          <w:highlight w:val="none"/>
        </w:rPr>
        <w:t>表人授权委托书</w:t>
      </w:r>
    </w:p>
    <w:p w14:paraId="0270E6A0">
      <w:pPr>
        <w:pStyle w:val="28"/>
        <w:spacing w:line="360" w:lineRule="auto"/>
        <w:rPr>
          <w:rFonts w:hint="eastAsia" w:ascii="宋体" w:hAnsi="宋体" w:eastAsia="宋体" w:cs="宋体"/>
          <w:b/>
          <w:bCs/>
          <w:color w:val="auto"/>
          <w:sz w:val="24"/>
          <w:szCs w:val="24"/>
          <w:highlight w:val="none"/>
        </w:rPr>
      </w:pPr>
    </w:p>
    <w:p w14:paraId="6E6202F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_______（采购人名称）：</w:t>
      </w:r>
    </w:p>
    <w:p w14:paraId="2D4178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（法定代表人姓名、职务）授权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（被授权人姓名、职务）为我方 “ </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（项目名称、项目编号）</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Hans"/>
        </w:rPr>
        <w:t>磋商</w:t>
      </w:r>
      <w:r>
        <w:rPr>
          <w:rFonts w:hint="eastAsia" w:ascii="宋体" w:hAnsi="宋体" w:eastAsia="宋体" w:cs="宋体"/>
          <w:color w:val="auto"/>
          <w:sz w:val="24"/>
          <w:szCs w:val="24"/>
          <w:highlight w:val="none"/>
        </w:rPr>
        <w:t>活动的合法代表，以我方名义全权处理该项目有关</w:t>
      </w:r>
      <w:r>
        <w:rPr>
          <w:rFonts w:hint="eastAsia" w:ascii="宋体" w:hAnsi="宋体" w:eastAsia="宋体" w:cs="宋体"/>
          <w:color w:val="auto"/>
          <w:sz w:val="24"/>
          <w:szCs w:val="24"/>
          <w:highlight w:val="none"/>
          <w:lang w:eastAsia="zh-Hans"/>
        </w:rPr>
        <w:t>磋商</w:t>
      </w:r>
      <w:r>
        <w:rPr>
          <w:rFonts w:hint="eastAsia" w:ascii="宋体" w:hAnsi="宋体" w:eastAsia="宋体" w:cs="宋体"/>
          <w:color w:val="auto"/>
          <w:sz w:val="24"/>
          <w:szCs w:val="24"/>
          <w:highlight w:val="none"/>
        </w:rPr>
        <w:t>、签订合同以及执行合同等一切事宜。</w:t>
      </w:r>
    </w:p>
    <w:p w14:paraId="491B85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被授权人无权转让本授权，特此声明。</w:t>
      </w:r>
    </w:p>
    <w:p w14:paraId="5770169F">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附：法定代表人及被授权人身份证正反面。</w:t>
      </w:r>
    </w:p>
    <w:p w14:paraId="240DE901">
      <w:pPr>
        <w:pStyle w:val="28"/>
        <w:spacing w:line="360" w:lineRule="auto"/>
        <w:rPr>
          <w:rFonts w:hint="eastAsia" w:ascii="宋体" w:hAnsi="宋体" w:eastAsia="宋体" w:cs="宋体"/>
          <w:color w:val="auto"/>
          <w:sz w:val="24"/>
          <w:szCs w:val="24"/>
          <w:highlight w:val="none"/>
        </w:rPr>
      </w:pPr>
    </w:p>
    <w:p w14:paraId="46365F94">
      <w:pPr>
        <w:spacing w:line="360" w:lineRule="auto"/>
        <w:ind w:firstLine="480" w:firstLineChars="200"/>
        <w:rPr>
          <w:rFonts w:hint="eastAsia" w:ascii="宋体" w:hAnsi="宋体" w:eastAsia="宋体" w:cs="宋体"/>
          <w:color w:val="auto"/>
          <w:sz w:val="24"/>
          <w:szCs w:val="24"/>
          <w:highlight w:val="none"/>
        </w:rPr>
      </w:pPr>
    </w:p>
    <w:p w14:paraId="626F918D">
      <w:pPr>
        <w:pStyle w:val="14"/>
        <w:spacing w:after="0" w:line="360" w:lineRule="auto"/>
        <w:ind w:left="0" w:leftChars="0"/>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供应商名称（盖章）：</w:t>
      </w:r>
    </w:p>
    <w:p w14:paraId="6EAF7599">
      <w:pPr>
        <w:pStyle w:val="14"/>
        <w:spacing w:after="0" w:line="360" w:lineRule="auto"/>
        <w:ind w:left="0" w:left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bCs/>
          <w:color w:val="auto"/>
          <w:sz w:val="24"/>
          <w:szCs w:val="24"/>
          <w:highlight w:val="none"/>
        </w:rPr>
        <w:t>（盖章或签字）：</w:t>
      </w:r>
    </w:p>
    <w:p w14:paraId="58B5584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320013B7">
      <w:pPr>
        <w:spacing w:line="360" w:lineRule="auto"/>
        <w:ind w:firstLine="4080" w:firstLineChars="1700"/>
        <w:rPr>
          <w:rFonts w:hint="eastAsia" w:ascii="宋体" w:hAnsi="宋体" w:eastAsia="宋体" w:cs="宋体"/>
          <w:color w:val="auto"/>
          <w:sz w:val="24"/>
          <w:szCs w:val="24"/>
          <w:highlight w:val="none"/>
        </w:rPr>
      </w:pPr>
    </w:p>
    <w:p w14:paraId="74743384">
      <w:pPr>
        <w:spacing w:line="360" w:lineRule="auto"/>
        <w:ind w:firstLine="480" w:firstLineChars="200"/>
        <w:jc w:val="center"/>
        <w:rPr>
          <w:rFonts w:hint="eastAsia" w:ascii="宋体" w:hAnsi="宋体" w:eastAsia="宋体" w:cs="宋体"/>
          <w:color w:val="auto"/>
          <w:sz w:val="24"/>
          <w:szCs w:val="24"/>
          <w:highlight w:val="none"/>
        </w:rPr>
      </w:pPr>
    </w:p>
    <w:p w14:paraId="08D6324B">
      <w:pPr>
        <w:snapToGrid w:val="0"/>
        <w:spacing w:line="360" w:lineRule="auto"/>
        <w:ind w:firstLine="482" w:firstLineChars="200"/>
        <w:jc w:val="center"/>
        <w:rPr>
          <w:rFonts w:hint="eastAsia" w:ascii="宋体" w:hAnsi="宋体" w:eastAsia="宋体" w:cs="宋体"/>
          <w:b/>
          <w:bCs/>
          <w:color w:val="auto"/>
          <w:sz w:val="24"/>
          <w:szCs w:val="24"/>
          <w:highlight w:val="none"/>
        </w:rPr>
      </w:pPr>
    </w:p>
    <w:p w14:paraId="62B105F4">
      <w:pPr>
        <w:pStyle w:val="11"/>
        <w:spacing w:line="360" w:lineRule="auto"/>
        <w:rPr>
          <w:rFonts w:hint="eastAsia" w:ascii="宋体" w:hAnsi="宋体" w:eastAsia="宋体" w:cs="宋体"/>
          <w:b/>
          <w:bCs/>
          <w:color w:val="auto"/>
          <w:sz w:val="24"/>
          <w:szCs w:val="24"/>
          <w:highlight w:val="none"/>
        </w:rPr>
      </w:pPr>
    </w:p>
    <w:p w14:paraId="62B09A40">
      <w:pPr>
        <w:spacing w:line="360" w:lineRule="auto"/>
        <w:ind w:firstLine="482" w:firstLineChars="200"/>
        <w:jc w:val="center"/>
        <w:rPr>
          <w:rFonts w:hint="eastAsia" w:ascii="宋体" w:hAnsi="宋体" w:eastAsia="宋体" w:cs="宋体"/>
          <w:b/>
          <w:bCs/>
          <w:color w:val="auto"/>
          <w:sz w:val="24"/>
          <w:szCs w:val="24"/>
          <w:highlight w:val="none"/>
        </w:rPr>
      </w:pPr>
    </w:p>
    <w:p w14:paraId="187C24D7">
      <w:pPr>
        <w:spacing w:line="360" w:lineRule="auto"/>
        <w:ind w:firstLine="482" w:firstLineChars="200"/>
        <w:jc w:val="center"/>
        <w:outlineLvl w:val="1"/>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rPr>
        <w:br w:type="page"/>
      </w:r>
      <w:bookmarkStart w:id="176" w:name="_Toc18702"/>
      <w:bookmarkStart w:id="177" w:name="_Toc8132"/>
      <w:bookmarkStart w:id="178" w:name="_Toc28653"/>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highlight w:val="none"/>
        </w:rPr>
        <w:t>报价明细表</w:t>
      </w:r>
      <w:bookmarkEnd w:id="176"/>
      <w:bookmarkEnd w:id="177"/>
    </w:p>
    <w:tbl>
      <w:tblPr>
        <w:tblStyle w:val="2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1473"/>
        <w:gridCol w:w="843"/>
        <w:gridCol w:w="842"/>
        <w:gridCol w:w="1716"/>
        <w:gridCol w:w="1715"/>
        <w:gridCol w:w="1058"/>
      </w:tblGrid>
      <w:tr w14:paraId="125B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0" w:type="auto"/>
            <w:vAlign w:val="center"/>
          </w:tcPr>
          <w:p w14:paraId="6DAF4695">
            <w:pPr>
              <w:snapToGrid w:val="0"/>
              <w:spacing w:line="360" w:lineRule="auto"/>
              <w:ind w:left="0" w:leftChars="0" w:right="0" w:rightChars="0"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0" w:type="auto"/>
            <w:vAlign w:val="center"/>
          </w:tcPr>
          <w:p w14:paraId="38FD5395">
            <w:pPr>
              <w:snapToGrid w:val="0"/>
              <w:spacing w:line="360" w:lineRule="auto"/>
              <w:ind w:left="0" w:leftChars="0" w:right="0" w:rightChars="0"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服务名称</w:t>
            </w:r>
          </w:p>
        </w:tc>
        <w:tc>
          <w:tcPr>
            <w:tcW w:w="0" w:type="auto"/>
            <w:vAlign w:val="center"/>
          </w:tcPr>
          <w:p w14:paraId="5F536D58">
            <w:pPr>
              <w:snapToGrid w:val="0"/>
              <w:spacing w:line="360" w:lineRule="auto"/>
              <w:ind w:left="0" w:leftChars="0" w:right="0" w:rightChars="0" w:firstLine="0" w:firstLineChars="0"/>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数量</w:t>
            </w:r>
          </w:p>
        </w:tc>
        <w:tc>
          <w:tcPr>
            <w:tcW w:w="0" w:type="auto"/>
            <w:vAlign w:val="center"/>
          </w:tcPr>
          <w:p w14:paraId="5F7E9E2B">
            <w:pPr>
              <w:snapToGrid w:val="0"/>
              <w:spacing w:line="360" w:lineRule="auto"/>
              <w:ind w:left="0" w:leftChars="0" w:right="0" w:rightChars="0" w:firstLine="0" w:firstLineChars="0"/>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单位</w:t>
            </w:r>
          </w:p>
        </w:tc>
        <w:tc>
          <w:tcPr>
            <w:tcW w:w="0" w:type="auto"/>
            <w:vAlign w:val="center"/>
          </w:tcPr>
          <w:p w14:paraId="5779D74F">
            <w:pPr>
              <w:snapToGrid w:val="0"/>
              <w:spacing w:line="360" w:lineRule="auto"/>
              <w:ind w:left="0" w:leftChars="0" w:right="0" w:rightChars="0" w:firstLine="0" w:firstLineChars="0"/>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单价</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元</w:t>
            </w:r>
            <w:r>
              <w:rPr>
                <w:rFonts w:hint="eastAsia" w:ascii="宋体" w:hAnsi="宋体" w:eastAsia="宋体" w:cs="宋体"/>
                <w:b/>
                <w:color w:val="auto"/>
                <w:sz w:val="24"/>
                <w:highlight w:val="none"/>
                <w:lang w:eastAsia="zh-CN"/>
              </w:rPr>
              <w:t>）</w:t>
            </w:r>
          </w:p>
        </w:tc>
        <w:tc>
          <w:tcPr>
            <w:tcW w:w="0" w:type="auto"/>
            <w:vAlign w:val="center"/>
          </w:tcPr>
          <w:p w14:paraId="5B5EB7ED">
            <w:pPr>
              <w:snapToGrid w:val="0"/>
              <w:spacing w:line="360" w:lineRule="auto"/>
              <w:ind w:left="0" w:leftChars="0" w:right="0" w:rightChars="0" w:firstLine="0" w:firstLineChars="0"/>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总价</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元</w:t>
            </w:r>
            <w:r>
              <w:rPr>
                <w:rFonts w:hint="eastAsia" w:ascii="宋体" w:hAnsi="宋体" w:eastAsia="宋体" w:cs="宋体"/>
                <w:b/>
                <w:color w:val="auto"/>
                <w:sz w:val="24"/>
                <w:highlight w:val="none"/>
                <w:lang w:eastAsia="zh-CN"/>
              </w:rPr>
              <w:t>）</w:t>
            </w:r>
          </w:p>
        </w:tc>
        <w:tc>
          <w:tcPr>
            <w:tcW w:w="876" w:type="dxa"/>
            <w:vAlign w:val="center"/>
          </w:tcPr>
          <w:p w14:paraId="73F6DE06">
            <w:pPr>
              <w:snapToGrid w:val="0"/>
              <w:spacing w:line="360" w:lineRule="auto"/>
              <w:ind w:left="0" w:leftChars="0" w:right="0" w:rightChars="0" w:firstLine="0" w:firstLineChars="0"/>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备注</w:t>
            </w:r>
          </w:p>
        </w:tc>
      </w:tr>
      <w:tr w14:paraId="0898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0" w:type="auto"/>
            <w:vAlign w:val="center"/>
          </w:tcPr>
          <w:p w14:paraId="6D43D0ED">
            <w:pPr>
              <w:pageBreakBefore w:val="0"/>
              <w:wordWrap/>
              <w:overflowPunct/>
              <w:topLinePunct w:val="0"/>
              <w:bidi w:val="0"/>
              <w:snapToGrid w:val="0"/>
              <w:spacing w:line="360" w:lineRule="auto"/>
              <w:ind w:left="0" w:leftChars="0" w:right="0" w:righ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0" w:type="auto"/>
            <w:vAlign w:val="center"/>
          </w:tcPr>
          <w:p w14:paraId="28A0EE56">
            <w:pPr>
              <w:pageBreakBefore w:val="0"/>
              <w:wordWrap/>
              <w:overflowPunct/>
              <w:topLinePunct w:val="0"/>
              <w:bidi w:val="0"/>
              <w:snapToGrid w:val="0"/>
              <w:spacing w:line="360" w:lineRule="auto"/>
              <w:ind w:left="0" w:leftChars="0" w:right="0" w:rightChars="0" w:firstLine="0" w:firstLineChars="0"/>
              <w:jc w:val="center"/>
              <w:rPr>
                <w:rFonts w:hint="eastAsia" w:ascii="宋体" w:hAnsi="宋体" w:eastAsia="宋体" w:cs="宋体"/>
                <w:color w:val="auto"/>
                <w:sz w:val="28"/>
                <w:szCs w:val="28"/>
                <w:highlight w:val="none"/>
                <w:lang w:val="en-US" w:eastAsia="zh-CN"/>
              </w:rPr>
            </w:pPr>
          </w:p>
        </w:tc>
        <w:tc>
          <w:tcPr>
            <w:tcW w:w="0" w:type="auto"/>
            <w:vAlign w:val="center"/>
          </w:tcPr>
          <w:p w14:paraId="4A0336F4">
            <w:pPr>
              <w:snapToGrid w:val="0"/>
              <w:spacing w:line="360" w:lineRule="auto"/>
              <w:ind w:left="0" w:leftChars="0" w:right="0" w:rightChars="0" w:firstLine="0" w:firstLineChars="0"/>
              <w:jc w:val="center"/>
              <w:rPr>
                <w:rFonts w:hint="eastAsia" w:ascii="宋体" w:hAnsi="宋体" w:eastAsia="宋体" w:cs="宋体"/>
                <w:color w:val="auto"/>
                <w:sz w:val="28"/>
                <w:highlight w:val="none"/>
              </w:rPr>
            </w:pPr>
          </w:p>
        </w:tc>
        <w:tc>
          <w:tcPr>
            <w:tcW w:w="0" w:type="auto"/>
            <w:vAlign w:val="center"/>
          </w:tcPr>
          <w:p w14:paraId="4172F5A5">
            <w:pPr>
              <w:pageBreakBefore w:val="0"/>
              <w:wordWrap/>
              <w:overflowPunct/>
              <w:topLinePunct w:val="0"/>
              <w:bidi w:val="0"/>
              <w:snapToGrid w:val="0"/>
              <w:spacing w:line="360" w:lineRule="auto"/>
              <w:ind w:left="0" w:leftChars="0" w:right="0" w:rightChars="0" w:firstLine="0" w:firstLineChars="0"/>
              <w:jc w:val="center"/>
              <w:rPr>
                <w:rFonts w:hint="eastAsia" w:ascii="宋体" w:hAnsi="宋体" w:eastAsia="宋体" w:cs="宋体"/>
                <w:color w:val="auto"/>
                <w:sz w:val="28"/>
                <w:szCs w:val="28"/>
                <w:highlight w:val="none"/>
              </w:rPr>
            </w:pPr>
          </w:p>
        </w:tc>
        <w:tc>
          <w:tcPr>
            <w:tcW w:w="0" w:type="auto"/>
            <w:vAlign w:val="center"/>
          </w:tcPr>
          <w:p w14:paraId="4F38CB23">
            <w:pPr>
              <w:pageBreakBefore w:val="0"/>
              <w:wordWrap/>
              <w:overflowPunct/>
              <w:topLinePunct w:val="0"/>
              <w:bidi w:val="0"/>
              <w:snapToGrid w:val="0"/>
              <w:spacing w:line="360" w:lineRule="auto"/>
              <w:ind w:left="0" w:leftChars="0" w:right="0" w:rightChars="0" w:firstLine="0" w:firstLineChars="0"/>
              <w:jc w:val="center"/>
              <w:rPr>
                <w:rFonts w:hint="eastAsia" w:ascii="宋体" w:hAnsi="宋体" w:eastAsia="宋体" w:cs="宋体"/>
                <w:color w:val="auto"/>
                <w:sz w:val="28"/>
                <w:szCs w:val="28"/>
                <w:highlight w:val="none"/>
              </w:rPr>
            </w:pPr>
          </w:p>
        </w:tc>
        <w:tc>
          <w:tcPr>
            <w:tcW w:w="0" w:type="auto"/>
            <w:vAlign w:val="center"/>
          </w:tcPr>
          <w:p w14:paraId="6D647537">
            <w:pPr>
              <w:pageBreakBefore w:val="0"/>
              <w:wordWrap/>
              <w:overflowPunct/>
              <w:topLinePunct w:val="0"/>
              <w:bidi w:val="0"/>
              <w:snapToGrid w:val="0"/>
              <w:spacing w:line="360" w:lineRule="auto"/>
              <w:ind w:left="0" w:leftChars="0" w:right="0" w:rightChars="0" w:firstLine="0" w:firstLineChars="0"/>
              <w:jc w:val="right"/>
              <w:rPr>
                <w:rFonts w:hint="eastAsia" w:ascii="宋体" w:hAnsi="宋体" w:eastAsia="宋体" w:cs="宋体"/>
                <w:color w:val="auto"/>
                <w:sz w:val="28"/>
                <w:szCs w:val="28"/>
                <w:highlight w:val="none"/>
              </w:rPr>
            </w:pPr>
          </w:p>
        </w:tc>
        <w:tc>
          <w:tcPr>
            <w:tcW w:w="876" w:type="dxa"/>
            <w:vAlign w:val="center"/>
          </w:tcPr>
          <w:p w14:paraId="4BB00493">
            <w:pPr>
              <w:pageBreakBefore w:val="0"/>
              <w:wordWrap/>
              <w:overflowPunct/>
              <w:topLinePunct w:val="0"/>
              <w:bidi w:val="0"/>
              <w:snapToGrid w:val="0"/>
              <w:spacing w:line="360" w:lineRule="auto"/>
              <w:ind w:left="0" w:leftChars="0" w:right="0" w:rightChars="0" w:firstLine="0" w:firstLineChars="0"/>
              <w:jc w:val="right"/>
              <w:rPr>
                <w:rFonts w:hint="eastAsia" w:ascii="宋体" w:hAnsi="宋体" w:eastAsia="宋体" w:cs="宋体"/>
                <w:color w:val="auto"/>
                <w:sz w:val="28"/>
                <w:szCs w:val="28"/>
                <w:highlight w:val="none"/>
              </w:rPr>
            </w:pPr>
          </w:p>
        </w:tc>
      </w:tr>
      <w:tr w14:paraId="0F46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0" w:type="auto"/>
            <w:vAlign w:val="center"/>
          </w:tcPr>
          <w:p w14:paraId="0E55E10B">
            <w:pPr>
              <w:pageBreakBefore w:val="0"/>
              <w:wordWrap/>
              <w:overflowPunct/>
              <w:topLinePunct w:val="0"/>
              <w:bidi w:val="0"/>
              <w:snapToGrid w:val="0"/>
              <w:spacing w:line="360" w:lineRule="auto"/>
              <w:ind w:left="0" w:leftChars="0" w:right="0" w:righ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0" w:type="auto"/>
            <w:vAlign w:val="center"/>
          </w:tcPr>
          <w:p w14:paraId="05E53159">
            <w:pPr>
              <w:pageBreakBefore w:val="0"/>
              <w:wordWrap/>
              <w:overflowPunct/>
              <w:topLinePunct w:val="0"/>
              <w:bidi w:val="0"/>
              <w:snapToGrid w:val="0"/>
              <w:spacing w:line="360" w:lineRule="auto"/>
              <w:ind w:left="0" w:leftChars="0" w:right="0" w:rightChars="0" w:firstLine="0" w:firstLineChars="0"/>
              <w:jc w:val="center"/>
              <w:rPr>
                <w:rFonts w:hint="eastAsia" w:ascii="宋体" w:hAnsi="宋体" w:eastAsia="宋体" w:cs="宋体"/>
                <w:color w:val="auto"/>
                <w:sz w:val="28"/>
                <w:szCs w:val="28"/>
                <w:highlight w:val="none"/>
                <w:lang w:val="en-US" w:eastAsia="zh-CN"/>
              </w:rPr>
            </w:pPr>
          </w:p>
        </w:tc>
        <w:tc>
          <w:tcPr>
            <w:tcW w:w="0" w:type="auto"/>
            <w:vAlign w:val="center"/>
          </w:tcPr>
          <w:p w14:paraId="7B4184DA">
            <w:pPr>
              <w:snapToGrid w:val="0"/>
              <w:spacing w:line="360" w:lineRule="auto"/>
              <w:ind w:left="0" w:leftChars="0" w:right="0" w:rightChars="0" w:firstLine="0" w:firstLineChars="0"/>
              <w:jc w:val="center"/>
              <w:rPr>
                <w:rFonts w:hint="eastAsia" w:ascii="宋体" w:hAnsi="宋体" w:eastAsia="宋体" w:cs="宋体"/>
                <w:color w:val="auto"/>
                <w:sz w:val="28"/>
                <w:highlight w:val="none"/>
              </w:rPr>
            </w:pPr>
          </w:p>
        </w:tc>
        <w:tc>
          <w:tcPr>
            <w:tcW w:w="0" w:type="auto"/>
            <w:vAlign w:val="center"/>
          </w:tcPr>
          <w:p w14:paraId="7A894355">
            <w:pPr>
              <w:pageBreakBefore w:val="0"/>
              <w:wordWrap/>
              <w:overflowPunct/>
              <w:topLinePunct w:val="0"/>
              <w:bidi w:val="0"/>
              <w:snapToGrid w:val="0"/>
              <w:spacing w:line="360" w:lineRule="auto"/>
              <w:ind w:left="0" w:leftChars="0" w:right="0" w:rightChars="0" w:firstLine="0" w:firstLineChars="0"/>
              <w:jc w:val="center"/>
              <w:rPr>
                <w:rFonts w:hint="eastAsia" w:ascii="宋体" w:hAnsi="宋体" w:eastAsia="宋体" w:cs="宋体"/>
                <w:color w:val="auto"/>
                <w:sz w:val="28"/>
                <w:szCs w:val="28"/>
                <w:highlight w:val="none"/>
              </w:rPr>
            </w:pPr>
          </w:p>
        </w:tc>
        <w:tc>
          <w:tcPr>
            <w:tcW w:w="0" w:type="auto"/>
            <w:vAlign w:val="center"/>
          </w:tcPr>
          <w:p w14:paraId="4A047B91">
            <w:pPr>
              <w:pageBreakBefore w:val="0"/>
              <w:wordWrap/>
              <w:overflowPunct/>
              <w:topLinePunct w:val="0"/>
              <w:bidi w:val="0"/>
              <w:snapToGrid w:val="0"/>
              <w:spacing w:line="360" w:lineRule="auto"/>
              <w:ind w:left="0" w:leftChars="0" w:right="0" w:rightChars="0" w:firstLine="0" w:firstLineChars="0"/>
              <w:jc w:val="center"/>
              <w:rPr>
                <w:rFonts w:hint="eastAsia" w:ascii="宋体" w:hAnsi="宋体" w:eastAsia="宋体" w:cs="宋体"/>
                <w:color w:val="auto"/>
                <w:sz w:val="28"/>
                <w:szCs w:val="28"/>
                <w:highlight w:val="none"/>
              </w:rPr>
            </w:pPr>
          </w:p>
        </w:tc>
        <w:tc>
          <w:tcPr>
            <w:tcW w:w="0" w:type="auto"/>
            <w:vAlign w:val="center"/>
          </w:tcPr>
          <w:p w14:paraId="069AE975">
            <w:pPr>
              <w:pageBreakBefore w:val="0"/>
              <w:wordWrap/>
              <w:overflowPunct/>
              <w:topLinePunct w:val="0"/>
              <w:bidi w:val="0"/>
              <w:snapToGrid w:val="0"/>
              <w:spacing w:line="360" w:lineRule="auto"/>
              <w:ind w:left="0" w:leftChars="0" w:right="0" w:rightChars="0" w:firstLine="0" w:firstLineChars="0"/>
              <w:jc w:val="right"/>
              <w:rPr>
                <w:rFonts w:hint="eastAsia" w:ascii="宋体" w:hAnsi="宋体" w:eastAsia="宋体" w:cs="宋体"/>
                <w:color w:val="auto"/>
                <w:sz w:val="28"/>
                <w:szCs w:val="28"/>
                <w:highlight w:val="none"/>
              </w:rPr>
            </w:pPr>
          </w:p>
        </w:tc>
        <w:tc>
          <w:tcPr>
            <w:tcW w:w="876" w:type="dxa"/>
            <w:vAlign w:val="center"/>
          </w:tcPr>
          <w:p w14:paraId="121479D9">
            <w:pPr>
              <w:pageBreakBefore w:val="0"/>
              <w:wordWrap/>
              <w:overflowPunct/>
              <w:topLinePunct w:val="0"/>
              <w:bidi w:val="0"/>
              <w:snapToGrid w:val="0"/>
              <w:spacing w:line="360" w:lineRule="auto"/>
              <w:ind w:left="0" w:leftChars="0" w:right="0" w:rightChars="0" w:firstLine="0" w:firstLineChars="0"/>
              <w:jc w:val="right"/>
              <w:rPr>
                <w:rFonts w:hint="eastAsia" w:ascii="宋体" w:hAnsi="宋体" w:eastAsia="宋体" w:cs="宋体"/>
                <w:color w:val="auto"/>
                <w:sz w:val="28"/>
                <w:szCs w:val="28"/>
                <w:highlight w:val="none"/>
              </w:rPr>
            </w:pPr>
          </w:p>
        </w:tc>
      </w:tr>
      <w:tr w14:paraId="2E71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0" w:type="auto"/>
            <w:vAlign w:val="center"/>
          </w:tcPr>
          <w:p w14:paraId="1BE9386D">
            <w:pPr>
              <w:pageBreakBefore w:val="0"/>
              <w:wordWrap/>
              <w:overflowPunct/>
              <w:topLinePunct w:val="0"/>
              <w:bidi w:val="0"/>
              <w:snapToGrid w:val="0"/>
              <w:spacing w:line="360" w:lineRule="auto"/>
              <w:ind w:left="0" w:leftChars="0" w:right="0" w:righ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0" w:type="auto"/>
            <w:vAlign w:val="center"/>
          </w:tcPr>
          <w:p w14:paraId="07F343F6">
            <w:pPr>
              <w:pageBreakBefore w:val="0"/>
              <w:wordWrap/>
              <w:overflowPunct/>
              <w:topLinePunct w:val="0"/>
              <w:bidi w:val="0"/>
              <w:snapToGrid w:val="0"/>
              <w:spacing w:line="360" w:lineRule="auto"/>
              <w:ind w:left="0" w:leftChars="0" w:right="0" w:rightChars="0" w:firstLine="0" w:firstLineChars="0"/>
              <w:jc w:val="center"/>
              <w:rPr>
                <w:rFonts w:hint="eastAsia" w:ascii="宋体" w:hAnsi="宋体" w:eastAsia="宋体" w:cs="宋体"/>
                <w:color w:val="auto"/>
                <w:sz w:val="28"/>
                <w:szCs w:val="28"/>
                <w:highlight w:val="none"/>
                <w:lang w:val="en-US" w:eastAsia="zh-CN"/>
              </w:rPr>
            </w:pPr>
          </w:p>
        </w:tc>
        <w:tc>
          <w:tcPr>
            <w:tcW w:w="0" w:type="auto"/>
            <w:vAlign w:val="center"/>
          </w:tcPr>
          <w:p w14:paraId="53243F58">
            <w:pPr>
              <w:snapToGrid w:val="0"/>
              <w:spacing w:line="360" w:lineRule="auto"/>
              <w:ind w:left="0" w:leftChars="0" w:right="0" w:rightChars="0" w:firstLine="0" w:firstLineChars="0"/>
              <w:jc w:val="center"/>
              <w:rPr>
                <w:rFonts w:hint="eastAsia" w:ascii="宋体" w:hAnsi="宋体" w:eastAsia="宋体" w:cs="宋体"/>
                <w:color w:val="auto"/>
                <w:sz w:val="28"/>
                <w:highlight w:val="none"/>
              </w:rPr>
            </w:pPr>
          </w:p>
        </w:tc>
        <w:tc>
          <w:tcPr>
            <w:tcW w:w="0" w:type="auto"/>
            <w:vAlign w:val="center"/>
          </w:tcPr>
          <w:p w14:paraId="0148EF6E">
            <w:pPr>
              <w:pageBreakBefore w:val="0"/>
              <w:wordWrap/>
              <w:overflowPunct/>
              <w:topLinePunct w:val="0"/>
              <w:bidi w:val="0"/>
              <w:snapToGrid w:val="0"/>
              <w:spacing w:line="360" w:lineRule="auto"/>
              <w:ind w:left="0" w:leftChars="0" w:right="0" w:rightChars="0" w:firstLine="0" w:firstLineChars="0"/>
              <w:jc w:val="center"/>
              <w:rPr>
                <w:rFonts w:hint="eastAsia" w:ascii="宋体" w:hAnsi="宋体" w:eastAsia="宋体" w:cs="宋体"/>
                <w:color w:val="auto"/>
                <w:sz w:val="28"/>
                <w:szCs w:val="28"/>
                <w:highlight w:val="none"/>
              </w:rPr>
            </w:pPr>
          </w:p>
        </w:tc>
        <w:tc>
          <w:tcPr>
            <w:tcW w:w="0" w:type="auto"/>
            <w:vAlign w:val="center"/>
          </w:tcPr>
          <w:p w14:paraId="41957A59">
            <w:pPr>
              <w:pageBreakBefore w:val="0"/>
              <w:wordWrap/>
              <w:overflowPunct/>
              <w:topLinePunct w:val="0"/>
              <w:bidi w:val="0"/>
              <w:snapToGrid w:val="0"/>
              <w:spacing w:line="360" w:lineRule="auto"/>
              <w:ind w:left="0" w:leftChars="0" w:right="0" w:rightChars="0" w:firstLine="0" w:firstLineChars="0"/>
              <w:jc w:val="center"/>
              <w:rPr>
                <w:rFonts w:hint="eastAsia" w:ascii="宋体" w:hAnsi="宋体" w:eastAsia="宋体" w:cs="宋体"/>
                <w:color w:val="auto"/>
                <w:sz w:val="28"/>
                <w:szCs w:val="28"/>
                <w:highlight w:val="none"/>
              </w:rPr>
            </w:pPr>
          </w:p>
        </w:tc>
        <w:tc>
          <w:tcPr>
            <w:tcW w:w="0" w:type="auto"/>
            <w:vAlign w:val="center"/>
          </w:tcPr>
          <w:p w14:paraId="0E1C1C50">
            <w:pPr>
              <w:pageBreakBefore w:val="0"/>
              <w:wordWrap/>
              <w:overflowPunct/>
              <w:topLinePunct w:val="0"/>
              <w:bidi w:val="0"/>
              <w:snapToGrid w:val="0"/>
              <w:spacing w:line="360" w:lineRule="auto"/>
              <w:ind w:left="0" w:leftChars="0" w:right="0" w:rightChars="0" w:firstLine="0" w:firstLineChars="0"/>
              <w:jc w:val="right"/>
              <w:rPr>
                <w:rFonts w:hint="eastAsia" w:ascii="宋体" w:hAnsi="宋体" w:eastAsia="宋体" w:cs="宋体"/>
                <w:color w:val="auto"/>
                <w:sz w:val="28"/>
                <w:szCs w:val="28"/>
                <w:highlight w:val="none"/>
              </w:rPr>
            </w:pPr>
          </w:p>
        </w:tc>
        <w:tc>
          <w:tcPr>
            <w:tcW w:w="876" w:type="dxa"/>
            <w:vAlign w:val="center"/>
          </w:tcPr>
          <w:p w14:paraId="6CB60BFF">
            <w:pPr>
              <w:pageBreakBefore w:val="0"/>
              <w:wordWrap/>
              <w:overflowPunct/>
              <w:topLinePunct w:val="0"/>
              <w:bidi w:val="0"/>
              <w:snapToGrid w:val="0"/>
              <w:spacing w:line="360" w:lineRule="auto"/>
              <w:ind w:left="0" w:leftChars="0" w:right="0" w:rightChars="0" w:firstLine="0" w:firstLineChars="0"/>
              <w:jc w:val="right"/>
              <w:rPr>
                <w:rFonts w:hint="eastAsia" w:ascii="宋体" w:hAnsi="宋体" w:eastAsia="宋体" w:cs="宋体"/>
                <w:color w:val="auto"/>
                <w:sz w:val="28"/>
                <w:szCs w:val="28"/>
                <w:highlight w:val="none"/>
              </w:rPr>
            </w:pPr>
          </w:p>
        </w:tc>
      </w:tr>
      <w:tr w14:paraId="6A51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0" w:type="auto"/>
            <w:vAlign w:val="center"/>
          </w:tcPr>
          <w:p w14:paraId="5F93A1F4">
            <w:pPr>
              <w:pageBreakBefore w:val="0"/>
              <w:wordWrap/>
              <w:overflowPunct/>
              <w:topLinePunct w:val="0"/>
              <w:bidi w:val="0"/>
              <w:snapToGrid w:val="0"/>
              <w:spacing w:line="360" w:lineRule="auto"/>
              <w:ind w:left="0" w:leftChars="0" w:right="0" w:righ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0" w:type="auto"/>
            <w:vAlign w:val="center"/>
          </w:tcPr>
          <w:p w14:paraId="23FBBD64">
            <w:pPr>
              <w:pageBreakBefore w:val="0"/>
              <w:wordWrap/>
              <w:overflowPunct/>
              <w:topLinePunct w:val="0"/>
              <w:bidi w:val="0"/>
              <w:snapToGrid w:val="0"/>
              <w:spacing w:line="360" w:lineRule="auto"/>
              <w:ind w:left="0" w:leftChars="0" w:right="0" w:rightChars="0" w:firstLine="0" w:firstLineChars="0"/>
              <w:jc w:val="center"/>
              <w:rPr>
                <w:rFonts w:hint="eastAsia" w:ascii="宋体" w:hAnsi="宋体" w:eastAsia="宋体" w:cs="宋体"/>
                <w:color w:val="auto"/>
                <w:sz w:val="28"/>
                <w:szCs w:val="28"/>
                <w:highlight w:val="none"/>
                <w:lang w:val="en-US" w:eastAsia="zh-CN"/>
              </w:rPr>
            </w:pPr>
          </w:p>
        </w:tc>
        <w:tc>
          <w:tcPr>
            <w:tcW w:w="0" w:type="auto"/>
            <w:vAlign w:val="center"/>
          </w:tcPr>
          <w:p w14:paraId="5C466BDD">
            <w:pPr>
              <w:snapToGrid w:val="0"/>
              <w:spacing w:line="360" w:lineRule="auto"/>
              <w:ind w:left="0" w:leftChars="0" w:right="0" w:rightChars="0" w:firstLine="0" w:firstLineChars="0"/>
              <w:jc w:val="center"/>
              <w:rPr>
                <w:rFonts w:hint="eastAsia" w:ascii="宋体" w:hAnsi="宋体" w:eastAsia="宋体" w:cs="宋体"/>
                <w:color w:val="auto"/>
                <w:sz w:val="28"/>
                <w:highlight w:val="none"/>
              </w:rPr>
            </w:pPr>
          </w:p>
        </w:tc>
        <w:tc>
          <w:tcPr>
            <w:tcW w:w="0" w:type="auto"/>
            <w:vAlign w:val="center"/>
          </w:tcPr>
          <w:p w14:paraId="5C9A6A2A">
            <w:pPr>
              <w:pageBreakBefore w:val="0"/>
              <w:wordWrap/>
              <w:overflowPunct/>
              <w:topLinePunct w:val="0"/>
              <w:bidi w:val="0"/>
              <w:snapToGrid w:val="0"/>
              <w:spacing w:line="360" w:lineRule="auto"/>
              <w:ind w:left="0" w:leftChars="0" w:right="0" w:rightChars="0" w:firstLine="0" w:firstLineChars="0"/>
              <w:jc w:val="center"/>
              <w:rPr>
                <w:rFonts w:hint="eastAsia" w:ascii="宋体" w:hAnsi="宋体" w:eastAsia="宋体" w:cs="宋体"/>
                <w:color w:val="auto"/>
                <w:sz w:val="28"/>
                <w:szCs w:val="28"/>
                <w:highlight w:val="none"/>
              </w:rPr>
            </w:pPr>
          </w:p>
        </w:tc>
        <w:tc>
          <w:tcPr>
            <w:tcW w:w="0" w:type="auto"/>
            <w:vAlign w:val="center"/>
          </w:tcPr>
          <w:p w14:paraId="429609A3">
            <w:pPr>
              <w:pageBreakBefore w:val="0"/>
              <w:wordWrap/>
              <w:overflowPunct/>
              <w:topLinePunct w:val="0"/>
              <w:bidi w:val="0"/>
              <w:snapToGrid w:val="0"/>
              <w:spacing w:line="360" w:lineRule="auto"/>
              <w:ind w:left="0" w:leftChars="0" w:right="0" w:rightChars="0" w:firstLine="0" w:firstLineChars="0"/>
              <w:jc w:val="center"/>
              <w:rPr>
                <w:rFonts w:hint="eastAsia" w:ascii="宋体" w:hAnsi="宋体" w:eastAsia="宋体" w:cs="宋体"/>
                <w:color w:val="auto"/>
                <w:sz w:val="28"/>
                <w:szCs w:val="28"/>
                <w:highlight w:val="none"/>
              </w:rPr>
            </w:pPr>
          </w:p>
        </w:tc>
        <w:tc>
          <w:tcPr>
            <w:tcW w:w="0" w:type="auto"/>
            <w:vAlign w:val="center"/>
          </w:tcPr>
          <w:p w14:paraId="7EFED438">
            <w:pPr>
              <w:pageBreakBefore w:val="0"/>
              <w:wordWrap/>
              <w:overflowPunct/>
              <w:topLinePunct w:val="0"/>
              <w:bidi w:val="0"/>
              <w:snapToGrid w:val="0"/>
              <w:spacing w:line="360" w:lineRule="auto"/>
              <w:ind w:left="0" w:leftChars="0" w:right="0" w:rightChars="0" w:firstLine="0" w:firstLineChars="0"/>
              <w:jc w:val="right"/>
              <w:rPr>
                <w:rFonts w:hint="eastAsia" w:ascii="宋体" w:hAnsi="宋体" w:eastAsia="宋体" w:cs="宋体"/>
                <w:color w:val="auto"/>
                <w:sz w:val="28"/>
                <w:szCs w:val="28"/>
                <w:highlight w:val="none"/>
              </w:rPr>
            </w:pPr>
          </w:p>
        </w:tc>
        <w:tc>
          <w:tcPr>
            <w:tcW w:w="876" w:type="dxa"/>
            <w:vAlign w:val="center"/>
          </w:tcPr>
          <w:p w14:paraId="021FFAC8">
            <w:pPr>
              <w:pageBreakBefore w:val="0"/>
              <w:wordWrap/>
              <w:overflowPunct/>
              <w:topLinePunct w:val="0"/>
              <w:bidi w:val="0"/>
              <w:snapToGrid w:val="0"/>
              <w:spacing w:line="360" w:lineRule="auto"/>
              <w:ind w:left="0" w:leftChars="0" w:right="0" w:rightChars="0" w:firstLine="0" w:firstLineChars="0"/>
              <w:jc w:val="right"/>
              <w:rPr>
                <w:rFonts w:hint="eastAsia" w:ascii="宋体" w:hAnsi="宋体" w:eastAsia="宋体" w:cs="宋体"/>
                <w:color w:val="auto"/>
                <w:sz w:val="28"/>
                <w:szCs w:val="28"/>
                <w:highlight w:val="none"/>
              </w:rPr>
            </w:pPr>
          </w:p>
        </w:tc>
      </w:tr>
      <w:tr w14:paraId="5C1E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exact"/>
          <w:jc w:val="center"/>
        </w:trPr>
        <w:tc>
          <w:tcPr>
            <w:tcW w:w="2345" w:type="dxa"/>
            <w:gridSpan w:val="2"/>
            <w:vAlign w:val="center"/>
          </w:tcPr>
          <w:p w14:paraId="3A0B6E0B">
            <w:pPr>
              <w:snapToGrid w:val="0"/>
              <w:spacing w:line="360" w:lineRule="auto"/>
              <w:ind w:left="0" w:leftChars="0" w:right="0" w:rightChars="0" w:firstLine="0" w:firstLineChars="0"/>
              <w:jc w:val="center"/>
              <w:rPr>
                <w:rFonts w:hint="eastAsia" w:ascii="宋体" w:hAnsi="宋体" w:eastAsia="宋体" w:cs="宋体"/>
                <w:b/>
                <w:color w:val="auto"/>
                <w:sz w:val="24"/>
                <w:szCs w:val="22"/>
                <w:highlight w:val="none"/>
                <w:lang w:val="en-US" w:eastAsia="zh-CN"/>
              </w:rPr>
            </w:pPr>
            <w:r>
              <w:rPr>
                <w:rFonts w:hint="eastAsia" w:ascii="宋体" w:hAnsi="宋体" w:eastAsia="宋体" w:cs="宋体"/>
                <w:b/>
                <w:color w:val="auto"/>
                <w:sz w:val="24"/>
                <w:szCs w:val="22"/>
                <w:highlight w:val="none"/>
                <w:lang w:val="en-US" w:eastAsia="zh-CN"/>
              </w:rPr>
              <w:t>合计</w:t>
            </w:r>
          </w:p>
        </w:tc>
        <w:tc>
          <w:tcPr>
            <w:tcW w:w="6174" w:type="dxa"/>
            <w:gridSpan w:val="5"/>
            <w:vAlign w:val="center"/>
          </w:tcPr>
          <w:p w14:paraId="65960510">
            <w:pPr>
              <w:snapToGrid w:val="0"/>
              <w:spacing w:line="360" w:lineRule="auto"/>
              <w:ind w:left="0" w:leftChars="0" w:right="0" w:rightChars="0" w:firstLine="0" w:firstLineChars="0"/>
              <w:jc w:val="both"/>
              <w:rPr>
                <w:rFonts w:hint="eastAsia" w:ascii="宋体" w:hAnsi="宋体" w:eastAsia="宋体" w:cs="宋体"/>
                <w:b/>
                <w:color w:val="auto"/>
                <w:sz w:val="24"/>
                <w:szCs w:val="22"/>
                <w:highlight w:val="none"/>
                <w:lang w:val="en-US" w:eastAsia="zh-CN"/>
              </w:rPr>
            </w:pPr>
            <w:r>
              <w:rPr>
                <w:rFonts w:hint="eastAsia" w:ascii="宋体" w:hAnsi="宋体" w:eastAsia="宋体" w:cs="宋体"/>
                <w:b/>
                <w:color w:val="auto"/>
                <w:sz w:val="24"/>
                <w:szCs w:val="22"/>
                <w:highlight w:val="none"/>
                <w:lang w:val="en-US" w:eastAsia="zh-CN"/>
              </w:rPr>
              <w:t>小写：     元</w:t>
            </w:r>
          </w:p>
          <w:p w14:paraId="539D32ED">
            <w:pPr>
              <w:snapToGrid w:val="0"/>
              <w:spacing w:line="360" w:lineRule="auto"/>
              <w:ind w:left="0" w:leftChars="0" w:right="0" w:rightChars="0" w:firstLine="0" w:firstLineChars="0"/>
              <w:jc w:val="both"/>
              <w:rPr>
                <w:rFonts w:hint="eastAsia" w:ascii="宋体" w:hAnsi="宋体" w:eastAsia="宋体" w:cs="宋体"/>
                <w:b/>
                <w:color w:val="auto"/>
                <w:sz w:val="24"/>
                <w:szCs w:val="22"/>
                <w:highlight w:val="none"/>
                <w:lang w:val="en-US" w:eastAsia="zh-CN"/>
              </w:rPr>
            </w:pPr>
            <w:r>
              <w:rPr>
                <w:rFonts w:hint="eastAsia" w:ascii="宋体" w:hAnsi="宋体" w:eastAsia="宋体" w:cs="宋体"/>
                <w:b/>
                <w:color w:val="auto"/>
                <w:sz w:val="24"/>
                <w:szCs w:val="22"/>
                <w:highlight w:val="none"/>
                <w:lang w:val="en-US" w:eastAsia="zh-CN"/>
              </w:rPr>
              <w:t>大写：</w:t>
            </w:r>
          </w:p>
        </w:tc>
      </w:tr>
    </w:tbl>
    <w:p w14:paraId="67A562B0">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2C7BD993">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1.投标人</w:t>
      </w:r>
      <w:r>
        <w:rPr>
          <w:rFonts w:hint="eastAsia" w:ascii="宋体" w:hAnsi="宋体" w:eastAsia="宋体" w:cs="宋体"/>
          <w:color w:val="auto"/>
          <w:sz w:val="24"/>
          <w:szCs w:val="24"/>
          <w:highlight w:val="none"/>
        </w:rPr>
        <w:t>填报价格合计应与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函</w:t>
      </w:r>
      <w:r>
        <w:rPr>
          <w:rFonts w:hint="eastAsia" w:ascii="宋体" w:hAnsi="宋体" w:eastAsia="宋体" w:cs="宋体"/>
          <w:color w:val="auto"/>
          <w:sz w:val="24"/>
          <w:szCs w:val="24"/>
          <w:highlight w:val="none"/>
        </w:rPr>
        <w:t>载明价格一致，若不一致，</w:t>
      </w:r>
      <w:r>
        <w:rPr>
          <w:rFonts w:hint="eastAsia" w:ascii="宋体" w:hAnsi="宋体" w:eastAsia="宋体" w:cs="宋体"/>
          <w:color w:val="auto"/>
          <w:sz w:val="24"/>
          <w:szCs w:val="24"/>
          <w:highlight w:val="none"/>
          <w:lang w:val="en-US" w:eastAsia="zh-CN"/>
        </w:rPr>
        <w:t>以投标</w:t>
      </w:r>
      <w:r>
        <w:rPr>
          <w:rFonts w:hint="eastAsia" w:ascii="宋体" w:hAnsi="宋体" w:eastAsia="宋体" w:cs="宋体"/>
          <w:color w:val="auto"/>
          <w:sz w:val="24"/>
          <w:szCs w:val="24"/>
          <w:highlight w:val="none"/>
          <w:lang w:eastAsia="zh-CN"/>
        </w:rPr>
        <w:t>函</w:t>
      </w:r>
      <w:r>
        <w:rPr>
          <w:rFonts w:hint="eastAsia" w:ascii="宋体" w:hAnsi="宋体" w:eastAsia="宋体" w:cs="宋体"/>
          <w:color w:val="auto"/>
          <w:sz w:val="24"/>
          <w:szCs w:val="24"/>
          <w:highlight w:val="none"/>
        </w:rPr>
        <w:t>载明价格</w:t>
      </w:r>
      <w:r>
        <w:rPr>
          <w:rFonts w:hint="eastAsia" w:ascii="宋体" w:hAnsi="宋体" w:eastAsia="宋体" w:cs="宋体"/>
          <w:color w:val="auto"/>
          <w:sz w:val="24"/>
          <w:szCs w:val="24"/>
          <w:highlight w:val="none"/>
          <w:lang w:val="en-US" w:eastAsia="zh-CN"/>
        </w:rPr>
        <w:t>为准；</w:t>
      </w:r>
      <w:r>
        <w:rPr>
          <w:rFonts w:hint="eastAsia" w:ascii="宋体" w:hAnsi="宋体" w:eastAsia="宋体" w:cs="宋体"/>
          <w:color w:val="auto"/>
          <w:sz w:val="24"/>
          <w:szCs w:val="24"/>
          <w:highlight w:val="none"/>
        </w:rPr>
        <w:t>以单价金额</w:t>
      </w:r>
      <w:r>
        <w:rPr>
          <w:rFonts w:hint="eastAsia" w:ascii="宋体" w:hAnsi="宋体" w:eastAsia="宋体" w:cs="宋体"/>
          <w:color w:val="auto"/>
          <w:sz w:val="24"/>
          <w:szCs w:val="24"/>
          <w:highlight w:val="none"/>
          <w:lang w:val="en-US" w:eastAsia="zh-CN"/>
        </w:rPr>
        <w:t>计算的金额与总价不一致时，以单价金额</w:t>
      </w:r>
      <w:r>
        <w:rPr>
          <w:rFonts w:hint="eastAsia" w:ascii="宋体" w:hAnsi="宋体" w:eastAsia="宋体" w:cs="宋体"/>
          <w:color w:val="auto"/>
          <w:sz w:val="24"/>
          <w:szCs w:val="24"/>
          <w:highlight w:val="none"/>
        </w:rPr>
        <w:t>为准修正总价，但单价金额小数点有明显错误的除外。</w:t>
      </w:r>
    </w:p>
    <w:p w14:paraId="17A062D9">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报价包括</w:t>
      </w:r>
      <w:r>
        <w:rPr>
          <w:rFonts w:hint="eastAsia" w:ascii="宋体" w:hAnsi="宋体" w:eastAsia="宋体" w:cs="宋体"/>
          <w:color w:val="auto"/>
          <w:sz w:val="24"/>
          <w:szCs w:val="24"/>
          <w:highlight w:val="none"/>
          <w:lang w:val="en-US" w:eastAsia="zh-CN"/>
        </w:rPr>
        <w:t>服务所需的</w:t>
      </w:r>
      <w:r>
        <w:rPr>
          <w:rFonts w:hint="eastAsia" w:ascii="宋体" w:hAnsi="宋体" w:eastAsia="宋体" w:cs="宋体"/>
          <w:color w:val="auto"/>
          <w:sz w:val="24"/>
          <w:szCs w:val="24"/>
          <w:highlight w:val="none"/>
        </w:rPr>
        <w:t>相关人工费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保险费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税费、保险费、</w:t>
      </w:r>
      <w:r>
        <w:rPr>
          <w:rFonts w:hint="eastAsia" w:ascii="宋体" w:hAnsi="宋体" w:eastAsia="宋体" w:cs="宋体"/>
          <w:color w:val="auto"/>
          <w:sz w:val="24"/>
          <w:szCs w:val="24"/>
          <w:highlight w:val="none"/>
          <w:lang w:val="en-US" w:eastAsia="zh-CN"/>
        </w:rPr>
        <w:t>培训</w:t>
      </w:r>
      <w:r>
        <w:rPr>
          <w:rFonts w:hint="eastAsia" w:ascii="宋体" w:hAnsi="宋体" w:eastAsia="宋体" w:cs="宋体"/>
          <w:color w:val="auto"/>
          <w:sz w:val="24"/>
          <w:szCs w:val="24"/>
          <w:highlight w:val="none"/>
        </w:rPr>
        <w:t>等所有技术和售后服务费用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后采购人不再另行支付</w:t>
      </w:r>
      <w:r>
        <w:rPr>
          <w:rFonts w:hint="eastAsia" w:ascii="宋体" w:hAnsi="宋体" w:eastAsia="宋体" w:cs="宋体"/>
          <w:color w:val="auto"/>
          <w:sz w:val="24"/>
          <w:szCs w:val="24"/>
          <w:highlight w:val="none"/>
          <w:lang w:val="en-US" w:eastAsia="zh-CN"/>
        </w:rPr>
        <w:t>其它费用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7947180C">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投标人</w:t>
      </w:r>
      <w:r>
        <w:rPr>
          <w:rFonts w:hint="eastAsia" w:ascii="宋体" w:hAnsi="宋体" w:eastAsia="宋体" w:cs="宋体"/>
          <w:color w:val="auto"/>
          <w:sz w:val="24"/>
          <w:szCs w:val="24"/>
          <w:highlight w:val="none"/>
        </w:rPr>
        <w:t>名称（盖章）：</w:t>
      </w:r>
    </w:p>
    <w:p w14:paraId="02D41757">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授权人或被授权人</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lang w:val="en-US" w:eastAsia="zh-CN"/>
        </w:rPr>
        <w:t>或签字</w:t>
      </w:r>
      <w:r>
        <w:rPr>
          <w:rFonts w:hint="eastAsia" w:ascii="宋体" w:hAnsi="宋体" w:eastAsia="宋体" w:cs="宋体"/>
          <w:color w:val="auto"/>
          <w:sz w:val="24"/>
          <w:szCs w:val="24"/>
          <w:highlight w:val="none"/>
        </w:rPr>
        <w:t>）：</w:t>
      </w:r>
    </w:p>
    <w:p w14:paraId="6D5F3321">
      <w:pPr>
        <w:spacing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 年 月 日</w:t>
      </w:r>
    </w:p>
    <w:p w14:paraId="6886A68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572CC7E3">
      <w:pPr>
        <w:spacing w:line="360" w:lineRule="auto"/>
        <w:jc w:val="center"/>
        <w:outlineLvl w:val="1"/>
        <w:rPr>
          <w:rFonts w:hint="eastAsia" w:ascii="宋体" w:hAnsi="宋体" w:eastAsia="宋体" w:cs="宋体"/>
          <w:b/>
          <w:bCs/>
          <w:color w:val="auto"/>
          <w:sz w:val="24"/>
          <w:szCs w:val="24"/>
          <w:highlight w:val="none"/>
        </w:rPr>
      </w:pPr>
      <w:bookmarkStart w:id="179" w:name="_Toc25069"/>
      <w:bookmarkStart w:id="180" w:name="_Toc20431"/>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供应商基本情况表</w:t>
      </w:r>
      <w:bookmarkEnd w:id="178"/>
      <w:bookmarkEnd w:id="179"/>
      <w:bookmarkEnd w:id="180"/>
    </w:p>
    <w:tbl>
      <w:tblPr>
        <w:tblStyle w:val="29"/>
        <w:tblW w:w="0" w:type="auto"/>
        <w:tblInd w:w="0" w:type="dxa"/>
        <w:tblLayout w:type="fixed"/>
        <w:tblCellMar>
          <w:top w:w="0" w:type="dxa"/>
          <w:left w:w="108" w:type="dxa"/>
          <w:bottom w:w="0" w:type="dxa"/>
          <w:right w:w="108" w:type="dxa"/>
        </w:tblCellMar>
      </w:tblPr>
      <w:tblGrid>
        <w:gridCol w:w="1513"/>
        <w:gridCol w:w="1179"/>
        <w:gridCol w:w="2188"/>
        <w:gridCol w:w="1533"/>
        <w:gridCol w:w="2104"/>
      </w:tblGrid>
      <w:tr w14:paraId="0B63CD24">
        <w:tblPrEx>
          <w:tblCellMar>
            <w:top w:w="0" w:type="dxa"/>
            <w:left w:w="108" w:type="dxa"/>
            <w:bottom w:w="0" w:type="dxa"/>
            <w:right w:w="108" w:type="dxa"/>
          </w:tblCellMar>
        </w:tblPrEx>
        <w:trPr>
          <w:trHeight w:val="1080" w:hRule="atLeast"/>
        </w:trPr>
        <w:tc>
          <w:tcPr>
            <w:tcW w:w="1513" w:type="dxa"/>
            <w:tcBorders>
              <w:top w:val="single" w:color="auto" w:sz="4" w:space="0"/>
              <w:left w:val="single" w:color="auto" w:sz="4" w:space="0"/>
              <w:bottom w:val="single" w:color="auto" w:sz="4" w:space="0"/>
              <w:right w:val="single" w:color="auto" w:sz="4" w:space="0"/>
            </w:tcBorders>
            <w:vAlign w:val="center"/>
          </w:tcPr>
          <w:p w14:paraId="00E8AF9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3367" w:type="dxa"/>
            <w:gridSpan w:val="2"/>
            <w:tcBorders>
              <w:top w:val="single" w:color="auto" w:sz="4" w:space="0"/>
              <w:left w:val="nil"/>
              <w:bottom w:val="single" w:color="auto" w:sz="4" w:space="0"/>
              <w:right w:val="single" w:color="000000" w:sz="4" w:space="0"/>
            </w:tcBorders>
            <w:vAlign w:val="center"/>
          </w:tcPr>
          <w:p w14:paraId="4BC85086">
            <w:pPr>
              <w:spacing w:line="360" w:lineRule="auto"/>
              <w:jc w:val="center"/>
              <w:rPr>
                <w:rFonts w:hint="eastAsia" w:ascii="宋体" w:hAnsi="宋体" w:eastAsia="宋体" w:cs="宋体"/>
                <w:color w:val="auto"/>
                <w:sz w:val="24"/>
                <w:szCs w:val="24"/>
                <w:highlight w:val="none"/>
              </w:rPr>
            </w:pPr>
          </w:p>
        </w:tc>
        <w:tc>
          <w:tcPr>
            <w:tcW w:w="1533" w:type="dxa"/>
            <w:tcBorders>
              <w:top w:val="single" w:color="auto" w:sz="4" w:space="0"/>
              <w:left w:val="nil"/>
              <w:bottom w:val="single" w:color="auto" w:sz="4" w:space="0"/>
              <w:right w:val="single" w:color="auto" w:sz="4" w:space="0"/>
            </w:tcBorders>
            <w:vAlign w:val="center"/>
          </w:tcPr>
          <w:p w14:paraId="700632F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供应商类型</w:t>
            </w:r>
          </w:p>
        </w:tc>
        <w:tc>
          <w:tcPr>
            <w:tcW w:w="2104" w:type="dxa"/>
            <w:tcBorders>
              <w:top w:val="single" w:color="auto" w:sz="4" w:space="0"/>
              <w:left w:val="nil"/>
              <w:bottom w:val="single" w:color="auto" w:sz="4" w:space="0"/>
              <w:right w:val="single" w:color="auto" w:sz="4" w:space="0"/>
            </w:tcBorders>
            <w:vAlign w:val="center"/>
          </w:tcPr>
          <w:p w14:paraId="692A055E">
            <w:pPr>
              <w:spacing w:line="360" w:lineRule="auto"/>
              <w:jc w:val="center"/>
              <w:rPr>
                <w:rFonts w:hint="eastAsia" w:ascii="宋体" w:hAnsi="宋体" w:eastAsia="宋体" w:cs="宋体"/>
                <w:color w:val="auto"/>
                <w:sz w:val="24"/>
                <w:szCs w:val="24"/>
                <w:highlight w:val="none"/>
              </w:rPr>
            </w:pPr>
          </w:p>
        </w:tc>
      </w:tr>
      <w:tr w14:paraId="389F4D9B">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717094F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367" w:type="dxa"/>
            <w:gridSpan w:val="2"/>
            <w:tcBorders>
              <w:top w:val="single" w:color="auto" w:sz="4" w:space="0"/>
              <w:left w:val="nil"/>
              <w:bottom w:val="single" w:color="auto" w:sz="4" w:space="0"/>
              <w:right w:val="single" w:color="000000" w:sz="4" w:space="0"/>
            </w:tcBorders>
            <w:vAlign w:val="center"/>
          </w:tcPr>
          <w:p w14:paraId="3CC3010E">
            <w:pPr>
              <w:spacing w:line="360" w:lineRule="auto"/>
              <w:jc w:val="center"/>
              <w:rPr>
                <w:rFonts w:hint="eastAsia" w:ascii="宋体" w:hAnsi="宋体" w:eastAsia="宋体" w:cs="宋体"/>
                <w:color w:val="auto"/>
                <w:sz w:val="24"/>
                <w:szCs w:val="24"/>
                <w:highlight w:val="none"/>
              </w:rPr>
            </w:pPr>
          </w:p>
        </w:tc>
        <w:tc>
          <w:tcPr>
            <w:tcW w:w="1533" w:type="dxa"/>
            <w:tcBorders>
              <w:top w:val="nil"/>
              <w:left w:val="nil"/>
              <w:bottom w:val="single" w:color="auto" w:sz="4" w:space="0"/>
              <w:right w:val="single" w:color="auto" w:sz="4" w:space="0"/>
            </w:tcBorders>
            <w:vAlign w:val="center"/>
          </w:tcPr>
          <w:p w14:paraId="4C8DF4E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104" w:type="dxa"/>
            <w:tcBorders>
              <w:top w:val="nil"/>
              <w:left w:val="nil"/>
              <w:bottom w:val="single" w:color="auto" w:sz="4" w:space="0"/>
              <w:right w:val="single" w:color="auto" w:sz="4" w:space="0"/>
            </w:tcBorders>
            <w:vAlign w:val="center"/>
          </w:tcPr>
          <w:p w14:paraId="6368E2D3">
            <w:pPr>
              <w:spacing w:line="360" w:lineRule="auto"/>
              <w:jc w:val="center"/>
              <w:rPr>
                <w:rFonts w:hint="eastAsia" w:ascii="宋体" w:hAnsi="宋体" w:eastAsia="宋体" w:cs="宋体"/>
                <w:color w:val="auto"/>
                <w:sz w:val="24"/>
                <w:szCs w:val="24"/>
                <w:highlight w:val="none"/>
              </w:rPr>
            </w:pPr>
          </w:p>
        </w:tc>
      </w:tr>
      <w:tr w14:paraId="1B6DF850">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4712CB2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3367" w:type="dxa"/>
            <w:gridSpan w:val="2"/>
            <w:tcBorders>
              <w:top w:val="single" w:color="auto" w:sz="4" w:space="0"/>
              <w:left w:val="nil"/>
              <w:bottom w:val="single" w:color="auto" w:sz="4" w:space="0"/>
              <w:right w:val="single" w:color="000000" w:sz="4" w:space="0"/>
            </w:tcBorders>
            <w:vAlign w:val="center"/>
          </w:tcPr>
          <w:p w14:paraId="7CC96E6C">
            <w:pPr>
              <w:spacing w:line="360" w:lineRule="auto"/>
              <w:jc w:val="center"/>
              <w:rPr>
                <w:rFonts w:hint="eastAsia" w:ascii="宋体" w:hAnsi="宋体" w:eastAsia="宋体" w:cs="宋体"/>
                <w:color w:val="auto"/>
                <w:sz w:val="24"/>
                <w:szCs w:val="24"/>
                <w:highlight w:val="none"/>
              </w:rPr>
            </w:pPr>
          </w:p>
        </w:tc>
        <w:tc>
          <w:tcPr>
            <w:tcW w:w="1533" w:type="dxa"/>
            <w:tcBorders>
              <w:top w:val="nil"/>
              <w:left w:val="nil"/>
              <w:bottom w:val="single" w:color="auto" w:sz="4" w:space="0"/>
              <w:right w:val="single" w:color="auto" w:sz="4" w:space="0"/>
            </w:tcBorders>
            <w:vAlign w:val="center"/>
          </w:tcPr>
          <w:p w14:paraId="254D453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企业性质</w:t>
            </w:r>
          </w:p>
        </w:tc>
        <w:tc>
          <w:tcPr>
            <w:tcW w:w="2104" w:type="dxa"/>
            <w:tcBorders>
              <w:top w:val="nil"/>
              <w:left w:val="nil"/>
              <w:bottom w:val="single" w:color="auto" w:sz="4" w:space="0"/>
              <w:right w:val="single" w:color="auto" w:sz="4" w:space="0"/>
            </w:tcBorders>
            <w:vAlign w:val="center"/>
          </w:tcPr>
          <w:p w14:paraId="404566E3">
            <w:pPr>
              <w:spacing w:line="360" w:lineRule="auto"/>
              <w:jc w:val="center"/>
              <w:rPr>
                <w:rFonts w:hint="eastAsia" w:ascii="宋体" w:hAnsi="宋体" w:eastAsia="宋体" w:cs="宋体"/>
                <w:color w:val="auto"/>
                <w:sz w:val="24"/>
                <w:szCs w:val="24"/>
                <w:highlight w:val="none"/>
              </w:rPr>
            </w:pPr>
          </w:p>
        </w:tc>
      </w:tr>
      <w:tr w14:paraId="5E2E7B62">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4BA141E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社会统一信用代码</w:t>
            </w:r>
          </w:p>
        </w:tc>
        <w:tc>
          <w:tcPr>
            <w:tcW w:w="3367" w:type="dxa"/>
            <w:gridSpan w:val="2"/>
            <w:tcBorders>
              <w:top w:val="single" w:color="auto" w:sz="4" w:space="0"/>
              <w:left w:val="nil"/>
              <w:bottom w:val="single" w:color="auto" w:sz="4" w:space="0"/>
              <w:right w:val="single" w:color="000000" w:sz="4" w:space="0"/>
            </w:tcBorders>
            <w:vAlign w:val="center"/>
          </w:tcPr>
          <w:p w14:paraId="219A2540">
            <w:pPr>
              <w:spacing w:line="360" w:lineRule="auto"/>
              <w:jc w:val="center"/>
              <w:rPr>
                <w:rFonts w:hint="eastAsia" w:ascii="宋体" w:hAnsi="宋体" w:eastAsia="宋体" w:cs="宋体"/>
                <w:color w:val="auto"/>
                <w:sz w:val="24"/>
                <w:szCs w:val="24"/>
                <w:highlight w:val="none"/>
              </w:rPr>
            </w:pPr>
          </w:p>
        </w:tc>
        <w:tc>
          <w:tcPr>
            <w:tcW w:w="1533" w:type="dxa"/>
            <w:tcBorders>
              <w:top w:val="nil"/>
              <w:left w:val="nil"/>
              <w:bottom w:val="single" w:color="auto" w:sz="4" w:space="0"/>
              <w:right w:val="single" w:color="auto" w:sz="4" w:space="0"/>
            </w:tcBorders>
            <w:vAlign w:val="center"/>
          </w:tcPr>
          <w:p w14:paraId="3CB9748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104" w:type="dxa"/>
            <w:tcBorders>
              <w:top w:val="nil"/>
              <w:left w:val="nil"/>
              <w:bottom w:val="single" w:color="auto" w:sz="4" w:space="0"/>
              <w:right w:val="single" w:color="auto" w:sz="4" w:space="0"/>
            </w:tcBorders>
            <w:vAlign w:val="center"/>
          </w:tcPr>
          <w:p w14:paraId="0B4D9994">
            <w:pPr>
              <w:spacing w:line="360" w:lineRule="auto"/>
              <w:jc w:val="center"/>
              <w:rPr>
                <w:rFonts w:hint="eastAsia" w:ascii="宋体" w:hAnsi="宋体" w:eastAsia="宋体" w:cs="宋体"/>
                <w:color w:val="auto"/>
                <w:sz w:val="24"/>
                <w:szCs w:val="24"/>
                <w:highlight w:val="none"/>
              </w:rPr>
            </w:pPr>
          </w:p>
        </w:tc>
      </w:tr>
      <w:tr w14:paraId="5CF81F23">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40FFA1B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179" w:type="dxa"/>
            <w:tcBorders>
              <w:top w:val="nil"/>
              <w:left w:val="nil"/>
              <w:bottom w:val="single" w:color="auto" w:sz="4" w:space="0"/>
              <w:right w:val="single" w:color="auto" w:sz="4" w:space="0"/>
            </w:tcBorders>
            <w:vAlign w:val="center"/>
          </w:tcPr>
          <w:p w14:paraId="27E0EEE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188" w:type="dxa"/>
            <w:tcBorders>
              <w:top w:val="nil"/>
              <w:left w:val="nil"/>
              <w:bottom w:val="single" w:color="auto" w:sz="4" w:space="0"/>
              <w:right w:val="single" w:color="auto" w:sz="4" w:space="0"/>
            </w:tcBorders>
            <w:vAlign w:val="center"/>
          </w:tcPr>
          <w:p w14:paraId="666EC7AA">
            <w:pPr>
              <w:spacing w:line="360" w:lineRule="auto"/>
              <w:jc w:val="center"/>
              <w:rPr>
                <w:rFonts w:hint="eastAsia" w:ascii="宋体" w:hAnsi="宋体" w:eastAsia="宋体" w:cs="宋体"/>
                <w:color w:val="auto"/>
                <w:sz w:val="24"/>
                <w:szCs w:val="24"/>
                <w:highlight w:val="none"/>
              </w:rPr>
            </w:pPr>
          </w:p>
          <w:p w14:paraId="3F16C47E">
            <w:pPr>
              <w:spacing w:line="360" w:lineRule="auto"/>
              <w:ind w:firstLine="240" w:firstLineChars="100"/>
              <w:jc w:val="center"/>
              <w:rPr>
                <w:rFonts w:hint="eastAsia" w:ascii="宋体" w:hAnsi="宋体" w:eastAsia="宋体" w:cs="宋体"/>
                <w:color w:val="auto"/>
                <w:sz w:val="24"/>
                <w:szCs w:val="24"/>
                <w:highlight w:val="none"/>
              </w:rPr>
            </w:pPr>
          </w:p>
        </w:tc>
        <w:tc>
          <w:tcPr>
            <w:tcW w:w="1533" w:type="dxa"/>
            <w:tcBorders>
              <w:top w:val="nil"/>
              <w:left w:val="nil"/>
              <w:bottom w:val="single" w:color="auto" w:sz="4" w:space="0"/>
              <w:right w:val="single" w:color="auto" w:sz="4" w:space="0"/>
            </w:tcBorders>
            <w:vAlign w:val="center"/>
          </w:tcPr>
          <w:p w14:paraId="4441160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104" w:type="dxa"/>
            <w:tcBorders>
              <w:top w:val="nil"/>
              <w:left w:val="nil"/>
              <w:bottom w:val="single" w:color="auto" w:sz="4" w:space="0"/>
              <w:right w:val="single" w:color="auto" w:sz="4" w:space="0"/>
            </w:tcBorders>
            <w:vAlign w:val="center"/>
          </w:tcPr>
          <w:p w14:paraId="34182406">
            <w:pPr>
              <w:spacing w:line="360" w:lineRule="auto"/>
              <w:jc w:val="center"/>
              <w:rPr>
                <w:rFonts w:hint="eastAsia" w:ascii="宋体" w:hAnsi="宋体" w:eastAsia="宋体" w:cs="宋体"/>
                <w:color w:val="auto"/>
                <w:sz w:val="24"/>
                <w:szCs w:val="24"/>
                <w:highlight w:val="none"/>
              </w:rPr>
            </w:pPr>
          </w:p>
        </w:tc>
      </w:tr>
      <w:tr w14:paraId="37E3A68E">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06E0456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179" w:type="dxa"/>
            <w:tcBorders>
              <w:top w:val="nil"/>
              <w:left w:val="nil"/>
              <w:bottom w:val="single" w:color="auto" w:sz="4" w:space="0"/>
              <w:right w:val="single" w:color="auto" w:sz="4" w:space="0"/>
            </w:tcBorders>
            <w:vAlign w:val="center"/>
          </w:tcPr>
          <w:p w14:paraId="7268619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188" w:type="dxa"/>
            <w:tcBorders>
              <w:top w:val="single" w:color="auto" w:sz="4" w:space="0"/>
              <w:left w:val="nil"/>
              <w:bottom w:val="single" w:color="auto" w:sz="4" w:space="0"/>
              <w:right w:val="single" w:color="000000" w:sz="4" w:space="0"/>
            </w:tcBorders>
            <w:vAlign w:val="center"/>
          </w:tcPr>
          <w:p w14:paraId="79623719">
            <w:pPr>
              <w:spacing w:line="360" w:lineRule="auto"/>
              <w:jc w:val="center"/>
              <w:rPr>
                <w:rFonts w:hint="eastAsia" w:ascii="宋体" w:hAnsi="宋体" w:eastAsia="宋体" w:cs="宋体"/>
                <w:color w:val="auto"/>
                <w:sz w:val="24"/>
                <w:szCs w:val="24"/>
                <w:highlight w:val="none"/>
              </w:rPr>
            </w:pPr>
          </w:p>
        </w:tc>
        <w:tc>
          <w:tcPr>
            <w:tcW w:w="1533" w:type="dxa"/>
            <w:tcBorders>
              <w:top w:val="nil"/>
              <w:left w:val="nil"/>
              <w:bottom w:val="single" w:color="auto" w:sz="4" w:space="0"/>
              <w:right w:val="single" w:color="auto" w:sz="4" w:space="0"/>
            </w:tcBorders>
            <w:vAlign w:val="center"/>
          </w:tcPr>
          <w:p w14:paraId="5597F9A6">
            <w:pPr>
              <w:spacing w:line="360" w:lineRule="auto"/>
              <w:ind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104" w:type="dxa"/>
            <w:tcBorders>
              <w:top w:val="nil"/>
              <w:left w:val="nil"/>
              <w:bottom w:val="single" w:color="auto" w:sz="4" w:space="0"/>
              <w:right w:val="single" w:color="auto" w:sz="4" w:space="0"/>
            </w:tcBorders>
            <w:vAlign w:val="center"/>
          </w:tcPr>
          <w:p w14:paraId="23535F90">
            <w:pPr>
              <w:spacing w:line="360" w:lineRule="auto"/>
              <w:jc w:val="center"/>
              <w:rPr>
                <w:rFonts w:hint="eastAsia" w:ascii="宋体" w:hAnsi="宋体" w:eastAsia="宋体" w:cs="宋体"/>
                <w:color w:val="auto"/>
                <w:sz w:val="24"/>
                <w:szCs w:val="24"/>
                <w:highlight w:val="none"/>
              </w:rPr>
            </w:pPr>
          </w:p>
        </w:tc>
      </w:tr>
      <w:tr w14:paraId="7B1BD322">
        <w:tblPrEx>
          <w:tblCellMar>
            <w:top w:w="0" w:type="dxa"/>
            <w:left w:w="108" w:type="dxa"/>
            <w:bottom w:w="0" w:type="dxa"/>
            <w:right w:w="108" w:type="dxa"/>
          </w:tblCellMar>
        </w:tblPrEx>
        <w:trPr>
          <w:trHeight w:val="930" w:hRule="atLeast"/>
        </w:trPr>
        <w:tc>
          <w:tcPr>
            <w:tcW w:w="2692" w:type="dxa"/>
            <w:gridSpan w:val="2"/>
            <w:tcBorders>
              <w:top w:val="nil"/>
              <w:left w:val="single" w:color="auto" w:sz="4" w:space="0"/>
              <w:bottom w:val="single" w:color="auto" w:sz="4" w:space="0"/>
              <w:right w:val="single" w:color="auto" w:sz="4" w:space="0"/>
            </w:tcBorders>
            <w:vAlign w:val="center"/>
          </w:tcPr>
          <w:p w14:paraId="3E1E1FF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供应商邮箱</w:t>
            </w:r>
          </w:p>
        </w:tc>
        <w:tc>
          <w:tcPr>
            <w:tcW w:w="2188" w:type="dxa"/>
            <w:tcBorders>
              <w:top w:val="single" w:color="auto" w:sz="4" w:space="0"/>
              <w:left w:val="nil"/>
              <w:bottom w:val="single" w:color="auto" w:sz="4" w:space="0"/>
              <w:right w:val="single" w:color="000000" w:sz="4" w:space="0"/>
            </w:tcBorders>
            <w:vAlign w:val="center"/>
          </w:tcPr>
          <w:p w14:paraId="1E160B1E">
            <w:pPr>
              <w:spacing w:line="360" w:lineRule="auto"/>
              <w:jc w:val="center"/>
              <w:rPr>
                <w:rFonts w:hint="eastAsia" w:ascii="宋体" w:hAnsi="宋体" w:eastAsia="宋体" w:cs="宋体"/>
                <w:color w:val="auto"/>
                <w:sz w:val="24"/>
                <w:szCs w:val="24"/>
                <w:highlight w:val="none"/>
              </w:rPr>
            </w:pPr>
          </w:p>
        </w:tc>
        <w:tc>
          <w:tcPr>
            <w:tcW w:w="1533" w:type="dxa"/>
            <w:tcBorders>
              <w:top w:val="nil"/>
              <w:left w:val="nil"/>
              <w:bottom w:val="single" w:color="auto" w:sz="4" w:space="0"/>
              <w:right w:val="single" w:color="auto" w:sz="4" w:space="0"/>
            </w:tcBorders>
            <w:vAlign w:val="center"/>
          </w:tcPr>
          <w:p w14:paraId="267AC3E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供应商网址</w:t>
            </w:r>
          </w:p>
        </w:tc>
        <w:tc>
          <w:tcPr>
            <w:tcW w:w="2104" w:type="dxa"/>
            <w:tcBorders>
              <w:top w:val="nil"/>
              <w:left w:val="nil"/>
              <w:bottom w:val="single" w:color="auto" w:sz="4" w:space="0"/>
              <w:right w:val="single" w:color="auto" w:sz="4" w:space="0"/>
            </w:tcBorders>
            <w:vAlign w:val="center"/>
          </w:tcPr>
          <w:p w14:paraId="6AE13E82">
            <w:pPr>
              <w:spacing w:line="360" w:lineRule="auto"/>
              <w:jc w:val="center"/>
              <w:rPr>
                <w:rFonts w:hint="eastAsia" w:ascii="宋体" w:hAnsi="宋体" w:eastAsia="宋体" w:cs="宋体"/>
                <w:color w:val="auto"/>
                <w:sz w:val="24"/>
                <w:szCs w:val="24"/>
                <w:highlight w:val="none"/>
              </w:rPr>
            </w:pPr>
          </w:p>
        </w:tc>
      </w:tr>
      <w:tr w14:paraId="4543613D">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2124DEA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3367" w:type="dxa"/>
            <w:gridSpan w:val="2"/>
            <w:tcBorders>
              <w:top w:val="single" w:color="auto" w:sz="4" w:space="0"/>
              <w:left w:val="nil"/>
              <w:bottom w:val="single" w:color="auto" w:sz="4" w:space="0"/>
              <w:right w:val="single" w:color="000000" w:sz="4" w:space="0"/>
            </w:tcBorders>
            <w:vAlign w:val="center"/>
          </w:tcPr>
          <w:p w14:paraId="4CBCED25">
            <w:pPr>
              <w:spacing w:line="360" w:lineRule="auto"/>
              <w:jc w:val="center"/>
              <w:rPr>
                <w:rFonts w:hint="eastAsia" w:ascii="宋体" w:hAnsi="宋体" w:eastAsia="宋体" w:cs="宋体"/>
                <w:color w:val="auto"/>
                <w:sz w:val="24"/>
                <w:szCs w:val="24"/>
                <w:highlight w:val="none"/>
              </w:rPr>
            </w:pPr>
          </w:p>
        </w:tc>
        <w:tc>
          <w:tcPr>
            <w:tcW w:w="1533" w:type="dxa"/>
            <w:tcBorders>
              <w:top w:val="nil"/>
              <w:left w:val="nil"/>
              <w:bottom w:val="single" w:color="auto" w:sz="4" w:space="0"/>
              <w:right w:val="single" w:color="auto" w:sz="4" w:space="0"/>
            </w:tcBorders>
            <w:vAlign w:val="center"/>
          </w:tcPr>
          <w:p w14:paraId="259A816D">
            <w:pPr>
              <w:spacing w:line="360" w:lineRule="auto"/>
              <w:ind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2104" w:type="dxa"/>
            <w:tcBorders>
              <w:top w:val="nil"/>
              <w:left w:val="nil"/>
              <w:bottom w:val="single" w:color="auto" w:sz="4" w:space="0"/>
              <w:right w:val="single" w:color="auto" w:sz="4" w:space="0"/>
            </w:tcBorders>
            <w:vAlign w:val="center"/>
          </w:tcPr>
          <w:p w14:paraId="1CA19CF8">
            <w:pPr>
              <w:spacing w:line="360" w:lineRule="auto"/>
              <w:jc w:val="center"/>
              <w:rPr>
                <w:rFonts w:hint="eastAsia" w:ascii="宋体" w:hAnsi="宋体" w:eastAsia="宋体" w:cs="宋体"/>
                <w:color w:val="auto"/>
                <w:sz w:val="24"/>
                <w:szCs w:val="24"/>
                <w:highlight w:val="none"/>
              </w:rPr>
            </w:pPr>
          </w:p>
        </w:tc>
      </w:tr>
      <w:tr w14:paraId="48C26492">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7E853A3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004" w:type="dxa"/>
            <w:gridSpan w:val="4"/>
            <w:tcBorders>
              <w:top w:val="single" w:color="auto" w:sz="4" w:space="0"/>
              <w:left w:val="nil"/>
              <w:bottom w:val="single" w:color="auto" w:sz="4" w:space="0"/>
              <w:right w:val="single" w:color="000000" w:sz="4" w:space="0"/>
            </w:tcBorders>
            <w:vAlign w:val="center"/>
          </w:tcPr>
          <w:p w14:paraId="503E1345">
            <w:pPr>
              <w:spacing w:line="360" w:lineRule="auto"/>
              <w:jc w:val="center"/>
              <w:rPr>
                <w:rFonts w:hint="eastAsia" w:ascii="宋体" w:hAnsi="宋体" w:eastAsia="宋体" w:cs="宋体"/>
                <w:color w:val="auto"/>
                <w:sz w:val="24"/>
                <w:szCs w:val="24"/>
                <w:highlight w:val="none"/>
              </w:rPr>
            </w:pPr>
          </w:p>
        </w:tc>
      </w:tr>
      <w:tr w14:paraId="0E1DCDDC">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3E456CB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004" w:type="dxa"/>
            <w:gridSpan w:val="4"/>
            <w:tcBorders>
              <w:top w:val="single" w:color="auto" w:sz="4" w:space="0"/>
              <w:left w:val="nil"/>
              <w:bottom w:val="single" w:color="auto" w:sz="4" w:space="0"/>
              <w:right w:val="single" w:color="000000" w:sz="4" w:space="0"/>
            </w:tcBorders>
            <w:vAlign w:val="center"/>
          </w:tcPr>
          <w:p w14:paraId="667B5B7D">
            <w:pPr>
              <w:spacing w:line="360" w:lineRule="auto"/>
              <w:jc w:val="center"/>
              <w:rPr>
                <w:rFonts w:hint="eastAsia" w:ascii="宋体" w:hAnsi="宋体" w:eastAsia="宋体" w:cs="宋体"/>
                <w:color w:val="auto"/>
                <w:sz w:val="24"/>
                <w:szCs w:val="24"/>
                <w:highlight w:val="none"/>
              </w:rPr>
            </w:pPr>
          </w:p>
        </w:tc>
      </w:tr>
    </w:tbl>
    <w:p w14:paraId="48AFC05F">
      <w:pPr>
        <w:spacing w:line="360" w:lineRule="auto"/>
        <w:rPr>
          <w:rFonts w:hint="eastAsia" w:ascii="宋体" w:hAnsi="宋体" w:eastAsia="宋体" w:cs="宋体"/>
          <w:color w:val="auto"/>
          <w:sz w:val="24"/>
          <w:szCs w:val="24"/>
          <w:highlight w:val="none"/>
        </w:rPr>
      </w:pPr>
      <w:bookmarkStart w:id="181" w:name="_Toc26218"/>
      <w:r>
        <w:rPr>
          <w:rFonts w:hint="eastAsia" w:ascii="宋体" w:hAnsi="宋体" w:eastAsia="宋体" w:cs="宋体"/>
          <w:color w:val="auto"/>
          <w:sz w:val="24"/>
          <w:szCs w:val="24"/>
          <w:highlight w:val="none"/>
        </w:rPr>
        <w:t>备注：后附营业执照等</w:t>
      </w:r>
      <w:r>
        <w:rPr>
          <w:rFonts w:hint="eastAsia" w:ascii="宋体" w:hAnsi="宋体" w:eastAsia="宋体" w:cs="宋体"/>
          <w:color w:val="auto"/>
          <w:sz w:val="24"/>
          <w:szCs w:val="24"/>
          <w:highlight w:val="none"/>
          <w:lang w:eastAsia="zh-Hans"/>
        </w:rPr>
        <w:t>相关证明材料。</w:t>
      </w:r>
      <w:r>
        <w:rPr>
          <w:rFonts w:hint="eastAsia" w:ascii="宋体" w:hAnsi="宋体" w:eastAsia="宋体" w:cs="宋体"/>
          <w:color w:val="auto"/>
          <w:sz w:val="24"/>
          <w:szCs w:val="24"/>
          <w:highlight w:val="none"/>
        </w:rPr>
        <w:t xml:space="preserve">    </w:t>
      </w:r>
    </w:p>
    <w:p w14:paraId="33863C4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E0A772D">
      <w:pPr>
        <w:spacing w:line="360" w:lineRule="auto"/>
        <w:jc w:val="center"/>
        <w:outlineLvl w:val="1"/>
        <w:rPr>
          <w:rFonts w:hint="eastAsia" w:ascii="宋体" w:hAnsi="宋体" w:eastAsia="宋体" w:cs="宋体"/>
          <w:b/>
          <w:sz w:val="24"/>
          <w:highlight w:val="none"/>
        </w:rPr>
      </w:pPr>
      <w:bookmarkStart w:id="182" w:name="_Toc128476878"/>
      <w:bookmarkStart w:id="183" w:name="_Toc28946"/>
      <w:bookmarkStart w:id="184" w:name="_Toc113901849"/>
      <w:bookmarkStart w:id="185" w:name="_Toc142664978"/>
      <w:bookmarkStart w:id="186" w:name="_Toc3020"/>
      <w:r>
        <w:rPr>
          <w:rFonts w:hint="eastAsia" w:ascii="宋体" w:hAnsi="宋体" w:eastAsia="宋体" w:cs="宋体"/>
          <w:b/>
          <w:sz w:val="24"/>
          <w:highlight w:val="none"/>
        </w:rPr>
        <w:t>4.1、具有独立承担民事责任的能力；</w:t>
      </w:r>
    </w:p>
    <w:bookmarkEnd w:id="182"/>
    <w:bookmarkEnd w:id="183"/>
    <w:bookmarkEnd w:id="184"/>
    <w:bookmarkEnd w:id="185"/>
    <w:bookmarkEnd w:id="186"/>
    <w:p w14:paraId="322D447E">
      <w:pPr>
        <w:spacing w:line="360" w:lineRule="auto"/>
        <w:rPr>
          <w:rFonts w:hint="eastAsia" w:ascii="宋体" w:hAnsi="宋体" w:eastAsia="宋体" w:cs="宋体"/>
          <w:sz w:val="24"/>
          <w:highlight w:val="none"/>
        </w:rPr>
      </w:pPr>
      <w:r>
        <w:rPr>
          <w:rFonts w:hint="eastAsia" w:ascii="宋体" w:hAnsi="宋体" w:eastAsia="宋体" w:cs="宋体"/>
          <w:kern w:val="0"/>
          <w:sz w:val="24"/>
          <w:highlight w:val="none"/>
        </w:rPr>
        <w:t>提供：法人或者其他组织的营业执照等证明文件，自然人的身份证明</w:t>
      </w:r>
    </w:p>
    <w:p w14:paraId="4C89760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一、如供应商是企业（包括合伙企业)，应提供在工商部门注册的有效“企业法人营业执照”或“营业执照”;</w:t>
      </w:r>
    </w:p>
    <w:p w14:paraId="7B4B4B2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二、如供应商是事业单位，应提供有效的“事业单位法人证书”;</w:t>
      </w:r>
    </w:p>
    <w:p w14:paraId="2AC6A0D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三、供应商是非企业专业服务机构的，应提供执业许可证等证明文件;</w:t>
      </w:r>
    </w:p>
    <w:p w14:paraId="108B3A2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四、如供应商是个体工商户，应提供有效的“个体工商户营业执照”;</w:t>
      </w:r>
    </w:p>
    <w:p w14:paraId="7357D03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五、如供应商是自然人，应提供有效的自然人身份证明。</w:t>
      </w:r>
    </w:p>
    <w:p w14:paraId="3587C55D">
      <w:pPr>
        <w:spacing w:line="360" w:lineRule="auto"/>
        <w:rPr>
          <w:rFonts w:hint="eastAsia" w:ascii="宋体" w:hAnsi="宋体" w:eastAsia="宋体" w:cs="宋体"/>
          <w:sz w:val="24"/>
          <w:highlight w:val="none"/>
        </w:rPr>
      </w:pPr>
    </w:p>
    <w:p w14:paraId="7E241439">
      <w:pPr>
        <w:spacing w:line="360" w:lineRule="auto"/>
        <w:rPr>
          <w:rFonts w:hint="eastAsia" w:ascii="宋体" w:hAnsi="宋体" w:eastAsia="宋体" w:cs="宋体"/>
          <w:sz w:val="24"/>
          <w:highlight w:val="none"/>
        </w:rPr>
      </w:pPr>
    </w:p>
    <w:p w14:paraId="69B1927F">
      <w:pPr>
        <w:widowControl/>
        <w:spacing w:line="360" w:lineRule="auto"/>
        <w:jc w:val="left"/>
        <w:rPr>
          <w:rFonts w:hint="eastAsia" w:ascii="宋体" w:hAnsi="宋体" w:eastAsia="宋体" w:cs="宋体"/>
          <w:b/>
          <w:sz w:val="24"/>
          <w:highlight w:val="none"/>
        </w:rPr>
      </w:pPr>
      <w:r>
        <w:rPr>
          <w:rFonts w:hint="eastAsia" w:ascii="宋体" w:hAnsi="宋体" w:eastAsia="宋体" w:cs="宋体"/>
          <w:b/>
          <w:sz w:val="24"/>
          <w:highlight w:val="none"/>
        </w:rPr>
        <w:br w:type="page"/>
      </w:r>
    </w:p>
    <w:p w14:paraId="63DA713E">
      <w:pPr>
        <w:spacing w:line="360" w:lineRule="auto"/>
        <w:jc w:val="center"/>
        <w:outlineLvl w:val="1"/>
        <w:rPr>
          <w:rFonts w:hint="eastAsia" w:ascii="宋体" w:hAnsi="宋体" w:eastAsia="宋体" w:cs="宋体"/>
          <w:b/>
          <w:sz w:val="24"/>
          <w:highlight w:val="none"/>
        </w:rPr>
      </w:pPr>
      <w:bookmarkStart w:id="187" w:name="_Toc128476879"/>
      <w:bookmarkStart w:id="188" w:name="_Toc142664979"/>
      <w:bookmarkStart w:id="189" w:name="_Toc29872"/>
      <w:bookmarkStart w:id="190" w:name="_Toc29355"/>
      <w:bookmarkStart w:id="191" w:name="_Toc113901850"/>
      <w:r>
        <w:rPr>
          <w:rFonts w:hint="eastAsia" w:ascii="宋体" w:hAnsi="宋体" w:eastAsia="宋体" w:cs="宋体"/>
          <w:b/>
          <w:sz w:val="24"/>
          <w:highlight w:val="none"/>
        </w:rPr>
        <w:t>4.2、</w:t>
      </w:r>
      <w:bookmarkEnd w:id="187"/>
      <w:bookmarkEnd w:id="188"/>
      <w:bookmarkEnd w:id="189"/>
      <w:bookmarkEnd w:id="190"/>
      <w:bookmarkEnd w:id="191"/>
      <w:r>
        <w:rPr>
          <w:rFonts w:hint="eastAsia" w:ascii="宋体" w:hAnsi="宋体" w:eastAsia="宋体" w:cs="宋体"/>
          <w:b/>
          <w:sz w:val="24"/>
          <w:highlight w:val="none"/>
        </w:rPr>
        <w:t>具有良好的商业信誉和健全的财务会计制度；</w:t>
      </w:r>
    </w:p>
    <w:p w14:paraId="3CF486D7">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提供：（1）以开标截止时间点投标人未列入“信用中国”&lt;www.creditchina.gov.cn&gt;网站的“失信被执行人”和“重大税收违法失信主体”及“中国政府采购网”&lt;www.ccgp.gov.cn&gt;网站的“政府采购严重违法失信行为记录名单”，投标人提供网址查询截图，如未提供，开标截止时间后，由采购代理公司统一登陆网站查询上传投标文件的投标人信誉情况，并以保存的网页查询截图为准；</w:t>
      </w:r>
    </w:p>
    <w:p w14:paraId="685619EF">
      <w:pPr>
        <w:autoSpaceDE w:val="0"/>
        <w:autoSpaceDN w:val="0"/>
        <w:adjustRightInd w:val="0"/>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（2）</w:t>
      </w:r>
      <w:r>
        <w:rPr>
          <w:rFonts w:hint="eastAsia" w:ascii="宋体" w:hAnsi="宋体" w:eastAsia="宋体" w:cs="宋体"/>
          <w:sz w:val="24"/>
          <w:szCs w:val="24"/>
          <w:highlight w:val="none"/>
        </w:rPr>
        <w:t>银行出具的近1年内资信证明或2025年度经审计</w:t>
      </w:r>
      <w:r>
        <w:rPr>
          <w:rFonts w:hint="eastAsia" w:ascii="宋体" w:hAnsi="宋体" w:eastAsia="宋体" w:cs="宋体"/>
          <w:sz w:val="24"/>
          <w:szCs w:val="24"/>
          <w:highlight w:val="none"/>
          <w:lang w:val="en-US" w:eastAsia="zh-CN"/>
        </w:rPr>
        <w:t>并赋码</w:t>
      </w:r>
      <w:r>
        <w:rPr>
          <w:rFonts w:hint="eastAsia" w:ascii="宋体" w:hAnsi="宋体" w:eastAsia="宋体" w:cs="宋体"/>
          <w:sz w:val="24"/>
          <w:szCs w:val="24"/>
          <w:highlight w:val="none"/>
        </w:rPr>
        <w:t>的财务报告，新成立企业无需提供</w:t>
      </w:r>
      <w:r>
        <w:rPr>
          <w:rFonts w:hint="eastAsia" w:ascii="宋体" w:hAnsi="宋体" w:eastAsia="宋体" w:cs="宋体"/>
          <w:sz w:val="24"/>
          <w:szCs w:val="24"/>
          <w:highlight w:val="none"/>
          <w:lang w:eastAsia="zh-CN"/>
        </w:rPr>
        <w:t>。</w:t>
      </w:r>
    </w:p>
    <w:p w14:paraId="4E427C2A">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新成立企业是指：营业执照申领时间至今未满一年的企业，新成立企业仅需提供近3个月内任意1个月银行出具的资信证明即可</w:t>
      </w:r>
    </w:p>
    <w:p w14:paraId="36E1C0B0">
      <w:pPr>
        <w:autoSpaceDE w:val="0"/>
        <w:autoSpaceDN w:val="0"/>
        <w:adjustRightInd w:val="0"/>
        <w:spacing w:line="360" w:lineRule="auto"/>
        <w:jc w:val="left"/>
        <w:rPr>
          <w:rFonts w:hint="eastAsia" w:ascii="宋体" w:hAnsi="宋体" w:eastAsia="宋体" w:cs="宋体"/>
          <w:kern w:val="0"/>
          <w:sz w:val="24"/>
          <w:highlight w:val="none"/>
        </w:rPr>
      </w:pPr>
    </w:p>
    <w:p w14:paraId="14A8E88F">
      <w:pPr>
        <w:autoSpaceDE w:val="0"/>
        <w:autoSpaceDN w:val="0"/>
        <w:adjustRightInd w:val="0"/>
        <w:spacing w:line="360" w:lineRule="auto"/>
        <w:ind w:firstLine="482" w:firstLineChars="200"/>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财务状况报告（满足下述一条要求即可）：</w:t>
      </w:r>
    </w:p>
    <w:p w14:paraId="2EC32433">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要求1、经审计并赋码的财务报告（2025年度，包括“四表-注”，即资产负债表、利润表、现金流量表、所有者权益变动表及其附注）或</w:t>
      </w:r>
      <w:r>
        <w:rPr>
          <w:rFonts w:hint="eastAsia" w:ascii="宋体" w:hAnsi="宋体" w:eastAsia="宋体" w:cs="宋体"/>
          <w:sz w:val="24"/>
          <w:highlight w:val="none"/>
        </w:rPr>
        <w:t>银行出具的资信/金证明。</w:t>
      </w:r>
    </w:p>
    <w:p w14:paraId="4FD0144B">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要求2、财政部门认可的政府采购专业担保机构出具的有效期内的投标担保函。</w:t>
      </w:r>
    </w:p>
    <w:p w14:paraId="5C447133">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要求3、成立不足一个月（以响应文件递交截止之日为期限）的供应商无需提供。</w:t>
      </w:r>
    </w:p>
    <w:p w14:paraId="661376E4">
      <w:pPr>
        <w:rPr>
          <w:rFonts w:hint="eastAsia" w:ascii="宋体" w:hAnsi="宋体" w:eastAsia="宋体" w:cs="宋体"/>
          <w:sz w:val="24"/>
          <w:highlight w:val="none"/>
        </w:rPr>
      </w:pPr>
      <w:r>
        <w:rPr>
          <w:rFonts w:hint="eastAsia" w:ascii="宋体" w:hAnsi="宋体" w:eastAsia="宋体" w:cs="宋体"/>
          <w:sz w:val="24"/>
          <w:highlight w:val="none"/>
        </w:rPr>
        <w:br w:type="page"/>
      </w:r>
    </w:p>
    <w:p w14:paraId="12A34135">
      <w:pPr>
        <w:tabs>
          <w:tab w:val="center" w:pos="4832"/>
          <w:tab w:val="left" w:pos="7140"/>
        </w:tabs>
        <w:spacing w:line="360" w:lineRule="auto"/>
        <w:jc w:val="center"/>
        <w:outlineLvl w:val="1"/>
        <w:rPr>
          <w:rFonts w:hint="eastAsia" w:ascii="宋体" w:hAnsi="宋体" w:eastAsia="宋体" w:cs="宋体"/>
          <w:b/>
          <w:sz w:val="24"/>
          <w:highlight w:val="none"/>
        </w:rPr>
      </w:pPr>
      <w:bookmarkStart w:id="192" w:name="_Toc113901851"/>
      <w:bookmarkStart w:id="193" w:name="_Toc6233"/>
      <w:bookmarkStart w:id="194" w:name="_Toc16867"/>
      <w:bookmarkStart w:id="195" w:name="_Toc128476880"/>
      <w:bookmarkStart w:id="196" w:name="_Toc142664980"/>
      <w:bookmarkStart w:id="197" w:name="_Toc111556488"/>
      <w:r>
        <w:rPr>
          <w:rFonts w:hint="eastAsia" w:ascii="宋体" w:hAnsi="宋体" w:eastAsia="宋体" w:cs="宋体"/>
          <w:b/>
          <w:sz w:val="24"/>
          <w:highlight w:val="none"/>
        </w:rPr>
        <w:t>4.3、</w:t>
      </w:r>
      <w:bookmarkEnd w:id="192"/>
      <w:bookmarkEnd w:id="193"/>
      <w:bookmarkEnd w:id="194"/>
      <w:bookmarkEnd w:id="195"/>
      <w:bookmarkEnd w:id="196"/>
      <w:r>
        <w:rPr>
          <w:rFonts w:hint="eastAsia" w:ascii="宋体" w:hAnsi="宋体" w:eastAsia="宋体" w:cs="宋体"/>
          <w:b/>
          <w:sz w:val="24"/>
          <w:highlight w:val="none"/>
        </w:rPr>
        <w:t>有依法缴纳税收和社会保障资金的良好记录；</w:t>
      </w:r>
    </w:p>
    <w:p w14:paraId="596F2D03">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提供：①近6个月内任意1个月已依法缴纳税收的凭据；②近6个月内任意1个月已依法缴纳社会保险的凭据（依法免税的投标人，应提供相应证明文件，新成立企业或自然人无需提供）</w:t>
      </w:r>
    </w:p>
    <w:p w14:paraId="53CA84E5">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p>
    <w:p w14:paraId="502590FC">
      <w:pPr>
        <w:autoSpaceDE w:val="0"/>
        <w:autoSpaceDN w:val="0"/>
        <w:adjustRightInd w:val="0"/>
        <w:spacing w:line="360" w:lineRule="auto"/>
        <w:ind w:firstLine="482" w:firstLineChars="200"/>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依法缴纳税收和社会保障资金的相关材料：</w:t>
      </w:r>
    </w:p>
    <w:p w14:paraId="6FF7ED38">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1、依法缴纳税收的证明材料：</w:t>
      </w:r>
    </w:p>
    <w:p w14:paraId="1FBAFE86">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供应商参加政府采购活动前一段时间（响应文件递交截止之日前六个月内任一个月）内缴纳税收的完税凭证（指各种完税证、缴款书、印花税票、扣（收）税凭证以及其他完税证明）。</w:t>
      </w:r>
    </w:p>
    <w:p w14:paraId="5B3A2DF9">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2、依法缴纳社会保障资金的证明材料：</w:t>
      </w:r>
    </w:p>
    <w:p w14:paraId="5682F382">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供应商参加政府采购活动前一段时间（响应文件递交截止之日前六个月内任一个月）内缴纳社会保险的凭据，其他组织和自然人也需要提供缴纳税收的凭据和缴纳社会保险的凭据。</w:t>
      </w:r>
    </w:p>
    <w:p w14:paraId="00A46991">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3、依法免税或不需要缴纳社会保障资金的供应商，应提供相应文件证明其依法免税或不需要缴纳社会保障资金。</w:t>
      </w:r>
    </w:p>
    <w:p w14:paraId="22190B0E">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p>
    <w:p w14:paraId="2D2306FF">
      <w:pPr>
        <w:autoSpaceDE w:val="0"/>
        <w:autoSpaceDN w:val="0"/>
        <w:adjustRightIn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br w:type="page"/>
      </w:r>
    </w:p>
    <w:p w14:paraId="63A6DA6C">
      <w:pPr>
        <w:tabs>
          <w:tab w:val="center" w:pos="4832"/>
          <w:tab w:val="left" w:pos="7140"/>
        </w:tabs>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4.4、具有履行合同所必需的设备和专业技术能力；</w:t>
      </w:r>
    </w:p>
    <w:p w14:paraId="24EAD621">
      <w:pPr>
        <w:spacing w:line="360" w:lineRule="auto"/>
        <w:rPr>
          <w:rFonts w:hint="eastAsia" w:ascii="宋体" w:hAnsi="宋体" w:eastAsia="宋体" w:cs="宋体"/>
          <w:sz w:val="24"/>
          <w:highlight w:val="none"/>
        </w:rPr>
      </w:pPr>
    </w:p>
    <w:p w14:paraId="3A23F3E8">
      <w:pPr>
        <w:spacing w:line="360" w:lineRule="auto"/>
        <w:rPr>
          <w:rFonts w:hint="eastAsia" w:ascii="宋体" w:hAnsi="宋体" w:eastAsia="宋体" w:cs="宋体"/>
          <w:sz w:val="24"/>
          <w:highlight w:val="none"/>
        </w:rPr>
      </w:pPr>
    </w:p>
    <w:p w14:paraId="1A58D20D">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具有履行合同所必需的设备和专业技术能力的承诺</w:t>
      </w:r>
      <w:bookmarkEnd w:id="197"/>
      <w:r>
        <w:rPr>
          <w:rFonts w:hint="eastAsia" w:ascii="宋体" w:hAnsi="宋体" w:eastAsia="宋体" w:cs="宋体"/>
          <w:b/>
          <w:sz w:val="24"/>
          <w:highlight w:val="none"/>
        </w:rPr>
        <w:t>函</w:t>
      </w:r>
    </w:p>
    <w:p w14:paraId="28A4079B">
      <w:pPr>
        <w:adjustRightInd w:val="0"/>
        <w:snapToGrid w:val="0"/>
        <w:spacing w:line="360" w:lineRule="auto"/>
        <w:ind w:firstLine="480" w:firstLineChars="200"/>
        <w:jc w:val="center"/>
        <w:rPr>
          <w:rFonts w:hint="eastAsia" w:ascii="宋体" w:hAnsi="宋体" w:eastAsia="宋体" w:cs="宋体"/>
          <w:sz w:val="24"/>
          <w:highlight w:val="none"/>
        </w:rPr>
      </w:pPr>
    </w:p>
    <w:p w14:paraId="52CC518E">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（采购人名称）</w:t>
      </w:r>
    </w:p>
    <w:p w14:paraId="4EE91697">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p>
    <w:p w14:paraId="2BEC58ED">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我单位郑重承诺： </w:t>
      </w:r>
    </w:p>
    <w:p w14:paraId="782F8242">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我单位具备履行</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（项目名称）合同所必需的设备和专业技术能力；</w:t>
      </w:r>
    </w:p>
    <w:p w14:paraId="7488F8B4">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特此承诺。 </w:t>
      </w:r>
    </w:p>
    <w:p w14:paraId="0A9979A2">
      <w:pPr>
        <w:autoSpaceDE w:val="0"/>
        <w:autoSpaceDN w:val="0"/>
        <w:adjustRightInd w:val="0"/>
        <w:spacing w:line="360" w:lineRule="auto"/>
        <w:jc w:val="left"/>
        <w:rPr>
          <w:rFonts w:hint="eastAsia" w:ascii="宋体" w:hAnsi="宋体" w:eastAsia="宋体" w:cs="宋体"/>
          <w:kern w:val="0"/>
          <w:sz w:val="24"/>
          <w:highlight w:val="none"/>
        </w:rPr>
      </w:pPr>
    </w:p>
    <w:p w14:paraId="559F7B15">
      <w:pPr>
        <w:autoSpaceDE w:val="0"/>
        <w:autoSpaceDN w:val="0"/>
        <w:adjustRightInd w:val="0"/>
        <w:spacing w:line="360" w:lineRule="auto"/>
        <w:jc w:val="left"/>
        <w:rPr>
          <w:rFonts w:hint="eastAsia" w:ascii="宋体" w:hAnsi="宋体" w:eastAsia="宋体" w:cs="宋体"/>
          <w:kern w:val="0"/>
          <w:sz w:val="24"/>
          <w:highlight w:val="none"/>
        </w:rPr>
      </w:pPr>
    </w:p>
    <w:p w14:paraId="373DEDE6">
      <w:pPr>
        <w:autoSpaceDE w:val="0"/>
        <w:autoSpaceDN w:val="0"/>
        <w:adjustRightInd w:val="0"/>
        <w:spacing w:line="360" w:lineRule="auto"/>
        <w:jc w:val="left"/>
        <w:rPr>
          <w:rFonts w:hint="eastAsia" w:ascii="宋体" w:hAnsi="宋体" w:eastAsia="宋体" w:cs="宋体"/>
          <w:kern w:val="0"/>
          <w:sz w:val="24"/>
          <w:highlight w:val="none"/>
        </w:rPr>
      </w:pPr>
    </w:p>
    <w:p w14:paraId="44EEF470">
      <w:pPr>
        <w:autoSpaceDE w:val="0"/>
        <w:autoSpaceDN w:val="0"/>
        <w:adjustRightInd w:val="0"/>
        <w:spacing w:line="360" w:lineRule="auto"/>
        <w:jc w:val="left"/>
        <w:rPr>
          <w:rFonts w:hint="eastAsia" w:ascii="宋体" w:hAnsi="宋体" w:eastAsia="宋体" w:cs="宋体"/>
          <w:kern w:val="0"/>
          <w:sz w:val="24"/>
          <w:highlight w:val="none"/>
        </w:rPr>
      </w:pPr>
    </w:p>
    <w:p w14:paraId="22D1207C">
      <w:pPr>
        <w:widowControl/>
        <w:shd w:val="clear" w:color="auto" w:fill="FFFFFF"/>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（盖章）</w:t>
      </w:r>
    </w:p>
    <w:p w14:paraId="27113EDD">
      <w:pPr>
        <w:widowControl/>
        <w:shd w:val="clear" w:color="auto" w:fill="FFFFFF"/>
        <w:snapToGrid w:val="0"/>
        <w:spacing w:line="360" w:lineRule="auto"/>
        <w:jc w:val="left"/>
        <w:rPr>
          <w:rFonts w:hint="eastAsia" w:ascii="宋体" w:hAnsi="宋体" w:eastAsia="宋体" w:cs="宋体"/>
          <w:kern w:val="0"/>
          <w:sz w:val="24"/>
          <w:highlight w:val="none"/>
        </w:rPr>
      </w:pPr>
    </w:p>
    <w:p w14:paraId="0976E4B4">
      <w:pPr>
        <w:widowControl/>
        <w:shd w:val="clear" w:color="auto" w:fill="FFFFFF"/>
        <w:snapToGrid w:val="0"/>
        <w:spacing w:line="360" w:lineRule="auto"/>
        <w:jc w:val="left"/>
        <w:rPr>
          <w:rFonts w:hint="eastAsia" w:ascii="宋体" w:hAnsi="宋体" w:eastAsia="宋体" w:cs="宋体"/>
          <w:kern w:val="0"/>
          <w:sz w:val="24"/>
          <w:highlight w:val="none"/>
        </w:rPr>
      </w:pPr>
    </w:p>
    <w:p w14:paraId="70A8EE57">
      <w:pPr>
        <w:widowControl/>
        <w:shd w:val="clear" w:color="auto" w:fill="FFFFFF"/>
        <w:snapToGrid w:val="0"/>
        <w:spacing w:line="360" w:lineRule="auto"/>
        <w:ind w:firstLine="42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日期： 年  月  日</w:t>
      </w:r>
    </w:p>
    <w:p w14:paraId="69F370DA">
      <w:pPr>
        <w:adjustRightInd w:val="0"/>
        <w:snapToGrid w:val="0"/>
        <w:spacing w:line="360" w:lineRule="auto"/>
        <w:rPr>
          <w:rFonts w:hint="eastAsia" w:ascii="宋体" w:hAnsi="宋体" w:eastAsia="宋体" w:cs="宋体"/>
          <w:bCs/>
          <w:sz w:val="24"/>
          <w:highlight w:val="none"/>
        </w:rPr>
      </w:pPr>
    </w:p>
    <w:p w14:paraId="48C7F14C">
      <w:pPr>
        <w:spacing w:line="360" w:lineRule="auto"/>
        <w:rPr>
          <w:rFonts w:hint="eastAsia" w:ascii="宋体" w:hAnsi="宋体" w:eastAsia="宋体" w:cs="宋体"/>
          <w:sz w:val="24"/>
          <w:highlight w:val="none"/>
        </w:rPr>
      </w:pPr>
    </w:p>
    <w:p w14:paraId="03C4D6A0">
      <w:pPr>
        <w:spacing w:line="360" w:lineRule="auto"/>
        <w:rPr>
          <w:rFonts w:hint="eastAsia" w:ascii="宋体" w:hAnsi="宋体" w:eastAsia="宋体" w:cs="宋体"/>
          <w:sz w:val="24"/>
          <w:highlight w:val="none"/>
        </w:rPr>
      </w:pPr>
    </w:p>
    <w:p w14:paraId="3F369E24">
      <w:pPr>
        <w:spacing w:line="360" w:lineRule="auto"/>
        <w:rPr>
          <w:rFonts w:hint="eastAsia" w:ascii="宋体" w:hAnsi="宋体" w:eastAsia="宋体" w:cs="宋体"/>
          <w:sz w:val="24"/>
          <w:highlight w:val="none"/>
        </w:rPr>
      </w:pPr>
    </w:p>
    <w:p w14:paraId="3573EBAC">
      <w:pPr>
        <w:spacing w:line="360" w:lineRule="auto"/>
        <w:rPr>
          <w:rFonts w:hint="eastAsia" w:ascii="宋体" w:hAnsi="宋体" w:eastAsia="宋体" w:cs="宋体"/>
          <w:sz w:val="24"/>
          <w:highlight w:val="none"/>
        </w:rPr>
      </w:pPr>
    </w:p>
    <w:p w14:paraId="55B94CA9">
      <w:pPr>
        <w:spacing w:line="360" w:lineRule="auto"/>
        <w:rPr>
          <w:rFonts w:hint="eastAsia" w:ascii="宋体" w:hAnsi="宋体" w:eastAsia="宋体" w:cs="宋体"/>
          <w:sz w:val="24"/>
          <w:highlight w:val="none"/>
        </w:rPr>
      </w:pPr>
    </w:p>
    <w:p w14:paraId="2B09F4A2">
      <w:pPr>
        <w:spacing w:line="360" w:lineRule="auto"/>
        <w:rPr>
          <w:rFonts w:hint="eastAsia" w:ascii="宋体" w:hAnsi="宋体" w:eastAsia="宋体" w:cs="宋体"/>
          <w:sz w:val="24"/>
          <w:highlight w:val="none"/>
        </w:rPr>
      </w:pPr>
    </w:p>
    <w:p w14:paraId="5A7F3918">
      <w:pPr>
        <w:widowControl/>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4BD6DA67">
      <w:pPr>
        <w:adjustRightInd w:val="0"/>
        <w:snapToGrid w:val="0"/>
        <w:spacing w:line="360" w:lineRule="auto"/>
        <w:jc w:val="center"/>
        <w:outlineLvl w:val="1"/>
        <w:rPr>
          <w:rFonts w:hint="eastAsia" w:ascii="宋体" w:hAnsi="宋体" w:eastAsia="宋体" w:cs="宋体"/>
          <w:b/>
          <w:sz w:val="24"/>
          <w:highlight w:val="none"/>
        </w:rPr>
      </w:pPr>
      <w:bookmarkStart w:id="198" w:name="_Toc142664981"/>
      <w:bookmarkStart w:id="199" w:name="_Toc128476881"/>
      <w:bookmarkStart w:id="200" w:name="_Toc113901852"/>
      <w:bookmarkStart w:id="201" w:name="_Toc32430"/>
      <w:bookmarkStart w:id="202" w:name="_Toc4038"/>
      <w:bookmarkStart w:id="203" w:name="_Toc111556490"/>
      <w:r>
        <w:rPr>
          <w:rFonts w:hint="eastAsia" w:ascii="宋体" w:hAnsi="宋体" w:eastAsia="宋体" w:cs="宋体"/>
          <w:b/>
          <w:sz w:val="24"/>
          <w:highlight w:val="none"/>
        </w:rPr>
        <w:t>4.5、参加政府采购活动前3年内在经营活动中没有重大违法记录的书面声明</w:t>
      </w:r>
      <w:bookmarkEnd w:id="198"/>
      <w:bookmarkEnd w:id="199"/>
      <w:bookmarkEnd w:id="200"/>
      <w:bookmarkEnd w:id="201"/>
      <w:bookmarkEnd w:id="202"/>
    </w:p>
    <w:bookmarkEnd w:id="203"/>
    <w:p w14:paraId="152DDB89">
      <w:pPr>
        <w:widowControl/>
        <w:adjustRightInd w:val="0"/>
        <w:snapToGrid w:val="0"/>
        <w:spacing w:line="360" w:lineRule="auto"/>
        <w:rPr>
          <w:rFonts w:hint="eastAsia" w:ascii="宋体" w:hAnsi="宋体" w:eastAsia="宋体" w:cs="宋体"/>
          <w:sz w:val="24"/>
          <w:highlight w:val="none"/>
        </w:rPr>
      </w:pPr>
    </w:p>
    <w:p w14:paraId="5E36C425">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（采购人名称）</w:t>
      </w:r>
    </w:p>
    <w:p w14:paraId="1838296A">
      <w:pPr>
        <w:adjustRightInd w:val="0"/>
        <w:snapToGrid w:val="0"/>
        <w:spacing w:line="360" w:lineRule="auto"/>
        <w:ind w:firstLine="480" w:firstLineChars="200"/>
        <w:rPr>
          <w:rFonts w:hint="eastAsia" w:ascii="宋体" w:hAnsi="宋体" w:eastAsia="宋体" w:cs="宋体"/>
          <w:sz w:val="24"/>
          <w:highlight w:val="none"/>
        </w:rPr>
      </w:pPr>
    </w:p>
    <w:p w14:paraId="19D58CE6">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我单位在参与</w:t>
      </w:r>
      <w:r>
        <w:rPr>
          <w:rFonts w:hint="eastAsia" w:ascii="宋体" w:hAnsi="宋体" w:eastAsia="宋体" w:cs="宋体"/>
          <w:kern w:val="0"/>
          <w:sz w:val="24"/>
          <w:highlight w:val="none"/>
          <w:u w:val="single"/>
        </w:rPr>
        <w:t xml:space="preserve">            </w:t>
      </w:r>
      <w:r>
        <w:rPr>
          <w:rFonts w:hint="eastAsia" w:ascii="宋体" w:hAnsi="宋体" w:eastAsia="宋体" w:cs="宋体"/>
          <w:sz w:val="24"/>
          <w:highlight w:val="none"/>
        </w:rPr>
        <w:t>（项目名称）</w:t>
      </w:r>
      <w:r>
        <w:rPr>
          <w:rFonts w:hint="eastAsia" w:ascii="宋体" w:hAnsi="宋体" w:eastAsia="宋体" w:cs="宋体"/>
          <w:kern w:val="0"/>
          <w:sz w:val="24"/>
          <w:highlight w:val="none"/>
        </w:rPr>
        <w:t>前三年内（以</w:t>
      </w:r>
      <w:r>
        <w:rPr>
          <w:rFonts w:hint="eastAsia" w:ascii="宋体" w:hAnsi="宋体" w:eastAsia="宋体" w:cs="宋体"/>
          <w:sz w:val="24"/>
          <w:highlight w:val="none"/>
        </w:rPr>
        <w:t>响应文件递交截止之日为期限</w:t>
      </w:r>
      <w:r>
        <w:rPr>
          <w:rFonts w:hint="eastAsia" w:ascii="宋体" w:hAnsi="宋体" w:eastAsia="宋体" w:cs="宋体"/>
          <w:kern w:val="0"/>
          <w:sz w:val="24"/>
          <w:highlight w:val="none"/>
        </w:rPr>
        <w:t>）在经营活动中没有重大违法记录。</w:t>
      </w:r>
    </w:p>
    <w:p w14:paraId="59E7ABF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若贵方在本项目采购过程中发现我方参加政府采购活动前三年内有重大违法记录；</w:t>
      </w:r>
      <w:r>
        <w:rPr>
          <w:rFonts w:hint="eastAsia" w:ascii="宋体" w:hAnsi="宋体" w:eastAsia="宋体" w:cs="宋体"/>
          <w:kern w:val="0"/>
          <w:sz w:val="24"/>
          <w:highlight w:val="none"/>
        </w:rPr>
        <w:t>我单位</w:t>
      </w:r>
      <w:r>
        <w:rPr>
          <w:rFonts w:hint="eastAsia" w:ascii="宋体" w:hAnsi="宋体" w:eastAsia="宋体" w:cs="宋体"/>
          <w:sz w:val="24"/>
          <w:highlight w:val="none"/>
        </w:rPr>
        <w:t>将无条件退出本项目的投标，并承担因此引起的一切后果。我方对此声明负全部法律责任。</w:t>
      </w:r>
    </w:p>
    <w:p w14:paraId="236B366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特此声明！</w:t>
      </w:r>
    </w:p>
    <w:p w14:paraId="5AEB5428">
      <w:pPr>
        <w:adjustRightInd w:val="0"/>
        <w:snapToGrid w:val="0"/>
        <w:spacing w:line="360" w:lineRule="auto"/>
        <w:ind w:firstLine="480" w:firstLineChars="200"/>
        <w:rPr>
          <w:rFonts w:hint="eastAsia" w:ascii="宋体" w:hAnsi="宋体" w:eastAsia="宋体" w:cs="宋体"/>
          <w:sz w:val="24"/>
          <w:highlight w:val="none"/>
        </w:rPr>
      </w:pPr>
    </w:p>
    <w:p w14:paraId="74D1E067">
      <w:pPr>
        <w:adjustRightInd w:val="0"/>
        <w:snapToGrid w:val="0"/>
        <w:spacing w:line="360" w:lineRule="auto"/>
        <w:ind w:firstLine="480" w:firstLineChars="200"/>
        <w:rPr>
          <w:rFonts w:hint="eastAsia" w:ascii="宋体" w:hAnsi="宋体" w:eastAsia="宋体" w:cs="宋体"/>
          <w:sz w:val="24"/>
          <w:highlight w:val="none"/>
        </w:rPr>
      </w:pPr>
    </w:p>
    <w:p w14:paraId="254159C9">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备注：</w:t>
      </w:r>
    </w:p>
    <w:p w14:paraId="63A010F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若供应商在响应文件递交截止之日成立时间不足三年，以自成立以来的时间计取。</w:t>
      </w:r>
    </w:p>
    <w:p w14:paraId="7527A931">
      <w:pPr>
        <w:adjustRightInd w:val="0"/>
        <w:snapToGrid w:val="0"/>
        <w:spacing w:line="360" w:lineRule="auto"/>
        <w:ind w:firstLine="480" w:firstLineChars="200"/>
        <w:rPr>
          <w:rFonts w:hint="eastAsia" w:ascii="宋体" w:hAnsi="宋体" w:eastAsia="宋体" w:cs="宋体"/>
          <w:kern w:val="0"/>
          <w:sz w:val="24"/>
          <w:highlight w:val="none"/>
        </w:rPr>
      </w:pPr>
    </w:p>
    <w:p w14:paraId="615E8D7D">
      <w:pPr>
        <w:adjustRightInd w:val="0"/>
        <w:snapToGrid w:val="0"/>
        <w:spacing w:line="360" w:lineRule="auto"/>
        <w:ind w:firstLine="3112" w:firstLineChars="1297"/>
        <w:rPr>
          <w:rFonts w:hint="eastAsia" w:ascii="宋体" w:hAnsi="宋体" w:eastAsia="宋体" w:cs="宋体"/>
          <w:sz w:val="24"/>
          <w:highlight w:val="none"/>
        </w:rPr>
      </w:pPr>
    </w:p>
    <w:p w14:paraId="1A16E887">
      <w:pPr>
        <w:widowControl/>
        <w:shd w:val="clear" w:color="auto" w:fill="FFFFFF"/>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（盖章）</w:t>
      </w:r>
    </w:p>
    <w:p w14:paraId="35EC7B2B">
      <w:pPr>
        <w:widowControl/>
        <w:shd w:val="clear" w:color="auto" w:fill="FFFFFF"/>
        <w:snapToGrid w:val="0"/>
        <w:spacing w:line="360" w:lineRule="auto"/>
        <w:ind w:firstLine="420"/>
        <w:jc w:val="center"/>
        <w:rPr>
          <w:rFonts w:hint="eastAsia" w:ascii="宋体" w:hAnsi="宋体" w:eastAsia="宋体" w:cs="宋体"/>
          <w:kern w:val="0"/>
          <w:sz w:val="24"/>
          <w:highlight w:val="none"/>
        </w:rPr>
      </w:pPr>
    </w:p>
    <w:p w14:paraId="08BE7CB8">
      <w:pPr>
        <w:widowControl/>
        <w:shd w:val="clear" w:color="auto" w:fill="FFFFFF"/>
        <w:snapToGrid w:val="0"/>
        <w:spacing w:line="360" w:lineRule="auto"/>
        <w:ind w:firstLine="420"/>
        <w:jc w:val="center"/>
        <w:rPr>
          <w:rFonts w:hint="eastAsia" w:ascii="宋体" w:hAnsi="宋体" w:eastAsia="宋体" w:cs="宋体"/>
          <w:kern w:val="0"/>
          <w:sz w:val="24"/>
          <w:highlight w:val="none"/>
        </w:rPr>
      </w:pPr>
    </w:p>
    <w:p w14:paraId="4E7AA242">
      <w:pPr>
        <w:widowControl/>
        <w:shd w:val="clear" w:color="auto" w:fill="FFFFFF"/>
        <w:snapToGrid w:val="0"/>
        <w:spacing w:line="360" w:lineRule="auto"/>
        <w:ind w:firstLine="42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日期： 年  月  日</w:t>
      </w:r>
    </w:p>
    <w:p w14:paraId="2AA58E69">
      <w:pPr>
        <w:widowControl/>
        <w:shd w:val="clear" w:color="auto" w:fill="FFFFFF"/>
        <w:snapToGrid w:val="0"/>
        <w:spacing w:line="360" w:lineRule="auto"/>
        <w:ind w:firstLine="420"/>
        <w:rPr>
          <w:rFonts w:hint="eastAsia" w:ascii="宋体" w:hAnsi="宋体" w:eastAsia="宋体" w:cs="宋体"/>
          <w:kern w:val="0"/>
          <w:sz w:val="24"/>
          <w:highlight w:val="none"/>
        </w:rPr>
      </w:pPr>
    </w:p>
    <w:p w14:paraId="32CAA046">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br w:type="page"/>
      </w:r>
    </w:p>
    <w:p w14:paraId="24681C02">
      <w:pPr>
        <w:adjustRightInd w:val="0"/>
        <w:snapToGrid w:val="0"/>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4.6、不存在与参加本项目的其它供应商单位负责人为同一人或者存在直接控股、管理关系承诺函</w:t>
      </w:r>
    </w:p>
    <w:p w14:paraId="38A6570C">
      <w:pPr>
        <w:widowControl/>
        <w:adjustRightInd w:val="0"/>
        <w:snapToGrid w:val="0"/>
        <w:spacing w:line="360" w:lineRule="auto"/>
        <w:jc w:val="left"/>
        <w:rPr>
          <w:rFonts w:hint="eastAsia" w:ascii="宋体" w:hAnsi="宋体" w:eastAsia="宋体" w:cs="宋体"/>
          <w:spacing w:val="6"/>
          <w:kern w:val="0"/>
          <w:sz w:val="24"/>
          <w:highlight w:val="none"/>
        </w:rPr>
      </w:pPr>
    </w:p>
    <w:p w14:paraId="5B0A1995">
      <w:pPr>
        <w:widowControl/>
        <w:adjustRightInd w:val="0"/>
        <w:snapToGrid w:val="0"/>
        <w:spacing w:line="360" w:lineRule="auto"/>
        <w:jc w:val="left"/>
        <w:rPr>
          <w:rFonts w:hint="eastAsia" w:ascii="宋体" w:hAnsi="宋体" w:eastAsia="宋体" w:cs="宋体"/>
          <w:spacing w:val="6"/>
          <w:kern w:val="0"/>
          <w:sz w:val="24"/>
          <w:highlight w:val="none"/>
        </w:rPr>
      </w:pPr>
      <w:r>
        <w:rPr>
          <w:rFonts w:hint="eastAsia" w:ascii="宋体" w:hAnsi="宋体" w:eastAsia="宋体" w:cs="宋体"/>
          <w:spacing w:val="6"/>
          <w:kern w:val="0"/>
          <w:sz w:val="24"/>
          <w:highlight w:val="none"/>
          <w:u w:val="single"/>
        </w:rPr>
        <w:t xml:space="preserve">    采购人    </w:t>
      </w:r>
      <w:r>
        <w:rPr>
          <w:rFonts w:hint="eastAsia" w:ascii="宋体" w:hAnsi="宋体" w:eastAsia="宋体" w:cs="宋体"/>
          <w:spacing w:val="6"/>
          <w:kern w:val="0"/>
          <w:sz w:val="24"/>
          <w:highlight w:val="none"/>
        </w:rPr>
        <w:t>：</w:t>
      </w:r>
    </w:p>
    <w:p w14:paraId="29E710F6">
      <w:pPr>
        <w:spacing w:line="360" w:lineRule="auto"/>
        <w:ind w:firstLine="480" w:firstLineChars="200"/>
        <w:rPr>
          <w:rFonts w:hint="eastAsia" w:ascii="宋体" w:hAnsi="宋体" w:eastAsia="宋体" w:cs="宋体"/>
          <w:bCs/>
          <w:sz w:val="24"/>
          <w:highlight w:val="none"/>
          <w:shd w:val="clear" w:color="auto" w:fill="FFFFFF" w:themeFill="background1"/>
        </w:rPr>
      </w:pPr>
      <w:r>
        <w:rPr>
          <w:rFonts w:hint="eastAsia" w:ascii="宋体" w:hAnsi="宋体" w:eastAsia="宋体" w:cs="宋体"/>
          <w:bCs/>
          <w:sz w:val="24"/>
          <w:highlight w:val="none"/>
          <w:shd w:val="clear" w:color="auto" w:fill="FFFFFF" w:themeFill="background1"/>
        </w:rPr>
        <w:t>我公司参加贵单位组织的</w:t>
      </w:r>
      <w:r>
        <w:rPr>
          <w:rFonts w:hint="eastAsia" w:ascii="宋体" w:hAnsi="宋体" w:eastAsia="宋体" w:cs="宋体"/>
          <w:bCs/>
          <w:sz w:val="24"/>
          <w:highlight w:val="none"/>
          <w:u w:val="single"/>
          <w:shd w:val="clear" w:color="auto" w:fill="FFFFFF" w:themeFill="background1"/>
        </w:rPr>
        <w:t xml:space="preserve">      </w:t>
      </w:r>
      <w:r>
        <w:rPr>
          <w:rFonts w:hint="eastAsia" w:ascii="宋体" w:hAnsi="宋体" w:eastAsia="宋体" w:cs="宋体"/>
          <w:bCs/>
          <w:sz w:val="24"/>
          <w:highlight w:val="none"/>
          <w:shd w:val="clear" w:color="auto" w:fill="FFFFFF" w:themeFill="background1"/>
        </w:rPr>
        <w:t>(项目名称)招标活动，郑重承诺：在参加本项目里不存在与参加本项目的其它供应商负责人为同一人或者存在直接控股、管理关系。我公司对上述承诺的真实性负责。如有虚假，将依法承担相应责任。特此承诺！</w:t>
      </w:r>
    </w:p>
    <w:p w14:paraId="528D0B89">
      <w:pPr>
        <w:widowControl/>
        <w:adjustRightInd w:val="0"/>
        <w:snapToGrid w:val="0"/>
        <w:spacing w:line="360" w:lineRule="auto"/>
        <w:ind w:firstLine="504" w:firstLineChars="200"/>
        <w:rPr>
          <w:rFonts w:hint="eastAsia" w:ascii="宋体" w:hAnsi="宋体" w:eastAsia="宋体" w:cs="宋体"/>
          <w:spacing w:val="6"/>
          <w:kern w:val="0"/>
          <w:sz w:val="24"/>
          <w:highlight w:val="none"/>
        </w:rPr>
      </w:pPr>
    </w:p>
    <w:p w14:paraId="5C9A7EFB">
      <w:pPr>
        <w:widowControl/>
        <w:adjustRightInd w:val="0"/>
        <w:snapToGrid w:val="0"/>
        <w:spacing w:line="360" w:lineRule="auto"/>
        <w:ind w:firstLine="504" w:firstLineChars="200"/>
        <w:rPr>
          <w:rFonts w:hint="eastAsia" w:ascii="宋体" w:hAnsi="宋体" w:eastAsia="宋体" w:cs="宋体"/>
          <w:spacing w:val="6"/>
          <w:kern w:val="0"/>
          <w:sz w:val="24"/>
          <w:highlight w:val="none"/>
        </w:rPr>
      </w:pPr>
    </w:p>
    <w:p w14:paraId="67E497FC">
      <w:pPr>
        <w:widowControl/>
        <w:adjustRightInd w:val="0"/>
        <w:snapToGrid w:val="0"/>
        <w:spacing w:line="360" w:lineRule="auto"/>
        <w:ind w:firstLine="504" w:firstLineChars="200"/>
        <w:rPr>
          <w:rFonts w:hint="eastAsia" w:ascii="宋体" w:hAnsi="宋体" w:eastAsia="宋体" w:cs="宋体"/>
          <w:spacing w:val="6"/>
          <w:kern w:val="0"/>
          <w:sz w:val="24"/>
          <w:highlight w:val="none"/>
        </w:rPr>
      </w:pPr>
    </w:p>
    <w:p w14:paraId="749291E4">
      <w:pPr>
        <w:widowControl/>
        <w:adjustRightInd w:val="0"/>
        <w:snapToGrid w:val="0"/>
        <w:spacing w:line="360" w:lineRule="auto"/>
        <w:ind w:firstLine="504" w:firstLineChars="200"/>
        <w:rPr>
          <w:rFonts w:hint="eastAsia" w:ascii="宋体" w:hAnsi="宋体" w:eastAsia="宋体" w:cs="宋体"/>
          <w:spacing w:val="6"/>
          <w:kern w:val="0"/>
          <w:sz w:val="24"/>
          <w:highlight w:val="none"/>
        </w:rPr>
      </w:pPr>
    </w:p>
    <w:p w14:paraId="244B17F0">
      <w:pPr>
        <w:widowControl/>
        <w:shd w:val="clear" w:color="auto" w:fill="FFFFFF"/>
        <w:snapToGrid w:val="0"/>
        <w:spacing w:line="360" w:lineRule="auto"/>
        <w:jc w:val="left"/>
        <w:rPr>
          <w:rFonts w:hint="eastAsia" w:ascii="宋体" w:hAnsi="宋体" w:eastAsia="宋体" w:cs="宋体"/>
          <w:kern w:val="0"/>
          <w:sz w:val="24"/>
          <w:highlight w:val="none"/>
          <w:shd w:val="clear" w:color="auto" w:fill="FFFFFF" w:themeFill="background1"/>
        </w:rPr>
      </w:pPr>
      <w:r>
        <w:rPr>
          <w:rFonts w:hint="eastAsia" w:ascii="宋体" w:hAnsi="宋体" w:eastAsia="宋体" w:cs="宋体"/>
          <w:kern w:val="0"/>
          <w:sz w:val="24"/>
          <w:highlight w:val="none"/>
          <w:shd w:val="clear" w:color="auto" w:fill="FFFFFF" w:themeFill="background1"/>
        </w:rPr>
        <w:t>供应商：</w:t>
      </w:r>
      <w:r>
        <w:rPr>
          <w:rFonts w:hint="eastAsia" w:ascii="宋体" w:hAnsi="宋体" w:eastAsia="宋体" w:cs="宋体"/>
          <w:kern w:val="0"/>
          <w:sz w:val="24"/>
          <w:highlight w:val="none"/>
          <w:u w:val="single"/>
          <w:shd w:val="clear" w:color="auto" w:fill="FFFFFF" w:themeFill="background1"/>
        </w:rPr>
        <w:t xml:space="preserve">               </w:t>
      </w:r>
      <w:r>
        <w:rPr>
          <w:rFonts w:hint="eastAsia" w:ascii="宋体" w:hAnsi="宋体" w:eastAsia="宋体" w:cs="宋体"/>
          <w:kern w:val="0"/>
          <w:sz w:val="24"/>
          <w:highlight w:val="none"/>
          <w:shd w:val="clear" w:color="auto" w:fill="FFFFFF" w:themeFill="background1"/>
        </w:rPr>
        <w:t>（盖章）</w:t>
      </w:r>
    </w:p>
    <w:p w14:paraId="6D4CE8E3">
      <w:pPr>
        <w:widowControl/>
        <w:shd w:val="clear" w:color="auto" w:fill="FFFFFF"/>
        <w:snapToGrid w:val="0"/>
        <w:spacing w:line="360" w:lineRule="auto"/>
        <w:jc w:val="left"/>
        <w:rPr>
          <w:rFonts w:hint="eastAsia" w:ascii="宋体" w:hAnsi="宋体" w:eastAsia="宋体" w:cs="宋体"/>
          <w:kern w:val="0"/>
          <w:sz w:val="24"/>
          <w:highlight w:val="none"/>
          <w:shd w:val="clear" w:color="auto" w:fill="FFFFFF" w:themeFill="background1"/>
        </w:rPr>
      </w:pPr>
    </w:p>
    <w:p w14:paraId="0B7C9FA7">
      <w:pPr>
        <w:widowControl/>
        <w:shd w:val="clear" w:color="auto" w:fill="FFFFFF"/>
        <w:snapToGrid w:val="0"/>
        <w:spacing w:line="360" w:lineRule="auto"/>
        <w:jc w:val="left"/>
        <w:rPr>
          <w:rFonts w:hint="eastAsia" w:ascii="宋体" w:hAnsi="宋体" w:eastAsia="宋体" w:cs="宋体"/>
          <w:kern w:val="0"/>
          <w:sz w:val="24"/>
          <w:highlight w:val="none"/>
          <w:shd w:val="clear" w:color="auto" w:fill="FFFFFF" w:themeFill="background1"/>
        </w:rPr>
      </w:pPr>
      <w:r>
        <w:rPr>
          <w:rFonts w:hint="eastAsia" w:ascii="宋体" w:hAnsi="宋体" w:eastAsia="宋体" w:cs="宋体"/>
          <w:kern w:val="0"/>
          <w:sz w:val="24"/>
          <w:highlight w:val="none"/>
          <w:shd w:val="clear" w:color="auto" w:fill="FFFFFF" w:themeFill="background1"/>
        </w:rPr>
        <w:t>法定代表人：</w:t>
      </w:r>
      <w:r>
        <w:rPr>
          <w:rFonts w:hint="eastAsia" w:ascii="宋体" w:hAnsi="宋体" w:eastAsia="宋体" w:cs="宋体"/>
          <w:kern w:val="0"/>
          <w:sz w:val="24"/>
          <w:highlight w:val="none"/>
          <w:u w:val="single"/>
          <w:shd w:val="clear" w:color="auto" w:fill="FFFFFF" w:themeFill="background1"/>
        </w:rPr>
        <w:t xml:space="preserve">           </w:t>
      </w:r>
      <w:r>
        <w:rPr>
          <w:rFonts w:hint="eastAsia" w:ascii="宋体" w:hAnsi="宋体" w:eastAsia="宋体" w:cs="宋体"/>
          <w:kern w:val="0"/>
          <w:sz w:val="24"/>
          <w:highlight w:val="none"/>
          <w:shd w:val="clear" w:color="auto" w:fill="FFFFFF" w:themeFill="background1"/>
        </w:rPr>
        <w:t>（盖章）</w:t>
      </w:r>
    </w:p>
    <w:p w14:paraId="26A82051">
      <w:pPr>
        <w:widowControl/>
        <w:shd w:val="clear" w:color="auto" w:fill="FFFFFF"/>
        <w:snapToGrid w:val="0"/>
        <w:spacing w:line="360" w:lineRule="auto"/>
        <w:ind w:firstLine="420"/>
        <w:jc w:val="center"/>
        <w:rPr>
          <w:rFonts w:hint="eastAsia" w:ascii="宋体" w:hAnsi="宋体" w:eastAsia="宋体" w:cs="宋体"/>
          <w:kern w:val="0"/>
          <w:sz w:val="24"/>
          <w:highlight w:val="none"/>
          <w:shd w:val="clear" w:color="auto" w:fill="FFFFFF" w:themeFill="background1"/>
        </w:rPr>
      </w:pPr>
      <w:r>
        <w:rPr>
          <w:rFonts w:hint="eastAsia" w:ascii="宋体" w:hAnsi="宋体" w:eastAsia="宋体" w:cs="宋体"/>
          <w:kern w:val="0"/>
          <w:sz w:val="24"/>
          <w:highlight w:val="none"/>
          <w:shd w:val="clear" w:color="auto" w:fill="FFFFFF" w:themeFill="background1"/>
        </w:rPr>
        <w:t xml:space="preserve">                                               日期： 年  月  日</w:t>
      </w:r>
    </w:p>
    <w:p w14:paraId="3722B914">
      <w:pPr>
        <w:widowControl/>
        <w:adjustRightInd w:val="0"/>
        <w:snapToGrid w:val="0"/>
        <w:spacing w:line="360" w:lineRule="auto"/>
        <w:ind w:firstLine="504" w:firstLineChars="200"/>
        <w:rPr>
          <w:rFonts w:hint="eastAsia" w:ascii="宋体" w:hAnsi="宋体" w:eastAsia="宋体" w:cs="宋体"/>
          <w:spacing w:val="6"/>
          <w:kern w:val="0"/>
          <w:sz w:val="24"/>
          <w:highlight w:val="none"/>
        </w:rPr>
        <w:sectPr>
          <w:headerReference r:id="rId5" w:type="default"/>
          <w:footerReference r:id="rId6" w:type="default"/>
          <w:pgSz w:w="11906" w:h="16838"/>
          <w:pgMar w:top="1304" w:right="1418" w:bottom="1304" w:left="1418" w:header="851" w:footer="992" w:gutter="0"/>
          <w:pgNumType w:start="1"/>
          <w:cols w:space="720" w:num="1"/>
          <w:docGrid w:type="lines" w:linePitch="312" w:charSpace="0"/>
        </w:sectPr>
      </w:pPr>
    </w:p>
    <w:p w14:paraId="7F68EECF">
      <w:pPr>
        <w:adjustRightInd w:val="0"/>
        <w:snapToGrid w:val="0"/>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4.7、未提供本采购项目的整体设计、规范编制或者项目管理、监理、检测等服务的承诺函</w:t>
      </w:r>
    </w:p>
    <w:p w14:paraId="44A8CC94">
      <w:pPr>
        <w:spacing w:line="360" w:lineRule="auto"/>
        <w:ind w:firstLine="480" w:firstLineChars="200"/>
        <w:rPr>
          <w:rFonts w:hint="eastAsia" w:ascii="宋体" w:hAnsi="宋体" w:eastAsia="宋体" w:cs="宋体"/>
          <w:sz w:val="24"/>
          <w:highlight w:val="none"/>
          <w:shd w:val="clear" w:color="auto" w:fill="FFFFFF" w:themeFill="background1"/>
        </w:rPr>
      </w:pPr>
    </w:p>
    <w:p w14:paraId="49FE8AF8">
      <w:pPr>
        <w:widowControl/>
        <w:adjustRightInd w:val="0"/>
        <w:snapToGrid w:val="0"/>
        <w:spacing w:line="360" w:lineRule="auto"/>
        <w:jc w:val="left"/>
        <w:rPr>
          <w:rFonts w:hint="eastAsia" w:ascii="宋体" w:hAnsi="宋体" w:eastAsia="宋体" w:cs="宋体"/>
          <w:spacing w:val="6"/>
          <w:kern w:val="0"/>
          <w:sz w:val="24"/>
          <w:highlight w:val="none"/>
        </w:rPr>
      </w:pPr>
      <w:r>
        <w:rPr>
          <w:rFonts w:hint="eastAsia" w:ascii="宋体" w:hAnsi="宋体" w:eastAsia="宋体" w:cs="宋体"/>
          <w:spacing w:val="6"/>
          <w:kern w:val="0"/>
          <w:sz w:val="24"/>
          <w:highlight w:val="none"/>
          <w:u w:val="single"/>
        </w:rPr>
        <w:t xml:space="preserve">   采购人    </w:t>
      </w:r>
      <w:r>
        <w:rPr>
          <w:rFonts w:hint="eastAsia" w:ascii="宋体" w:hAnsi="宋体" w:eastAsia="宋体" w:cs="宋体"/>
          <w:spacing w:val="6"/>
          <w:kern w:val="0"/>
          <w:sz w:val="24"/>
          <w:highlight w:val="none"/>
        </w:rPr>
        <w:t>：</w:t>
      </w:r>
    </w:p>
    <w:p w14:paraId="113F4C3D">
      <w:pPr>
        <w:spacing w:line="360" w:lineRule="auto"/>
        <w:ind w:firstLine="480" w:firstLineChars="200"/>
        <w:rPr>
          <w:rFonts w:hint="eastAsia" w:ascii="宋体" w:hAnsi="宋体" w:eastAsia="宋体" w:cs="宋体"/>
          <w:sz w:val="24"/>
          <w:highlight w:val="none"/>
          <w:shd w:val="clear" w:color="auto" w:fill="FFFFFF" w:themeFill="background1"/>
        </w:rPr>
      </w:pPr>
      <w:r>
        <w:rPr>
          <w:rFonts w:hint="eastAsia" w:ascii="宋体" w:hAnsi="宋体" w:eastAsia="宋体" w:cs="宋体"/>
          <w:bCs/>
          <w:sz w:val="24"/>
          <w:highlight w:val="none"/>
          <w:shd w:val="clear" w:color="auto" w:fill="FFFFFF" w:themeFill="background1"/>
        </w:rPr>
        <w:t xml:space="preserve">我公司承诺在 </w:t>
      </w:r>
      <w:r>
        <w:rPr>
          <w:rFonts w:hint="eastAsia" w:ascii="宋体" w:hAnsi="宋体" w:eastAsia="宋体" w:cs="宋体"/>
          <w:bCs/>
          <w:sz w:val="24"/>
          <w:highlight w:val="none"/>
          <w:u w:val="single"/>
          <w:shd w:val="clear" w:color="auto" w:fill="FFFFFF" w:themeFill="background1"/>
        </w:rPr>
        <w:t xml:space="preserve">    </w:t>
      </w:r>
      <w:r>
        <w:rPr>
          <w:rFonts w:hint="eastAsia" w:ascii="宋体" w:hAnsi="宋体" w:eastAsia="宋体" w:cs="宋体"/>
          <w:bCs/>
          <w:sz w:val="24"/>
          <w:highlight w:val="none"/>
          <w:shd w:val="clear" w:color="auto" w:fill="FFFFFF" w:themeFill="background1"/>
        </w:rPr>
        <w:t>（项目名称）招标活动中，除单一来源采购项目外，未提供本项目整体设计、规范编制或者项目管理、监理、检测等服务。我公司对上述承诺的真实性负责。如有虚假，将依法承担相应责任。特此承诺！</w:t>
      </w:r>
    </w:p>
    <w:p w14:paraId="1EC8D981">
      <w:pPr>
        <w:widowControl/>
        <w:adjustRightInd w:val="0"/>
        <w:snapToGrid w:val="0"/>
        <w:spacing w:line="360" w:lineRule="auto"/>
        <w:rPr>
          <w:rFonts w:hint="eastAsia" w:ascii="宋体" w:hAnsi="宋体" w:eastAsia="宋体" w:cs="宋体"/>
          <w:spacing w:val="6"/>
          <w:kern w:val="0"/>
          <w:sz w:val="24"/>
          <w:highlight w:val="none"/>
        </w:rPr>
      </w:pPr>
    </w:p>
    <w:p w14:paraId="49319909">
      <w:pPr>
        <w:widowControl/>
        <w:adjustRightInd w:val="0"/>
        <w:snapToGrid w:val="0"/>
        <w:spacing w:line="360" w:lineRule="auto"/>
        <w:rPr>
          <w:rFonts w:hint="eastAsia" w:ascii="宋体" w:hAnsi="宋体" w:eastAsia="宋体" w:cs="宋体"/>
          <w:spacing w:val="6"/>
          <w:kern w:val="0"/>
          <w:sz w:val="24"/>
          <w:highlight w:val="none"/>
        </w:rPr>
      </w:pPr>
    </w:p>
    <w:p w14:paraId="66D47457">
      <w:pPr>
        <w:widowControl/>
        <w:adjustRightInd w:val="0"/>
        <w:snapToGrid w:val="0"/>
        <w:spacing w:line="360" w:lineRule="auto"/>
        <w:rPr>
          <w:rFonts w:hint="eastAsia" w:ascii="宋体" w:hAnsi="宋体" w:eastAsia="宋体" w:cs="宋体"/>
          <w:spacing w:val="6"/>
          <w:kern w:val="0"/>
          <w:sz w:val="24"/>
          <w:highlight w:val="none"/>
        </w:rPr>
      </w:pPr>
    </w:p>
    <w:p w14:paraId="68451D85">
      <w:pPr>
        <w:widowControl/>
        <w:shd w:val="clear" w:color="auto" w:fill="FFFFFF"/>
        <w:snapToGrid w:val="0"/>
        <w:spacing w:line="360" w:lineRule="auto"/>
        <w:jc w:val="left"/>
        <w:rPr>
          <w:rFonts w:hint="eastAsia" w:ascii="宋体" w:hAnsi="宋体" w:eastAsia="宋体" w:cs="宋体"/>
          <w:kern w:val="0"/>
          <w:sz w:val="24"/>
          <w:highlight w:val="none"/>
          <w:shd w:val="clear" w:color="auto" w:fill="FFFFFF" w:themeFill="background1"/>
        </w:rPr>
      </w:pPr>
      <w:r>
        <w:rPr>
          <w:rFonts w:hint="eastAsia" w:ascii="宋体" w:hAnsi="宋体" w:eastAsia="宋体" w:cs="宋体"/>
          <w:kern w:val="0"/>
          <w:sz w:val="24"/>
          <w:highlight w:val="none"/>
          <w:shd w:val="clear" w:color="auto" w:fill="FFFFFF" w:themeFill="background1"/>
        </w:rPr>
        <w:t>供应商：</w:t>
      </w:r>
      <w:r>
        <w:rPr>
          <w:rFonts w:hint="eastAsia" w:ascii="宋体" w:hAnsi="宋体" w:eastAsia="宋体" w:cs="宋体"/>
          <w:kern w:val="0"/>
          <w:sz w:val="24"/>
          <w:highlight w:val="none"/>
          <w:u w:val="single"/>
          <w:shd w:val="clear" w:color="auto" w:fill="FFFFFF" w:themeFill="background1"/>
        </w:rPr>
        <w:t xml:space="preserve">               </w:t>
      </w:r>
      <w:r>
        <w:rPr>
          <w:rFonts w:hint="eastAsia" w:ascii="宋体" w:hAnsi="宋体" w:eastAsia="宋体" w:cs="宋体"/>
          <w:kern w:val="0"/>
          <w:sz w:val="24"/>
          <w:highlight w:val="none"/>
          <w:shd w:val="clear" w:color="auto" w:fill="FFFFFF" w:themeFill="background1"/>
        </w:rPr>
        <w:t>（盖章）</w:t>
      </w:r>
    </w:p>
    <w:p w14:paraId="633A58C9">
      <w:pPr>
        <w:widowControl/>
        <w:shd w:val="clear" w:color="auto" w:fill="FFFFFF"/>
        <w:snapToGrid w:val="0"/>
        <w:spacing w:line="360" w:lineRule="auto"/>
        <w:jc w:val="left"/>
        <w:rPr>
          <w:rFonts w:hint="eastAsia" w:ascii="宋体" w:hAnsi="宋体" w:eastAsia="宋体" w:cs="宋体"/>
          <w:kern w:val="0"/>
          <w:sz w:val="24"/>
          <w:highlight w:val="none"/>
          <w:shd w:val="clear" w:color="auto" w:fill="FFFFFF" w:themeFill="background1"/>
        </w:rPr>
      </w:pPr>
    </w:p>
    <w:p w14:paraId="340F9B83">
      <w:pPr>
        <w:widowControl/>
        <w:shd w:val="clear" w:color="auto" w:fill="FFFFFF"/>
        <w:snapToGrid w:val="0"/>
        <w:spacing w:line="360" w:lineRule="auto"/>
        <w:jc w:val="left"/>
        <w:rPr>
          <w:rFonts w:hint="eastAsia" w:ascii="宋体" w:hAnsi="宋体" w:eastAsia="宋体" w:cs="宋体"/>
          <w:kern w:val="0"/>
          <w:sz w:val="24"/>
          <w:highlight w:val="none"/>
          <w:shd w:val="clear" w:color="auto" w:fill="FFFFFF" w:themeFill="background1"/>
        </w:rPr>
      </w:pPr>
      <w:r>
        <w:rPr>
          <w:rFonts w:hint="eastAsia" w:ascii="宋体" w:hAnsi="宋体" w:eastAsia="宋体" w:cs="宋体"/>
          <w:kern w:val="0"/>
          <w:sz w:val="24"/>
          <w:highlight w:val="none"/>
          <w:shd w:val="clear" w:color="auto" w:fill="FFFFFF" w:themeFill="background1"/>
        </w:rPr>
        <w:t>法定代表人：</w:t>
      </w:r>
      <w:r>
        <w:rPr>
          <w:rFonts w:hint="eastAsia" w:ascii="宋体" w:hAnsi="宋体" w:eastAsia="宋体" w:cs="宋体"/>
          <w:kern w:val="0"/>
          <w:sz w:val="24"/>
          <w:highlight w:val="none"/>
          <w:u w:val="single"/>
          <w:shd w:val="clear" w:color="auto" w:fill="FFFFFF" w:themeFill="background1"/>
        </w:rPr>
        <w:t xml:space="preserve">           </w:t>
      </w:r>
      <w:r>
        <w:rPr>
          <w:rFonts w:hint="eastAsia" w:ascii="宋体" w:hAnsi="宋体" w:eastAsia="宋体" w:cs="宋体"/>
          <w:kern w:val="0"/>
          <w:sz w:val="24"/>
          <w:highlight w:val="none"/>
          <w:shd w:val="clear" w:color="auto" w:fill="FFFFFF" w:themeFill="background1"/>
        </w:rPr>
        <w:t>（盖章）</w:t>
      </w:r>
    </w:p>
    <w:p w14:paraId="7D4D6124">
      <w:pPr>
        <w:widowControl/>
        <w:shd w:val="clear" w:color="auto" w:fill="FFFFFF"/>
        <w:snapToGrid w:val="0"/>
        <w:spacing w:line="360" w:lineRule="auto"/>
        <w:ind w:firstLine="420"/>
        <w:jc w:val="center"/>
        <w:rPr>
          <w:rFonts w:hint="eastAsia" w:ascii="宋体" w:hAnsi="宋体" w:eastAsia="宋体" w:cs="宋体"/>
          <w:kern w:val="0"/>
          <w:sz w:val="24"/>
          <w:highlight w:val="none"/>
          <w:shd w:val="clear" w:color="auto" w:fill="FFFFFF" w:themeFill="background1"/>
        </w:rPr>
      </w:pPr>
      <w:r>
        <w:rPr>
          <w:rFonts w:hint="eastAsia" w:ascii="宋体" w:hAnsi="宋体" w:eastAsia="宋体" w:cs="宋体"/>
          <w:kern w:val="0"/>
          <w:sz w:val="24"/>
          <w:highlight w:val="none"/>
          <w:shd w:val="clear" w:color="auto" w:fill="FFFFFF" w:themeFill="background1"/>
        </w:rPr>
        <w:t xml:space="preserve">                                               日期： 年  月  日</w:t>
      </w:r>
    </w:p>
    <w:p w14:paraId="79EDE107">
      <w:pPr>
        <w:spacing w:line="360" w:lineRule="auto"/>
        <w:jc w:val="center"/>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End w:id="181"/>
      <w:bookmarkStart w:id="204" w:name="_Toc5011"/>
      <w:bookmarkStart w:id="205" w:name="_Toc27512"/>
      <w:bookmarkStart w:id="206" w:name="_Toc21234"/>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、近年类似项目情况表</w:t>
      </w:r>
      <w:bookmarkEnd w:id="204"/>
      <w:bookmarkEnd w:id="205"/>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606"/>
        <w:gridCol w:w="959"/>
        <w:gridCol w:w="1112"/>
        <w:gridCol w:w="1150"/>
        <w:gridCol w:w="1161"/>
        <w:gridCol w:w="1179"/>
        <w:gridCol w:w="1157"/>
        <w:gridCol w:w="1078"/>
        <w:gridCol w:w="7"/>
      </w:tblGrid>
      <w:tr w14:paraId="387130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top w:val="single" w:color="auto" w:sz="4" w:space="0"/>
            </w:tcBorders>
            <w:vAlign w:val="center"/>
          </w:tcPr>
          <w:p w14:paraId="02B90DB1">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960" w:type="dxa"/>
            <w:vAlign w:val="center"/>
          </w:tcPr>
          <w:p w14:paraId="6EB07D9C">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w:t>
            </w:r>
          </w:p>
        </w:tc>
        <w:tc>
          <w:tcPr>
            <w:tcW w:w="1113" w:type="dxa"/>
            <w:vAlign w:val="center"/>
          </w:tcPr>
          <w:p w14:paraId="05BE54C1">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p>
        </w:tc>
        <w:tc>
          <w:tcPr>
            <w:tcW w:w="1151" w:type="dxa"/>
            <w:vAlign w:val="center"/>
          </w:tcPr>
          <w:p w14:paraId="74720624">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联系电话</w:t>
            </w:r>
          </w:p>
        </w:tc>
        <w:tc>
          <w:tcPr>
            <w:tcW w:w="1162" w:type="dxa"/>
            <w:vAlign w:val="center"/>
          </w:tcPr>
          <w:p w14:paraId="59D4E36B">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项目名称</w:t>
            </w:r>
          </w:p>
        </w:tc>
        <w:tc>
          <w:tcPr>
            <w:tcW w:w="1180" w:type="dxa"/>
            <w:vAlign w:val="center"/>
          </w:tcPr>
          <w:p w14:paraId="028BC26F">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完成时间</w:t>
            </w:r>
          </w:p>
        </w:tc>
        <w:tc>
          <w:tcPr>
            <w:tcW w:w="1158" w:type="dxa"/>
            <w:vAlign w:val="center"/>
          </w:tcPr>
          <w:p w14:paraId="015814BE">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合同金额</w:t>
            </w:r>
          </w:p>
        </w:tc>
        <w:tc>
          <w:tcPr>
            <w:tcW w:w="1079" w:type="dxa"/>
            <w:gridSpan w:val="2"/>
            <w:tcBorders>
              <w:right w:val="single" w:color="auto" w:sz="4" w:space="0"/>
            </w:tcBorders>
            <w:vAlign w:val="center"/>
          </w:tcPr>
          <w:p w14:paraId="604DCDA2">
            <w:pPr>
              <w:spacing w:line="360" w:lineRule="auto"/>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用户反馈</w:t>
            </w:r>
          </w:p>
        </w:tc>
      </w:tr>
      <w:tr w14:paraId="416400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1ECD6081">
            <w:pPr>
              <w:spacing w:line="360" w:lineRule="auto"/>
              <w:jc w:val="center"/>
              <w:rPr>
                <w:rFonts w:hint="eastAsia" w:ascii="宋体" w:hAnsi="宋体" w:eastAsia="宋体" w:cs="宋体"/>
                <w:color w:val="auto"/>
                <w:sz w:val="24"/>
                <w:szCs w:val="24"/>
                <w:highlight w:val="none"/>
              </w:rPr>
            </w:pPr>
          </w:p>
        </w:tc>
        <w:tc>
          <w:tcPr>
            <w:tcW w:w="960" w:type="dxa"/>
            <w:vAlign w:val="center"/>
          </w:tcPr>
          <w:p w14:paraId="71474F67">
            <w:pPr>
              <w:spacing w:line="360" w:lineRule="auto"/>
              <w:jc w:val="center"/>
              <w:rPr>
                <w:rFonts w:hint="eastAsia" w:ascii="宋体" w:hAnsi="宋体" w:eastAsia="宋体" w:cs="宋体"/>
                <w:color w:val="auto"/>
                <w:sz w:val="24"/>
                <w:szCs w:val="24"/>
                <w:highlight w:val="none"/>
              </w:rPr>
            </w:pPr>
          </w:p>
        </w:tc>
        <w:tc>
          <w:tcPr>
            <w:tcW w:w="1113" w:type="dxa"/>
            <w:vAlign w:val="center"/>
          </w:tcPr>
          <w:p w14:paraId="1E3EBFBE">
            <w:pPr>
              <w:spacing w:line="360" w:lineRule="auto"/>
              <w:jc w:val="center"/>
              <w:rPr>
                <w:rFonts w:hint="eastAsia" w:ascii="宋体" w:hAnsi="宋体" w:eastAsia="宋体" w:cs="宋体"/>
                <w:color w:val="auto"/>
                <w:sz w:val="24"/>
                <w:szCs w:val="24"/>
                <w:highlight w:val="none"/>
              </w:rPr>
            </w:pPr>
          </w:p>
        </w:tc>
        <w:tc>
          <w:tcPr>
            <w:tcW w:w="1151" w:type="dxa"/>
            <w:vAlign w:val="center"/>
          </w:tcPr>
          <w:p w14:paraId="017A76E4">
            <w:pPr>
              <w:spacing w:line="360" w:lineRule="auto"/>
              <w:jc w:val="center"/>
              <w:rPr>
                <w:rFonts w:hint="eastAsia" w:ascii="宋体" w:hAnsi="宋体" w:eastAsia="宋体" w:cs="宋体"/>
                <w:color w:val="auto"/>
                <w:sz w:val="24"/>
                <w:szCs w:val="24"/>
                <w:highlight w:val="none"/>
              </w:rPr>
            </w:pPr>
          </w:p>
        </w:tc>
        <w:tc>
          <w:tcPr>
            <w:tcW w:w="1162" w:type="dxa"/>
            <w:vAlign w:val="center"/>
          </w:tcPr>
          <w:p w14:paraId="0660C7B8">
            <w:pPr>
              <w:spacing w:line="360" w:lineRule="auto"/>
              <w:jc w:val="center"/>
              <w:rPr>
                <w:rFonts w:hint="eastAsia" w:ascii="宋体" w:hAnsi="宋体" w:eastAsia="宋体" w:cs="宋体"/>
                <w:color w:val="auto"/>
                <w:sz w:val="24"/>
                <w:szCs w:val="24"/>
                <w:highlight w:val="none"/>
              </w:rPr>
            </w:pPr>
          </w:p>
        </w:tc>
        <w:tc>
          <w:tcPr>
            <w:tcW w:w="1180" w:type="dxa"/>
            <w:vAlign w:val="center"/>
          </w:tcPr>
          <w:p w14:paraId="1F33B8D9">
            <w:pPr>
              <w:spacing w:line="360" w:lineRule="auto"/>
              <w:jc w:val="center"/>
              <w:rPr>
                <w:rFonts w:hint="eastAsia" w:ascii="宋体" w:hAnsi="宋体" w:eastAsia="宋体" w:cs="宋体"/>
                <w:color w:val="auto"/>
                <w:sz w:val="24"/>
                <w:szCs w:val="24"/>
                <w:highlight w:val="none"/>
              </w:rPr>
            </w:pPr>
          </w:p>
        </w:tc>
        <w:tc>
          <w:tcPr>
            <w:tcW w:w="1158" w:type="dxa"/>
            <w:vAlign w:val="center"/>
          </w:tcPr>
          <w:p w14:paraId="41D47AC5">
            <w:pPr>
              <w:spacing w:line="360" w:lineRule="auto"/>
              <w:jc w:val="center"/>
              <w:rPr>
                <w:rFonts w:hint="eastAsia" w:ascii="宋体" w:hAnsi="宋体" w:eastAsia="宋体" w:cs="宋体"/>
                <w:color w:val="auto"/>
                <w:sz w:val="24"/>
                <w:szCs w:val="24"/>
                <w:highlight w:val="none"/>
              </w:rPr>
            </w:pPr>
          </w:p>
        </w:tc>
        <w:tc>
          <w:tcPr>
            <w:tcW w:w="1079" w:type="dxa"/>
            <w:gridSpan w:val="2"/>
            <w:tcBorders>
              <w:right w:val="single" w:color="auto" w:sz="4" w:space="0"/>
            </w:tcBorders>
            <w:vAlign w:val="center"/>
          </w:tcPr>
          <w:p w14:paraId="3F866141">
            <w:pPr>
              <w:spacing w:line="360" w:lineRule="auto"/>
              <w:jc w:val="center"/>
              <w:rPr>
                <w:rFonts w:hint="eastAsia" w:ascii="宋体" w:hAnsi="宋体" w:eastAsia="宋体" w:cs="宋体"/>
                <w:color w:val="auto"/>
                <w:sz w:val="24"/>
                <w:szCs w:val="24"/>
                <w:highlight w:val="none"/>
              </w:rPr>
            </w:pPr>
          </w:p>
        </w:tc>
      </w:tr>
      <w:tr w14:paraId="307A1F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0C8F30DE">
            <w:pPr>
              <w:spacing w:line="360" w:lineRule="auto"/>
              <w:jc w:val="center"/>
              <w:rPr>
                <w:rFonts w:hint="eastAsia" w:ascii="宋体" w:hAnsi="宋体" w:eastAsia="宋体" w:cs="宋体"/>
                <w:color w:val="auto"/>
                <w:sz w:val="24"/>
                <w:szCs w:val="24"/>
                <w:highlight w:val="none"/>
              </w:rPr>
            </w:pPr>
          </w:p>
        </w:tc>
        <w:tc>
          <w:tcPr>
            <w:tcW w:w="960" w:type="dxa"/>
            <w:vAlign w:val="center"/>
          </w:tcPr>
          <w:p w14:paraId="4B5EEFE4">
            <w:pPr>
              <w:spacing w:line="360" w:lineRule="auto"/>
              <w:jc w:val="center"/>
              <w:rPr>
                <w:rFonts w:hint="eastAsia" w:ascii="宋体" w:hAnsi="宋体" w:eastAsia="宋体" w:cs="宋体"/>
                <w:color w:val="auto"/>
                <w:sz w:val="24"/>
                <w:szCs w:val="24"/>
                <w:highlight w:val="none"/>
              </w:rPr>
            </w:pPr>
          </w:p>
        </w:tc>
        <w:tc>
          <w:tcPr>
            <w:tcW w:w="1113" w:type="dxa"/>
            <w:vAlign w:val="center"/>
          </w:tcPr>
          <w:p w14:paraId="4B39DCF9">
            <w:pPr>
              <w:spacing w:line="360" w:lineRule="auto"/>
              <w:jc w:val="center"/>
              <w:rPr>
                <w:rFonts w:hint="eastAsia" w:ascii="宋体" w:hAnsi="宋体" w:eastAsia="宋体" w:cs="宋体"/>
                <w:color w:val="auto"/>
                <w:sz w:val="24"/>
                <w:szCs w:val="24"/>
                <w:highlight w:val="none"/>
              </w:rPr>
            </w:pPr>
          </w:p>
        </w:tc>
        <w:tc>
          <w:tcPr>
            <w:tcW w:w="1151" w:type="dxa"/>
            <w:vAlign w:val="center"/>
          </w:tcPr>
          <w:p w14:paraId="2036248F">
            <w:pPr>
              <w:spacing w:line="360" w:lineRule="auto"/>
              <w:jc w:val="center"/>
              <w:rPr>
                <w:rFonts w:hint="eastAsia" w:ascii="宋体" w:hAnsi="宋体" w:eastAsia="宋体" w:cs="宋体"/>
                <w:color w:val="auto"/>
                <w:sz w:val="24"/>
                <w:szCs w:val="24"/>
                <w:highlight w:val="none"/>
              </w:rPr>
            </w:pPr>
          </w:p>
        </w:tc>
        <w:tc>
          <w:tcPr>
            <w:tcW w:w="1162" w:type="dxa"/>
            <w:vAlign w:val="center"/>
          </w:tcPr>
          <w:p w14:paraId="72326F05">
            <w:pPr>
              <w:spacing w:line="360" w:lineRule="auto"/>
              <w:jc w:val="center"/>
              <w:rPr>
                <w:rFonts w:hint="eastAsia" w:ascii="宋体" w:hAnsi="宋体" w:eastAsia="宋体" w:cs="宋体"/>
                <w:color w:val="auto"/>
                <w:sz w:val="24"/>
                <w:szCs w:val="24"/>
                <w:highlight w:val="none"/>
              </w:rPr>
            </w:pPr>
          </w:p>
        </w:tc>
        <w:tc>
          <w:tcPr>
            <w:tcW w:w="1180" w:type="dxa"/>
            <w:vAlign w:val="center"/>
          </w:tcPr>
          <w:p w14:paraId="4831094D">
            <w:pPr>
              <w:spacing w:line="360" w:lineRule="auto"/>
              <w:jc w:val="center"/>
              <w:rPr>
                <w:rFonts w:hint="eastAsia" w:ascii="宋体" w:hAnsi="宋体" w:eastAsia="宋体" w:cs="宋体"/>
                <w:color w:val="auto"/>
                <w:sz w:val="24"/>
                <w:szCs w:val="24"/>
                <w:highlight w:val="none"/>
              </w:rPr>
            </w:pPr>
          </w:p>
        </w:tc>
        <w:tc>
          <w:tcPr>
            <w:tcW w:w="1158" w:type="dxa"/>
            <w:vAlign w:val="center"/>
          </w:tcPr>
          <w:p w14:paraId="4FFB3017">
            <w:pPr>
              <w:spacing w:line="360" w:lineRule="auto"/>
              <w:jc w:val="center"/>
              <w:rPr>
                <w:rFonts w:hint="eastAsia" w:ascii="宋体" w:hAnsi="宋体" w:eastAsia="宋体" w:cs="宋体"/>
                <w:color w:val="auto"/>
                <w:sz w:val="24"/>
                <w:szCs w:val="24"/>
                <w:highlight w:val="none"/>
              </w:rPr>
            </w:pPr>
          </w:p>
        </w:tc>
        <w:tc>
          <w:tcPr>
            <w:tcW w:w="1079" w:type="dxa"/>
            <w:gridSpan w:val="2"/>
            <w:tcBorders>
              <w:right w:val="single" w:color="auto" w:sz="4" w:space="0"/>
            </w:tcBorders>
            <w:vAlign w:val="center"/>
          </w:tcPr>
          <w:p w14:paraId="61C10FD9">
            <w:pPr>
              <w:spacing w:line="360" w:lineRule="auto"/>
              <w:jc w:val="center"/>
              <w:rPr>
                <w:rFonts w:hint="eastAsia" w:ascii="宋体" w:hAnsi="宋体" w:eastAsia="宋体" w:cs="宋体"/>
                <w:color w:val="auto"/>
                <w:sz w:val="24"/>
                <w:szCs w:val="24"/>
                <w:highlight w:val="none"/>
              </w:rPr>
            </w:pPr>
          </w:p>
        </w:tc>
      </w:tr>
      <w:tr w14:paraId="68F74E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314B40DF">
            <w:pPr>
              <w:spacing w:line="360" w:lineRule="auto"/>
              <w:jc w:val="center"/>
              <w:rPr>
                <w:rFonts w:hint="eastAsia" w:ascii="宋体" w:hAnsi="宋体" w:eastAsia="宋体" w:cs="宋体"/>
                <w:color w:val="auto"/>
                <w:sz w:val="24"/>
                <w:szCs w:val="24"/>
                <w:highlight w:val="none"/>
              </w:rPr>
            </w:pPr>
          </w:p>
        </w:tc>
        <w:tc>
          <w:tcPr>
            <w:tcW w:w="960" w:type="dxa"/>
            <w:vAlign w:val="center"/>
          </w:tcPr>
          <w:p w14:paraId="6EFC01D4">
            <w:pPr>
              <w:spacing w:line="360" w:lineRule="auto"/>
              <w:jc w:val="center"/>
              <w:rPr>
                <w:rFonts w:hint="eastAsia" w:ascii="宋体" w:hAnsi="宋体" w:eastAsia="宋体" w:cs="宋体"/>
                <w:color w:val="auto"/>
                <w:sz w:val="24"/>
                <w:szCs w:val="24"/>
                <w:highlight w:val="none"/>
              </w:rPr>
            </w:pPr>
          </w:p>
        </w:tc>
        <w:tc>
          <w:tcPr>
            <w:tcW w:w="1113" w:type="dxa"/>
            <w:vAlign w:val="center"/>
          </w:tcPr>
          <w:p w14:paraId="4F0ABE19">
            <w:pPr>
              <w:spacing w:line="360" w:lineRule="auto"/>
              <w:jc w:val="center"/>
              <w:rPr>
                <w:rFonts w:hint="eastAsia" w:ascii="宋体" w:hAnsi="宋体" w:eastAsia="宋体" w:cs="宋体"/>
                <w:color w:val="auto"/>
                <w:sz w:val="24"/>
                <w:szCs w:val="24"/>
                <w:highlight w:val="none"/>
              </w:rPr>
            </w:pPr>
          </w:p>
        </w:tc>
        <w:tc>
          <w:tcPr>
            <w:tcW w:w="1151" w:type="dxa"/>
            <w:vAlign w:val="center"/>
          </w:tcPr>
          <w:p w14:paraId="7B9248B7">
            <w:pPr>
              <w:spacing w:line="360" w:lineRule="auto"/>
              <w:jc w:val="center"/>
              <w:rPr>
                <w:rFonts w:hint="eastAsia" w:ascii="宋体" w:hAnsi="宋体" w:eastAsia="宋体" w:cs="宋体"/>
                <w:color w:val="auto"/>
                <w:sz w:val="24"/>
                <w:szCs w:val="24"/>
                <w:highlight w:val="none"/>
              </w:rPr>
            </w:pPr>
          </w:p>
        </w:tc>
        <w:tc>
          <w:tcPr>
            <w:tcW w:w="1162" w:type="dxa"/>
            <w:vAlign w:val="center"/>
          </w:tcPr>
          <w:p w14:paraId="696CBB9D">
            <w:pPr>
              <w:spacing w:line="360" w:lineRule="auto"/>
              <w:jc w:val="center"/>
              <w:rPr>
                <w:rFonts w:hint="eastAsia" w:ascii="宋体" w:hAnsi="宋体" w:eastAsia="宋体" w:cs="宋体"/>
                <w:color w:val="auto"/>
                <w:sz w:val="24"/>
                <w:szCs w:val="24"/>
                <w:highlight w:val="none"/>
              </w:rPr>
            </w:pPr>
          </w:p>
        </w:tc>
        <w:tc>
          <w:tcPr>
            <w:tcW w:w="1180" w:type="dxa"/>
            <w:vAlign w:val="center"/>
          </w:tcPr>
          <w:p w14:paraId="4B8E9D06">
            <w:pPr>
              <w:spacing w:line="360" w:lineRule="auto"/>
              <w:jc w:val="center"/>
              <w:rPr>
                <w:rFonts w:hint="eastAsia" w:ascii="宋体" w:hAnsi="宋体" w:eastAsia="宋体" w:cs="宋体"/>
                <w:color w:val="auto"/>
                <w:sz w:val="24"/>
                <w:szCs w:val="24"/>
                <w:highlight w:val="none"/>
              </w:rPr>
            </w:pPr>
          </w:p>
        </w:tc>
        <w:tc>
          <w:tcPr>
            <w:tcW w:w="1158" w:type="dxa"/>
            <w:vAlign w:val="center"/>
          </w:tcPr>
          <w:p w14:paraId="77BC35CE">
            <w:pPr>
              <w:spacing w:line="360" w:lineRule="auto"/>
              <w:jc w:val="center"/>
              <w:rPr>
                <w:rFonts w:hint="eastAsia" w:ascii="宋体" w:hAnsi="宋体" w:eastAsia="宋体" w:cs="宋体"/>
                <w:color w:val="auto"/>
                <w:sz w:val="24"/>
                <w:szCs w:val="24"/>
                <w:highlight w:val="none"/>
              </w:rPr>
            </w:pPr>
          </w:p>
        </w:tc>
        <w:tc>
          <w:tcPr>
            <w:tcW w:w="1079" w:type="dxa"/>
            <w:gridSpan w:val="2"/>
            <w:tcBorders>
              <w:right w:val="single" w:color="auto" w:sz="4" w:space="0"/>
            </w:tcBorders>
            <w:vAlign w:val="center"/>
          </w:tcPr>
          <w:p w14:paraId="455ADF3A">
            <w:pPr>
              <w:spacing w:line="360" w:lineRule="auto"/>
              <w:jc w:val="center"/>
              <w:rPr>
                <w:rFonts w:hint="eastAsia" w:ascii="宋体" w:hAnsi="宋体" w:eastAsia="宋体" w:cs="宋体"/>
                <w:color w:val="auto"/>
                <w:sz w:val="24"/>
                <w:szCs w:val="24"/>
                <w:highlight w:val="none"/>
              </w:rPr>
            </w:pPr>
          </w:p>
        </w:tc>
      </w:tr>
      <w:tr w14:paraId="3C2A2B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12430D14">
            <w:pPr>
              <w:spacing w:line="360" w:lineRule="auto"/>
              <w:jc w:val="center"/>
              <w:rPr>
                <w:rFonts w:hint="eastAsia" w:ascii="宋体" w:hAnsi="宋体" w:eastAsia="宋体" w:cs="宋体"/>
                <w:color w:val="auto"/>
                <w:sz w:val="24"/>
                <w:szCs w:val="24"/>
                <w:highlight w:val="none"/>
              </w:rPr>
            </w:pPr>
          </w:p>
        </w:tc>
        <w:tc>
          <w:tcPr>
            <w:tcW w:w="960" w:type="dxa"/>
            <w:tcBorders>
              <w:right w:val="single" w:color="auto" w:sz="4" w:space="0"/>
            </w:tcBorders>
            <w:vAlign w:val="center"/>
          </w:tcPr>
          <w:p w14:paraId="1F0B4702">
            <w:pPr>
              <w:spacing w:line="360" w:lineRule="auto"/>
              <w:jc w:val="center"/>
              <w:rPr>
                <w:rFonts w:hint="eastAsia" w:ascii="宋体" w:hAnsi="宋体" w:eastAsia="宋体" w:cs="宋体"/>
                <w:color w:val="auto"/>
                <w:sz w:val="24"/>
                <w:szCs w:val="24"/>
                <w:highlight w:val="none"/>
              </w:rPr>
            </w:pPr>
          </w:p>
        </w:tc>
        <w:tc>
          <w:tcPr>
            <w:tcW w:w="1113" w:type="dxa"/>
            <w:tcBorders>
              <w:left w:val="single" w:color="auto" w:sz="4" w:space="0"/>
            </w:tcBorders>
            <w:vAlign w:val="center"/>
          </w:tcPr>
          <w:p w14:paraId="19E72FCE">
            <w:pPr>
              <w:spacing w:line="360" w:lineRule="auto"/>
              <w:jc w:val="center"/>
              <w:rPr>
                <w:rFonts w:hint="eastAsia" w:ascii="宋体" w:hAnsi="宋体" w:eastAsia="宋体" w:cs="宋体"/>
                <w:color w:val="auto"/>
                <w:sz w:val="24"/>
                <w:szCs w:val="24"/>
                <w:highlight w:val="none"/>
              </w:rPr>
            </w:pPr>
          </w:p>
        </w:tc>
        <w:tc>
          <w:tcPr>
            <w:tcW w:w="1151" w:type="dxa"/>
            <w:tcBorders>
              <w:left w:val="single" w:color="auto" w:sz="4" w:space="0"/>
            </w:tcBorders>
            <w:vAlign w:val="center"/>
          </w:tcPr>
          <w:p w14:paraId="336649E8">
            <w:pPr>
              <w:spacing w:line="360" w:lineRule="auto"/>
              <w:jc w:val="center"/>
              <w:rPr>
                <w:rFonts w:hint="eastAsia" w:ascii="宋体" w:hAnsi="宋体" w:eastAsia="宋体" w:cs="宋体"/>
                <w:color w:val="auto"/>
                <w:sz w:val="24"/>
                <w:szCs w:val="24"/>
                <w:highlight w:val="none"/>
              </w:rPr>
            </w:pPr>
          </w:p>
        </w:tc>
        <w:tc>
          <w:tcPr>
            <w:tcW w:w="1162" w:type="dxa"/>
            <w:tcBorders>
              <w:left w:val="single" w:color="auto" w:sz="4" w:space="0"/>
            </w:tcBorders>
            <w:vAlign w:val="center"/>
          </w:tcPr>
          <w:p w14:paraId="3BD7F0E5">
            <w:pPr>
              <w:spacing w:line="360" w:lineRule="auto"/>
              <w:jc w:val="center"/>
              <w:rPr>
                <w:rFonts w:hint="eastAsia" w:ascii="宋体" w:hAnsi="宋体" w:eastAsia="宋体" w:cs="宋体"/>
                <w:color w:val="auto"/>
                <w:sz w:val="24"/>
                <w:szCs w:val="24"/>
                <w:highlight w:val="none"/>
              </w:rPr>
            </w:pPr>
          </w:p>
        </w:tc>
        <w:tc>
          <w:tcPr>
            <w:tcW w:w="1180" w:type="dxa"/>
            <w:vAlign w:val="center"/>
          </w:tcPr>
          <w:p w14:paraId="47E4AE25">
            <w:pPr>
              <w:spacing w:line="360" w:lineRule="auto"/>
              <w:jc w:val="center"/>
              <w:rPr>
                <w:rFonts w:hint="eastAsia" w:ascii="宋体" w:hAnsi="宋体" w:eastAsia="宋体" w:cs="宋体"/>
                <w:color w:val="auto"/>
                <w:sz w:val="24"/>
                <w:szCs w:val="24"/>
                <w:highlight w:val="none"/>
              </w:rPr>
            </w:pPr>
          </w:p>
        </w:tc>
        <w:tc>
          <w:tcPr>
            <w:tcW w:w="1158" w:type="dxa"/>
            <w:vAlign w:val="center"/>
          </w:tcPr>
          <w:p w14:paraId="1BA31CFF">
            <w:pPr>
              <w:spacing w:line="360" w:lineRule="auto"/>
              <w:jc w:val="center"/>
              <w:rPr>
                <w:rFonts w:hint="eastAsia" w:ascii="宋体" w:hAnsi="宋体" w:eastAsia="宋体" w:cs="宋体"/>
                <w:color w:val="auto"/>
                <w:sz w:val="24"/>
                <w:szCs w:val="24"/>
                <w:highlight w:val="none"/>
              </w:rPr>
            </w:pPr>
          </w:p>
        </w:tc>
        <w:tc>
          <w:tcPr>
            <w:tcW w:w="1079" w:type="dxa"/>
            <w:gridSpan w:val="2"/>
            <w:tcBorders>
              <w:right w:val="single" w:color="auto" w:sz="4" w:space="0"/>
            </w:tcBorders>
            <w:vAlign w:val="center"/>
          </w:tcPr>
          <w:p w14:paraId="2092EC3F">
            <w:pPr>
              <w:spacing w:line="360" w:lineRule="auto"/>
              <w:jc w:val="center"/>
              <w:rPr>
                <w:rFonts w:hint="eastAsia" w:ascii="宋体" w:hAnsi="宋体" w:eastAsia="宋体" w:cs="宋体"/>
                <w:color w:val="auto"/>
                <w:sz w:val="24"/>
                <w:szCs w:val="24"/>
                <w:highlight w:val="none"/>
              </w:rPr>
            </w:pPr>
          </w:p>
        </w:tc>
      </w:tr>
      <w:tr w14:paraId="7E1148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right w:val="single" w:color="auto" w:sz="4" w:space="0"/>
            </w:tcBorders>
            <w:vAlign w:val="center"/>
          </w:tcPr>
          <w:p w14:paraId="76A3ADDB">
            <w:pPr>
              <w:spacing w:line="360" w:lineRule="auto"/>
              <w:rPr>
                <w:rFonts w:hint="eastAsia" w:ascii="宋体" w:hAnsi="宋体" w:eastAsia="宋体" w:cs="宋体"/>
                <w:color w:val="auto"/>
                <w:sz w:val="24"/>
                <w:szCs w:val="24"/>
                <w:highlight w:val="none"/>
              </w:rPr>
            </w:pPr>
          </w:p>
        </w:tc>
        <w:tc>
          <w:tcPr>
            <w:tcW w:w="960" w:type="dxa"/>
            <w:tcBorders>
              <w:left w:val="single" w:color="auto" w:sz="4" w:space="0"/>
              <w:right w:val="single" w:color="auto" w:sz="4" w:space="0"/>
            </w:tcBorders>
            <w:vAlign w:val="center"/>
          </w:tcPr>
          <w:p w14:paraId="1581B706">
            <w:pPr>
              <w:spacing w:line="360" w:lineRule="auto"/>
              <w:rPr>
                <w:rFonts w:hint="eastAsia" w:ascii="宋体" w:hAnsi="宋体" w:eastAsia="宋体" w:cs="宋体"/>
                <w:color w:val="auto"/>
                <w:sz w:val="24"/>
                <w:szCs w:val="24"/>
                <w:highlight w:val="none"/>
              </w:rPr>
            </w:pPr>
          </w:p>
        </w:tc>
        <w:tc>
          <w:tcPr>
            <w:tcW w:w="1113" w:type="dxa"/>
            <w:tcBorders>
              <w:left w:val="single" w:color="auto" w:sz="4" w:space="0"/>
              <w:right w:val="single" w:color="auto" w:sz="4" w:space="0"/>
            </w:tcBorders>
            <w:vAlign w:val="center"/>
          </w:tcPr>
          <w:p w14:paraId="27A9D9F6">
            <w:pPr>
              <w:spacing w:line="360" w:lineRule="auto"/>
              <w:rPr>
                <w:rFonts w:hint="eastAsia" w:ascii="宋体" w:hAnsi="宋体" w:eastAsia="宋体" w:cs="宋体"/>
                <w:color w:val="auto"/>
                <w:sz w:val="24"/>
                <w:szCs w:val="24"/>
                <w:highlight w:val="none"/>
              </w:rPr>
            </w:pPr>
          </w:p>
        </w:tc>
        <w:tc>
          <w:tcPr>
            <w:tcW w:w="1151" w:type="dxa"/>
            <w:tcBorders>
              <w:left w:val="single" w:color="auto" w:sz="4" w:space="0"/>
              <w:right w:val="single" w:color="auto" w:sz="4" w:space="0"/>
            </w:tcBorders>
            <w:vAlign w:val="center"/>
          </w:tcPr>
          <w:p w14:paraId="444B5791">
            <w:pPr>
              <w:spacing w:line="360" w:lineRule="auto"/>
              <w:rPr>
                <w:rFonts w:hint="eastAsia" w:ascii="宋体" w:hAnsi="宋体" w:eastAsia="宋体" w:cs="宋体"/>
                <w:color w:val="auto"/>
                <w:sz w:val="24"/>
                <w:szCs w:val="24"/>
                <w:highlight w:val="none"/>
              </w:rPr>
            </w:pPr>
          </w:p>
        </w:tc>
        <w:tc>
          <w:tcPr>
            <w:tcW w:w="1162" w:type="dxa"/>
            <w:tcBorders>
              <w:left w:val="single" w:color="auto" w:sz="4" w:space="0"/>
              <w:right w:val="single" w:color="auto" w:sz="4" w:space="0"/>
            </w:tcBorders>
            <w:vAlign w:val="center"/>
          </w:tcPr>
          <w:p w14:paraId="4FB90BD9">
            <w:pPr>
              <w:spacing w:line="360" w:lineRule="auto"/>
              <w:rPr>
                <w:rFonts w:hint="eastAsia" w:ascii="宋体" w:hAnsi="宋体" w:eastAsia="宋体" w:cs="宋体"/>
                <w:color w:val="auto"/>
                <w:sz w:val="24"/>
                <w:szCs w:val="24"/>
                <w:highlight w:val="none"/>
              </w:rPr>
            </w:pPr>
          </w:p>
        </w:tc>
        <w:tc>
          <w:tcPr>
            <w:tcW w:w="1180" w:type="dxa"/>
            <w:tcBorders>
              <w:left w:val="single" w:color="auto" w:sz="4" w:space="0"/>
              <w:right w:val="single" w:color="auto" w:sz="4" w:space="0"/>
            </w:tcBorders>
            <w:vAlign w:val="center"/>
          </w:tcPr>
          <w:p w14:paraId="01FB8F01">
            <w:pPr>
              <w:spacing w:line="360" w:lineRule="auto"/>
              <w:rPr>
                <w:rFonts w:hint="eastAsia" w:ascii="宋体" w:hAnsi="宋体" w:eastAsia="宋体" w:cs="宋体"/>
                <w:color w:val="auto"/>
                <w:sz w:val="24"/>
                <w:szCs w:val="24"/>
                <w:highlight w:val="none"/>
              </w:rPr>
            </w:pPr>
          </w:p>
        </w:tc>
        <w:tc>
          <w:tcPr>
            <w:tcW w:w="1158" w:type="dxa"/>
            <w:tcBorders>
              <w:left w:val="single" w:color="auto" w:sz="4" w:space="0"/>
              <w:right w:val="single" w:color="auto" w:sz="4" w:space="0"/>
            </w:tcBorders>
            <w:vAlign w:val="center"/>
          </w:tcPr>
          <w:p w14:paraId="664EBA38">
            <w:pPr>
              <w:spacing w:line="360" w:lineRule="auto"/>
              <w:rPr>
                <w:rFonts w:hint="eastAsia" w:ascii="宋体" w:hAnsi="宋体" w:eastAsia="宋体" w:cs="宋体"/>
                <w:color w:val="auto"/>
                <w:sz w:val="24"/>
                <w:szCs w:val="24"/>
                <w:highlight w:val="none"/>
              </w:rPr>
            </w:pPr>
          </w:p>
        </w:tc>
        <w:tc>
          <w:tcPr>
            <w:tcW w:w="1079" w:type="dxa"/>
            <w:gridSpan w:val="2"/>
            <w:tcBorders>
              <w:left w:val="single" w:color="auto" w:sz="4" w:space="0"/>
              <w:right w:val="single" w:color="auto" w:sz="4" w:space="0"/>
            </w:tcBorders>
            <w:vAlign w:val="center"/>
          </w:tcPr>
          <w:p w14:paraId="091CD86E">
            <w:pPr>
              <w:spacing w:line="360" w:lineRule="auto"/>
              <w:rPr>
                <w:rFonts w:hint="eastAsia" w:ascii="宋体" w:hAnsi="宋体" w:eastAsia="宋体" w:cs="宋体"/>
                <w:color w:val="auto"/>
                <w:sz w:val="24"/>
                <w:szCs w:val="24"/>
                <w:highlight w:val="none"/>
              </w:rPr>
            </w:pPr>
          </w:p>
        </w:tc>
      </w:tr>
      <w:tr w14:paraId="786627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606" w:type="dxa"/>
            <w:vAlign w:val="center"/>
          </w:tcPr>
          <w:p w14:paraId="6CEEFC2B">
            <w:pPr>
              <w:spacing w:line="360" w:lineRule="auto"/>
              <w:rPr>
                <w:rFonts w:hint="eastAsia" w:ascii="宋体" w:hAnsi="宋体" w:eastAsia="宋体" w:cs="宋体"/>
                <w:color w:val="auto"/>
                <w:sz w:val="24"/>
                <w:szCs w:val="24"/>
                <w:highlight w:val="none"/>
              </w:rPr>
            </w:pPr>
          </w:p>
        </w:tc>
        <w:tc>
          <w:tcPr>
            <w:tcW w:w="960" w:type="dxa"/>
            <w:vAlign w:val="center"/>
          </w:tcPr>
          <w:p w14:paraId="7C5474CD">
            <w:pPr>
              <w:spacing w:line="360" w:lineRule="auto"/>
              <w:rPr>
                <w:rFonts w:hint="eastAsia" w:ascii="宋体" w:hAnsi="宋体" w:eastAsia="宋体" w:cs="宋体"/>
                <w:color w:val="auto"/>
                <w:sz w:val="24"/>
                <w:szCs w:val="24"/>
                <w:highlight w:val="none"/>
              </w:rPr>
            </w:pPr>
          </w:p>
        </w:tc>
        <w:tc>
          <w:tcPr>
            <w:tcW w:w="1113" w:type="dxa"/>
            <w:vAlign w:val="center"/>
          </w:tcPr>
          <w:p w14:paraId="7DDCD131">
            <w:pPr>
              <w:spacing w:line="360" w:lineRule="auto"/>
              <w:rPr>
                <w:rFonts w:hint="eastAsia" w:ascii="宋体" w:hAnsi="宋体" w:eastAsia="宋体" w:cs="宋体"/>
                <w:color w:val="auto"/>
                <w:sz w:val="24"/>
                <w:szCs w:val="24"/>
                <w:highlight w:val="none"/>
              </w:rPr>
            </w:pPr>
          </w:p>
        </w:tc>
        <w:tc>
          <w:tcPr>
            <w:tcW w:w="1151" w:type="dxa"/>
            <w:vAlign w:val="center"/>
          </w:tcPr>
          <w:p w14:paraId="5FA2D9AC">
            <w:pPr>
              <w:spacing w:line="360" w:lineRule="auto"/>
              <w:rPr>
                <w:rFonts w:hint="eastAsia" w:ascii="宋体" w:hAnsi="宋体" w:eastAsia="宋体" w:cs="宋体"/>
                <w:color w:val="auto"/>
                <w:sz w:val="24"/>
                <w:szCs w:val="24"/>
                <w:highlight w:val="none"/>
              </w:rPr>
            </w:pPr>
          </w:p>
        </w:tc>
        <w:tc>
          <w:tcPr>
            <w:tcW w:w="1162" w:type="dxa"/>
            <w:vAlign w:val="center"/>
          </w:tcPr>
          <w:p w14:paraId="4840657F">
            <w:pPr>
              <w:spacing w:line="360" w:lineRule="auto"/>
              <w:rPr>
                <w:rFonts w:hint="eastAsia" w:ascii="宋体" w:hAnsi="宋体" w:eastAsia="宋体" w:cs="宋体"/>
                <w:color w:val="auto"/>
                <w:sz w:val="24"/>
                <w:szCs w:val="24"/>
                <w:highlight w:val="none"/>
              </w:rPr>
            </w:pPr>
          </w:p>
        </w:tc>
        <w:tc>
          <w:tcPr>
            <w:tcW w:w="1180" w:type="dxa"/>
            <w:vAlign w:val="center"/>
          </w:tcPr>
          <w:p w14:paraId="5B62198B">
            <w:pPr>
              <w:spacing w:line="360" w:lineRule="auto"/>
              <w:rPr>
                <w:rFonts w:hint="eastAsia" w:ascii="宋体" w:hAnsi="宋体" w:eastAsia="宋体" w:cs="宋体"/>
                <w:color w:val="auto"/>
                <w:sz w:val="24"/>
                <w:szCs w:val="24"/>
                <w:highlight w:val="none"/>
              </w:rPr>
            </w:pPr>
          </w:p>
        </w:tc>
        <w:tc>
          <w:tcPr>
            <w:tcW w:w="1158" w:type="dxa"/>
            <w:tcBorders>
              <w:right w:val="single" w:color="auto" w:sz="4" w:space="0"/>
            </w:tcBorders>
            <w:vAlign w:val="center"/>
          </w:tcPr>
          <w:p w14:paraId="7E224664">
            <w:pPr>
              <w:spacing w:line="360" w:lineRule="auto"/>
              <w:rPr>
                <w:rFonts w:hint="eastAsia" w:ascii="宋体" w:hAnsi="宋体" w:eastAsia="宋体" w:cs="宋体"/>
                <w:color w:val="auto"/>
                <w:sz w:val="24"/>
                <w:szCs w:val="24"/>
                <w:highlight w:val="none"/>
              </w:rPr>
            </w:pPr>
          </w:p>
        </w:tc>
        <w:tc>
          <w:tcPr>
            <w:tcW w:w="1069" w:type="dxa"/>
            <w:tcBorders>
              <w:left w:val="single" w:color="auto" w:sz="4" w:space="0"/>
              <w:right w:val="single" w:color="auto" w:sz="4" w:space="0"/>
            </w:tcBorders>
            <w:vAlign w:val="center"/>
          </w:tcPr>
          <w:p w14:paraId="29798C2C">
            <w:pPr>
              <w:spacing w:line="360" w:lineRule="auto"/>
              <w:rPr>
                <w:rFonts w:hint="eastAsia" w:ascii="宋体" w:hAnsi="宋体" w:eastAsia="宋体" w:cs="宋体"/>
                <w:color w:val="auto"/>
                <w:sz w:val="24"/>
                <w:szCs w:val="24"/>
                <w:highlight w:val="none"/>
              </w:rPr>
            </w:pPr>
          </w:p>
        </w:tc>
      </w:tr>
      <w:tr w14:paraId="676EA4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606" w:type="dxa"/>
            <w:vAlign w:val="center"/>
          </w:tcPr>
          <w:p w14:paraId="101CB5EA">
            <w:pPr>
              <w:spacing w:line="360" w:lineRule="auto"/>
              <w:jc w:val="center"/>
              <w:rPr>
                <w:rFonts w:hint="eastAsia" w:ascii="宋体" w:hAnsi="宋体" w:eastAsia="宋体" w:cs="宋体"/>
                <w:color w:val="auto"/>
                <w:sz w:val="24"/>
                <w:szCs w:val="24"/>
                <w:highlight w:val="none"/>
              </w:rPr>
            </w:pPr>
          </w:p>
        </w:tc>
        <w:tc>
          <w:tcPr>
            <w:tcW w:w="960" w:type="dxa"/>
            <w:vAlign w:val="center"/>
          </w:tcPr>
          <w:p w14:paraId="6F71B35C">
            <w:pPr>
              <w:spacing w:line="360" w:lineRule="auto"/>
              <w:jc w:val="center"/>
              <w:rPr>
                <w:rFonts w:hint="eastAsia" w:ascii="宋体" w:hAnsi="宋体" w:eastAsia="宋体" w:cs="宋体"/>
                <w:color w:val="auto"/>
                <w:sz w:val="24"/>
                <w:szCs w:val="24"/>
                <w:highlight w:val="none"/>
              </w:rPr>
            </w:pPr>
          </w:p>
        </w:tc>
        <w:tc>
          <w:tcPr>
            <w:tcW w:w="1113" w:type="dxa"/>
            <w:vAlign w:val="center"/>
          </w:tcPr>
          <w:p w14:paraId="04000ABA">
            <w:pPr>
              <w:spacing w:line="360" w:lineRule="auto"/>
              <w:jc w:val="center"/>
              <w:rPr>
                <w:rFonts w:hint="eastAsia" w:ascii="宋体" w:hAnsi="宋体" w:eastAsia="宋体" w:cs="宋体"/>
                <w:color w:val="auto"/>
                <w:sz w:val="24"/>
                <w:szCs w:val="24"/>
                <w:highlight w:val="none"/>
              </w:rPr>
            </w:pPr>
          </w:p>
        </w:tc>
        <w:tc>
          <w:tcPr>
            <w:tcW w:w="1151" w:type="dxa"/>
            <w:vAlign w:val="center"/>
          </w:tcPr>
          <w:p w14:paraId="55146483">
            <w:pPr>
              <w:spacing w:line="360" w:lineRule="auto"/>
              <w:jc w:val="center"/>
              <w:rPr>
                <w:rFonts w:hint="eastAsia" w:ascii="宋体" w:hAnsi="宋体" w:eastAsia="宋体" w:cs="宋体"/>
                <w:color w:val="auto"/>
                <w:sz w:val="24"/>
                <w:szCs w:val="24"/>
                <w:highlight w:val="none"/>
              </w:rPr>
            </w:pPr>
          </w:p>
        </w:tc>
        <w:tc>
          <w:tcPr>
            <w:tcW w:w="1162" w:type="dxa"/>
            <w:vAlign w:val="center"/>
          </w:tcPr>
          <w:p w14:paraId="7616DFE3">
            <w:pPr>
              <w:spacing w:line="360" w:lineRule="auto"/>
              <w:jc w:val="center"/>
              <w:rPr>
                <w:rFonts w:hint="eastAsia" w:ascii="宋体" w:hAnsi="宋体" w:eastAsia="宋体" w:cs="宋体"/>
                <w:color w:val="auto"/>
                <w:sz w:val="24"/>
                <w:szCs w:val="24"/>
                <w:highlight w:val="none"/>
              </w:rPr>
            </w:pPr>
          </w:p>
        </w:tc>
        <w:tc>
          <w:tcPr>
            <w:tcW w:w="1180" w:type="dxa"/>
            <w:vAlign w:val="center"/>
          </w:tcPr>
          <w:p w14:paraId="4E225B51">
            <w:pPr>
              <w:spacing w:line="360" w:lineRule="auto"/>
              <w:jc w:val="center"/>
              <w:rPr>
                <w:rFonts w:hint="eastAsia" w:ascii="宋体" w:hAnsi="宋体" w:eastAsia="宋体" w:cs="宋体"/>
                <w:color w:val="auto"/>
                <w:sz w:val="24"/>
                <w:szCs w:val="24"/>
                <w:highlight w:val="none"/>
              </w:rPr>
            </w:pPr>
          </w:p>
        </w:tc>
        <w:tc>
          <w:tcPr>
            <w:tcW w:w="1158" w:type="dxa"/>
            <w:tcBorders>
              <w:right w:val="single" w:color="auto" w:sz="4" w:space="0"/>
            </w:tcBorders>
            <w:vAlign w:val="center"/>
          </w:tcPr>
          <w:p w14:paraId="6CF82243">
            <w:pPr>
              <w:spacing w:line="360" w:lineRule="auto"/>
              <w:jc w:val="center"/>
              <w:rPr>
                <w:rFonts w:hint="eastAsia" w:ascii="宋体" w:hAnsi="宋体" w:eastAsia="宋体" w:cs="宋体"/>
                <w:color w:val="auto"/>
                <w:sz w:val="24"/>
                <w:szCs w:val="24"/>
                <w:highlight w:val="none"/>
              </w:rPr>
            </w:pPr>
          </w:p>
        </w:tc>
        <w:tc>
          <w:tcPr>
            <w:tcW w:w="1069" w:type="dxa"/>
            <w:tcBorders>
              <w:left w:val="single" w:color="auto" w:sz="4" w:space="0"/>
              <w:right w:val="single" w:color="auto" w:sz="4" w:space="0"/>
            </w:tcBorders>
            <w:vAlign w:val="center"/>
          </w:tcPr>
          <w:p w14:paraId="779A96DD">
            <w:pPr>
              <w:spacing w:line="360" w:lineRule="auto"/>
              <w:jc w:val="center"/>
              <w:rPr>
                <w:rFonts w:hint="eastAsia" w:ascii="宋体" w:hAnsi="宋体" w:eastAsia="宋体" w:cs="宋体"/>
                <w:color w:val="auto"/>
                <w:sz w:val="24"/>
                <w:szCs w:val="24"/>
                <w:highlight w:val="none"/>
              </w:rPr>
            </w:pPr>
          </w:p>
        </w:tc>
      </w:tr>
      <w:tr w14:paraId="577F61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606" w:type="dxa"/>
            <w:vAlign w:val="center"/>
          </w:tcPr>
          <w:p w14:paraId="5A168909">
            <w:pPr>
              <w:spacing w:line="360" w:lineRule="auto"/>
              <w:jc w:val="center"/>
              <w:rPr>
                <w:rFonts w:hint="eastAsia" w:ascii="宋体" w:hAnsi="宋体" w:eastAsia="宋体" w:cs="宋体"/>
                <w:color w:val="auto"/>
                <w:sz w:val="24"/>
                <w:szCs w:val="24"/>
                <w:highlight w:val="none"/>
              </w:rPr>
            </w:pPr>
          </w:p>
        </w:tc>
        <w:tc>
          <w:tcPr>
            <w:tcW w:w="960" w:type="dxa"/>
            <w:vAlign w:val="center"/>
          </w:tcPr>
          <w:p w14:paraId="35657516">
            <w:pPr>
              <w:spacing w:line="360" w:lineRule="auto"/>
              <w:jc w:val="center"/>
              <w:rPr>
                <w:rFonts w:hint="eastAsia" w:ascii="宋体" w:hAnsi="宋体" w:eastAsia="宋体" w:cs="宋体"/>
                <w:color w:val="auto"/>
                <w:sz w:val="24"/>
                <w:szCs w:val="24"/>
                <w:highlight w:val="none"/>
              </w:rPr>
            </w:pPr>
          </w:p>
        </w:tc>
        <w:tc>
          <w:tcPr>
            <w:tcW w:w="1113" w:type="dxa"/>
            <w:vAlign w:val="center"/>
          </w:tcPr>
          <w:p w14:paraId="6B8354ED">
            <w:pPr>
              <w:spacing w:line="360" w:lineRule="auto"/>
              <w:jc w:val="center"/>
              <w:rPr>
                <w:rFonts w:hint="eastAsia" w:ascii="宋体" w:hAnsi="宋体" w:eastAsia="宋体" w:cs="宋体"/>
                <w:color w:val="auto"/>
                <w:sz w:val="24"/>
                <w:szCs w:val="24"/>
                <w:highlight w:val="none"/>
              </w:rPr>
            </w:pPr>
          </w:p>
        </w:tc>
        <w:tc>
          <w:tcPr>
            <w:tcW w:w="1151" w:type="dxa"/>
            <w:vAlign w:val="center"/>
          </w:tcPr>
          <w:p w14:paraId="0EB5428D">
            <w:pPr>
              <w:spacing w:line="360" w:lineRule="auto"/>
              <w:jc w:val="center"/>
              <w:rPr>
                <w:rFonts w:hint="eastAsia" w:ascii="宋体" w:hAnsi="宋体" w:eastAsia="宋体" w:cs="宋体"/>
                <w:color w:val="auto"/>
                <w:sz w:val="24"/>
                <w:szCs w:val="24"/>
                <w:highlight w:val="none"/>
              </w:rPr>
            </w:pPr>
          </w:p>
        </w:tc>
        <w:tc>
          <w:tcPr>
            <w:tcW w:w="1162" w:type="dxa"/>
            <w:vAlign w:val="center"/>
          </w:tcPr>
          <w:p w14:paraId="05ED7FF9">
            <w:pPr>
              <w:spacing w:line="360" w:lineRule="auto"/>
              <w:jc w:val="center"/>
              <w:rPr>
                <w:rFonts w:hint="eastAsia" w:ascii="宋体" w:hAnsi="宋体" w:eastAsia="宋体" w:cs="宋体"/>
                <w:color w:val="auto"/>
                <w:sz w:val="24"/>
                <w:szCs w:val="24"/>
                <w:highlight w:val="none"/>
              </w:rPr>
            </w:pPr>
          </w:p>
        </w:tc>
        <w:tc>
          <w:tcPr>
            <w:tcW w:w="1180" w:type="dxa"/>
            <w:vAlign w:val="center"/>
          </w:tcPr>
          <w:p w14:paraId="64C7E195">
            <w:pPr>
              <w:spacing w:line="360" w:lineRule="auto"/>
              <w:jc w:val="center"/>
              <w:rPr>
                <w:rFonts w:hint="eastAsia" w:ascii="宋体" w:hAnsi="宋体" w:eastAsia="宋体" w:cs="宋体"/>
                <w:color w:val="auto"/>
                <w:sz w:val="24"/>
                <w:szCs w:val="24"/>
                <w:highlight w:val="none"/>
              </w:rPr>
            </w:pPr>
          </w:p>
        </w:tc>
        <w:tc>
          <w:tcPr>
            <w:tcW w:w="1158" w:type="dxa"/>
            <w:tcBorders>
              <w:right w:val="single" w:color="auto" w:sz="4" w:space="0"/>
            </w:tcBorders>
            <w:vAlign w:val="center"/>
          </w:tcPr>
          <w:p w14:paraId="0C527200">
            <w:pPr>
              <w:spacing w:line="360" w:lineRule="auto"/>
              <w:jc w:val="center"/>
              <w:rPr>
                <w:rFonts w:hint="eastAsia" w:ascii="宋体" w:hAnsi="宋体" w:eastAsia="宋体" w:cs="宋体"/>
                <w:color w:val="auto"/>
                <w:sz w:val="24"/>
                <w:szCs w:val="24"/>
                <w:highlight w:val="none"/>
              </w:rPr>
            </w:pPr>
          </w:p>
        </w:tc>
        <w:tc>
          <w:tcPr>
            <w:tcW w:w="1069" w:type="dxa"/>
            <w:tcBorders>
              <w:left w:val="single" w:color="auto" w:sz="4" w:space="0"/>
              <w:right w:val="single" w:color="auto" w:sz="4" w:space="0"/>
            </w:tcBorders>
            <w:vAlign w:val="center"/>
          </w:tcPr>
          <w:p w14:paraId="1B582489">
            <w:pPr>
              <w:spacing w:line="360" w:lineRule="auto"/>
              <w:jc w:val="center"/>
              <w:rPr>
                <w:rFonts w:hint="eastAsia" w:ascii="宋体" w:hAnsi="宋体" w:eastAsia="宋体" w:cs="宋体"/>
                <w:color w:val="auto"/>
                <w:sz w:val="24"/>
                <w:szCs w:val="24"/>
                <w:highlight w:val="none"/>
              </w:rPr>
            </w:pPr>
          </w:p>
        </w:tc>
      </w:tr>
      <w:tr w14:paraId="4B8208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510" w:hRule="atLeast"/>
          <w:jc w:val="center"/>
        </w:trPr>
        <w:tc>
          <w:tcPr>
            <w:tcW w:w="606" w:type="dxa"/>
            <w:tcBorders>
              <w:bottom w:val="single" w:color="auto" w:sz="4" w:space="0"/>
            </w:tcBorders>
            <w:vAlign w:val="center"/>
          </w:tcPr>
          <w:p w14:paraId="149AFE31">
            <w:pPr>
              <w:spacing w:line="360" w:lineRule="auto"/>
              <w:jc w:val="center"/>
              <w:rPr>
                <w:rFonts w:hint="eastAsia" w:ascii="宋体" w:hAnsi="宋体" w:eastAsia="宋体" w:cs="宋体"/>
                <w:color w:val="auto"/>
                <w:sz w:val="24"/>
                <w:szCs w:val="24"/>
                <w:highlight w:val="none"/>
              </w:rPr>
            </w:pPr>
          </w:p>
        </w:tc>
        <w:tc>
          <w:tcPr>
            <w:tcW w:w="960" w:type="dxa"/>
            <w:tcBorders>
              <w:bottom w:val="single" w:color="auto" w:sz="4" w:space="0"/>
            </w:tcBorders>
            <w:vAlign w:val="center"/>
          </w:tcPr>
          <w:p w14:paraId="7713DAD8">
            <w:pPr>
              <w:spacing w:line="360" w:lineRule="auto"/>
              <w:jc w:val="center"/>
              <w:rPr>
                <w:rFonts w:hint="eastAsia" w:ascii="宋体" w:hAnsi="宋体" w:eastAsia="宋体" w:cs="宋体"/>
                <w:color w:val="auto"/>
                <w:sz w:val="24"/>
                <w:szCs w:val="24"/>
                <w:highlight w:val="none"/>
              </w:rPr>
            </w:pPr>
          </w:p>
        </w:tc>
        <w:tc>
          <w:tcPr>
            <w:tcW w:w="1113" w:type="dxa"/>
            <w:tcBorders>
              <w:bottom w:val="single" w:color="auto" w:sz="4" w:space="0"/>
            </w:tcBorders>
            <w:vAlign w:val="center"/>
          </w:tcPr>
          <w:p w14:paraId="5EB26C13">
            <w:pPr>
              <w:spacing w:line="360" w:lineRule="auto"/>
              <w:jc w:val="center"/>
              <w:rPr>
                <w:rFonts w:hint="eastAsia" w:ascii="宋体" w:hAnsi="宋体" w:eastAsia="宋体" w:cs="宋体"/>
                <w:color w:val="auto"/>
                <w:sz w:val="24"/>
                <w:szCs w:val="24"/>
                <w:highlight w:val="none"/>
              </w:rPr>
            </w:pPr>
          </w:p>
        </w:tc>
        <w:tc>
          <w:tcPr>
            <w:tcW w:w="1151" w:type="dxa"/>
            <w:tcBorders>
              <w:bottom w:val="single" w:color="auto" w:sz="4" w:space="0"/>
            </w:tcBorders>
            <w:vAlign w:val="center"/>
          </w:tcPr>
          <w:p w14:paraId="4526E5C1">
            <w:pPr>
              <w:spacing w:line="360" w:lineRule="auto"/>
              <w:jc w:val="center"/>
              <w:rPr>
                <w:rFonts w:hint="eastAsia" w:ascii="宋体" w:hAnsi="宋体" w:eastAsia="宋体" w:cs="宋体"/>
                <w:color w:val="auto"/>
                <w:sz w:val="24"/>
                <w:szCs w:val="24"/>
                <w:highlight w:val="none"/>
              </w:rPr>
            </w:pPr>
          </w:p>
        </w:tc>
        <w:tc>
          <w:tcPr>
            <w:tcW w:w="1162" w:type="dxa"/>
            <w:tcBorders>
              <w:bottom w:val="single" w:color="auto" w:sz="4" w:space="0"/>
            </w:tcBorders>
            <w:vAlign w:val="center"/>
          </w:tcPr>
          <w:p w14:paraId="19D89119">
            <w:pPr>
              <w:spacing w:line="360" w:lineRule="auto"/>
              <w:jc w:val="center"/>
              <w:rPr>
                <w:rFonts w:hint="eastAsia" w:ascii="宋体" w:hAnsi="宋体" w:eastAsia="宋体" w:cs="宋体"/>
                <w:color w:val="auto"/>
                <w:sz w:val="24"/>
                <w:szCs w:val="24"/>
                <w:highlight w:val="none"/>
              </w:rPr>
            </w:pPr>
          </w:p>
        </w:tc>
        <w:tc>
          <w:tcPr>
            <w:tcW w:w="1180" w:type="dxa"/>
            <w:tcBorders>
              <w:bottom w:val="single" w:color="auto" w:sz="4" w:space="0"/>
            </w:tcBorders>
            <w:vAlign w:val="center"/>
          </w:tcPr>
          <w:p w14:paraId="27CFCE8C">
            <w:pPr>
              <w:spacing w:line="360" w:lineRule="auto"/>
              <w:jc w:val="center"/>
              <w:rPr>
                <w:rFonts w:hint="eastAsia" w:ascii="宋体" w:hAnsi="宋体" w:eastAsia="宋体" w:cs="宋体"/>
                <w:color w:val="auto"/>
                <w:sz w:val="24"/>
                <w:szCs w:val="24"/>
                <w:highlight w:val="none"/>
              </w:rPr>
            </w:pPr>
          </w:p>
        </w:tc>
        <w:tc>
          <w:tcPr>
            <w:tcW w:w="1158" w:type="dxa"/>
            <w:tcBorders>
              <w:bottom w:val="single" w:color="auto" w:sz="4" w:space="0"/>
              <w:right w:val="single" w:color="auto" w:sz="4" w:space="0"/>
            </w:tcBorders>
            <w:vAlign w:val="center"/>
          </w:tcPr>
          <w:p w14:paraId="014A9B08">
            <w:pPr>
              <w:spacing w:line="360" w:lineRule="auto"/>
              <w:jc w:val="center"/>
              <w:rPr>
                <w:rFonts w:hint="eastAsia" w:ascii="宋体" w:hAnsi="宋体" w:eastAsia="宋体" w:cs="宋体"/>
                <w:color w:val="auto"/>
                <w:sz w:val="24"/>
                <w:szCs w:val="24"/>
                <w:highlight w:val="none"/>
              </w:rPr>
            </w:pPr>
          </w:p>
        </w:tc>
        <w:tc>
          <w:tcPr>
            <w:tcW w:w="1069" w:type="dxa"/>
            <w:tcBorders>
              <w:left w:val="single" w:color="auto" w:sz="4" w:space="0"/>
              <w:bottom w:val="single" w:color="auto" w:sz="4" w:space="0"/>
              <w:right w:val="single" w:color="auto" w:sz="4" w:space="0"/>
            </w:tcBorders>
            <w:vAlign w:val="center"/>
          </w:tcPr>
          <w:p w14:paraId="2EA20075">
            <w:pPr>
              <w:spacing w:line="360" w:lineRule="auto"/>
              <w:jc w:val="center"/>
              <w:rPr>
                <w:rFonts w:hint="eastAsia" w:ascii="宋体" w:hAnsi="宋体" w:eastAsia="宋体" w:cs="宋体"/>
                <w:color w:val="auto"/>
                <w:sz w:val="24"/>
                <w:szCs w:val="24"/>
                <w:highlight w:val="none"/>
              </w:rPr>
            </w:pPr>
          </w:p>
        </w:tc>
      </w:tr>
      <w:tr w14:paraId="30CACA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15" w:hRule="atLeast"/>
          <w:jc w:val="center"/>
        </w:trPr>
        <w:tc>
          <w:tcPr>
            <w:tcW w:w="606" w:type="dxa"/>
            <w:tcBorders>
              <w:top w:val="single" w:color="auto" w:sz="4" w:space="0"/>
              <w:bottom w:val="single" w:color="auto" w:sz="4" w:space="0"/>
            </w:tcBorders>
            <w:vAlign w:val="center"/>
          </w:tcPr>
          <w:p w14:paraId="42ECB294">
            <w:pPr>
              <w:spacing w:line="360" w:lineRule="auto"/>
              <w:jc w:val="center"/>
              <w:rPr>
                <w:rFonts w:hint="eastAsia" w:ascii="宋体" w:hAnsi="宋体" w:eastAsia="宋体" w:cs="宋体"/>
                <w:color w:val="auto"/>
                <w:sz w:val="24"/>
                <w:szCs w:val="24"/>
                <w:highlight w:val="none"/>
              </w:rPr>
            </w:pPr>
          </w:p>
        </w:tc>
        <w:tc>
          <w:tcPr>
            <w:tcW w:w="960" w:type="dxa"/>
            <w:tcBorders>
              <w:top w:val="single" w:color="auto" w:sz="4" w:space="0"/>
              <w:bottom w:val="single" w:color="auto" w:sz="4" w:space="0"/>
            </w:tcBorders>
            <w:vAlign w:val="center"/>
          </w:tcPr>
          <w:p w14:paraId="433B1F69">
            <w:pPr>
              <w:spacing w:line="360" w:lineRule="auto"/>
              <w:jc w:val="center"/>
              <w:rPr>
                <w:rFonts w:hint="eastAsia" w:ascii="宋体" w:hAnsi="宋体" w:eastAsia="宋体" w:cs="宋体"/>
                <w:color w:val="auto"/>
                <w:sz w:val="24"/>
                <w:szCs w:val="24"/>
                <w:highlight w:val="none"/>
              </w:rPr>
            </w:pPr>
          </w:p>
        </w:tc>
        <w:tc>
          <w:tcPr>
            <w:tcW w:w="1113" w:type="dxa"/>
            <w:tcBorders>
              <w:top w:val="single" w:color="auto" w:sz="4" w:space="0"/>
              <w:bottom w:val="single" w:color="auto" w:sz="4" w:space="0"/>
            </w:tcBorders>
            <w:vAlign w:val="center"/>
          </w:tcPr>
          <w:p w14:paraId="7737F182">
            <w:pPr>
              <w:spacing w:line="360" w:lineRule="auto"/>
              <w:jc w:val="center"/>
              <w:rPr>
                <w:rFonts w:hint="eastAsia" w:ascii="宋体" w:hAnsi="宋体" w:eastAsia="宋体" w:cs="宋体"/>
                <w:color w:val="auto"/>
                <w:sz w:val="24"/>
                <w:szCs w:val="24"/>
                <w:highlight w:val="none"/>
              </w:rPr>
            </w:pPr>
          </w:p>
        </w:tc>
        <w:tc>
          <w:tcPr>
            <w:tcW w:w="1151" w:type="dxa"/>
            <w:tcBorders>
              <w:top w:val="single" w:color="auto" w:sz="4" w:space="0"/>
              <w:bottom w:val="single" w:color="auto" w:sz="4" w:space="0"/>
            </w:tcBorders>
            <w:vAlign w:val="center"/>
          </w:tcPr>
          <w:p w14:paraId="4BA44A7D">
            <w:pPr>
              <w:spacing w:line="360" w:lineRule="auto"/>
              <w:jc w:val="center"/>
              <w:rPr>
                <w:rFonts w:hint="eastAsia" w:ascii="宋体" w:hAnsi="宋体" w:eastAsia="宋体" w:cs="宋体"/>
                <w:color w:val="auto"/>
                <w:sz w:val="24"/>
                <w:szCs w:val="24"/>
                <w:highlight w:val="none"/>
              </w:rPr>
            </w:pPr>
          </w:p>
        </w:tc>
        <w:tc>
          <w:tcPr>
            <w:tcW w:w="1162" w:type="dxa"/>
            <w:tcBorders>
              <w:top w:val="single" w:color="auto" w:sz="4" w:space="0"/>
              <w:bottom w:val="single" w:color="auto" w:sz="4" w:space="0"/>
            </w:tcBorders>
            <w:vAlign w:val="center"/>
          </w:tcPr>
          <w:p w14:paraId="604243BF">
            <w:pPr>
              <w:spacing w:line="360" w:lineRule="auto"/>
              <w:jc w:val="center"/>
              <w:rPr>
                <w:rFonts w:hint="eastAsia" w:ascii="宋体" w:hAnsi="宋体" w:eastAsia="宋体" w:cs="宋体"/>
                <w:color w:val="auto"/>
                <w:sz w:val="24"/>
                <w:szCs w:val="24"/>
                <w:highlight w:val="none"/>
              </w:rPr>
            </w:pPr>
          </w:p>
        </w:tc>
        <w:tc>
          <w:tcPr>
            <w:tcW w:w="1180" w:type="dxa"/>
            <w:tcBorders>
              <w:top w:val="single" w:color="auto" w:sz="4" w:space="0"/>
              <w:bottom w:val="single" w:color="auto" w:sz="4" w:space="0"/>
            </w:tcBorders>
            <w:vAlign w:val="center"/>
          </w:tcPr>
          <w:p w14:paraId="52317841">
            <w:pPr>
              <w:spacing w:line="360" w:lineRule="auto"/>
              <w:jc w:val="center"/>
              <w:rPr>
                <w:rFonts w:hint="eastAsia" w:ascii="宋体" w:hAnsi="宋体" w:eastAsia="宋体" w:cs="宋体"/>
                <w:color w:val="auto"/>
                <w:sz w:val="24"/>
                <w:szCs w:val="24"/>
                <w:highlight w:val="none"/>
              </w:rPr>
            </w:pPr>
          </w:p>
        </w:tc>
        <w:tc>
          <w:tcPr>
            <w:tcW w:w="1158" w:type="dxa"/>
            <w:tcBorders>
              <w:top w:val="single" w:color="auto" w:sz="4" w:space="0"/>
              <w:bottom w:val="single" w:color="auto" w:sz="4" w:space="0"/>
              <w:right w:val="single" w:color="auto" w:sz="4" w:space="0"/>
            </w:tcBorders>
            <w:vAlign w:val="center"/>
          </w:tcPr>
          <w:p w14:paraId="28CEC28E">
            <w:pPr>
              <w:spacing w:line="360" w:lineRule="auto"/>
              <w:jc w:val="center"/>
              <w:rPr>
                <w:rFonts w:hint="eastAsia" w:ascii="宋体" w:hAnsi="宋体" w:eastAsia="宋体" w:cs="宋体"/>
                <w:color w:val="auto"/>
                <w:sz w:val="24"/>
                <w:szCs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65BEBEF6">
            <w:pPr>
              <w:spacing w:line="360" w:lineRule="auto"/>
              <w:jc w:val="center"/>
              <w:rPr>
                <w:rFonts w:hint="eastAsia" w:ascii="宋体" w:hAnsi="宋体" w:eastAsia="宋体" w:cs="宋体"/>
                <w:color w:val="auto"/>
                <w:sz w:val="24"/>
                <w:szCs w:val="24"/>
                <w:highlight w:val="none"/>
              </w:rPr>
            </w:pPr>
          </w:p>
        </w:tc>
      </w:tr>
      <w:tr w14:paraId="20C86F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15" w:hRule="atLeast"/>
          <w:jc w:val="center"/>
        </w:trPr>
        <w:tc>
          <w:tcPr>
            <w:tcW w:w="606" w:type="dxa"/>
            <w:tcBorders>
              <w:top w:val="single" w:color="auto" w:sz="4" w:space="0"/>
              <w:bottom w:val="single" w:color="auto" w:sz="4" w:space="0"/>
            </w:tcBorders>
            <w:vAlign w:val="center"/>
          </w:tcPr>
          <w:p w14:paraId="3CA27E59">
            <w:pPr>
              <w:spacing w:line="360" w:lineRule="auto"/>
              <w:jc w:val="center"/>
              <w:rPr>
                <w:rFonts w:hint="eastAsia" w:ascii="宋体" w:hAnsi="宋体" w:eastAsia="宋体" w:cs="宋体"/>
                <w:color w:val="auto"/>
                <w:sz w:val="24"/>
                <w:szCs w:val="24"/>
                <w:highlight w:val="none"/>
              </w:rPr>
            </w:pPr>
          </w:p>
        </w:tc>
        <w:tc>
          <w:tcPr>
            <w:tcW w:w="960" w:type="dxa"/>
            <w:tcBorders>
              <w:top w:val="single" w:color="auto" w:sz="4" w:space="0"/>
              <w:bottom w:val="single" w:color="auto" w:sz="4" w:space="0"/>
            </w:tcBorders>
            <w:vAlign w:val="center"/>
          </w:tcPr>
          <w:p w14:paraId="42AD3FD6">
            <w:pPr>
              <w:spacing w:line="360" w:lineRule="auto"/>
              <w:jc w:val="center"/>
              <w:rPr>
                <w:rFonts w:hint="eastAsia" w:ascii="宋体" w:hAnsi="宋体" w:eastAsia="宋体" w:cs="宋体"/>
                <w:color w:val="auto"/>
                <w:sz w:val="24"/>
                <w:szCs w:val="24"/>
                <w:highlight w:val="none"/>
              </w:rPr>
            </w:pPr>
          </w:p>
        </w:tc>
        <w:tc>
          <w:tcPr>
            <w:tcW w:w="1113" w:type="dxa"/>
            <w:tcBorders>
              <w:top w:val="single" w:color="auto" w:sz="4" w:space="0"/>
              <w:bottom w:val="single" w:color="auto" w:sz="4" w:space="0"/>
            </w:tcBorders>
            <w:vAlign w:val="center"/>
          </w:tcPr>
          <w:p w14:paraId="4749B804">
            <w:pPr>
              <w:spacing w:line="360" w:lineRule="auto"/>
              <w:jc w:val="center"/>
              <w:rPr>
                <w:rFonts w:hint="eastAsia" w:ascii="宋体" w:hAnsi="宋体" w:eastAsia="宋体" w:cs="宋体"/>
                <w:color w:val="auto"/>
                <w:sz w:val="24"/>
                <w:szCs w:val="24"/>
                <w:highlight w:val="none"/>
              </w:rPr>
            </w:pPr>
          </w:p>
        </w:tc>
        <w:tc>
          <w:tcPr>
            <w:tcW w:w="1151" w:type="dxa"/>
            <w:tcBorders>
              <w:top w:val="single" w:color="auto" w:sz="4" w:space="0"/>
              <w:bottom w:val="single" w:color="auto" w:sz="4" w:space="0"/>
            </w:tcBorders>
            <w:vAlign w:val="center"/>
          </w:tcPr>
          <w:p w14:paraId="71379CE9">
            <w:pPr>
              <w:spacing w:line="360" w:lineRule="auto"/>
              <w:jc w:val="center"/>
              <w:rPr>
                <w:rFonts w:hint="eastAsia" w:ascii="宋体" w:hAnsi="宋体" w:eastAsia="宋体" w:cs="宋体"/>
                <w:color w:val="auto"/>
                <w:sz w:val="24"/>
                <w:szCs w:val="24"/>
                <w:highlight w:val="none"/>
              </w:rPr>
            </w:pPr>
          </w:p>
        </w:tc>
        <w:tc>
          <w:tcPr>
            <w:tcW w:w="1162" w:type="dxa"/>
            <w:tcBorders>
              <w:top w:val="single" w:color="auto" w:sz="4" w:space="0"/>
              <w:bottom w:val="single" w:color="auto" w:sz="4" w:space="0"/>
            </w:tcBorders>
            <w:vAlign w:val="center"/>
          </w:tcPr>
          <w:p w14:paraId="4DDB2164">
            <w:pPr>
              <w:spacing w:line="360" w:lineRule="auto"/>
              <w:jc w:val="center"/>
              <w:rPr>
                <w:rFonts w:hint="eastAsia" w:ascii="宋体" w:hAnsi="宋体" w:eastAsia="宋体" w:cs="宋体"/>
                <w:color w:val="auto"/>
                <w:sz w:val="24"/>
                <w:szCs w:val="24"/>
                <w:highlight w:val="none"/>
              </w:rPr>
            </w:pPr>
          </w:p>
        </w:tc>
        <w:tc>
          <w:tcPr>
            <w:tcW w:w="1180" w:type="dxa"/>
            <w:tcBorders>
              <w:top w:val="single" w:color="auto" w:sz="4" w:space="0"/>
              <w:bottom w:val="single" w:color="auto" w:sz="4" w:space="0"/>
            </w:tcBorders>
            <w:vAlign w:val="center"/>
          </w:tcPr>
          <w:p w14:paraId="66370E40">
            <w:pPr>
              <w:spacing w:line="360" w:lineRule="auto"/>
              <w:jc w:val="center"/>
              <w:rPr>
                <w:rFonts w:hint="eastAsia" w:ascii="宋体" w:hAnsi="宋体" w:eastAsia="宋体" w:cs="宋体"/>
                <w:color w:val="auto"/>
                <w:sz w:val="24"/>
                <w:szCs w:val="24"/>
                <w:highlight w:val="none"/>
              </w:rPr>
            </w:pPr>
          </w:p>
        </w:tc>
        <w:tc>
          <w:tcPr>
            <w:tcW w:w="1158" w:type="dxa"/>
            <w:tcBorders>
              <w:top w:val="single" w:color="auto" w:sz="4" w:space="0"/>
              <w:bottom w:val="single" w:color="auto" w:sz="4" w:space="0"/>
              <w:right w:val="single" w:color="auto" w:sz="4" w:space="0"/>
            </w:tcBorders>
            <w:vAlign w:val="center"/>
          </w:tcPr>
          <w:p w14:paraId="0865E152">
            <w:pPr>
              <w:spacing w:line="360" w:lineRule="auto"/>
              <w:jc w:val="center"/>
              <w:rPr>
                <w:rFonts w:hint="eastAsia" w:ascii="宋体" w:hAnsi="宋体" w:eastAsia="宋体" w:cs="宋体"/>
                <w:color w:val="auto"/>
                <w:sz w:val="24"/>
                <w:szCs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5AC5925F">
            <w:pPr>
              <w:spacing w:line="360" w:lineRule="auto"/>
              <w:jc w:val="center"/>
              <w:rPr>
                <w:rFonts w:hint="eastAsia" w:ascii="宋体" w:hAnsi="宋体" w:eastAsia="宋体" w:cs="宋体"/>
                <w:color w:val="auto"/>
                <w:sz w:val="24"/>
                <w:szCs w:val="24"/>
                <w:highlight w:val="none"/>
              </w:rPr>
            </w:pPr>
          </w:p>
        </w:tc>
      </w:tr>
      <w:tr w14:paraId="54979A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450" w:hRule="atLeast"/>
          <w:jc w:val="center"/>
        </w:trPr>
        <w:tc>
          <w:tcPr>
            <w:tcW w:w="606" w:type="dxa"/>
            <w:tcBorders>
              <w:top w:val="single" w:color="auto" w:sz="4" w:space="0"/>
              <w:bottom w:val="single" w:color="auto" w:sz="4" w:space="0"/>
            </w:tcBorders>
            <w:vAlign w:val="center"/>
          </w:tcPr>
          <w:p w14:paraId="0AC87A25">
            <w:pPr>
              <w:spacing w:line="360" w:lineRule="auto"/>
              <w:jc w:val="center"/>
              <w:rPr>
                <w:rFonts w:hint="eastAsia" w:ascii="宋体" w:hAnsi="宋体" w:eastAsia="宋体" w:cs="宋体"/>
                <w:color w:val="auto"/>
                <w:sz w:val="24"/>
                <w:szCs w:val="24"/>
                <w:highlight w:val="none"/>
              </w:rPr>
            </w:pPr>
          </w:p>
        </w:tc>
        <w:tc>
          <w:tcPr>
            <w:tcW w:w="960" w:type="dxa"/>
            <w:tcBorders>
              <w:top w:val="single" w:color="auto" w:sz="4" w:space="0"/>
              <w:bottom w:val="single" w:color="auto" w:sz="4" w:space="0"/>
            </w:tcBorders>
            <w:vAlign w:val="center"/>
          </w:tcPr>
          <w:p w14:paraId="7A62E7F0">
            <w:pPr>
              <w:spacing w:line="360" w:lineRule="auto"/>
              <w:jc w:val="center"/>
              <w:rPr>
                <w:rFonts w:hint="eastAsia" w:ascii="宋体" w:hAnsi="宋体" w:eastAsia="宋体" w:cs="宋体"/>
                <w:color w:val="auto"/>
                <w:sz w:val="24"/>
                <w:szCs w:val="24"/>
                <w:highlight w:val="none"/>
              </w:rPr>
            </w:pPr>
          </w:p>
        </w:tc>
        <w:tc>
          <w:tcPr>
            <w:tcW w:w="1113" w:type="dxa"/>
            <w:tcBorders>
              <w:top w:val="single" w:color="auto" w:sz="4" w:space="0"/>
              <w:bottom w:val="single" w:color="auto" w:sz="4" w:space="0"/>
            </w:tcBorders>
            <w:vAlign w:val="center"/>
          </w:tcPr>
          <w:p w14:paraId="230EB08C">
            <w:pPr>
              <w:spacing w:line="360" w:lineRule="auto"/>
              <w:jc w:val="center"/>
              <w:rPr>
                <w:rFonts w:hint="eastAsia" w:ascii="宋体" w:hAnsi="宋体" w:eastAsia="宋体" w:cs="宋体"/>
                <w:color w:val="auto"/>
                <w:sz w:val="24"/>
                <w:szCs w:val="24"/>
                <w:highlight w:val="none"/>
              </w:rPr>
            </w:pPr>
          </w:p>
        </w:tc>
        <w:tc>
          <w:tcPr>
            <w:tcW w:w="1151" w:type="dxa"/>
            <w:tcBorders>
              <w:top w:val="single" w:color="auto" w:sz="4" w:space="0"/>
              <w:bottom w:val="single" w:color="auto" w:sz="4" w:space="0"/>
            </w:tcBorders>
            <w:vAlign w:val="center"/>
          </w:tcPr>
          <w:p w14:paraId="52519BD9">
            <w:pPr>
              <w:spacing w:line="360" w:lineRule="auto"/>
              <w:jc w:val="center"/>
              <w:rPr>
                <w:rFonts w:hint="eastAsia" w:ascii="宋体" w:hAnsi="宋体" w:eastAsia="宋体" w:cs="宋体"/>
                <w:color w:val="auto"/>
                <w:sz w:val="24"/>
                <w:szCs w:val="24"/>
                <w:highlight w:val="none"/>
              </w:rPr>
            </w:pPr>
          </w:p>
        </w:tc>
        <w:tc>
          <w:tcPr>
            <w:tcW w:w="1162" w:type="dxa"/>
            <w:tcBorders>
              <w:top w:val="single" w:color="auto" w:sz="4" w:space="0"/>
              <w:bottom w:val="single" w:color="auto" w:sz="4" w:space="0"/>
            </w:tcBorders>
            <w:vAlign w:val="center"/>
          </w:tcPr>
          <w:p w14:paraId="0407B8AA">
            <w:pPr>
              <w:spacing w:line="360" w:lineRule="auto"/>
              <w:jc w:val="center"/>
              <w:rPr>
                <w:rFonts w:hint="eastAsia" w:ascii="宋体" w:hAnsi="宋体" w:eastAsia="宋体" w:cs="宋体"/>
                <w:color w:val="auto"/>
                <w:sz w:val="24"/>
                <w:szCs w:val="24"/>
                <w:highlight w:val="none"/>
              </w:rPr>
            </w:pPr>
          </w:p>
        </w:tc>
        <w:tc>
          <w:tcPr>
            <w:tcW w:w="1180" w:type="dxa"/>
            <w:tcBorders>
              <w:top w:val="single" w:color="auto" w:sz="4" w:space="0"/>
              <w:bottom w:val="single" w:color="auto" w:sz="4" w:space="0"/>
            </w:tcBorders>
            <w:vAlign w:val="center"/>
          </w:tcPr>
          <w:p w14:paraId="524B8BC7">
            <w:pPr>
              <w:spacing w:line="360" w:lineRule="auto"/>
              <w:jc w:val="center"/>
              <w:rPr>
                <w:rFonts w:hint="eastAsia" w:ascii="宋体" w:hAnsi="宋体" w:eastAsia="宋体" w:cs="宋体"/>
                <w:color w:val="auto"/>
                <w:sz w:val="24"/>
                <w:szCs w:val="24"/>
                <w:highlight w:val="none"/>
              </w:rPr>
            </w:pPr>
          </w:p>
        </w:tc>
        <w:tc>
          <w:tcPr>
            <w:tcW w:w="1158" w:type="dxa"/>
            <w:tcBorders>
              <w:top w:val="single" w:color="auto" w:sz="4" w:space="0"/>
              <w:bottom w:val="single" w:color="auto" w:sz="4" w:space="0"/>
              <w:right w:val="single" w:color="auto" w:sz="4" w:space="0"/>
            </w:tcBorders>
            <w:vAlign w:val="center"/>
          </w:tcPr>
          <w:p w14:paraId="603FD565">
            <w:pPr>
              <w:spacing w:line="360" w:lineRule="auto"/>
              <w:jc w:val="center"/>
              <w:rPr>
                <w:rFonts w:hint="eastAsia" w:ascii="宋体" w:hAnsi="宋体" w:eastAsia="宋体" w:cs="宋体"/>
                <w:color w:val="auto"/>
                <w:sz w:val="24"/>
                <w:szCs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7C620411">
            <w:pPr>
              <w:spacing w:line="360" w:lineRule="auto"/>
              <w:jc w:val="center"/>
              <w:rPr>
                <w:rFonts w:hint="eastAsia" w:ascii="宋体" w:hAnsi="宋体" w:eastAsia="宋体" w:cs="宋体"/>
                <w:color w:val="auto"/>
                <w:sz w:val="24"/>
                <w:szCs w:val="24"/>
                <w:highlight w:val="none"/>
              </w:rPr>
            </w:pPr>
          </w:p>
        </w:tc>
      </w:tr>
      <w:tr w14:paraId="4913D6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435" w:hRule="atLeast"/>
          <w:jc w:val="center"/>
        </w:trPr>
        <w:tc>
          <w:tcPr>
            <w:tcW w:w="606" w:type="dxa"/>
            <w:tcBorders>
              <w:top w:val="single" w:color="auto" w:sz="4" w:space="0"/>
            </w:tcBorders>
            <w:vAlign w:val="center"/>
          </w:tcPr>
          <w:p w14:paraId="4338DBBE">
            <w:pPr>
              <w:spacing w:line="360" w:lineRule="auto"/>
              <w:jc w:val="center"/>
              <w:rPr>
                <w:rFonts w:hint="eastAsia" w:ascii="宋体" w:hAnsi="宋体" w:eastAsia="宋体" w:cs="宋体"/>
                <w:color w:val="auto"/>
                <w:sz w:val="24"/>
                <w:szCs w:val="24"/>
                <w:highlight w:val="none"/>
              </w:rPr>
            </w:pPr>
          </w:p>
        </w:tc>
        <w:tc>
          <w:tcPr>
            <w:tcW w:w="960" w:type="dxa"/>
            <w:tcBorders>
              <w:top w:val="single" w:color="auto" w:sz="4" w:space="0"/>
            </w:tcBorders>
            <w:vAlign w:val="center"/>
          </w:tcPr>
          <w:p w14:paraId="10BEC095">
            <w:pPr>
              <w:spacing w:line="360" w:lineRule="auto"/>
              <w:jc w:val="center"/>
              <w:rPr>
                <w:rFonts w:hint="eastAsia" w:ascii="宋体" w:hAnsi="宋体" w:eastAsia="宋体" w:cs="宋体"/>
                <w:color w:val="auto"/>
                <w:sz w:val="24"/>
                <w:szCs w:val="24"/>
                <w:highlight w:val="none"/>
              </w:rPr>
            </w:pPr>
          </w:p>
        </w:tc>
        <w:tc>
          <w:tcPr>
            <w:tcW w:w="1113" w:type="dxa"/>
            <w:tcBorders>
              <w:top w:val="single" w:color="auto" w:sz="4" w:space="0"/>
            </w:tcBorders>
            <w:vAlign w:val="center"/>
          </w:tcPr>
          <w:p w14:paraId="1BAE125E">
            <w:pPr>
              <w:spacing w:line="360" w:lineRule="auto"/>
              <w:jc w:val="center"/>
              <w:rPr>
                <w:rFonts w:hint="eastAsia" w:ascii="宋体" w:hAnsi="宋体" w:eastAsia="宋体" w:cs="宋体"/>
                <w:color w:val="auto"/>
                <w:sz w:val="24"/>
                <w:szCs w:val="24"/>
                <w:highlight w:val="none"/>
              </w:rPr>
            </w:pPr>
          </w:p>
        </w:tc>
        <w:tc>
          <w:tcPr>
            <w:tcW w:w="1151" w:type="dxa"/>
            <w:tcBorders>
              <w:top w:val="single" w:color="auto" w:sz="4" w:space="0"/>
            </w:tcBorders>
            <w:vAlign w:val="center"/>
          </w:tcPr>
          <w:p w14:paraId="5C447BE9">
            <w:pPr>
              <w:spacing w:line="360" w:lineRule="auto"/>
              <w:jc w:val="center"/>
              <w:rPr>
                <w:rFonts w:hint="eastAsia" w:ascii="宋体" w:hAnsi="宋体" w:eastAsia="宋体" w:cs="宋体"/>
                <w:color w:val="auto"/>
                <w:sz w:val="24"/>
                <w:szCs w:val="24"/>
                <w:highlight w:val="none"/>
              </w:rPr>
            </w:pPr>
          </w:p>
        </w:tc>
        <w:tc>
          <w:tcPr>
            <w:tcW w:w="1162" w:type="dxa"/>
            <w:tcBorders>
              <w:top w:val="single" w:color="auto" w:sz="4" w:space="0"/>
            </w:tcBorders>
            <w:vAlign w:val="center"/>
          </w:tcPr>
          <w:p w14:paraId="6E3B1BFD">
            <w:pPr>
              <w:spacing w:line="360" w:lineRule="auto"/>
              <w:jc w:val="center"/>
              <w:rPr>
                <w:rFonts w:hint="eastAsia" w:ascii="宋体" w:hAnsi="宋体" w:eastAsia="宋体" w:cs="宋体"/>
                <w:color w:val="auto"/>
                <w:sz w:val="24"/>
                <w:szCs w:val="24"/>
                <w:highlight w:val="none"/>
              </w:rPr>
            </w:pPr>
          </w:p>
        </w:tc>
        <w:tc>
          <w:tcPr>
            <w:tcW w:w="1180" w:type="dxa"/>
            <w:tcBorders>
              <w:top w:val="single" w:color="auto" w:sz="4" w:space="0"/>
            </w:tcBorders>
            <w:vAlign w:val="center"/>
          </w:tcPr>
          <w:p w14:paraId="599008AD">
            <w:pPr>
              <w:spacing w:line="360" w:lineRule="auto"/>
              <w:jc w:val="center"/>
              <w:rPr>
                <w:rFonts w:hint="eastAsia" w:ascii="宋体" w:hAnsi="宋体" w:eastAsia="宋体" w:cs="宋体"/>
                <w:color w:val="auto"/>
                <w:sz w:val="24"/>
                <w:szCs w:val="24"/>
                <w:highlight w:val="none"/>
              </w:rPr>
            </w:pPr>
          </w:p>
        </w:tc>
        <w:tc>
          <w:tcPr>
            <w:tcW w:w="1158" w:type="dxa"/>
            <w:tcBorders>
              <w:top w:val="single" w:color="auto" w:sz="4" w:space="0"/>
              <w:right w:val="single" w:color="auto" w:sz="4" w:space="0"/>
            </w:tcBorders>
            <w:vAlign w:val="center"/>
          </w:tcPr>
          <w:p w14:paraId="374CD860">
            <w:pPr>
              <w:spacing w:line="360" w:lineRule="auto"/>
              <w:jc w:val="center"/>
              <w:rPr>
                <w:rFonts w:hint="eastAsia" w:ascii="宋体" w:hAnsi="宋体" w:eastAsia="宋体" w:cs="宋体"/>
                <w:color w:val="auto"/>
                <w:sz w:val="24"/>
                <w:szCs w:val="24"/>
                <w:highlight w:val="none"/>
              </w:rPr>
            </w:pPr>
          </w:p>
        </w:tc>
        <w:tc>
          <w:tcPr>
            <w:tcW w:w="1069" w:type="dxa"/>
            <w:tcBorders>
              <w:top w:val="single" w:color="auto" w:sz="4" w:space="0"/>
              <w:left w:val="single" w:color="auto" w:sz="4" w:space="0"/>
              <w:right w:val="single" w:color="auto" w:sz="4" w:space="0"/>
            </w:tcBorders>
            <w:vAlign w:val="center"/>
          </w:tcPr>
          <w:p w14:paraId="42C9778B">
            <w:pPr>
              <w:spacing w:line="360" w:lineRule="auto"/>
              <w:jc w:val="center"/>
              <w:rPr>
                <w:rFonts w:hint="eastAsia" w:ascii="宋体" w:hAnsi="宋体" w:eastAsia="宋体" w:cs="宋体"/>
                <w:color w:val="auto"/>
                <w:sz w:val="24"/>
                <w:szCs w:val="24"/>
                <w:highlight w:val="none"/>
              </w:rPr>
            </w:pPr>
          </w:p>
        </w:tc>
      </w:tr>
    </w:tbl>
    <w:p w14:paraId="052325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A4B56C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1、本表后附：供应商近三年完成的类似业绩，须提供</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合同；</w:t>
      </w:r>
    </w:p>
    <w:p w14:paraId="27E59BAA">
      <w:pPr>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2、具体年份要求：20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年0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月01日-</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上传截止时间前，以合同签订日期为准</w:t>
      </w:r>
      <w:r>
        <w:rPr>
          <w:rFonts w:hint="eastAsia" w:ascii="宋体" w:hAnsi="宋体" w:eastAsia="宋体" w:cs="宋体"/>
          <w:sz w:val="24"/>
          <w:szCs w:val="24"/>
          <w:highlight w:val="none"/>
          <w:lang w:eastAsia="zh-CN"/>
        </w:rPr>
        <w:t>。</w:t>
      </w:r>
      <w:bookmarkStart w:id="207" w:name="_Toc5860"/>
      <w:bookmarkStart w:id="208" w:name="_Toc29047"/>
    </w:p>
    <w:p w14:paraId="0691F0A9">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br w:type="page"/>
      </w:r>
    </w:p>
    <w:p w14:paraId="2CE43FFB">
      <w:pPr>
        <w:spacing w:line="360" w:lineRule="auto"/>
        <w:jc w:val="center"/>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w:t>
      </w:r>
      <w:bookmarkEnd w:id="207"/>
      <w:bookmarkEnd w:id="208"/>
      <w:bookmarkStart w:id="209" w:name="_Toc32646"/>
      <w:bookmarkStart w:id="210" w:name="_Toc23813"/>
      <w:r>
        <w:rPr>
          <w:rFonts w:hint="eastAsia" w:ascii="宋体" w:hAnsi="宋体" w:eastAsia="宋体" w:cs="宋体"/>
          <w:b/>
          <w:bCs/>
          <w:color w:val="auto"/>
          <w:sz w:val="24"/>
          <w:szCs w:val="24"/>
          <w:highlight w:val="none"/>
          <w:lang w:val="en-US" w:eastAsia="zh-CN"/>
        </w:rPr>
        <w:t>拟配备人员情况</w:t>
      </w:r>
      <w:bookmarkEnd w:id="209"/>
      <w:bookmarkEnd w:id="210"/>
    </w:p>
    <w:tbl>
      <w:tblPr>
        <w:tblStyle w:val="2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910"/>
        <w:gridCol w:w="912"/>
        <w:gridCol w:w="912"/>
        <w:gridCol w:w="912"/>
        <w:gridCol w:w="1188"/>
        <w:gridCol w:w="835"/>
        <w:gridCol w:w="951"/>
        <w:gridCol w:w="841"/>
      </w:tblGrid>
      <w:tr w14:paraId="2929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vAlign w:val="center"/>
          </w:tcPr>
          <w:p w14:paraId="2451B00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类别</w:t>
            </w:r>
          </w:p>
        </w:tc>
        <w:tc>
          <w:tcPr>
            <w:tcW w:w="910" w:type="dxa"/>
            <w:vMerge w:val="restart"/>
            <w:vAlign w:val="center"/>
          </w:tcPr>
          <w:p w14:paraId="1F82C71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姓名</w:t>
            </w:r>
          </w:p>
        </w:tc>
        <w:tc>
          <w:tcPr>
            <w:tcW w:w="912" w:type="dxa"/>
            <w:vMerge w:val="restart"/>
            <w:vAlign w:val="center"/>
          </w:tcPr>
          <w:p w14:paraId="2A5D126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联系方式</w:t>
            </w:r>
          </w:p>
        </w:tc>
        <w:tc>
          <w:tcPr>
            <w:tcW w:w="912" w:type="dxa"/>
            <w:vMerge w:val="restart"/>
            <w:vAlign w:val="center"/>
          </w:tcPr>
          <w:p w14:paraId="7C18CAD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职称或职务</w:t>
            </w:r>
          </w:p>
        </w:tc>
        <w:tc>
          <w:tcPr>
            <w:tcW w:w="912" w:type="dxa"/>
            <w:vMerge w:val="restart"/>
            <w:vAlign w:val="center"/>
          </w:tcPr>
          <w:p w14:paraId="0650787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常住地</w:t>
            </w:r>
          </w:p>
        </w:tc>
        <w:tc>
          <w:tcPr>
            <w:tcW w:w="3815" w:type="dxa"/>
            <w:gridSpan w:val="4"/>
            <w:vAlign w:val="center"/>
          </w:tcPr>
          <w:p w14:paraId="47CDCF1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资格证明</w:t>
            </w:r>
          </w:p>
        </w:tc>
      </w:tr>
      <w:tr w14:paraId="7A0A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vAlign w:val="center"/>
          </w:tcPr>
          <w:p w14:paraId="56BC2262">
            <w:pPr>
              <w:spacing w:line="360" w:lineRule="auto"/>
              <w:jc w:val="center"/>
              <w:rPr>
                <w:rFonts w:hint="eastAsia" w:ascii="宋体" w:hAnsi="宋体" w:eastAsia="宋体" w:cs="宋体"/>
                <w:sz w:val="24"/>
                <w:highlight w:val="none"/>
              </w:rPr>
            </w:pPr>
          </w:p>
        </w:tc>
        <w:tc>
          <w:tcPr>
            <w:tcW w:w="910" w:type="dxa"/>
            <w:vMerge w:val="continue"/>
            <w:vAlign w:val="center"/>
          </w:tcPr>
          <w:p w14:paraId="1616F01A">
            <w:pPr>
              <w:spacing w:line="360" w:lineRule="auto"/>
              <w:jc w:val="center"/>
              <w:rPr>
                <w:rFonts w:hint="eastAsia" w:ascii="宋体" w:hAnsi="宋体" w:eastAsia="宋体" w:cs="宋体"/>
                <w:sz w:val="24"/>
                <w:highlight w:val="none"/>
              </w:rPr>
            </w:pPr>
          </w:p>
        </w:tc>
        <w:tc>
          <w:tcPr>
            <w:tcW w:w="912" w:type="dxa"/>
            <w:vMerge w:val="continue"/>
            <w:vAlign w:val="center"/>
          </w:tcPr>
          <w:p w14:paraId="61649F26">
            <w:pPr>
              <w:spacing w:line="360" w:lineRule="auto"/>
              <w:jc w:val="center"/>
              <w:rPr>
                <w:rFonts w:hint="eastAsia" w:ascii="宋体" w:hAnsi="宋体" w:eastAsia="宋体" w:cs="宋体"/>
                <w:sz w:val="24"/>
                <w:highlight w:val="none"/>
              </w:rPr>
            </w:pPr>
          </w:p>
        </w:tc>
        <w:tc>
          <w:tcPr>
            <w:tcW w:w="912" w:type="dxa"/>
            <w:vMerge w:val="continue"/>
            <w:vAlign w:val="center"/>
          </w:tcPr>
          <w:p w14:paraId="60E27638">
            <w:pPr>
              <w:spacing w:line="360" w:lineRule="auto"/>
              <w:jc w:val="center"/>
              <w:rPr>
                <w:rFonts w:hint="eastAsia" w:ascii="宋体" w:hAnsi="宋体" w:eastAsia="宋体" w:cs="宋体"/>
                <w:sz w:val="24"/>
                <w:highlight w:val="none"/>
              </w:rPr>
            </w:pPr>
          </w:p>
        </w:tc>
        <w:tc>
          <w:tcPr>
            <w:tcW w:w="912" w:type="dxa"/>
            <w:vMerge w:val="continue"/>
            <w:vAlign w:val="center"/>
          </w:tcPr>
          <w:p w14:paraId="4A4D7030">
            <w:pPr>
              <w:spacing w:line="360" w:lineRule="auto"/>
              <w:jc w:val="center"/>
              <w:rPr>
                <w:rFonts w:hint="eastAsia" w:ascii="宋体" w:hAnsi="宋体" w:eastAsia="宋体" w:cs="宋体"/>
                <w:sz w:val="24"/>
                <w:highlight w:val="none"/>
              </w:rPr>
            </w:pPr>
          </w:p>
        </w:tc>
        <w:tc>
          <w:tcPr>
            <w:tcW w:w="1188" w:type="dxa"/>
            <w:vAlign w:val="center"/>
          </w:tcPr>
          <w:p w14:paraId="4546DC6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证书名称</w:t>
            </w:r>
          </w:p>
        </w:tc>
        <w:tc>
          <w:tcPr>
            <w:tcW w:w="835" w:type="dxa"/>
            <w:vAlign w:val="center"/>
          </w:tcPr>
          <w:p w14:paraId="5B853BB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级别</w:t>
            </w:r>
          </w:p>
        </w:tc>
        <w:tc>
          <w:tcPr>
            <w:tcW w:w="951" w:type="dxa"/>
            <w:vAlign w:val="center"/>
          </w:tcPr>
          <w:p w14:paraId="13A481C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证号</w:t>
            </w:r>
          </w:p>
        </w:tc>
        <w:tc>
          <w:tcPr>
            <w:tcW w:w="841" w:type="dxa"/>
            <w:vAlign w:val="center"/>
          </w:tcPr>
          <w:p w14:paraId="629D539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专业</w:t>
            </w:r>
          </w:p>
        </w:tc>
      </w:tr>
      <w:tr w14:paraId="366F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tcPr>
          <w:p w14:paraId="11A48D0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项目负责人</w:t>
            </w:r>
          </w:p>
        </w:tc>
        <w:tc>
          <w:tcPr>
            <w:tcW w:w="910" w:type="dxa"/>
          </w:tcPr>
          <w:p w14:paraId="36948F32">
            <w:pPr>
              <w:spacing w:line="360" w:lineRule="auto"/>
              <w:jc w:val="center"/>
              <w:rPr>
                <w:rFonts w:hint="eastAsia" w:ascii="宋体" w:hAnsi="宋体" w:eastAsia="宋体" w:cs="宋体"/>
                <w:sz w:val="24"/>
                <w:highlight w:val="none"/>
              </w:rPr>
            </w:pPr>
          </w:p>
        </w:tc>
        <w:tc>
          <w:tcPr>
            <w:tcW w:w="912" w:type="dxa"/>
          </w:tcPr>
          <w:p w14:paraId="0E98871A">
            <w:pPr>
              <w:spacing w:line="360" w:lineRule="auto"/>
              <w:jc w:val="center"/>
              <w:rPr>
                <w:rFonts w:hint="eastAsia" w:ascii="宋体" w:hAnsi="宋体" w:eastAsia="宋体" w:cs="宋体"/>
                <w:sz w:val="24"/>
                <w:highlight w:val="none"/>
              </w:rPr>
            </w:pPr>
          </w:p>
        </w:tc>
        <w:tc>
          <w:tcPr>
            <w:tcW w:w="912" w:type="dxa"/>
          </w:tcPr>
          <w:p w14:paraId="42C2D4D6">
            <w:pPr>
              <w:spacing w:line="360" w:lineRule="auto"/>
              <w:jc w:val="center"/>
              <w:rPr>
                <w:rFonts w:hint="eastAsia" w:ascii="宋体" w:hAnsi="宋体" w:eastAsia="宋体" w:cs="宋体"/>
                <w:sz w:val="24"/>
                <w:highlight w:val="none"/>
              </w:rPr>
            </w:pPr>
          </w:p>
        </w:tc>
        <w:tc>
          <w:tcPr>
            <w:tcW w:w="912" w:type="dxa"/>
          </w:tcPr>
          <w:p w14:paraId="0FB3DBEC">
            <w:pPr>
              <w:spacing w:line="360" w:lineRule="auto"/>
              <w:jc w:val="center"/>
              <w:rPr>
                <w:rFonts w:hint="eastAsia" w:ascii="宋体" w:hAnsi="宋体" w:eastAsia="宋体" w:cs="宋体"/>
                <w:sz w:val="24"/>
                <w:highlight w:val="none"/>
              </w:rPr>
            </w:pPr>
          </w:p>
        </w:tc>
        <w:tc>
          <w:tcPr>
            <w:tcW w:w="1188" w:type="dxa"/>
          </w:tcPr>
          <w:p w14:paraId="482EB4BC">
            <w:pPr>
              <w:spacing w:line="360" w:lineRule="auto"/>
              <w:jc w:val="center"/>
              <w:rPr>
                <w:rFonts w:hint="eastAsia" w:ascii="宋体" w:hAnsi="宋体" w:eastAsia="宋体" w:cs="宋体"/>
                <w:sz w:val="24"/>
                <w:highlight w:val="none"/>
              </w:rPr>
            </w:pPr>
          </w:p>
        </w:tc>
        <w:tc>
          <w:tcPr>
            <w:tcW w:w="835" w:type="dxa"/>
          </w:tcPr>
          <w:p w14:paraId="6AA91429">
            <w:pPr>
              <w:spacing w:line="360" w:lineRule="auto"/>
              <w:jc w:val="center"/>
              <w:rPr>
                <w:rFonts w:hint="eastAsia" w:ascii="宋体" w:hAnsi="宋体" w:eastAsia="宋体" w:cs="宋体"/>
                <w:sz w:val="24"/>
                <w:highlight w:val="none"/>
              </w:rPr>
            </w:pPr>
          </w:p>
        </w:tc>
        <w:tc>
          <w:tcPr>
            <w:tcW w:w="951" w:type="dxa"/>
          </w:tcPr>
          <w:p w14:paraId="2C7F8767">
            <w:pPr>
              <w:spacing w:line="360" w:lineRule="auto"/>
              <w:jc w:val="center"/>
              <w:rPr>
                <w:rFonts w:hint="eastAsia" w:ascii="宋体" w:hAnsi="宋体" w:eastAsia="宋体" w:cs="宋体"/>
                <w:sz w:val="24"/>
                <w:highlight w:val="none"/>
              </w:rPr>
            </w:pPr>
          </w:p>
        </w:tc>
        <w:tc>
          <w:tcPr>
            <w:tcW w:w="841" w:type="dxa"/>
          </w:tcPr>
          <w:p w14:paraId="7250303A">
            <w:pPr>
              <w:spacing w:line="360" w:lineRule="auto"/>
              <w:jc w:val="center"/>
              <w:rPr>
                <w:rFonts w:hint="eastAsia" w:ascii="宋体" w:hAnsi="宋体" w:eastAsia="宋体" w:cs="宋体"/>
                <w:sz w:val="24"/>
                <w:highlight w:val="none"/>
              </w:rPr>
            </w:pPr>
          </w:p>
        </w:tc>
      </w:tr>
      <w:tr w14:paraId="030A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tcPr>
          <w:p w14:paraId="5D7136E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管</w:t>
            </w:r>
          </w:p>
          <w:p w14:paraId="724581D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理</w:t>
            </w:r>
          </w:p>
          <w:p w14:paraId="7E3E37C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人</w:t>
            </w:r>
          </w:p>
          <w:p w14:paraId="14AA568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员</w:t>
            </w:r>
          </w:p>
        </w:tc>
        <w:tc>
          <w:tcPr>
            <w:tcW w:w="910" w:type="dxa"/>
          </w:tcPr>
          <w:p w14:paraId="476EFFA7">
            <w:pPr>
              <w:spacing w:line="360" w:lineRule="auto"/>
              <w:jc w:val="center"/>
              <w:rPr>
                <w:rFonts w:hint="eastAsia" w:ascii="宋体" w:hAnsi="宋体" w:eastAsia="宋体" w:cs="宋体"/>
                <w:sz w:val="24"/>
                <w:highlight w:val="none"/>
              </w:rPr>
            </w:pPr>
          </w:p>
        </w:tc>
        <w:tc>
          <w:tcPr>
            <w:tcW w:w="912" w:type="dxa"/>
          </w:tcPr>
          <w:p w14:paraId="7F7DE985">
            <w:pPr>
              <w:spacing w:line="360" w:lineRule="auto"/>
              <w:jc w:val="center"/>
              <w:rPr>
                <w:rFonts w:hint="eastAsia" w:ascii="宋体" w:hAnsi="宋体" w:eastAsia="宋体" w:cs="宋体"/>
                <w:sz w:val="24"/>
                <w:highlight w:val="none"/>
              </w:rPr>
            </w:pPr>
          </w:p>
        </w:tc>
        <w:tc>
          <w:tcPr>
            <w:tcW w:w="912" w:type="dxa"/>
          </w:tcPr>
          <w:p w14:paraId="3072FE7C">
            <w:pPr>
              <w:spacing w:line="360" w:lineRule="auto"/>
              <w:jc w:val="center"/>
              <w:rPr>
                <w:rFonts w:hint="eastAsia" w:ascii="宋体" w:hAnsi="宋体" w:eastAsia="宋体" w:cs="宋体"/>
                <w:sz w:val="24"/>
                <w:highlight w:val="none"/>
              </w:rPr>
            </w:pPr>
          </w:p>
        </w:tc>
        <w:tc>
          <w:tcPr>
            <w:tcW w:w="912" w:type="dxa"/>
          </w:tcPr>
          <w:p w14:paraId="3AA4E05E">
            <w:pPr>
              <w:spacing w:line="360" w:lineRule="auto"/>
              <w:jc w:val="center"/>
              <w:rPr>
                <w:rFonts w:hint="eastAsia" w:ascii="宋体" w:hAnsi="宋体" w:eastAsia="宋体" w:cs="宋体"/>
                <w:sz w:val="24"/>
                <w:highlight w:val="none"/>
              </w:rPr>
            </w:pPr>
          </w:p>
        </w:tc>
        <w:tc>
          <w:tcPr>
            <w:tcW w:w="1188" w:type="dxa"/>
          </w:tcPr>
          <w:p w14:paraId="1A167D57">
            <w:pPr>
              <w:spacing w:line="360" w:lineRule="auto"/>
              <w:jc w:val="center"/>
              <w:rPr>
                <w:rFonts w:hint="eastAsia" w:ascii="宋体" w:hAnsi="宋体" w:eastAsia="宋体" w:cs="宋体"/>
                <w:sz w:val="24"/>
                <w:highlight w:val="none"/>
              </w:rPr>
            </w:pPr>
          </w:p>
        </w:tc>
        <w:tc>
          <w:tcPr>
            <w:tcW w:w="835" w:type="dxa"/>
          </w:tcPr>
          <w:p w14:paraId="6357396D">
            <w:pPr>
              <w:spacing w:line="360" w:lineRule="auto"/>
              <w:jc w:val="center"/>
              <w:rPr>
                <w:rFonts w:hint="eastAsia" w:ascii="宋体" w:hAnsi="宋体" w:eastAsia="宋体" w:cs="宋体"/>
                <w:sz w:val="24"/>
                <w:highlight w:val="none"/>
              </w:rPr>
            </w:pPr>
          </w:p>
        </w:tc>
        <w:tc>
          <w:tcPr>
            <w:tcW w:w="951" w:type="dxa"/>
          </w:tcPr>
          <w:p w14:paraId="7B9ACB8C">
            <w:pPr>
              <w:spacing w:line="360" w:lineRule="auto"/>
              <w:jc w:val="center"/>
              <w:rPr>
                <w:rFonts w:hint="eastAsia" w:ascii="宋体" w:hAnsi="宋体" w:eastAsia="宋体" w:cs="宋体"/>
                <w:sz w:val="24"/>
                <w:highlight w:val="none"/>
              </w:rPr>
            </w:pPr>
          </w:p>
        </w:tc>
        <w:tc>
          <w:tcPr>
            <w:tcW w:w="841" w:type="dxa"/>
          </w:tcPr>
          <w:p w14:paraId="662CA47F">
            <w:pPr>
              <w:spacing w:line="360" w:lineRule="auto"/>
              <w:jc w:val="center"/>
              <w:rPr>
                <w:rFonts w:hint="eastAsia" w:ascii="宋体" w:hAnsi="宋体" w:eastAsia="宋体" w:cs="宋体"/>
                <w:sz w:val="24"/>
                <w:highlight w:val="none"/>
              </w:rPr>
            </w:pPr>
          </w:p>
        </w:tc>
      </w:tr>
      <w:tr w14:paraId="27F5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tcPr>
          <w:p w14:paraId="03E5DFA4">
            <w:pPr>
              <w:spacing w:line="360" w:lineRule="auto"/>
              <w:jc w:val="center"/>
              <w:rPr>
                <w:rFonts w:hint="eastAsia" w:ascii="宋体" w:hAnsi="宋体" w:eastAsia="宋体" w:cs="宋体"/>
                <w:sz w:val="24"/>
                <w:highlight w:val="none"/>
              </w:rPr>
            </w:pPr>
          </w:p>
        </w:tc>
        <w:tc>
          <w:tcPr>
            <w:tcW w:w="910" w:type="dxa"/>
          </w:tcPr>
          <w:p w14:paraId="7D4180BE">
            <w:pPr>
              <w:spacing w:line="360" w:lineRule="auto"/>
              <w:jc w:val="center"/>
              <w:rPr>
                <w:rFonts w:hint="eastAsia" w:ascii="宋体" w:hAnsi="宋体" w:eastAsia="宋体" w:cs="宋体"/>
                <w:sz w:val="24"/>
                <w:highlight w:val="none"/>
              </w:rPr>
            </w:pPr>
          </w:p>
        </w:tc>
        <w:tc>
          <w:tcPr>
            <w:tcW w:w="912" w:type="dxa"/>
          </w:tcPr>
          <w:p w14:paraId="4EE00442">
            <w:pPr>
              <w:spacing w:line="360" w:lineRule="auto"/>
              <w:jc w:val="center"/>
              <w:rPr>
                <w:rFonts w:hint="eastAsia" w:ascii="宋体" w:hAnsi="宋体" w:eastAsia="宋体" w:cs="宋体"/>
                <w:sz w:val="24"/>
                <w:highlight w:val="none"/>
              </w:rPr>
            </w:pPr>
          </w:p>
        </w:tc>
        <w:tc>
          <w:tcPr>
            <w:tcW w:w="912" w:type="dxa"/>
          </w:tcPr>
          <w:p w14:paraId="25F6563B">
            <w:pPr>
              <w:spacing w:line="360" w:lineRule="auto"/>
              <w:jc w:val="center"/>
              <w:rPr>
                <w:rFonts w:hint="eastAsia" w:ascii="宋体" w:hAnsi="宋体" w:eastAsia="宋体" w:cs="宋体"/>
                <w:sz w:val="24"/>
                <w:highlight w:val="none"/>
              </w:rPr>
            </w:pPr>
          </w:p>
        </w:tc>
        <w:tc>
          <w:tcPr>
            <w:tcW w:w="912" w:type="dxa"/>
          </w:tcPr>
          <w:p w14:paraId="45104801">
            <w:pPr>
              <w:spacing w:line="360" w:lineRule="auto"/>
              <w:jc w:val="center"/>
              <w:rPr>
                <w:rFonts w:hint="eastAsia" w:ascii="宋体" w:hAnsi="宋体" w:eastAsia="宋体" w:cs="宋体"/>
                <w:sz w:val="24"/>
                <w:highlight w:val="none"/>
              </w:rPr>
            </w:pPr>
          </w:p>
        </w:tc>
        <w:tc>
          <w:tcPr>
            <w:tcW w:w="1188" w:type="dxa"/>
          </w:tcPr>
          <w:p w14:paraId="08BF7D4F">
            <w:pPr>
              <w:spacing w:line="360" w:lineRule="auto"/>
              <w:jc w:val="center"/>
              <w:rPr>
                <w:rFonts w:hint="eastAsia" w:ascii="宋体" w:hAnsi="宋体" w:eastAsia="宋体" w:cs="宋体"/>
                <w:sz w:val="24"/>
                <w:highlight w:val="none"/>
              </w:rPr>
            </w:pPr>
          </w:p>
        </w:tc>
        <w:tc>
          <w:tcPr>
            <w:tcW w:w="835" w:type="dxa"/>
          </w:tcPr>
          <w:p w14:paraId="7A387FB6">
            <w:pPr>
              <w:spacing w:line="360" w:lineRule="auto"/>
              <w:jc w:val="center"/>
              <w:rPr>
                <w:rFonts w:hint="eastAsia" w:ascii="宋体" w:hAnsi="宋体" w:eastAsia="宋体" w:cs="宋体"/>
                <w:sz w:val="24"/>
                <w:highlight w:val="none"/>
              </w:rPr>
            </w:pPr>
          </w:p>
        </w:tc>
        <w:tc>
          <w:tcPr>
            <w:tcW w:w="951" w:type="dxa"/>
          </w:tcPr>
          <w:p w14:paraId="1486E704">
            <w:pPr>
              <w:spacing w:line="360" w:lineRule="auto"/>
              <w:jc w:val="center"/>
              <w:rPr>
                <w:rFonts w:hint="eastAsia" w:ascii="宋体" w:hAnsi="宋体" w:eastAsia="宋体" w:cs="宋体"/>
                <w:sz w:val="24"/>
                <w:highlight w:val="none"/>
              </w:rPr>
            </w:pPr>
          </w:p>
        </w:tc>
        <w:tc>
          <w:tcPr>
            <w:tcW w:w="841" w:type="dxa"/>
          </w:tcPr>
          <w:p w14:paraId="3AC22614">
            <w:pPr>
              <w:spacing w:line="360" w:lineRule="auto"/>
              <w:jc w:val="center"/>
              <w:rPr>
                <w:rFonts w:hint="eastAsia" w:ascii="宋体" w:hAnsi="宋体" w:eastAsia="宋体" w:cs="宋体"/>
                <w:sz w:val="24"/>
                <w:highlight w:val="none"/>
              </w:rPr>
            </w:pPr>
          </w:p>
        </w:tc>
      </w:tr>
      <w:tr w14:paraId="197F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tcPr>
          <w:p w14:paraId="1BC34F6A">
            <w:pPr>
              <w:spacing w:line="360" w:lineRule="auto"/>
              <w:jc w:val="center"/>
              <w:rPr>
                <w:rFonts w:hint="eastAsia" w:ascii="宋体" w:hAnsi="宋体" w:eastAsia="宋体" w:cs="宋体"/>
                <w:sz w:val="24"/>
                <w:highlight w:val="none"/>
              </w:rPr>
            </w:pPr>
          </w:p>
        </w:tc>
        <w:tc>
          <w:tcPr>
            <w:tcW w:w="910" w:type="dxa"/>
          </w:tcPr>
          <w:p w14:paraId="103ED064">
            <w:pPr>
              <w:spacing w:line="360" w:lineRule="auto"/>
              <w:jc w:val="center"/>
              <w:rPr>
                <w:rFonts w:hint="eastAsia" w:ascii="宋体" w:hAnsi="宋体" w:eastAsia="宋体" w:cs="宋体"/>
                <w:sz w:val="24"/>
                <w:highlight w:val="none"/>
              </w:rPr>
            </w:pPr>
          </w:p>
        </w:tc>
        <w:tc>
          <w:tcPr>
            <w:tcW w:w="912" w:type="dxa"/>
          </w:tcPr>
          <w:p w14:paraId="6E4AA16B">
            <w:pPr>
              <w:spacing w:line="360" w:lineRule="auto"/>
              <w:jc w:val="center"/>
              <w:rPr>
                <w:rFonts w:hint="eastAsia" w:ascii="宋体" w:hAnsi="宋体" w:eastAsia="宋体" w:cs="宋体"/>
                <w:sz w:val="24"/>
                <w:highlight w:val="none"/>
              </w:rPr>
            </w:pPr>
          </w:p>
        </w:tc>
        <w:tc>
          <w:tcPr>
            <w:tcW w:w="912" w:type="dxa"/>
          </w:tcPr>
          <w:p w14:paraId="2D899AA5">
            <w:pPr>
              <w:spacing w:line="360" w:lineRule="auto"/>
              <w:jc w:val="center"/>
              <w:rPr>
                <w:rFonts w:hint="eastAsia" w:ascii="宋体" w:hAnsi="宋体" w:eastAsia="宋体" w:cs="宋体"/>
                <w:sz w:val="24"/>
                <w:highlight w:val="none"/>
              </w:rPr>
            </w:pPr>
          </w:p>
        </w:tc>
        <w:tc>
          <w:tcPr>
            <w:tcW w:w="912" w:type="dxa"/>
          </w:tcPr>
          <w:p w14:paraId="0926291C">
            <w:pPr>
              <w:spacing w:line="360" w:lineRule="auto"/>
              <w:jc w:val="center"/>
              <w:rPr>
                <w:rFonts w:hint="eastAsia" w:ascii="宋体" w:hAnsi="宋体" w:eastAsia="宋体" w:cs="宋体"/>
                <w:sz w:val="24"/>
                <w:highlight w:val="none"/>
              </w:rPr>
            </w:pPr>
          </w:p>
        </w:tc>
        <w:tc>
          <w:tcPr>
            <w:tcW w:w="1188" w:type="dxa"/>
          </w:tcPr>
          <w:p w14:paraId="5154C780">
            <w:pPr>
              <w:spacing w:line="360" w:lineRule="auto"/>
              <w:jc w:val="center"/>
              <w:rPr>
                <w:rFonts w:hint="eastAsia" w:ascii="宋体" w:hAnsi="宋体" w:eastAsia="宋体" w:cs="宋体"/>
                <w:sz w:val="24"/>
                <w:highlight w:val="none"/>
              </w:rPr>
            </w:pPr>
          </w:p>
        </w:tc>
        <w:tc>
          <w:tcPr>
            <w:tcW w:w="835" w:type="dxa"/>
          </w:tcPr>
          <w:p w14:paraId="64F54B40">
            <w:pPr>
              <w:spacing w:line="360" w:lineRule="auto"/>
              <w:jc w:val="center"/>
              <w:rPr>
                <w:rFonts w:hint="eastAsia" w:ascii="宋体" w:hAnsi="宋体" w:eastAsia="宋体" w:cs="宋体"/>
                <w:sz w:val="24"/>
                <w:highlight w:val="none"/>
              </w:rPr>
            </w:pPr>
          </w:p>
        </w:tc>
        <w:tc>
          <w:tcPr>
            <w:tcW w:w="951" w:type="dxa"/>
          </w:tcPr>
          <w:p w14:paraId="06E80141">
            <w:pPr>
              <w:spacing w:line="360" w:lineRule="auto"/>
              <w:jc w:val="center"/>
              <w:rPr>
                <w:rFonts w:hint="eastAsia" w:ascii="宋体" w:hAnsi="宋体" w:eastAsia="宋体" w:cs="宋体"/>
                <w:sz w:val="24"/>
                <w:highlight w:val="none"/>
              </w:rPr>
            </w:pPr>
          </w:p>
        </w:tc>
        <w:tc>
          <w:tcPr>
            <w:tcW w:w="841" w:type="dxa"/>
          </w:tcPr>
          <w:p w14:paraId="22747FE7">
            <w:pPr>
              <w:spacing w:line="360" w:lineRule="auto"/>
              <w:jc w:val="center"/>
              <w:rPr>
                <w:rFonts w:hint="eastAsia" w:ascii="宋体" w:hAnsi="宋体" w:eastAsia="宋体" w:cs="宋体"/>
                <w:sz w:val="24"/>
                <w:highlight w:val="none"/>
              </w:rPr>
            </w:pPr>
          </w:p>
        </w:tc>
      </w:tr>
      <w:tr w14:paraId="0139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tcPr>
          <w:p w14:paraId="3C65F37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服</w:t>
            </w:r>
          </w:p>
          <w:p w14:paraId="3408C57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务</w:t>
            </w:r>
          </w:p>
          <w:p w14:paraId="02781EBA">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人</w:t>
            </w:r>
          </w:p>
          <w:p w14:paraId="249A27E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员</w:t>
            </w:r>
          </w:p>
        </w:tc>
        <w:tc>
          <w:tcPr>
            <w:tcW w:w="910" w:type="dxa"/>
          </w:tcPr>
          <w:p w14:paraId="1065903D">
            <w:pPr>
              <w:spacing w:line="360" w:lineRule="auto"/>
              <w:jc w:val="center"/>
              <w:rPr>
                <w:rFonts w:hint="eastAsia" w:ascii="宋体" w:hAnsi="宋体" w:eastAsia="宋体" w:cs="宋体"/>
                <w:sz w:val="24"/>
                <w:highlight w:val="none"/>
              </w:rPr>
            </w:pPr>
          </w:p>
        </w:tc>
        <w:tc>
          <w:tcPr>
            <w:tcW w:w="912" w:type="dxa"/>
          </w:tcPr>
          <w:p w14:paraId="78C7EF9F">
            <w:pPr>
              <w:spacing w:line="360" w:lineRule="auto"/>
              <w:jc w:val="center"/>
              <w:rPr>
                <w:rFonts w:hint="eastAsia" w:ascii="宋体" w:hAnsi="宋体" w:eastAsia="宋体" w:cs="宋体"/>
                <w:sz w:val="24"/>
                <w:highlight w:val="none"/>
              </w:rPr>
            </w:pPr>
          </w:p>
        </w:tc>
        <w:tc>
          <w:tcPr>
            <w:tcW w:w="912" w:type="dxa"/>
          </w:tcPr>
          <w:p w14:paraId="3EEFFF27">
            <w:pPr>
              <w:spacing w:line="360" w:lineRule="auto"/>
              <w:jc w:val="center"/>
              <w:rPr>
                <w:rFonts w:hint="eastAsia" w:ascii="宋体" w:hAnsi="宋体" w:eastAsia="宋体" w:cs="宋体"/>
                <w:sz w:val="24"/>
                <w:highlight w:val="none"/>
              </w:rPr>
            </w:pPr>
          </w:p>
        </w:tc>
        <w:tc>
          <w:tcPr>
            <w:tcW w:w="912" w:type="dxa"/>
          </w:tcPr>
          <w:p w14:paraId="0DB51B4C">
            <w:pPr>
              <w:spacing w:line="360" w:lineRule="auto"/>
              <w:jc w:val="center"/>
              <w:rPr>
                <w:rFonts w:hint="eastAsia" w:ascii="宋体" w:hAnsi="宋体" w:eastAsia="宋体" w:cs="宋体"/>
                <w:sz w:val="24"/>
                <w:highlight w:val="none"/>
              </w:rPr>
            </w:pPr>
          </w:p>
        </w:tc>
        <w:tc>
          <w:tcPr>
            <w:tcW w:w="1188" w:type="dxa"/>
          </w:tcPr>
          <w:p w14:paraId="72A9F5F2">
            <w:pPr>
              <w:spacing w:line="360" w:lineRule="auto"/>
              <w:jc w:val="center"/>
              <w:rPr>
                <w:rFonts w:hint="eastAsia" w:ascii="宋体" w:hAnsi="宋体" w:eastAsia="宋体" w:cs="宋体"/>
                <w:sz w:val="24"/>
                <w:highlight w:val="none"/>
              </w:rPr>
            </w:pPr>
          </w:p>
        </w:tc>
        <w:tc>
          <w:tcPr>
            <w:tcW w:w="835" w:type="dxa"/>
          </w:tcPr>
          <w:p w14:paraId="333AD2F4">
            <w:pPr>
              <w:spacing w:line="360" w:lineRule="auto"/>
              <w:jc w:val="center"/>
              <w:rPr>
                <w:rFonts w:hint="eastAsia" w:ascii="宋体" w:hAnsi="宋体" w:eastAsia="宋体" w:cs="宋体"/>
                <w:sz w:val="24"/>
                <w:highlight w:val="none"/>
              </w:rPr>
            </w:pPr>
          </w:p>
        </w:tc>
        <w:tc>
          <w:tcPr>
            <w:tcW w:w="951" w:type="dxa"/>
          </w:tcPr>
          <w:p w14:paraId="2F0DEE00">
            <w:pPr>
              <w:spacing w:line="360" w:lineRule="auto"/>
              <w:jc w:val="center"/>
              <w:rPr>
                <w:rFonts w:hint="eastAsia" w:ascii="宋体" w:hAnsi="宋体" w:eastAsia="宋体" w:cs="宋体"/>
                <w:sz w:val="24"/>
                <w:highlight w:val="none"/>
              </w:rPr>
            </w:pPr>
          </w:p>
        </w:tc>
        <w:tc>
          <w:tcPr>
            <w:tcW w:w="841" w:type="dxa"/>
          </w:tcPr>
          <w:p w14:paraId="0BB21F8D">
            <w:pPr>
              <w:spacing w:line="360" w:lineRule="auto"/>
              <w:jc w:val="center"/>
              <w:rPr>
                <w:rFonts w:hint="eastAsia" w:ascii="宋体" w:hAnsi="宋体" w:eastAsia="宋体" w:cs="宋体"/>
                <w:sz w:val="24"/>
                <w:highlight w:val="none"/>
              </w:rPr>
            </w:pPr>
          </w:p>
        </w:tc>
      </w:tr>
      <w:tr w14:paraId="1001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tcPr>
          <w:p w14:paraId="11480AD3">
            <w:pPr>
              <w:spacing w:line="360" w:lineRule="auto"/>
              <w:jc w:val="center"/>
              <w:rPr>
                <w:rFonts w:hint="eastAsia" w:ascii="宋体" w:hAnsi="宋体" w:eastAsia="宋体" w:cs="宋体"/>
                <w:sz w:val="24"/>
                <w:highlight w:val="none"/>
              </w:rPr>
            </w:pPr>
          </w:p>
        </w:tc>
        <w:tc>
          <w:tcPr>
            <w:tcW w:w="910" w:type="dxa"/>
          </w:tcPr>
          <w:p w14:paraId="1B6292AE">
            <w:pPr>
              <w:spacing w:line="360" w:lineRule="auto"/>
              <w:jc w:val="center"/>
              <w:rPr>
                <w:rFonts w:hint="eastAsia" w:ascii="宋体" w:hAnsi="宋体" w:eastAsia="宋体" w:cs="宋体"/>
                <w:sz w:val="24"/>
                <w:highlight w:val="none"/>
              </w:rPr>
            </w:pPr>
          </w:p>
        </w:tc>
        <w:tc>
          <w:tcPr>
            <w:tcW w:w="912" w:type="dxa"/>
          </w:tcPr>
          <w:p w14:paraId="57E91B9B">
            <w:pPr>
              <w:spacing w:line="360" w:lineRule="auto"/>
              <w:jc w:val="center"/>
              <w:rPr>
                <w:rFonts w:hint="eastAsia" w:ascii="宋体" w:hAnsi="宋体" w:eastAsia="宋体" w:cs="宋体"/>
                <w:sz w:val="24"/>
                <w:highlight w:val="none"/>
              </w:rPr>
            </w:pPr>
          </w:p>
        </w:tc>
        <w:tc>
          <w:tcPr>
            <w:tcW w:w="912" w:type="dxa"/>
          </w:tcPr>
          <w:p w14:paraId="7734BDBF">
            <w:pPr>
              <w:spacing w:line="360" w:lineRule="auto"/>
              <w:jc w:val="center"/>
              <w:rPr>
                <w:rFonts w:hint="eastAsia" w:ascii="宋体" w:hAnsi="宋体" w:eastAsia="宋体" w:cs="宋体"/>
                <w:sz w:val="24"/>
                <w:highlight w:val="none"/>
              </w:rPr>
            </w:pPr>
          </w:p>
        </w:tc>
        <w:tc>
          <w:tcPr>
            <w:tcW w:w="912" w:type="dxa"/>
          </w:tcPr>
          <w:p w14:paraId="6800FA7C">
            <w:pPr>
              <w:spacing w:line="360" w:lineRule="auto"/>
              <w:jc w:val="center"/>
              <w:rPr>
                <w:rFonts w:hint="eastAsia" w:ascii="宋体" w:hAnsi="宋体" w:eastAsia="宋体" w:cs="宋体"/>
                <w:sz w:val="24"/>
                <w:highlight w:val="none"/>
              </w:rPr>
            </w:pPr>
          </w:p>
        </w:tc>
        <w:tc>
          <w:tcPr>
            <w:tcW w:w="1188" w:type="dxa"/>
          </w:tcPr>
          <w:p w14:paraId="02E6835A">
            <w:pPr>
              <w:spacing w:line="360" w:lineRule="auto"/>
              <w:jc w:val="center"/>
              <w:rPr>
                <w:rFonts w:hint="eastAsia" w:ascii="宋体" w:hAnsi="宋体" w:eastAsia="宋体" w:cs="宋体"/>
                <w:sz w:val="24"/>
                <w:highlight w:val="none"/>
              </w:rPr>
            </w:pPr>
          </w:p>
        </w:tc>
        <w:tc>
          <w:tcPr>
            <w:tcW w:w="835" w:type="dxa"/>
          </w:tcPr>
          <w:p w14:paraId="139A2F62">
            <w:pPr>
              <w:spacing w:line="360" w:lineRule="auto"/>
              <w:jc w:val="center"/>
              <w:rPr>
                <w:rFonts w:hint="eastAsia" w:ascii="宋体" w:hAnsi="宋体" w:eastAsia="宋体" w:cs="宋体"/>
                <w:sz w:val="24"/>
                <w:highlight w:val="none"/>
              </w:rPr>
            </w:pPr>
          </w:p>
        </w:tc>
        <w:tc>
          <w:tcPr>
            <w:tcW w:w="951" w:type="dxa"/>
          </w:tcPr>
          <w:p w14:paraId="5D42526D">
            <w:pPr>
              <w:spacing w:line="360" w:lineRule="auto"/>
              <w:jc w:val="center"/>
              <w:rPr>
                <w:rFonts w:hint="eastAsia" w:ascii="宋体" w:hAnsi="宋体" w:eastAsia="宋体" w:cs="宋体"/>
                <w:sz w:val="24"/>
                <w:highlight w:val="none"/>
              </w:rPr>
            </w:pPr>
          </w:p>
        </w:tc>
        <w:tc>
          <w:tcPr>
            <w:tcW w:w="841" w:type="dxa"/>
          </w:tcPr>
          <w:p w14:paraId="54A51D8F">
            <w:pPr>
              <w:spacing w:line="360" w:lineRule="auto"/>
              <w:jc w:val="center"/>
              <w:rPr>
                <w:rFonts w:hint="eastAsia" w:ascii="宋体" w:hAnsi="宋体" w:eastAsia="宋体" w:cs="宋体"/>
                <w:sz w:val="24"/>
                <w:highlight w:val="none"/>
              </w:rPr>
            </w:pPr>
          </w:p>
        </w:tc>
      </w:tr>
      <w:tr w14:paraId="0499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tcPr>
          <w:p w14:paraId="137EF667">
            <w:pPr>
              <w:spacing w:line="360" w:lineRule="auto"/>
              <w:jc w:val="center"/>
              <w:rPr>
                <w:rFonts w:hint="eastAsia" w:ascii="宋体" w:hAnsi="宋体" w:eastAsia="宋体" w:cs="宋体"/>
                <w:sz w:val="24"/>
                <w:highlight w:val="none"/>
              </w:rPr>
            </w:pPr>
          </w:p>
        </w:tc>
        <w:tc>
          <w:tcPr>
            <w:tcW w:w="910" w:type="dxa"/>
          </w:tcPr>
          <w:p w14:paraId="6F257760">
            <w:pPr>
              <w:spacing w:line="360" w:lineRule="auto"/>
              <w:jc w:val="center"/>
              <w:rPr>
                <w:rFonts w:hint="eastAsia" w:ascii="宋体" w:hAnsi="宋体" w:eastAsia="宋体" w:cs="宋体"/>
                <w:sz w:val="24"/>
                <w:highlight w:val="none"/>
              </w:rPr>
            </w:pPr>
          </w:p>
        </w:tc>
        <w:tc>
          <w:tcPr>
            <w:tcW w:w="912" w:type="dxa"/>
          </w:tcPr>
          <w:p w14:paraId="399E011E">
            <w:pPr>
              <w:spacing w:line="360" w:lineRule="auto"/>
              <w:jc w:val="center"/>
              <w:rPr>
                <w:rFonts w:hint="eastAsia" w:ascii="宋体" w:hAnsi="宋体" w:eastAsia="宋体" w:cs="宋体"/>
                <w:sz w:val="24"/>
                <w:highlight w:val="none"/>
              </w:rPr>
            </w:pPr>
          </w:p>
        </w:tc>
        <w:tc>
          <w:tcPr>
            <w:tcW w:w="912" w:type="dxa"/>
          </w:tcPr>
          <w:p w14:paraId="1169F0C1">
            <w:pPr>
              <w:spacing w:line="360" w:lineRule="auto"/>
              <w:jc w:val="center"/>
              <w:rPr>
                <w:rFonts w:hint="eastAsia" w:ascii="宋体" w:hAnsi="宋体" w:eastAsia="宋体" w:cs="宋体"/>
                <w:sz w:val="24"/>
                <w:highlight w:val="none"/>
              </w:rPr>
            </w:pPr>
          </w:p>
        </w:tc>
        <w:tc>
          <w:tcPr>
            <w:tcW w:w="912" w:type="dxa"/>
          </w:tcPr>
          <w:p w14:paraId="2E76B472">
            <w:pPr>
              <w:spacing w:line="360" w:lineRule="auto"/>
              <w:jc w:val="center"/>
              <w:rPr>
                <w:rFonts w:hint="eastAsia" w:ascii="宋体" w:hAnsi="宋体" w:eastAsia="宋体" w:cs="宋体"/>
                <w:sz w:val="24"/>
                <w:highlight w:val="none"/>
              </w:rPr>
            </w:pPr>
          </w:p>
        </w:tc>
        <w:tc>
          <w:tcPr>
            <w:tcW w:w="1188" w:type="dxa"/>
          </w:tcPr>
          <w:p w14:paraId="5D9BE282">
            <w:pPr>
              <w:spacing w:line="360" w:lineRule="auto"/>
              <w:jc w:val="center"/>
              <w:rPr>
                <w:rFonts w:hint="eastAsia" w:ascii="宋体" w:hAnsi="宋体" w:eastAsia="宋体" w:cs="宋体"/>
                <w:sz w:val="24"/>
                <w:highlight w:val="none"/>
              </w:rPr>
            </w:pPr>
          </w:p>
        </w:tc>
        <w:tc>
          <w:tcPr>
            <w:tcW w:w="835" w:type="dxa"/>
          </w:tcPr>
          <w:p w14:paraId="54212A85">
            <w:pPr>
              <w:spacing w:line="360" w:lineRule="auto"/>
              <w:jc w:val="center"/>
              <w:rPr>
                <w:rFonts w:hint="eastAsia" w:ascii="宋体" w:hAnsi="宋体" w:eastAsia="宋体" w:cs="宋体"/>
                <w:sz w:val="24"/>
                <w:highlight w:val="none"/>
              </w:rPr>
            </w:pPr>
          </w:p>
        </w:tc>
        <w:tc>
          <w:tcPr>
            <w:tcW w:w="951" w:type="dxa"/>
          </w:tcPr>
          <w:p w14:paraId="5BF8EF9B">
            <w:pPr>
              <w:spacing w:line="360" w:lineRule="auto"/>
              <w:jc w:val="center"/>
              <w:rPr>
                <w:rFonts w:hint="eastAsia" w:ascii="宋体" w:hAnsi="宋体" w:eastAsia="宋体" w:cs="宋体"/>
                <w:sz w:val="24"/>
                <w:highlight w:val="none"/>
              </w:rPr>
            </w:pPr>
          </w:p>
        </w:tc>
        <w:tc>
          <w:tcPr>
            <w:tcW w:w="841" w:type="dxa"/>
          </w:tcPr>
          <w:p w14:paraId="2FA472BF">
            <w:pPr>
              <w:spacing w:line="360" w:lineRule="auto"/>
              <w:jc w:val="center"/>
              <w:rPr>
                <w:rFonts w:hint="eastAsia" w:ascii="宋体" w:hAnsi="宋体" w:eastAsia="宋体" w:cs="宋体"/>
                <w:sz w:val="24"/>
                <w:highlight w:val="none"/>
              </w:rPr>
            </w:pPr>
          </w:p>
        </w:tc>
      </w:tr>
      <w:tr w14:paraId="1A6F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tcPr>
          <w:p w14:paraId="1E7F9F9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其</w:t>
            </w:r>
          </w:p>
          <w:p w14:paraId="2EBADAC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他</w:t>
            </w:r>
          </w:p>
          <w:p w14:paraId="7992851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人</w:t>
            </w:r>
          </w:p>
          <w:p w14:paraId="5E879D5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员</w:t>
            </w:r>
          </w:p>
        </w:tc>
        <w:tc>
          <w:tcPr>
            <w:tcW w:w="910" w:type="dxa"/>
          </w:tcPr>
          <w:p w14:paraId="370F75E1">
            <w:pPr>
              <w:spacing w:line="360" w:lineRule="auto"/>
              <w:jc w:val="center"/>
              <w:rPr>
                <w:rFonts w:hint="eastAsia" w:ascii="宋体" w:hAnsi="宋体" w:eastAsia="宋体" w:cs="宋体"/>
                <w:sz w:val="24"/>
                <w:highlight w:val="none"/>
              </w:rPr>
            </w:pPr>
          </w:p>
        </w:tc>
        <w:tc>
          <w:tcPr>
            <w:tcW w:w="912" w:type="dxa"/>
          </w:tcPr>
          <w:p w14:paraId="566ABFE5">
            <w:pPr>
              <w:spacing w:line="360" w:lineRule="auto"/>
              <w:jc w:val="center"/>
              <w:rPr>
                <w:rFonts w:hint="eastAsia" w:ascii="宋体" w:hAnsi="宋体" w:eastAsia="宋体" w:cs="宋体"/>
                <w:sz w:val="24"/>
                <w:highlight w:val="none"/>
              </w:rPr>
            </w:pPr>
          </w:p>
        </w:tc>
        <w:tc>
          <w:tcPr>
            <w:tcW w:w="912" w:type="dxa"/>
          </w:tcPr>
          <w:p w14:paraId="3A606F0A">
            <w:pPr>
              <w:spacing w:line="360" w:lineRule="auto"/>
              <w:jc w:val="center"/>
              <w:rPr>
                <w:rFonts w:hint="eastAsia" w:ascii="宋体" w:hAnsi="宋体" w:eastAsia="宋体" w:cs="宋体"/>
                <w:sz w:val="24"/>
                <w:highlight w:val="none"/>
              </w:rPr>
            </w:pPr>
          </w:p>
        </w:tc>
        <w:tc>
          <w:tcPr>
            <w:tcW w:w="912" w:type="dxa"/>
          </w:tcPr>
          <w:p w14:paraId="3ACDC52D">
            <w:pPr>
              <w:spacing w:line="360" w:lineRule="auto"/>
              <w:jc w:val="center"/>
              <w:rPr>
                <w:rFonts w:hint="eastAsia" w:ascii="宋体" w:hAnsi="宋体" w:eastAsia="宋体" w:cs="宋体"/>
                <w:sz w:val="24"/>
                <w:highlight w:val="none"/>
              </w:rPr>
            </w:pPr>
          </w:p>
        </w:tc>
        <w:tc>
          <w:tcPr>
            <w:tcW w:w="1188" w:type="dxa"/>
          </w:tcPr>
          <w:p w14:paraId="03D3F594">
            <w:pPr>
              <w:spacing w:line="360" w:lineRule="auto"/>
              <w:jc w:val="center"/>
              <w:rPr>
                <w:rFonts w:hint="eastAsia" w:ascii="宋体" w:hAnsi="宋体" w:eastAsia="宋体" w:cs="宋体"/>
                <w:sz w:val="24"/>
                <w:highlight w:val="none"/>
              </w:rPr>
            </w:pPr>
          </w:p>
        </w:tc>
        <w:tc>
          <w:tcPr>
            <w:tcW w:w="835" w:type="dxa"/>
          </w:tcPr>
          <w:p w14:paraId="24C528A7">
            <w:pPr>
              <w:spacing w:line="360" w:lineRule="auto"/>
              <w:jc w:val="center"/>
              <w:rPr>
                <w:rFonts w:hint="eastAsia" w:ascii="宋体" w:hAnsi="宋体" w:eastAsia="宋体" w:cs="宋体"/>
                <w:sz w:val="24"/>
                <w:highlight w:val="none"/>
              </w:rPr>
            </w:pPr>
          </w:p>
        </w:tc>
        <w:tc>
          <w:tcPr>
            <w:tcW w:w="951" w:type="dxa"/>
          </w:tcPr>
          <w:p w14:paraId="256100D4">
            <w:pPr>
              <w:spacing w:line="360" w:lineRule="auto"/>
              <w:jc w:val="center"/>
              <w:rPr>
                <w:rFonts w:hint="eastAsia" w:ascii="宋体" w:hAnsi="宋体" w:eastAsia="宋体" w:cs="宋体"/>
                <w:sz w:val="24"/>
                <w:highlight w:val="none"/>
              </w:rPr>
            </w:pPr>
          </w:p>
        </w:tc>
        <w:tc>
          <w:tcPr>
            <w:tcW w:w="841" w:type="dxa"/>
          </w:tcPr>
          <w:p w14:paraId="674898B6">
            <w:pPr>
              <w:spacing w:line="360" w:lineRule="auto"/>
              <w:jc w:val="center"/>
              <w:rPr>
                <w:rFonts w:hint="eastAsia" w:ascii="宋体" w:hAnsi="宋体" w:eastAsia="宋体" w:cs="宋体"/>
                <w:sz w:val="24"/>
                <w:highlight w:val="none"/>
              </w:rPr>
            </w:pPr>
          </w:p>
        </w:tc>
      </w:tr>
      <w:tr w14:paraId="0A03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tcPr>
          <w:p w14:paraId="548C40FA">
            <w:pPr>
              <w:spacing w:line="360" w:lineRule="auto"/>
              <w:jc w:val="center"/>
              <w:rPr>
                <w:rFonts w:hint="eastAsia" w:ascii="宋体" w:hAnsi="宋体" w:eastAsia="宋体" w:cs="宋体"/>
                <w:sz w:val="24"/>
                <w:highlight w:val="none"/>
              </w:rPr>
            </w:pPr>
          </w:p>
        </w:tc>
        <w:tc>
          <w:tcPr>
            <w:tcW w:w="910" w:type="dxa"/>
          </w:tcPr>
          <w:p w14:paraId="249565F6">
            <w:pPr>
              <w:spacing w:line="360" w:lineRule="auto"/>
              <w:jc w:val="center"/>
              <w:rPr>
                <w:rFonts w:hint="eastAsia" w:ascii="宋体" w:hAnsi="宋体" w:eastAsia="宋体" w:cs="宋体"/>
                <w:sz w:val="24"/>
                <w:highlight w:val="none"/>
              </w:rPr>
            </w:pPr>
          </w:p>
        </w:tc>
        <w:tc>
          <w:tcPr>
            <w:tcW w:w="912" w:type="dxa"/>
          </w:tcPr>
          <w:p w14:paraId="35E296FF">
            <w:pPr>
              <w:spacing w:line="360" w:lineRule="auto"/>
              <w:jc w:val="center"/>
              <w:rPr>
                <w:rFonts w:hint="eastAsia" w:ascii="宋体" w:hAnsi="宋体" w:eastAsia="宋体" w:cs="宋体"/>
                <w:b/>
                <w:bCs/>
                <w:sz w:val="24"/>
                <w:highlight w:val="none"/>
              </w:rPr>
            </w:pPr>
          </w:p>
        </w:tc>
        <w:tc>
          <w:tcPr>
            <w:tcW w:w="912" w:type="dxa"/>
          </w:tcPr>
          <w:p w14:paraId="04C2952C">
            <w:pPr>
              <w:spacing w:line="360" w:lineRule="auto"/>
              <w:jc w:val="center"/>
              <w:rPr>
                <w:rFonts w:hint="eastAsia" w:ascii="宋体" w:hAnsi="宋体" w:eastAsia="宋体" w:cs="宋体"/>
                <w:b/>
                <w:bCs/>
                <w:sz w:val="24"/>
                <w:highlight w:val="none"/>
              </w:rPr>
            </w:pPr>
          </w:p>
        </w:tc>
        <w:tc>
          <w:tcPr>
            <w:tcW w:w="912" w:type="dxa"/>
          </w:tcPr>
          <w:p w14:paraId="33D3F187">
            <w:pPr>
              <w:spacing w:line="360" w:lineRule="auto"/>
              <w:jc w:val="center"/>
              <w:rPr>
                <w:rFonts w:hint="eastAsia" w:ascii="宋体" w:hAnsi="宋体" w:eastAsia="宋体" w:cs="宋体"/>
                <w:b/>
                <w:bCs/>
                <w:sz w:val="24"/>
                <w:highlight w:val="none"/>
              </w:rPr>
            </w:pPr>
          </w:p>
        </w:tc>
        <w:tc>
          <w:tcPr>
            <w:tcW w:w="1188" w:type="dxa"/>
          </w:tcPr>
          <w:p w14:paraId="0AEA93E8">
            <w:pPr>
              <w:spacing w:line="360" w:lineRule="auto"/>
              <w:jc w:val="center"/>
              <w:rPr>
                <w:rFonts w:hint="eastAsia" w:ascii="宋体" w:hAnsi="宋体" w:eastAsia="宋体" w:cs="宋体"/>
                <w:b/>
                <w:bCs/>
                <w:sz w:val="24"/>
                <w:highlight w:val="none"/>
              </w:rPr>
            </w:pPr>
          </w:p>
        </w:tc>
        <w:tc>
          <w:tcPr>
            <w:tcW w:w="835" w:type="dxa"/>
          </w:tcPr>
          <w:p w14:paraId="6487D342">
            <w:pPr>
              <w:spacing w:line="360" w:lineRule="auto"/>
              <w:jc w:val="center"/>
              <w:rPr>
                <w:rFonts w:hint="eastAsia" w:ascii="宋体" w:hAnsi="宋体" w:eastAsia="宋体" w:cs="宋体"/>
                <w:b/>
                <w:bCs/>
                <w:sz w:val="24"/>
                <w:highlight w:val="none"/>
              </w:rPr>
            </w:pPr>
          </w:p>
        </w:tc>
        <w:tc>
          <w:tcPr>
            <w:tcW w:w="951" w:type="dxa"/>
          </w:tcPr>
          <w:p w14:paraId="52EEEA0F">
            <w:pPr>
              <w:spacing w:line="360" w:lineRule="auto"/>
              <w:jc w:val="center"/>
              <w:rPr>
                <w:rFonts w:hint="eastAsia" w:ascii="宋体" w:hAnsi="宋体" w:eastAsia="宋体" w:cs="宋体"/>
                <w:b/>
                <w:bCs/>
                <w:sz w:val="24"/>
                <w:highlight w:val="none"/>
              </w:rPr>
            </w:pPr>
          </w:p>
        </w:tc>
        <w:tc>
          <w:tcPr>
            <w:tcW w:w="841" w:type="dxa"/>
          </w:tcPr>
          <w:p w14:paraId="29CE2A0B">
            <w:pPr>
              <w:spacing w:line="360" w:lineRule="auto"/>
              <w:jc w:val="center"/>
              <w:rPr>
                <w:rFonts w:hint="eastAsia" w:ascii="宋体" w:hAnsi="宋体" w:eastAsia="宋体" w:cs="宋体"/>
                <w:b/>
                <w:bCs/>
                <w:sz w:val="24"/>
                <w:highlight w:val="none"/>
              </w:rPr>
            </w:pPr>
          </w:p>
        </w:tc>
      </w:tr>
      <w:tr w14:paraId="7D0E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tcPr>
          <w:p w14:paraId="7907882F">
            <w:pPr>
              <w:spacing w:line="360" w:lineRule="auto"/>
              <w:jc w:val="center"/>
              <w:rPr>
                <w:rFonts w:hint="eastAsia" w:ascii="宋体" w:hAnsi="宋体" w:eastAsia="宋体" w:cs="宋体"/>
                <w:sz w:val="24"/>
                <w:highlight w:val="none"/>
              </w:rPr>
            </w:pPr>
          </w:p>
        </w:tc>
        <w:tc>
          <w:tcPr>
            <w:tcW w:w="910" w:type="dxa"/>
          </w:tcPr>
          <w:p w14:paraId="4BA8A4D0">
            <w:pPr>
              <w:spacing w:line="360" w:lineRule="auto"/>
              <w:jc w:val="center"/>
              <w:rPr>
                <w:rFonts w:hint="eastAsia" w:ascii="宋体" w:hAnsi="宋体" w:eastAsia="宋体" w:cs="宋体"/>
                <w:sz w:val="24"/>
                <w:highlight w:val="none"/>
              </w:rPr>
            </w:pPr>
          </w:p>
        </w:tc>
        <w:tc>
          <w:tcPr>
            <w:tcW w:w="912" w:type="dxa"/>
          </w:tcPr>
          <w:p w14:paraId="010B1B38">
            <w:pPr>
              <w:spacing w:line="360" w:lineRule="auto"/>
              <w:jc w:val="center"/>
              <w:rPr>
                <w:rFonts w:hint="eastAsia" w:ascii="宋体" w:hAnsi="宋体" w:eastAsia="宋体" w:cs="宋体"/>
                <w:b/>
                <w:bCs/>
                <w:sz w:val="24"/>
                <w:highlight w:val="none"/>
              </w:rPr>
            </w:pPr>
          </w:p>
        </w:tc>
        <w:tc>
          <w:tcPr>
            <w:tcW w:w="912" w:type="dxa"/>
          </w:tcPr>
          <w:p w14:paraId="3AB6B4F9">
            <w:pPr>
              <w:spacing w:line="360" w:lineRule="auto"/>
              <w:jc w:val="center"/>
              <w:rPr>
                <w:rFonts w:hint="eastAsia" w:ascii="宋体" w:hAnsi="宋体" w:eastAsia="宋体" w:cs="宋体"/>
                <w:b/>
                <w:bCs/>
                <w:sz w:val="24"/>
                <w:highlight w:val="none"/>
              </w:rPr>
            </w:pPr>
          </w:p>
        </w:tc>
        <w:tc>
          <w:tcPr>
            <w:tcW w:w="912" w:type="dxa"/>
          </w:tcPr>
          <w:p w14:paraId="1E719A69">
            <w:pPr>
              <w:spacing w:line="360" w:lineRule="auto"/>
              <w:jc w:val="center"/>
              <w:rPr>
                <w:rFonts w:hint="eastAsia" w:ascii="宋体" w:hAnsi="宋体" w:eastAsia="宋体" w:cs="宋体"/>
                <w:b/>
                <w:bCs/>
                <w:sz w:val="24"/>
                <w:highlight w:val="none"/>
              </w:rPr>
            </w:pPr>
          </w:p>
        </w:tc>
        <w:tc>
          <w:tcPr>
            <w:tcW w:w="1188" w:type="dxa"/>
          </w:tcPr>
          <w:p w14:paraId="2190B82F">
            <w:pPr>
              <w:spacing w:line="360" w:lineRule="auto"/>
              <w:jc w:val="center"/>
              <w:rPr>
                <w:rFonts w:hint="eastAsia" w:ascii="宋体" w:hAnsi="宋体" w:eastAsia="宋体" w:cs="宋体"/>
                <w:b/>
                <w:bCs/>
                <w:sz w:val="24"/>
                <w:highlight w:val="none"/>
              </w:rPr>
            </w:pPr>
          </w:p>
        </w:tc>
        <w:tc>
          <w:tcPr>
            <w:tcW w:w="835" w:type="dxa"/>
          </w:tcPr>
          <w:p w14:paraId="1FDB77D3">
            <w:pPr>
              <w:spacing w:line="360" w:lineRule="auto"/>
              <w:jc w:val="center"/>
              <w:rPr>
                <w:rFonts w:hint="eastAsia" w:ascii="宋体" w:hAnsi="宋体" w:eastAsia="宋体" w:cs="宋体"/>
                <w:b/>
                <w:bCs/>
                <w:sz w:val="24"/>
                <w:highlight w:val="none"/>
              </w:rPr>
            </w:pPr>
          </w:p>
        </w:tc>
        <w:tc>
          <w:tcPr>
            <w:tcW w:w="951" w:type="dxa"/>
          </w:tcPr>
          <w:p w14:paraId="33C61632">
            <w:pPr>
              <w:spacing w:line="360" w:lineRule="auto"/>
              <w:jc w:val="center"/>
              <w:rPr>
                <w:rFonts w:hint="eastAsia" w:ascii="宋体" w:hAnsi="宋体" w:eastAsia="宋体" w:cs="宋体"/>
                <w:b/>
                <w:bCs/>
                <w:sz w:val="24"/>
                <w:highlight w:val="none"/>
              </w:rPr>
            </w:pPr>
          </w:p>
        </w:tc>
        <w:tc>
          <w:tcPr>
            <w:tcW w:w="841" w:type="dxa"/>
          </w:tcPr>
          <w:p w14:paraId="75D2B37B">
            <w:pPr>
              <w:spacing w:line="360" w:lineRule="auto"/>
              <w:jc w:val="center"/>
              <w:rPr>
                <w:rFonts w:hint="eastAsia" w:ascii="宋体" w:hAnsi="宋体" w:eastAsia="宋体" w:cs="宋体"/>
                <w:b/>
                <w:bCs/>
                <w:sz w:val="24"/>
                <w:highlight w:val="none"/>
              </w:rPr>
            </w:pPr>
          </w:p>
        </w:tc>
      </w:tr>
    </w:tbl>
    <w:p w14:paraId="29757DD7">
      <w:pPr>
        <w:adjustRightInd w:val="0"/>
        <w:spacing w:line="360" w:lineRule="auto"/>
        <w:ind w:firstLine="900" w:firstLineChars="375"/>
        <w:jc w:val="left"/>
        <w:rPr>
          <w:rFonts w:hint="eastAsia" w:ascii="宋体" w:hAnsi="宋体" w:eastAsia="宋体" w:cs="宋体"/>
          <w:bCs/>
          <w:sz w:val="24"/>
          <w:highlight w:val="none"/>
        </w:rPr>
      </w:pPr>
      <w:r>
        <w:rPr>
          <w:rFonts w:hint="eastAsia" w:ascii="宋体" w:hAnsi="宋体" w:eastAsia="宋体" w:cs="宋体"/>
          <w:bCs/>
          <w:sz w:val="24"/>
          <w:highlight w:val="none"/>
        </w:rPr>
        <w:t>注：后附人员相关证书扫描件。</w:t>
      </w:r>
    </w:p>
    <w:p w14:paraId="7843FC5F">
      <w:pPr>
        <w:pStyle w:val="11"/>
        <w:spacing w:line="360" w:lineRule="auto"/>
        <w:rPr>
          <w:rFonts w:hint="eastAsia" w:ascii="宋体" w:hAnsi="宋体" w:eastAsia="宋体" w:cs="宋体"/>
          <w:sz w:val="24"/>
          <w:highlight w:val="none"/>
        </w:rPr>
      </w:pPr>
    </w:p>
    <w:p w14:paraId="1C32AFFF">
      <w:pPr>
        <w:adjustRightInd w:val="0"/>
        <w:spacing w:line="360" w:lineRule="auto"/>
        <w:ind w:firstLine="900" w:firstLineChars="375"/>
        <w:jc w:val="center"/>
        <w:rPr>
          <w:rFonts w:hint="eastAsia" w:ascii="宋体" w:hAnsi="宋体" w:eastAsia="宋体" w:cs="宋体"/>
          <w:bCs/>
          <w:sz w:val="24"/>
          <w:highlight w:val="none"/>
        </w:rPr>
      </w:pPr>
      <w:r>
        <w:rPr>
          <w:rFonts w:hint="eastAsia" w:ascii="宋体" w:hAnsi="宋体" w:eastAsia="宋体" w:cs="宋体"/>
          <w:bCs/>
          <w:sz w:val="24"/>
          <w:highlight w:val="none"/>
        </w:rPr>
        <w:t xml:space="preserve">         投标人名称（盖章）：        </w:t>
      </w:r>
    </w:p>
    <w:p w14:paraId="7667DD63">
      <w:pPr>
        <w:adjustRightInd w:val="0"/>
        <w:spacing w:line="360" w:lineRule="auto"/>
        <w:ind w:firstLine="4020" w:firstLineChars="1675"/>
        <w:rPr>
          <w:rFonts w:hint="eastAsia" w:ascii="宋体" w:hAnsi="宋体" w:eastAsia="宋体" w:cs="宋体"/>
          <w:bCs/>
          <w:sz w:val="24"/>
          <w:highlight w:val="none"/>
        </w:rPr>
      </w:pPr>
      <w:r>
        <w:rPr>
          <w:rFonts w:hint="eastAsia" w:ascii="宋体" w:hAnsi="宋体" w:eastAsia="宋体" w:cs="宋体"/>
          <w:sz w:val="24"/>
          <w:highlight w:val="none"/>
        </w:rPr>
        <w:t>授权人或被授权人（签字或盖章）</w:t>
      </w:r>
      <w:r>
        <w:rPr>
          <w:rFonts w:hint="eastAsia" w:ascii="宋体" w:hAnsi="宋体" w:eastAsia="宋体" w:cs="宋体"/>
          <w:bCs/>
          <w:sz w:val="24"/>
          <w:highlight w:val="none"/>
        </w:rPr>
        <w:t>：</w:t>
      </w:r>
    </w:p>
    <w:p w14:paraId="2D1CBAD2">
      <w:pPr>
        <w:spacing w:line="360" w:lineRule="auto"/>
        <w:jc w:val="center"/>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Cs/>
          <w:sz w:val="24"/>
          <w:highlight w:val="none"/>
        </w:rPr>
        <w:t>日期:</w:t>
      </w:r>
    </w:p>
    <w:p w14:paraId="40A5FF69">
      <w:pPr>
        <w:rPr>
          <w:rFonts w:hint="eastAsia" w:ascii="宋体" w:hAnsi="宋体" w:eastAsia="宋体" w:cs="宋体"/>
          <w:b/>
          <w:bCs/>
          <w:color w:val="auto"/>
          <w:sz w:val="24"/>
          <w:szCs w:val="24"/>
          <w:highlight w:val="none"/>
          <w:lang w:val="en-US" w:eastAsia="zh-CN"/>
        </w:rPr>
      </w:pPr>
      <w:bookmarkStart w:id="211" w:name="_Toc9875"/>
      <w:bookmarkStart w:id="212" w:name="_Toc7524"/>
      <w:r>
        <w:rPr>
          <w:rFonts w:hint="eastAsia" w:ascii="宋体" w:hAnsi="宋体" w:eastAsia="宋体" w:cs="宋体"/>
          <w:b/>
          <w:bCs/>
          <w:color w:val="auto"/>
          <w:sz w:val="24"/>
          <w:szCs w:val="24"/>
          <w:highlight w:val="none"/>
          <w:lang w:val="en-US" w:eastAsia="zh-CN"/>
        </w:rPr>
        <w:br w:type="page"/>
      </w:r>
    </w:p>
    <w:p w14:paraId="021093CD">
      <w:pPr>
        <w:spacing w:line="360" w:lineRule="auto"/>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、商务需求偏离表</w:t>
      </w:r>
      <w:bookmarkEnd w:id="211"/>
      <w:bookmarkEnd w:id="212"/>
    </w:p>
    <w:tbl>
      <w:tblPr>
        <w:tblStyle w:val="29"/>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0"/>
        <w:gridCol w:w="6567"/>
        <w:gridCol w:w="733"/>
        <w:gridCol w:w="755"/>
      </w:tblGrid>
      <w:tr w14:paraId="3CC9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4" w:hRule="exact"/>
        </w:trPr>
        <w:tc>
          <w:tcPr>
            <w:tcW w:w="640" w:type="dxa"/>
            <w:shd w:val="clear" w:color="auto" w:fill="auto"/>
            <w:vAlign w:val="center"/>
          </w:tcPr>
          <w:p w14:paraId="3E3102BE">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6567" w:type="dxa"/>
            <w:shd w:val="clear" w:color="auto" w:fill="auto"/>
            <w:vAlign w:val="center"/>
          </w:tcPr>
          <w:p w14:paraId="40F47A2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主要商务条款</w:t>
            </w:r>
          </w:p>
        </w:tc>
        <w:tc>
          <w:tcPr>
            <w:tcW w:w="733" w:type="dxa"/>
            <w:shd w:val="clear" w:color="auto" w:fill="auto"/>
            <w:vAlign w:val="center"/>
          </w:tcPr>
          <w:p w14:paraId="71AC36DF">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w:t>
            </w:r>
          </w:p>
          <w:p w14:paraId="549D4570">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w:t>
            </w:r>
          </w:p>
        </w:tc>
        <w:tc>
          <w:tcPr>
            <w:tcW w:w="755" w:type="dxa"/>
            <w:shd w:val="clear" w:color="auto" w:fill="auto"/>
            <w:vAlign w:val="center"/>
          </w:tcPr>
          <w:p w14:paraId="108B388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偏离说明</w:t>
            </w:r>
          </w:p>
        </w:tc>
      </w:tr>
      <w:tr w14:paraId="073B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3" w:hRule="exact"/>
        </w:trPr>
        <w:tc>
          <w:tcPr>
            <w:tcW w:w="640" w:type="dxa"/>
            <w:shd w:val="clear" w:color="auto" w:fill="auto"/>
            <w:vAlign w:val="center"/>
          </w:tcPr>
          <w:p w14:paraId="0FD9484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567" w:type="dxa"/>
            <w:shd w:val="clear" w:color="auto" w:fill="auto"/>
            <w:vAlign w:val="center"/>
          </w:tcPr>
          <w:p w14:paraId="2A4BCE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完全理解并接受对合格供应商、合格的</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质量和其他要求；</w:t>
            </w:r>
          </w:p>
        </w:tc>
        <w:tc>
          <w:tcPr>
            <w:tcW w:w="733" w:type="dxa"/>
            <w:shd w:val="clear" w:color="auto" w:fill="auto"/>
            <w:vAlign w:val="center"/>
          </w:tcPr>
          <w:p w14:paraId="5DE71076">
            <w:pPr>
              <w:pStyle w:val="94"/>
              <w:keepNext w:val="0"/>
              <w:adjustRightInd/>
              <w:spacing w:before="0" w:after="0" w:line="360" w:lineRule="auto"/>
              <w:textAlignment w:val="auto"/>
              <w:rPr>
                <w:rFonts w:hint="eastAsia" w:ascii="宋体" w:hAnsi="宋体" w:eastAsia="宋体" w:cs="宋体"/>
                <w:snapToGrid/>
                <w:color w:val="auto"/>
                <w:spacing w:val="0"/>
                <w:kern w:val="2"/>
                <w:sz w:val="24"/>
                <w:szCs w:val="24"/>
                <w:highlight w:val="none"/>
              </w:rPr>
            </w:pPr>
          </w:p>
        </w:tc>
        <w:tc>
          <w:tcPr>
            <w:tcW w:w="755" w:type="dxa"/>
            <w:shd w:val="clear" w:color="auto" w:fill="auto"/>
            <w:vAlign w:val="center"/>
          </w:tcPr>
          <w:p w14:paraId="184D0A2B">
            <w:pPr>
              <w:spacing w:line="360" w:lineRule="auto"/>
              <w:jc w:val="center"/>
              <w:rPr>
                <w:rFonts w:hint="eastAsia" w:ascii="宋体" w:hAnsi="宋体" w:eastAsia="宋体" w:cs="宋体"/>
                <w:color w:val="auto"/>
                <w:sz w:val="24"/>
                <w:szCs w:val="24"/>
                <w:highlight w:val="none"/>
              </w:rPr>
            </w:pPr>
          </w:p>
        </w:tc>
      </w:tr>
      <w:tr w14:paraId="3899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exact"/>
        </w:trPr>
        <w:tc>
          <w:tcPr>
            <w:tcW w:w="640" w:type="dxa"/>
            <w:shd w:val="clear" w:color="auto" w:fill="auto"/>
            <w:vAlign w:val="center"/>
          </w:tcPr>
          <w:p w14:paraId="5B50469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567" w:type="dxa"/>
            <w:shd w:val="clear" w:color="auto" w:fill="auto"/>
            <w:vAlign w:val="center"/>
          </w:tcPr>
          <w:p w14:paraId="484D786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完全理解并接受对供应商的各项须知、规约要求和责任义务；</w:t>
            </w:r>
          </w:p>
        </w:tc>
        <w:tc>
          <w:tcPr>
            <w:tcW w:w="733" w:type="dxa"/>
            <w:shd w:val="clear" w:color="auto" w:fill="auto"/>
            <w:vAlign w:val="center"/>
          </w:tcPr>
          <w:p w14:paraId="06566131">
            <w:pPr>
              <w:spacing w:line="360" w:lineRule="auto"/>
              <w:jc w:val="center"/>
              <w:rPr>
                <w:rFonts w:hint="eastAsia" w:ascii="宋体" w:hAnsi="宋体" w:eastAsia="宋体" w:cs="宋体"/>
                <w:color w:val="auto"/>
                <w:sz w:val="24"/>
                <w:szCs w:val="24"/>
                <w:highlight w:val="none"/>
              </w:rPr>
            </w:pPr>
          </w:p>
        </w:tc>
        <w:tc>
          <w:tcPr>
            <w:tcW w:w="755" w:type="dxa"/>
            <w:shd w:val="clear" w:color="auto" w:fill="auto"/>
            <w:vAlign w:val="center"/>
          </w:tcPr>
          <w:p w14:paraId="4EFFD6FF">
            <w:pPr>
              <w:spacing w:line="360" w:lineRule="auto"/>
              <w:ind w:right="-35"/>
              <w:jc w:val="center"/>
              <w:rPr>
                <w:rFonts w:hint="eastAsia" w:ascii="宋体" w:hAnsi="宋体" w:eastAsia="宋体" w:cs="宋体"/>
                <w:color w:val="auto"/>
                <w:sz w:val="24"/>
                <w:szCs w:val="24"/>
                <w:highlight w:val="none"/>
              </w:rPr>
            </w:pPr>
          </w:p>
        </w:tc>
      </w:tr>
      <w:tr w14:paraId="0E12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640" w:type="dxa"/>
            <w:shd w:val="clear" w:color="auto" w:fill="auto"/>
            <w:vAlign w:val="center"/>
          </w:tcPr>
          <w:p w14:paraId="70A1A49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567" w:type="dxa"/>
            <w:shd w:val="clear" w:color="auto" w:fill="auto"/>
            <w:vAlign w:val="center"/>
          </w:tcPr>
          <w:p w14:paraId="6A3A17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同意接受拟签订的合同文本所列述的各项条款；</w:t>
            </w:r>
          </w:p>
        </w:tc>
        <w:tc>
          <w:tcPr>
            <w:tcW w:w="733" w:type="dxa"/>
            <w:shd w:val="clear" w:color="auto" w:fill="auto"/>
            <w:vAlign w:val="center"/>
          </w:tcPr>
          <w:p w14:paraId="05C1AC7B">
            <w:pPr>
              <w:spacing w:line="360" w:lineRule="auto"/>
              <w:jc w:val="center"/>
              <w:rPr>
                <w:rFonts w:hint="eastAsia" w:ascii="宋体" w:hAnsi="宋体" w:eastAsia="宋体" w:cs="宋体"/>
                <w:color w:val="auto"/>
                <w:sz w:val="24"/>
                <w:szCs w:val="24"/>
                <w:highlight w:val="none"/>
              </w:rPr>
            </w:pPr>
          </w:p>
        </w:tc>
        <w:tc>
          <w:tcPr>
            <w:tcW w:w="755" w:type="dxa"/>
            <w:shd w:val="clear" w:color="auto" w:fill="auto"/>
            <w:vAlign w:val="center"/>
          </w:tcPr>
          <w:p w14:paraId="5F1ED74E">
            <w:pPr>
              <w:spacing w:line="360" w:lineRule="auto"/>
              <w:ind w:right="-35"/>
              <w:jc w:val="center"/>
              <w:rPr>
                <w:rFonts w:hint="eastAsia" w:ascii="宋体" w:hAnsi="宋体" w:eastAsia="宋体" w:cs="宋体"/>
                <w:color w:val="auto"/>
                <w:sz w:val="24"/>
                <w:szCs w:val="24"/>
                <w:highlight w:val="none"/>
              </w:rPr>
            </w:pPr>
          </w:p>
        </w:tc>
      </w:tr>
      <w:tr w14:paraId="62AF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640" w:type="dxa"/>
            <w:shd w:val="clear" w:color="auto" w:fill="auto"/>
            <w:vAlign w:val="center"/>
          </w:tcPr>
          <w:p w14:paraId="4633592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567" w:type="dxa"/>
            <w:shd w:val="clear" w:color="auto" w:fill="auto"/>
            <w:vAlign w:val="center"/>
          </w:tcPr>
          <w:p w14:paraId="1FCC3F6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同意按本项目要求缴付相关款项；</w:t>
            </w:r>
          </w:p>
        </w:tc>
        <w:tc>
          <w:tcPr>
            <w:tcW w:w="733" w:type="dxa"/>
            <w:shd w:val="clear" w:color="auto" w:fill="auto"/>
            <w:vAlign w:val="center"/>
          </w:tcPr>
          <w:p w14:paraId="6FD93F3E">
            <w:pPr>
              <w:spacing w:line="360" w:lineRule="auto"/>
              <w:jc w:val="center"/>
              <w:rPr>
                <w:rFonts w:hint="eastAsia" w:ascii="宋体" w:hAnsi="宋体" w:eastAsia="宋体" w:cs="宋体"/>
                <w:color w:val="auto"/>
                <w:sz w:val="24"/>
                <w:szCs w:val="24"/>
                <w:highlight w:val="none"/>
              </w:rPr>
            </w:pPr>
          </w:p>
        </w:tc>
        <w:tc>
          <w:tcPr>
            <w:tcW w:w="755" w:type="dxa"/>
            <w:shd w:val="clear" w:color="auto" w:fill="auto"/>
            <w:vAlign w:val="center"/>
          </w:tcPr>
          <w:p w14:paraId="7EECDA85">
            <w:pPr>
              <w:spacing w:line="360" w:lineRule="auto"/>
              <w:ind w:right="-35"/>
              <w:jc w:val="center"/>
              <w:rPr>
                <w:rFonts w:hint="eastAsia" w:ascii="宋体" w:hAnsi="宋体" w:eastAsia="宋体" w:cs="宋体"/>
                <w:color w:val="auto"/>
                <w:sz w:val="24"/>
                <w:szCs w:val="24"/>
                <w:highlight w:val="none"/>
              </w:rPr>
            </w:pPr>
          </w:p>
        </w:tc>
      </w:tr>
      <w:tr w14:paraId="386E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0" w:type="dxa"/>
            <w:shd w:val="clear" w:color="auto" w:fill="auto"/>
            <w:vAlign w:val="center"/>
          </w:tcPr>
          <w:p w14:paraId="47D8CFD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567" w:type="dxa"/>
            <w:shd w:val="clear" w:color="auto" w:fill="auto"/>
            <w:vAlign w:val="center"/>
          </w:tcPr>
          <w:p w14:paraId="1AA6762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733" w:type="dxa"/>
            <w:shd w:val="clear" w:color="auto" w:fill="auto"/>
            <w:vAlign w:val="center"/>
          </w:tcPr>
          <w:p w14:paraId="23EE9B51">
            <w:pPr>
              <w:spacing w:line="360" w:lineRule="auto"/>
              <w:jc w:val="center"/>
              <w:rPr>
                <w:rFonts w:hint="eastAsia" w:ascii="宋体" w:hAnsi="宋体" w:eastAsia="宋体" w:cs="宋体"/>
                <w:color w:val="auto"/>
                <w:sz w:val="24"/>
                <w:szCs w:val="24"/>
                <w:highlight w:val="none"/>
              </w:rPr>
            </w:pPr>
          </w:p>
        </w:tc>
        <w:tc>
          <w:tcPr>
            <w:tcW w:w="755" w:type="dxa"/>
            <w:shd w:val="clear" w:color="auto" w:fill="auto"/>
            <w:vAlign w:val="center"/>
          </w:tcPr>
          <w:p w14:paraId="54F853B0">
            <w:pPr>
              <w:spacing w:line="360" w:lineRule="auto"/>
              <w:ind w:right="-35"/>
              <w:jc w:val="center"/>
              <w:rPr>
                <w:rFonts w:hint="eastAsia" w:ascii="宋体" w:hAnsi="宋体" w:eastAsia="宋体" w:cs="宋体"/>
                <w:color w:val="auto"/>
                <w:sz w:val="24"/>
                <w:szCs w:val="24"/>
                <w:highlight w:val="none"/>
              </w:rPr>
            </w:pPr>
          </w:p>
        </w:tc>
      </w:tr>
      <w:tr w14:paraId="1691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640" w:type="dxa"/>
            <w:shd w:val="clear" w:color="auto" w:fill="auto"/>
            <w:vAlign w:val="center"/>
          </w:tcPr>
          <w:p w14:paraId="56717C4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567" w:type="dxa"/>
            <w:shd w:val="clear" w:color="auto" w:fill="auto"/>
            <w:vAlign w:val="center"/>
          </w:tcPr>
          <w:p w14:paraId="7279D9F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响应内容均涵盖服务需求及一切费用和伴随服务；</w:t>
            </w:r>
          </w:p>
        </w:tc>
        <w:tc>
          <w:tcPr>
            <w:tcW w:w="733" w:type="dxa"/>
            <w:shd w:val="clear" w:color="auto" w:fill="auto"/>
            <w:vAlign w:val="center"/>
          </w:tcPr>
          <w:p w14:paraId="1D05B09E">
            <w:pPr>
              <w:spacing w:line="360" w:lineRule="auto"/>
              <w:jc w:val="center"/>
              <w:rPr>
                <w:rFonts w:hint="eastAsia" w:ascii="宋体" w:hAnsi="宋体" w:eastAsia="宋体" w:cs="宋体"/>
                <w:color w:val="auto"/>
                <w:sz w:val="24"/>
                <w:szCs w:val="24"/>
                <w:highlight w:val="none"/>
              </w:rPr>
            </w:pPr>
          </w:p>
        </w:tc>
        <w:tc>
          <w:tcPr>
            <w:tcW w:w="755" w:type="dxa"/>
            <w:shd w:val="clear" w:color="auto" w:fill="auto"/>
            <w:vAlign w:val="center"/>
          </w:tcPr>
          <w:p w14:paraId="58D99B21">
            <w:pPr>
              <w:pStyle w:val="94"/>
              <w:keepNext w:val="0"/>
              <w:adjustRightInd/>
              <w:spacing w:before="0" w:after="0" w:line="360" w:lineRule="auto"/>
              <w:textAlignment w:val="auto"/>
              <w:rPr>
                <w:rFonts w:hint="eastAsia" w:ascii="宋体" w:hAnsi="宋体" w:eastAsia="宋体" w:cs="宋体"/>
                <w:snapToGrid/>
                <w:color w:val="auto"/>
                <w:spacing w:val="0"/>
                <w:kern w:val="2"/>
                <w:sz w:val="24"/>
                <w:szCs w:val="24"/>
                <w:highlight w:val="none"/>
              </w:rPr>
            </w:pPr>
          </w:p>
        </w:tc>
      </w:tr>
      <w:tr w14:paraId="318C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640" w:type="dxa"/>
            <w:shd w:val="clear" w:color="auto" w:fill="auto"/>
            <w:vAlign w:val="center"/>
          </w:tcPr>
          <w:p w14:paraId="32A9098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567" w:type="dxa"/>
            <w:shd w:val="clear" w:color="auto" w:fill="auto"/>
            <w:vAlign w:val="center"/>
          </w:tcPr>
          <w:p w14:paraId="342BE7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w:t>
            </w:r>
            <w:r>
              <w:rPr>
                <w:rFonts w:hint="eastAsia" w:ascii="宋体" w:hAnsi="宋体" w:eastAsia="宋体" w:cs="宋体"/>
                <w:color w:val="auto"/>
                <w:sz w:val="24"/>
                <w:szCs w:val="24"/>
                <w:highlight w:val="none"/>
                <w:lang w:val="en-US" w:eastAsia="zh-CN"/>
              </w:rPr>
              <w:t>服务期</w:t>
            </w:r>
            <w:r>
              <w:rPr>
                <w:rFonts w:hint="eastAsia" w:ascii="宋体" w:hAnsi="宋体" w:eastAsia="宋体" w:cs="宋体"/>
                <w:color w:val="auto"/>
                <w:sz w:val="24"/>
                <w:szCs w:val="24"/>
                <w:highlight w:val="none"/>
              </w:rPr>
              <w:t>或相关进度安排要求；</w:t>
            </w:r>
          </w:p>
        </w:tc>
        <w:tc>
          <w:tcPr>
            <w:tcW w:w="733" w:type="dxa"/>
            <w:shd w:val="clear" w:color="auto" w:fill="auto"/>
            <w:vAlign w:val="center"/>
          </w:tcPr>
          <w:p w14:paraId="240CF6B6">
            <w:pPr>
              <w:spacing w:line="360" w:lineRule="auto"/>
              <w:jc w:val="center"/>
              <w:rPr>
                <w:rFonts w:hint="eastAsia" w:ascii="宋体" w:hAnsi="宋体" w:eastAsia="宋体" w:cs="宋体"/>
                <w:color w:val="auto"/>
                <w:sz w:val="24"/>
                <w:szCs w:val="24"/>
                <w:highlight w:val="none"/>
              </w:rPr>
            </w:pPr>
          </w:p>
        </w:tc>
        <w:tc>
          <w:tcPr>
            <w:tcW w:w="755" w:type="dxa"/>
            <w:shd w:val="clear" w:color="auto" w:fill="auto"/>
            <w:vAlign w:val="center"/>
          </w:tcPr>
          <w:p w14:paraId="5ECDD398">
            <w:pPr>
              <w:spacing w:line="360" w:lineRule="auto"/>
              <w:jc w:val="center"/>
              <w:rPr>
                <w:rFonts w:hint="eastAsia" w:ascii="宋体" w:hAnsi="宋体" w:eastAsia="宋体" w:cs="宋体"/>
                <w:color w:val="auto"/>
                <w:sz w:val="24"/>
                <w:szCs w:val="24"/>
                <w:highlight w:val="none"/>
              </w:rPr>
            </w:pPr>
          </w:p>
        </w:tc>
      </w:tr>
      <w:tr w14:paraId="0C88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640" w:type="dxa"/>
            <w:shd w:val="clear" w:color="auto" w:fill="auto"/>
            <w:vAlign w:val="center"/>
          </w:tcPr>
          <w:p w14:paraId="0911458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567" w:type="dxa"/>
            <w:shd w:val="clear" w:color="auto" w:fill="auto"/>
            <w:vAlign w:val="center"/>
          </w:tcPr>
          <w:p w14:paraId="077AF1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同意接受本项目的验收要求及验收标准；</w:t>
            </w:r>
          </w:p>
        </w:tc>
        <w:tc>
          <w:tcPr>
            <w:tcW w:w="733" w:type="dxa"/>
            <w:shd w:val="clear" w:color="auto" w:fill="auto"/>
            <w:vAlign w:val="center"/>
          </w:tcPr>
          <w:p w14:paraId="601E933E">
            <w:pPr>
              <w:spacing w:line="360" w:lineRule="auto"/>
              <w:jc w:val="center"/>
              <w:rPr>
                <w:rFonts w:hint="eastAsia" w:ascii="宋体" w:hAnsi="宋体" w:eastAsia="宋体" w:cs="宋体"/>
                <w:color w:val="auto"/>
                <w:sz w:val="24"/>
                <w:szCs w:val="24"/>
                <w:highlight w:val="none"/>
              </w:rPr>
            </w:pPr>
          </w:p>
        </w:tc>
        <w:tc>
          <w:tcPr>
            <w:tcW w:w="755" w:type="dxa"/>
            <w:shd w:val="clear" w:color="auto" w:fill="auto"/>
            <w:vAlign w:val="center"/>
          </w:tcPr>
          <w:p w14:paraId="03F355B9">
            <w:pPr>
              <w:spacing w:line="360" w:lineRule="auto"/>
              <w:jc w:val="center"/>
              <w:rPr>
                <w:rFonts w:hint="eastAsia" w:ascii="宋体" w:hAnsi="宋体" w:eastAsia="宋体" w:cs="宋体"/>
                <w:color w:val="auto"/>
                <w:sz w:val="24"/>
                <w:szCs w:val="24"/>
                <w:highlight w:val="none"/>
              </w:rPr>
            </w:pPr>
          </w:p>
        </w:tc>
      </w:tr>
      <w:tr w14:paraId="3DAB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1" w:hRule="exact"/>
        </w:trPr>
        <w:tc>
          <w:tcPr>
            <w:tcW w:w="640" w:type="dxa"/>
            <w:shd w:val="clear" w:color="auto" w:fill="auto"/>
            <w:vAlign w:val="center"/>
          </w:tcPr>
          <w:p w14:paraId="6637A0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6567" w:type="dxa"/>
            <w:shd w:val="clear" w:color="auto" w:fill="auto"/>
            <w:vAlign w:val="center"/>
          </w:tcPr>
          <w:p w14:paraId="695D0B3F">
            <w:pPr>
              <w:pStyle w:val="21"/>
              <w:spacing w:line="360" w:lineRule="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rPr>
              <w:t>同意采购人以任何形式对我方的响应文件内容的真实性和有效性进行审查、验证；</w:t>
            </w:r>
          </w:p>
        </w:tc>
        <w:tc>
          <w:tcPr>
            <w:tcW w:w="733" w:type="dxa"/>
            <w:shd w:val="clear" w:color="auto" w:fill="auto"/>
            <w:vAlign w:val="center"/>
          </w:tcPr>
          <w:p w14:paraId="4C7F6EF3">
            <w:pPr>
              <w:pStyle w:val="95"/>
              <w:numPr>
                <w:ilvl w:val="0"/>
                <w:numId w:val="0"/>
              </w:numPr>
              <w:spacing w:line="360" w:lineRule="auto"/>
              <w:rPr>
                <w:rFonts w:hint="eastAsia" w:ascii="宋体" w:hAnsi="宋体" w:eastAsia="宋体" w:cs="宋体"/>
                <w:color w:val="auto"/>
                <w:sz w:val="24"/>
                <w:szCs w:val="24"/>
                <w:highlight w:val="none"/>
              </w:rPr>
            </w:pPr>
          </w:p>
        </w:tc>
        <w:tc>
          <w:tcPr>
            <w:tcW w:w="755" w:type="dxa"/>
            <w:shd w:val="clear" w:color="auto" w:fill="auto"/>
            <w:vAlign w:val="center"/>
          </w:tcPr>
          <w:p w14:paraId="7E0DC938">
            <w:pPr>
              <w:pStyle w:val="94"/>
              <w:keepNext w:val="0"/>
              <w:adjustRightInd/>
              <w:spacing w:before="0" w:after="0" w:line="360" w:lineRule="auto"/>
              <w:jc w:val="both"/>
              <w:textAlignment w:val="auto"/>
              <w:rPr>
                <w:rFonts w:hint="eastAsia" w:ascii="宋体" w:hAnsi="宋体" w:eastAsia="宋体" w:cs="宋体"/>
                <w:snapToGrid/>
                <w:color w:val="auto"/>
                <w:spacing w:val="0"/>
                <w:kern w:val="2"/>
                <w:sz w:val="24"/>
                <w:szCs w:val="24"/>
                <w:highlight w:val="none"/>
              </w:rPr>
            </w:pPr>
          </w:p>
        </w:tc>
      </w:tr>
      <w:tr w14:paraId="51F2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640" w:type="dxa"/>
            <w:shd w:val="clear" w:color="auto" w:fill="auto"/>
            <w:vAlign w:val="center"/>
          </w:tcPr>
          <w:p w14:paraId="01D1AED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6567" w:type="dxa"/>
            <w:shd w:val="clear" w:color="auto" w:fill="auto"/>
            <w:vAlign w:val="center"/>
          </w:tcPr>
          <w:p w14:paraId="46AB1723">
            <w:pPr>
              <w:pStyle w:val="21"/>
              <w:spacing w:line="360" w:lineRule="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同意接受本项目付款的各项要求。</w:t>
            </w:r>
          </w:p>
        </w:tc>
        <w:tc>
          <w:tcPr>
            <w:tcW w:w="733" w:type="dxa"/>
            <w:shd w:val="clear" w:color="auto" w:fill="auto"/>
            <w:vAlign w:val="center"/>
          </w:tcPr>
          <w:p w14:paraId="4B4B368F">
            <w:pPr>
              <w:pStyle w:val="95"/>
              <w:numPr>
                <w:ilvl w:val="0"/>
                <w:numId w:val="0"/>
              </w:numPr>
              <w:spacing w:line="360" w:lineRule="auto"/>
              <w:rPr>
                <w:rFonts w:hint="eastAsia" w:ascii="宋体" w:hAnsi="宋体" w:eastAsia="宋体" w:cs="宋体"/>
                <w:color w:val="auto"/>
                <w:sz w:val="24"/>
                <w:szCs w:val="24"/>
                <w:highlight w:val="none"/>
              </w:rPr>
            </w:pPr>
          </w:p>
        </w:tc>
        <w:tc>
          <w:tcPr>
            <w:tcW w:w="755" w:type="dxa"/>
            <w:shd w:val="clear" w:color="auto" w:fill="auto"/>
            <w:vAlign w:val="center"/>
          </w:tcPr>
          <w:p w14:paraId="3F69C1D9">
            <w:pPr>
              <w:pStyle w:val="94"/>
              <w:keepNext w:val="0"/>
              <w:adjustRightInd/>
              <w:spacing w:before="0" w:after="0" w:line="360" w:lineRule="auto"/>
              <w:jc w:val="both"/>
              <w:textAlignment w:val="auto"/>
              <w:rPr>
                <w:rFonts w:hint="eastAsia" w:ascii="宋体" w:hAnsi="宋体" w:eastAsia="宋体" w:cs="宋体"/>
                <w:snapToGrid/>
                <w:color w:val="auto"/>
                <w:spacing w:val="0"/>
                <w:kern w:val="2"/>
                <w:sz w:val="24"/>
                <w:szCs w:val="24"/>
                <w:highlight w:val="none"/>
              </w:rPr>
            </w:pPr>
          </w:p>
        </w:tc>
      </w:tr>
      <w:tr w14:paraId="383E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3" w:hRule="exact"/>
        </w:trPr>
        <w:tc>
          <w:tcPr>
            <w:tcW w:w="640" w:type="dxa"/>
            <w:shd w:val="clear" w:color="auto" w:fill="auto"/>
            <w:vAlign w:val="center"/>
          </w:tcPr>
          <w:p w14:paraId="62012AE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6567" w:type="dxa"/>
            <w:shd w:val="clear" w:color="auto" w:fill="auto"/>
            <w:vAlign w:val="center"/>
          </w:tcPr>
          <w:p w14:paraId="4241EAA0">
            <w:pPr>
              <w:pStyle w:val="21"/>
              <w:spacing w:line="360" w:lineRule="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同意接受</w:t>
            </w:r>
            <w:r>
              <w:rPr>
                <w:rFonts w:hint="eastAsia" w:ascii="宋体" w:hAnsi="宋体" w:eastAsia="宋体" w:cs="宋体"/>
                <w:b w:val="0"/>
                <w:bCs w:val="0"/>
                <w:color w:val="auto"/>
                <w:kern w:val="2"/>
                <w:sz w:val="24"/>
                <w:szCs w:val="24"/>
                <w:highlight w:val="none"/>
              </w:rPr>
              <w:t>本项目</w:t>
            </w:r>
            <w:r>
              <w:rPr>
                <w:rFonts w:hint="eastAsia" w:ascii="宋体" w:hAnsi="宋体" w:eastAsia="宋体" w:cs="宋体"/>
                <w:b w:val="0"/>
                <w:bCs w:val="0"/>
                <w:color w:val="auto"/>
                <w:kern w:val="2"/>
                <w:sz w:val="24"/>
                <w:szCs w:val="24"/>
                <w:highlight w:val="none"/>
                <w:lang w:val="en-US" w:eastAsia="zh-CN"/>
              </w:rPr>
              <w:t>“第四章 项目技术要求”商务全部内容。</w:t>
            </w:r>
          </w:p>
        </w:tc>
        <w:tc>
          <w:tcPr>
            <w:tcW w:w="733" w:type="dxa"/>
            <w:shd w:val="clear" w:color="auto" w:fill="auto"/>
            <w:vAlign w:val="center"/>
          </w:tcPr>
          <w:p w14:paraId="13B353D7">
            <w:pPr>
              <w:pStyle w:val="95"/>
              <w:numPr>
                <w:ilvl w:val="0"/>
                <w:numId w:val="0"/>
              </w:numPr>
              <w:spacing w:line="360" w:lineRule="auto"/>
              <w:rPr>
                <w:rFonts w:hint="eastAsia" w:ascii="宋体" w:hAnsi="宋体" w:eastAsia="宋体" w:cs="宋体"/>
                <w:color w:val="auto"/>
                <w:sz w:val="24"/>
                <w:szCs w:val="24"/>
                <w:highlight w:val="none"/>
              </w:rPr>
            </w:pPr>
          </w:p>
        </w:tc>
        <w:tc>
          <w:tcPr>
            <w:tcW w:w="755" w:type="dxa"/>
            <w:shd w:val="clear" w:color="auto" w:fill="auto"/>
            <w:vAlign w:val="center"/>
          </w:tcPr>
          <w:p w14:paraId="74675589">
            <w:pPr>
              <w:pStyle w:val="94"/>
              <w:keepNext w:val="0"/>
              <w:adjustRightInd/>
              <w:spacing w:before="0" w:after="0" w:line="360" w:lineRule="auto"/>
              <w:jc w:val="both"/>
              <w:textAlignment w:val="auto"/>
              <w:rPr>
                <w:rFonts w:hint="eastAsia" w:ascii="宋体" w:hAnsi="宋体" w:eastAsia="宋体" w:cs="宋体"/>
                <w:snapToGrid/>
                <w:color w:val="auto"/>
                <w:spacing w:val="0"/>
                <w:kern w:val="2"/>
                <w:sz w:val="24"/>
                <w:szCs w:val="24"/>
                <w:highlight w:val="none"/>
              </w:rPr>
            </w:pPr>
          </w:p>
        </w:tc>
      </w:tr>
    </w:tbl>
    <w:p w14:paraId="19273F6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55016B0E">
      <w:pPr>
        <w:spacing w:line="360" w:lineRule="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1、对</w:t>
      </w:r>
      <w:r>
        <w:rPr>
          <w:rFonts w:hint="eastAsia" w:ascii="宋体" w:hAnsi="宋体" w:eastAsia="宋体" w:cs="宋体"/>
          <w:color w:val="auto"/>
          <w:sz w:val="24"/>
          <w:szCs w:val="24"/>
          <w:highlight w:val="none"/>
          <w:lang w:val="en-GB"/>
        </w:rPr>
        <w:t>于上述要求，如</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GB"/>
        </w:rPr>
        <w:t>完全响应，则请在“是否响应”栏内打“√”，对打“×”视为偏离，请在“偏离说明”栏内扼要说明偏离情况；</w:t>
      </w:r>
    </w:p>
    <w:p w14:paraId="1481E62C">
      <w:pPr>
        <w:spacing w:line="360" w:lineRule="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2、供应商</w:t>
      </w:r>
      <w:r>
        <w:rPr>
          <w:rFonts w:hint="eastAsia" w:ascii="宋体" w:hAnsi="宋体" w:eastAsia="宋体" w:cs="宋体"/>
          <w:color w:val="auto"/>
          <w:sz w:val="24"/>
          <w:szCs w:val="24"/>
          <w:highlight w:val="none"/>
          <w:lang w:val="en-GB"/>
        </w:rPr>
        <w:t>应认真填写本响应表，若磋商小组在评审期间，发现有虚假填写本响应表的，则将可能被视为存在两个</w:t>
      </w:r>
      <w:r>
        <w:rPr>
          <w:rFonts w:hint="eastAsia" w:ascii="宋体" w:hAnsi="宋体" w:eastAsia="宋体" w:cs="宋体"/>
          <w:color w:val="auto"/>
          <w:sz w:val="24"/>
          <w:szCs w:val="24"/>
          <w:highlight w:val="none"/>
        </w:rPr>
        <w:t>响应方案</w:t>
      </w:r>
      <w:r>
        <w:rPr>
          <w:rFonts w:hint="eastAsia" w:ascii="宋体" w:hAnsi="宋体" w:eastAsia="宋体" w:cs="宋体"/>
          <w:color w:val="auto"/>
          <w:sz w:val="24"/>
          <w:szCs w:val="24"/>
          <w:highlight w:val="none"/>
          <w:lang w:val="en-GB"/>
        </w:rPr>
        <w:t>，磋商小组将按本</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en-GB"/>
        </w:rPr>
        <w:t>文件相关规定执行；</w:t>
      </w:r>
    </w:p>
    <w:p w14:paraId="3887C64B">
      <w:pPr>
        <w:spacing w:line="360" w:lineRule="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GB"/>
        </w:rPr>
        <w:t>本表内容不得擅自修改。</w:t>
      </w:r>
    </w:p>
    <w:p w14:paraId="424A2A1B">
      <w:pPr>
        <w:pStyle w:val="14"/>
        <w:spacing w:after="0" w:line="360" w:lineRule="auto"/>
        <w:ind w:left="0" w:leftChars="0"/>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供应商名称（盖章）：</w:t>
      </w:r>
    </w:p>
    <w:p w14:paraId="0AA44F6C">
      <w:pPr>
        <w:pStyle w:val="14"/>
        <w:spacing w:after="0" w:line="360" w:lineRule="auto"/>
        <w:ind w:left="0" w:left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法定代表人</w:t>
      </w:r>
      <w:r>
        <w:rPr>
          <w:rFonts w:hint="eastAsia" w:ascii="宋体" w:hAnsi="宋体" w:eastAsia="宋体" w:cs="宋体"/>
          <w:bCs/>
          <w:color w:val="auto"/>
          <w:sz w:val="24"/>
          <w:szCs w:val="24"/>
          <w:highlight w:val="none"/>
        </w:rPr>
        <w:t>和被授权人（签字或盖章）：</w:t>
      </w:r>
    </w:p>
    <w:p w14:paraId="7E58FA5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年  月  日</w:t>
      </w:r>
    </w:p>
    <w:p w14:paraId="36C4D5BD">
      <w:pPr>
        <w:rPr>
          <w:rFonts w:hint="eastAsia" w:ascii="仿宋" w:hAnsi="仿宋" w:eastAsia="仿宋" w:cs="仿宋"/>
          <w:sz w:val="24"/>
          <w:highlight w:val="none"/>
        </w:rPr>
      </w:pPr>
      <w:r>
        <w:rPr>
          <w:rFonts w:hint="eastAsia" w:ascii="宋体" w:hAnsi="宋体" w:eastAsia="宋体" w:cs="宋体"/>
          <w:color w:val="auto"/>
          <w:sz w:val="24"/>
          <w:szCs w:val="24"/>
          <w:highlight w:val="none"/>
          <w:lang w:val="en-GB"/>
        </w:rPr>
        <w:br w:type="page"/>
      </w:r>
      <w:bookmarkStart w:id="213" w:name="_Toc13080"/>
      <w:bookmarkStart w:id="214" w:name="_Toc4488"/>
      <w:bookmarkStart w:id="215" w:name="_Toc17364"/>
    </w:p>
    <w:p w14:paraId="6EF38F5E">
      <w:pPr>
        <w:pStyle w:val="28"/>
        <w:spacing w:line="360" w:lineRule="auto"/>
        <w:ind w:firstLine="0"/>
        <w:jc w:val="center"/>
        <w:outlineLvl w:val="1"/>
        <w:rPr>
          <w:rFonts w:hint="eastAsia" w:ascii="宋体" w:hAnsi="宋体" w:eastAsia="宋体" w:cs="宋体"/>
          <w:b/>
          <w:bCs/>
          <w:color w:val="auto"/>
          <w:sz w:val="24"/>
          <w:szCs w:val="24"/>
          <w:highlight w:val="none"/>
        </w:rPr>
      </w:pPr>
      <w:bookmarkStart w:id="216" w:name="_Toc15492"/>
      <w:bookmarkStart w:id="217" w:name="_Toc6121"/>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方案</w:t>
      </w:r>
      <w:bookmarkEnd w:id="216"/>
      <w:bookmarkEnd w:id="217"/>
    </w:p>
    <w:p w14:paraId="7CB56E52">
      <w:pPr>
        <w:spacing w:line="360" w:lineRule="auto"/>
        <w:rPr>
          <w:rFonts w:hint="eastAsia" w:ascii="宋体" w:hAnsi="宋体" w:eastAsia="宋体" w:cs="宋体"/>
          <w:color w:val="auto"/>
          <w:sz w:val="24"/>
          <w:szCs w:val="24"/>
          <w:highlight w:val="none"/>
        </w:rPr>
      </w:pPr>
    </w:p>
    <w:p w14:paraId="0F42DA6C">
      <w:pPr>
        <w:numPr>
          <w:ilvl w:val="0"/>
          <w:numId w:val="0"/>
        </w:numPr>
        <w:spacing w:line="360" w:lineRule="auto"/>
        <w:jc w:val="both"/>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供应商应根据采购文件要求和本项目的具体情况，自行编制</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方案，格式自拟</w:t>
      </w:r>
      <w:r>
        <w:rPr>
          <w:rFonts w:hint="eastAsia" w:ascii="宋体" w:hAnsi="宋体" w:eastAsia="宋体" w:cs="宋体"/>
          <w:color w:val="auto"/>
          <w:sz w:val="24"/>
          <w:szCs w:val="24"/>
          <w:highlight w:val="none"/>
          <w:lang w:eastAsia="zh-CN"/>
        </w:rPr>
        <w:t>。</w:t>
      </w:r>
    </w:p>
    <w:p w14:paraId="3DE3BCED">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3C3FA5BF">
      <w:pPr>
        <w:pStyle w:val="13"/>
        <w:spacing w:line="360" w:lineRule="auto"/>
        <w:ind w:firstLine="482" w:firstLineChars="200"/>
        <w:jc w:val="center"/>
        <w:outlineLvl w:val="1"/>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九</w:t>
      </w:r>
      <w:r>
        <w:rPr>
          <w:rFonts w:hint="eastAsia" w:ascii="宋体" w:hAnsi="宋体" w:eastAsia="宋体" w:cs="宋体"/>
          <w:b/>
          <w:bCs/>
          <w:color w:val="auto"/>
          <w:kern w:val="0"/>
          <w:sz w:val="24"/>
          <w:szCs w:val="24"/>
          <w:highlight w:val="none"/>
        </w:rPr>
        <w:t>、政府采购政策</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如有</w:t>
      </w:r>
      <w:r>
        <w:rPr>
          <w:rFonts w:hint="eastAsia" w:ascii="宋体" w:hAnsi="宋体" w:eastAsia="宋体" w:cs="宋体"/>
          <w:b/>
          <w:bCs/>
          <w:color w:val="auto"/>
          <w:kern w:val="0"/>
          <w:sz w:val="24"/>
          <w:szCs w:val="24"/>
          <w:highlight w:val="none"/>
          <w:lang w:eastAsia="zh-CN"/>
        </w:rPr>
        <w:t>）</w:t>
      </w:r>
      <w:bookmarkEnd w:id="213"/>
      <w:bookmarkEnd w:id="214"/>
    </w:p>
    <w:p w14:paraId="20BAA6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1.以下《中小微企业声明函》《监狱企业的证明文件》及《残疾人福利性单位声明函》投标人根据自身的实际情况选用（如有）。</w:t>
      </w:r>
    </w:p>
    <w:p w14:paraId="017136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2.投标人同时为小型（或微型）企业、监狱企业、残疾人福利性单位任两种或以上情况的，在评审中只享受一次价格扣除（或评审得分优惠），不重复进行价格扣除。</w:t>
      </w:r>
    </w:p>
    <w:p w14:paraId="32DCB216">
      <w:pPr>
        <w:pStyle w:val="13"/>
        <w:spacing w:line="360" w:lineRule="auto"/>
        <w:ind w:firstLine="480" w:firstLineChars="200"/>
        <w:jc w:val="center"/>
        <w:outlineLvl w:val="1"/>
        <w:rPr>
          <w:rFonts w:hint="eastAsia" w:ascii="宋体" w:hAnsi="宋体" w:eastAsia="宋体" w:cs="宋体"/>
          <w:bCs/>
          <w:color w:val="auto"/>
          <w:sz w:val="24"/>
          <w:highlight w:val="none"/>
        </w:rPr>
      </w:pPr>
      <w:bookmarkStart w:id="218" w:name="_Toc26490"/>
      <w:bookmarkStart w:id="219" w:name="_Toc3521"/>
      <w:bookmarkStart w:id="220" w:name="_Toc31196"/>
      <w:r>
        <w:rPr>
          <w:rFonts w:hint="eastAsia" w:ascii="宋体" w:hAnsi="宋体" w:eastAsia="宋体" w:cs="宋体"/>
          <w:bCs/>
          <w:color w:val="auto"/>
          <w:sz w:val="24"/>
          <w:highlight w:val="none"/>
        </w:rPr>
        <w:t>（一）中小企业声明函</w:t>
      </w:r>
      <w:bookmarkEnd w:id="218"/>
      <w:bookmarkEnd w:id="219"/>
      <w:bookmarkEnd w:id="220"/>
    </w:p>
    <w:p w14:paraId="4396FDD3">
      <w:pPr>
        <w:pStyle w:val="13"/>
        <w:spacing w:line="360" w:lineRule="auto"/>
        <w:ind w:firstLine="480" w:firstLineChars="200"/>
        <w:rPr>
          <w:rFonts w:hint="eastAsia" w:ascii="宋体" w:hAnsi="宋体" w:eastAsia="宋体" w:cs="宋体"/>
          <w:bCs/>
          <w:color w:val="auto"/>
          <w:sz w:val="24"/>
          <w:highlight w:val="none"/>
        </w:rPr>
      </w:pPr>
    </w:p>
    <w:p w14:paraId="4D99E386">
      <w:pPr>
        <w:pStyle w:val="13"/>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本公司（联合体）郑重声明，根据《政府采购促进中小企业发展管理办法》（财库﹝2020﹞46号）的规定，本公司（联合体）参加</w:t>
      </w:r>
      <w:r>
        <w:rPr>
          <w:rFonts w:hint="eastAsia" w:ascii="宋体" w:hAnsi="宋体" w:eastAsia="宋体" w:cs="宋体"/>
          <w:bCs/>
          <w:color w:val="auto"/>
          <w:sz w:val="24"/>
          <w:highlight w:val="none"/>
          <w:u w:val="single"/>
        </w:rPr>
        <w:t>（单位名称）</w:t>
      </w:r>
      <w:r>
        <w:rPr>
          <w:rFonts w:hint="eastAsia" w:ascii="宋体" w:hAnsi="宋体" w:eastAsia="宋体" w:cs="宋体"/>
          <w:bCs/>
          <w:color w:val="auto"/>
          <w:sz w:val="24"/>
          <w:highlight w:val="none"/>
        </w:rPr>
        <w:t>的</w:t>
      </w:r>
      <w:r>
        <w:rPr>
          <w:rFonts w:hint="eastAsia" w:ascii="宋体" w:hAnsi="宋体" w:eastAsia="宋体" w:cs="宋体"/>
          <w:bCs/>
          <w:color w:val="auto"/>
          <w:sz w:val="24"/>
          <w:highlight w:val="none"/>
          <w:u w:val="single"/>
        </w:rPr>
        <w:t>（项目名称）</w:t>
      </w:r>
      <w:r>
        <w:rPr>
          <w:rFonts w:hint="eastAsia" w:ascii="宋体" w:hAnsi="宋体" w:eastAsia="宋体" w:cs="宋体"/>
          <w:bCs/>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4E1280A">
      <w:pPr>
        <w:pStyle w:val="13"/>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u w:val="single"/>
        </w:rPr>
        <w:t xml:space="preserve"> （标的名称）</w:t>
      </w:r>
      <w:r>
        <w:rPr>
          <w:rFonts w:hint="eastAsia" w:ascii="宋体" w:hAnsi="宋体" w:eastAsia="宋体" w:cs="宋体"/>
          <w:bCs/>
          <w:color w:val="auto"/>
          <w:sz w:val="24"/>
          <w:highlight w:val="none"/>
        </w:rPr>
        <w:t>，属于</w:t>
      </w:r>
      <w:r>
        <w:rPr>
          <w:rFonts w:hint="eastAsia" w:ascii="宋体" w:hAnsi="宋体" w:eastAsia="宋体" w:cs="宋体"/>
          <w:bCs/>
          <w:color w:val="auto"/>
          <w:sz w:val="24"/>
          <w:highlight w:val="none"/>
          <w:u w:val="single"/>
        </w:rPr>
        <w:t>（采购文件中明确的所属行业）行业</w:t>
      </w:r>
      <w:r>
        <w:rPr>
          <w:rFonts w:hint="eastAsia" w:ascii="宋体" w:hAnsi="宋体" w:eastAsia="宋体" w:cs="宋体"/>
          <w:bCs/>
          <w:color w:val="auto"/>
          <w:sz w:val="24"/>
          <w:highlight w:val="none"/>
        </w:rPr>
        <w:t>；承建（承接）企业为</w:t>
      </w:r>
      <w:r>
        <w:rPr>
          <w:rFonts w:hint="eastAsia" w:ascii="宋体" w:hAnsi="宋体" w:eastAsia="宋体" w:cs="宋体"/>
          <w:bCs/>
          <w:color w:val="auto"/>
          <w:sz w:val="24"/>
          <w:highlight w:val="none"/>
          <w:u w:val="single"/>
        </w:rPr>
        <w:t>（企业名称）</w:t>
      </w:r>
      <w:r>
        <w:rPr>
          <w:rFonts w:hint="eastAsia" w:ascii="宋体" w:hAnsi="宋体" w:eastAsia="宋体" w:cs="宋体"/>
          <w:bCs/>
          <w:color w:val="auto"/>
          <w:sz w:val="24"/>
          <w:highlight w:val="none"/>
        </w:rPr>
        <w:t>，从业人员</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人，营业收入为</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万元，资产总额为</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万元</w:t>
      </w:r>
      <w:r>
        <w:rPr>
          <w:rFonts w:hint="eastAsia" w:ascii="宋体" w:hAnsi="宋体" w:eastAsia="宋体" w:cs="宋体"/>
          <w:bCs/>
          <w:color w:val="auto"/>
          <w:sz w:val="24"/>
          <w:highlight w:val="none"/>
          <w:vertAlign w:val="superscript"/>
        </w:rPr>
        <w:t>1</w:t>
      </w:r>
      <w:r>
        <w:rPr>
          <w:rFonts w:hint="eastAsia" w:ascii="宋体" w:hAnsi="宋体" w:eastAsia="宋体" w:cs="宋体"/>
          <w:bCs/>
          <w:color w:val="auto"/>
          <w:sz w:val="24"/>
          <w:highlight w:val="none"/>
        </w:rPr>
        <w:t>，属于（中型企业、小型企业、微型企业）；</w:t>
      </w:r>
    </w:p>
    <w:p w14:paraId="32353480">
      <w:pPr>
        <w:pStyle w:val="13"/>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u w:val="single"/>
        </w:rPr>
        <w:t xml:space="preserve"> （标的名称）</w:t>
      </w:r>
      <w:r>
        <w:rPr>
          <w:rFonts w:hint="eastAsia" w:ascii="宋体" w:hAnsi="宋体" w:eastAsia="宋体" w:cs="宋体"/>
          <w:bCs/>
          <w:color w:val="auto"/>
          <w:sz w:val="24"/>
          <w:highlight w:val="none"/>
        </w:rPr>
        <w:t>，属于</w:t>
      </w:r>
      <w:r>
        <w:rPr>
          <w:rFonts w:hint="eastAsia" w:ascii="宋体" w:hAnsi="宋体" w:eastAsia="宋体" w:cs="宋体"/>
          <w:bCs/>
          <w:color w:val="auto"/>
          <w:sz w:val="24"/>
          <w:highlight w:val="none"/>
          <w:u w:val="single"/>
        </w:rPr>
        <w:t>（采购文件中明确的所属行业）行业</w:t>
      </w:r>
      <w:r>
        <w:rPr>
          <w:rFonts w:hint="eastAsia" w:ascii="宋体" w:hAnsi="宋体" w:eastAsia="宋体" w:cs="宋体"/>
          <w:bCs/>
          <w:color w:val="auto"/>
          <w:sz w:val="24"/>
          <w:highlight w:val="none"/>
        </w:rPr>
        <w:t>；承建（承接）企业</w:t>
      </w:r>
      <w:r>
        <w:rPr>
          <w:rFonts w:hint="eastAsia" w:ascii="宋体" w:hAnsi="宋体" w:eastAsia="宋体" w:cs="宋体"/>
          <w:bCs/>
          <w:color w:val="auto"/>
          <w:sz w:val="24"/>
          <w:highlight w:val="none"/>
          <w:u w:val="single"/>
        </w:rPr>
        <w:t>（企业名称）</w:t>
      </w:r>
      <w:r>
        <w:rPr>
          <w:rFonts w:hint="eastAsia" w:ascii="宋体" w:hAnsi="宋体" w:eastAsia="宋体" w:cs="宋体"/>
          <w:bCs/>
          <w:color w:val="auto"/>
          <w:sz w:val="24"/>
          <w:highlight w:val="none"/>
        </w:rPr>
        <w:t>，从业人员</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人，营业收入为</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万元，资产总额为</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万元，属于</w:t>
      </w:r>
      <w:r>
        <w:rPr>
          <w:rFonts w:hint="eastAsia" w:ascii="宋体" w:hAnsi="宋体" w:eastAsia="宋体" w:cs="宋体"/>
          <w:bCs/>
          <w:color w:val="auto"/>
          <w:sz w:val="24"/>
          <w:highlight w:val="none"/>
          <w:u w:val="single"/>
        </w:rPr>
        <w:t>（中型企业、小型企业、微型企业）</w:t>
      </w:r>
      <w:r>
        <w:rPr>
          <w:rFonts w:hint="eastAsia" w:ascii="宋体" w:hAnsi="宋体" w:eastAsia="宋体" w:cs="宋体"/>
          <w:bCs/>
          <w:color w:val="auto"/>
          <w:sz w:val="24"/>
          <w:highlight w:val="none"/>
        </w:rPr>
        <w:t>；</w:t>
      </w:r>
    </w:p>
    <w:p w14:paraId="21D5B382">
      <w:pPr>
        <w:pStyle w:val="13"/>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p>
    <w:p w14:paraId="7C059605">
      <w:pPr>
        <w:pStyle w:val="13"/>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以上企业，不属于大企业的分支机构，不存在控股股东为大企业的情形，也不存在与大企业的负责人为同一人的情形。</w:t>
      </w:r>
    </w:p>
    <w:p w14:paraId="3E294798">
      <w:pPr>
        <w:pStyle w:val="13"/>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本企业对上述声明内容的真实性负责。如有虚假，将依法承担相应责任。</w:t>
      </w:r>
    </w:p>
    <w:p w14:paraId="136AB72B">
      <w:pPr>
        <w:pStyle w:val="13"/>
        <w:spacing w:line="360" w:lineRule="auto"/>
        <w:ind w:firstLine="480" w:firstLineChars="2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1026FEF9">
      <w:pPr>
        <w:pStyle w:val="13"/>
        <w:spacing w:line="360" w:lineRule="auto"/>
        <w:ind w:firstLine="480" w:firstLineChars="2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企业名称（盖章）：</w:t>
      </w:r>
    </w:p>
    <w:p w14:paraId="2DADF2DB">
      <w:pPr>
        <w:pStyle w:val="13"/>
        <w:spacing w:line="360" w:lineRule="auto"/>
        <w:ind w:firstLine="480" w:firstLineChars="2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 期：</w:t>
      </w:r>
      <w:r>
        <w:rPr>
          <w:rFonts w:hint="eastAsia" w:ascii="宋体" w:hAnsi="宋体" w:eastAsia="宋体" w:cs="宋体"/>
          <w:bCs/>
          <w:color w:val="auto"/>
          <w:spacing w:val="6"/>
          <w:sz w:val="24"/>
          <w:highlight w:val="none"/>
        </w:rPr>
        <w:t xml:space="preserve">  年  月  日</w:t>
      </w:r>
    </w:p>
    <w:p w14:paraId="7A8E17F1">
      <w:pPr>
        <w:pStyle w:val="13"/>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备注：从业人员、营业收入、资产总额填报上一年度数据，无上一年度数据的新成立企业可不填报。</w:t>
      </w:r>
    </w:p>
    <w:p w14:paraId="779430CE">
      <w:pPr>
        <w:spacing w:line="360" w:lineRule="auto"/>
        <w:rPr>
          <w:rFonts w:hint="eastAsia" w:ascii="宋体" w:hAnsi="宋体" w:eastAsia="宋体" w:cs="宋体"/>
          <w:color w:val="auto"/>
          <w:sz w:val="24"/>
          <w:szCs w:val="24"/>
          <w:highlight w:val="none"/>
        </w:rPr>
      </w:pPr>
    </w:p>
    <w:p w14:paraId="560F83B3">
      <w:pPr>
        <w:spacing w:line="360" w:lineRule="auto"/>
        <w:jc w:val="center"/>
        <w:outlineLvl w:val="1"/>
        <w:rPr>
          <w:rFonts w:hint="eastAsia" w:ascii="宋体" w:hAnsi="宋体" w:eastAsia="宋体" w:cs="宋体"/>
          <w:b/>
          <w:color w:val="auto"/>
          <w:spacing w:val="6"/>
          <w:sz w:val="24"/>
          <w:szCs w:val="24"/>
          <w:highlight w:val="none"/>
        </w:rPr>
      </w:pPr>
      <w:r>
        <w:rPr>
          <w:rFonts w:hint="eastAsia" w:ascii="宋体" w:hAnsi="宋体" w:eastAsia="宋体" w:cs="宋体"/>
          <w:b/>
          <w:bCs/>
          <w:color w:val="auto"/>
          <w:kern w:val="0"/>
          <w:sz w:val="24"/>
          <w:szCs w:val="24"/>
          <w:highlight w:val="none"/>
        </w:rPr>
        <w:br w:type="page"/>
      </w:r>
      <w:bookmarkStart w:id="221" w:name="_Toc6178"/>
      <w:bookmarkStart w:id="222" w:name="_Toc11627"/>
      <w:r>
        <w:rPr>
          <w:rFonts w:hint="eastAsia" w:ascii="宋体" w:hAnsi="宋体" w:eastAsia="宋体" w:cs="宋体"/>
          <w:b/>
          <w:bCs/>
          <w:color w:val="auto"/>
          <w:sz w:val="24"/>
          <w:szCs w:val="24"/>
          <w:highlight w:val="none"/>
        </w:rPr>
        <w:t>（二）</w:t>
      </w:r>
      <w:bookmarkStart w:id="223" w:name="OLE_LINK13"/>
      <w:bookmarkStart w:id="224" w:name="OLE_LINK14"/>
      <w:r>
        <w:rPr>
          <w:rFonts w:hint="eastAsia" w:ascii="宋体" w:hAnsi="宋体" w:eastAsia="宋体" w:cs="宋体"/>
          <w:b/>
          <w:color w:val="auto"/>
          <w:spacing w:val="6"/>
          <w:sz w:val="24"/>
          <w:szCs w:val="24"/>
          <w:highlight w:val="none"/>
        </w:rPr>
        <w:t>残疾人福利性单位声明函</w:t>
      </w:r>
      <w:r>
        <w:rPr>
          <w:rFonts w:hint="eastAsia" w:ascii="宋体" w:hAnsi="宋体" w:eastAsia="宋体" w:cs="宋体"/>
          <w:b/>
          <w:color w:val="auto"/>
          <w:sz w:val="24"/>
          <w:szCs w:val="24"/>
          <w:highlight w:val="none"/>
        </w:rPr>
        <w:t>（如有）</w:t>
      </w:r>
      <w:bookmarkEnd w:id="221"/>
      <w:bookmarkEnd w:id="222"/>
    </w:p>
    <w:bookmarkEnd w:id="223"/>
    <w:bookmarkEnd w:id="224"/>
    <w:p w14:paraId="71A9EEBA">
      <w:pPr>
        <w:spacing w:line="360" w:lineRule="auto"/>
        <w:rPr>
          <w:rFonts w:hint="eastAsia" w:ascii="宋体" w:hAnsi="宋体" w:eastAsia="宋体" w:cs="宋体"/>
          <w:b/>
          <w:color w:val="auto"/>
          <w:spacing w:val="6"/>
          <w:sz w:val="24"/>
          <w:szCs w:val="24"/>
          <w:highlight w:val="none"/>
        </w:rPr>
      </w:pPr>
    </w:p>
    <w:p w14:paraId="16379164">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项目投标活动提供本单位制造的货物（由本单位承担工程/提供服务），或者提供其他残疾人福利性单位制造的货物（不包括使用非残疾人福利性单位注册商标的货物）。</w:t>
      </w:r>
    </w:p>
    <w:p w14:paraId="0CE06325">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597EC866">
      <w:pPr>
        <w:spacing w:line="360" w:lineRule="auto"/>
        <w:ind w:firstLine="504" w:firstLineChars="200"/>
        <w:rPr>
          <w:rFonts w:hint="eastAsia" w:ascii="宋体" w:hAnsi="宋体" w:eastAsia="宋体" w:cs="宋体"/>
          <w:color w:val="auto"/>
          <w:spacing w:val="6"/>
          <w:sz w:val="24"/>
          <w:szCs w:val="24"/>
          <w:highlight w:val="none"/>
        </w:rPr>
      </w:pPr>
    </w:p>
    <w:p w14:paraId="70691B00">
      <w:pPr>
        <w:spacing w:line="360" w:lineRule="auto"/>
        <w:ind w:firstLine="504" w:firstLineChars="200"/>
        <w:rPr>
          <w:rFonts w:hint="eastAsia" w:ascii="宋体" w:hAnsi="宋体" w:eastAsia="宋体" w:cs="宋体"/>
          <w:color w:val="auto"/>
          <w:spacing w:val="6"/>
          <w:sz w:val="24"/>
          <w:szCs w:val="24"/>
          <w:highlight w:val="none"/>
        </w:rPr>
      </w:pPr>
    </w:p>
    <w:p w14:paraId="3650D2A0">
      <w:pPr>
        <w:tabs>
          <w:tab w:val="left" w:pos="4860"/>
        </w:tabs>
        <w:spacing w:line="360" w:lineRule="auto"/>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单位名称（盖章）：</w:t>
      </w:r>
    </w:p>
    <w:p w14:paraId="6AD38A66">
      <w:pPr>
        <w:tabs>
          <w:tab w:val="left" w:pos="4860"/>
        </w:tabs>
        <w:spacing w:line="360" w:lineRule="auto"/>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0F396C04">
      <w:pPr>
        <w:widowControl/>
        <w:adjustRightInd w:val="0"/>
        <w:snapToGrid w:val="0"/>
        <w:spacing w:line="360" w:lineRule="auto"/>
        <w:rPr>
          <w:rFonts w:hint="eastAsia" w:ascii="宋体" w:hAnsi="宋体" w:eastAsia="宋体" w:cs="宋体"/>
          <w:color w:val="auto"/>
          <w:sz w:val="24"/>
          <w:szCs w:val="24"/>
          <w:highlight w:val="none"/>
        </w:rPr>
      </w:pPr>
    </w:p>
    <w:p w14:paraId="1E0D824A">
      <w:pPr>
        <w:spacing w:line="360" w:lineRule="auto"/>
        <w:jc w:val="left"/>
        <w:rPr>
          <w:rFonts w:hint="eastAsia" w:ascii="宋体" w:hAnsi="宋体" w:eastAsia="宋体" w:cs="宋体"/>
          <w:bCs/>
          <w:color w:val="auto"/>
          <w:sz w:val="24"/>
          <w:szCs w:val="24"/>
          <w:highlight w:val="none"/>
        </w:rPr>
      </w:pPr>
    </w:p>
    <w:p w14:paraId="02233BB3">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备注：须提供证明材料（能反映出企业残疾人的占比等情况的材料及残疾人证等）。</w:t>
      </w:r>
    </w:p>
    <w:p w14:paraId="4F314E13">
      <w:pPr>
        <w:spacing w:line="360" w:lineRule="auto"/>
        <w:jc w:val="center"/>
        <w:rPr>
          <w:rFonts w:hint="eastAsia" w:ascii="宋体" w:hAnsi="宋体" w:eastAsia="宋体" w:cs="宋体"/>
          <w:b/>
          <w:bCs/>
          <w:color w:val="auto"/>
          <w:sz w:val="24"/>
          <w:szCs w:val="24"/>
          <w:highlight w:val="none"/>
        </w:rPr>
      </w:pPr>
    </w:p>
    <w:p w14:paraId="1799AD98">
      <w:pPr>
        <w:spacing w:line="360" w:lineRule="auto"/>
        <w:jc w:val="center"/>
        <w:rPr>
          <w:rFonts w:hint="eastAsia" w:ascii="宋体" w:hAnsi="宋体" w:eastAsia="宋体" w:cs="宋体"/>
          <w:b/>
          <w:bCs/>
          <w:color w:val="auto"/>
          <w:sz w:val="24"/>
          <w:szCs w:val="24"/>
          <w:highlight w:val="none"/>
        </w:rPr>
      </w:pPr>
    </w:p>
    <w:p w14:paraId="03C1C6CE">
      <w:pPr>
        <w:widowControl/>
        <w:spacing w:line="360" w:lineRule="auto"/>
        <w:jc w:val="center"/>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bookmarkStart w:id="225" w:name="_Toc18914"/>
      <w:bookmarkStart w:id="226" w:name="_Toc30384"/>
      <w:r>
        <w:rPr>
          <w:rFonts w:hint="eastAsia" w:ascii="宋体" w:hAnsi="宋体" w:eastAsia="宋体" w:cs="宋体"/>
          <w:b/>
          <w:color w:val="auto"/>
          <w:sz w:val="24"/>
          <w:szCs w:val="24"/>
          <w:highlight w:val="none"/>
        </w:rPr>
        <w:t>（三）监狱企业证明文件（如有）</w:t>
      </w:r>
      <w:bookmarkEnd w:id="225"/>
      <w:bookmarkEnd w:id="226"/>
    </w:p>
    <w:p w14:paraId="6B3A18D3">
      <w:pPr>
        <w:spacing w:line="360" w:lineRule="auto"/>
        <w:ind w:firstLine="480" w:firstLineChars="200"/>
        <w:jc w:val="left"/>
        <w:rPr>
          <w:rFonts w:hint="eastAsia" w:ascii="宋体" w:hAnsi="宋体" w:eastAsia="宋体" w:cs="宋体"/>
          <w:color w:val="auto"/>
          <w:sz w:val="24"/>
          <w:szCs w:val="24"/>
          <w:highlight w:val="none"/>
        </w:rPr>
      </w:pPr>
    </w:p>
    <w:p w14:paraId="7954448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E637AF3">
      <w:pPr>
        <w:pStyle w:val="13"/>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2.证明材料加盖供应商公章。</w:t>
      </w:r>
    </w:p>
    <w:p w14:paraId="17F498C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6A9396D">
      <w:pPr>
        <w:pStyle w:val="13"/>
        <w:pageBreakBefore w:val="0"/>
        <w:kinsoku/>
        <w:wordWrap/>
        <w:overflowPunct/>
        <w:topLinePunct w:val="0"/>
        <w:bidi w:val="0"/>
        <w:spacing w:after="0" w:line="360" w:lineRule="auto"/>
        <w:ind w:left="0" w:leftChars="0"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关于符合本国产品标准的声明函</w:t>
      </w:r>
      <w:r>
        <w:rPr>
          <w:rFonts w:hint="eastAsia" w:ascii="宋体" w:hAnsi="宋体" w:eastAsia="宋体" w:cs="宋体"/>
          <w:b/>
          <w:color w:val="auto"/>
          <w:sz w:val="24"/>
          <w:szCs w:val="24"/>
          <w:highlight w:val="none"/>
        </w:rPr>
        <w:t>（如有）</w:t>
      </w:r>
    </w:p>
    <w:p w14:paraId="48E9E1C9">
      <w:pPr>
        <w:pStyle w:val="28"/>
        <w:pageBreakBefore w:val="0"/>
        <w:kinsoku/>
        <w:wordWrap/>
        <w:overflowPunct/>
        <w:topLinePunct w:val="0"/>
        <w:bidi w:val="0"/>
        <w:spacing w:line="360" w:lineRule="auto"/>
        <w:ind w:left="0" w:leftChars="0" w:firstLine="0" w:firstLineChars="0"/>
        <w:jc w:val="both"/>
        <w:rPr>
          <w:rFonts w:hint="eastAsia" w:ascii="宋体" w:hAnsi="宋体" w:eastAsia="宋体" w:cs="宋体"/>
          <w:b/>
          <w:bCs/>
          <w:color w:val="auto"/>
          <w:kern w:val="0"/>
          <w:sz w:val="24"/>
          <w:szCs w:val="24"/>
          <w:highlight w:val="none"/>
        </w:rPr>
      </w:pPr>
    </w:p>
    <w:p w14:paraId="2B9613E3">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7BDF5CBA">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kern w:val="0"/>
          <w:sz w:val="24"/>
          <w:szCs w:val="24"/>
          <w:highlight w:val="none"/>
        </w:rPr>
      </w:pPr>
    </w:p>
    <w:p w14:paraId="60DD9F4D">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u w:val="single"/>
        </w:rPr>
        <w:t>（产品名称1）1</w:t>
      </w:r>
      <w:r>
        <w:rPr>
          <w:rFonts w:hint="eastAsia" w:ascii="宋体" w:hAnsi="宋体" w:eastAsia="宋体" w:cs="宋体"/>
          <w:b w:val="0"/>
          <w:bCs w:val="0"/>
          <w:color w:val="auto"/>
          <w:kern w:val="0"/>
          <w:sz w:val="24"/>
          <w:szCs w:val="24"/>
          <w:highlight w:val="none"/>
        </w:rPr>
        <w:t>，生产厂为</w:t>
      </w:r>
      <w:r>
        <w:rPr>
          <w:rFonts w:hint="eastAsia" w:ascii="宋体" w:hAnsi="宋体" w:eastAsia="宋体" w:cs="宋体"/>
          <w:b w:val="0"/>
          <w:bCs w:val="0"/>
          <w:color w:val="auto"/>
          <w:kern w:val="0"/>
          <w:sz w:val="24"/>
          <w:szCs w:val="24"/>
          <w:highlight w:val="none"/>
          <w:u w:val="single"/>
        </w:rPr>
        <w:t>（厂名）2</w:t>
      </w:r>
      <w:r>
        <w:rPr>
          <w:rFonts w:hint="eastAsia" w:ascii="宋体" w:hAnsi="宋体" w:eastAsia="宋体" w:cs="宋体"/>
          <w:b w:val="0"/>
          <w:bCs w:val="0"/>
          <w:color w:val="auto"/>
          <w:kern w:val="0"/>
          <w:sz w:val="24"/>
          <w:szCs w:val="24"/>
          <w:highlight w:val="none"/>
        </w:rPr>
        <w:t>，厂址为</w:t>
      </w:r>
      <w:r>
        <w:rPr>
          <w:rFonts w:hint="eastAsia" w:ascii="宋体" w:hAnsi="宋体" w:eastAsia="宋体" w:cs="宋体"/>
          <w:b w:val="0"/>
          <w:bCs w:val="0"/>
          <w:color w:val="auto"/>
          <w:kern w:val="0"/>
          <w:sz w:val="24"/>
          <w:szCs w:val="24"/>
          <w:highlight w:val="none"/>
          <w:u w:val="single"/>
        </w:rPr>
        <w:t>（生产厂址）</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u w:val="single"/>
        </w:rPr>
        <w:t>（产品名称1）</w:t>
      </w:r>
      <w:r>
        <w:rPr>
          <w:rFonts w:hint="eastAsia" w:ascii="宋体" w:hAnsi="宋体" w:eastAsia="宋体" w:cs="宋体"/>
          <w:b w:val="0"/>
          <w:bCs w:val="0"/>
          <w:color w:val="auto"/>
          <w:kern w:val="0"/>
          <w:sz w:val="24"/>
          <w:szCs w:val="24"/>
          <w:highlight w:val="none"/>
        </w:rPr>
        <w:t>的中国境内生产的组件成本占比≥</w:t>
      </w:r>
      <w:r>
        <w:rPr>
          <w:rFonts w:hint="eastAsia" w:ascii="宋体" w:hAnsi="宋体" w:eastAsia="宋体" w:cs="宋体"/>
          <w:b w:val="0"/>
          <w:bCs w:val="0"/>
          <w:color w:val="auto"/>
          <w:kern w:val="0"/>
          <w:sz w:val="24"/>
          <w:szCs w:val="24"/>
          <w:highlight w:val="none"/>
          <w:u w:val="single"/>
        </w:rPr>
        <w:t>（规定比例）3</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u w:val="single"/>
        </w:rPr>
        <w:t>（产品名称1）</w:t>
      </w:r>
      <w:r>
        <w:rPr>
          <w:rFonts w:hint="eastAsia" w:ascii="宋体" w:hAnsi="宋体" w:eastAsia="宋体" w:cs="宋体"/>
          <w:b w:val="0"/>
          <w:bCs w:val="0"/>
          <w:color w:val="auto"/>
          <w:kern w:val="0"/>
          <w:sz w:val="24"/>
          <w:szCs w:val="24"/>
          <w:highlight w:val="none"/>
        </w:rPr>
        <w:t>的</w:t>
      </w:r>
      <w:r>
        <w:rPr>
          <w:rFonts w:hint="eastAsia" w:ascii="宋体" w:hAnsi="宋体" w:eastAsia="宋体" w:cs="宋体"/>
          <w:b w:val="0"/>
          <w:bCs w:val="0"/>
          <w:color w:val="auto"/>
          <w:kern w:val="0"/>
          <w:sz w:val="24"/>
          <w:szCs w:val="24"/>
          <w:highlight w:val="none"/>
          <w:u w:val="single"/>
        </w:rPr>
        <w:t>（关键组件）4</w:t>
      </w:r>
      <w:r>
        <w:rPr>
          <w:rFonts w:hint="eastAsia" w:ascii="宋体" w:hAnsi="宋体" w:eastAsia="宋体" w:cs="宋体"/>
          <w:b w:val="0"/>
          <w:bCs w:val="0"/>
          <w:color w:val="auto"/>
          <w:kern w:val="0"/>
          <w:sz w:val="24"/>
          <w:szCs w:val="24"/>
          <w:highlight w:val="none"/>
        </w:rPr>
        <w:t>在中国境内生产。</w:t>
      </w:r>
      <w:r>
        <w:rPr>
          <w:rFonts w:hint="eastAsia" w:ascii="宋体" w:hAnsi="宋体" w:eastAsia="宋体" w:cs="宋体"/>
          <w:b w:val="0"/>
          <w:bCs w:val="0"/>
          <w:color w:val="auto"/>
          <w:kern w:val="0"/>
          <w:sz w:val="24"/>
          <w:szCs w:val="24"/>
          <w:highlight w:val="none"/>
          <w:u w:val="single"/>
        </w:rPr>
        <w:t>（产品名称1）</w:t>
      </w:r>
      <w:r>
        <w:rPr>
          <w:rFonts w:hint="eastAsia" w:ascii="宋体" w:hAnsi="宋体" w:eastAsia="宋体" w:cs="宋体"/>
          <w:b w:val="0"/>
          <w:bCs w:val="0"/>
          <w:color w:val="auto"/>
          <w:kern w:val="0"/>
          <w:sz w:val="24"/>
          <w:szCs w:val="24"/>
          <w:highlight w:val="none"/>
        </w:rPr>
        <w:t>的</w:t>
      </w:r>
      <w:r>
        <w:rPr>
          <w:rFonts w:hint="eastAsia" w:ascii="宋体" w:hAnsi="宋体" w:eastAsia="宋体" w:cs="宋体"/>
          <w:b w:val="0"/>
          <w:bCs w:val="0"/>
          <w:color w:val="auto"/>
          <w:kern w:val="0"/>
          <w:sz w:val="24"/>
          <w:szCs w:val="24"/>
          <w:highlight w:val="none"/>
          <w:u w:val="single"/>
        </w:rPr>
        <w:t>（关键工序）5</w:t>
      </w:r>
      <w:r>
        <w:rPr>
          <w:rFonts w:hint="eastAsia" w:ascii="宋体" w:hAnsi="宋体" w:eastAsia="宋体" w:cs="宋体"/>
          <w:b w:val="0"/>
          <w:bCs w:val="0"/>
          <w:color w:val="auto"/>
          <w:kern w:val="0"/>
          <w:sz w:val="24"/>
          <w:szCs w:val="24"/>
          <w:highlight w:val="none"/>
        </w:rPr>
        <w:t>在中国境内完成。</w:t>
      </w:r>
    </w:p>
    <w:p w14:paraId="4A6B8250">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u w:val="single"/>
        </w:rPr>
        <w:t>（产品名称2）</w:t>
      </w:r>
      <w:r>
        <w:rPr>
          <w:rFonts w:hint="eastAsia" w:ascii="宋体" w:hAnsi="宋体" w:eastAsia="宋体" w:cs="宋体"/>
          <w:b w:val="0"/>
          <w:bCs w:val="0"/>
          <w:color w:val="auto"/>
          <w:kern w:val="0"/>
          <w:sz w:val="24"/>
          <w:szCs w:val="24"/>
          <w:highlight w:val="none"/>
        </w:rPr>
        <w:t>，生产厂为</w:t>
      </w:r>
      <w:r>
        <w:rPr>
          <w:rFonts w:hint="eastAsia" w:ascii="宋体" w:hAnsi="宋体" w:eastAsia="宋体" w:cs="宋体"/>
          <w:b w:val="0"/>
          <w:bCs w:val="0"/>
          <w:color w:val="auto"/>
          <w:kern w:val="0"/>
          <w:sz w:val="24"/>
          <w:szCs w:val="24"/>
          <w:highlight w:val="none"/>
          <w:u w:val="single"/>
        </w:rPr>
        <w:t>（厂名）</w:t>
      </w:r>
      <w:r>
        <w:rPr>
          <w:rFonts w:hint="eastAsia" w:ascii="宋体" w:hAnsi="宋体" w:eastAsia="宋体" w:cs="宋体"/>
          <w:b w:val="0"/>
          <w:bCs w:val="0"/>
          <w:color w:val="auto"/>
          <w:kern w:val="0"/>
          <w:sz w:val="24"/>
          <w:szCs w:val="24"/>
          <w:highlight w:val="none"/>
        </w:rPr>
        <w:t>，厂址为</w:t>
      </w:r>
      <w:r>
        <w:rPr>
          <w:rFonts w:hint="eastAsia" w:ascii="宋体" w:hAnsi="宋体" w:eastAsia="宋体" w:cs="宋体"/>
          <w:b w:val="0"/>
          <w:bCs w:val="0"/>
          <w:color w:val="auto"/>
          <w:kern w:val="0"/>
          <w:sz w:val="24"/>
          <w:szCs w:val="24"/>
          <w:highlight w:val="none"/>
          <w:u w:val="single"/>
        </w:rPr>
        <w:t>（生产厂址）</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u w:val="single"/>
        </w:rPr>
        <w:t>（产品名称2）</w:t>
      </w:r>
      <w:r>
        <w:rPr>
          <w:rFonts w:hint="eastAsia" w:ascii="宋体" w:hAnsi="宋体" w:eastAsia="宋体" w:cs="宋体"/>
          <w:b w:val="0"/>
          <w:bCs w:val="0"/>
          <w:color w:val="auto"/>
          <w:kern w:val="0"/>
          <w:sz w:val="24"/>
          <w:szCs w:val="24"/>
          <w:highlight w:val="none"/>
        </w:rPr>
        <w:t>的中国境内生产的组件成本占比≥</w:t>
      </w:r>
      <w:r>
        <w:rPr>
          <w:rFonts w:hint="eastAsia" w:ascii="宋体" w:hAnsi="宋体" w:eastAsia="宋体" w:cs="宋体"/>
          <w:b w:val="0"/>
          <w:bCs w:val="0"/>
          <w:color w:val="auto"/>
          <w:kern w:val="0"/>
          <w:sz w:val="24"/>
          <w:szCs w:val="24"/>
          <w:highlight w:val="none"/>
          <w:u w:val="single"/>
        </w:rPr>
        <w:t>（规定比例）</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u w:val="single"/>
        </w:rPr>
        <w:t>（产品名称2）</w:t>
      </w:r>
      <w:r>
        <w:rPr>
          <w:rFonts w:hint="eastAsia" w:ascii="宋体" w:hAnsi="宋体" w:eastAsia="宋体" w:cs="宋体"/>
          <w:b w:val="0"/>
          <w:bCs w:val="0"/>
          <w:color w:val="auto"/>
          <w:kern w:val="0"/>
          <w:sz w:val="24"/>
          <w:szCs w:val="24"/>
          <w:highlight w:val="none"/>
        </w:rPr>
        <w:t>的</w:t>
      </w:r>
      <w:r>
        <w:rPr>
          <w:rFonts w:hint="eastAsia" w:ascii="宋体" w:hAnsi="宋体" w:eastAsia="宋体" w:cs="宋体"/>
          <w:b w:val="0"/>
          <w:bCs w:val="0"/>
          <w:color w:val="auto"/>
          <w:kern w:val="0"/>
          <w:sz w:val="24"/>
          <w:szCs w:val="24"/>
          <w:highlight w:val="none"/>
          <w:u w:val="single"/>
        </w:rPr>
        <w:t>（关键组件）</w:t>
      </w:r>
      <w:r>
        <w:rPr>
          <w:rFonts w:hint="eastAsia" w:ascii="宋体" w:hAnsi="宋体" w:eastAsia="宋体" w:cs="宋体"/>
          <w:b w:val="0"/>
          <w:bCs w:val="0"/>
          <w:color w:val="auto"/>
          <w:kern w:val="0"/>
          <w:sz w:val="24"/>
          <w:szCs w:val="24"/>
          <w:highlight w:val="none"/>
        </w:rPr>
        <w:t>在中国境内生产。</w:t>
      </w:r>
      <w:r>
        <w:rPr>
          <w:rFonts w:hint="eastAsia" w:ascii="宋体" w:hAnsi="宋体" w:eastAsia="宋体" w:cs="宋体"/>
          <w:b w:val="0"/>
          <w:bCs w:val="0"/>
          <w:color w:val="auto"/>
          <w:kern w:val="0"/>
          <w:sz w:val="24"/>
          <w:szCs w:val="24"/>
          <w:highlight w:val="none"/>
          <w:u w:val="single"/>
        </w:rPr>
        <w:t>（产品名称2）</w:t>
      </w:r>
      <w:r>
        <w:rPr>
          <w:rFonts w:hint="eastAsia" w:ascii="宋体" w:hAnsi="宋体" w:eastAsia="宋体" w:cs="宋体"/>
          <w:b w:val="0"/>
          <w:bCs w:val="0"/>
          <w:color w:val="auto"/>
          <w:kern w:val="0"/>
          <w:sz w:val="24"/>
          <w:szCs w:val="24"/>
          <w:highlight w:val="none"/>
        </w:rPr>
        <w:t>的</w:t>
      </w:r>
      <w:r>
        <w:rPr>
          <w:rFonts w:hint="eastAsia" w:ascii="宋体" w:hAnsi="宋体" w:eastAsia="宋体" w:cs="宋体"/>
          <w:b w:val="0"/>
          <w:bCs w:val="0"/>
          <w:color w:val="auto"/>
          <w:kern w:val="0"/>
          <w:sz w:val="24"/>
          <w:szCs w:val="24"/>
          <w:highlight w:val="none"/>
          <w:u w:val="single"/>
        </w:rPr>
        <w:t>（关键工序）</w:t>
      </w:r>
      <w:r>
        <w:rPr>
          <w:rFonts w:hint="eastAsia" w:ascii="宋体" w:hAnsi="宋体" w:eastAsia="宋体" w:cs="宋体"/>
          <w:b w:val="0"/>
          <w:bCs w:val="0"/>
          <w:color w:val="auto"/>
          <w:kern w:val="0"/>
          <w:sz w:val="24"/>
          <w:szCs w:val="24"/>
          <w:highlight w:val="none"/>
        </w:rPr>
        <w:t>在中国境内完成。</w:t>
      </w:r>
    </w:p>
    <w:p w14:paraId="41193524">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kern w:val="0"/>
          <w:sz w:val="24"/>
          <w:szCs w:val="24"/>
          <w:highlight w:val="none"/>
        </w:rPr>
      </w:pPr>
    </w:p>
    <w:p w14:paraId="7B00FEB3">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p>
    <w:p w14:paraId="52E925CD">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kern w:val="0"/>
          <w:sz w:val="24"/>
          <w:szCs w:val="24"/>
          <w:highlight w:val="none"/>
        </w:rPr>
      </w:pPr>
    </w:p>
    <w:p w14:paraId="0FE43943">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本公司（单位）对上述声明内容的真实性负责。如有虚假，愿承担相应法律责任。</w:t>
      </w:r>
    </w:p>
    <w:p w14:paraId="05196EE4">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kern w:val="0"/>
          <w:sz w:val="24"/>
          <w:szCs w:val="24"/>
          <w:highlight w:val="none"/>
        </w:rPr>
      </w:pPr>
    </w:p>
    <w:p w14:paraId="775BE5AD">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xml:space="preserve"> </w:t>
      </w:r>
    </w:p>
    <w:p w14:paraId="1A6663C1">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公司（单位）名称（盖章）：　        </w:t>
      </w:r>
    </w:p>
    <w:p w14:paraId="00ACD2A2">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kern w:val="0"/>
          <w:sz w:val="24"/>
          <w:szCs w:val="24"/>
          <w:highlight w:val="none"/>
        </w:rPr>
      </w:pPr>
    </w:p>
    <w:p w14:paraId="14BD23B9">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　     年　  月　  日         </w:t>
      </w:r>
    </w:p>
    <w:p w14:paraId="59C0B10F">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kern w:val="0"/>
          <w:sz w:val="24"/>
          <w:szCs w:val="24"/>
          <w:highlight w:val="none"/>
        </w:rPr>
      </w:pPr>
    </w:p>
    <w:p w14:paraId="5B34C35E">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__________________</w:t>
      </w:r>
    </w:p>
    <w:p w14:paraId="43BBB8CD">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kern w:val="0"/>
          <w:sz w:val="24"/>
          <w:szCs w:val="24"/>
          <w:highlight w:val="none"/>
        </w:rPr>
      </w:pPr>
    </w:p>
    <w:p w14:paraId="028D1B70">
      <w:pPr>
        <w:pStyle w:val="28"/>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1.产品如有型号，请在“产品名称”栏一并填写。</w:t>
      </w:r>
    </w:p>
    <w:p w14:paraId="4DA51B06">
      <w:pPr>
        <w:pStyle w:val="28"/>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2.生产厂名与厂址应与生产厂营业执照载明的相关信息保持一致。</w:t>
      </w:r>
    </w:p>
    <w:p w14:paraId="7EB04C93">
      <w:pPr>
        <w:pStyle w:val="28"/>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3.该产品的中国境内生产的组件成本占比相关要求实施前，“规定比例”栏可不填，下同。</w:t>
      </w:r>
    </w:p>
    <w:p w14:paraId="1D26CAA1">
      <w:pPr>
        <w:pStyle w:val="28"/>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4.该产品的关键组件要求实施前，“关键组件”栏可不填，下同。</w:t>
      </w:r>
    </w:p>
    <w:p w14:paraId="5832D946">
      <w:pPr>
        <w:pStyle w:val="28"/>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5.该产品的关键工序要求实施前，“关键工序”栏可不填，下同。</w:t>
      </w:r>
    </w:p>
    <w:bookmarkEnd w:id="215"/>
    <w:p w14:paraId="12CC83C1">
      <w:pPr>
        <w:pStyle w:val="9"/>
        <w:spacing w:before="0" w:line="360" w:lineRule="auto"/>
        <w:jc w:val="center"/>
        <w:outlineLvl w:val="1"/>
        <w:rPr>
          <w:rFonts w:hint="eastAsia" w:ascii="宋体" w:hAnsi="宋体" w:eastAsia="宋体" w:cs="宋体"/>
          <w:color w:val="auto"/>
          <w:sz w:val="24"/>
          <w:szCs w:val="24"/>
          <w:highlight w:val="none"/>
        </w:rPr>
      </w:pPr>
      <w:bookmarkStart w:id="227" w:name="_Toc14515"/>
      <w:bookmarkStart w:id="228" w:name="_Toc30411"/>
      <w:r>
        <w:rPr>
          <w:rFonts w:hint="eastAsia" w:ascii="宋体" w:hAnsi="宋体" w:eastAsia="宋体" w:cs="宋体"/>
          <w:b/>
          <w:bCs/>
          <w:color w:val="auto"/>
          <w:sz w:val="24"/>
          <w:szCs w:val="24"/>
          <w:highlight w:val="none"/>
        </w:rPr>
        <w:t>十、</w:t>
      </w:r>
      <w:bookmarkEnd w:id="206"/>
      <w:r>
        <w:rPr>
          <w:rFonts w:hint="eastAsia" w:ascii="宋体" w:hAnsi="宋体" w:eastAsia="宋体" w:cs="宋体"/>
          <w:b/>
          <w:bCs/>
          <w:color w:val="auto"/>
          <w:sz w:val="24"/>
          <w:szCs w:val="24"/>
          <w:highlight w:val="none"/>
        </w:rPr>
        <w:t>供应商认为需要提供的其他资料</w:t>
      </w:r>
      <w:bookmarkEnd w:id="227"/>
      <w:bookmarkEnd w:id="228"/>
    </w:p>
    <w:p w14:paraId="1D3C0393">
      <w:pPr>
        <w:pStyle w:val="13"/>
        <w:spacing w:line="360" w:lineRule="auto"/>
        <w:jc w:val="center"/>
        <w:rPr>
          <w:rFonts w:hint="eastAsia" w:ascii="宋体" w:hAnsi="宋体" w:eastAsia="宋体" w:cs="宋体"/>
          <w:b/>
          <w:bCs/>
          <w:color w:val="auto"/>
          <w:sz w:val="24"/>
          <w:szCs w:val="24"/>
          <w:highlight w:val="none"/>
        </w:rPr>
      </w:pPr>
      <w:bookmarkStart w:id="229" w:name="_Toc27400"/>
    </w:p>
    <w:p w14:paraId="01020599">
      <w:pPr>
        <w:pStyle w:val="13"/>
        <w:numPr>
          <w:ilvl w:val="0"/>
          <w:numId w:val="4"/>
        </w:numPr>
        <w:spacing w:line="360" w:lineRule="auto"/>
        <w:jc w:val="center"/>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磋商保证金缴纳凭证</w:t>
      </w:r>
      <w:bookmarkEnd w:id="229"/>
    </w:p>
    <w:p w14:paraId="337123BA">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4"/>
          <w:szCs w:val="24"/>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19998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8522" w:type="dxa"/>
            <w:tcBorders>
              <w:top w:val="single" w:color="auto" w:sz="4" w:space="0"/>
              <w:bottom w:val="single" w:color="auto" w:sz="4" w:space="0"/>
            </w:tcBorders>
            <w:vAlign w:val="center"/>
          </w:tcPr>
          <w:p w14:paraId="0A692899">
            <w:pPr>
              <w:pStyle w:val="1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磋商保证金缴纳凭证</w:t>
            </w:r>
          </w:p>
        </w:tc>
      </w:tr>
    </w:tbl>
    <w:p w14:paraId="3B8758CE">
      <w:pPr>
        <w:spacing w:line="360" w:lineRule="auto"/>
        <w:jc w:val="center"/>
        <w:rPr>
          <w:rFonts w:hint="eastAsia" w:ascii="宋体" w:hAnsi="宋体" w:eastAsia="宋体" w:cs="宋体"/>
          <w:b/>
          <w:bCs/>
          <w:color w:val="auto"/>
          <w:sz w:val="24"/>
          <w:szCs w:val="24"/>
          <w:highlight w:val="none"/>
        </w:rPr>
      </w:pPr>
    </w:p>
    <w:p w14:paraId="42EE62EB">
      <w:pPr>
        <w:pStyle w:val="13"/>
        <w:spacing w:line="360" w:lineRule="auto"/>
        <w:jc w:val="center"/>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（二）其他</w:t>
      </w:r>
    </w:p>
    <w:p w14:paraId="1A4C1E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供应商应当仔细核对采购文件中有关</w:t>
      </w:r>
      <w:r>
        <w:rPr>
          <w:rFonts w:hint="eastAsia" w:ascii="宋体" w:hAnsi="宋体" w:eastAsia="宋体" w:cs="宋体"/>
          <w:b/>
          <w:bCs/>
          <w:color w:val="auto"/>
          <w:sz w:val="24"/>
          <w:szCs w:val="24"/>
          <w:highlight w:val="none"/>
        </w:rPr>
        <w:t>“响应无效”、“拒收”</w:t>
      </w:r>
      <w:r>
        <w:rPr>
          <w:rFonts w:hint="eastAsia" w:ascii="宋体" w:hAnsi="宋体" w:eastAsia="宋体" w:cs="宋体"/>
          <w:color w:val="auto"/>
          <w:sz w:val="24"/>
          <w:szCs w:val="24"/>
          <w:highlight w:val="none"/>
        </w:rPr>
        <w:t>和评审标准等条款内容，提供供应商认为应当附加的其它内容，以充分证明其磋商响应符合采购文件要求，并为评审提供充分依据。</w:t>
      </w:r>
    </w:p>
    <w:p w14:paraId="756198FE">
      <w:pPr>
        <w:spacing w:line="360" w:lineRule="auto"/>
        <w:ind w:firstLine="482" w:firstLineChars="200"/>
        <w:jc w:val="center"/>
        <w:rPr>
          <w:rFonts w:hint="eastAsia" w:ascii="宋体" w:hAnsi="宋体" w:eastAsia="宋体" w:cs="宋体"/>
          <w:b/>
          <w:bCs/>
          <w:color w:val="auto"/>
          <w:sz w:val="24"/>
          <w:szCs w:val="24"/>
          <w:highlight w:val="none"/>
        </w:rPr>
      </w:pPr>
    </w:p>
    <w:p w14:paraId="411E9CC3">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664CF037">
      <w:pPr>
        <w:pStyle w:val="2"/>
        <w:bidi w:val="0"/>
        <w:rPr>
          <w:rFonts w:hint="eastAsia"/>
          <w:lang w:eastAsia="zh-CN"/>
        </w:rPr>
      </w:pPr>
      <w:bookmarkStart w:id="230" w:name="_Toc4768"/>
      <w:bookmarkStart w:id="231" w:name="_Toc7883"/>
      <w:bookmarkStart w:id="232" w:name="_Toc11193"/>
      <w:bookmarkStart w:id="233" w:name="_Toc22438"/>
      <w:r>
        <w:rPr>
          <w:rFonts w:hint="eastAsia"/>
        </w:rPr>
        <w:t xml:space="preserve">第四章 </w:t>
      </w:r>
      <w:bookmarkEnd w:id="230"/>
      <w:bookmarkEnd w:id="231"/>
      <w:bookmarkEnd w:id="232"/>
      <w:bookmarkEnd w:id="233"/>
      <w:r>
        <w:rPr>
          <w:rFonts w:hint="eastAsia"/>
          <w:lang w:eastAsia="zh-CN"/>
        </w:rPr>
        <w:t>项目技术要求</w:t>
      </w:r>
    </w:p>
    <w:p w14:paraId="2863D5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.项目</w:t>
      </w:r>
      <w:r>
        <w:rPr>
          <w:rFonts w:hint="eastAsia" w:ascii="宋体" w:hAnsi="宋体" w:eastAsia="宋体" w:cs="宋体"/>
          <w:b/>
          <w:color w:val="auto"/>
          <w:sz w:val="24"/>
          <w:szCs w:val="24"/>
          <w:highlight w:val="none"/>
        </w:rPr>
        <w:t>需实现的功能及目标</w:t>
      </w:r>
    </w:p>
    <w:p w14:paraId="5E3167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1.1采购标的需实现的功能</w:t>
      </w:r>
    </w:p>
    <w:p w14:paraId="1C0BAC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14:ligatures w14:val="standardContextual"/>
        </w:rPr>
      </w:pPr>
      <w:r>
        <w:rPr>
          <w:rFonts w:hint="eastAsia" w:ascii="宋体" w:hAnsi="宋体" w:eastAsia="宋体" w:cs="宋体"/>
          <w:sz w:val="24"/>
          <w:szCs w:val="24"/>
          <w:highlight w:val="none"/>
          <w14:ligatures w14:val="standardContextual"/>
        </w:rPr>
        <w:t>需覆盖校园网、社交媒体、短视频等校内外多渠道，精准抓取学术诚信、校园安全、后勤服务等高校重点场景</w:t>
      </w:r>
      <w:r>
        <w:rPr>
          <w:rFonts w:hint="eastAsia" w:ascii="宋体" w:hAnsi="宋体" w:eastAsia="宋体" w:cs="宋体"/>
          <w:sz w:val="24"/>
          <w:szCs w:val="24"/>
          <w:highlight w:val="none"/>
          <w:lang w:eastAsia="zh-CN"/>
          <w14:ligatures w14:val="standardContextual"/>
        </w:rPr>
        <w:t>互联网信息</w:t>
      </w:r>
      <w:r>
        <w:rPr>
          <w:rFonts w:hint="eastAsia" w:ascii="宋体" w:hAnsi="宋体" w:eastAsia="宋体" w:cs="宋体"/>
          <w:sz w:val="24"/>
          <w:szCs w:val="24"/>
          <w:highlight w:val="none"/>
          <w14:ligatures w14:val="standardContextual"/>
        </w:rPr>
        <w:t>，具备教育行业专属语义识别与情感分析能力。支持分级预警、</w:t>
      </w:r>
      <w:r>
        <w:rPr>
          <w:rFonts w:hint="eastAsia" w:ascii="宋体" w:hAnsi="宋体" w:eastAsia="宋体" w:cs="宋体"/>
          <w:sz w:val="24"/>
          <w:szCs w:val="24"/>
          <w:highlight w:val="none"/>
          <w:lang w:eastAsia="zh-CN"/>
          <w14:ligatures w14:val="standardContextual"/>
        </w:rPr>
        <w:t>互联网信息</w:t>
      </w:r>
      <w:r>
        <w:rPr>
          <w:rFonts w:hint="eastAsia" w:ascii="宋体" w:hAnsi="宋体" w:eastAsia="宋体" w:cs="宋体"/>
          <w:sz w:val="24"/>
          <w:szCs w:val="24"/>
          <w:highlight w:val="none"/>
          <w14:ligatures w14:val="standardContextual"/>
        </w:rPr>
        <w:t>溯源、传播路径追踪，可自动生成可视化报告，适配私有化部署保障数据安全，能满足 7×24 小时实时监测、历史数据回溯及多角色权限管理需求，助力高校实现</w:t>
      </w:r>
      <w:r>
        <w:rPr>
          <w:rFonts w:hint="eastAsia" w:ascii="宋体" w:hAnsi="宋体" w:eastAsia="宋体" w:cs="宋体"/>
          <w:sz w:val="24"/>
          <w:szCs w:val="24"/>
          <w:highlight w:val="none"/>
          <w:lang w:eastAsia="zh-CN"/>
          <w14:ligatures w14:val="standardContextual"/>
        </w:rPr>
        <w:t>互联网信息</w:t>
      </w:r>
      <w:r>
        <w:rPr>
          <w:rFonts w:hint="eastAsia" w:ascii="宋体" w:hAnsi="宋体" w:eastAsia="宋体" w:cs="宋体"/>
          <w:sz w:val="24"/>
          <w:szCs w:val="24"/>
          <w:highlight w:val="none"/>
          <w14:ligatures w14:val="standardContextual"/>
        </w:rPr>
        <w:t>闭环处置</w:t>
      </w:r>
      <w:r>
        <w:rPr>
          <w:rFonts w:hint="eastAsia" w:ascii="宋体" w:hAnsi="宋体" w:eastAsia="宋体" w:cs="宋体"/>
          <w:sz w:val="24"/>
          <w:szCs w:val="24"/>
          <w:highlight w:val="none"/>
          <w:lang w:val="en-US" w:eastAsia="zh-CN"/>
          <w14:ligatures w14:val="standardContextual"/>
        </w:rPr>
        <w:t>。</w:t>
      </w:r>
    </w:p>
    <w:p w14:paraId="1806FE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1.2采购标的需实现的目标</w:t>
      </w:r>
    </w:p>
    <w:p w14:paraId="4AF4FC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14:ligatures w14:val="standardContextual"/>
        </w:rPr>
      </w:pPr>
      <w:r>
        <w:rPr>
          <w:rFonts w:hint="eastAsia" w:ascii="宋体" w:hAnsi="宋体" w:eastAsia="宋体" w:cs="宋体"/>
          <w:sz w:val="24"/>
          <w:szCs w:val="24"/>
          <w:highlight w:val="none"/>
          <w14:ligatures w14:val="standardContextual"/>
        </w:rPr>
        <w:t>围绕高校</w:t>
      </w:r>
      <w:r>
        <w:rPr>
          <w:rFonts w:hint="eastAsia" w:ascii="宋体" w:hAnsi="宋体" w:eastAsia="宋体" w:cs="宋体"/>
          <w:sz w:val="24"/>
          <w:szCs w:val="24"/>
          <w:highlight w:val="none"/>
          <w:lang w:eastAsia="zh-CN"/>
          <w14:ligatures w14:val="standardContextual"/>
        </w:rPr>
        <w:t>互联网信息</w:t>
      </w:r>
      <w:r>
        <w:rPr>
          <w:rFonts w:hint="eastAsia" w:ascii="宋体" w:hAnsi="宋体" w:eastAsia="宋体" w:cs="宋体"/>
          <w:sz w:val="24"/>
          <w:szCs w:val="24"/>
          <w:highlight w:val="none"/>
          <w14:ligatures w14:val="standardContextual"/>
        </w:rPr>
        <w:t>管理核心需求，实现校内外多渠道</w:t>
      </w:r>
      <w:r>
        <w:rPr>
          <w:rFonts w:hint="eastAsia" w:ascii="宋体" w:hAnsi="宋体" w:eastAsia="宋体" w:cs="宋体"/>
          <w:sz w:val="24"/>
          <w:szCs w:val="24"/>
          <w:highlight w:val="none"/>
          <w:lang w:eastAsia="zh-CN"/>
          <w14:ligatures w14:val="standardContextual"/>
        </w:rPr>
        <w:t>互联网信息</w:t>
      </w:r>
      <w:r>
        <w:rPr>
          <w:rFonts w:hint="eastAsia" w:ascii="宋体" w:hAnsi="宋体" w:eastAsia="宋体" w:cs="宋体"/>
          <w:sz w:val="24"/>
          <w:szCs w:val="24"/>
          <w:highlight w:val="none"/>
          <w14:ligatures w14:val="standardContextual"/>
        </w:rPr>
        <w:t>实时监测、精准抓取与智能识别，快速捕捉学术诚信、校园安全等重点场景风险隐患。通过分级预警、传播路径追踪、情感分析等功能，助力校方及时处置</w:t>
      </w:r>
      <w:r>
        <w:rPr>
          <w:rFonts w:hint="eastAsia" w:ascii="宋体" w:hAnsi="宋体" w:eastAsia="宋体" w:cs="宋体"/>
          <w:sz w:val="24"/>
          <w:szCs w:val="24"/>
          <w:highlight w:val="none"/>
          <w:lang w:eastAsia="zh-CN"/>
          <w14:ligatures w14:val="standardContextual"/>
        </w:rPr>
        <w:t>互联网信息</w:t>
      </w:r>
      <w:r>
        <w:rPr>
          <w:rFonts w:hint="eastAsia" w:ascii="宋体" w:hAnsi="宋体" w:eastAsia="宋体" w:cs="宋体"/>
          <w:sz w:val="24"/>
          <w:szCs w:val="24"/>
          <w:highlight w:val="none"/>
          <w14:ligatures w14:val="standardContextual"/>
        </w:rPr>
        <w:t>、化解危机，同时生成可视化数据报告支撑决策。保障数据安全合规，支持个性化配置与多角色管理，构建 “监测 - 预警 - 分析 - 处置” 闭环体系，全面提升高校</w:t>
      </w:r>
      <w:r>
        <w:rPr>
          <w:rFonts w:hint="eastAsia" w:ascii="宋体" w:hAnsi="宋体" w:eastAsia="宋体" w:cs="宋体"/>
          <w:sz w:val="24"/>
          <w:szCs w:val="24"/>
          <w:highlight w:val="none"/>
          <w:lang w:eastAsia="zh-CN"/>
          <w14:ligatures w14:val="standardContextual"/>
        </w:rPr>
        <w:t>互联网信息</w:t>
      </w:r>
      <w:r>
        <w:rPr>
          <w:rFonts w:hint="eastAsia" w:ascii="宋体" w:hAnsi="宋体" w:eastAsia="宋体" w:cs="宋体"/>
          <w:sz w:val="24"/>
          <w:szCs w:val="24"/>
          <w:highlight w:val="none"/>
          <w14:ligatures w14:val="standardContextual"/>
        </w:rPr>
        <w:t>治理智能化、高效化水平。</w:t>
      </w:r>
    </w:p>
    <w:p w14:paraId="41D5E8B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技术要求</w:t>
      </w:r>
    </w:p>
    <w:p w14:paraId="30B79E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需</w:t>
      </w:r>
      <w:r>
        <w:rPr>
          <w:rFonts w:hint="eastAsia" w:ascii="宋体" w:hAnsi="宋体" w:eastAsia="宋体" w:cs="宋体"/>
          <w:b/>
          <w:bCs/>
          <w:color w:val="auto"/>
          <w:sz w:val="24"/>
          <w:szCs w:val="24"/>
          <w:highlight w:val="none"/>
          <w:lang w:val="en-US" w:eastAsia="zh-CN"/>
        </w:rPr>
        <w:t>要</w:t>
      </w:r>
      <w:r>
        <w:rPr>
          <w:rFonts w:hint="eastAsia" w:ascii="宋体" w:hAnsi="宋体" w:eastAsia="宋体" w:cs="宋体"/>
          <w:b/>
          <w:bCs/>
          <w:color w:val="auto"/>
          <w:sz w:val="24"/>
          <w:szCs w:val="24"/>
          <w:highlight w:val="none"/>
        </w:rPr>
        <w:t>提供</w:t>
      </w:r>
      <w:r>
        <w:rPr>
          <w:rFonts w:hint="eastAsia" w:ascii="宋体" w:hAnsi="宋体" w:eastAsia="宋体" w:cs="宋体"/>
          <w:b/>
          <w:bCs/>
          <w:color w:val="auto"/>
          <w:sz w:val="24"/>
          <w:szCs w:val="24"/>
          <w:highlight w:val="none"/>
          <w:lang w:val="en-US" w:eastAsia="zh-CN"/>
        </w:rPr>
        <w:t>的</w:t>
      </w:r>
      <w:r>
        <w:rPr>
          <w:rFonts w:hint="eastAsia" w:ascii="宋体" w:hAnsi="宋体" w:eastAsia="宋体" w:cs="宋体"/>
          <w:b/>
          <w:bCs/>
          <w:color w:val="auto"/>
          <w:sz w:val="24"/>
          <w:szCs w:val="24"/>
          <w:highlight w:val="none"/>
        </w:rPr>
        <w:t>服务：</w:t>
      </w:r>
    </w:p>
    <w:p w14:paraId="061728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▲开展</w:t>
      </w:r>
      <w:r>
        <w:rPr>
          <w:rFonts w:hint="eastAsia" w:ascii="宋体" w:hAnsi="宋体" w:eastAsia="宋体" w:cs="宋体"/>
          <w:color w:val="auto"/>
          <w:sz w:val="24"/>
          <w:szCs w:val="24"/>
          <w:highlight w:val="none"/>
          <w:lang w:val="en-US" w:eastAsia="zh-CN"/>
        </w:rPr>
        <w:t>信息</w:t>
      </w:r>
      <w:r>
        <w:rPr>
          <w:rFonts w:hint="eastAsia" w:ascii="宋体" w:hAnsi="宋体" w:eastAsia="宋体" w:cs="宋体"/>
          <w:color w:val="auto"/>
          <w:sz w:val="24"/>
          <w:szCs w:val="24"/>
          <w:highlight w:val="none"/>
          <w:lang w:eastAsia="zh-CN"/>
        </w:rPr>
        <w:t>大数据分析</w:t>
      </w:r>
      <w:r>
        <w:rPr>
          <w:rFonts w:hint="eastAsia" w:ascii="宋体" w:hAnsi="宋体" w:eastAsia="宋体" w:cs="宋体"/>
          <w:color w:val="auto"/>
          <w:sz w:val="24"/>
          <w:szCs w:val="24"/>
          <w:highlight w:val="none"/>
        </w:rPr>
        <w:t>工作，及时发布</w:t>
      </w:r>
      <w:r>
        <w:rPr>
          <w:rFonts w:hint="eastAsia" w:ascii="宋体" w:hAnsi="宋体" w:eastAsia="宋体" w:cs="宋体"/>
          <w:color w:val="auto"/>
          <w:sz w:val="24"/>
          <w:szCs w:val="24"/>
          <w:highlight w:val="none"/>
          <w:lang w:val="en-US" w:eastAsia="zh-CN"/>
        </w:rPr>
        <w:t>信息</w:t>
      </w:r>
      <w:r>
        <w:rPr>
          <w:rFonts w:hint="eastAsia" w:ascii="宋体" w:hAnsi="宋体" w:eastAsia="宋体" w:cs="宋体"/>
          <w:color w:val="auto"/>
          <w:sz w:val="24"/>
          <w:szCs w:val="24"/>
          <w:highlight w:val="none"/>
          <w:lang w:eastAsia="zh-CN"/>
        </w:rPr>
        <w:t>大数据分析</w:t>
      </w:r>
      <w:r>
        <w:rPr>
          <w:rFonts w:hint="eastAsia" w:ascii="宋体" w:hAnsi="宋体" w:eastAsia="宋体" w:cs="宋体"/>
          <w:color w:val="auto"/>
          <w:sz w:val="24"/>
          <w:szCs w:val="24"/>
          <w:highlight w:val="none"/>
        </w:rPr>
        <w:t>信息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遇到负面</w:t>
      </w:r>
      <w:r>
        <w:rPr>
          <w:rFonts w:hint="eastAsia" w:ascii="宋体" w:hAnsi="宋体" w:eastAsia="宋体" w:cs="宋体"/>
          <w:color w:val="auto"/>
          <w:sz w:val="24"/>
          <w:szCs w:val="24"/>
          <w:highlight w:val="none"/>
          <w:lang w:val="en-US" w:eastAsia="zh-CN"/>
        </w:rPr>
        <w:t>信息</w:t>
      </w:r>
      <w:r>
        <w:rPr>
          <w:rFonts w:hint="eastAsia" w:ascii="宋体" w:hAnsi="宋体" w:eastAsia="宋体" w:cs="宋体"/>
          <w:color w:val="auto"/>
          <w:sz w:val="24"/>
          <w:szCs w:val="24"/>
          <w:highlight w:val="none"/>
        </w:rPr>
        <w:t>，及时发布</w:t>
      </w:r>
      <w:r>
        <w:rPr>
          <w:rFonts w:hint="eastAsia" w:ascii="宋体" w:hAnsi="宋体" w:eastAsia="宋体" w:cs="宋体"/>
          <w:color w:val="auto"/>
          <w:sz w:val="24"/>
          <w:szCs w:val="24"/>
          <w:highlight w:val="none"/>
          <w:lang w:eastAsia="zh-CN"/>
        </w:rPr>
        <w:t>互联网数据信息</w:t>
      </w:r>
      <w:r>
        <w:rPr>
          <w:rFonts w:hint="eastAsia" w:ascii="宋体" w:hAnsi="宋体" w:eastAsia="宋体" w:cs="宋体"/>
          <w:color w:val="auto"/>
          <w:sz w:val="24"/>
          <w:szCs w:val="24"/>
          <w:highlight w:val="none"/>
        </w:rPr>
        <w:t>提示。</w:t>
      </w:r>
    </w:p>
    <w:p w14:paraId="424977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★在强大数据的采集处理分析基础上，信息再经过人工二次审核，可以在网页上看，显示</w:t>
      </w:r>
      <w:r>
        <w:rPr>
          <w:rFonts w:hint="eastAsia" w:ascii="宋体" w:hAnsi="宋体" w:eastAsia="宋体" w:cs="宋体"/>
          <w:color w:val="auto"/>
          <w:sz w:val="24"/>
          <w:szCs w:val="24"/>
          <w:highlight w:val="none"/>
          <w:lang w:val="en-US" w:eastAsia="zh-CN"/>
        </w:rPr>
        <w:t>人工</w:t>
      </w:r>
      <w:r>
        <w:rPr>
          <w:rFonts w:hint="eastAsia" w:ascii="宋体" w:hAnsi="宋体" w:eastAsia="宋体" w:cs="宋体"/>
          <w:color w:val="auto"/>
          <w:sz w:val="24"/>
          <w:szCs w:val="24"/>
          <w:highlight w:val="none"/>
        </w:rPr>
        <w:t>预警的就是人工审核过的信息，同时也可以在APP和微信公众号上实时接收这些信息。全天24小时值守，不会错过重要信息。7*24，人工审核开启期间，其他的预警就关闭了，不会受到其他预警的干扰。微信公众号和APP都可以接收。</w:t>
      </w:r>
    </w:p>
    <w:p w14:paraId="304780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★每</w:t>
      </w:r>
      <w:r>
        <w:rPr>
          <w:rFonts w:hint="eastAsia" w:ascii="宋体" w:hAnsi="宋体" w:eastAsia="宋体" w:cs="宋体"/>
          <w:color w:val="auto"/>
          <w:sz w:val="24"/>
          <w:szCs w:val="24"/>
          <w:highlight w:val="none"/>
          <w:lang w:val="en-US" w:eastAsia="zh-CN"/>
        </w:rPr>
        <w:t>周、月提供</w:t>
      </w:r>
      <w:r>
        <w:rPr>
          <w:rFonts w:hint="eastAsia" w:ascii="宋体" w:hAnsi="宋体" w:eastAsia="宋体" w:cs="宋体"/>
          <w:color w:val="auto"/>
          <w:sz w:val="24"/>
          <w:szCs w:val="24"/>
          <w:highlight w:val="none"/>
          <w:lang w:eastAsia="zh-CN"/>
        </w:rPr>
        <w:t>数据分析</w:t>
      </w:r>
      <w:r>
        <w:rPr>
          <w:rFonts w:hint="eastAsia" w:ascii="宋体" w:hAnsi="宋体" w:eastAsia="宋体" w:cs="宋体"/>
          <w:color w:val="auto"/>
          <w:sz w:val="24"/>
          <w:szCs w:val="24"/>
          <w:highlight w:val="none"/>
        </w:rPr>
        <w:t>报告，内容包括</w:t>
      </w:r>
      <w:r>
        <w:rPr>
          <w:rFonts w:hint="eastAsia" w:ascii="宋体" w:hAnsi="宋体" w:eastAsia="宋体" w:cs="宋体"/>
          <w:color w:val="auto"/>
          <w:sz w:val="24"/>
          <w:szCs w:val="24"/>
          <w:highlight w:val="none"/>
          <w:lang w:val="en-US" w:eastAsia="zh-CN"/>
        </w:rPr>
        <w:t>信息</w:t>
      </w:r>
      <w:r>
        <w:rPr>
          <w:rFonts w:hint="eastAsia" w:ascii="宋体" w:hAnsi="宋体" w:eastAsia="宋体" w:cs="宋体"/>
          <w:color w:val="auto"/>
          <w:sz w:val="24"/>
          <w:szCs w:val="24"/>
          <w:highlight w:val="none"/>
        </w:rPr>
        <w:t>基本情况、负面</w:t>
      </w:r>
      <w:r>
        <w:rPr>
          <w:rFonts w:hint="eastAsia" w:ascii="宋体" w:hAnsi="宋体" w:eastAsia="宋体" w:cs="宋体"/>
          <w:color w:val="auto"/>
          <w:sz w:val="24"/>
          <w:szCs w:val="24"/>
          <w:highlight w:val="none"/>
          <w:lang w:val="en-US" w:eastAsia="zh-CN"/>
        </w:rPr>
        <w:t>信息</w:t>
      </w:r>
      <w:r>
        <w:rPr>
          <w:rFonts w:hint="eastAsia" w:ascii="宋体" w:hAnsi="宋体" w:eastAsia="宋体" w:cs="宋体"/>
          <w:color w:val="auto"/>
          <w:sz w:val="24"/>
          <w:szCs w:val="24"/>
          <w:highlight w:val="none"/>
        </w:rPr>
        <w:t>分类别分析、对下阶段可能发生的</w:t>
      </w:r>
      <w:r>
        <w:rPr>
          <w:rFonts w:hint="eastAsia" w:ascii="宋体" w:hAnsi="宋体" w:eastAsia="宋体" w:cs="宋体"/>
          <w:color w:val="auto"/>
          <w:sz w:val="24"/>
          <w:szCs w:val="24"/>
          <w:highlight w:val="none"/>
          <w:lang w:val="en-US" w:eastAsia="zh-CN"/>
        </w:rPr>
        <w:t>信息</w:t>
      </w:r>
      <w:r>
        <w:rPr>
          <w:rFonts w:hint="eastAsia" w:ascii="宋体" w:hAnsi="宋体" w:eastAsia="宋体" w:cs="宋体"/>
          <w:color w:val="auto"/>
          <w:sz w:val="24"/>
          <w:szCs w:val="24"/>
          <w:highlight w:val="none"/>
        </w:rPr>
        <w:t>进行预判。若发生重大</w:t>
      </w:r>
      <w:r>
        <w:rPr>
          <w:rFonts w:hint="eastAsia" w:ascii="宋体" w:hAnsi="宋体" w:eastAsia="宋体" w:cs="宋体"/>
          <w:color w:val="auto"/>
          <w:sz w:val="24"/>
          <w:szCs w:val="24"/>
          <w:highlight w:val="none"/>
          <w:lang w:val="en-US" w:eastAsia="zh-CN"/>
        </w:rPr>
        <w:t>危机事件</w:t>
      </w:r>
      <w:r>
        <w:rPr>
          <w:rFonts w:hint="eastAsia" w:ascii="宋体" w:hAnsi="宋体" w:eastAsia="宋体" w:cs="宋体"/>
          <w:color w:val="auto"/>
          <w:sz w:val="24"/>
          <w:szCs w:val="24"/>
          <w:highlight w:val="none"/>
        </w:rPr>
        <w:t>，配合我</w:t>
      </w:r>
      <w:r>
        <w:rPr>
          <w:rFonts w:hint="eastAsia" w:ascii="宋体" w:hAnsi="宋体" w:eastAsia="宋体" w:cs="宋体"/>
          <w:color w:val="auto"/>
          <w:sz w:val="24"/>
          <w:szCs w:val="24"/>
          <w:highlight w:val="none"/>
          <w:lang w:val="en-US" w:eastAsia="zh-CN"/>
        </w:rPr>
        <w:t>校</w:t>
      </w:r>
      <w:r>
        <w:rPr>
          <w:rFonts w:hint="eastAsia" w:ascii="宋体" w:hAnsi="宋体" w:eastAsia="宋体" w:cs="宋体"/>
          <w:color w:val="auto"/>
          <w:sz w:val="24"/>
          <w:szCs w:val="24"/>
          <w:highlight w:val="none"/>
        </w:rPr>
        <w:t>开展</w:t>
      </w:r>
      <w:r>
        <w:rPr>
          <w:rFonts w:hint="eastAsia" w:ascii="宋体" w:hAnsi="宋体" w:eastAsia="宋体" w:cs="宋体"/>
          <w:color w:val="auto"/>
          <w:sz w:val="24"/>
          <w:szCs w:val="24"/>
          <w:highlight w:val="none"/>
          <w:lang w:val="en-US" w:eastAsia="zh-CN"/>
        </w:rPr>
        <w:t>信息</w:t>
      </w:r>
      <w:r>
        <w:rPr>
          <w:rFonts w:hint="eastAsia" w:ascii="宋体" w:hAnsi="宋体" w:eastAsia="宋体" w:cs="宋体"/>
          <w:color w:val="auto"/>
          <w:sz w:val="24"/>
          <w:szCs w:val="24"/>
          <w:highlight w:val="none"/>
        </w:rPr>
        <w:t>化解工作。</w:t>
      </w:r>
    </w:p>
    <w:p w14:paraId="7A9EEF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分析一周有关高校的热点话题事件以及近期敏感的信息特性分析，并作出相关的研判分析供用户进行下一步的数据分析工作给予有效的智慧研判.</w:t>
      </w:r>
    </w:p>
    <w:p w14:paraId="37C043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★提供1次</w:t>
      </w:r>
      <w:r>
        <w:rPr>
          <w:rFonts w:hint="eastAsia" w:ascii="宋体" w:hAnsi="宋体" w:eastAsia="宋体" w:cs="宋体"/>
          <w:color w:val="auto"/>
          <w:sz w:val="24"/>
          <w:szCs w:val="24"/>
          <w:highlight w:val="none"/>
          <w:lang w:val="en-US" w:eastAsia="zh-CN"/>
        </w:rPr>
        <w:t>信息</w:t>
      </w:r>
      <w:r>
        <w:rPr>
          <w:rFonts w:hint="eastAsia" w:ascii="宋体" w:hAnsi="宋体" w:eastAsia="宋体" w:cs="宋体"/>
          <w:color w:val="auto"/>
          <w:sz w:val="24"/>
          <w:szCs w:val="24"/>
          <w:highlight w:val="none"/>
        </w:rPr>
        <w:t>管理和处置培训或师资力量。</w:t>
      </w:r>
    </w:p>
    <w:p w14:paraId="50AE95F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lang w:eastAsia="zh-CN"/>
        </w:rPr>
        <w:t>大数据分析</w:t>
      </w:r>
      <w:r>
        <w:rPr>
          <w:rFonts w:hint="eastAsia" w:ascii="宋体" w:hAnsi="宋体" w:eastAsia="宋体" w:cs="宋体"/>
          <w:b/>
          <w:bCs/>
          <w:color w:val="auto"/>
          <w:sz w:val="24"/>
          <w:szCs w:val="24"/>
          <w:highlight w:val="none"/>
        </w:rPr>
        <w:t>系统服务内容包括（含手机APP）：</w:t>
      </w:r>
    </w:p>
    <w:p w14:paraId="24390F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1、▲文本监测：7*24小时实时监测，全媒体覆盖包含新浪微博、百度贴吧、微信公众号、知乎、网站、APP、自媒体、报刊各大主流媒体平台信息；</w:t>
      </w:r>
    </w:p>
    <w:p w14:paraId="7D25CC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2、▲属地信息监测：专题数量不设限制，可对专题进行操作管理；支持按照作者注册点、签到地、地域识别（内容提及）、用户IP属地进行地域信息监测，并可查看地域详情及按地域进行筛选；</w:t>
      </w:r>
    </w:p>
    <w:p w14:paraId="0F5AEB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3、▲定向监测：支持对已识别的重点危险人物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以及</w:t>
      </w:r>
      <w:r>
        <w:rPr>
          <w:rFonts w:hint="eastAsia" w:ascii="宋体" w:hAnsi="宋体" w:eastAsia="宋体" w:cs="宋体"/>
          <w:color w:val="auto"/>
          <w:sz w:val="24"/>
          <w:szCs w:val="24"/>
          <w:highlight w:val="none"/>
          <w:lang w:eastAsia="zh-CN"/>
        </w:rPr>
        <w:t>互联网数据信息</w:t>
      </w:r>
      <w:r>
        <w:rPr>
          <w:rFonts w:hint="eastAsia" w:ascii="宋体" w:hAnsi="宋体" w:eastAsia="宋体" w:cs="宋体"/>
          <w:color w:val="auto"/>
          <w:sz w:val="24"/>
          <w:szCs w:val="24"/>
          <w:highlight w:val="none"/>
        </w:rPr>
        <w:t>高发的本地论坛、本地问政平台、留言板等进行重点监测；支持批量导入各平台作者账号；</w:t>
      </w:r>
    </w:p>
    <w:p w14:paraId="249B9A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4、▲定点监测：要求：支持以一个地点为中心，搜索/监测一定范围内签到的信息，同时匹配相应关键词或场景描述；</w:t>
      </w:r>
    </w:p>
    <w:p w14:paraId="212099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5、▲视频监测：支持监测抖音、快手、B站、秒拍、美拍、西瓜视频、小红书在内不少于14家主流媒体平台，利用技术手段识别视频内容中的文字、语音等信息；</w:t>
      </w:r>
    </w:p>
    <w:p w14:paraId="2F07D0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6、▲语音监测：支持监测抖音平台语言信息，可通过关键词搜索包含该语音内容的短视频；</w:t>
      </w:r>
    </w:p>
    <w:p w14:paraId="433BF5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7、▲图片识别：支持图片OCR识别，如电商图文、广告图文、横幅、宣传资料、拍照资料、街景资料、印刷体等平均识别准确率95%以上；</w:t>
      </w:r>
    </w:p>
    <w:p w14:paraId="6FB62D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监测分析：支持对监测专题进行</w:t>
      </w:r>
      <w:r>
        <w:rPr>
          <w:rFonts w:hint="eastAsia" w:ascii="宋体" w:hAnsi="宋体" w:eastAsia="宋体" w:cs="宋体"/>
          <w:color w:val="auto"/>
          <w:sz w:val="24"/>
          <w:szCs w:val="24"/>
          <w:highlight w:val="none"/>
          <w:lang w:eastAsia="zh-CN"/>
        </w:rPr>
        <w:t>互联网数据信息</w:t>
      </w:r>
      <w:r>
        <w:rPr>
          <w:rFonts w:hint="eastAsia" w:ascii="宋体" w:hAnsi="宋体" w:eastAsia="宋体" w:cs="宋体"/>
          <w:color w:val="auto"/>
          <w:sz w:val="24"/>
          <w:szCs w:val="24"/>
          <w:highlight w:val="none"/>
        </w:rPr>
        <w:t>走势图、媒体来源分布图、关键词云、活跃媒体、活跃博主多维度，多视角，直观化图表化的数据分析，可自动生成日报、周报、月报、年报；</w:t>
      </w:r>
    </w:p>
    <w:p w14:paraId="0F283D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9、信息溯源：支持对微博、网站信息进行回溯分析，查找信息首发，生成传播链路图；</w:t>
      </w:r>
    </w:p>
    <w:p w14:paraId="699D85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10、▲作者画像：支持对发布账户做深入分析，分析维度不少于账号基本信息（粉丝数、发文量、点赞量等）、平台号、账号ID、同源矩阵、近期作者轨迹（作者ip属地及发文签到地的变化轨迹）、近期发文内容；</w:t>
      </w:r>
    </w:p>
    <w:p w14:paraId="03DA2F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11、▲信息失效检测：支持对5个以上平台（如：微博、微信、头条、小红书、抖音、快手）信息进行失效检测，对检测结果标记”已失效“标签；</w:t>
      </w:r>
    </w:p>
    <w:p w14:paraId="0906CA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12、信息截图留证：支持信息复制、截图等操作；</w:t>
      </w:r>
    </w:p>
    <w:p w14:paraId="5A8516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截图搜索：截取图片任意区域，在全网搜索相似图片；</w:t>
      </w:r>
    </w:p>
    <w:p w14:paraId="7E24E1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预警方式：支持针对不同专题的预警规则配置，支持pc、app、微信公众号多种预警方式；</w:t>
      </w:r>
    </w:p>
    <w:p w14:paraId="30A96A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15、榜单预警：能发现属地上热榜信息，并第一时间预警提醒；</w:t>
      </w:r>
    </w:p>
    <w:p w14:paraId="0B2D95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预警分级：支持对预警信息按照重要度和传播情况分级提醒；</w:t>
      </w:r>
    </w:p>
    <w:p w14:paraId="688CCC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热点预测：支持对全网信息、话题、事件数据进行传播情况的综合计算，预测可能成为热点的信息。通过配置关键词的方式，及时预警符合热点的事件、话题；</w:t>
      </w:r>
    </w:p>
    <w:p w14:paraId="66EA88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事件分析报告：支持事件概述、首发脉络、上榜分析、发展趋势、微博分析、短视频分析、媒体分析、评论分析、观点分析、水军分析等多维度的分析报告；</w:t>
      </w:r>
    </w:p>
    <w:p w14:paraId="2E3AC5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19、▲案例库：全网热点事件分析推荐，专业报告团队针对每日热点事件编写事件分析报告；</w:t>
      </w:r>
    </w:p>
    <w:p w14:paraId="174AE5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20、▲全网搜索：支持按关键词、表达式等方式，进行站内数据搜索、跨模态搜索、热点搜索、微博搜索、主流搜索引擎搜索（必应、360、搜狗）等多种搜索方式，可直接在系统内完成多种渠道数据的筛查；</w:t>
      </w:r>
    </w:p>
    <w:p w14:paraId="752471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跨模态搜索：打破单一输入源搜索的限制，可以使用文字、图片、视频在内的组合形式，实现全方位的信息搜索；</w:t>
      </w:r>
    </w:p>
    <w:p w14:paraId="74AD6D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22、热点搜索：通过地域词、事件词，搜索该地区、该事件相关热点预测及上榜情况；</w:t>
      </w:r>
    </w:p>
    <w:p w14:paraId="7F4319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人脸识别：通过一张或多张人脸照片查找人物线索、如找嫌疑人，以及错误、不恰当的形象图片被引用，能找出来网上使用这张照片的相关信息；</w:t>
      </w:r>
    </w:p>
    <w:p w14:paraId="57E474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24、AI溯源：突发事件需支持溯源首发，结合ai可通过图片、视频、关键词等查找首发信息；</w:t>
      </w:r>
    </w:p>
    <w:p w14:paraId="1091E3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25、▲水军库：支持通过对账号发文行为特征判断（IP地域异常、发帖行为异常），为用户找到可能存在操控舆论、误导舆论、炒作引导相关话题、有组织攻击等恶意行为的网络疑似水军提供线索及依据支持；</w:t>
      </w:r>
    </w:p>
    <w:p w14:paraId="0BB8F7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榜单推荐：行业热点榜单及微博、抖音、头条、知乎等各大平台热点榜单列表；</w:t>
      </w:r>
    </w:p>
    <w:p w14:paraId="09E611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27、账号登</w:t>
      </w:r>
      <w:r>
        <w:rPr>
          <w:rFonts w:hint="eastAsia" w:ascii="宋体" w:hAnsi="宋体" w:eastAsia="宋体" w:cs="宋体"/>
          <w:color w:val="auto"/>
          <w:sz w:val="24"/>
          <w:szCs w:val="24"/>
          <w:highlight w:val="none"/>
          <w:lang w:val="en-US" w:eastAsia="zh-CN"/>
        </w:rPr>
        <w:t>录</w:t>
      </w:r>
      <w:r>
        <w:rPr>
          <w:rFonts w:hint="eastAsia" w:ascii="宋体" w:hAnsi="宋体" w:eastAsia="宋体" w:cs="宋体"/>
          <w:color w:val="auto"/>
          <w:sz w:val="24"/>
          <w:szCs w:val="24"/>
          <w:highlight w:val="none"/>
        </w:rPr>
        <w:t>：支持多人同时使用、支持pc、app、公众号同时登陆；</w:t>
      </w:r>
    </w:p>
    <w:p w14:paraId="5B596F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服务：24小时客服在线，随时解答问题。</w:t>
      </w:r>
    </w:p>
    <w:p w14:paraId="787BE9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29、▲AI事界：突发事件、历史事件、本地负面事件，快速出具分析报告，持续追踪，掌握事件整体传播情况，提供处置建议。 </w:t>
      </w:r>
    </w:p>
    <w:p w14:paraId="7442E6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AI风险研判：结合DeepSeek 模型，针对单条信息， 站在用户所在行业的角度，快速提供详细且具体针对性的</w:t>
      </w:r>
      <w:r>
        <w:rPr>
          <w:rFonts w:hint="eastAsia" w:ascii="宋体" w:hAnsi="宋体" w:eastAsia="宋体" w:cs="宋体"/>
          <w:color w:val="auto"/>
          <w:sz w:val="24"/>
          <w:szCs w:val="24"/>
          <w:highlight w:val="none"/>
          <w:lang w:eastAsia="zh-CN"/>
        </w:rPr>
        <w:t>互联网数据信息</w:t>
      </w:r>
      <w:r>
        <w:rPr>
          <w:rFonts w:hint="eastAsia" w:ascii="宋体" w:hAnsi="宋体" w:eastAsia="宋体" w:cs="宋体"/>
          <w:color w:val="auto"/>
          <w:sz w:val="24"/>
          <w:szCs w:val="24"/>
          <w:highlight w:val="none"/>
        </w:rPr>
        <w:t>风险评估。</w:t>
      </w:r>
    </w:p>
    <w:p w14:paraId="75445A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AI摘要：结合AI大模型，信息可自动生成ai摘要，实现快速提取核心内容、掌握</w:t>
      </w:r>
      <w:r>
        <w:rPr>
          <w:rFonts w:hint="eastAsia" w:ascii="宋体" w:hAnsi="宋体" w:eastAsia="宋体" w:cs="宋体"/>
          <w:color w:val="auto"/>
          <w:sz w:val="24"/>
          <w:szCs w:val="24"/>
          <w:highlight w:val="none"/>
          <w:lang w:eastAsia="zh-CN"/>
        </w:rPr>
        <w:t>互联网数据信息</w:t>
      </w:r>
      <w:r>
        <w:rPr>
          <w:rFonts w:hint="eastAsia" w:ascii="宋体" w:hAnsi="宋体" w:eastAsia="宋体" w:cs="宋体"/>
          <w:color w:val="auto"/>
          <w:sz w:val="24"/>
          <w:szCs w:val="24"/>
          <w:highlight w:val="none"/>
        </w:rPr>
        <w:t xml:space="preserve">事件关键、省去人工梳理长文本时间。 </w:t>
      </w:r>
    </w:p>
    <w:p w14:paraId="26F81A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AI客服：支持用户直接进行数据问题查询、支持产品使用相关指导：</w:t>
      </w:r>
    </w:p>
    <w:p w14:paraId="13D48E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AI日报：结合AI帮助用户每日生成专属报告。系统内置星光知识库，能自动关联地域、行业、实时更新、深度解读本地最新政策、领导重要讲话精神和阶段性重点工作部署等，确保分析报告始终与上级要求同频共振；并支持自定义报告模版。</w:t>
      </w:r>
    </w:p>
    <w:p w14:paraId="58786A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AI深度解析：结合AI智能解析文章图片、短视频信息，识别其中实体、场景、事件类型，并对画面进行概括描述，识别潜在风险。</w:t>
      </w:r>
    </w:p>
    <w:p w14:paraId="643C9D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★支持用户自定义创建、删除大数据分析方案，大数据分析方案个数不少于1000个。</w:t>
      </w:r>
    </w:p>
    <w:p w14:paraId="4B2C4D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▲支持用户自定义设置和修改关键词，关键词包含地域词、主题词、事件词、屏蔽词等关键词，关键词个数不少于10000个词组。</w:t>
      </w:r>
    </w:p>
    <w:p w14:paraId="2DAD06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预警推送设置：支持按照工作需要设置预警方案，并支持设置多重预警关键词。预警方案个数不少于1000个，预警关键词个数不少于10000个。</w:t>
      </w:r>
    </w:p>
    <w:p w14:paraId="565F82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系统支持多人同时登录，登录权限不限人次。</w:t>
      </w:r>
    </w:p>
    <w:p w14:paraId="27C3D2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3.技术规范要求</w:t>
      </w:r>
    </w:p>
    <w:p w14:paraId="30C3BC1F">
      <w:pPr>
        <w:tabs>
          <w:tab w:val="left" w:pos="0"/>
        </w:tabs>
        <w:adjustRightInd w:val="0"/>
        <w:spacing w:line="360" w:lineRule="auto"/>
        <w:ind w:left="1"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支持千万级数据秒级抓取，7×24小时稳定运行，响应延迟≤1秒；结构采用模块化设计，适配私有化部署与集群扩展；安全符合等保三级及信创标准，具备数据加密、权限隔离功能；外观界面简洁易用，支持自定义布局；无特殊材料要求，重点保障系统兼容性与可扩展性</w:t>
      </w:r>
      <w:r>
        <w:rPr>
          <w:rFonts w:hint="eastAsia" w:ascii="宋体" w:hAnsi="宋体" w:eastAsia="宋体" w:cs="宋体"/>
          <w:sz w:val="24"/>
          <w:szCs w:val="24"/>
          <w:highlight w:val="none"/>
          <w:lang w:eastAsia="zh-CN"/>
        </w:rPr>
        <w:t>。</w:t>
      </w:r>
    </w:p>
    <w:p w14:paraId="110FDE26">
      <w:pPr>
        <w:tabs>
          <w:tab w:val="left" w:pos="0"/>
        </w:tabs>
        <w:adjustRightInd w:val="0"/>
        <w:spacing w:line="360" w:lineRule="auto"/>
        <w:ind w:left="1"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rPr>
        <w:t>支持千万级</w:t>
      </w:r>
      <w:r>
        <w:rPr>
          <w:rFonts w:hint="eastAsia" w:ascii="宋体" w:hAnsi="宋体" w:eastAsia="宋体" w:cs="宋体"/>
          <w:sz w:val="24"/>
          <w:szCs w:val="24"/>
          <w:highlight w:val="none"/>
          <w:lang w:eastAsia="zh-CN"/>
        </w:rPr>
        <w:t>互联网信息</w:t>
      </w:r>
      <w:r>
        <w:rPr>
          <w:rFonts w:hint="eastAsia" w:ascii="宋体" w:hAnsi="宋体" w:eastAsia="宋体" w:cs="宋体"/>
          <w:sz w:val="24"/>
          <w:szCs w:val="24"/>
          <w:highlight w:val="none"/>
        </w:rPr>
        <w:t>数据秒级抓取与检索，7×24小时稳定运行，系统响应延迟≤1秒，并发用户数≥50人，数据更新频率不低于 5 分钟/次，保障实时监测需求。无特殊材料要求，重点保障软件兼容性，适配 Windows、Linux 等主流操作系统及主流浏览器。结构采用模块化设计，支持私有化部署与集群扩展，可灵活对接高校现有办公系统、数据平台，具备良好的可扩展性与二次开发能力。外观界面简洁直观、操作便捷，支持自定义布局与功能模块拖拽，适配不同岗位用户操作习惯。安全方面，符合等保三级及信创标准，具备数据传输加密、存储加密、权限隔离、操作日志审计功能，严防数据泄露与非法访问，满足高校数据安全合规要求</w:t>
      </w:r>
      <w:r>
        <w:rPr>
          <w:rFonts w:hint="eastAsia" w:ascii="宋体" w:hAnsi="宋体" w:eastAsia="宋体" w:cs="宋体"/>
          <w:sz w:val="24"/>
          <w:szCs w:val="24"/>
          <w:highlight w:val="none"/>
          <w:lang w:eastAsia="zh-CN"/>
        </w:rPr>
        <w:t>。</w:t>
      </w:r>
    </w:p>
    <w:p w14:paraId="4F8070A3">
      <w:pPr>
        <w:tabs>
          <w:tab w:val="left" w:pos="0"/>
        </w:tabs>
        <w:adjustRightInd w:val="0"/>
        <w:spacing w:line="360" w:lineRule="auto"/>
        <w:ind w:left="1" w:firstLine="482" w:firstLineChars="20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4.商务需求</w:t>
      </w:r>
    </w:p>
    <w:p w14:paraId="6AF23EAE">
      <w:pPr>
        <w:tabs>
          <w:tab w:val="left" w:pos="0"/>
        </w:tabs>
        <w:adjustRightInd w:val="0"/>
        <w:spacing w:line="360" w:lineRule="auto"/>
        <w:ind w:left="1" w:firstLine="482" w:firstLineChars="200"/>
        <w:rPr>
          <w:rFonts w:hint="eastAsia" w:ascii="宋体" w:hAnsi="宋体" w:eastAsia="宋体" w:cs="宋体"/>
          <w:sz w:val="24"/>
          <w:szCs w:val="24"/>
          <w:highlight w:val="none"/>
          <w14:ligatures w14:val="standardContextual"/>
        </w:rPr>
      </w:pPr>
      <w:r>
        <w:rPr>
          <w:rFonts w:hint="eastAsia" w:ascii="宋体" w:hAnsi="宋体" w:eastAsia="宋体" w:cs="宋体"/>
          <w:b/>
          <w:bCs/>
          <w:sz w:val="24"/>
          <w:szCs w:val="24"/>
          <w:highlight w:val="none"/>
          <w:lang w:val="en-US" w:eastAsia="zh-CN"/>
        </w:rPr>
        <w:t>4.1项目实施地点：</w:t>
      </w:r>
      <w:r>
        <w:rPr>
          <w:rFonts w:hint="eastAsia" w:ascii="宋体" w:hAnsi="宋体" w:eastAsia="宋体" w:cs="宋体"/>
          <w:sz w:val="24"/>
          <w:szCs w:val="24"/>
          <w:highlight w:val="none"/>
          <w14:ligatures w14:val="standardContextual"/>
        </w:rPr>
        <w:t>新疆师范大学（温泉校区）</w:t>
      </w:r>
    </w:p>
    <w:p w14:paraId="627F7D93">
      <w:pPr>
        <w:tabs>
          <w:tab w:val="left" w:pos="0"/>
        </w:tabs>
        <w:adjustRightInd w:val="0"/>
        <w:spacing w:line="360" w:lineRule="auto"/>
        <w:ind w:left="1" w:firstLine="482" w:firstLineChars="200"/>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14:ligatures w14:val="standardContextual"/>
        </w:rPr>
        <w:t>4.2服务期限：</w:t>
      </w:r>
      <w:r>
        <w:rPr>
          <w:rFonts w:hint="eastAsia" w:ascii="宋体" w:hAnsi="宋体" w:eastAsia="宋体" w:cs="宋体"/>
          <w:bCs/>
          <w:sz w:val="24"/>
          <w:szCs w:val="24"/>
          <w:highlight w:val="none"/>
        </w:rPr>
        <w:t>自合同签订</w:t>
      </w:r>
      <w:r>
        <w:rPr>
          <w:rFonts w:hint="eastAsia" w:ascii="宋体" w:hAnsi="宋体" w:eastAsia="宋体" w:cs="宋体"/>
          <w:bCs/>
          <w:sz w:val="24"/>
          <w:szCs w:val="24"/>
          <w:highlight w:val="none"/>
          <w:lang w:val="en-US" w:eastAsia="zh-CN"/>
        </w:rPr>
        <w:t>之日</w:t>
      </w:r>
      <w:r>
        <w:rPr>
          <w:rFonts w:hint="eastAsia" w:ascii="宋体" w:hAnsi="宋体" w:eastAsia="宋体" w:cs="宋体"/>
          <w:bCs/>
          <w:sz w:val="24"/>
          <w:szCs w:val="24"/>
          <w:highlight w:val="none"/>
        </w:rPr>
        <w:t>起5</w:t>
      </w:r>
      <w:r>
        <w:rPr>
          <w:rFonts w:hint="eastAsia" w:ascii="宋体" w:hAnsi="宋体" w:eastAsia="宋体" w:cs="宋体"/>
          <w:bCs/>
          <w:sz w:val="24"/>
          <w:szCs w:val="24"/>
          <w:highlight w:val="none"/>
          <w:lang w:eastAsia="zh-CN"/>
        </w:rPr>
        <w:t>日</w:t>
      </w:r>
      <w:r>
        <w:rPr>
          <w:rFonts w:hint="eastAsia" w:ascii="宋体" w:hAnsi="宋体" w:eastAsia="宋体" w:cs="宋体"/>
          <w:bCs/>
          <w:sz w:val="24"/>
          <w:szCs w:val="24"/>
          <w:highlight w:val="none"/>
        </w:rPr>
        <w:t>内完成交付验收。</w:t>
      </w:r>
    </w:p>
    <w:p w14:paraId="128F1D3D">
      <w:pPr>
        <w:tabs>
          <w:tab w:val="left" w:pos="0"/>
        </w:tabs>
        <w:adjustRightInd w:val="0"/>
        <w:spacing w:line="360" w:lineRule="auto"/>
        <w:ind w:left="1"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4.3售后服务要求</w:t>
      </w:r>
    </w:p>
    <w:p w14:paraId="7A4DB96C">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4.3.1服务范围​</w:t>
      </w:r>
    </w:p>
    <w:p w14:paraId="5AD747CC">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系统运维保障：涵盖互联网数据信息软件的日常运行维护、故障排查、漏洞修复、数据安全保障等全流程服务，确保系统 7×24 小时稳定运行，无重大宕机事故。</w:t>
      </w:r>
    </w:p>
    <w:p w14:paraId="2CF1A65B">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版本升级服务：服务期内提供免费小版本升级，大版本升级需明确费用标准及升级周期，升级过程需保障数据不丢失、业务不中断。​</w:t>
      </w:r>
    </w:p>
    <w:p w14:paraId="3023CBF9">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数据管理服务：包括数据备份、恢复、脱敏处理，符合《中华人民共和国数据安全法》要求，每月至少提供 1 次全量数据备份，支持故障后 2 小时内数据恢复。​</w:t>
      </w:r>
    </w:p>
    <w:p w14:paraId="60A7C051">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定制化支持：根据用户业务需求，提供关键词优化、监测范围调整、报告模板定制等个性化服务，响应周期不超过 3 个工作日。​</w:t>
      </w:r>
    </w:p>
    <w:p w14:paraId="22A9C57F">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增值服务：定期提供互联网数据信息行业动态分析、政策解读、系统功能优化建议，每季度输出1份行业趋势报告。​</w:t>
      </w:r>
    </w:p>
    <w:p w14:paraId="542CBA37">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4.3.2服务质量标准​</w:t>
      </w:r>
    </w:p>
    <w:p w14:paraId="0F0A40ED">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系统稳定性：全年运行故障率≤0.5%，单次故障修复后无复发周期≥90 天。</w:t>
      </w:r>
    </w:p>
    <w:p w14:paraId="05EEE7F5">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数据准确性：互联网数据信息抓取准确率≥98%，情感分析正确率≥90%，重大互联网数据信息漏报、迟报率为 0。​</w:t>
      </w:r>
    </w:p>
    <w:p w14:paraId="7A9C8A76">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服务合规性：服务商需具备等保认证、信创适配等合规资质，支持私有化部署，保障数据隐私安全。​</w:t>
      </w:r>
    </w:p>
    <w:p w14:paraId="469E0C0B">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无隐形收费：服务期内所有运维、升级、培训等费用均包含在合同总价中，不得擅自增加额外收费项目。​</w:t>
      </w:r>
    </w:p>
    <w:p w14:paraId="2A41CAD3">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4.3.3服务考核机制​</w:t>
      </w:r>
    </w:p>
    <w:p w14:paraId="412C847D">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建立量化考核指标，包括故障修复率、客户满意度、响应及时率等，每月进行一次服务质量评估。​</w:t>
      </w:r>
    </w:p>
    <w:p w14:paraId="55E1EAE2">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考核不合格处理：单次考核不合格需在3个工作日内提交整改方案，连续两次考核不合格，用户有权扣除合同总价5%的服务费用，情节严重可终止合同。​重大互联网数据信息处置考核：重大互联网数据信息未第一时间推送、漏报或迟报的，每次按合同总价1%进行处罚。</w:t>
      </w:r>
    </w:p>
    <w:p w14:paraId="7E63EDF4">
      <w:pPr>
        <w:tabs>
          <w:tab w:val="left" w:pos="0"/>
        </w:tabs>
        <w:adjustRightInd w:val="0"/>
        <w:spacing w:line="360" w:lineRule="auto"/>
        <w:ind w:left="1" w:firstLine="482" w:firstLineChars="20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4.4持续培训方案要求</w:t>
      </w:r>
    </w:p>
    <w:p w14:paraId="68CC1F46">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4.4.1培训目标</w:t>
      </w:r>
    </w:p>
    <w:p w14:paraId="733624C6">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确保用户方系统管理员能独立完成系统配置、权限管理、故障排查等操作；普通操作人员能熟练掌握互联网数据信息监测、分析、报告生成等核心功能，培训后考核通过率≥95%。​</w:t>
      </w:r>
    </w:p>
    <w:p w14:paraId="46796823">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4.4.2培训内容与形式​</w:t>
      </w:r>
    </w:p>
    <w:p w14:paraId="77DA43DF">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基础培训（系统上线后1周内完成）：​</w:t>
      </w:r>
    </w:p>
    <w:p w14:paraId="5BDF0A53">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内容：系统界面操作、监测关键词设置、预警规则配置、基础报告生成等，培训时长不少于 12 小时/批次。​</w:t>
      </w:r>
    </w:p>
    <w:p w14:paraId="4732874C">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形式：线下集中授课+实操演练，提供图文并茂的操作手册、培训课件等资料。</w:t>
      </w:r>
    </w:p>
    <w:p w14:paraId="7B5A4DA5">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进阶培训（每季度 1 次）：​</w:t>
      </w:r>
    </w:p>
    <w:p w14:paraId="7DE736C4">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内容：互联网数据信息深度分析技巧、复杂场景监测方案、危机处置流程、新功能应用等，结合实际案例开展模拟演练。​</w:t>
      </w:r>
    </w:p>
    <w:p w14:paraId="79BF59BE">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形式：线上直播+线下答疑，支持回放查看，每次培训时长不少于 4 小时。</w:t>
      </w:r>
    </w:p>
    <w:p w14:paraId="04EF2CC2">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定制化培训：​</w:t>
      </w:r>
    </w:p>
    <w:p w14:paraId="268238D3">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根据不同岗位需求（如互联网数据信息分析师、管理员、决策层），提供针对性培训内容，满足差异化需求。​</w:t>
      </w:r>
    </w:p>
    <w:p w14:paraId="60EFCC32">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培训保障：​</w:t>
      </w:r>
    </w:p>
    <w:p w14:paraId="499048B2">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建立在线知识库，上传培训资料、常见问题解答、系统更新说明等，支持随时查阅。​</w:t>
      </w:r>
    </w:p>
    <w:p w14:paraId="2923B6DA">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培训后提供1个月的跟踪辅导，及时解决实操过程中遇到的问题。​</w:t>
      </w:r>
    </w:p>
    <w:p w14:paraId="051922ED">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4.4.3培训师资要求​</w:t>
      </w:r>
    </w:p>
    <w:p w14:paraId="4E770596">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培训讲师需具备3年以上互联网数据信息软件实操及培训经验，熟悉行业业务场景，能结合用户实际需求提供案例化教学。​</w:t>
      </w:r>
    </w:p>
    <w:p w14:paraId="4AA3EEA7">
      <w:pPr>
        <w:tabs>
          <w:tab w:val="left" w:pos="0"/>
        </w:tabs>
        <w:adjustRightInd w:val="0"/>
        <w:spacing w:line="360" w:lineRule="auto"/>
        <w:ind w:left="1" w:firstLine="482" w:firstLineChars="20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4.5售后服务机构与人员安排要求</w:t>
      </w:r>
      <w:r>
        <w:rPr>
          <w:rFonts w:hint="eastAsia" w:ascii="宋体" w:hAnsi="宋体" w:eastAsia="宋体" w:cs="宋体"/>
          <w:sz w:val="24"/>
          <w:szCs w:val="24"/>
          <w:highlight w:val="none"/>
          <w:lang w:val="en-US" w:eastAsia="zh-CN"/>
        </w:rPr>
        <w:t>​</w:t>
      </w:r>
    </w:p>
    <w:p w14:paraId="5A4F1F94">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4.5.1售后服务机构​</w:t>
      </w:r>
    </w:p>
    <w:p w14:paraId="649898C5">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供应商须建立健全售后服务保障体系，具备完善的服务管理机制与岗位职责分工，能够统筹开展客户咨询响应、技术问题处置、现场故障维修、服务质量管控等全流程售后服务工作。</w:t>
      </w:r>
    </w:p>
    <w:p w14:paraId="32C61B85">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同时具备相应服务设备及备品备件保障能力，保障售后现场服务及时高效响应。</w:t>
      </w:r>
    </w:p>
    <w:p w14:paraId="3E66137E">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4.5.2人员配置​</w:t>
      </w:r>
    </w:p>
    <w:p w14:paraId="277C019B">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专属服务团队：为用户配备1对1专属服务团队，包括1名项目经理、1 名技术工程师、1名客服专员，全程负责服务对接。​</w:t>
      </w:r>
    </w:p>
    <w:p w14:paraId="04CD261B">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核心人员要求：​</w:t>
      </w:r>
    </w:p>
    <w:p w14:paraId="1CC1C0F9">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项目经理：具备5年以上互联网数据信息项目服务经验，负责统筹服务资源、处理重大问题、定期沟通服务情况。</w:t>
      </w:r>
    </w:p>
    <w:p w14:paraId="62EABC69">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技术工程师：具备3年以上互联网数据信息软件技术支持经验，熟悉系统架构及运维流程，能独立解决复杂技术问题。​</w:t>
      </w:r>
    </w:p>
    <w:p w14:paraId="4C1F22DB">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客服专员：提供 7×24 小时服务对接，负责咨询受理、问题分派、进度跟踪、反馈回复等工作。​</w:t>
      </w:r>
    </w:p>
    <w:p w14:paraId="11D0B879">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人员稳定性：服务期内不得擅自更换核心服务人员，如需更换需提前15个工作日书面通知用户，经用户同意后方可更换，且更换后人员资质不得低于原人员标准。​  </w:t>
      </w:r>
    </w:p>
    <w:p w14:paraId="3F49C8FC">
      <w:pPr>
        <w:tabs>
          <w:tab w:val="left" w:pos="0"/>
        </w:tabs>
        <w:adjustRightInd w:val="0"/>
        <w:spacing w:line="360" w:lineRule="auto"/>
        <w:ind w:left="1" w:firstLine="482" w:firstLineChars="20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4.6售后响应处理速度承诺要求​</w:t>
      </w:r>
    </w:p>
    <w:p w14:paraId="3E4ABFE7">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4.6.1响应时效标准​</w:t>
      </w:r>
    </w:p>
    <w:p w14:paraId="29D8F176">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咨询响应：用户通过电话、在线平台等方式咨询，15 分钟内响应，简单问题 30 分钟内解决，复杂问题1小时内给出解决方案。​</w:t>
      </w:r>
    </w:p>
    <w:p w14:paraId="337F91E2">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故障报修响应：​</w:t>
      </w:r>
    </w:p>
    <w:p w14:paraId="0E89DA73">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远程支持：15分钟内响应，一般故障2小时内解决，复杂故障4小时内提供临时解决方案，24 小时内彻底解决。​</w:t>
      </w:r>
    </w:p>
    <w:p w14:paraId="72E8CEF3">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现场服务：4小时内抵达，特殊紧急情况可加急调配。​</w:t>
      </w:r>
    </w:p>
    <w:p w14:paraId="4B667035">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投诉响应：1 小时内受理客户投诉，24小时内完成调查核实，48 小时内给出解决方案并反馈客户，投诉处理满意率≥98%。</w:t>
      </w:r>
    </w:p>
    <w:p w14:paraId="1F07FCE7">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4.6.2重大故障应急机制​</w:t>
      </w:r>
    </w:p>
    <w:p w14:paraId="7F7D16F9">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定义：系统全面宕机、数据丢失、重大互联网数据信息漏报等影响业务正常开展的情况，视为重大故障。​</w:t>
      </w:r>
    </w:p>
    <w:p w14:paraId="1F62264E">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应急响应：重大故障发生后，服务商需立即启动应急预案，技术团队 7×24 小时现场支援，确保4小时内恢复系统核心功能，12 小时内全面解决问题。</w:t>
      </w:r>
    </w:p>
    <w:p w14:paraId="673E2765">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事后复盘：重大故障解决后 3 个工作日内，提交故障分析报告及预防措施，避免同类问题再次发生。​</w:t>
      </w:r>
    </w:p>
    <w:p w14:paraId="40C259ED">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4.6.3服务沟通机制​</w:t>
      </w:r>
    </w:p>
    <w:p w14:paraId="12022975">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日常沟通：客服专员每周与用户进行1次沟通，反馈服务情况、解答疑问。</w:t>
      </w:r>
    </w:p>
    <w:p w14:paraId="526A6024">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定期汇报：项目经理每月提交1份服务月报，内容包括系统运行情况、问题处理记录、服务优化建议等。​</w:t>
      </w:r>
    </w:p>
    <w:p w14:paraId="28D1A65C">
      <w:pPr>
        <w:tabs>
          <w:tab w:val="left" w:pos="0"/>
        </w:tabs>
        <w:adjustRightInd w:val="0"/>
        <w:spacing w:line="360" w:lineRule="auto"/>
        <w:ind w:left="1"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年度评审：每年组织1次服务质量评审会议，邀请用户对服务效果进行评价，共同制定下一年度服务改进计划。</w:t>
      </w:r>
    </w:p>
    <w:p w14:paraId="725588F0">
      <w:pPr>
        <w:tabs>
          <w:tab w:val="left" w:pos="0"/>
        </w:tabs>
        <w:adjustRightInd w:val="0"/>
        <w:spacing w:line="360" w:lineRule="auto"/>
        <w:ind w:left="1"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标记的参数为实质性条款，有一条不满足则投标无效。响应文件严禁照搬招标文件要求，否则可能会被评标委员会判为无效投标。“▲”标记的指标是重要技术指标要求，存在负偏离按照评审办法相应扣分。</w:t>
      </w:r>
    </w:p>
    <w:p w14:paraId="6C495F7C">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6970E05D">
      <w:pPr>
        <w:pStyle w:val="2"/>
        <w:bidi w:val="0"/>
        <w:rPr>
          <w:rFonts w:hint="eastAsia"/>
        </w:rPr>
      </w:pPr>
      <w:bookmarkStart w:id="234" w:name="_Toc7018"/>
      <w:bookmarkStart w:id="235" w:name="_Toc19490"/>
      <w:bookmarkStart w:id="236" w:name="_Toc20745"/>
      <w:bookmarkStart w:id="237" w:name="_Toc21848"/>
      <w:r>
        <w:rPr>
          <w:rFonts w:hint="eastAsia"/>
        </w:rPr>
        <w:t xml:space="preserve">第五章 </w:t>
      </w:r>
      <w:bookmarkEnd w:id="170"/>
      <w:bookmarkStart w:id="238" w:name="_Hlt101846155"/>
      <w:bookmarkEnd w:id="238"/>
      <w:bookmarkStart w:id="239" w:name="_Toc208849007"/>
      <w:bookmarkStart w:id="240" w:name="_Toc183682415"/>
      <w:bookmarkStart w:id="241" w:name="_Toc217446097"/>
      <w:bookmarkStart w:id="242" w:name="_Toc183582280"/>
      <w:r>
        <w:rPr>
          <w:rFonts w:hint="eastAsia"/>
        </w:rPr>
        <w:t>评审办法</w:t>
      </w:r>
      <w:bookmarkEnd w:id="234"/>
      <w:bookmarkEnd w:id="235"/>
      <w:bookmarkEnd w:id="236"/>
      <w:bookmarkEnd w:id="237"/>
    </w:p>
    <w:bookmarkEnd w:id="239"/>
    <w:bookmarkEnd w:id="240"/>
    <w:bookmarkEnd w:id="241"/>
    <w:bookmarkEnd w:id="242"/>
    <w:p w14:paraId="7D3C2EEC">
      <w:pPr>
        <w:spacing w:line="360" w:lineRule="auto"/>
        <w:ind w:firstLine="482" w:firstLineChars="200"/>
        <w:rPr>
          <w:rFonts w:hint="eastAsia" w:ascii="宋体" w:hAnsi="宋体" w:eastAsia="宋体" w:cs="宋体"/>
          <w:b/>
          <w:bCs/>
          <w:color w:val="auto"/>
          <w:sz w:val="24"/>
          <w:szCs w:val="24"/>
          <w:highlight w:val="none"/>
        </w:rPr>
      </w:pPr>
      <w:bookmarkStart w:id="243" w:name="_Toc217446099"/>
      <w:r>
        <w:rPr>
          <w:rFonts w:hint="eastAsia" w:ascii="宋体" w:hAnsi="宋体" w:eastAsia="宋体" w:cs="宋体"/>
          <w:b/>
          <w:bCs/>
          <w:color w:val="auto"/>
          <w:sz w:val="24"/>
          <w:szCs w:val="24"/>
          <w:highlight w:val="none"/>
        </w:rPr>
        <w:t>1. 总则</w:t>
      </w:r>
    </w:p>
    <w:p w14:paraId="09632BA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按照《中华人民共和国政府采购法》、《中华人民共和国政府采购法实施条例》、《政府采购竞争性磋商采购方式管理暂行办法》（财政部财库〔2014〕214号）等相关法律、法规、规章和相关规定，结合服务项目特点制定本评审办法。</w:t>
      </w:r>
    </w:p>
    <w:p w14:paraId="1A7E734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eastAsia="宋体" w:cs="宋体"/>
          <w:bCs/>
          <w:color w:val="auto"/>
          <w:sz w:val="24"/>
          <w:szCs w:val="24"/>
          <w:highlight w:val="none"/>
        </w:rPr>
        <w:t>评审工作由采购人负责组织，具体评审工作由采购人依法组建的磋商小组负责。磋商小组由采购人代表和有关技术、经济等方面的专家组成。</w:t>
      </w:r>
    </w:p>
    <w:p w14:paraId="164EFD3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评审工作应遵循公平、公正、科学及择优的原则。</w:t>
      </w:r>
    </w:p>
    <w:p w14:paraId="372632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磋商小组按照磋商文件规定的评审方法和标准进行评审，并独立履行下列职责：</w:t>
      </w:r>
    </w:p>
    <w:p w14:paraId="1FD404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（1）审查响应文件是否符合磋商文件要求，并作出评价；</w:t>
      </w:r>
    </w:p>
    <w:p w14:paraId="1CCB6C8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（2）要求供应商对响应文件有关事项作出解释或者澄清；</w:t>
      </w:r>
    </w:p>
    <w:p w14:paraId="32E80F1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（3）推荐成交候选供应商名单，或者受采购人委托按照事先确定的办法直接确定成交供应商；</w:t>
      </w:r>
    </w:p>
    <w:p w14:paraId="3860DD3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（4）向采购单位或者有关部门报告非法干预评审工作的行为。</w:t>
      </w:r>
      <w:bookmarkStart w:id="244" w:name="_Toc217446098"/>
    </w:p>
    <w:p w14:paraId="171DAF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评审过程严格保密。供应商对磋商小组的评审过程或合同授予决定施加影响的任何行为都可能导致其响应文件无效。</w:t>
      </w:r>
    </w:p>
    <w:p w14:paraId="29CF1E1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1.6磋商小组决定响应文件的响应性应依据响应文件本身的内容，而不寻求外部的证据。</w:t>
      </w:r>
    </w:p>
    <w:p w14:paraId="0F4601B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1.7磋商小组发现磋商文件表述不明确或需要说明的事项，可提请采购单位书面解释说明。发现磋商文件违反法律、法规、规章和相关规定的，可以拒绝评审，并向采购单位书面说明情况。</w:t>
      </w:r>
    </w:p>
    <w:p w14:paraId="453F5021">
      <w:pPr>
        <w:spacing w:line="360" w:lineRule="auto"/>
        <w:outlineLvl w:val="1"/>
        <w:rPr>
          <w:rFonts w:hint="eastAsia" w:ascii="宋体" w:hAnsi="宋体" w:eastAsia="宋体" w:cs="宋体"/>
          <w:color w:val="auto"/>
          <w:sz w:val="24"/>
          <w:szCs w:val="24"/>
          <w:highlight w:val="none"/>
        </w:rPr>
      </w:pPr>
      <w:bookmarkStart w:id="245" w:name="_Toc5018"/>
      <w:bookmarkStart w:id="246" w:name="_Toc10231"/>
      <w:r>
        <w:rPr>
          <w:rFonts w:hint="eastAsia" w:ascii="宋体" w:hAnsi="宋体" w:eastAsia="宋体" w:cs="宋体"/>
          <w:b/>
          <w:color w:val="auto"/>
          <w:sz w:val="24"/>
          <w:szCs w:val="24"/>
          <w:highlight w:val="none"/>
        </w:rPr>
        <w:t>2</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评审方法</w:t>
      </w:r>
      <w:bookmarkEnd w:id="245"/>
      <w:bookmarkEnd w:id="246"/>
    </w:p>
    <w:p w14:paraId="4A082F7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本项目评审方法为：综合评分法。</w:t>
      </w:r>
    </w:p>
    <w:p w14:paraId="43C43747">
      <w:pPr>
        <w:spacing w:line="360" w:lineRule="auto"/>
        <w:outlineLvl w:val="1"/>
        <w:rPr>
          <w:rFonts w:hint="eastAsia" w:ascii="宋体" w:hAnsi="宋体" w:eastAsia="宋体" w:cs="宋体"/>
          <w:b/>
          <w:color w:val="auto"/>
          <w:sz w:val="24"/>
          <w:szCs w:val="24"/>
          <w:highlight w:val="none"/>
        </w:rPr>
      </w:pPr>
      <w:bookmarkStart w:id="247" w:name="_Toc1912"/>
      <w:bookmarkStart w:id="248" w:name="_Toc27505"/>
      <w:r>
        <w:rPr>
          <w:rFonts w:hint="eastAsia" w:ascii="宋体" w:hAnsi="宋体" w:eastAsia="宋体" w:cs="宋体"/>
          <w:b/>
          <w:bCs/>
          <w:color w:val="auto"/>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评审程序</w:t>
      </w:r>
      <w:bookmarkEnd w:id="244"/>
      <w:bookmarkEnd w:id="247"/>
      <w:bookmarkEnd w:id="248"/>
    </w:p>
    <w:p w14:paraId="346D2354">
      <w:pPr>
        <w:pStyle w:val="11"/>
        <w:spacing w:line="360" w:lineRule="auto"/>
        <w:rPr>
          <w:rFonts w:hint="eastAsia" w:ascii="宋体" w:hAnsi="宋体" w:eastAsia="宋体" w:cs="宋体"/>
          <w:color w:val="auto"/>
          <w:sz w:val="24"/>
          <w:szCs w:val="24"/>
          <w:highlight w:val="none"/>
        </w:rPr>
      </w:pPr>
    </w:p>
    <w:p w14:paraId="170FD195">
      <w:pPr>
        <w:pStyle w:val="27"/>
        <w:spacing w:line="360" w:lineRule="auto"/>
        <w:ind w:firstLine="240"/>
        <w:rPr>
          <w:rFonts w:hint="eastAsia" w:ascii="宋体" w:hAnsi="宋体" w:eastAsia="宋体" w:cs="宋体"/>
          <w:color w:val="auto"/>
          <w:sz w:val="24"/>
          <w:szCs w:val="24"/>
          <w:highlight w:val="none"/>
        </w:rPr>
      </w:pPr>
    </w:p>
    <w:p w14:paraId="3D59E50F">
      <w:pPr>
        <w:spacing w:line="360" w:lineRule="auto"/>
        <w:rPr>
          <w:rFonts w:hint="eastAsia" w:ascii="宋体" w:hAnsi="宋体" w:eastAsia="宋体" w:cs="宋体"/>
          <w:color w:val="auto"/>
          <w:sz w:val="24"/>
          <w:szCs w:val="24"/>
          <w:highlight w:val="none"/>
        </w:rPr>
      </w:pPr>
    </w:p>
    <w:p w14:paraId="23C6DF6F">
      <w:pPr>
        <w:spacing w:line="360" w:lineRule="auto"/>
        <w:rPr>
          <w:rFonts w:hint="eastAsia" w:ascii="宋体" w:hAnsi="宋体" w:eastAsia="宋体" w:cs="宋体"/>
          <w:color w:val="auto"/>
          <w:sz w:val="24"/>
          <w:szCs w:val="24"/>
          <w:highlight w:val="none"/>
        </w:rPr>
      </w:pPr>
    </w:p>
    <w:p w14:paraId="7935935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3.1资格审查</w:t>
      </w:r>
    </w:p>
    <w:p w14:paraId="5FECAFFF">
      <w:pPr>
        <w:pStyle w:val="28"/>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资格审查表</w:t>
      </w:r>
    </w:p>
    <w:tbl>
      <w:tblPr>
        <w:tblStyle w:val="29"/>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2"/>
        <w:gridCol w:w="6516"/>
        <w:gridCol w:w="622"/>
        <w:gridCol w:w="673"/>
      </w:tblGrid>
      <w:tr w14:paraId="34CA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532" w:type="dxa"/>
            <w:vMerge w:val="restart"/>
            <w:vAlign w:val="center"/>
          </w:tcPr>
          <w:p w14:paraId="64EFD23B">
            <w:pPr>
              <w:pStyle w:val="88"/>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6516" w:type="dxa"/>
            <w:vMerge w:val="restart"/>
            <w:vAlign w:val="center"/>
          </w:tcPr>
          <w:p w14:paraId="1139D41A">
            <w:pPr>
              <w:pStyle w:val="88"/>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审   查   标   准</w:t>
            </w:r>
          </w:p>
        </w:tc>
        <w:tc>
          <w:tcPr>
            <w:tcW w:w="1295" w:type="dxa"/>
            <w:gridSpan w:val="2"/>
            <w:vAlign w:val="center"/>
          </w:tcPr>
          <w:p w14:paraId="22025842">
            <w:pPr>
              <w:pStyle w:val="88"/>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审查结果</w:t>
            </w:r>
          </w:p>
        </w:tc>
      </w:tr>
      <w:tr w14:paraId="7D8D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532" w:type="dxa"/>
            <w:vMerge w:val="continue"/>
            <w:vAlign w:val="center"/>
          </w:tcPr>
          <w:p w14:paraId="49387351">
            <w:pPr>
              <w:pStyle w:val="88"/>
              <w:spacing w:line="360" w:lineRule="auto"/>
              <w:jc w:val="center"/>
              <w:textAlignment w:val="center"/>
              <w:rPr>
                <w:rFonts w:hint="eastAsia" w:ascii="宋体" w:hAnsi="宋体" w:eastAsia="宋体" w:cs="宋体"/>
                <w:sz w:val="24"/>
                <w:szCs w:val="24"/>
                <w:highlight w:val="none"/>
              </w:rPr>
            </w:pPr>
          </w:p>
        </w:tc>
        <w:tc>
          <w:tcPr>
            <w:tcW w:w="6516" w:type="dxa"/>
            <w:vMerge w:val="continue"/>
            <w:vAlign w:val="center"/>
          </w:tcPr>
          <w:p w14:paraId="797AF035">
            <w:pPr>
              <w:pStyle w:val="88"/>
              <w:spacing w:line="360" w:lineRule="auto"/>
              <w:jc w:val="center"/>
              <w:textAlignment w:val="center"/>
              <w:rPr>
                <w:rFonts w:hint="eastAsia" w:ascii="宋体" w:hAnsi="宋体" w:eastAsia="宋体" w:cs="宋体"/>
                <w:sz w:val="24"/>
                <w:szCs w:val="24"/>
                <w:highlight w:val="none"/>
              </w:rPr>
            </w:pPr>
          </w:p>
        </w:tc>
        <w:tc>
          <w:tcPr>
            <w:tcW w:w="622" w:type="dxa"/>
            <w:vAlign w:val="center"/>
          </w:tcPr>
          <w:p w14:paraId="3728BD80">
            <w:pPr>
              <w:pStyle w:val="88"/>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通过</w:t>
            </w:r>
          </w:p>
        </w:tc>
        <w:tc>
          <w:tcPr>
            <w:tcW w:w="673" w:type="dxa"/>
            <w:vAlign w:val="center"/>
          </w:tcPr>
          <w:p w14:paraId="1F10122E">
            <w:pPr>
              <w:pStyle w:val="88"/>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不通过</w:t>
            </w:r>
          </w:p>
        </w:tc>
      </w:tr>
      <w:tr w14:paraId="19D0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1FD74CA1">
            <w:pPr>
              <w:pStyle w:val="88"/>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6516" w:type="dxa"/>
            <w:shd w:val="clear" w:color="auto" w:fill="auto"/>
            <w:vAlign w:val="center"/>
          </w:tcPr>
          <w:p w14:paraId="11C23450">
            <w:pPr>
              <w:pStyle w:val="88"/>
              <w:spacing w:line="360" w:lineRule="auto"/>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具有独立承担民事责任的能力；</w:t>
            </w:r>
          </w:p>
          <w:p w14:paraId="63F09D3F">
            <w:pPr>
              <w:pStyle w:val="88"/>
              <w:spacing w:line="360" w:lineRule="auto"/>
              <w:ind w:left="105" w:leftChars="50" w:right="105" w:rightChars="50"/>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【供应商满足以下条件之一即可：</w:t>
            </w:r>
          </w:p>
          <w:p w14:paraId="3C8EE4A8">
            <w:pPr>
              <w:pStyle w:val="88"/>
              <w:spacing w:line="360" w:lineRule="auto"/>
              <w:ind w:left="105" w:leftChars="50" w:right="105" w:rightChars="50"/>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供应商为企业（包括合伙企业）的，应提供有效的“营业执照”；</w:t>
            </w:r>
          </w:p>
          <w:p w14:paraId="33B12D52">
            <w:pPr>
              <w:pStyle w:val="88"/>
              <w:spacing w:line="360" w:lineRule="auto"/>
              <w:ind w:left="105" w:leftChars="50" w:right="105" w:rightChars="50"/>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供应商为事业单位的，应提供有效的“事业单位法人证书”；</w:t>
            </w:r>
          </w:p>
          <w:p w14:paraId="22E89B84">
            <w:pPr>
              <w:pStyle w:val="88"/>
              <w:spacing w:line="360" w:lineRule="auto"/>
              <w:ind w:left="105" w:leftChars="50" w:right="105" w:rightChars="50"/>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供应商是非企业机构的，应提供有效的“执业许可证”、“登记证书”等证明文件；</w:t>
            </w:r>
          </w:p>
          <w:p w14:paraId="7FE4923B">
            <w:pPr>
              <w:pStyle w:val="88"/>
              <w:spacing w:line="360" w:lineRule="auto"/>
              <w:ind w:left="105" w:leftChars="50" w:right="105" w:rightChars="50"/>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供应商是个体工商户的，应提供有效的“个体工商户营业执照”；</w:t>
            </w:r>
          </w:p>
          <w:p w14:paraId="70FA25AD">
            <w:pPr>
              <w:pStyle w:val="88"/>
              <w:spacing w:line="360" w:lineRule="auto"/>
              <w:ind w:left="105" w:leftChars="50" w:right="105" w:rightChars="50"/>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供应商是自然人的，应提供有效的自然人身份证明。</w:t>
            </w:r>
          </w:p>
          <w:p w14:paraId="70D5955E">
            <w:pPr>
              <w:pStyle w:val="88"/>
              <w:spacing w:line="360" w:lineRule="auto"/>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622" w:type="dxa"/>
            <w:vAlign w:val="center"/>
          </w:tcPr>
          <w:p w14:paraId="1FD73A6B">
            <w:pPr>
              <w:pStyle w:val="88"/>
              <w:spacing w:line="360" w:lineRule="auto"/>
              <w:jc w:val="center"/>
              <w:textAlignment w:val="center"/>
              <w:rPr>
                <w:rFonts w:hint="eastAsia" w:ascii="宋体" w:hAnsi="宋体" w:eastAsia="宋体" w:cs="宋体"/>
                <w:sz w:val="24"/>
                <w:szCs w:val="24"/>
                <w:highlight w:val="none"/>
              </w:rPr>
            </w:pPr>
          </w:p>
        </w:tc>
        <w:tc>
          <w:tcPr>
            <w:tcW w:w="673" w:type="dxa"/>
            <w:vAlign w:val="center"/>
          </w:tcPr>
          <w:p w14:paraId="54B4CB1E">
            <w:pPr>
              <w:pStyle w:val="88"/>
              <w:spacing w:line="360" w:lineRule="auto"/>
              <w:jc w:val="center"/>
              <w:textAlignment w:val="center"/>
              <w:rPr>
                <w:rFonts w:hint="eastAsia" w:ascii="宋体" w:hAnsi="宋体" w:eastAsia="宋体" w:cs="宋体"/>
                <w:sz w:val="24"/>
                <w:szCs w:val="24"/>
                <w:highlight w:val="none"/>
              </w:rPr>
            </w:pPr>
          </w:p>
        </w:tc>
      </w:tr>
      <w:tr w14:paraId="414D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03ABED31">
            <w:pPr>
              <w:pStyle w:val="88"/>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6516" w:type="dxa"/>
            <w:shd w:val="clear" w:color="auto" w:fill="auto"/>
            <w:vAlign w:val="center"/>
          </w:tcPr>
          <w:p w14:paraId="7AA7311F">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具有良好的商业信誉和健全的财务会计制度；</w:t>
            </w:r>
          </w:p>
          <w:p w14:paraId="7E393089">
            <w:pPr>
              <w:pStyle w:val="88"/>
              <w:spacing w:line="360" w:lineRule="auto"/>
              <w:ind w:left="105" w:leftChars="50" w:right="105" w:rightChars="50"/>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以开标截止时间点投标人未列入“信用中国”&lt;www.creditchina.gov.cn&gt;网站的“失信被执行人”和“重大税收违法失信主体”及“中国政府采购网”&lt;www.ccgp.gov.cn&gt;网站的“政府采购严重违法失信行为记录名单”，开标截止时间后，由采购代理公司统一登陆网站查询上传</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的投标人信誉情况，并以保存的网页查询截图为准；</w:t>
            </w:r>
          </w:p>
          <w:p w14:paraId="04FEF1AA">
            <w:pPr>
              <w:pStyle w:val="88"/>
              <w:spacing w:line="360" w:lineRule="auto"/>
              <w:ind w:left="105" w:leftChars="50" w:right="105" w:rightChars="50"/>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（2）银行出具的近1年内资信证明或2025年度经审计</w:t>
            </w:r>
            <w:r>
              <w:rPr>
                <w:rFonts w:hint="eastAsia" w:ascii="宋体" w:hAnsi="宋体" w:eastAsia="宋体" w:cs="宋体"/>
                <w:sz w:val="24"/>
                <w:szCs w:val="24"/>
                <w:highlight w:val="none"/>
                <w:lang w:val="en-US" w:eastAsia="zh-CN"/>
              </w:rPr>
              <w:t>并赋码</w:t>
            </w:r>
            <w:r>
              <w:rPr>
                <w:rFonts w:hint="eastAsia" w:ascii="宋体" w:hAnsi="宋体" w:eastAsia="宋体" w:cs="宋体"/>
                <w:sz w:val="24"/>
                <w:szCs w:val="24"/>
                <w:highlight w:val="none"/>
              </w:rPr>
              <w:t>的财务报告，新成立企业无需提供。</w:t>
            </w:r>
          </w:p>
          <w:p w14:paraId="4E062718">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新成立企业是指：营业执照申领时间至今未满一年的企业，新成立企业仅需提供近3个月内任意1个月银行出具的资信证明即可】。</w:t>
            </w:r>
          </w:p>
        </w:tc>
        <w:tc>
          <w:tcPr>
            <w:tcW w:w="622" w:type="dxa"/>
            <w:vAlign w:val="center"/>
          </w:tcPr>
          <w:p w14:paraId="55B67E14">
            <w:pPr>
              <w:pStyle w:val="88"/>
              <w:spacing w:line="360" w:lineRule="auto"/>
              <w:jc w:val="center"/>
              <w:textAlignment w:val="center"/>
              <w:rPr>
                <w:rFonts w:hint="eastAsia" w:ascii="宋体" w:hAnsi="宋体" w:eastAsia="宋体" w:cs="宋体"/>
                <w:sz w:val="24"/>
                <w:szCs w:val="24"/>
                <w:highlight w:val="none"/>
              </w:rPr>
            </w:pPr>
          </w:p>
        </w:tc>
        <w:tc>
          <w:tcPr>
            <w:tcW w:w="673" w:type="dxa"/>
            <w:vAlign w:val="center"/>
          </w:tcPr>
          <w:p w14:paraId="73D870B4">
            <w:pPr>
              <w:pStyle w:val="88"/>
              <w:spacing w:line="360" w:lineRule="auto"/>
              <w:jc w:val="center"/>
              <w:textAlignment w:val="center"/>
              <w:rPr>
                <w:rFonts w:hint="eastAsia" w:ascii="宋体" w:hAnsi="宋体" w:eastAsia="宋体" w:cs="宋体"/>
                <w:sz w:val="24"/>
                <w:szCs w:val="24"/>
                <w:highlight w:val="none"/>
              </w:rPr>
            </w:pPr>
          </w:p>
        </w:tc>
      </w:tr>
      <w:tr w14:paraId="6CA9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1636CACF">
            <w:pPr>
              <w:pStyle w:val="88"/>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6516" w:type="dxa"/>
            <w:shd w:val="clear" w:color="auto" w:fill="auto"/>
            <w:vAlign w:val="center"/>
          </w:tcPr>
          <w:p w14:paraId="28F242A8">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具有履行合同所必需的设备和专业技术能力；</w:t>
            </w:r>
          </w:p>
          <w:p w14:paraId="708157D6">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【须提供：①相关设备或设施的购置发票或单据（任一）或提供承诺函；②</w:t>
            </w:r>
            <w:r>
              <w:rPr>
                <w:rFonts w:hint="eastAsia" w:ascii="宋体" w:hAnsi="宋体" w:eastAsia="宋体" w:cs="宋体"/>
                <w:spacing w:val="-2"/>
                <w:sz w:val="24"/>
                <w:szCs w:val="24"/>
                <w:highlight w:val="none"/>
              </w:rPr>
              <w:t>提供具有履行合同所必需的专业技术能力相关证明材料或声明</w:t>
            </w:r>
            <w:r>
              <w:rPr>
                <w:rFonts w:hint="eastAsia" w:ascii="宋体" w:hAnsi="宋体" w:eastAsia="宋体" w:cs="宋体"/>
                <w:sz w:val="24"/>
                <w:szCs w:val="24"/>
                <w:highlight w:val="none"/>
              </w:rPr>
              <w:t>】。</w:t>
            </w:r>
          </w:p>
        </w:tc>
        <w:tc>
          <w:tcPr>
            <w:tcW w:w="622" w:type="dxa"/>
            <w:vAlign w:val="center"/>
          </w:tcPr>
          <w:p w14:paraId="1BD1B973">
            <w:pPr>
              <w:pStyle w:val="88"/>
              <w:spacing w:line="360" w:lineRule="auto"/>
              <w:jc w:val="center"/>
              <w:textAlignment w:val="center"/>
              <w:rPr>
                <w:rFonts w:hint="eastAsia" w:ascii="宋体" w:hAnsi="宋体" w:eastAsia="宋体" w:cs="宋体"/>
                <w:sz w:val="24"/>
                <w:szCs w:val="24"/>
                <w:highlight w:val="none"/>
              </w:rPr>
            </w:pPr>
          </w:p>
        </w:tc>
        <w:tc>
          <w:tcPr>
            <w:tcW w:w="673" w:type="dxa"/>
            <w:vAlign w:val="center"/>
          </w:tcPr>
          <w:p w14:paraId="4E6037AA">
            <w:pPr>
              <w:pStyle w:val="88"/>
              <w:spacing w:line="360" w:lineRule="auto"/>
              <w:jc w:val="center"/>
              <w:textAlignment w:val="center"/>
              <w:rPr>
                <w:rFonts w:hint="eastAsia" w:ascii="宋体" w:hAnsi="宋体" w:eastAsia="宋体" w:cs="宋体"/>
                <w:sz w:val="24"/>
                <w:szCs w:val="24"/>
                <w:highlight w:val="none"/>
              </w:rPr>
            </w:pPr>
          </w:p>
        </w:tc>
      </w:tr>
      <w:tr w14:paraId="2907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4574E9EB">
            <w:pPr>
              <w:pStyle w:val="88"/>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6516" w:type="dxa"/>
            <w:shd w:val="clear" w:color="auto" w:fill="auto"/>
            <w:vAlign w:val="center"/>
          </w:tcPr>
          <w:p w14:paraId="57450BD8">
            <w:pPr>
              <w:pStyle w:val="11"/>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有依法缴纳税收和社会保障资金的良好记录；</w:t>
            </w:r>
          </w:p>
          <w:p w14:paraId="72A60739">
            <w:pPr>
              <w:pStyle w:val="11"/>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【须提供：①近6个月内任意1个月已依法缴纳税收的凭据；②近6个月内任意1个月已依法缴纳社会保险的凭据（依法免税的投标人，应提供相应证明文件，新成立企业或自然人无需提供）】。</w:t>
            </w:r>
          </w:p>
        </w:tc>
        <w:tc>
          <w:tcPr>
            <w:tcW w:w="622" w:type="dxa"/>
            <w:vAlign w:val="center"/>
          </w:tcPr>
          <w:p w14:paraId="4F4F8F25">
            <w:pPr>
              <w:pStyle w:val="88"/>
              <w:spacing w:line="360" w:lineRule="auto"/>
              <w:jc w:val="center"/>
              <w:textAlignment w:val="center"/>
              <w:rPr>
                <w:rFonts w:hint="eastAsia" w:ascii="宋体" w:hAnsi="宋体" w:eastAsia="宋体" w:cs="宋体"/>
                <w:sz w:val="24"/>
                <w:szCs w:val="24"/>
                <w:highlight w:val="none"/>
              </w:rPr>
            </w:pPr>
          </w:p>
        </w:tc>
        <w:tc>
          <w:tcPr>
            <w:tcW w:w="673" w:type="dxa"/>
            <w:vAlign w:val="center"/>
          </w:tcPr>
          <w:p w14:paraId="37D687FA">
            <w:pPr>
              <w:pStyle w:val="88"/>
              <w:spacing w:line="360" w:lineRule="auto"/>
              <w:jc w:val="center"/>
              <w:textAlignment w:val="center"/>
              <w:rPr>
                <w:rFonts w:hint="eastAsia" w:ascii="宋体" w:hAnsi="宋体" w:eastAsia="宋体" w:cs="宋体"/>
                <w:sz w:val="24"/>
                <w:szCs w:val="24"/>
                <w:highlight w:val="none"/>
              </w:rPr>
            </w:pPr>
          </w:p>
        </w:tc>
      </w:tr>
      <w:tr w14:paraId="3601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064E5100">
            <w:pPr>
              <w:pStyle w:val="88"/>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6516" w:type="dxa"/>
            <w:shd w:val="clear" w:color="auto" w:fill="auto"/>
            <w:vAlign w:val="center"/>
          </w:tcPr>
          <w:p w14:paraId="417DE4BD">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参加本次政府采购活动前三年内，在经营活动中没有重大违法记录；</w:t>
            </w:r>
          </w:p>
          <w:p w14:paraId="54CD0452">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【须提供：书面承诺（投标人自行承诺并承担后果，声明不实的，按《政府采购法》及相关法律法规中提供虚假材料的有关规定处理）】。 </w:t>
            </w:r>
          </w:p>
        </w:tc>
        <w:tc>
          <w:tcPr>
            <w:tcW w:w="622" w:type="dxa"/>
            <w:vAlign w:val="center"/>
          </w:tcPr>
          <w:p w14:paraId="4CC6E9A6">
            <w:pPr>
              <w:pStyle w:val="88"/>
              <w:spacing w:line="360" w:lineRule="auto"/>
              <w:jc w:val="center"/>
              <w:textAlignment w:val="center"/>
              <w:rPr>
                <w:rFonts w:hint="eastAsia" w:ascii="宋体" w:hAnsi="宋体" w:eastAsia="宋体" w:cs="宋体"/>
                <w:sz w:val="24"/>
                <w:szCs w:val="24"/>
                <w:highlight w:val="none"/>
              </w:rPr>
            </w:pPr>
          </w:p>
        </w:tc>
        <w:tc>
          <w:tcPr>
            <w:tcW w:w="673" w:type="dxa"/>
            <w:vAlign w:val="center"/>
          </w:tcPr>
          <w:p w14:paraId="0D184017">
            <w:pPr>
              <w:pStyle w:val="88"/>
              <w:spacing w:line="360" w:lineRule="auto"/>
              <w:jc w:val="center"/>
              <w:textAlignment w:val="center"/>
              <w:rPr>
                <w:rFonts w:hint="eastAsia" w:ascii="宋体" w:hAnsi="宋体" w:eastAsia="宋体" w:cs="宋体"/>
                <w:sz w:val="24"/>
                <w:szCs w:val="24"/>
                <w:highlight w:val="none"/>
              </w:rPr>
            </w:pPr>
          </w:p>
        </w:tc>
      </w:tr>
      <w:tr w14:paraId="218B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237777C0">
            <w:pPr>
              <w:pStyle w:val="88"/>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6516" w:type="dxa"/>
            <w:shd w:val="clear" w:color="auto" w:fill="auto"/>
            <w:vAlign w:val="center"/>
          </w:tcPr>
          <w:p w14:paraId="0F4FA65A">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本项目为专门面向中小企业（含中型、小型、微型企业）采购项目；【须提供：中小企业声明函】</w:t>
            </w:r>
          </w:p>
        </w:tc>
        <w:tc>
          <w:tcPr>
            <w:tcW w:w="622" w:type="dxa"/>
            <w:vAlign w:val="center"/>
          </w:tcPr>
          <w:p w14:paraId="3290DDE9">
            <w:pPr>
              <w:pStyle w:val="88"/>
              <w:spacing w:line="360" w:lineRule="auto"/>
              <w:jc w:val="center"/>
              <w:textAlignment w:val="center"/>
              <w:rPr>
                <w:rFonts w:hint="eastAsia" w:ascii="宋体" w:hAnsi="宋体" w:eastAsia="宋体" w:cs="宋体"/>
                <w:sz w:val="24"/>
                <w:szCs w:val="24"/>
                <w:highlight w:val="none"/>
              </w:rPr>
            </w:pPr>
          </w:p>
        </w:tc>
        <w:tc>
          <w:tcPr>
            <w:tcW w:w="673" w:type="dxa"/>
            <w:vAlign w:val="center"/>
          </w:tcPr>
          <w:p w14:paraId="16B9AF1C">
            <w:pPr>
              <w:pStyle w:val="88"/>
              <w:spacing w:line="360" w:lineRule="auto"/>
              <w:jc w:val="center"/>
              <w:textAlignment w:val="center"/>
              <w:rPr>
                <w:rFonts w:hint="eastAsia" w:ascii="宋体" w:hAnsi="宋体" w:eastAsia="宋体" w:cs="宋体"/>
                <w:sz w:val="24"/>
                <w:szCs w:val="24"/>
                <w:highlight w:val="none"/>
              </w:rPr>
            </w:pPr>
          </w:p>
        </w:tc>
      </w:tr>
      <w:tr w14:paraId="3002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0771BD47">
            <w:pPr>
              <w:pStyle w:val="88"/>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6516" w:type="dxa"/>
            <w:shd w:val="clear" w:color="auto" w:fill="auto"/>
            <w:vAlign w:val="center"/>
          </w:tcPr>
          <w:p w14:paraId="2A41AABE">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除单一来源采购外，为采购项目提供整体设计、规范编制或者项目管理、监理、检测等服务的供应商，不得再参加该采购项目的其他采购活动；（2）单位负责人为同一人或者存在直接控股、管理关系的不同供应商不得参加本项目同一包的采购活动。【须提供：书面承诺（投标人自行承诺并承担后果，声明函不实的，按《政府采购法》及相关法律法规中提供虚假材料的有关规定处理）】。</w:t>
            </w:r>
          </w:p>
        </w:tc>
        <w:tc>
          <w:tcPr>
            <w:tcW w:w="622" w:type="dxa"/>
            <w:vAlign w:val="center"/>
          </w:tcPr>
          <w:p w14:paraId="2A9601BD">
            <w:pPr>
              <w:pStyle w:val="88"/>
              <w:spacing w:line="360" w:lineRule="auto"/>
              <w:jc w:val="center"/>
              <w:textAlignment w:val="center"/>
              <w:rPr>
                <w:rFonts w:hint="eastAsia" w:ascii="宋体" w:hAnsi="宋体" w:eastAsia="宋体" w:cs="宋体"/>
                <w:sz w:val="24"/>
                <w:szCs w:val="24"/>
                <w:highlight w:val="none"/>
              </w:rPr>
            </w:pPr>
          </w:p>
        </w:tc>
        <w:tc>
          <w:tcPr>
            <w:tcW w:w="673" w:type="dxa"/>
            <w:vAlign w:val="center"/>
          </w:tcPr>
          <w:p w14:paraId="36C7DE52">
            <w:pPr>
              <w:pStyle w:val="88"/>
              <w:spacing w:line="360" w:lineRule="auto"/>
              <w:jc w:val="center"/>
              <w:textAlignment w:val="center"/>
              <w:rPr>
                <w:rFonts w:hint="eastAsia" w:ascii="宋体" w:hAnsi="宋体" w:eastAsia="宋体" w:cs="宋体"/>
                <w:sz w:val="24"/>
                <w:szCs w:val="24"/>
                <w:highlight w:val="none"/>
              </w:rPr>
            </w:pPr>
          </w:p>
        </w:tc>
      </w:tr>
      <w:tr w14:paraId="01DE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6BA61F36">
            <w:pPr>
              <w:pStyle w:val="88"/>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6516" w:type="dxa"/>
            <w:shd w:val="clear" w:color="auto" w:fill="auto"/>
            <w:vAlign w:val="center"/>
          </w:tcPr>
          <w:p w14:paraId="4A5074FF">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本项目不接受联合体。</w:t>
            </w:r>
          </w:p>
          <w:p w14:paraId="30C62F53">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【无需提供任何证明材料】。</w:t>
            </w:r>
          </w:p>
        </w:tc>
        <w:tc>
          <w:tcPr>
            <w:tcW w:w="622" w:type="dxa"/>
            <w:vAlign w:val="center"/>
          </w:tcPr>
          <w:p w14:paraId="617E3E60">
            <w:pPr>
              <w:pStyle w:val="88"/>
              <w:spacing w:line="360" w:lineRule="auto"/>
              <w:jc w:val="center"/>
              <w:textAlignment w:val="center"/>
              <w:rPr>
                <w:rFonts w:hint="eastAsia" w:ascii="宋体" w:hAnsi="宋体" w:eastAsia="宋体" w:cs="宋体"/>
                <w:sz w:val="24"/>
                <w:szCs w:val="24"/>
                <w:highlight w:val="none"/>
              </w:rPr>
            </w:pPr>
          </w:p>
        </w:tc>
        <w:tc>
          <w:tcPr>
            <w:tcW w:w="673" w:type="dxa"/>
            <w:vAlign w:val="center"/>
          </w:tcPr>
          <w:p w14:paraId="775055B2">
            <w:pPr>
              <w:pStyle w:val="88"/>
              <w:spacing w:line="360" w:lineRule="auto"/>
              <w:jc w:val="center"/>
              <w:textAlignment w:val="center"/>
              <w:rPr>
                <w:rFonts w:hint="eastAsia" w:ascii="宋体" w:hAnsi="宋体" w:eastAsia="宋体" w:cs="宋体"/>
                <w:sz w:val="24"/>
                <w:szCs w:val="24"/>
                <w:highlight w:val="none"/>
              </w:rPr>
            </w:pPr>
          </w:p>
        </w:tc>
      </w:tr>
      <w:tr w14:paraId="2844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48" w:type="dxa"/>
            <w:gridSpan w:val="2"/>
            <w:vAlign w:val="center"/>
          </w:tcPr>
          <w:p w14:paraId="2EE1F726">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审查结果（通过/不通过）</w:t>
            </w:r>
          </w:p>
        </w:tc>
        <w:tc>
          <w:tcPr>
            <w:tcW w:w="622" w:type="dxa"/>
            <w:vAlign w:val="center"/>
          </w:tcPr>
          <w:p w14:paraId="331115F7">
            <w:pPr>
              <w:pStyle w:val="88"/>
              <w:spacing w:line="360" w:lineRule="auto"/>
              <w:jc w:val="center"/>
              <w:textAlignment w:val="center"/>
              <w:rPr>
                <w:rFonts w:hint="eastAsia" w:ascii="宋体" w:hAnsi="宋体" w:eastAsia="宋体" w:cs="宋体"/>
                <w:sz w:val="24"/>
                <w:szCs w:val="24"/>
                <w:highlight w:val="none"/>
              </w:rPr>
            </w:pPr>
          </w:p>
        </w:tc>
        <w:tc>
          <w:tcPr>
            <w:tcW w:w="673" w:type="dxa"/>
            <w:vAlign w:val="center"/>
          </w:tcPr>
          <w:p w14:paraId="048291D5">
            <w:pPr>
              <w:pStyle w:val="88"/>
              <w:spacing w:line="360" w:lineRule="auto"/>
              <w:jc w:val="center"/>
              <w:textAlignment w:val="center"/>
              <w:rPr>
                <w:rFonts w:hint="eastAsia" w:ascii="宋体" w:hAnsi="宋体" w:eastAsia="宋体" w:cs="宋体"/>
                <w:sz w:val="24"/>
                <w:szCs w:val="24"/>
                <w:highlight w:val="none"/>
              </w:rPr>
            </w:pPr>
          </w:p>
        </w:tc>
      </w:tr>
      <w:tr w14:paraId="011B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8343" w:type="dxa"/>
            <w:gridSpan w:val="4"/>
            <w:vAlign w:val="center"/>
          </w:tcPr>
          <w:p w14:paraId="41687861">
            <w:pPr>
              <w:pStyle w:val="88"/>
              <w:spacing w:line="360" w:lineRule="auto"/>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备注：如果</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中有一项未通过上述审查标准，评标委员会将认定整个</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不响应招标件而予以无效处理，并且不允许投标人通过修改或撤销其不符合要求的差异或保留，使之成为具有响应性的投标。</w:t>
            </w:r>
          </w:p>
        </w:tc>
      </w:tr>
    </w:tbl>
    <w:p w14:paraId="79DDF75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3.2符合性审查。磋商小组依据磋商文件的规定，从响应文件的有效性、完整性和对磋商文件的响应程度进行审查，以确定是否对磋商文件的实质性要求作出响应。</w:t>
      </w:r>
    </w:p>
    <w:p w14:paraId="2ECC39E8">
      <w:pPr>
        <w:pStyle w:val="28"/>
        <w:spacing w:line="360" w:lineRule="auto"/>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符合性审查表</w:t>
      </w:r>
    </w:p>
    <w:tbl>
      <w:tblPr>
        <w:tblStyle w:val="29"/>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50"/>
        <w:gridCol w:w="5734"/>
        <w:gridCol w:w="637"/>
        <w:gridCol w:w="761"/>
        <w:gridCol w:w="759"/>
      </w:tblGrid>
      <w:tr w14:paraId="14AF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1" w:hRule="atLeast"/>
          <w:jc w:val="center"/>
        </w:trPr>
        <w:tc>
          <w:tcPr>
            <w:tcW w:w="270" w:type="pct"/>
            <w:vMerge w:val="restart"/>
            <w:shd w:val="clear" w:color="auto" w:fill="auto"/>
            <w:vAlign w:val="center"/>
          </w:tcPr>
          <w:p w14:paraId="5EDA6949">
            <w:pPr>
              <w:pStyle w:val="88"/>
              <w:spacing w:line="360" w:lineRule="auto"/>
              <w:jc w:val="center"/>
              <w:textAlignment w:val="center"/>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序号</w:t>
            </w:r>
          </w:p>
        </w:tc>
        <w:tc>
          <w:tcPr>
            <w:tcW w:w="3437" w:type="pct"/>
            <w:vMerge w:val="restart"/>
            <w:shd w:val="clear" w:color="auto" w:fill="auto"/>
            <w:vAlign w:val="center"/>
          </w:tcPr>
          <w:p w14:paraId="0077802B">
            <w:pPr>
              <w:pStyle w:val="88"/>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审  查  标  准</w:t>
            </w:r>
          </w:p>
        </w:tc>
        <w:tc>
          <w:tcPr>
            <w:tcW w:w="1292" w:type="pct"/>
            <w:gridSpan w:val="3"/>
            <w:shd w:val="clear" w:color="auto" w:fill="auto"/>
            <w:vAlign w:val="center"/>
          </w:tcPr>
          <w:p w14:paraId="0493FC58">
            <w:pPr>
              <w:pStyle w:val="88"/>
              <w:spacing w:line="360" w:lineRule="auto"/>
              <w:ind w:left="105" w:leftChars="5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r>
      <w:tr w14:paraId="0C06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7" w:hRule="atLeast"/>
          <w:jc w:val="center"/>
        </w:trPr>
        <w:tc>
          <w:tcPr>
            <w:tcW w:w="270" w:type="pct"/>
            <w:vMerge w:val="continue"/>
            <w:shd w:val="clear" w:color="auto" w:fill="auto"/>
            <w:vAlign w:val="center"/>
          </w:tcPr>
          <w:p w14:paraId="55BFEC31">
            <w:pPr>
              <w:pStyle w:val="88"/>
              <w:spacing w:line="360" w:lineRule="auto"/>
              <w:jc w:val="center"/>
              <w:textAlignment w:val="center"/>
              <w:rPr>
                <w:rFonts w:hint="eastAsia" w:ascii="宋体" w:hAnsi="宋体" w:eastAsia="宋体" w:cs="宋体"/>
                <w:color w:val="auto"/>
                <w:sz w:val="24"/>
                <w:szCs w:val="24"/>
                <w:highlight w:val="none"/>
              </w:rPr>
            </w:pPr>
          </w:p>
        </w:tc>
        <w:tc>
          <w:tcPr>
            <w:tcW w:w="3437" w:type="pct"/>
            <w:vMerge w:val="continue"/>
            <w:shd w:val="clear" w:color="auto" w:fill="auto"/>
            <w:vAlign w:val="center"/>
          </w:tcPr>
          <w:p w14:paraId="6D69482D">
            <w:pPr>
              <w:pStyle w:val="88"/>
              <w:spacing w:line="360" w:lineRule="auto"/>
              <w:jc w:val="center"/>
              <w:textAlignment w:val="center"/>
              <w:rPr>
                <w:rFonts w:hint="eastAsia" w:ascii="宋体" w:hAnsi="宋体" w:eastAsia="宋体" w:cs="宋体"/>
                <w:color w:val="auto"/>
                <w:sz w:val="24"/>
                <w:szCs w:val="24"/>
                <w:highlight w:val="none"/>
              </w:rPr>
            </w:pPr>
          </w:p>
        </w:tc>
        <w:tc>
          <w:tcPr>
            <w:tcW w:w="382" w:type="pct"/>
            <w:shd w:val="clear" w:color="auto" w:fill="auto"/>
            <w:vAlign w:val="center"/>
          </w:tcPr>
          <w:p w14:paraId="26B91E00">
            <w:pPr>
              <w:pStyle w:val="88"/>
              <w:spacing w:line="360" w:lineRule="auto"/>
              <w:ind w:left="105" w:leftChars="5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p>
        </w:tc>
        <w:tc>
          <w:tcPr>
            <w:tcW w:w="456" w:type="pct"/>
            <w:shd w:val="clear" w:color="auto" w:fill="auto"/>
            <w:vAlign w:val="center"/>
          </w:tcPr>
          <w:p w14:paraId="430C68AD">
            <w:pPr>
              <w:pStyle w:val="88"/>
              <w:spacing w:line="360" w:lineRule="auto"/>
              <w:ind w:left="105" w:leftChars="5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p>
        </w:tc>
        <w:tc>
          <w:tcPr>
            <w:tcW w:w="453" w:type="pct"/>
            <w:shd w:val="clear" w:color="auto" w:fill="auto"/>
            <w:vAlign w:val="center"/>
          </w:tcPr>
          <w:p w14:paraId="6CE490A3">
            <w:pPr>
              <w:pStyle w:val="88"/>
              <w:spacing w:line="360" w:lineRule="auto"/>
              <w:ind w:left="105" w:leftChars="5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p>
        </w:tc>
      </w:tr>
      <w:tr w14:paraId="224E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70" w:type="pct"/>
            <w:shd w:val="clear" w:color="auto" w:fill="auto"/>
            <w:vAlign w:val="center"/>
          </w:tcPr>
          <w:p w14:paraId="265CE136">
            <w:pPr>
              <w:pStyle w:val="88"/>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437" w:type="pct"/>
            <w:shd w:val="clear" w:color="auto" w:fill="auto"/>
            <w:vAlign w:val="center"/>
          </w:tcPr>
          <w:p w14:paraId="653F7112">
            <w:pPr>
              <w:pStyle w:val="88"/>
              <w:spacing w:line="360" w:lineRule="auto"/>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按照磋商文件规定和要求签署、盖章；</w:t>
            </w:r>
          </w:p>
        </w:tc>
        <w:tc>
          <w:tcPr>
            <w:tcW w:w="382" w:type="pct"/>
            <w:shd w:val="clear" w:color="auto" w:fill="auto"/>
            <w:vAlign w:val="center"/>
          </w:tcPr>
          <w:p w14:paraId="27D6D9A8">
            <w:pPr>
              <w:pStyle w:val="88"/>
              <w:spacing w:line="360" w:lineRule="auto"/>
              <w:jc w:val="center"/>
              <w:textAlignment w:val="center"/>
              <w:rPr>
                <w:rFonts w:hint="eastAsia" w:ascii="宋体" w:hAnsi="宋体" w:eastAsia="宋体" w:cs="宋体"/>
                <w:color w:val="auto"/>
                <w:sz w:val="24"/>
                <w:szCs w:val="24"/>
                <w:highlight w:val="none"/>
              </w:rPr>
            </w:pPr>
          </w:p>
        </w:tc>
        <w:tc>
          <w:tcPr>
            <w:tcW w:w="456" w:type="pct"/>
            <w:shd w:val="clear" w:color="auto" w:fill="auto"/>
            <w:vAlign w:val="center"/>
          </w:tcPr>
          <w:p w14:paraId="63485D21">
            <w:pPr>
              <w:pStyle w:val="88"/>
              <w:spacing w:line="360" w:lineRule="auto"/>
              <w:jc w:val="center"/>
              <w:textAlignment w:val="center"/>
              <w:rPr>
                <w:rFonts w:hint="eastAsia" w:ascii="宋体" w:hAnsi="宋体" w:eastAsia="宋体" w:cs="宋体"/>
                <w:color w:val="auto"/>
                <w:sz w:val="24"/>
                <w:szCs w:val="24"/>
                <w:highlight w:val="none"/>
              </w:rPr>
            </w:pPr>
          </w:p>
        </w:tc>
        <w:tc>
          <w:tcPr>
            <w:tcW w:w="453" w:type="pct"/>
            <w:shd w:val="clear" w:color="auto" w:fill="auto"/>
            <w:vAlign w:val="center"/>
          </w:tcPr>
          <w:p w14:paraId="18CB419C">
            <w:pPr>
              <w:pStyle w:val="88"/>
              <w:spacing w:line="360" w:lineRule="auto"/>
              <w:jc w:val="center"/>
              <w:textAlignment w:val="center"/>
              <w:rPr>
                <w:rFonts w:hint="eastAsia" w:ascii="宋体" w:hAnsi="宋体" w:eastAsia="宋体" w:cs="宋体"/>
                <w:color w:val="auto"/>
                <w:sz w:val="24"/>
                <w:szCs w:val="24"/>
                <w:highlight w:val="none"/>
              </w:rPr>
            </w:pPr>
          </w:p>
        </w:tc>
      </w:tr>
      <w:tr w14:paraId="7522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exact"/>
          <w:jc w:val="center"/>
        </w:trPr>
        <w:tc>
          <w:tcPr>
            <w:tcW w:w="270" w:type="pct"/>
            <w:shd w:val="clear" w:color="auto" w:fill="auto"/>
            <w:vAlign w:val="center"/>
          </w:tcPr>
          <w:p w14:paraId="1356344B">
            <w:pPr>
              <w:pStyle w:val="88"/>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437" w:type="pct"/>
            <w:shd w:val="clear" w:color="auto" w:fill="auto"/>
            <w:vAlign w:val="center"/>
          </w:tcPr>
          <w:p w14:paraId="5665F0EA">
            <w:pPr>
              <w:pStyle w:val="88"/>
              <w:spacing w:line="360" w:lineRule="auto"/>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按照磋商文件规定缴纳磋商保证金；</w:t>
            </w:r>
          </w:p>
        </w:tc>
        <w:tc>
          <w:tcPr>
            <w:tcW w:w="382" w:type="pct"/>
            <w:shd w:val="clear" w:color="auto" w:fill="auto"/>
            <w:vAlign w:val="center"/>
          </w:tcPr>
          <w:p w14:paraId="3048A9C5">
            <w:pPr>
              <w:pStyle w:val="88"/>
              <w:spacing w:line="360" w:lineRule="auto"/>
              <w:jc w:val="center"/>
              <w:textAlignment w:val="center"/>
              <w:rPr>
                <w:rFonts w:hint="eastAsia" w:ascii="宋体" w:hAnsi="宋体" w:eastAsia="宋体" w:cs="宋体"/>
                <w:color w:val="auto"/>
                <w:sz w:val="24"/>
                <w:szCs w:val="24"/>
                <w:highlight w:val="none"/>
              </w:rPr>
            </w:pPr>
          </w:p>
        </w:tc>
        <w:tc>
          <w:tcPr>
            <w:tcW w:w="456" w:type="pct"/>
            <w:shd w:val="clear" w:color="auto" w:fill="auto"/>
            <w:vAlign w:val="center"/>
          </w:tcPr>
          <w:p w14:paraId="68A38ADE">
            <w:pPr>
              <w:pStyle w:val="88"/>
              <w:spacing w:line="360" w:lineRule="auto"/>
              <w:jc w:val="center"/>
              <w:textAlignment w:val="center"/>
              <w:rPr>
                <w:rFonts w:hint="eastAsia" w:ascii="宋体" w:hAnsi="宋体" w:eastAsia="宋体" w:cs="宋体"/>
                <w:color w:val="auto"/>
                <w:sz w:val="24"/>
                <w:szCs w:val="24"/>
                <w:highlight w:val="none"/>
              </w:rPr>
            </w:pPr>
          </w:p>
        </w:tc>
        <w:tc>
          <w:tcPr>
            <w:tcW w:w="453" w:type="pct"/>
            <w:shd w:val="clear" w:color="auto" w:fill="auto"/>
            <w:vAlign w:val="center"/>
          </w:tcPr>
          <w:p w14:paraId="7E82FD1E">
            <w:pPr>
              <w:pStyle w:val="88"/>
              <w:spacing w:line="360" w:lineRule="auto"/>
              <w:jc w:val="center"/>
              <w:textAlignment w:val="center"/>
              <w:rPr>
                <w:rFonts w:hint="eastAsia" w:ascii="宋体" w:hAnsi="宋体" w:eastAsia="宋体" w:cs="宋体"/>
                <w:color w:val="auto"/>
                <w:sz w:val="24"/>
                <w:szCs w:val="24"/>
                <w:highlight w:val="none"/>
              </w:rPr>
            </w:pPr>
          </w:p>
        </w:tc>
      </w:tr>
      <w:tr w14:paraId="4676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exact"/>
          <w:jc w:val="center"/>
        </w:trPr>
        <w:tc>
          <w:tcPr>
            <w:tcW w:w="270" w:type="pct"/>
            <w:shd w:val="clear" w:color="auto" w:fill="auto"/>
            <w:vAlign w:val="center"/>
          </w:tcPr>
          <w:p w14:paraId="6B9C017A">
            <w:pPr>
              <w:pStyle w:val="88"/>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437" w:type="pct"/>
            <w:shd w:val="clear" w:color="auto" w:fill="auto"/>
            <w:vAlign w:val="center"/>
          </w:tcPr>
          <w:p w14:paraId="01C068D1">
            <w:pPr>
              <w:pStyle w:val="88"/>
              <w:spacing w:line="360" w:lineRule="auto"/>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磋商报价不得高于设定的最高限价；</w:t>
            </w:r>
          </w:p>
        </w:tc>
        <w:tc>
          <w:tcPr>
            <w:tcW w:w="382" w:type="pct"/>
            <w:shd w:val="clear" w:color="auto" w:fill="auto"/>
            <w:vAlign w:val="center"/>
          </w:tcPr>
          <w:p w14:paraId="68DC6F5D">
            <w:pPr>
              <w:pStyle w:val="88"/>
              <w:spacing w:line="360" w:lineRule="auto"/>
              <w:jc w:val="center"/>
              <w:textAlignment w:val="center"/>
              <w:rPr>
                <w:rFonts w:hint="eastAsia" w:ascii="宋体" w:hAnsi="宋体" w:eastAsia="宋体" w:cs="宋体"/>
                <w:color w:val="auto"/>
                <w:sz w:val="24"/>
                <w:szCs w:val="24"/>
                <w:highlight w:val="none"/>
              </w:rPr>
            </w:pPr>
          </w:p>
        </w:tc>
        <w:tc>
          <w:tcPr>
            <w:tcW w:w="456" w:type="pct"/>
            <w:shd w:val="clear" w:color="auto" w:fill="auto"/>
            <w:vAlign w:val="center"/>
          </w:tcPr>
          <w:p w14:paraId="3AE84E3F">
            <w:pPr>
              <w:pStyle w:val="88"/>
              <w:spacing w:line="360" w:lineRule="auto"/>
              <w:jc w:val="center"/>
              <w:textAlignment w:val="center"/>
              <w:rPr>
                <w:rFonts w:hint="eastAsia" w:ascii="宋体" w:hAnsi="宋体" w:eastAsia="宋体" w:cs="宋体"/>
                <w:color w:val="auto"/>
                <w:sz w:val="24"/>
                <w:szCs w:val="24"/>
                <w:highlight w:val="none"/>
              </w:rPr>
            </w:pPr>
          </w:p>
        </w:tc>
        <w:tc>
          <w:tcPr>
            <w:tcW w:w="453" w:type="pct"/>
            <w:shd w:val="clear" w:color="auto" w:fill="auto"/>
            <w:vAlign w:val="center"/>
          </w:tcPr>
          <w:p w14:paraId="4F46861A">
            <w:pPr>
              <w:pStyle w:val="88"/>
              <w:spacing w:line="360" w:lineRule="auto"/>
              <w:jc w:val="center"/>
              <w:textAlignment w:val="center"/>
              <w:rPr>
                <w:rFonts w:hint="eastAsia" w:ascii="宋体" w:hAnsi="宋体" w:eastAsia="宋体" w:cs="宋体"/>
                <w:color w:val="auto"/>
                <w:sz w:val="24"/>
                <w:szCs w:val="24"/>
                <w:highlight w:val="none"/>
              </w:rPr>
            </w:pPr>
          </w:p>
        </w:tc>
      </w:tr>
      <w:tr w14:paraId="34CC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exact"/>
          <w:jc w:val="center"/>
        </w:trPr>
        <w:tc>
          <w:tcPr>
            <w:tcW w:w="270" w:type="pct"/>
            <w:shd w:val="clear" w:color="auto" w:fill="auto"/>
            <w:vAlign w:val="center"/>
          </w:tcPr>
          <w:p w14:paraId="70DE082A">
            <w:pPr>
              <w:pStyle w:val="88"/>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437" w:type="pct"/>
            <w:shd w:val="clear" w:color="auto" w:fill="auto"/>
            <w:vAlign w:val="center"/>
          </w:tcPr>
          <w:p w14:paraId="50F45625">
            <w:pPr>
              <w:pStyle w:val="88"/>
              <w:spacing w:line="360" w:lineRule="auto"/>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服务期限、磋商有效期</w:t>
            </w:r>
            <w:r>
              <w:rPr>
                <w:rFonts w:hint="eastAsia" w:ascii="宋体" w:hAnsi="宋体" w:eastAsia="宋体" w:cs="宋体"/>
                <w:color w:val="auto"/>
                <w:sz w:val="24"/>
                <w:szCs w:val="24"/>
                <w:highlight w:val="none"/>
              </w:rPr>
              <w:t>符合磋商文件规定期限；</w:t>
            </w:r>
          </w:p>
        </w:tc>
        <w:tc>
          <w:tcPr>
            <w:tcW w:w="382" w:type="pct"/>
            <w:shd w:val="clear" w:color="auto" w:fill="auto"/>
            <w:vAlign w:val="center"/>
          </w:tcPr>
          <w:p w14:paraId="4F734ED0">
            <w:pPr>
              <w:pStyle w:val="88"/>
              <w:spacing w:line="360" w:lineRule="auto"/>
              <w:jc w:val="center"/>
              <w:textAlignment w:val="center"/>
              <w:rPr>
                <w:rFonts w:hint="eastAsia" w:ascii="宋体" w:hAnsi="宋体" w:eastAsia="宋体" w:cs="宋体"/>
                <w:color w:val="auto"/>
                <w:sz w:val="24"/>
                <w:szCs w:val="24"/>
                <w:highlight w:val="none"/>
              </w:rPr>
            </w:pPr>
          </w:p>
        </w:tc>
        <w:tc>
          <w:tcPr>
            <w:tcW w:w="456" w:type="pct"/>
            <w:shd w:val="clear" w:color="auto" w:fill="auto"/>
            <w:vAlign w:val="center"/>
          </w:tcPr>
          <w:p w14:paraId="0217A0C6">
            <w:pPr>
              <w:pStyle w:val="88"/>
              <w:spacing w:line="360" w:lineRule="auto"/>
              <w:jc w:val="center"/>
              <w:textAlignment w:val="center"/>
              <w:rPr>
                <w:rFonts w:hint="eastAsia" w:ascii="宋体" w:hAnsi="宋体" w:eastAsia="宋体" w:cs="宋体"/>
                <w:color w:val="auto"/>
                <w:sz w:val="24"/>
                <w:szCs w:val="24"/>
                <w:highlight w:val="none"/>
              </w:rPr>
            </w:pPr>
          </w:p>
        </w:tc>
        <w:tc>
          <w:tcPr>
            <w:tcW w:w="453" w:type="pct"/>
            <w:shd w:val="clear" w:color="auto" w:fill="auto"/>
            <w:vAlign w:val="center"/>
          </w:tcPr>
          <w:p w14:paraId="10599089">
            <w:pPr>
              <w:pStyle w:val="88"/>
              <w:spacing w:line="360" w:lineRule="auto"/>
              <w:jc w:val="center"/>
              <w:textAlignment w:val="center"/>
              <w:rPr>
                <w:rFonts w:hint="eastAsia" w:ascii="宋体" w:hAnsi="宋体" w:eastAsia="宋体" w:cs="宋体"/>
                <w:color w:val="auto"/>
                <w:sz w:val="24"/>
                <w:szCs w:val="24"/>
                <w:highlight w:val="none"/>
              </w:rPr>
            </w:pPr>
          </w:p>
        </w:tc>
      </w:tr>
      <w:tr w14:paraId="0E76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4" w:hRule="exact"/>
          <w:jc w:val="center"/>
        </w:trPr>
        <w:tc>
          <w:tcPr>
            <w:tcW w:w="270" w:type="pct"/>
            <w:shd w:val="clear" w:color="auto" w:fill="auto"/>
            <w:vAlign w:val="center"/>
          </w:tcPr>
          <w:p w14:paraId="5AB4D39B">
            <w:pPr>
              <w:pStyle w:val="88"/>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437" w:type="pct"/>
            <w:shd w:val="clear" w:color="auto" w:fill="auto"/>
            <w:vAlign w:val="center"/>
          </w:tcPr>
          <w:p w14:paraId="374EA977">
            <w:pPr>
              <w:pStyle w:val="88"/>
              <w:spacing w:line="360" w:lineRule="auto"/>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按照磋商文件规定的格式要求编制响应文件;</w:t>
            </w:r>
          </w:p>
        </w:tc>
        <w:tc>
          <w:tcPr>
            <w:tcW w:w="382" w:type="pct"/>
            <w:shd w:val="clear" w:color="auto" w:fill="auto"/>
            <w:vAlign w:val="center"/>
          </w:tcPr>
          <w:p w14:paraId="333353EC">
            <w:pPr>
              <w:pStyle w:val="88"/>
              <w:spacing w:line="360" w:lineRule="auto"/>
              <w:jc w:val="center"/>
              <w:textAlignment w:val="center"/>
              <w:rPr>
                <w:rFonts w:hint="eastAsia" w:ascii="宋体" w:hAnsi="宋体" w:eastAsia="宋体" w:cs="宋体"/>
                <w:color w:val="auto"/>
                <w:sz w:val="24"/>
                <w:szCs w:val="24"/>
                <w:highlight w:val="none"/>
              </w:rPr>
            </w:pPr>
          </w:p>
        </w:tc>
        <w:tc>
          <w:tcPr>
            <w:tcW w:w="456" w:type="pct"/>
            <w:shd w:val="clear" w:color="auto" w:fill="auto"/>
            <w:vAlign w:val="center"/>
          </w:tcPr>
          <w:p w14:paraId="2273B8BA">
            <w:pPr>
              <w:pStyle w:val="88"/>
              <w:spacing w:line="360" w:lineRule="auto"/>
              <w:jc w:val="center"/>
              <w:textAlignment w:val="center"/>
              <w:rPr>
                <w:rFonts w:hint="eastAsia" w:ascii="宋体" w:hAnsi="宋体" w:eastAsia="宋体" w:cs="宋体"/>
                <w:color w:val="auto"/>
                <w:sz w:val="24"/>
                <w:szCs w:val="24"/>
                <w:highlight w:val="none"/>
              </w:rPr>
            </w:pPr>
          </w:p>
        </w:tc>
        <w:tc>
          <w:tcPr>
            <w:tcW w:w="453" w:type="pct"/>
            <w:shd w:val="clear" w:color="auto" w:fill="auto"/>
            <w:vAlign w:val="center"/>
          </w:tcPr>
          <w:p w14:paraId="2096885C">
            <w:pPr>
              <w:pStyle w:val="88"/>
              <w:spacing w:line="360" w:lineRule="auto"/>
              <w:jc w:val="center"/>
              <w:textAlignment w:val="center"/>
              <w:rPr>
                <w:rFonts w:hint="eastAsia" w:ascii="宋体" w:hAnsi="宋体" w:eastAsia="宋体" w:cs="宋体"/>
                <w:color w:val="auto"/>
                <w:sz w:val="24"/>
                <w:szCs w:val="24"/>
                <w:highlight w:val="none"/>
              </w:rPr>
            </w:pPr>
          </w:p>
        </w:tc>
      </w:tr>
      <w:tr w14:paraId="4EEE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exact"/>
          <w:jc w:val="center"/>
        </w:trPr>
        <w:tc>
          <w:tcPr>
            <w:tcW w:w="270" w:type="pct"/>
            <w:shd w:val="clear" w:color="auto" w:fill="auto"/>
            <w:vAlign w:val="center"/>
          </w:tcPr>
          <w:p w14:paraId="13DC5AA3">
            <w:pPr>
              <w:pStyle w:val="88"/>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437" w:type="pct"/>
            <w:shd w:val="clear" w:color="auto" w:fill="auto"/>
            <w:vAlign w:val="center"/>
          </w:tcPr>
          <w:p w14:paraId="2DA1C457">
            <w:pPr>
              <w:pStyle w:val="88"/>
              <w:spacing w:line="360" w:lineRule="auto"/>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响应文件不得附有采购人不能接受的条件；</w:t>
            </w:r>
          </w:p>
        </w:tc>
        <w:tc>
          <w:tcPr>
            <w:tcW w:w="382" w:type="pct"/>
            <w:shd w:val="clear" w:color="auto" w:fill="auto"/>
            <w:vAlign w:val="center"/>
          </w:tcPr>
          <w:p w14:paraId="64EB8CB1">
            <w:pPr>
              <w:pStyle w:val="88"/>
              <w:spacing w:line="360" w:lineRule="auto"/>
              <w:jc w:val="center"/>
              <w:textAlignment w:val="center"/>
              <w:rPr>
                <w:rFonts w:hint="eastAsia" w:ascii="宋体" w:hAnsi="宋体" w:eastAsia="宋体" w:cs="宋体"/>
                <w:color w:val="auto"/>
                <w:sz w:val="24"/>
                <w:szCs w:val="24"/>
                <w:highlight w:val="none"/>
              </w:rPr>
            </w:pPr>
          </w:p>
        </w:tc>
        <w:tc>
          <w:tcPr>
            <w:tcW w:w="456" w:type="pct"/>
            <w:shd w:val="clear" w:color="auto" w:fill="auto"/>
            <w:vAlign w:val="center"/>
          </w:tcPr>
          <w:p w14:paraId="3D1CA551">
            <w:pPr>
              <w:pStyle w:val="88"/>
              <w:spacing w:line="360" w:lineRule="auto"/>
              <w:jc w:val="center"/>
              <w:textAlignment w:val="center"/>
              <w:rPr>
                <w:rFonts w:hint="eastAsia" w:ascii="宋体" w:hAnsi="宋体" w:eastAsia="宋体" w:cs="宋体"/>
                <w:color w:val="auto"/>
                <w:sz w:val="24"/>
                <w:szCs w:val="24"/>
                <w:highlight w:val="none"/>
              </w:rPr>
            </w:pPr>
          </w:p>
        </w:tc>
        <w:tc>
          <w:tcPr>
            <w:tcW w:w="453" w:type="pct"/>
            <w:shd w:val="clear" w:color="auto" w:fill="auto"/>
            <w:vAlign w:val="center"/>
          </w:tcPr>
          <w:p w14:paraId="60FC9B61">
            <w:pPr>
              <w:pStyle w:val="88"/>
              <w:spacing w:line="360" w:lineRule="auto"/>
              <w:jc w:val="center"/>
              <w:textAlignment w:val="center"/>
              <w:rPr>
                <w:rFonts w:hint="eastAsia" w:ascii="宋体" w:hAnsi="宋体" w:eastAsia="宋体" w:cs="宋体"/>
                <w:color w:val="auto"/>
                <w:sz w:val="24"/>
                <w:szCs w:val="24"/>
                <w:highlight w:val="none"/>
              </w:rPr>
            </w:pPr>
          </w:p>
        </w:tc>
      </w:tr>
      <w:tr w14:paraId="75C7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86" w:hRule="exact"/>
          <w:jc w:val="center"/>
        </w:trPr>
        <w:tc>
          <w:tcPr>
            <w:tcW w:w="270" w:type="pct"/>
            <w:shd w:val="clear" w:color="auto" w:fill="auto"/>
            <w:vAlign w:val="center"/>
          </w:tcPr>
          <w:p w14:paraId="173BA001">
            <w:pPr>
              <w:pStyle w:val="88"/>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437" w:type="pct"/>
            <w:shd w:val="clear" w:color="auto" w:fill="auto"/>
            <w:vAlign w:val="center"/>
          </w:tcPr>
          <w:p w14:paraId="5D76D545">
            <w:pPr>
              <w:pStyle w:val="88"/>
              <w:spacing w:line="360" w:lineRule="auto"/>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其它违反相关法律法规规定及磋商文件实质性条款的情形。</w:t>
            </w:r>
          </w:p>
        </w:tc>
        <w:tc>
          <w:tcPr>
            <w:tcW w:w="382" w:type="pct"/>
            <w:shd w:val="clear" w:color="auto" w:fill="auto"/>
            <w:vAlign w:val="center"/>
          </w:tcPr>
          <w:p w14:paraId="697A38A9">
            <w:pPr>
              <w:pStyle w:val="88"/>
              <w:spacing w:line="360" w:lineRule="auto"/>
              <w:jc w:val="center"/>
              <w:textAlignment w:val="center"/>
              <w:rPr>
                <w:rFonts w:hint="eastAsia" w:ascii="宋体" w:hAnsi="宋体" w:eastAsia="宋体" w:cs="宋体"/>
                <w:color w:val="auto"/>
                <w:sz w:val="24"/>
                <w:szCs w:val="24"/>
                <w:highlight w:val="none"/>
              </w:rPr>
            </w:pPr>
          </w:p>
        </w:tc>
        <w:tc>
          <w:tcPr>
            <w:tcW w:w="456" w:type="pct"/>
            <w:shd w:val="clear" w:color="auto" w:fill="auto"/>
            <w:vAlign w:val="center"/>
          </w:tcPr>
          <w:p w14:paraId="7745568A">
            <w:pPr>
              <w:pStyle w:val="88"/>
              <w:spacing w:line="360" w:lineRule="auto"/>
              <w:jc w:val="center"/>
              <w:textAlignment w:val="center"/>
              <w:rPr>
                <w:rFonts w:hint="eastAsia" w:ascii="宋体" w:hAnsi="宋体" w:eastAsia="宋体" w:cs="宋体"/>
                <w:color w:val="auto"/>
                <w:sz w:val="24"/>
                <w:szCs w:val="24"/>
                <w:highlight w:val="none"/>
              </w:rPr>
            </w:pPr>
          </w:p>
        </w:tc>
        <w:tc>
          <w:tcPr>
            <w:tcW w:w="453" w:type="pct"/>
            <w:shd w:val="clear" w:color="auto" w:fill="auto"/>
            <w:vAlign w:val="center"/>
          </w:tcPr>
          <w:p w14:paraId="7A26041D">
            <w:pPr>
              <w:pStyle w:val="88"/>
              <w:spacing w:line="360" w:lineRule="auto"/>
              <w:jc w:val="center"/>
              <w:textAlignment w:val="center"/>
              <w:rPr>
                <w:rFonts w:hint="eastAsia" w:ascii="宋体" w:hAnsi="宋体" w:eastAsia="宋体" w:cs="宋体"/>
                <w:color w:val="auto"/>
                <w:sz w:val="24"/>
                <w:szCs w:val="24"/>
                <w:highlight w:val="none"/>
              </w:rPr>
            </w:pPr>
          </w:p>
        </w:tc>
      </w:tr>
      <w:tr w14:paraId="3751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707" w:type="pct"/>
            <w:gridSpan w:val="2"/>
            <w:shd w:val="clear" w:color="auto" w:fill="auto"/>
            <w:vAlign w:val="center"/>
          </w:tcPr>
          <w:p w14:paraId="4B48E0C1">
            <w:pPr>
              <w:pStyle w:val="88"/>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审查结果（通过√/不通过×）</w:t>
            </w:r>
          </w:p>
        </w:tc>
        <w:tc>
          <w:tcPr>
            <w:tcW w:w="382" w:type="pct"/>
            <w:shd w:val="clear" w:color="auto" w:fill="auto"/>
            <w:vAlign w:val="center"/>
          </w:tcPr>
          <w:p w14:paraId="5001E30D">
            <w:pPr>
              <w:pStyle w:val="88"/>
              <w:spacing w:line="360" w:lineRule="auto"/>
              <w:jc w:val="center"/>
              <w:textAlignment w:val="center"/>
              <w:rPr>
                <w:rFonts w:hint="eastAsia" w:ascii="宋体" w:hAnsi="宋体" w:eastAsia="宋体" w:cs="宋体"/>
                <w:color w:val="auto"/>
                <w:sz w:val="24"/>
                <w:szCs w:val="24"/>
                <w:highlight w:val="none"/>
              </w:rPr>
            </w:pPr>
          </w:p>
        </w:tc>
        <w:tc>
          <w:tcPr>
            <w:tcW w:w="456" w:type="pct"/>
            <w:shd w:val="clear" w:color="auto" w:fill="auto"/>
            <w:vAlign w:val="center"/>
          </w:tcPr>
          <w:p w14:paraId="7B08D9EA">
            <w:pPr>
              <w:pStyle w:val="88"/>
              <w:spacing w:line="360" w:lineRule="auto"/>
              <w:jc w:val="center"/>
              <w:textAlignment w:val="center"/>
              <w:rPr>
                <w:rFonts w:hint="eastAsia" w:ascii="宋体" w:hAnsi="宋体" w:eastAsia="宋体" w:cs="宋体"/>
                <w:color w:val="auto"/>
                <w:sz w:val="24"/>
                <w:szCs w:val="24"/>
                <w:highlight w:val="none"/>
              </w:rPr>
            </w:pPr>
          </w:p>
        </w:tc>
        <w:tc>
          <w:tcPr>
            <w:tcW w:w="453" w:type="pct"/>
            <w:shd w:val="clear" w:color="auto" w:fill="auto"/>
            <w:vAlign w:val="center"/>
          </w:tcPr>
          <w:p w14:paraId="447B5041">
            <w:pPr>
              <w:pStyle w:val="88"/>
              <w:spacing w:line="360" w:lineRule="auto"/>
              <w:jc w:val="center"/>
              <w:textAlignment w:val="center"/>
              <w:rPr>
                <w:rFonts w:hint="eastAsia" w:ascii="宋体" w:hAnsi="宋体" w:eastAsia="宋体" w:cs="宋体"/>
                <w:color w:val="auto"/>
                <w:sz w:val="24"/>
                <w:szCs w:val="24"/>
                <w:highlight w:val="none"/>
              </w:rPr>
            </w:pPr>
          </w:p>
        </w:tc>
      </w:tr>
      <w:tr w14:paraId="68A8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75" w:hRule="exact"/>
          <w:jc w:val="center"/>
        </w:trPr>
        <w:tc>
          <w:tcPr>
            <w:tcW w:w="5000" w:type="pct"/>
            <w:gridSpan w:val="5"/>
            <w:shd w:val="clear" w:color="auto" w:fill="auto"/>
            <w:vAlign w:val="center"/>
          </w:tcPr>
          <w:p w14:paraId="4187C698">
            <w:pPr>
              <w:pStyle w:val="88"/>
              <w:spacing w:line="36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备注：如果响应文件中有一项未通过上述审查标准，磋商小组将认定整个响应文件不响应磋商文件而予以无效处理，并且不允许供应商通过修改或撤销其不符合要求的差异或保留，使之成为具有响应性的磋商。</w:t>
            </w:r>
          </w:p>
        </w:tc>
      </w:tr>
    </w:tbl>
    <w:p w14:paraId="485CD09A">
      <w:pPr>
        <w:pStyle w:val="12"/>
        <w:pageBreakBefore w:val="0"/>
        <w:widowControl w:val="0"/>
        <w:tabs>
          <w:tab w:val="left" w:pos="600"/>
        </w:tabs>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3.2.1在响应文件符合性审查过程中，如果出现磋商小组成员意见不一致的情况，按照少数服从多数的原则确定，但不得违背采购基本原则和磋商文件规定。</w:t>
      </w:r>
    </w:p>
    <w:p w14:paraId="7131052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澄清有关问题。对响应文件中含义不明确、同类问题表述不一致或者有明显文字和计算错误的内容，磋商小组可以书面形式（应当由磋商小组成员签字）要求供应商作出必要的澄清、说明或者补正。供应商的澄清、说明或者补正应当采用书面形式，由其授权的代表签字，并不得超出响应文件的范围或者改变响应文件的实质性内容。</w:t>
      </w:r>
      <w:bookmarkStart w:id="249" w:name="_Toc183682422"/>
      <w:bookmarkStart w:id="250" w:name="_Toc217446104"/>
      <w:bookmarkStart w:id="251" w:name="_Toc183582287"/>
    </w:p>
    <w:bookmarkEnd w:id="249"/>
    <w:bookmarkEnd w:id="250"/>
    <w:bookmarkEnd w:id="251"/>
    <w:p w14:paraId="7438F4C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3.4磋商。</w:t>
      </w:r>
      <w:r>
        <w:rPr>
          <w:rFonts w:hint="eastAsia" w:ascii="宋体" w:hAnsi="宋体" w:eastAsia="宋体" w:cs="宋体"/>
          <w:color w:val="auto"/>
          <w:sz w:val="24"/>
          <w:szCs w:val="24"/>
          <w:highlight w:val="none"/>
          <w:shd w:val="clear" w:color="auto"/>
        </w:rPr>
        <w:t>磋商小组所有成员应当集中与单一供应商分别进行磋商，</w:t>
      </w:r>
      <w:r>
        <w:rPr>
          <w:rFonts w:hint="eastAsia" w:ascii="宋体" w:hAnsi="宋体" w:eastAsia="宋体" w:cs="宋体"/>
          <w:color w:val="auto"/>
          <w:sz w:val="24"/>
          <w:szCs w:val="24"/>
          <w:highlight w:val="none"/>
        </w:rPr>
        <w:t>并给予所有通过资格、符合性审查的供应商平等的磋商机会。</w:t>
      </w:r>
    </w:p>
    <w:p w14:paraId="05BDFF1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被授权人签字或者加盖公章。由被授权人签字的，应当附法定代表人授权委托书。供应商为自然人的，应当由本人签字并附身份证明。</w:t>
      </w:r>
    </w:p>
    <w:p w14:paraId="5F5A2E1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符合财政部《政府采购竞争性磋商采购方式管理暂行办法》（财库〔2014〕214号）第三条第四项情形的，提交最后报价的供应商可以为2家。</w:t>
      </w:r>
    </w:p>
    <w:p w14:paraId="0BD79DD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比较、评价。经磋商确定最终服务需求和提交最后报价的供应商后，由磋商小组采用综合评分法对提交最后报价的供应商的响应文件和最后报价进行综合比较与评价，并推荐成交候选供应商名单。</w:t>
      </w:r>
    </w:p>
    <w:p w14:paraId="5D59BC7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 本项目采用综合评分法</w:t>
      </w:r>
      <w:r>
        <w:rPr>
          <w:rFonts w:hint="eastAsia" w:ascii="宋体" w:hAnsi="宋体" w:eastAsia="宋体" w:cs="宋体"/>
          <w:color w:val="auto"/>
          <w:sz w:val="24"/>
          <w:szCs w:val="24"/>
          <w:highlight w:val="none"/>
          <w:shd w:val="clear"/>
        </w:rPr>
        <w:t>，</w:t>
      </w:r>
      <w:r>
        <w:rPr>
          <w:rFonts w:hint="eastAsia" w:ascii="宋体" w:hAnsi="宋体" w:eastAsia="宋体" w:cs="宋体"/>
          <w:color w:val="auto"/>
          <w:sz w:val="24"/>
          <w:szCs w:val="24"/>
          <w:highlight w:val="none"/>
          <w:shd w:val="clear" w:color="auto"/>
        </w:rPr>
        <w:t>磋商小组应当根据综合评审情况，按照评审得分由高到低顺序推荐3名成交候选供应商，并编写评审报告。评审得分相同的，按照最后报价由低到高的顺序推荐。评审得分且最后报价相同的，按照技术指标优劣顺序推荐</w:t>
      </w:r>
      <w:r>
        <w:rPr>
          <w:rFonts w:hint="eastAsia" w:ascii="宋体" w:hAnsi="宋体" w:eastAsia="宋体" w:cs="宋体"/>
          <w:color w:val="auto"/>
          <w:sz w:val="24"/>
          <w:szCs w:val="24"/>
          <w:highlight w:val="none"/>
          <w:shd w:val="clear"/>
        </w:rPr>
        <w:t>。</w:t>
      </w:r>
    </w:p>
    <w:p w14:paraId="1C4A50E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编写评审报告。评审报告是磋商小组根据磋商小组成员签字的原始评审记录和评审结果编写的报告，其主要内容包括：</w:t>
      </w:r>
    </w:p>
    <w:p w14:paraId="2176FD1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（1）项目概况、磋商日期和地点；</w:t>
      </w:r>
    </w:p>
    <w:p w14:paraId="7685DF2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（2）下载磋商文件的供应商名单和磋商小组成员名单；</w:t>
      </w:r>
    </w:p>
    <w:p w14:paraId="7F4D2E7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（3）评审因素和标准；</w:t>
      </w:r>
    </w:p>
    <w:p w14:paraId="7AD1D5A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（4）磋商记录和评审情况及说明，包括</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供应商名单及原因；</w:t>
      </w:r>
    </w:p>
    <w:p w14:paraId="7341281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（5）评审结果和成交人排序。</w:t>
      </w:r>
    </w:p>
    <w:p w14:paraId="3749D494">
      <w:pPr>
        <w:pStyle w:val="3"/>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rPr>
      </w:pPr>
      <w:bookmarkStart w:id="252" w:name="_Toc16955"/>
      <w:bookmarkStart w:id="253" w:name="_Toc217446103"/>
      <w:bookmarkStart w:id="254" w:name="_Toc11213"/>
      <w:r>
        <w:rPr>
          <w:rFonts w:hint="eastAsia" w:ascii="宋体" w:hAnsi="宋体" w:eastAsia="宋体" w:cs="宋体"/>
          <w:color w:val="auto"/>
          <w:sz w:val="24"/>
          <w:szCs w:val="24"/>
          <w:highlight w:val="none"/>
        </w:rPr>
        <w:t>4. 评审细则及标准</w:t>
      </w:r>
      <w:bookmarkEnd w:id="252"/>
      <w:bookmarkEnd w:id="253"/>
      <w:bookmarkEnd w:id="254"/>
    </w:p>
    <w:p w14:paraId="5072CE4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磋商小组只对通过符合性审查的响应文件，根据磋商文件的要求采用相同的评审程序、评审办法及标准进行评价和比较。</w:t>
      </w:r>
    </w:p>
    <w:p w14:paraId="220A70B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本次综合评审的主要因素是：商务、价格、技术服务、业绩、对磋商文件的响应程度以及响应文件规范性等。</w:t>
      </w:r>
    </w:p>
    <w:p w14:paraId="48E8562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除价格因素外，磋商小组成员应依据响应文件规定的评审标准和方法独立对其他因素进行比较打分。</w:t>
      </w:r>
    </w:p>
    <w:p w14:paraId="2661796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评审时，磋商小组各成员应当独立对每个有效响应的文件进行评价、打分，然后汇总每个供应商每项评审因素的得分。</w:t>
      </w:r>
    </w:p>
    <w:p w14:paraId="624B3807">
      <w:pPr>
        <w:pStyle w:val="12"/>
        <w:pageBreakBefore w:val="0"/>
        <w:widowControl w:val="0"/>
        <w:tabs>
          <w:tab w:val="left" w:pos="600"/>
        </w:tabs>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4.5评审细则及标准的制定以科学合理、降低磋商小组自由裁量权为原则。</w:t>
      </w:r>
    </w:p>
    <w:p w14:paraId="4F90E618">
      <w:pPr>
        <w:pStyle w:val="12"/>
        <w:pageBreakBefore w:val="0"/>
        <w:widowControl w:val="0"/>
        <w:tabs>
          <w:tab w:val="left" w:pos="600"/>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4.5.1磋商小组将按照下述评审标准对通过符合性审查的响应文件进行详细评审，供应商评审得分等于所有评委评分的算术平均值，结果保留两位小数。</w:t>
      </w:r>
    </w:p>
    <w:p w14:paraId="13E08445">
      <w:pPr>
        <w:pStyle w:val="12"/>
        <w:tabs>
          <w:tab w:val="left" w:pos="600"/>
        </w:tabs>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评审因素权重表</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3230"/>
        <w:gridCol w:w="1813"/>
        <w:gridCol w:w="1816"/>
      </w:tblGrid>
      <w:tr w14:paraId="15E8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4" w:type="pct"/>
            <w:tcBorders>
              <w:top w:val="single" w:color="auto" w:sz="4" w:space="0"/>
              <w:left w:val="single" w:color="auto" w:sz="4" w:space="0"/>
              <w:bottom w:val="single" w:color="auto" w:sz="4" w:space="0"/>
              <w:right w:val="single" w:color="auto" w:sz="4" w:space="0"/>
            </w:tcBorders>
            <w:vAlign w:val="center"/>
          </w:tcPr>
          <w:p w14:paraId="701080C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95" w:type="pct"/>
            <w:tcBorders>
              <w:top w:val="single" w:color="auto" w:sz="4" w:space="0"/>
              <w:left w:val="single" w:color="auto" w:sz="4" w:space="0"/>
              <w:bottom w:val="single" w:color="auto" w:sz="4" w:space="0"/>
              <w:right w:val="single" w:color="auto" w:sz="4" w:space="0"/>
            </w:tcBorders>
            <w:vAlign w:val="center"/>
          </w:tcPr>
          <w:p w14:paraId="2376407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tcBorders>
              <w:top w:val="single" w:color="auto" w:sz="4" w:space="0"/>
              <w:left w:val="single" w:color="auto" w:sz="4" w:space="0"/>
              <w:bottom w:val="single" w:color="auto" w:sz="4" w:space="0"/>
              <w:right w:val="single" w:color="auto" w:sz="4" w:space="0"/>
            </w:tcBorders>
            <w:vAlign w:val="center"/>
          </w:tcPr>
          <w:p w14:paraId="6263B61C">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065" w:type="pct"/>
            <w:tcBorders>
              <w:top w:val="single" w:color="auto" w:sz="4" w:space="0"/>
              <w:left w:val="single" w:color="auto" w:sz="4" w:space="0"/>
              <w:bottom w:val="single" w:color="auto" w:sz="4" w:space="0"/>
              <w:right w:val="single" w:color="auto" w:sz="4" w:space="0"/>
            </w:tcBorders>
            <w:vAlign w:val="center"/>
          </w:tcPr>
          <w:p w14:paraId="353FEF5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r>
      <w:tr w14:paraId="2B33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4" w:type="pct"/>
            <w:tcBorders>
              <w:top w:val="single" w:color="auto" w:sz="4" w:space="0"/>
              <w:left w:val="single" w:color="auto" w:sz="4" w:space="0"/>
              <w:bottom w:val="single" w:color="auto" w:sz="4" w:space="0"/>
              <w:right w:val="single" w:color="auto" w:sz="4" w:space="0"/>
            </w:tcBorders>
            <w:vAlign w:val="center"/>
          </w:tcPr>
          <w:p w14:paraId="0A8BCD4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1895" w:type="pct"/>
            <w:tcBorders>
              <w:top w:val="single" w:color="auto" w:sz="4" w:space="0"/>
              <w:left w:val="single" w:color="auto" w:sz="4" w:space="0"/>
              <w:bottom w:val="single" w:color="auto" w:sz="4" w:space="0"/>
              <w:right w:val="single" w:color="auto" w:sz="4" w:space="0"/>
            </w:tcBorders>
            <w:vAlign w:val="center"/>
          </w:tcPr>
          <w:p w14:paraId="68DE3A4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技术部分</w:t>
            </w:r>
          </w:p>
        </w:tc>
        <w:tc>
          <w:tcPr>
            <w:tcW w:w="1064" w:type="pct"/>
            <w:tcBorders>
              <w:top w:val="single" w:color="auto" w:sz="4" w:space="0"/>
              <w:left w:val="single" w:color="auto" w:sz="4" w:space="0"/>
              <w:bottom w:val="single" w:color="auto" w:sz="4" w:space="0"/>
              <w:right w:val="single" w:color="auto" w:sz="4" w:space="0"/>
            </w:tcBorders>
            <w:vAlign w:val="center"/>
          </w:tcPr>
          <w:p w14:paraId="0B5A00C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tc>
        <w:tc>
          <w:tcPr>
            <w:tcW w:w="1065" w:type="pct"/>
            <w:tcBorders>
              <w:top w:val="single" w:color="auto" w:sz="4" w:space="0"/>
              <w:left w:val="single" w:color="auto" w:sz="4" w:space="0"/>
              <w:bottom w:val="single" w:color="auto" w:sz="4" w:space="0"/>
              <w:right w:val="single" w:color="auto" w:sz="4" w:space="0"/>
            </w:tcBorders>
            <w:vAlign w:val="center"/>
          </w:tcPr>
          <w:p w14:paraId="13B7A43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r>
      <w:tr w14:paraId="353F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4" w:type="pct"/>
            <w:tcBorders>
              <w:top w:val="single" w:color="auto" w:sz="4" w:space="0"/>
              <w:left w:val="single" w:color="auto" w:sz="4" w:space="0"/>
              <w:bottom w:val="single" w:color="auto" w:sz="4" w:space="0"/>
              <w:right w:val="single" w:color="auto" w:sz="4" w:space="0"/>
            </w:tcBorders>
            <w:vAlign w:val="center"/>
          </w:tcPr>
          <w:p w14:paraId="2E91946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1895" w:type="pct"/>
            <w:tcBorders>
              <w:top w:val="single" w:color="auto" w:sz="4" w:space="0"/>
              <w:left w:val="single" w:color="auto" w:sz="4" w:space="0"/>
              <w:bottom w:val="single" w:color="auto" w:sz="4" w:space="0"/>
              <w:right w:val="single" w:color="auto" w:sz="4" w:space="0"/>
            </w:tcBorders>
            <w:vAlign w:val="center"/>
          </w:tcPr>
          <w:p w14:paraId="6A12DC5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rPr>
              <w:t>%</w:t>
            </w:r>
          </w:p>
        </w:tc>
        <w:tc>
          <w:tcPr>
            <w:tcW w:w="1064" w:type="pct"/>
            <w:tcBorders>
              <w:top w:val="single" w:color="auto" w:sz="4" w:space="0"/>
              <w:left w:val="single" w:color="auto" w:sz="4" w:space="0"/>
              <w:bottom w:val="single" w:color="auto" w:sz="4" w:space="0"/>
              <w:right w:val="single" w:color="auto" w:sz="4" w:space="0"/>
            </w:tcBorders>
            <w:vAlign w:val="center"/>
          </w:tcPr>
          <w:p w14:paraId="7216C56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p>
        </w:tc>
        <w:tc>
          <w:tcPr>
            <w:tcW w:w="1065" w:type="pct"/>
            <w:tcBorders>
              <w:top w:val="single" w:color="auto" w:sz="4" w:space="0"/>
              <w:left w:val="single" w:color="auto" w:sz="4" w:space="0"/>
              <w:bottom w:val="single" w:color="auto" w:sz="4" w:space="0"/>
              <w:right w:val="single" w:color="auto" w:sz="4" w:space="0"/>
            </w:tcBorders>
            <w:vAlign w:val="center"/>
          </w:tcPr>
          <w:p w14:paraId="267B503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r>
    </w:tbl>
    <w:p w14:paraId="05EFB6CB">
      <w:pPr>
        <w:pStyle w:val="17"/>
        <w:spacing w:line="360" w:lineRule="auto"/>
        <w:jc w:val="center"/>
        <w:rPr>
          <w:rFonts w:hint="eastAsia" w:ascii="宋体" w:hAnsi="宋体" w:eastAsia="宋体" w:cs="宋体"/>
          <w:b/>
          <w:bCs/>
          <w:sz w:val="24"/>
          <w:szCs w:val="24"/>
          <w:highlight w:val="none"/>
        </w:rPr>
      </w:pPr>
    </w:p>
    <w:p w14:paraId="69235742">
      <w:pPr>
        <w:pStyle w:val="17"/>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技术、商务部分评审标准（</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0分）</w:t>
      </w:r>
    </w:p>
    <w:tbl>
      <w:tblPr>
        <w:tblStyle w:val="29"/>
        <w:tblpPr w:leftFromText="180" w:rightFromText="180" w:vertAnchor="text" w:horzAnchor="page" w:tblpX="1756" w:tblpY="447"/>
        <w:tblOverlap w:val="never"/>
        <w:tblW w:w="8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417"/>
        <w:gridCol w:w="5754"/>
      </w:tblGrid>
      <w:tr w14:paraId="5880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1413" w:type="dxa"/>
            <w:tcBorders>
              <w:top w:val="single" w:color="auto" w:sz="4" w:space="0"/>
              <w:left w:val="single" w:color="auto" w:sz="4" w:space="0"/>
              <w:bottom w:val="single" w:color="auto" w:sz="4" w:space="0"/>
              <w:right w:val="single" w:color="auto" w:sz="4" w:space="0"/>
            </w:tcBorders>
            <w:vAlign w:val="center"/>
          </w:tcPr>
          <w:p w14:paraId="74357136">
            <w:pPr>
              <w:spacing w:line="360" w:lineRule="auto"/>
              <w:rPr>
                <w:rFonts w:hint="eastAsia" w:ascii="宋体" w:hAnsi="宋体" w:eastAsia="宋体" w:cs="宋体"/>
                <w:b/>
                <w:bCs/>
                <w:snapToGrid w:val="0"/>
                <w:kern w:val="0"/>
                <w:sz w:val="24"/>
                <w:szCs w:val="24"/>
                <w:highlight w:val="none"/>
                <w:lang w:val="zh-CN"/>
              </w:rPr>
            </w:pPr>
            <w:r>
              <w:rPr>
                <w:rFonts w:hint="eastAsia" w:ascii="宋体" w:hAnsi="宋体" w:eastAsia="宋体" w:cs="宋体"/>
                <w:sz w:val="24"/>
                <w:szCs w:val="24"/>
                <w:highlight w:val="none"/>
              </w:rPr>
              <w:br w:type="page"/>
            </w:r>
            <w:r>
              <w:rPr>
                <w:rFonts w:hint="eastAsia" w:ascii="宋体" w:hAnsi="宋体" w:eastAsia="宋体" w:cs="宋体"/>
                <w:b/>
                <w:bCs/>
                <w:snapToGrid w:val="0"/>
                <w:kern w:val="0"/>
                <w:sz w:val="24"/>
                <w:szCs w:val="24"/>
                <w:highlight w:val="none"/>
              </w:rPr>
              <w:t>评分项目</w:t>
            </w:r>
          </w:p>
        </w:tc>
        <w:tc>
          <w:tcPr>
            <w:tcW w:w="1417" w:type="dxa"/>
            <w:tcBorders>
              <w:top w:val="single" w:color="auto" w:sz="4" w:space="0"/>
              <w:left w:val="single" w:color="auto" w:sz="4" w:space="0"/>
              <w:bottom w:val="single" w:color="auto" w:sz="4" w:space="0"/>
              <w:right w:val="single" w:color="auto" w:sz="4" w:space="0"/>
            </w:tcBorders>
            <w:vAlign w:val="center"/>
          </w:tcPr>
          <w:p w14:paraId="3C46E534">
            <w:pPr>
              <w:widowControl/>
              <w:kinsoku w:val="0"/>
              <w:autoSpaceDE w:val="0"/>
              <w:autoSpaceDN w:val="0"/>
              <w:adjustRightInd w:val="0"/>
              <w:snapToGrid w:val="0"/>
              <w:spacing w:line="360" w:lineRule="auto"/>
              <w:jc w:val="center"/>
              <w:textAlignment w:val="baseline"/>
              <w:rPr>
                <w:rFonts w:hint="eastAsia" w:ascii="宋体" w:hAnsi="宋体" w:eastAsia="宋体" w:cs="宋体"/>
                <w:b/>
                <w:bCs/>
                <w:snapToGrid w:val="0"/>
                <w:kern w:val="0"/>
                <w:sz w:val="24"/>
                <w:szCs w:val="24"/>
                <w:highlight w:val="none"/>
                <w:lang w:val="zh-CN"/>
              </w:rPr>
            </w:pPr>
            <w:r>
              <w:rPr>
                <w:rFonts w:hint="eastAsia" w:ascii="宋体" w:hAnsi="宋体" w:eastAsia="宋体" w:cs="宋体"/>
                <w:b/>
                <w:bCs/>
                <w:snapToGrid w:val="0"/>
                <w:kern w:val="0"/>
                <w:sz w:val="24"/>
                <w:szCs w:val="24"/>
                <w:highlight w:val="none"/>
                <w:lang w:val="zh-CN"/>
              </w:rPr>
              <w:t>分值</w:t>
            </w:r>
          </w:p>
        </w:tc>
        <w:tc>
          <w:tcPr>
            <w:tcW w:w="5754" w:type="dxa"/>
            <w:tcBorders>
              <w:top w:val="single" w:color="auto" w:sz="4" w:space="0"/>
              <w:left w:val="single" w:color="auto" w:sz="4" w:space="0"/>
              <w:bottom w:val="single" w:color="auto" w:sz="4" w:space="0"/>
              <w:right w:val="single" w:color="auto" w:sz="4" w:space="0"/>
            </w:tcBorders>
            <w:vAlign w:val="center"/>
          </w:tcPr>
          <w:p w14:paraId="2AA49246">
            <w:pPr>
              <w:widowControl/>
              <w:kinsoku w:val="0"/>
              <w:autoSpaceDE w:val="0"/>
              <w:autoSpaceDN w:val="0"/>
              <w:adjustRightInd w:val="0"/>
              <w:snapToGrid w:val="0"/>
              <w:spacing w:line="360" w:lineRule="auto"/>
              <w:jc w:val="center"/>
              <w:textAlignment w:val="baseline"/>
              <w:rPr>
                <w:rFonts w:hint="eastAsia" w:ascii="宋体" w:hAnsi="宋体" w:eastAsia="宋体" w:cs="宋体"/>
                <w:b/>
                <w:bCs/>
                <w:snapToGrid w:val="0"/>
                <w:kern w:val="0"/>
                <w:sz w:val="24"/>
                <w:szCs w:val="24"/>
                <w:highlight w:val="none"/>
                <w:lang w:val="zh-CN"/>
              </w:rPr>
            </w:pPr>
            <w:r>
              <w:rPr>
                <w:rFonts w:hint="eastAsia" w:ascii="宋体" w:hAnsi="宋体" w:eastAsia="宋体" w:cs="宋体"/>
                <w:b/>
                <w:bCs/>
                <w:snapToGrid w:val="0"/>
                <w:kern w:val="0"/>
                <w:sz w:val="24"/>
                <w:szCs w:val="24"/>
                <w:highlight w:val="none"/>
                <w:lang w:val="zh-CN"/>
              </w:rPr>
              <w:t>标准</w:t>
            </w:r>
          </w:p>
        </w:tc>
      </w:tr>
      <w:tr w14:paraId="3721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8584" w:type="dxa"/>
            <w:gridSpan w:val="3"/>
            <w:tcBorders>
              <w:top w:val="single" w:color="auto" w:sz="4" w:space="0"/>
              <w:left w:val="single" w:color="auto" w:sz="4" w:space="0"/>
              <w:bottom w:val="single" w:color="auto" w:sz="4" w:space="0"/>
              <w:right w:val="single" w:color="auto" w:sz="4" w:space="0"/>
            </w:tcBorders>
            <w:vAlign w:val="center"/>
          </w:tcPr>
          <w:p w14:paraId="5606BA7E">
            <w:pPr>
              <w:widowControl/>
              <w:kinsoku w:val="0"/>
              <w:autoSpaceDE w:val="0"/>
              <w:autoSpaceDN w:val="0"/>
              <w:adjustRightInd w:val="0"/>
              <w:snapToGrid w:val="0"/>
              <w:spacing w:line="360" w:lineRule="auto"/>
              <w:jc w:val="center"/>
              <w:textAlignment w:val="baseline"/>
              <w:rPr>
                <w:rFonts w:hint="eastAsia" w:ascii="宋体" w:hAnsi="宋体" w:eastAsia="宋体" w:cs="宋体"/>
                <w:b/>
                <w:bCs/>
                <w:snapToGrid w:val="0"/>
                <w:kern w:val="0"/>
                <w:sz w:val="24"/>
                <w:szCs w:val="24"/>
                <w:highlight w:val="none"/>
                <w:lang w:val="en-US" w:eastAsia="zh-CN"/>
              </w:rPr>
            </w:pPr>
            <w:r>
              <w:rPr>
                <w:rFonts w:hint="eastAsia" w:ascii="宋体" w:hAnsi="宋体" w:eastAsia="宋体" w:cs="宋体"/>
                <w:b/>
                <w:bCs/>
                <w:snapToGrid w:val="0"/>
                <w:kern w:val="0"/>
                <w:sz w:val="24"/>
                <w:szCs w:val="24"/>
                <w:highlight w:val="none"/>
                <w:lang w:val="en-US" w:eastAsia="zh-CN"/>
              </w:rPr>
              <w:t>商务部分（20分）</w:t>
            </w:r>
          </w:p>
        </w:tc>
      </w:tr>
      <w:tr w14:paraId="6EA8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left w:val="single" w:color="auto" w:sz="4" w:space="0"/>
              <w:right w:val="single" w:color="auto" w:sz="4" w:space="0"/>
            </w:tcBorders>
            <w:shd w:val="clear" w:color="auto" w:fill="auto"/>
            <w:vAlign w:val="center"/>
          </w:tcPr>
          <w:p w14:paraId="28DF7536">
            <w:pPr>
              <w:adjustRightInd w:val="0"/>
              <w:snapToGrid w:val="0"/>
              <w:spacing w:line="360" w:lineRule="auto"/>
              <w:jc w:val="center"/>
              <w:rPr>
                <w:rFonts w:hint="eastAsia" w:ascii="宋体" w:hAnsi="宋体" w:eastAsia="宋体" w:cs="宋体"/>
                <w:kern w:val="0"/>
                <w:sz w:val="24"/>
                <w:szCs w:val="24"/>
                <w:highlight w:val="none"/>
                <w:lang w:val="zh-CN"/>
              </w:rPr>
            </w:pPr>
            <w:r>
              <w:rPr>
                <w:rFonts w:hint="eastAsia" w:ascii="宋体" w:hAnsi="宋体" w:eastAsia="宋体" w:cs="宋体"/>
                <w:sz w:val="24"/>
                <w:szCs w:val="24"/>
                <w:highlight w:val="none"/>
              </w:rPr>
              <w:t>企业实力</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F5DCAD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tc>
        <w:tc>
          <w:tcPr>
            <w:tcW w:w="5754" w:type="dxa"/>
            <w:tcBorders>
              <w:top w:val="single" w:color="auto" w:sz="4" w:space="0"/>
              <w:left w:val="single" w:color="auto" w:sz="4" w:space="0"/>
              <w:bottom w:val="single" w:color="auto" w:sz="4" w:space="0"/>
              <w:right w:val="single" w:color="auto" w:sz="4" w:space="0"/>
            </w:tcBorders>
            <w:shd w:val="clear" w:color="auto" w:fill="auto"/>
            <w:vAlign w:val="center"/>
          </w:tcPr>
          <w:p w14:paraId="1A0BB6A2">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供应商近三年内（2023年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月1日-</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上传截止时间前，以合同签订日期为准）完成类似项目的业绩，每个项目业绩得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分，最多得</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w:t>
            </w:r>
          </w:p>
          <w:p w14:paraId="56204254">
            <w:pPr>
              <w:adjustRightInd w:val="0"/>
              <w:snapToGrid w:val="0"/>
              <w:spacing w:line="360" w:lineRule="auto"/>
              <w:jc w:val="left"/>
              <w:rPr>
                <w:rFonts w:hint="eastAsia" w:ascii="宋体" w:hAnsi="宋体" w:eastAsia="宋体" w:cs="宋体"/>
                <w:b/>
                <w:bCs/>
                <w:kern w:val="0"/>
                <w:sz w:val="24"/>
                <w:szCs w:val="24"/>
                <w:highlight w:val="none"/>
                <w:lang w:val="zh-CN"/>
              </w:rPr>
            </w:pPr>
            <w:r>
              <w:rPr>
                <w:rFonts w:hint="eastAsia" w:ascii="宋体" w:hAnsi="宋体" w:eastAsia="宋体" w:cs="宋体"/>
                <w:b/>
                <w:bCs/>
                <w:sz w:val="24"/>
                <w:szCs w:val="24"/>
                <w:highlight w:val="none"/>
              </w:rPr>
              <w:t>注：须提供采购合同（至少包括合同首页、标的页、签字盖章页、采购内容页）扫描件，未按要求提供不得分。</w:t>
            </w:r>
          </w:p>
        </w:tc>
      </w:tr>
      <w:tr w14:paraId="6BA6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left w:val="single" w:color="auto" w:sz="4" w:space="0"/>
              <w:right w:val="single" w:color="auto" w:sz="4" w:space="0"/>
            </w:tcBorders>
            <w:shd w:val="clear" w:color="auto" w:fill="auto"/>
            <w:vAlign w:val="center"/>
          </w:tcPr>
          <w:p w14:paraId="0B8D153C">
            <w:pPr>
              <w:spacing w:line="360" w:lineRule="auto"/>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企业</w:t>
            </w:r>
            <w:r>
              <w:rPr>
                <w:rFonts w:hint="eastAsia" w:ascii="宋体" w:hAnsi="宋体" w:eastAsia="宋体" w:cs="宋体"/>
                <w:sz w:val="24"/>
                <w:szCs w:val="24"/>
                <w:highlight w:val="none"/>
                <w:lang w:val="en-US" w:eastAsia="zh-CN"/>
              </w:rPr>
              <w:t>关键技术和商务履约能力</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CB795A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tc>
        <w:tc>
          <w:tcPr>
            <w:tcW w:w="5754" w:type="dxa"/>
            <w:tcBorders>
              <w:top w:val="single" w:color="auto" w:sz="4" w:space="0"/>
              <w:left w:val="single" w:color="auto" w:sz="4" w:space="0"/>
              <w:bottom w:val="single" w:color="auto" w:sz="4" w:space="0"/>
              <w:right w:val="single" w:color="auto" w:sz="4" w:space="0"/>
            </w:tcBorders>
            <w:shd w:val="clear" w:color="auto" w:fill="auto"/>
            <w:vAlign w:val="center"/>
          </w:tcPr>
          <w:p w14:paraId="44DA44F7">
            <w:pPr>
              <w:pStyle w:val="119"/>
              <w:tabs>
                <w:tab w:val="left" w:pos="2730"/>
              </w:tabs>
              <w:spacing w:line="360" w:lineRule="auto"/>
              <w:jc w:val="both"/>
              <w:rPr>
                <w:rFonts w:hint="eastAsia" w:ascii="宋体" w:hAnsi="宋体" w:eastAsia="宋体" w:cs="宋体"/>
                <w:b/>
                <w:bCs/>
                <w:sz w:val="24"/>
                <w:szCs w:val="24"/>
                <w:highlight w:val="none"/>
              </w:rPr>
            </w:pPr>
            <w:r>
              <w:rPr>
                <w:rFonts w:hint="eastAsia" w:ascii="宋体" w:hAnsi="宋体" w:eastAsia="宋体" w:cs="宋体"/>
                <w:b w:val="0"/>
                <w:bCs w:val="0"/>
                <w:kern w:val="2"/>
                <w:sz w:val="24"/>
                <w:szCs w:val="24"/>
                <w:highlight w:val="none"/>
                <w:lang w:val="en-US" w:eastAsia="zh-CN" w:bidi="ar-SA"/>
              </w:rPr>
              <w:t>为保障采购内容的质量、安全及后续服务，投标人或所投产品制造商具有①软件产品著作权登记证；②软件产品评估测试报告。每提供1项得2分，满分4分。</w:t>
            </w:r>
          </w:p>
        </w:tc>
      </w:tr>
      <w:tr w14:paraId="64E8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left w:val="single" w:color="auto" w:sz="4" w:space="0"/>
              <w:right w:val="single" w:color="auto" w:sz="4" w:space="0"/>
            </w:tcBorders>
            <w:shd w:val="clear" w:color="auto" w:fill="auto"/>
            <w:vAlign w:val="center"/>
          </w:tcPr>
          <w:p w14:paraId="175D02C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本地化服务能力</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E89D20E">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4分</w:t>
            </w:r>
          </w:p>
        </w:tc>
        <w:tc>
          <w:tcPr>
            <w:tcW w:w="5754" w:type="dxa"/>
            <w:tcBorders>
              <w:top w:val="single" w:color="auto" w:sz="4" w:space="0"/>
              <w:left w:val="single" w:color="auto" w:sz="4" w:space="0"/>
              <w:bottom w:val="single" w:color="auto" w:sz="4" w:space="0"/>
              <w:right w:val="single" w:color="auto" w:sz="4" w:space="0"/>
            </w:tcBorders>
            <w:shd w:val="clear" w:color="auto" w:fill="auto"/>
            <w:vAlign w:val="center"/>
          </w:tcPr>
          <w:p w14:paraId="30C06ABF">
            <w:p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供应商应具备本地化服务能力，提供技术支持与售后服务，中标后须在项目所在地提供24 小时响应、4 小时到场的售后服务（服务形式包括但不限于项目服务部、临时办公点、安排常驻人员等）得4分。需提供具备相应能力的证明材料或承诺函并加盖公章。</w:t>
            </w:r>
          </w:p>
        </w:tc>
      </w:tr>
      <w:tr w14:paraId="6DD2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4" w:type="dxa"/>
            <w:gridSpan w:val="3"/>
            <w:tcBorders>
              <w:left w:val="single" w:color="auto" w:sz="4" w:space="0"/>
              <w:right w:val="single" w:color="auto" w:sz="4" w:space="0"/>
            </w:tcBorders>
            <w:shd w:val="clear" w:color="auto" w:fill="auto"/>
            <w:vAlign w:val="center"/>
          </w:tcPr>
          <w:p w14:paraId="6181A560">
            <w:pPr>
              <w:widowControl/>
              <w:spacing w:line="360" w:lineRule="auto"/>
              <w:jc w:val="center"/>
              <w:textAlignment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技术部分（60分）</w:t>
            </w:r>
          </w:p>
        </w:tc>
      </w:tr>
      <w:tr w14:paraId="5C0A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13" w:type="dxa"/>
            <w:tcBorders>
              <w:left w:val="single" w:color="auto" w:sz="4" w:space="0"/>
              <w:right w:val="single" w:color="auto" w:sz="4" w:space="0"/>
            </w:tcBorders>
            <w:shd w:val="clear" w:color="auto" w:fill="auto"/>
            <w:vAlign w:val="center"/>
          </w:tcPr>
          <w:p w14:paraId="14C66AEE">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技术要求</w:t>
            </w:r>
          </w:p>
          <w:p w14:paraId="757BA249">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响应评价</w:t>
            </w:r>
          </w:p>
        </w:tc>
        <w:tc>
          <w:tcPr>
            <w:tcW w:w="1417" w:type="dxa"/>
            <w:tcBorders>
              <w:top w:val="single" w:color="auto" w:sz="4" w:space="0"/>
              <w:left w:val="single" w:color="auto" w:sz="4" w:space="0"/>
              <w:right w:val="single" w:color="auto" w:sz="4" w:space="0"/>
            </w:tcBorders>
            <w:shd w:val="clear" w:color="auto" w:fill="auto"/>
            <w:vAlign w:val="center"/>
          </w:tcPr>
          <w:p w14:paraId="5B28B0EE">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w:t>
            </w:r>
          </w:p>
        </w:tc>
        <w:tc>
          <w:tcPr>
            <w:tcW w:w="5754" w:type="dxa"/>
            <w:tcBorders>
              <w:top w:val="single" w:color="auto" w:sz="4" w:space="0"/>
              <w:left w:val="single" w:color="auto" w:sz="4" w:space="0"/>
              <w:right w:val="single" w:color="auto" w:sz="4" w:space="0"/>
            </w:tcBorders>
            <w:shd w:val="clear" w:color="auto" w:fill="auto"/>
            <w:vAlign w:val="center"/>
          </w:tcPr>
          <w:p w14:paraId="04A45137">
            <w:pPr>
              <w:widowControl/>
              <w:spacing w:line="360" w:lineRule="auto"/>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1.“★”标记的参数为实质性条款，有一条不满足则投标无效。响应文件严禁照搬招标文件要求，否则可能会被评标委员会判为无效投标。</w:t>
            </w:r>
          </w:p>
          <w:p w14:paraId="5A8C39C3">
            <w:pPr>
              <w:widowControl/>
              <w:spacing w:line="360" w:lineRule="auto"/>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kern w:val="0"/>
                <w:sz w:val="24"/>
                <w:szCs w:val="24"/>
                <w:highlight w:val="none"/>
                <w:lang w:eastAsia="zh-CN"/>
              </w:rPr>
              <w:t>”标记的指标是</w:t>
            </w:r>
            <w:r>
              <w:rPr>
                <w:rFonts w:hint="eastAsia" w:ascii="宋体" w:hAnsi="宋体" w:eastAsia="宋体" w:cs="宋体"/>
                <w:b w:val="0"/>
                <w:bCs w:val="0"/>
                <w:color w:val="auto"/>
                <w:kern w:val="0"/>
                <w:sz w:val="24"/>
                <w:szCs w:val="24"/>
                <w:highlight w:val="none"/>
                <w:lang w:val="en-US" w:eastAsia="zh-CN"/>
              </w:rPr>
              <w:t>重要</w:t>
            </w:r>
            <w:r>
              <w:rPr>
                <w:rFonts w:hint="eastAsia" w:ascii="宋体" w:hAnsi="宋体" w:eastAsia="宋体" w:cs="宋体"/>
                <w:b w:val="0"/>
                <w:bCs w:val="0"/>
                <w:color w:val="auto"/>
                <w:kern w:val="0"/>
                <w:sz w:val="24"/>
                <w:szCs w:val="24"/>
                <w:highlight w:val="none"/>
                <w:lang w:eastAsia="zh-CN"/>
              </w:rPr>
              <w:t>技术指标要求，每有一条负偏离扣</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分，扣完为止。</w:t>
            </w:r>
          </w:p>
          <w:p w14:paraId="636F5BD9">
            <w:pPr>
              <w:pStyle w:val="13"/>
              <w:spacing w:line="360" w:lineRule="auto"/>
              <w:rPr>
                <w:rFonts w:hint="eastAsia" w:ascii="宋体" w:hAnsi="宋体" w:eastAsia="宋体" w:cs="宋体"/>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3.无</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及</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kern w:val="0"/>
                <w:sz w:val="24"/>
                <w:szCs w:val="24"/>
                <w:highlight w:val="none"/>
                <w:lang w:eastAsia="zh-CN"/>
              </w:rPr>
              <w:t>”标记的指标是</w:t>
            </w:r>
            <w:r>
              <w:rPr>
                <w:rFonts w:hint="eastAsia" w:ascii="宋体" w:hAnsi="宋体" w:eastAsia="宋体" w:cs="宋体"/>
                <w:b w:val="0"/>
                <w:bCs w:val="0"/>
                <w:color w:val="auto"/>
                <w:kern w:val="0"/>
                <w:sz w:val="24"/>
                <w:szCs w:val="24"/>
                <w:highlight w:val="none"/>
                <w:lang w:val="en-US" w:eastAsia="zh-CN"/>
              </w:rPr>
              <w:t>一般</w:t>
            </w:r>
            <w:r>
              <w:rPr>
                <w:rFonts w:hint="eastAsia" w:ascii="宋体" w:hAnsi="宋体" w:eastAsia="宋体" w:cs="宋体"/>
                <w:b w:val="0"/>
                <w:bCs w:val="0"/>
                <w:color w:val="auto"/>
                <w:kern w:val="0"/>
                <w:sz w:val="24"/>
                <w:szCs w:val="24"/>
                <w:highlight w:val="none"/>
                <w:lang w:eastAsia="zh-CN"/>
              </w:rPr>
              <w:t>技术指标要求，每有一条负偏离扣</w:t>
            </w:r>
            <w:r>
              <w:rPr>
                <w:rFonts w:hint="eastAsia" w:ascii="宋体" w:hAnsi="宋体" w:eastAsia="宋体" w:cs="宋体"/>
                <w:b w:val="0"/>
                <w:bCs w:val="0"/>
                <w:color w:val="auto"/>
                <w:kern w:val="0"/>
                <w:sz w:val="24"/>
                <w:szCs w:val="24"/>
                <w:highlight w:val="none"/>
                <w:lang w:val="en-US" w:eastAsia="zh-CN"/>
              </w:rPr>
              <w:t>0.5</w:t>
            </w:r>
            <w:r>
              <w:rPr>
                <w:rFonts w:hint="eastAsia" w:ascii="宋体" w:hAnsi="宋体" w:eastAsia="宋体" w:cs="宋体"/>
                <w:b w:val="0"/>
                <w:bCs w:val="0"/>
                <w:color w:val="auto"/>
                <w:kern w:val="0"/>
                <w:sz w:val="24"/>
                <w:szCs w:val="24"/>
                <w:highlight w:val="none"/>
                <w:lang w:eastAsia="zh-CN"/>
              </w:rPr>
              <w:t>分，扣完为止。</w:t>
            </w:r>
          </w:p>
          <w:p w14:paraId="3FF6AA72">
            <w:pPr>
              <w:widowControl/>
              <w:spacing w:line="360" w:lineRule="auto"/>
              <w:textAlignment w:val="center"/>
              <w:rPr>
                <w:rFonts w:hint="eastAsia" w:ascii="宋体" w:hAnsi="宋体" w:eastAsia="宋体" w:cs="宋体"/>
                <w:b/>
                <w:bCs/>
                <w:sz w:val="24"/>
                <w:szCs w:val="24"/>
                <w:highlight w:val="none"/>
              </w:rPr>
            </w:pPr>
            <w:r>
              <w:rPr>
                <w:rFonts w:hint="eastAsia" w:ascii="宋体" w:hAnsi="宋体" w:eastAsia="宋体" w:cs="宋体"/>
                <w:b/>
                <w:bCs/>
                <w:color w:val="auto"/>
                <w:kern w:val="0"/>
                <w:sz w:val="24"/>
                <w:szCs w:val="24"/>
                <w:highlight w:val="none"/>
                <w:lang w:eastAsia="zh-CN"/>
              </w:rPr>
              <w:t>注：负偏离评审依据：</w:t>
            </w:r>
            <w:r>
              <w:rPr>
                <w:rFonts w:hint="eastAsia" w:ascii="宋体" w:hAnsi="宋体" w:eastAsia="宋体" w:cs="宋体"/>
                <w:b/>
                <w:bCs/>
                <w:color w:val="auto"/>
                <w:kern w:val="0"/>
                <w:sz w:val="24"/>
                <w:szCs w:val="24"/>
                <w:highlight w:val="none"/>
                <w:lang w:val="en-US" w:eastAsia="zh-CN"/>
              </w:rPr>
              <w:t>①所提供产品技术参数低于招标文件要求的，视为负偏离；②技术参数响应条款（以响应文件内技术偏离表为准）与招标文件对比有缺项、漏项的，视为负偏离；③响应文件内技术偏离表完全复制招标文件技术参数的（不涉及具体参数指标的描述性技术要求除外），视为负偏离；④投标人提供的响应文件中产品技术偏离表、产品技术规格书和产品检测报告内描述的同一产品技术参数响应值不一致的，视为负偏离。</w:t>
            </w:r>
          </w:p>
        </w:tc>
      </w:tr>
      <w:tr w14:paraId="7017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13" w:type="dxa"/>
            <w:tcBorders>
              <w:left w:val="single" w:color="auto" w:sz="4" w:space="0"/>
              <w:right w:val="single" w:color="auto" w:sz="4" w:space="0"/>
            </w:tcBorders>
            <w:shd w:val="clear" w:color="auto" w:fill="auto"/>
            <w:vAlign w:val="center"/>
          </w:tcPr>
          <w:p w14:paraId="72495D81">
            <w:pPr>
              <w:spacing w:line="360" w:lineRule="auto"/>
              <w:jc w:val="center"/>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需求理解和方案总体设计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78F3A9B">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w:t>
            </w:r>
          </w:p>
        </w:tc>
        <w:tc>
          <w:tcPr>
            <w:tcW w:w="5754" w:type="dxa"/>
            <w:tcBorders>
              <w:top w:val="single" w:color="auto" w:sz="4" w:space="0"/>
              <w:left w:val="single" w:color="auto" w:sz="4" w:space="0"/>
              <w:bottom w:val="single" w:color="auto" w:sz="4" w:space="0"/>
              <w:right w:val="single" w:color="auto" w:sz="4" w:space="0"/>
            </w:tcBorders>
            <w:shd w:val="clear" w:color="auto" w:fill="auto"/>
            <w:vAlign w:val="center"/>
          </w:tcPr>
          <w:p w14:paraId="01424A19">
            <w:pPr>
              <w:spacing w:line="360" w:lineRule="auto"/>
              <w:jc w:val="left"/>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根据供应商提供总体设计及系统功能设计方案进行评审，包含但不限于：①需求理解；②服务模式；③行业针对性设计；④技术路线选型；⑤本次招标功能模块的具体说明。</w:t>
            </w:r>
            <w:r>
              <w:rPr>
                <w:rFonts w:hint="eastAsia" w:ascii="宋体" w:hAnsi="宋体" w:eastAsia="宋体" w:cs="宋体"/>
                <w:kern w:val="0"/>
                <w:sz w:val="24"/>
                <w:szCs w:val="24"/>
                <w:highlight w:val="none"/>
              </w:rPr>
              <w:t>提供的方案中，无缺项，内容详细，包含以上内容且完全满足项目要求的得</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分，每有一项内容缺失扣</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分，每有一项内容存在缺陷扣</w:t>
            </w:r>
            <w:r>
              <w:rPr>
                <w:rFonts w:hint="eastAsia" w:ascii="宋体" w:hAnsi="宋体" w:eastAsia="宋体" w:cs="宋体"/>
                <w:kern w:val="0"/>
                <w:sz w:val="24"/>
                <w:szCs w:val="24"/>
                <w:highlight w:val="none"/>
                <w:lang w:val="en-US" w:eastAsia="zh-CN"/>
              </w:rPr>
              <w:t>0.5</w:t>
            </w:r>
            <w:r>
              <w:rPr>
                <w:rFonts w:hint="eastAsia" w:ascii="宋体" w:hAnsi="宋体" w:eastAsia="宋体" w:cs="宋体"/>
                <w:kern w:val="0"/>
                <w:sz w:val="24"/>
                <w:szCs w:val="24"/>
                <w:highlight w:val="none"/>
              </w:rPr>
              <w:t>分，未提供不得分。（内容存在缺陷是指项目实施对象错误、内容与本项目无关，内容空洞、可操作性差，内容严重脱离实际，可执行性差，内容与相关标准或制度相抵触等）。</w:t>
            </w:r>
          </w:p>
        </w:tc>
      </w:tr>
      <w:tr w14:paraId="509F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413" w:type="dxa"/>
            <w:tcBorders>
              <w:left w:val="single" w:color="auto" w:sz="4" w:space="0"/>
              <w:right w:val="single" w:color="auto" w:sz="4" w:space="0"/>
            </w:tcBorders>
            <w:shd w:val="clear" w:color="auto" w:fill="auto"/>
            <w:vAlign w:val="center"/>
          </w:tcPr>
          <w:p w14:paraId="5A26F7A4">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数据采集处理方案</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0908EE1">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w:t>
            </w:r>
          </w:p>
        </w:tc>
        <w:tc>
          <w:tcPr>
            <w:tcW w:w="5754" w:type="dxa"/>
            <w:tcBorders>
              <w:top w:val="single" w:color="auto" w:sz="4" w:space="0"/>
              <w:left w:val="single" w:color="auto" w:sz="4" w:space="0"/>
              <w:bottom w:val="single" w:color="auto" w:sz="4" w:space="0"/>
              <w:right w:val="single" w:color="auto" w:sz="4" w:space="0"/>
            </w:tcBorders>
            <w:shd w:val="clear" w:color="auto" w:fill="auto"/>
            <w:vAlign w:val="center"/>
          </w:tcPr>
          <w:p w14:paraId="469A8876">
            <w:p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对供应商提供的采集方式和数据处理方案进行评审，包括但不限于①涵盖范围；②采集目标及范围；③信息分类；④整理和筛选；⑤信息保护处理等；</w:t>
            </w:r>
            <w:r>
              <w:rPr>
                <w:rFonts w:hint="eastAsia" w:ascii="宋体" w:hAnsi="宋体" w:eastAsia="宋体" w:cs="宋体"/>
                <w:kern w:val="0"/>
                <w:sz w:val="24"/>
                <w:szCs w:val="24"/>
                <w:highlight w:val="none"/>
              </w:rPr>
              <w:t>以上内容完全满足项目要求的得</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分，每有一项内容缺失扣</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分，每有一项内容存在缺陷扣</w:t>
            </w:r>
            <w:r>
              <w:rPr>
                <w:rFonts w:hint="eastAsia" w:ascii="宋体" w:hAnsi="宋体" w:eastAsia="宋体" w:cs="宋体"/>
                <w:kern w:val="0"/>
                <w:sz w:val="24"/>
                <w:szCs w:val="24"/>
                <w:highlight w:val="none"/>
                <w:lang w:val="en-US" w:eastAsia="zh-CN"/>
              </w:rPr>
              <w:t>0.5</w:t>
            </w:r>
            <w:r>
              <w:rPr>
                <w:rFonts w:hint="eastAsia" w:ascii="宋体" w:hAnsi="宋体" w:eastAsia="宋体" w:cs="宋体"/>
                <w:kern w:val="0"/>
                <w:sz w:val="24"/>
                <w:szCs w:val="24"/>
                <w:highlight w:val="none"/>
              </w:rPr>
              <w:t>分，未提供不得分。（内容存在缺陷是指项目实施对象错误、内容与本项目无关，内容空洞、可操作性差，内容严重脱离实际，可执行性差，内容与相关标准或制度相抵触等）。</w:t>
            </w:r>
          </w:p>
        </w:tc>
      </w:tr>
      <w:tr w14:paraId="2F75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413" w:type="dxa"/>
            <w:tcBorders>
              <w:left w:val="single" w:color="auto" w:sz="4" w:space="0"/>
              <w:right w:val="single" w:color="auto" w:sz="4" w:space="0"/>
            </w:tcBorders>
            <w:shd w:val="clear" w:color="auto" w:fill="auto"/>
            <w:vAlign w:val="center"/>
          </w:tcPr>
          <w:p w14:paraId="29E2C6E9">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项目进度及质量保证措施</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4401A01">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w:t>
            </w:r>
          </w:p>
        </w:tc>
        <w:tc>
          <w:tcPr>
            <w:tcW w:w="5754" w:type="dxa"/>
            <w:tcBorders>
              <w:top w:val="single" w:color="auto" w:sz="4" w:space="0"/>
              <w:left w:val="single" w:color="auto" w:sz="4" w:space="0"/>
              <w:bottom w:val="single" w:color="auto" w:sz="4" w:space="0"/>
              <w:right w:val="single" w:color="auto" w:sz="4" w:space="0"/>
            </w:tcBorders>
            <w:shd w:val="clear" w:color="auto" w:fill="auto"/>
            <w:vAlign w:val="center"/>
          </w:tcPr>
          <w:p w14:paraId="3B106E21">
            <w:p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具有完备的项目进度及质量保证措施，包含但不限于①项目实施计划及控制；②项目质量控制；③项目进度控制；④项目风险控制；⑤升级改造调试及验收方案；⑥软件接口方案和网络安全及数据安全保障方案。</w:t>
            </w:r>
          </w:p>
          <w:p w14:paraId="134D7EC1">
            <w:pPr>
              <w:spacing w:line="360" w:lineRule="auto"/>
              <w:jc w:val="left"/>
              <w:rPr>
                <w:rFonts w:hint="eastAsia" w:ascii="宋体" w:hAnsi="宋体" w:eastAsia="宋体" w:cs="宋体"/>
                <w:kern w:val="2"/>
                <w:sz w:val="24"/>
                <w:szCs w:val="24"/>
                <w:highlight w:val="none"/>
                <w:lang w:val="zh-CN" w:eastAsia="zh-CN" w:bidi="ar-SA"/>
              </w:rPr>
            </w:pPr>
            <w:r>
              <w:rPr>
                <w:rFonts w:hint="eastAsia" w:ascii="宋体" w:hAnsi="宋体" w:eastAsia="宋体" w:cs="宋体"/>
                <w:kern w:val="0"/>
                <w:sz w:val="24"/>
                <w:szCs w:val="24"/>
                <w:highlight w:val="none"/>
              </w:rPr>
              <w:t>以上内容</w:t>
            </w:r>
            <w:r>
              <w:rPr>
                <w:rFonts w:hint="eastAsia" w:ascii="宋体" w:hAnsi="宋体" w:eastAsia="宋体" w:cs="宋体"/>
                <w:kern w:val="0"/>
                <w:sz w:val="24"/>
                <w:szCs w:val="24"/>
                <w:highlight w:val="none"/>
                <w:lang w:val="en-US" w:eastAsia="zh-CN"/>
              </w:rPr>
              <w:t>详尽且</w:t>
            </w:r>
            <w:r>
              <w:rPr>
                <w:rFonts w:hint="eastAsia" w:ascii="宋体" w:hAnsi="宋体" w:eastAsia="宋体" w:cs="宋体"/>
                <w:kern w:val="0"/>
                <w:sz w:val="24"/>
                <w:szCs w:val="24"/>
                <w:highlight w:val="none"/>
              </w:rPr>
              <w:t>完全满足项目要求的得</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分，每有一项内容缺失扣</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分，每有一项内容存在缺陷扣</w:t>
            </w:r>
            <w:r>
              <w:rPr>
                <w:rFonts w:hint="eastAsia" w:ascii="宋体" w:hAnsi="宋体" w:eastAsia="宋体" w:cs="宋体"/>
                <w:kern w:val="0"/>
                <w:sz w:val="24"/>
                <w:szCs w:val="24"/>
                <w:highlight w:val="none"/>
                <w:lang w:val="en-US" w:eastAsia="zh-CN"/>
              </w:rPr>
              <w:t>0.5</w:t>
            </w:r>
            <w:r>
              <w:rPr>
                <w:rFonts w:hint="eastAsia" w:ascii="宋体" w:hAnsi="宋体" w:eastAsia="宋体" w:cs="宋体"/>
                <w:kern w:val="0"/>
                <w:sz w:val="24"/>
                <w:szCs w:val="24"/>
                <w:highlight w:val="none"/>
              </w:rPr>
              <w:t>分，未提供不得分。（内容存在缺陷是指项目实施对象错误、内容与本项目无关，内容空洞、可操作性差，内容严重脱离实际，可执行性差，内容与相关标准或制度相抵触等）。</w:t>
            </w:r>
          </w:p>
        </w:tc>
      </w:tr>
      <w:tr w14:paraId="6EAE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413" w:type="dxa"/>
            <w:tcBorders>
              <w:left w:val="single" w:color="auto" w:sz="4" w:space="0"/>
              <w:right w:val="single" w:color="auto" w:sz="4" w:space="0"/>
            </w:tcBorders>
            <w:shd w:val="clear" w:color="auto" w:fill="auto"/>
            <w:vAlign w:val="center"/>
          </w:tcPr>
          <w:p w14:paraId="2838D8D0">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售后服务保障与支持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C595F43">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w:t>
            </w:r>
          </w:p>
        </w:tc>
        <w:tc>
          <w:tcPr>
            <w:tcW w:w="5754" w:type="dxa"/>
            <w:tcBorders>
              <w:top w:val="single" w:color="auto" w:sz="4" w:space="0"/>
              <w:left w:val="single" w:color="auto" w:sz="4" w:space="0"/>
              <w:bottom w:val="single" w:color="auto" w:sz="4" w:space="0"/>
              <w:right w:val="single" w:color="auto" w:sz="4" w:space="0"/>
            </w:tcBorders>
            <w:shd w:val="clear" w:color="auto" w:fill="auto"/>
            <w:vAlign w:val="center"/>
          </w:tcPr>
          <w:p w14:paraId="2C17DFD1">
            <w:p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根据投标人提供的售后服务方案进行综合评审：</w:t>
            </w:r>
          </w:p>
          <w:p w14:paraId="620C9B2E">
            <w:p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售后服务内容；②售后服务流程（含售后服务响应时间、出现质量问题解决时间等）；③售后服务保障（含售后服务保证措施、售后人员配置、应急处理方案等）；④承诺免费提供日常保养维护所需的备品备件。</w:t>
            </w:r>
          </w:p>
          <w:p w14:paraId="3425738F">
            <w:p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以上内容完整且完全满足项目需求得8分，</w:t>
            </w:r>
            <w:r>
              <w:rPr>
                <w:rFonts w:hint="eastAsia" w:ascii="宋体" w:hAnsi="宋体" w:eastAsia="宋体" w:cs="宋体"/>
                <w:kern w:val="0"/>
                <w:sz w:val="24"/>
                <w:szCs w:val="24"/>
                <w:highlight w:val="none"/>
              </w:rPr>
              <w:t>每有一项内容缺失扣</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分，每有一项内容存在缺陷扣</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分，未提供不得分。（内容存在缺陷是指项目实施对象错误、内容与本项目无关，内容空洞、可操作性差，内容严重脱离实际，可执行性差，内容与相关标准或制度相抵触等）。</w:t>
            </w:r>
          </w:p>
        </w:tc>
      </w:tr>
    </w:tbl>
    <w:p w14:paraId="1C3996E1">
      <w:pPr>
        <w:pStyle w:val="12"/>
        <w:tabs>
          <w:tab w:val="left" w:pos="600"/>
        </w:tabs>
        <w:spacing w:line="360" w:lineRule="auto"/>
        <w:ind w:firstLine="0"/>
        <w:jc w:val="center"/>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报价评审标准（</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0分）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429"/>
        <w:gridCol w:w="6518"/>
      </w:tblGrid>
      <w:tr w14:paraId="6CC7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75" w:type="dxa"/>
            <w:vAlign w:val="center"/>
          </w:tcPr>
          <w:p w14:paraId="0E1215C8">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序号</w:t>
            </w:r>
          </w:p>
        </w:tc>
        <w:tc>
          <w:tcPr>
            <w:tcW w:w="1429" w:type="dxa"/>
            <w:vAlign w:val="center"/>
          </w:tcPr>
          <w:p w14:paraId="06E6DA00">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评审因素</w:t>
            </w:r>
          </w:p>
        </w:tc>
        <w:tc>
          <w:tcPr>
            <w:tcW w:w="6518" w:type="dxa"/>
            <w:vAlign w:val="center"/>
          </w:tcPr>
          <w:p w14:paraId="70FCDCC6">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评审标准</w:t>
            </w:r>
          </w:p>
        </w:tc>
      </w:tr>
      <w:tr w14:paraId="7525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75" w:type="dxa"/>
            <w:vAlign w:val="center"/>
          </w:tcPr>
          <w:p w14:paraId="4F7421DB">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w:t>
            </w:r>
          </w:p>
        </w:tc>
        <w:tc>
          <w:tcPr>
            <w:tcW w:w="1429" w:type="dxa"/>
            <w:vAlign w:val="center"/>
          </w:tcPr>
          <w:p w14:paraId="40CA6AE4">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zh-CN"/>
              </w:rPr>
              <w:t>报价</w:t>
            </w:r>
          </w:p>
        </w:tc>
        <w:tc>
          <w:tcPr>
            <w:tcW w:w="6518" w:type="dxa"/>
            <w:vAlign w:val="center"/>
          </w:tcPr>
          <w:p w14:paraId="44ED7616">
            <w:pPr>
              <w:autoSpaceDE w:val="0"/>
              <w:autoSpaceDN w:val="0"/>
              <w:adjustRightInd w:val="0"/>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满足磋商文件要求且最后报价最低的供应商的价格为磋商基准价，其价格分为满分。</w:t>
            </w:r>
          </w:p>
          <w:p w14:paraId="1D745A6A">
            <w:pPr>
              <w:autoSpaceDE w:val="0"/>
              <w:autoSpaceDN w:val="0"/>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磋商报价得分=（磋商基准价/最后磋商报价）×</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0</w:t>
            </w:r>
          </w:p>
          <w:p w14:paraId="740B5683">
            <w:pPr>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计算结果保留小数点后两位，第三位四舍五入。</w:t>
            </w:r>
          </w:p>
        </w:tc>
      </w:tr>
      <w:tr w14:paraId="4C34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5" w:type="dxa"/>
            <w:vMerge w:val="restart"/>
            <w:vAlign w:val="center"/>
          </w:tcPr>
          <w:p w14:paraId="69D4C68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落实政府采购政策说明</w:t>
            </w:r>
          </w:p>
        </w:tc>
        <w:tc>
          <w:tcPr>
            <w:tcW w:w="1429" w:type="dxa"/>
            <w:vAlign w:val="center"/>
          </w:tcPr>
          <w:p w14:paraId="2E4A681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w:t>
            </w:r>
          </w:p>
        </w:tc>
        <w:tc>
          <w:tcPr>
            <w:tcW w:w="6518" w:type="dxa"/>
            <w:vAlign w:val="center"/>
          </w:tcPr>
          <w:p w14:paraId="734F1112">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根据工信部等部委发布的《关于印发中小企业划型标准规定的通知》（工信部联企业</w:t>
            </w:r>
            <w:r>
              <w:rPr>
                <w:rFonts w:hint="eastAsia" w:ascii="宋体" w:hAnsi="宋体" w:eastAsia="宋体" w:cs="宋体"/>
                <w:bCs/>
                <w:color w:val="auto"/>
                <w:sz w:val="24"/>
                <w:szCs w:val="24"/>
                <w:highlight w:val="none"/>
              </w:rPr>
              <w:t>〔2011〕300</w:t>
            </w:r>
            <w:r>
              <w:rPr>
                <w:rFonts w:hint="eastAsia" w:ascii="宋体" w:hAnsi="宋体" w:eastAsia="宋体" w:cs="宋体"/>
                <w:color w:val="auto"/>
                <w:sz w:val="24"/>
                <w:szCs w:val="24"/>
                <w:highlight w:val="none"/>
              </w:rPr>
              <w:t>号），按照本次服务标的所属行业的划型标准，须提供《中小企业声明函》。</w:t>
            </w:r>
          </w:p>
        </w:tc>
      </w:tr>
      <w:tr w14:paraId="061A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75" w:type="dxa"/>
            <w:vMerge w:val="continue"/>
            <w:vAlign w:val="center"/>
          </w:tcPr>
          <w:p w14:paraId="463AF06C">
            <w:pPr>
              <w:spacing w:line="360" w:lineRule="auto"/>
              <w:jc w:val="center"/>
              <w:rPr>
                <w:rFonts w:hint="eastAsia" w:ascii="宋体" w:hAnsi="宋体" w:eastAsia="宋体" w:cs="宋体"/>
                <w:color w:val="auto"/>
                <w:sz w:val="24"/>
                <w:szCs w:val="24"/>
                <w:highlight w:val="none"/>
              </w:rPr>
            </w:pPr>
          </w:p>
        </w:tc>
        <w:tc>
          <w:tcPr>
            <w:tcW w:w="1429" w:type="dxa"/>
            <w:vAlign w:val="center"/>
          </w:tcPr>
          <w:p w14:paraId="5A646E8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w:t>
            </w:r>
          </w:p>
        </w:tc>
        <w:tc>
          <w:tcPr>
            <w:tcW w:w="6518" w:type="dxa"/>
            <w:vAlign w:val="center"/>
          </w:tcPr>
          <w:p w14:paraId="7EB39B0D">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根据财库〔2014〕68号《财政部司法部关于政府采购支持监狱企业发展有关问题的通知》，能够</w:t>
            </w:r>
            <w:r>
              <w:rPr>
                <w:rFonts w:hint="eastAsia" w:ascii="宋体" w:hAnsi="宋体" w:eastAsia="宋体" w:cs="宋体"/>
                <w:color w:val="auto"/>
                <w:sz w:val="24"/>
                <w:szCs w:val="24"/>
                <w:highlight w:val="none"/>
              </w:rPr>
              <w:t>提供由省级以上监狱管理局、戒毒管理局（含新疆生产建设兵团）出具的“属于监狱企业的证明文件”的监狱企业，</w:t>
            </w:r>
            <w:r>
              <w:rPr>
                <w:rFonts w:hint="eastAsia" w:ascii="宋体" w:hAnsi="宋体" w:eastAsia="宋体" w:cs="宋体"/>
                <w:bCs/>
                <w:color w:val="auto"/>
                <w:sz w:val="24"/>
                <w:szCs w:val="24"/>
                <w:highlight w:val="none"/>
              </w:rPr>
              <w:t>视同</w:t>
            </w:r>
            <w:r>
              <w:rPr>
                <w:rFonts w:hint="eastAsia" w:ascii="宋体" w:hAnsi="宋体" w:eastAsia="宋体" w:cs="宋体"/>
                <w:color w:val="auto"/>
                <w:sz w:val="24"/>
                <w:szCs w:val="24"/>
                <w:highlight w:val="none"/>
              </w:rPr>
              <w:t>中小企业。</w:t>
            </w:r>
          </w:p>
        </w:tc>
      </w:tr>
      <w:tr w14:paraId="3911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75" w:type="dxa"/>
            <w:vMerge w:val="continue"/>
            <w:vAlign w:val="center"/>
          </w:tcPr>
          <w:p w14:paraId="676C80CD">
            <w:pPr>
              <w:spacing w:line="360" w:lineRule="auto"/>
              <w:jc w:val="center"/>
              <w:rPr>
                <w:rFonts w:hint="eastAsia" w:ascii="宋体" w:hAnsi="宋体" w:eastAsia="宋体" w:cs="宋体"/>
                <w:color w:val="auto"/>
                <w:sz w:val="24"/>
                <w:szCs w:val="24"/>
                <w:highlight w:val="none"/>
              </w:rPr>
            </w:pPr>
          </w:p>
        </w:tc>
        <w:tc>
          <w:tcPr>
            <w:tcW w:w="1429" w:type="dxa"/>
            <w:vAlign w:val="center"/>
          </w:tcPr>
          <w:p w14:paraId="10FDD9B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福利企业</w:t>
            </w:r>
          </w:p>
        </w:tc>
        <w:tc>
          <w:tcPr>
            <w:tcW w:w="6518" w:type="dxa"/>
            <w:vAlign w:val="center"/>
          </w:tcPr>
          <w:p w14:paraId="688A1926">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根据财库〔2017〕141号《财政部民政部中国残疾人联合会关于促进残疾人就业政府采购政策的通知》，符合享受政府采购支持政策的残疾人福利性单位条件且提供</w:t>
            </w:r>
            <w:r>
              <w:rPr>
                <w:rFonts w:hint="eastAsia" w:ascii="宋体" w:hAnsi="宋体" w:eastAsia="宋体" w:cs="宋体"/>
                <w:color w:val="auto"/>
                <w:sz w:val="24"/>
                <w:szCs w:val="24"/>
                <w:highlight w:val="none"/>
              </w:rPr>
              <w:t>自拟格式的</w:t>
            </w:r>
            <w:r>
              <w:rPr>
                <w:rFonts w:hint="eastAsia" w:ascii="宋体" w:hAnsi="宋体" w:eastAsia="宋体" w:cs="宋体"/>
                <w:bCs/>
                <w:color w:val="auto"/>
                <w:sz w:val="24"/>
                <w:szCs w:val="24"/>
                <w:highlight w:val="none"/>
              </w:rPr>
              <w:t>《残疾人福利性单位声明函》的残疾人福利性单位，视同</w:t>
            </w:r>
            <w:r>
              <w:rPr>
                <w:rFonts w:hint="eastAsia" w:ascii="宋体" w:hAnsi="宋体" w:eastAsia="宋体" w:cs="宋体"/>
                <w:color w:val="auto"/>
                <w:sz w:val="24"/>
                <w:szCs w:val="24"/>
                <w:highlight w:val="none"/>
              </w:rPr>
              <w:t>中小企业</w:t>
            </w:r>
            <w:r>
              <w:rPr>
                <w:rFonts w:hint="eastAsia" w:ascii="宋体" w:hAnsi="宋体" w:eastAsia="宋体" w:cs="宋体"/>
                <w:bCs/>
                <w:color w:val="auto"/>
                <w:sz w:val="24"/>
                <w:szCs w:val="24"/>
                <w:highlight w:val="none"/>
              </w:rPr>
              <w:t>。</w:t>
            </w:r>
          </w:p>
        </w:tc>
      </w:tr>
    </w:tbl>
    <w:p w14:paraId="1B0FB991">
      <w:pPr>
        <w:pStyle w:val="12"/>
        <w:keepNext w:val="0"/>
        <w:keepLines w:val="0"/>
        <w:pageBreakBefore w:val="0"/>
        <w:tabs>
          <w:tab w:val="left" w:pos="600"/>
        </w:tabs>
        <w:kinsoku/>
        <w:wordWrap/>
        <w:overflowPunct/>
        <w:topLinePunct w:val="0"/>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4.5.3供应商总分=商务部分得分＋技术部分得分＋价格部分得分，结果保留两位小数。</w:t>
      </w:r>
    </w:p>
    <w:bookmarkEnd w:id="243"/>
    <w:p w14:paraId="2265CE2D">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采购终止</w:t>
      </w:r>
    </w:p>
    <w:p w14:paraId="23CAB61A">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出现下列情形之一的，采购人或者采购代理机构应当终止竞争性磋商采购活动，发布项目终止公告并说明原因，重新开展采购活动:</w:t>
      </w:r>
    </w:p>
    <w:p w14:paraId="3BA51561">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（一)因情况变化，不再符合规定的竞争性磋商采购方式适用情形的;</w:t>
      </w:r>
    </w:p>
    <w:p w14:paraId="2DE770D6">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66C4E40E">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（三)除《政府采购竞争性磋商采购方式管理暂行办法》（财政部财库〔2014〕214号）第二十一条第三款规定的情形外，在采购过程中符合要求的供应商或者报价未超过预算金额（最高限价）的供应商不足3家的；</w:t>
      </w:r>
    </w:p>
    <w:p w14:paraId="1A9CEDDA">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（四）因重大变故，采购任务取消的；</w:t>
      </w:r>
    </w:p>
    <w:p w14:paraId="1BBDC28A">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（五）供应商的报价均超过了预算金额（最高限价），采购人不能支付的。</w:t>
      </w:r>
    </w:p>
    <w:p w14:paraId="109F57D1">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采购终止后，采购代理机构应在发布磋商公告的媒体上发布终止公告并说明原因。</w:t>
      </w:r>
    </w:p>
    <w:p w14:paraId="24E74EE6">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 </w:t>
      </w:r>
      <w:bookmarkStart w:id="255" w:name="_Toc217446061"/>
      <w:r>
        <w:rPr>
          <w:rFonts w:hint="eastAsia" w:ascii="宋体" w:hAnsi="宋体" w:eastAsia="宋体" w:cs="宋体"/>
          <w:color w:val="auto"/>
          <w:sz w:val="24"/>
          <w:szCs w:val="24"/>
          <w:highlight w:val="none"/>
        </w:rPr>
        <w:t>成交</w:t>
      </w:r>
    </w:p>
    <w:p w14:paraId="54894AA0">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成交原则</w:t>
      </w:r>
      <w:bookmarkEnd w:id="255"/>
      <w:r>
        <w:rPr>
          <w:rFonts w:hint="eastAsia" w:ascii="宋体" w:hAnsi="宋体" w:eastAsia="宋体" w:cs="宋体"/>
          <w:color w:val="auto"/>
          <w:sz w:val="24"/>
          <w:szCs w:val="24"/>
          <w:highlight w:val="none"/>
        </w:rPr>
        <w:t>：本项目根据磋商小组推荐的成交候选人名单，采购人按顺序确定成交人。</w:t>
      </w:r>
    </w:p>
    <w:p w14:paraId="6F8B737C">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z w:val="24"/>
          <w:szCs w:val="24"/>
          <w:highlight w:val="none"/>
        </w:rPr>
      </w:pPr>
      <w:bookmarkStart w:id="256" w:name="_Toc217446062"/>
      <w:r>
        <w:rPr>
          <w:rFonts w:hint="eastAsia" w:ascii="宋体" w:hAnsi="宋体" w:eastAsia="宋体" w:cs="宋体"/>
          <w:color w:val="auto"/>
          <w:sz w:val="24"/>
          <w:szCs w:val="24"/>
          <w:highlight w:val="none"/>
        </w:rPr>
        <w:t>6.2. 成交程序</w:t>
      </w:r>
      <w:bookmarkEnd w:id="256"/>
    </w:p>
    <w:p w14:paraId="3EF0E8B4">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 磋商小组将评审情况写出书面报告，推荐成交候选人，并按照综合得分高低标明排列顺序。本项目采用综合评分法，评审结果按评审后得分由高到低顺序排列。评审得分相同的，按照最后报价由低到高的顺序推荐。评审得分且最后报价相同的，按照技术指标优劣顺序推荐。</w:t>
      </w:r>
    </w:p>
    <w:p w14:paraId="17F437B4">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 采购代理机构在评审结束后两个工作日内将评审报告送至采购人。</w:t>
      </w:r>
    </w:p>
    <w:p w14:paraId="3BD989A9">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6.2.3 采购人应当自收到评审报告之日起5个工作日内在评审报告推荐的成交候选人中按顺序确定成交供应商。</w:t>
      </w:r>
    </w:p>
    <w:p w14:paraId="516A4C5A">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6.2.4 根据采购人确定的成交人，采购人在采购公告发布的媒体上发布成交公告，同时向成交人发出成交通知书。</w:t>
      </w:r>
    </w:p>
    <w:p w14:paraId="4E3E8705">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6.2.5 采购单位不退回响应文件和供应商的其他资料。</w:t>
      </w:r>
    </w:p>
    <w:p w14:paraId="185329DA">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z w:val="24"/>
          <w:szCs w:val="24"/>
          <w:highlight w:val="none"/>
        </w:rPr>
      </w:pPr>
      <w:bookmarkStart w:id="257" w:name="_Toc183682432"/>
      <w:bookmarkStart w:id="258" w:name="_Toc183582297"/>
      <w:bookmarkStart w:id="259" w:name="_Toc217446105"/>
      <w:bookmarkStart w:id="260" w:name="_Toc208849022"/>
      <w:r>
        <w:rPr>
          <w:rFonts w:hint="eastAsia" w:ascii="宋体" w:hAnsi="宋体" w:eastAsia="宋体" w:cs="宋体"/>
          <w:color w:val="auto"/>
          <w:sz w:val="24"/>
          <w:szCs w:val="24"/>
          <w:highlight w:val="none"/>
        </w:rPr>
        <w:t xml:space="preserve">7. </w:t>
      </w:r>
      <w:bookmarkEnd w:id="257"/>
      <w:bookmarkEnd w:id="258"/>
      <w:bookmarkEnd w:id="259"/>
      <w:bookmarkEnd w:id="260"/>
      <w:r>
        <w:rPr>
          <w:rFonts w:hint="eastAsia" w:ascii="宋体" w:hAnsi="宋体" w:eastAsia="宋体" w:cs="宋体"/>
          <w:color w:val="auto"/>
          <w:sz w:val="24"/>
          <w:szCs w:val="24"/>
          <w:highlight w:val="none"/>
        </w:rPr>
        <w:t>评审专家在政府采购活动中承担以下义务：</w:t>
      </w:r>
    </w:p>
    <w:p w14:paraId="0498BE5A">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遵纪守法，客观、公正、廉洁地履行职责。</w:t>
      </w:r>
    </w:p>
    <w:p w14:paraId="043917A9">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按照政府采购法律法规和磋商文件的规定要求对供应商的资格条件和供应商提供的商务、技术、报价等方面严格进行评判，提供科学合理、公平公正的评审意见，参与起草评审报告，并予签字确认。</w:t>
      </w:r>
    </w:p>
    <w:p w14:paraId="54DD0213">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保守秘密。不得透露磋商情况，不得泄露供应商的响应文件及知悉的商业秘密，不得向供应商透露评审情况。</w:t>
      </w:r>
    </w:p>
    <w:p w14:paraId="1000F8F4">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发现供应商在政府采购活动中有不正当竞争或恶意串通等违规行为，及时向政府采购评审工作的组织者或财政部门报告并加以制止。</w:t>
      </w:r>
    </w:p>
    <w:p w14:paraId="38EA4D4B">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发现采购人、采购代理机构及其工作人员在政府采购活动中有干预评审、发表倾向性和歧视性言论、受贿或者接受供应商的其他好处及其他违法违规行为，及时向财政部门报告。</w:t>
      </w:r>
    </w:p>
    <w:p w14:paraId="0D284D29">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解答有关方面对政府采购评审工作中有关问题的询问，配合采购人或者采购代理机构答复供应商质疑，配合财政部门的投诉处理工作等事宜。</w:t>
      </w:r>
    </w:p>
    <w:p w14:paraId="3319B96F">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法律、法规和规章规定的其他义务。</w:t>
      </w:r>
    </w:p>
    <w:p w14:paraId="24C3DDC9">
      <w:pPr>
        <w:keepNext w:val="0"/>
        <w:keepLines w:val="0"/>
        <w:pageBreakBefore w:val="0"/>
        <w:widowControl/>
        <w:kinsoku/>
        <w:wordWrap/>
        <w:overflowPunct/>
        <w:topLinePunct w:val="0"/>
        <w:autoSpaceDE w:val="0"/>
        <w:autoSpaceDN w:val="0"/>
        <w:bidi w:val="0"/>
        <w:adjustRightInd/>
        <w:snapToGrid/>
        <w:spacing w:line="360" w:lineRule="auto"/>
        <w:ind w:firstLine="482" w:firstLineChars="200"/>
        <w:textAlignment w:val="bottom"/>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评审专家在政府采购活动中应当遵守以下工作纪律：</w:t>
      </w:r>
    </w:p>
    <w:p w14:paraId="4438E72F">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应邀按时参加评审。遇特殊情况不能出席或途中遇阻不能按时参加评审，应及时告知财政部门或者采购人或者采购代理机构，不得私自转托他人。</w:t>
      </w:r>
    </w:p>
    <w:p w14:paraId="6E313520">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不得参加与自己有利害关系的政府采购项目的评审活动。对与自己有利害关系的评审项目，如受到邀请，应主动提出回避。财政部门、采购人或采购代理机构也可要求该评审专家回避。</w:t>
      </w:r>
    </w:p>
    <w:p w14:paraId="7E3A511B">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14:paraId="4058E60E">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评审过程中关闭通讯设备，不得与外界联系。因发生不可预见情况，确实需要与外界联系的，应当有在场工作人员陪同。</w:t>
      </w:r>
    </w:p>
    <w:p w14:paraId="3BB78B75">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评审过程中，不得发表影响评审公正的倾向性、歧视性言论；不得征询或者接受采购人的倾向性意见；不得以任何明示或暗示的方式要求参加该采购项目的供应商以澄清、说明或补正为借口，表达与其原响应文件原意不同的新意见；不得以磋商文件没有规定的方法和标准作为评审的依据；不得违反规定的评审格式评分和撰写评审意见；不得拒绝对自己的评审意见签字确认。</w:t>
      </w:r>
    </w:p>
    <w:p w14:paraId="22BA68EC">
      <w:pPr>
        <w:pStyle w:val="2"/>
        <w:bidi w:val="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br w:type="page"/>
      </w:r>
      <w:bookmarkStart w:id="261" w:name="_Toc11291"/>
      <w:bookmarkStart w:id="262" w:name="_Toc23415"/>
      <w:bookmarkStart w:id="263" w:name="_Toc5210"/>
      <w:bookmarkStart w:id="264" w:name="_Toc24651"/>
      <w:r>
        <w:rPr>
          <w:rFonts w:hint="eastAsia"/>
        </w:rPr>
        <w:t>第六章 合同草案条款</w:t>
      </w:r>
      <w:bookmarkEnd w:id="261"/>
      <w:bookmarkEnd w:id="262"/>
      <w:bookmarkEnd w:id="263"/>
      <w:bookmarkEnd w:id="264"/>
    </w:p>
    <w:p w14:paraId="0F7A26F4">
      <w:pPr>
        <w:pStyle w:val="6"/>
        <w:spacing w:line="360" w:lineRule="auto"/>
        <w:ind w:firstLine="480"/>
        <w:jc w:val="center"/>
        <w:rPr>
          <w:rFonts w:hint="eastAsia" w:ascii="宋体" w:hAnsi="宋体" w:eastAsia="宋体" w:cs="宋体"/>
          <w:sz w:val="24"/>
          <w:highlight w:val="none"/>
        </w:rPr>
      </w:pPr>
      <w:r>
        <w:rPr>
          <w:rFonts w:hint="eastAsia" w:ascii="宋体" w:hAnsi="宋体" w:eastAsia="宋体" w:cs="宋体"/>
          <w:sz w:val="24"/>
          <w:highlight w:val="none"/>
        </w:rPr>
        <w:t>本合同仅供参考，最终以与采购人实际签订合同为准</w:t>
      </w:r>
    </w:p>
    <w:p w14:paraId="723B6C31">
      <w:pPr>
        <w:keepNext w:val="0"/>
        <w:keepLines w:val="0"/>
        <w:pageBreakBefore w:val="0"/>
        <w:shd w:val="clear" w:fill="FFFFFF" w:themeFill="background1"/>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合同编号：</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 xml:space="preserve">            </w:t>
      </w:r>
    </w:p>
    <w:p w14:paraId="634AA3A1">
      <w:pPr>
        <w:keepNext w:val="0"/>
        <w:keepLines w:val="0"/>
        <w:pageBreakBefore w:val="0"/>
        <w:shd w:val="clear" w:fill="FFFFFF" w:themeFill="background1"/>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甲方（采购人）：</w:t>
      </w:r>
      <w:r>
        <w:rPr>
          <w:rFonts w:hint="eastAsia" w:ascii="宋体" w:hAnsi="宋体" w:eastAsia="宋体" w:cs="宋体"/>
          <w:color w:val="auto"/>
          <w:sz w:val="24"/>
          <w:szCs w:val="24"/>
          <w:highlight w:val="none"/>
          <w:u w:val="single"/>
          <w:shd w:val="clear" w:color="auto" w:fill="auto"/>
          <w:lang w:val="zh-CN"/>
        </w:rPr>
        <w:t xml:space="preserve">                    </w:t>
      </w:r>
    </w:p>
    <w:p w14:paraId="00A1C636">
      <w:pPr>
        <w:keepNext w:val="0"/>
        <w:keepLines w:val="0"/>
        <w:pageBreakBefore w:val="0"/>
        <w:shd w:val="clear" w:fill="FFFFFF" w:themeFill="background1"/>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住所地：</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 xml:space="preserve">                                  </w:t>
      </w:r>
    </w:p>
    <w:p w14:paraId="357556CB">
      <w:pPr>
        <w:keepNext w:val="0"/>
        <w:keepLines w:val="0"/>
        <w:pageBreakBefore w:val="0"/>
        <w:shd w:val="clear" w:fill="FFFFFF" w:themeFill="background1"/>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乙方（成交人）：</w:t>
      </w:r>
      <w:r>
        <w:rPr>
          <w:rFonts w:hint="eastAsia" w:ascii="宋体" w:hAnsi="宋体" w:eastAsia="宋体" w:cs="宋体"/>
          <w:color w:val="auto"/>
          <w:sz w:val="24"/>
          <w:szCs w:val="24"/>
          <w:highlight w:val="none"/>
          <w:u w:val="single"/>
          <w:shd w:val="clear" w:color="auto" w:fill="auto"/>
          <w:lang w:val="zh-CN"/>
        </w:rPr>
        <w:t xml:space="preserve">                    </w:t>
      </w:r>
    </w:p>
    <w:p w14:paraId="4E4FD674">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0"/>
        <w:jc w:val="left"/>
        <w:textAlignment w:val="auto"/>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lang w:val="zh-CN"/>
        </w:rPr>
        <w:t>住所地：</w:t>
      </w:r>
      <w:r>
        <w:rPr>
          <w:rFonts w:hint="eastAsia" w:ascii="宋体" w:hAnsi="宋体" w:eastAsia="宋体" w:cs="宋体"/>
          <w:color w:val="auto"/>
          <w:sz w:val="24"/>
          <w:szCs w:val="24"/>
          <w:highlight w:val="none"/>
          <w:u w:val="single"/>
          <w:shd w:val="clear" w:color="auto" w:fill="auto"/>
          <w:lang w:val="zh-CN"/>
        </w:rPr>
        <w:t xml:space="preserve">                          </w:t>
      </w:r>
    </w:p>
    <w:p w14:paraId="267DD073">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乙方于</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年</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月</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日参加了</w:t>
      </w:r>
      <w:r>
        <w:rPr>
          <w:rFonts w:hint="eastAsia" w:ascii="宋体" w:hAnsi="宋体" w:eastAsia="宋体" w:cs="宋体"/>
          <w:color w:val="auto"/>
          <w:sz w:val="24"/>
          <w:szCs w:val="24"/>
          <w:highlight w:val="none"/>
          <w:u w:val="single"/>
          <w:shd w:val="clear" w:color="auto" w:fill="auto"/>
          <w:lang w:val="zh-CN"/>
        </w:rPr>
        <w:t xml:space="preserve"> （采购人） </w:t>
      </w:r>
      <w:r>
        <w:rPr>
          <w:rFonts w:hint="eastAsia" w:ascii="宋体" w:hAnsi="宋体" w:eastAsia="宋体" w:cs="宋体"/>
          <w:color w:val="auto"/>
          <w:sz w:val="24"/>
          <w:szCs w:val="24"/>
          <w:highlight w:val="none"/>
          <w:shd w:val="clear" w:color="auto" w:fill="auto"/>
          <w:lang w:val="zh-CN"/>
        </w:rPr>
        <w:t xml:space="preserve">组织的“ </w:t>
      </w:r>
      <w:r>
        <w:rPr>
          <w:rFonts w:hint="eastAsia" w:ascii="宋体" w:hAnsi="宋体" w:eastAsia="宋体" w:cs="宋体"/>
          <w:color w:val="auto"/>
          <w:sz w:val="24"/>
          <w:szCs w:val="24"/>
          <w:highlight w:val="none"/>
          <w:u w:val="single"/>
          <w:shd w:val="clear" w:color="auto" w:fill="auto"/>
          <w:lang w:val="zh-CN"/>
        </w:rPr>
        <w:t xml:space="preserve"> （项目名称、项目编号）  </w:t>
      </w:r>
      <w:r>
        <w:rPr>
          <w:rFonts w:hint="eastAsia" w:ascii="宋体" w:hAnsi="宋体" w:eastAsia="宋体" w:cs="宋体"/>
          <w:color w:val="auto"/>
          <w:sz w:val="24"/>
          <w:szCs w:val="24"/>
          <w:highlight w:val="none"/>
          <w:shd w:val="clear" w:color="auto" w:fill="auto"/>
          <w:lang w:val="zh-CN"/>
        </w:rPr>
        <w:t>”政府采购活动，经评审小组评审确定乙方为</w:t>
      </w:r>
      <w:r>
        <w:rPr>
          <w:rFonts w:hint="eastAsia" w:ascii="宋体" w:hAnsi="宋体" w:eastAsia="宋体" w:cs="宋体"/>
          <w:color w:val="auto"/>
          <w:sz w:val="24"/>
          <w:szCs w:val="24"/>
          <w:highlight w:val="none"/>
          <w:u w:val="single"/>
          <w:shd w:val="clear" w:color="auto" w:fill="auto"/>
          <w:lang w:val="zh-CN"/>
        </w:rPr>
        <w:t xml:space="preserve"> （包及包名称） </w:t>
      </w:r>
      <w:r>
        <w:rPr>
          <w:rFonts w:hint="eastAsia" w:ascii="宋体" w:hAnsi="宋体" w:eastAsia="宋体" w:cs="宋体"/>
          <w:color w:val="auto"/>
          <w:sz w:val="24"/>
          <w:szCs w:val="24"/>
          <w:highlight w:val="none"/>
          <w:shd w:val="clear" w:color="auto" w:fill="auto"/>
          <w:lang w:val="zh-CN"/>
        </w:rPr>
        <w:t xml:space="preserve"> 成交人，按照《中华人民共和国民法典》、《中华人民共和国政府采购法》和相关的法律法规规定，以及采购文件要求，经甲乙双方协商一致，签订本政府采购合同。</w:t>
      </w:r>
    </w:p>
    <w:p w14:paraId="56BE2E92">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第一条 合同标的</w:t>
      </w:r>
    </w:p>
    <w:p w14:paraId="03A3175E">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服务名称：</w:t>
      </w:r>
    </w:p>
    <w:p w14:paraId="2764ED0D">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服务内容：</w:t>
      </w:r>
    </w:p>
    <w:p w14:paraId="3786D591">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技术标准：</w:t>
      </w:r>
    </w:p>
    <w:p w14:paraId="1C30EC71">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77F5E4F0">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第二条  合同总金额</w:t>
      </w:r>
    </w:p>
    <w:p w14:paraId="7CBCC1A6">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合同总金额为人民币（大写）：</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 xml:space="preserve">） </w:t>
      </w:r>
    </w:p>
    <w:p w14:paraId="793AE5D9">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此价格为合同执行不变价，不因国家政策变化而变化，该价款包括所投项目相关人工费、保险费、税费，及服务过程工作人员的往返交通、住宿、餐食、差费、杂费等所有技术和服务费用，除此之外，甲方不再向乙方支付其他任何费用。</w:t>
      </w:r>
    </w:p>
    <w:p w14:paraId="35753F5B">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79D6BC20">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第三条  服务交付</w:t>
      </w:r>
    </w:p>
    <w:p w14:paraId="6A38AB2D">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 xml:space="preserve">1、交付日期： </w:t>
      </w:r>
    </w:p>
    <w:p w14:paraId="10661469">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2、交付地点：</w:t>
      </w:r>
    </w:p>
    <w:p w14:paraId="5CC58409">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78822B5F">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rPr>
        <w:t xml:space="preserve">第四条  </w:t>
      </w:r>
      <w:r>
        <w:rPr>
          <w:rFonts w:hint="eastAsia" w:ascii="宋体" w:hAnsi="宋体" w:eastAsia="宋体" w:cs="宋体"/>
          <w:color w:val="auto"/>
          <w:sz w:val="24"/>
          <w:szCs w:val="24"/>
          <w:highlight w:val="none"/>
          <w:shd w:val="clear" w:color="auto" w:fill="auto"/>
          <w:lang w:val="en-US" w:eastAsia="zh-CN"/>
        </w:rPr>
        <w:t>服务标准</w:t>
      </w:r>
    </w:p>
    <w:p w14:paraId="13B7BEFD">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1、甲方应当</w:t>
      </w:r>
      <w:r>
        <w:rPr>
          <w:rFonts w:hint="eastAsia" w:ascii="宋体" w:hAnsi="宋体" w:eastAsia="宋体" w:cs="宋体"/>
          <w:color w:val="auto"/>
          <w:sz w:val="24"/>
          <w:szCs w:val="24"/>
          <w:highlight w:val="none"/>
          <w:shd w:val="clear" w:color="auto" w:fill="auto"/>
          <w:lang w:val="en-US" w:eastAsia="zh-CN"/>
        </w:rPr>
        <w:t>符合</w:t>
      </w:r>
      <w:r>
        <w:rPr>
          <w:rFonts w:hint="eastAsia" w:ascii="宋体" w:hAnsi="宋体" w:eastAsia="宋体" w:cs="宋体"/>
          <w:color w:val="auto"/>
          <w:sz w:val="24"/>
          <w:szCs w:val="24"/>
          <w:highlight w:val="none"/>
          <w:shd w:val="clear" w:color="auto" w:fill="auto"/>
          <w:lang w:val="zh-CN"/>
        </w:rPr>
        <w:t>国家、行业验收标准，以及合同约定。乙方应对提交的服务成果作出全面检查和整理，并列出清单，作为甲方验收和使用技术条件依据，清单应随提交的服务成果交给甲方。</w:t>
      </w:r>
    </w:p>
    <w:p w14:paraId="2D6AF76B">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val="zh-CN"/>
        </w:rPr>
        <w:t>、乙方在指定地点提交服务成果后，甲乙双方应依据采购文件、响应文件等文件材料的要求共同验收。</w:t>
      </w:r>
    </w:p>
    <w:p w14:paraId="7840D770">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477CB7EE">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w:t>
      </w:r>
      <w:r>
        <w:rPr>
          <w:rFonts w:hint="eastAsia" w:ascii="宋体" w:hAnsi="宋体" w:eastAsia="宋体" w:cs="宋体"/>
          <w:color w:val="auto"/>
          <w:sz w:val="24"/>
          <w:szCs w:val="24"/>
          <w:highlight w:val="none"/>
          <w:shd w:val="clear" w:color="auto" w:fill="auto"/>
          <w:lang w:val="en-US" w:eastAsia="zh-CN"/>
        </w:rPr>
        <w:t>五</w:t>
      </w:r>
      <w:r>
        <w:rPr>
          <w:rFonts w:hint="eastAsia" w:ascii="宋体" w:hAnsi="宋体" w:eastAsia="宋体" w:cs="宋体"/>
          <w:color w:val="auto"/>
          <w:sz w:val="24"/>
          <w:szCs w:val="24"/>
          <w:highlight w:val="none"/>
          <w:shd w:val="clear" w:color="auto" w:fill="auto"/>
          <w:lang w:val="zh-CN"/>
        </w:rPr>
        <w:t>条  款项支付</w:t>
      </w:r>
    </w:p>
    <w:p w14:paraId="78677B35">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1、服务成果交付甲方，经甲乙双方共同验收合格后由甲方负责办理支付手续。</w:t>
      </w:r>
    </w:p>
    <w:p w14:paraId="38C0799E">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2、允许并鼓励乙方提供电子发票，甲方自收到发票之日起</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zh-CN"/>
        </w:rPr>
        <w:t>个工作日内支付资金，并不得附加未经约定的其他条件。</w:t>
      </w:r>
    </w:p>
    <w:p w14:paraId="5E3C5611">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 xml:space="preserve">3、付款方式 </w:t>
      </w:r>
    </w:p>
    <w:p w14:paraId="3DEDF25E">
      <w:pPr>
        <w:keepNext w:val="0"/>
        <w:keepLines w:val="0"/>
        <w:pageBreakBefore w:val="0"/>
        <w:shd w:val="clear" w:fill="FFFFFF" w:themeFill="background1"/>
        <w:tabs>
          <w:tab w:val="left" w:pos="840"/>
        </w:tabs>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3.1</w:t>
      </w:r>
      <w:r>
        <w:rPr>
          <w:rFonts w:hint="eastAsia" w:ascii="宋体" w:hAnsi="宋体" w:eastAsia="宋体" w:cs="宋体"/>
          <w:color w:val="auto"/>
          <w:sz w:val="24"/>
          <w:szCs w:val="24"/>
          <w:highlight w:val="none"/>
          <w:lang w:eastAsia="zh-CN"/>
        </w:rPr>
        <w:t>合同签订后,</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完成，经验收合格出具书面验收报告后，支付合同金额的95%，留合同金额的</w:t>
      </w:r>
      <w:r>
        <w:rPr>
          <w:rFonts w:hint="eastAsia" w:ascii="宋体" w:hAnsi="宋体" w:eastAsia="宋体" w:cs="宋体"/>
          <w:color w:val="auto"/>
          <w:sz w:val="24"/>
          <w:szCs w:val="24"/>
          <w:highlight w:val="none"/>
          <w:lang w:eastAsia="zh-CN"/>
        </w:rPr>
        <w:softHyphen/>
      </w:r>
      <w:r>
        <w:rPr>
          <w:rFonts w:hint="eastAsia" w:ascii="宋体" w:hAnsi="宋体" w:eastAsia="宋体" w:cs="宋体"/>
          <w:color w:val="auto"/>
          <w:sz w:val="24"/>
          <w:szCs w:val="24"/>
          <w:highlight w:val="none"/>
          <w:lang w:eastAsia="zh-CN"/>
        </w:rPr>
        <w:softHyphen/>
      </w:r>
      <w:r>
        <w:rPr>
          <w:rFonts w:hint="eastAsia" w:ascii="宋体" w:hAnsi="宋体" w:eastAsia="宋体" w:cs="宋体"/>
          <w:color w:val="auto"/>
          <w:sz w:val="24"/>
          <w:szCs w:val="24"/>
          <w:highlight w:val="none"/>
          <w:lang w:eastAsia="zh-CN"/>
        </w:rPr>
        <w:softHyphen/>
      </w:r>
      <w:r>
        <w:rPr>
          <w:rFonts w:hint="eastAsia" w:ascii="宋体" w:hAnsi="宋体" w:eastAsia="宋体" w:cs="宋体"/>
          <w:color w:val="auto"/>
          <w:sz w:val="24"/>
          <w:szCs w:val="24"/>
          <w:highlight w:val="none"/>
          <w:lang w:eastAsia="zh-CN"/>
        </w:rPr>
        <w:t>5%的进度款，经再次验收合格后付款。</w:t>
      </w:r>
    </w:p>
    <w:p w14:paraId="423261F6">
      <w:pPr>
        <w:keepNext w:val="0"/>
        <w:keepLines w:val="0"/>
        <w:pageBreakBefore w:val="0"/>
        <w:shd w:val="clear" w:fill="FFFFFF" w:themeFill="background1"/>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7582E521">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w:t>
      </w:r>
      <w:r>
        <w:rPr>
          <w:rFonts w:hint="eastAsia" w:ascii="宋体" w:hAnsi="宋体" w:eastAsia="宋体" w:cs="宋体"/>
          <w:color w:val="auto"/>
          <w:sz w:val="24"/>
          <w:szCs w:val="24"/>
          <w:highlight w:val="none"/>
          <w:shd w:val="clear" w:color="auto" w:fill="auto"/>
          <w:lang w:val="en-US" w:eastAsia="zh-CN"/>
        </w:rPr>
        <w:t>六</w:t>
      </w:r>
      <w:r>
        <w:rPr>
          <w:rFonts w:hint="eastAsia" w:ascii="宋体" w:hAnsi="宋体" w:eastAsia="宋体" w:cs="宋体"/>
          <w:color w:val="auto"/>
          <w:sz w:val="24"/>
          <w:szCs w:val="24"/>
          <w:highlight w:val="none"/>
          <w:shd w:val="clear" w:color="auto" w:fill="auto"/>
          <w:lang w:val="zh-CN"/>
        </w:rPr>
        <w:t>条  甲方责任</w:t>
      </w:r>
    </w:p>
    <w:p w14:paraId="2DF0BED3">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1、及时办理付款手续。</w:t>
      </w:r>
    </w:p>
    <w:p w14:paraId="458FA2EA">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2、协助乙方办理有关事宜。</w:t>
      </w:r>
    </w:p>
    <w:p w14:paraId="10BF12A1">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3、对合同条款及所知悉的乙方商业秘密负有保密义务。</w:t>
      </w:r>
    </w:p>
    <w:p w14:paraId="5CFF23C2">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1C86439F">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w:t>
      </w:r>
      <w:r>
        <w:rPr>
          <w:rFonts w:hint="eastAsia" w:ascii="宋体" w:hAnsi="宋体" w:eastAsia="宋体" w:cs="宋体"/>
          <w:color w:val="auto"/>
          <w:sz w:val="24"/>
          <w:szCs w:val="24"/>
          <w:highlight w:val="none"/>
          <w:shd w:val="clear" w:color="auto" w:fill="auto"/>
          <w:lang w:val="en-US" w:eastAsia="zh-CN"/>
        </w:rPr>
        <w:t>七</w:t>
      </w:r>
      <w:r>
        <w:rPr>
          <w:rFonts w:hint="eastAsia" w:ascii="宋体" w:hAnsi="宋体" w:eastAsia="宋体" w:cs="宋体"/>
          <w:color w:val="auto"/>
          <w:sz w:val="24"/>
          <w:szCs w:val="24"/>
          <w:highlight w:val="none"/>
          <w:shd w:val="clear" w:color="auto" w:fill="auto"/>
          <w:lang w:val="zh-CN"/>
        </w:rPr>
        <w:t>条  乙方责任</w:t>
      </w:r>
    </w:p>
    <w:p w14:paraId="0EB8AE4E">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1、保证所提供服务为响应文件承诺服务，符合相关法律法规规定并且满足甲方的需求，保证</w:t>
      </w:r>
      <w:r>
        <w:rPr>
          <w:rFonts w:hint="eastAsia" w:ascii="宋体" w:hAnsi="宋体" w:eastAsia="宋体" w:cs="宋体"/>
          <w:color w:val="auto"/>
          <w:sz w:val="24"/>
          <w:szCs w:val="24"/>
          <w:highlight w:val="none"/>
          <w:shd w:val="clear" w:color="auto" w:fill="auto"/>
          <w:lang w:val="en-US" w:eastAsia="zh-CN"/>
        </w:rPr>
        <w:t>服务质量</w:t>
      </w:r>
      <w:r>
        <w:rPr>
          <w:rFonts w:hint="eastAsia" w:ascii="宋体" w:hAnsi="宋体" w:eastAsia="宋体" w:cs="宋体"/>
          <w:color w:val="auto"/>
          <w:sz w:val="24"/>
          <w:szCs w:val="24"/>
          <w:highlight w:val="none"/>
          <w:shd w:val="clear" w:color="auto" w:fill="auto"/>
          <w:lang w:val="zh-CN"/>
        </w:rPr>
        <w:t>。</w:t>
      </w:r>
    </w:p>
    <w:p w14:paraId="4B6F5BDF">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val="zh-CN"/>
        </w:rPr>
        <w:t>、保证其所供服务不存在侵犯第三方知识产权的行为，否则由此产生的损失由乙方承担。</w:t>
      </w:r>
    </w:p>
    <w:p w14:paraId="477C19BD">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1A2DC27A">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w:t>
      </w:r>
      <w:r>
        <w:rPr>
          <w:rFonts w:hint="eastAsia" w:ascii="宋体" w:hAnsi="宋体" w:eastAsia="宋体" w:cs="宋体"/>
          <w:color w:val="auto"/>
          <w:sz w:val="24"/>
          <w:szCs w:val="24"/>
          <w:highlight w:val="none"/>
          <w:shd w:val="clear" w:color="auto" w:fill="auto"/>
          <w:lang w:val="en-US" w:eastAsia="zh-CN"/>
        </w:rPr>
        <w:t>八</w:t>
      </w:r>
      <w:r>
        <w:rPr>
          <w:rFonts w:hint="eastAsia" w:ascii="宋体" w:hAnsi="宋体" w:eastAsia="宋体" w:cs="宋体"/>
          <w:color w:val="auto"/>
          <w:sz w:val="24"/>
          <w:szCs w:val="24"/>
          <w:highlight w:val="none"/>
          <w:shd w:val="clear" w:color="auto" w:fill="auto"/>
          <w:lang w:val="zh-CN"/>
        </w:rPr>
        <w:t>条  违约责任</w:t>
      </w:r>
    </w:p>
    <w:p w14:paraId="6C0D4D92">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1、乙方所供服务成果及与之配套项目等不符合合同约定标准，甲方有权拒收。</w:t>
      </w:r>
    </w:p>
    <w:p w14:paraId="70DE1C38">
      <w:pPr>
        <w:keepNext w:val="0"/>
        <w:keepLines w:val="0"/>
        <w:pageBreakBefore w:val="0"/>
        <w:shd w:val="clear" w:fill="FFFFFF" w:themeFill="background1"/>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val="zh-CN"/>
        </w:rPr>
        <w:t>、因甲方过错而给乙方造成的损失，由甲方负担。</w:t>
      </w:r>
    </w:p>
    <w:p w14:paraId="26295CBF">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4EC9D308">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w:t>
      </w:r>
      <w:r>
        <w:rPr>
          <w:rFonts w:hint="eastAsia" w:ascii="宋体" w:hAnsi="宋体" w:eastAsia="宋体" w:cs="宋体"/>
          <w:color w:val="auto"/>
          <w:sz w:val="24"/>
          <w:szCs w:val="24"/>
          <w:highlight w:val="none"/>
          <w:shd w:val="clear" w:color="auto" w:fill="auto"/>
          <w:lang w:val="en-US" w:eastAsia="zh-CN"/>
        </w:rPr>
        <w:t>九</w:t>
      </w:r>
      <w:r>
        <w:rPr>
          <w:rFonts w:hint="eastAsia" w:ascii="宋体" w:hAnsi="宋体" w:eastAsia="宋体" w:cs="宋体"/>
          <w:color w:val="auto"/>
          <w:sz w:val="24"/>
          <w:szCs w:val="24"/>
          <w:highlight w:val="none"/>
          <w:shd w:val="clear" w:color="auto" w:fill="auto"/>
          <w:lang w:val="zh-CN"/>
        </w:rPr>
        <w:t>条  不可抗力</w:t>
      </w:r>
    </w:p>
    <w:p w14:paraId="443276DD">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予承担违约责任。</w:t>
      </w:r>
    </w:p>
    <w:p w14:paraId="2312BCC6">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52A0054F">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第十条  保密</w:t>
      </w:r>
    </w:p>
    <w:p w14:paraId="5452BAA9">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1EBB10DF">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40ACE296">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第十</w:t>
      </w:r>
      <w:r>
        <w:rPr>
          <w:rFonts w:hint="eastAsia" w:ascii="宋体" w:hAnsi="宋体" w:eastAsia="宋体" w:cs="宋体"/>
          <w:color w:val="auto"/>
          <w:sz w:val="24"/>
          <w:szCs w:val="24"/>
          <w:highlight w:val="none"/>
          <w:shd w:val="clear" w:color="auto" w:fill="auto"/>
          <w:lang w:val="en-US" w:eastAsia="zh-CN"/>
        </w:rPr>
        <w:t>一</w:t>
      </w:r>
      <w:r>
        <w:rPr>
          <w:rFonts w:hint="eastAsia" w:ascii="宋体" w:hAnsi="宋体" w:eastAsia="宋体" w:cs="宋体"/>
          <w:color w:val="auto"/>
          <w:sz w:val="24"/>
          <w:szCs w:val="24"/>
          <w:highlight w:val="none"/>
          <w:shd w:val="clear" w:color="auto" w:fill="auto"/>
          <w:lang w:val="zh-CN"/>
        </w:rPr>
        <w:t>条  争议解决</w:t>
      </w:r>
    </w:p>
    <w:p w14:paraId="46C9B590">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甲乙双方在合同履行中发生争议，应通过协商解决。如协商不成，可以向合同签订地法院提起诉讼。</w:t>
      </w:r>
    </w:p>
    <w:p w14:paraId="10D80625">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77741B46">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第十</w:t>
      </w:r>
      <w:r>
        <w:rPr>
          <w:rFonts w:hint="eastAsia" w:ascii="宋体" w:hAnsi="宋体" w:eastAsia="宋体" w:cs="宋体"/>
          <w:color w:val="auto"/>
          <w:sz w:val="24"/>
          <w:szCs w:val="24"/>
          <w:highlight w:val="none"/>
          <w:shd w:val="clear" w:color="auto" w:fill="auto"/>
          <w:lang w:val="en-US" w:eastAsia="zh-CN"/>
        </w:rPr>
        <w:t>二</w:t>
      </w:r>
      <w:r>
        <w:rPr>
          <w:rFonts w:hint="eastAsia" w:ascii="宋体" w:hAnsi="宋体" w:eastAsia="宋体" w:cs="宋体"/>
          <w:color w:val="auto"/>
          <w:sz w:val="24"/>
          <w:szCs w:val="24"/>
          <w:highlight w:val="none"/>
          <w:shd w:val="clear" w:color="auto" w:fill="auto"/>
          <w:lang w:val="zh-CN"/>
        </w:rPr>
        <w:t>条  合同生效及其他</w:t>
      </w:r>
    </w:p>
    <w:p w14:paraId="1683DFCE">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1、除采购文件规定且甲方事先书面同意外，乙方不得部分或者全部转让、分包履行其应履行的合同项下的义务。</w:t>
      </w:r>
    </w:p>
    <w:p w14:paraId="5A4F035F">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 xml:space="preserve">2、合同由甲、乙双方法定代表人（或者被授权代表）签字并加盖单位公章。 </w:t>
      </w:r>
    </w:p>
    <w:p w14:paraId="77DA6666">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3、本合同一式</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份，甲方</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份，乙方</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份。</w:t>
      </w:r>
    </w:p>
    <w:p w14:paraId="12FB92E7">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005726E9">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第十</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val="zh-CN"/>
        </w:rPr>
        <w:t xml:space="preserve">条   </w:t>
      </w:r>
      <w:r>
        <w:rPr>
          <w:rFonts w:hint="eastAsia" w:ascii="宋体" w:hAnsi="宋体" w:eastAsia="宋体" w:cs="宋体"/>
          <w:color w:val="auto"/>
          <w:sz w:val="24"/>
          <w:szCs w:val="24"/>
          <w:highlight w:val="none"/>
          <w:shd w:val="clear" w:color="auto" w:fill="auto"/>
          <w:lang w:val="en-US" w:eastAsia="zh-CN"/>
        </w:rPr>
        <w:t>合同履约期</w:t>
      </w:r>
      <w:r>
        <w:rPr>
          <w:rFonts w:hint="eastAsia" w:ascii="宋体" w:hAnsi="宋体" w:eastAsia="宋体" w:cs="宋体"/>
          <w:color w:val="auto"/>
          <w:sz w:val="24"/>
          <w:szCs w:val="24"/>
          <w:highlight w:val="none"/>
          <w:shd w:val="clear" w:color="auto" w:fill="auto"/>
          <w:lang w:val="zh-CN"/>
        </w:rPr>
        <w:t>限</w:t>
      </w:r>
    </w:p>
    <w:p w14:paraId="67FF7B4D">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本合同</w:t>
      </w:r>
      <w:r>
        <w:rPr>
          <w:rFonts w:hint="eastAsia" w:ascii="宋体" w:hAnsi="宋体" w:eastAsia="宋体" w:cs="宋体"/>
          <w:color w:val="auto"/>
          <w:sz w:val="24"/>
          <w:szCs w:val="24"/>
          <w:highlight w:val="none"/>
          <w:shd w:val="clear" w:color="auto" w:fill="auto"/>
          <w:lang w:val="en-US" w:eastAsia="zh-CN"/>
        </w:rPr>
        <w:t>合同履约期</w:t>
      </w:r>
      <w:r>
        <w:rPr>
          <w:rFonts w:hint="eastAsia" w:ascii="宋体" w:hAnsi="宋体" w:eastAsia="宋体" w:cs="宋体"/>
          <w:color w:val="auto"/>
          <w:sz w:val="24"/>
          <w:szCs w:val="24"/>
          <w:highlight w:val="none"/>
          <w:shd w:val="clear" w:color="auto" w:fill="auto"/>
          <w:lang w:val="zh-CN"/>
        </w:rPr>
        <w:t>限为</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年；</w:t>
      </w:r>
      <w:r>
        <w:rPr>
          <w:rFonts w:hint="eastAsia" w:ascii="宋体" w:hAnsi="宋体" w:eastAsia="宋体" w:cs="宋体"/>
          <w:color w:val="auto"/>
          <w:sz w:val="24"/>
          <w:szCs w:val="24"/>
          <w:highlight w:val="none"/>
          <w:shd w:val="clear" w:color="auto" w:fill="auto"/>
          <w:lang w:val="en-US" w:eastAsia="zh-CN"/>
        </w:rPr>
        <w:t>合同履约期</w:t>
      </w:r>
      <w:r>
        <w:rPr>
          <w:rFonts w:hint="eastAsia" w:ascii="宋体" w:hAnsi="宋体" w:eastAsia="宋体" w:cs="宋体"/>
          <w:color w:val="auto"/>
          <w:sz w:val="24"/>
          <w:szCs w:val="24"/>
          <w:highlight w:val="none"/>
          <w:shd w:val="clear" w:color="auto" w:fill="auto"/>
          <w:lang w:val="zh-CN"/>
        </w:rPr>
        <w:t xml:space="preserve">限自 </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年</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月</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日起至</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年</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月</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日止。</w:t>
      </w:r>
    </w:p>
    <w:p w14:paraId="45D43BB6">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1E12FBAF">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第十</w:t>
      </w:r>
      <w:r>
        <w:rPr>
          <w:rFonts w:hint="eastAsia" w:ascii="宋体" w:hAnsi="宋体" w:eastAsia="宋体" w:cs="宋体"/>
          <w:color w:val="auto"/>
          <w:sz w:val="24"/>
          <w:szCs w:val="24"/>
          <w:highlight w:val="none"/>
          <w:shd w:val="clear" w:color="auto" w:fill="auto"/>
          <w:lang w:val="en-US" w:eastAsia="zh-CN"/>
        </w:rPr>
        <w:t>四</w:t>
      </w:r>
      <w:r>
        <w:rPr>
          <w:rFonts w:hint="eastAsia" w:ascii="宋体" w:hAnsi="宋体" w:eastAsia="宋体" w:cs="宋体"/>
          <w:color w:val="auto"/>
          <w:sz w:val="24"/>
          <w:szCs w:val="24"/>
          <w:highlight w:val="none"/>
          <w:shd w:val="clear" w:color="auto" w:fill="auto"/>
          <w:lang w:val="zh-CN"/>
        </w:rPr>
        <w:t>条  下列文件为本合同不可分割部分</w:t>
      </w:r>
    </w:p>
    <w:p w14:paraId="0957BE0E">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1、政府采购采购文件（包括澄清、修改）；</w:t>
      </w:r>
    </w:p>
    <w:p w14:paraId="4DF459AF">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2、乙方响应文件；</w:t>
      </w:r>
    </w:p>
    <w:p w14:paraId="6AE530EE">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3、成交通知书；</w:t>
      </w:r>
    </w:p>
    <w:p w14:paraId="13C9B944">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4、成交人在评审过程中做出的有关澄清、说明、承诺或者补正文件；</w:t>
      </w:r>
    </w:p>
    <w:p w14:paraId="4976B57B">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5、政府采购委托协议书；</w:t>
      </w:r>
    </w:p>
    <w:p w14:paraId="68F51AF9">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shd w:val="clear" w:color="auto" w:fill="auto"/>
          <w:lang w:val="zh-CN"/>
        </w:rPr>
      </w:pPr>
    </w:p>
    <w:p w14:paraId="05B73269">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甲    方：                             乙    方：</w:t>
      </w:r>
    </w:p>
    <w:p w14:paraId="751253DB">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单位名称(公章)：                       单位名称(公章)：</w:t>
      </w:r>
    </w:p>
    <w:p w14:paraId="6ADD16D0">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 xml:space="preserve">法定代表人（被授权代表）签字：         法定代表人（被授权代表）签字：                </w:t>
      </w:r>
    </w:p>
    <w:p w14:paraId="0DE377B3">
      <w:pPr>
        <w:keepNext w:val="0"/>
        <w:keepLines w:val="0"/>
        <w:pageBreakBefore w:val="0"/>
        <w:shd w:val="clear" w:fill="FFFFFF" w:themeFill="background1"/>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电    话：                             电    话：</w:t>
      </w:r>
    </w:p>
    <w:p w14:paraId="54C3A78E">
      <w:pPr>
        <w:keepNext w:val="0"/>
        <w:keepLines w:val="0"/>
        <w:pageBreakBefore w:val="0"/>
        <w:shd w:val="clear" w:fill="FFFFFF" w:themeFill="background1"/>
        <w:tabs>
          <w:tab w:val="left" w:pos="7820"/>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lang w:val="zh-CN"/>
        </w:rPr>
        <w:t>年   月   日                           年   月   日</w:t>
      </w:r>
    </w:p>
    <w:p w14:paraId="642D5FA1">
      <w:pPr>
        <w:pStyle w:val="89"/>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color w:val="auto"/>
          <w:sz w:val="24"/>
          <w:szCs w:val="24"/>
          <w:highlight w:val="none"/>
        </w:rPr>
      </w:pPr>
    </w:p>
    <w:sectPr>
      <w:headerReference r:id="rId7" w:type="default"/>
      <w:footerReference r:id="rId8"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Adobe 仿宋 Std R">
    <w:altName w:val="仿宋"/>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6A724">
    <w:pPr>
      <w:pStyle w:val="16"/>
      <w:jc w:val="both"/>
      <w:rPr>
        <w:rStyle w:val="3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331C3">
    <w:pPr>
      <w:pStyle w:val="16"/>
      <w:jc w:val="center"/>
      <w:rPr>
        <w:rFonts w:hint="eastAsia" w:asciiTheme="minorEastAsia" w:hAnsiTheme="minorEastAsia" w:eastAsiaTheme="minorEastAsia"/>
        <w:sz w:val="21"/>
        <w:szCs w:val="21"/>
        <w:lang w:val="zh-CN"/>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37C42">
                          <w:pPr>
                            <w:pStyle w:val="16"/>
                            <w:jc w:val="center"/>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CGzs4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IbOziwCAABZBAAADgAAAAAAAAABACAAAAAfAQAAZHJzL2Uyb0RvYy54bWxQSwUGAAAAAAYA&#10;BgBZAQAAvQUAAAAA&#10;">
              <v:fill on="f" focussize="0,0"/>
              <v:stroke on="f" weight="0.5pt"/>
              <v:imagedata o:title=""/>
              <o:lock v:ext="edit" aspectratio="f"/>
              <v:textbox inset="0mm,0mm,0mm,0mm" style="mso-fit-shape-to-text:t;">
                <w:txbxContent>
                  <w:p w14:paraId="6D937C42">
                    <w:pPr>
                      <w:pStyle w:val="16"/>
                      <w:jc w:val="center"/>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4F0BB">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1760B3">
                          <w:pPr>
                            <w:pStyle w:val="16"/>
                          </w:pPr>
                          <w:r>
                            <w:fldChar w:fldCharType="begin"/>
                          </w:r>
                          <w:r>
                            <w:instrText xml:space="preserve"> PAGE  \* MERGEFORMAT </w:instrText>
                          </w:r>
                          <w:r>
                            <w:fldChar w:fldCharType="separate"/>
                          </w:r>
                          <w:r>
                            <w:t>43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21760B3">
                    <w:pPr>
                      <w:pStyle w:val="1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E51B">
    <w:pPr>
      <w:pStyle w:val="18"/>
      <w:pBdr>
        <w:top w:val="none" w:color="000000" w:sz="0" w:space="1"/>
        <w:left w:val="none" w:color="000000" w:sz="0" w:space="4"/>
        <w:bottom w:val="none" w:color="000000" w:sz="0" w:space="1"/>
        <w:right w:val="none" w:color="000000" w:sz="0" w:space="4"/>
      </w:pBdr>
      <w:jc w:val="both"/>
      <w:rPr>
        <w:rStyle w:val="39"/>
      </w:rPr>
    </w:pPr>
    <w:r>
      <w:rPr>
        <w:rStyle w:val="39"/>
        <w:sz w:val="24"/>
        <w:szCs w:val="24"/>
      </w:rPr>
      <w:drawing>
        <wp:inline distT="0" distB="0" distL="114300" distR="114300">
          <wp:extent cx="374015" cy="375920"/>
          <wp:effectExtent l="0" t="0" r="6985" b="5080"/>
          <wp:docPr id="2" name="图片 2"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9"/>
        <w:rFonts w:hint="eastAsia"/>
        <w:sz w:val="24"/>
        <w:szCs w:val="24"/>
      </w:rPr>
      <w:t xml:space="preserve">                                   新疆拓源工程管理咨询有限公司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F57AB">
    <w:pPr>
      <w:pStyle w:val="18"/>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0C8F2">
    <w:pPr>
      <w:pStyle w:val="18"/>
      <w:pBdr>
        <w:top w:val="none" w:color="000000" w:sz="0" w:space="1"/>
        <w:left w:val="none" w:color="000000" w:sz="0" w:space="4"/>
        <w:bottom w:val="none" w:color="000000" w:sz="0" w:space="1"/>
        <w:right w:val="none" w:color="000000" w:sz="0" w:space="4"/>
      </w:pBdr>
      <w:jc w:val="both"/>
    </w:pPr>
    <w:r>
      <w:rPr>
        <w:rStyle w:val="39"/>
        <w:sz w:val="24"/>
        <w:szCs w:val="24"/>
      </w:rPr>
      <w:drawing>
        <wp:inline distT="0" distB="0" distL="114300" distR="114300">
          <wp:extent cx="374015" cy="375920"/>
          <wp:effectExtent l="0" t="0" r="6985" b="5080"/>
          <wp:docPr id="4" name="图片 3"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9"/>
        <w:rFonts w:hint="eastAsia"/>
        <w:sz w:val="24"/>
        <w:szCs w:val="24"/>
      </w:rPr>
      <w:t xml:space="preserve">                                   新疆拓源工程管理咨询有限公司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97A35"/>
    <w:multiLevelType w:val="singleLevel"/>
    <w:tmpl w:val="83B97A35"/>
    <w:lvl w:ilvl="0" w:tentative="0">
      <w:start w:val="2"/>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5"/>
      <w:lvlText w:val="%1.%2.%3.%4."/>
      <w:lvlJc w:val="left"/>
      <w:pPr>
        <w:ind w:left="128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2">
    <w:nsid w:val="0000000C"/>
    <w:multiLevelType w:val="multilevel"/>
    <w:tmpl w:val="0000000C"/>
    <w:lvl w:ilvl="0" w:tentative="0">
      <w:start w:val="1"/>
      <w:numFmt w:val="decimal"/>
      <w:suff w:val="nothing"/>
      <w:lvlText w:val="%1、"/>
      <w:lvlJc w:val="left"/>
    </w:lvl>
    <w:lvl w:ilvl="1" w:tentative="0">
      <w:start w:val="1"/>
      <w:numFmt w:val="decimal"/>
      <w:pStyle w:val="95"/>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A69DCA1"/>
    <w:multiLevelType w:val="singleLevel"/>
    <w:tmpl w:val="1A69DCA1"/>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M2UxZTMyMmYwZDNjNTM0ZGJlN2EwZTRhZjg3N2QifQ=="/>
  </w:docVars>
  <w:rsids>
    <w:rsidRoot w:val="3F272C17"/>
    <w:rsid w:val="00176AFA"/>
    <w:rsid w:val="00201193"/>
    <w:rsid w:val="00251882"/>
    <w:rsid w:val="00272403"/>
    <w:rsid w:val="002A2595"/>
    <w:rsid w:val="002A4B7E"/>
    <w:rsid w:val="00307575"/>
    <w:rsid w:val="00494A0C"/>
    <w:rsid w:val="004B72C3"/>
    <w:rsid w:val="005B64EC"/>
    <w:rsid w:val="005D2854"/>
    <w:rsid w:val="005D5124"/>
    <w:rsid w:val="006741BE"/>
    <w:rsid w:val="006C71E4"/>
    <w:rsid w:val="006D1E2F"/>
    <w:rsid w:val="007C2E83"/>
    <w:rsid w:val="007F707A"/>
    <w:rsid w:val="00856992"/>
    <w:rsid w:val="008865BE"/>
    <w:rsid w:val="00984822"/>
    <w:rsid w:val="00A15816"/>
    <w:rsid w:val="00A55971"/>
    <w:rsid w:val="00A56B44"/>
    <w:rsid w:val="00A63491"/>
    <w:rsid w:val="00A634C5"/>
    <w:rsid w:val="00AE376E"/>
    <w:rsid w:val="00B23998"/>
    <w:rsid w:val="00B262E1"/>
    <w:rsid w:val="00B83C91"/>
    <w:rsid w:val="00C35D63"/>
    <w:rsid w:val="00CC7429"/>
    <w:rsid w:val="00D53E90"/>
    <w:rsid w:val="00E06E92"/>
    <w:rsid w:val="00E24C5C"/>
    <w:rsid w:val="00F23EAE"/>
    <w:rsid w:val="00F622DB"/>
    <w:rsid w:val="00F70C77"/>
    <w:rsid w:val="01270291"/>
    <w:rsid w:val="01BE47BA"/>
    <w:rsid w:val="01E605EE"/>
    <w:rsid w:val="022B2C0A"/>
    <w:rsid w:val="029E09AB"/>
    <w:rsid w:val="029F34DE"/>
    <w:rsid w:val="03BF1D2C"/>
    <w:rsid w:val="03D41080"/>
    <w:rsid w:val="046A5762"/>
    <w:rsid w:val="04DA0CEB"/>
    <w:rsid w:val="04EA7359"/>
    <w:rsid w:val="0630127A"/>
    <w:rsid w:val="063C3F1F"/>
    <w:rsid w:val="06D60267"/>
    <w:rsid w:val="0744651C"/>
    <w:rsid w:val="081D1247"/>
    <w:rsid w:val="08CD0437"/>
    <w:rsid w:val="08D242DE"/>
    <w:rsid w:val="0A1C72DC"/>
    <w:rsid w:val="0A386CE1"/>
    <w:rsid w:val="0AE25E04"/>
    <w:rsid w:val="0B631B8F"/>
    <w:rsid w:val="0B720866"/>
    <w:rsid w:val="0C9004D9"/>
    <w:rsid w:val="0D317AC3"/>
    <w:rsid w:val="0E133A87"/>
    <w:rsid w:val="0E4D5CB6"/>
    <w:rsid w:val="0F452E31"/>
    <w:rsid w:val="0F871FC0"/>
    <w:rsid w:val="102003D3"/>
    <w:rsid w:val="10A36062"/>
    <w:rsid w:val="10E92E7D"/>
    <w:rsid w:val="116E2485"/>
    <w:rsid w:val="117619C8"/>
    <w:rsid w:val="12035BC9"/>
    <w:rsid w:val="13B5494D"/>
    <w:rsid w:val="14897BA6"/>
    <w:rsid w:val="158521DA"/>
    <w:rsid w:val="17807BDE"/>
    <w:rsid w:val="180C14CC"/>
    <w:rsid w:val="19764450"/>
    <w:rsid w:val="19DC433A"/>
    <w:rsid w:val="19DF19B7"/>
    <w:rsid w:val="1B0408C9"/>
    <w:rsid w:val="1C455FC4"/>
    <w:rsid w:val="1D634B0D"/>
    <w:rsid w:val="1DD72875"/>
    <w:rsid w:val="1DE72CB7"/>
    <w:rsid w:val="1E7A0222"/>
    <w:rsid w:val="1E843688"/>
    <w:rsid w:val="1F7C6E40"/>
    <w:rsid w:val="1F7F413E"/>
    <w:rsid w:val="201009BD"/>
    <w:rsid w:val="206B4B2A"/>
    <w:rsid w:val="209C3810"/>
    <w:rsid w:val="20A05219"/>
    <w:rsid w:val="22401962"/>
    <w:rsid w:val="22907099"/>
    <w:rsid w:val="22995516"/>
    <w:rsid w:val="230906B6"/>
    <w:rsid w:val="235651C9"/>
    <w:rsid w:val="23BC194F"/>
    <w:rsid w:val="23C97A9D"/>
    <w:rsid w:val="2497412E"/>
    <w:rsid w:val="250A44A9"/>
    <w:rsid w:val="25FF08CA"/>
    <w:rsid w:val="26727712"/>
    <w:rsid w:val="268D2393"/>
    <w:rsid w:val="26D13BB6"/>
    <w:rsid w:val="26D22C39"/>
    <w:rsid w:val="270B4D79"/>
    <w:rsid w:val="27C313CD"/>
    <w:rsid w:val="29453736"/>
    <w:rsid w:val="2A176B26"/>
    <w:rsid w:val="2A2B114A"/>
    <w:rsid w:val="2AD9041D"/>
    <w:rsid w:val="2ADF3B9E"/>
    <w:rsid w:val="2CA434F1"/>
    <w:rsid w:val="2CED5A6C"/>
    <w:rsid w:val="2DD65871"/>
    <w:rsid w:val="2DEF178D"/>
    <w:rsid w:val="2E0A7C7C"/>
    <w:rsid w:val="2E526295"/>
    <w:rsid w:val="2EFE5B63"/>
    <w:rsid w:val="2F673EA3"/>
    <w:rsid w:val="2FAF51D1"/>
    <w:rsid w:val="307F3F9D"/>
    <w:rsid w:val="31A31F0E"/>
    <w:rsid w:val="325274CF"/>
    <w:rsid w:val="32B24EA3"/>
    <w:rsid w:val="339A4C4A"/>
    <w:rsid w:val="347D25A2"/>
    <w:rsid w:val="34951FE2"/>
    <w:rsid w:val="35101930"/>
    <w:rsid w:val="35405C43"/>
    <w:rsid w:val="35FB7A35"/>
    <w:rsid w:val="375C5686"/>
    <w:rsid w:val="381E067B"/>
    <w:rsid w:val="38324087"/>
    <w:rsid w:val="397777D8"/>
    <w:rsid w:val="3A0F032F"/>
    <w:rsid w:val="3A80138C"/>
    <w:rsid w:val="3ACF3396"/>
    <w:rsid w:val="3B4A51A8"/>
    <w:rsid w:val="3C363AD7"/>
    <w:rsid w:val="3C4155F3"/>
    <w:rsid w:val="3D4C1ECD"/>
    <w:rsid w:val="3DD96374"/>
    <w:rsid w:val="3E09721D"/>
    <w:rsid w:val="3EAB41B0"/>
    <w:rsid w:val="3F272C17"/>
    <w:rsid w:val="3F593E10"/>
    <w:rsid w:val="3F8C3FE1"/>
    <w:rsid w:val="3FA24CF9"/>
    <w:rsid w:val="40BC2C64"/>
    <w:rsid w:val="40D273F0"/>
    <w:rsid w:val="41EB09AD"/>
    <w:rsid w:val="423918C5"/>
    <w:rsid w:val="43E32EF2"/>
    <w:rsid w:val="44581EC4"/>
    <w:rsid w:val="447B384E"/>
    <w:rsid w:val="44D14056"/>
    <w:rsid w:val="45C17898"/>
    <w:rsid w:val="46054B10"/>
    <w:rsid w:val="463F7FFF"/>
    <w:rsid w:val="47870474"/>
    <w:rsid w:val="47A6109B"/>
    <w:rsid w:val="482F2DDE"/>
    <w:rsid w:val="489817CC"/>
    <w:rsid w:val="48A609FE"/>
    <w:rsid w:val="48AA237C"/>
    <w:rsid w:val="48E872EB"/>
    <w:rsid w:val="49CB3B29"/>
    <w:rsid w:val="4A0751ED"/>
    <w:rsid w:val="4A5637D9"/>
    <w:rsid w:val="4A9369B8"/>
    <w:rsid w:val="4B5F0E80"/>
    <w:rsid w:val="4BCC59EB"/>
    <w:rsid w:val="4CEB6792"/>
    <w:rsid w:val="4D8E67B2"/>
    <w:rsid w:val="4EA26B29"/>
    <w:rsid w:val="501B2560"/>
    <w:rsid w:val="511931FB"/>
    <w:rsid w:val="51813723"/>
    <w:rsid w:val="51895F94"/>
    <w:rsid w:val="51B22A66"/>
    <w:rsid w:val="52825CD0"/>
    <w:rsid w:val="52860D64"/>
    <w:rsid w:val="538B10DA"/>
    <w:rsid w:val="541008E5"/>
    <w:rsid w:val="541A77B1"/>
    <w:rsid w:val="5511602F"/>
    <w:rsid w:val="55C939D4"/>
    <w:rsid w:val="56CB3E6B"/>
    <w:rsid w:val="570B5995"/>
    <w:rsid w:val="57D01AC1"/>
    <w:rsid w:val="589F492D"/>
    <w:rsid w:val="58D6622C"/>
    <w:rsid w:val="595879A2"/>
    <w:rsid w:val="59D94E3D"/>
    <w:rsid w:val="5A36150B"/>
    <w:rsid w:val="5A5168D1"/>
    <w:rsid w:val="5AE70F76"/>
    <w:rsid w:val="5B847F7C"/>
    <w:rsid w:val="5BCD448E"/>
    <w:rsid w:val="5BD014A8"/>
    <w:rsid w:val="5D516C78"/>
    <w:rsid w:val="5DF23DD6"/>
    <w:rsid w:val="5E5049B7"/>
    <w:rsid w:val="5E8819C0"/>
    <w:rsid w:val="5E952490"/>
    <w:rsid w:val="5EA51A06"/>
    <w:rsid w:val="5ED0521B"/>
    <w:rsid w:val="5ED66B84"/>
    <w:rsid w:val="5F767632"/>
    <w:rsid w:val="5F770E08"/>
    <w:rsid w:val="5FC92290"/>
    <w:rsid w:val="606336E1"/>
    <w:rsid w:val="60830691"/>
    <w:rsid w:val="60BA67A8"/>
    <w:rsid w:val="610576D7"/>
    <w:rsid w:val="621833C4"/>
    <w:rsid w:val="62D17DD9"/>
    <w:rsid w:val="63315C1F"/>
    <w:rsid w:val="63332842"/>
    <w:rsid w:val="64436AB5"/>
    <w:rsid w:val="64854B25"/>
    <w:rsid w:val="66D5137D"/>
    <w:rsid w:val="66EE209B"/>
    <w:rsid w:val="684A0886"/>
    <w:rsid w:val="68D920F7"/>
    <w:rsid w:val="69585A15"/>
    <w:rsid w:val="6994390F"/>
    <w:rsid w:val="6AC30DB4"/>
    <w:rsid w:val="6B3E7FD6"/>
    <w:rsid w:val="6B7B7003"/>
    <w:rsid w:val="6B7F01D9"/>
    <w:rsid w:val="6BB34520"/>
    <w:rsid w:val="6CE453A5"/>
    <w:rsid w:val="6CE54BAD"/>
    <w:rsid w:val="6DAB1016"/>
    <w:rsid w:val="6DC36570"/>
    <w:rsid w:val="6E192936"/>
    <w:rsid w:val="6F8273C0"/>
    <w:rsid w:val="6FBA03B0"/>
    <w:rsid w:val="715F474A"/>
    <w:rsid w:val="716D609C"/>
    <w:rsid w:val="72A53155"/>
    <w:rsid w:val="74833BFB"/>
    <w:rsid w:val="74D10FA5"/>
    <w:rsid w:val="759A4FDF"/>
    <w:rsid w:val="76067942"/>
    <w:rsid w:val="763E532E"/>
    <w:rsid w:val="777442A6"/>
    <w:rsid w:val="778222A9"/>
    <w:rsid w:val="77A97824"/>
    <w:rsid w:val="783562BD"/>
    <w:rsid w:val="78A51694"/>
    <w:rsid w:val="78DD472B"/>
    <w:rsid w:val="79887448"/>
    <w:rsid w:val="79FB45ED"/>
    <w:rsid w:val="7A6734EF"/>
    <w:rsid w:val="7A73137B"/>
    <w:rsid w:val="7AA80FC8"/>
    <w:rsid w:val="7B71585E"/>
    <w:rsid w:val="7CDD730D"/>
    <w:rsid w:val="7D10465D"/>
    <w:rsid w:val="7DD9089F"/>
    <w:rsid w:val="7E003003"/>
    <w:rsid w:val="7F821FFD"/>
    <w:rsid w:val="7FB461AB"/>
    <w:rsid w:val="7FD3314B"/>
    <w:rsid w:val="7FD4460D"/>
    <w:rsid w:val="7FF65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7"/>
    <w:qFormat/>
    <w:uiPriority w:val="0"/>
    <w:pPr>
      <w:keepNext/>
      <w:keepLines/>
      <w:spacing w:line="480" w:lineRule="auto"/>
      <w:jc w:val="center"/>
      <w:outlineLvl w:val="0"/>
    </w:pPr>
    <w:rPr>
      <w:rFonts w:ascii="Times New Roman" w:hAnsi="Times New Roman" w:eastAsia="宋体"/>
      <w:b/>
      <w:bCs/>
      <w:kern w:val="44"/>
      <w:sz w:val="32"/>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23"/>
    <w:autoRedefine/>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2" w:lineRule="auto"/>
      <w:ind w:left="864"/>
      <w:outlineLvl w:val="3"/>
    </w:pPr>
    <w:rPr>
      <w:rFonts w:ascii="Arial" w:hAnsi="Arial" w:eastAsia="黑体"/>
      <w:b/>
      <w:sz w:val="2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caption"/>
    <w:basedOn w:val="1"/>
    <w:next w:val="1"/>
    <w:qFormat/>
    <w:uiPriority w:val="0"/>
    <w:rPr>
      <w:rFonts w:ascii="Arial" w:hAnsi="Arial" w:eastAsia="黑体" w:cs="Arial"/>
      <w:sz w:val="20"/>
      <w:szCs w:val="20"/>
    </w:rPr>
  </w:style>
  <w:style w:type="paragraph" w:styleId="8">
    <w:name w:val="index 5"/>
    <w:basedOn w:val="1"/>
    <w:next w:val="1"/>
    <w:autoRedefine/>
    <w:qFormat/>
    <w:uiPriority w:val="0"/>
    <w:pPr>
      <w:ind w:left="1680"/>
    </w:pPr>
  </w:style>
  <w:style w:type="paragraph" w:styleId="9">
    <w:name w:val="toa heading"/>
    <w:basedOn w:val="1"/>
    <w:next w:val="1"/>
    <w:autoRedefine/>
    <w:qFormat/>
    <w:uiPriority w:val="0"/>
    <w:pPr>
      <w:spacing w:before="120"/>
    </w:pPr>
    <w:rPr>
      <w:rFonts w:ascii="Arial" w:hAnsi="Arial" w:cs="Arial"/>
      <w:kern w:val="0"/>
      <w:sz w:val="24"/>
      <w:szCs w:val="20"/>
    </w:rPr>
  </w:style>
  <w:style w:type="paragraph" w:styleId="10">
    <w:name w:val="annotation text"/>
    <w:basedOn w:val="1"/>
    <w:qFormat/>
    <w:uiPriority w:val="0"/>
    <w:pPr>
      <w:jc w:val="left"/>
    </w:pPr>
  </w:style>
  <w:style w:type="paragraph" w:styleId="11">
    <w:name w:val="Body Text"/>
    <w:basedOn w:val="1"/>
    <w:autoRedefine/>
    <w:qFormat/>
    <w:uiPriority w:val="0"/>
    <w:pPr>
      <w:spacing w:after="120"/>
    </w:pPr>
  </w:style>
  <w:style w:type="paragraph" w:styleId="12">
    <w:name w:val="Body Text Indent"/>
    <w:basedOn w:val="1"/>
    <w:next w:val="1"/>
    <w:qFormat/>
    <w:uiPriority w:val="0"/>
    <w:pPr>
      <w:ind w:firstLine="630"/>
    </w:pPr>
    <w:rPr>
      <w:sz w:val="32"/>
      <w:szCs w:val="20"/>
    </w:rPr>
  </w:style>
  <w:style w:type="paragraph" w:styleId="13">
    <w:name w:val="Plain Text"/>
    <w:basedOn w:val="1"/>
    <w:qFormat/>
    <w:uiPriority w:val="0"/>
    <w:rPr>
      <w:rFonts w:ascii="宋体" w:hAnsi="Courier New"/>
    </w:rPr>
  </w:style>
  <w:style w:type="paragraph" w:styleId="14">
    <w:name w:val="Body Text Indent 2"/>
    <w:basedOn w:val="1"/>
    <w:autoRedefine/>
    <w:qFormat/>
    <w:uiPriority w:val="0"/>
    <w:pPr>
      <w:spacing w:after="120" w:line="480" w:lineRule="auto"/>
      <w:ind w:left="420" w:leftChars="200"/>
    </w:pPr>
  </w:style>
  <w:style w:type="paragraph" w:styleId="15">
    <w:name w:val="Balloon Text"/>
    <w:basedOn w:val="1"/>
    <w:link w:val="92"/>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20"/>
    </w:rPr>
  </w:style>
  <w:style w:type="paragraph" w:styleId="17">
    <w:name w:val="envelope return"/>
    <w:basedOn w:val="1"/>
    <w:qFormat/>
    <w:uiPriority w:val="0"/>
    <w:pPr>
      <w:snapToGrid w:val="0"/>
    </w:pPr>
    <w:rPr>
      <w:rFonts w:ascii="Arial" w:hAnsi="Arial" w:cs="Arial"/>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9">
    <w:name w:val="toc 1"/>
    <w:basedOn w:val="1"/>
    <w:next w:val="1"/>
    <w:autoRedefine/>
    <w:qFormat/>
    <w:uiPriority w:val="0"/>
    <w:pPr>
      <w:spacing w:line="480" w:lineRule="auto"/>
    </w:pPr>
    <w:rPr>
      <w:sz w:val="30"/>
    </w:rPr>
  </w:style>
  <w:style w:type="paragraph" w:styleId="20">
    <w:name w:val="toc 4"/>
    <w:basedOn w:val="1"/>
    <w:next w:val="1"/>
    <w:qFormat/>
    <w:uiPriority w:val="0"/>
    <w:pPr>
      <w:ind w:left="1260" w:leftChars="600"/>
    </w:pPr>
  </w:style>
  <w:style w:type="paragraph" w:styleId="21">
    <w:name w:val="index heading"/>
    <w:basedOn w:val="1"/>
    <w:next w:val="22"/>
    <w:autoRedefine/>
    <w:qFormat/>
    <w:uiPriority w:val="0"/>
    <w:pPr>
      <w:adjustRightInd w:val="0"/>
      <w:spacing w:line="312" w:lineRule="atLeast"/>
    </w:pPr>
    <w:rPr>
      <w:rFonts w:ascii="Arial" w:hAnsi="Arial" w:eastAsia="仿宋" w:cs="Arial"/>
      <w:b/>
      <w:bCs/>
      <w:kern w:val="0"/>
      <w:sz w:val="32"/>
      <w:szCs w:val="20"/>
    </w:rPr>
  </w:style>
  <w:style w:type="paragraph" w:styleId="22">
    <w:name w:val="index 1"/>
    <w:basedOn w:val="1"/>
    <w:next w:val="1"/>
    <w:autoRedefine/>
    <w:qFormat/>
    <w:uiPriority w:val="0"/>
  </w:style>
  <w:style w:type="paragraph" w:styleId="23">
    <w:name w:val="List 5"/>
    <w:basedOn w:val="1"/>
    <w:autoRedefine/>
    <w:qFormat/>
    <w:uiPriority w:val="0"/>
    <w:pPr>
      <w:ind w:left="2100" w:hanging="420"/>
    </w:pPr>
    <w:rPr>
      <w:rFonts w:eastAsia="楷体_GB2312"/>
      <w:sz w:val="32"/>
      <w:szCs w:val="20"/>
    </w:rPr>
  </w:style>
  <w:style w:type="paragraph" w:styleId="24">
    <w:name w:val="toc 2"/>
    <w:basedOn w:val="1"/>
    <w:next w:val="1"/>
    <w:qFormat/>
    <w:uiPriority w:val="0"/>
    <w:pPr>
      <w:ind w:left="420" w:leftChars="200"/>
    </w:pPr>
  </w:style>
  <w:style w:type="paragraph" w:styleId="25">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7">
    <w:name w:val="Body Text First Indent"/>
    <w:basedOn w:val="11"/>
    <w:next w:val="1"/>
    <w:autoRedefine/>
    <w:qFormat/>
    <w:uiPriority w:val="0"/>
    <w:pPr>
      <w:ind w:firstLine="420" w:firstLineChars="100"/>
    </w:pPr>
  </w:style>
  <w:style w:type="paragraph" w:styleId="28">
    <w:name w:val="Body Text First Indent 2"/>
    <w:basedOn w:val="12"/>
    <w:next w:val="1"/>
    <w:qFormat/>
    <w:uiPriority w:val="0"/>
    <w:pPr>
      <w:ind w:firstLine="420"/>
    </w:p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b/>
      <w:bCs/>
    </w:rPr>
  </w:style>
  <w:style w:type="character" w:styleId="33">
    <w:name w:val="FollowedHyperlink"/>
    <w:basedOn w:val="31"/>
    <w:qFormat/>
    <w:uiPriority w:val="0"/>
    <w:rPr>
      <w:rFonts w:hint="eastAsia" w:ascii="微软雅黑" w:hAnsi="微软雅黑" w:eastAsia="微软雅黑" w:cs="微软雅黑"/>
      <w:color w:val="02396F"/>
      <w:u w:val="single"/>
    </w:rPr>
  </w:style>
  <w:style w:type="character" w:styleId="34">
    <w:name w:val="Hyperlink"/>
    <w:qFormat/>
    <w:uiPriority w:val="0"/>
    <w:rPr>
      <w:rFonts w:ascii="Times New Roman" w:hAnsi="Times New Roman" w:eastAsia="微软雅黑" w:cs="Times New Roman"/>
      <w:color w:val="0000FF"/>
      <w:u w:val="single"/>
    </w:rPr>
  </w:style>
  <w:style w:type="character" w:styleId="35">
    <w:name w:val="annotation reference"/>
    <w:basedOn w:val="31"/>
    <w:qFormat/>
    <w:uiPriority w:val="0"/>
    <w:rPr>
      <w:sz w:val="21"/>
      <w:szCs w:val="21"/>
    </w:rPr>
  </w:style>
  <w:style w:type="paragraph" w:customStyle="1" w:styleId="3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8">
    <w:name w:val="UserStyle_3"/>
    <w:autoRedefine/>
    <w:qFormat/>
    <w:uiPriority w:val="0"/>
    <w:rPr>
      <w:rFonts w:ascii="宋体" w:hAnsi="宋体" w:eastAsia="宋体"/>
      <w:b/>
      <w:sz w:val="32"/>
      <w:szCs w:val="32"/>
    </w:rPr>
  </w:style>
  <w:style w:type="character" w:customStyle="1" w:styleId="39">
    <w:name w:val="NormalCharacter"/>
    <w:link w:val="40"/>
    <w:autoRedefine/>
    <w:qFormat/>
    <w:uiPriority w:val="0"/>
    <w:rPr>
      <w:rFonts w:ascii="Verdana" w:hAnsi="Verdana" w:eastAsia="仿宋_GB2312"/>
      <w:kern w:val="0"/>
      <w:sz w:val="24"/>
      <w:szCs w:val="20"/>
      <w:lang w:eastAsia="en-US"/>
    </w:rPr>
  </w:style>
  <w:style w:type="paragraph" w:customStyle="1" w:styleId="40">
    <w:name w:val="UserStyle_5"/>
    <w:basedOn w:val="1"/>
    <w:link w:val="39"/>
    <w:qFormat/>
    <w:uiPriority w:val="0"/>
    <w:pPr>
      <w:widowControl/>
      <w:spacing w:after="160" w:line="240" w:lineRule="exact"/>
      <w:jc w:val="left"/>
      <w:textAlignment w:val="baseline"/>
    </w:pPr>
  </w:style>
  <w:style w:type="paragraph" w:customStyle="1" w:styleId="41">
    <w:name w:val="UserStyle_20"/>
    <w:basedOn w:val="1"/>
    <w:link w:val="39"/>
    <w:autoRedefine/>
    <w:qFormat/>
    <w:uiPriority w:val="0"/>
    <w:pPr>
      <w:spacing w:after="160" w:line="240" w:lineRule="exact"/>
      <w:jc w:val="left"/>
    </w:pPr>
    <w:rPr>
      <w:rFonts w:ascii="Verdana" w:hAnsi="Verdana" w:eastAsia="仿宋_GB2312"/>
      <w:kern w:val="0"/>
      <w:sz w:val="24"/>
      <w:szCs w:val="20"/>
      <w:lang w:eastAsia="en-US"/>
    </w:rPr>
  </w:style>
  <w:style w:type="paragraph" w:customStyle="1" w:styleId="42">
    <w:name w:val="BodyText1I2"/>
    <w:basedOn w:val="43"/>
    <w:autoRedefine/>
    <w:qFormat/>
    <w:uiPriority w:val="0"/>
    <w:pPr>
      <w:ind w:left="0" w:leftChars="0"/>
    </w:pPr>
    <w:rPr>
      <w:rFonts w:ascii="Calibri" w:hAnsi="Calibri"/>
      <w:sz w:val="21"/>
      <w:szCs w:val="22"/>
    </w:rPr>
  </w:style>
  <w:style w:type="paragraph" w:customStyle="1" w:styleId="43">
    <w:name w:val="BodyTextIndent"/>
    <w:basedOn w:val="1"/>
    <w:autoRedefine/>
    <w:qFormat/>
    <w:uiPriority w:val="0"/>
    <w:pPr>
      <w:spacing w:after="120"/>
      <w:ind w:left="420" w:leftChars="200"/>
    </w:pPr>
    <w:rPr>
      <w:sz w:val="24"/>
    </w:rPr>
  </w:style>
  <w:style w:type="paragraph" w:customStyle="1" w:styleId="44">
    <w:name w:val="BodyText"/>
    <w:basedOn w:val="1"/>
    <w:next w:val="1"/>
    <w:qFormat/>
    <w:uiPriority w:val="0"/>
    <w:rPr>
      <w:rFonts w:eastAsia="黑体"/>
      <w:kern w:val="0"/>
      <w:sz w:val="36"/>
      <w:szCs w:val="36"/>
    </w:rPr>
  </w:style>
  <w:style w:type="paragraph" w:customStyle="1" w:styleId="4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6">
    <w:name w:val="正文_2_0"/>
    <w:basedOn w:val="47"/>
    <w:next w:val="72"/>
    <w:autoRedefine/>
    <w:qFormat/>
    <w:uiPriority w:val="0"/>
    <w:rPr>
      <w:szCs w:val="22"/>
    </w:rPr>
  </w:style>
  <w:style w:type="paragraph" w:customStyle="1" w:styleId="47">
    <w:name w:val="正文_2_1"/>
    <w:basedOn w:val="48"/>
    <w:next w:val="69"/>
    <w:qFormat/>
    <w:uiPriority w:val="0"/>
    <w:rPr>
      <w:szCs w:val="24"/>
    </w:rPr>
  </w:style>
  <w:style w:type="paragraph" w:customStyle="1" w:styleId="48">
    <w:name w:val="正文_3_0"/>
    <w:basedOn w:val="49"/>
    <w:next w:val="52"/>
    <w:qFormat/>
    <w:uiPriority w:val="0"/>
  </w:style>
  <w:style w:type="paragraph" w:customStyle="1" w:styleId="49">
    <w:name w:val="Normal_0_0"/>
    <w:next w:val="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Body Text_0"/>
    <w:basedOn w:val="51"/>
    <w:qFormat/>
    <w:uiPriority w:val="0"/>
    <w:pPr>
      <w:spacing w:after="120"/>
    </w:pPr>
  </w:style>
  <w:style w:type="paragraph" w:customStyle="1" w:styleId="51">
    <w:name w:val="Normal_1"/>
    <w:next w:val="5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缩进_0_0_1"/>
    <w:basedOn w:val="53"/>
    <w:unhideWhenUsed/>
    <w:qFormat/>
    <w:uiPriority w:val="0"/>
    <w:pPr>
      <w:ind w:firstLine="420" w:firstLineChars="200"/>
    </w:pPr>
  </w:style>
  <w:style w:type="paragraph" w:customStyle="1" w:styleId="53">
    <w:name w:val="正文_0_1_1"/>
    <w:basedOn w:val="54"/>
    <w:next w:val="66"/>
    <w:autoRedefine/>
    <w:qFormat/>
    <w:uiPriority w:val="0"/>
    <w:rPr>
      <w:rFonts w:eastAsia="Calibri"/>
    </w:rPr>
  </w:style>
  <w:style w:type="paragraph" w:customStyle="1" w:styleId="54">
    <w:name w:val="正文_3_1"/>
    <w:basedOn w:val="55"/>
    <w:next w:val="58"/>
    <w:qFormat/>
    <w:uiPriority w:val="0"/>
    <w:rPr>
      <w:rFonts w:ascii="Calibri" w:hAnsi="Calibri"/>
      <w:sz w:val="21"/>
      <w:szCs w:val="22"/>
    </w:rPr>
  </w:style>
  <w:style w:type="paragraph" w:customStyle="1" w:styleId="55">
    <w:name w:val="Normal_0_1"/>
    <w:basedOn w:val="56"/>
    <w:qFormat/>
    <w:uiPriority w:val="0"/>
    <w:rPr>
      <w:rFonts w:ascii="黑体" w:hAnsi="黑体" w:eastAsia="黑体"/>
      <w:b/>
      <w:sz w:val="32"/>
      <w:szCs w:val="24"/>
    </w:rPr>
  </w:style>
  <w:style w:type="paragraph" w:customStyle="1" w:styleId="56">
    <w:name w:val="Normal_2"/>
    <w:next w:val="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Body Text_1"/>
    <w:basedOn w:val="56"/>
    <w:qFormat/>
    <w:uiPriority w:val="0"/>
    <w:pPr>
      <w:spacing w:after="120"/>
    </w:pPr>
  </w:style>
  <w:style w:type="paragraph" w:customStyle="1" w:styleId="58">
    <w:name w:val="正文缩进_0_0_0"/>
    <w:basedOn w:val="59"/>
    <w:unhideWhenUsed/>
    <w:qFormat/>
    <w:uiPriority w:val="0"/>
    <w:pPr>
      <w:ind w:firstLine="420" w:firstLineChars="200"/>
    </w:pPr>
  </w:style>
  <w:style w:type="paragraph" w:customStyle="1" w:styleId="59">
    <w:name w:val="正文_0_1_0"/>
    <w:basedOn w:val="60"/>
    <w:next w:val="61"/>
    <w:autoRedefine/>
    <w:qFormat/>
    <w:uiPriority w:val="0"/>
    <w:rPr>
      <w:rFonts w:eastAsia="Calibri"/>
    </w:rPr>
  </w:style>
  <w:style w:type="paragraph" w:customStyle="1" w:styleId="60">
    <w:name w:val="正文_1_1"/>
    <w:next w:val="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脚注文本_0"/>
    <w:basedOn w:val="62"/>
    <w:next w:val="64"/>
    <w:unhideWhenUsed/>
    <w:qFormat/>
    <w:uiPriority w:val="99"/>
    <w:pPr>
      <w:snapToGrid w:val="0"/>
      <w:jc w:val="left"/>
    </w:pPr>
    <w:rPr>
      <w:rFonts w:ascii="Calibri" w:hAnsi="Calibri" w:eastAsia="Calibri"/>
      <w:sz w:val="18"/>
    </w:rPr>
  </w:style>
  <w:style w:type="paragraph" w:customStyle="1" w:styleId="62">
    <w:name w:val="正文_0_2"/>
    <w:next w:val="6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页脚_0_0"/>
    <w:basedOn w:val="62"/>
    <w:autoRedefine/>
    <w:unhideWhenUsed/>
    <w:qFormat/>
    <w:uiPriority w:val="99"/>
    <w:pPr>
      <w:tabs>
        <w:tab w:val="center" w:pos="4153"/>
        <w:tab w:val="right" w:pos="8306"/>
      </w:tabs>
      <w:snapToGrid w:val="0"/>
      <w:jc w:val="left"/>
    </w:pPr>
    <w:rPr>
      <w:sz w:val="18"/>
      <w:szCs w:val="18"/>
    </w:rPr>
  </w:style>
  <w:style w:type="paragraph" w:customStyle="1" w:styleId="64">
    <w:name w:val="正文_2"/>
    <w:next w:val="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正文文本_0"/>
    <w:basedOn w:val="46"/>
    <w:autoRedefine/>
    <w:qFormat/>
    <w:uiPriority w:val="0"/>
  </w:style>
  <w:style w:type="paragraph" w:customStyle="1" w:styleId="66">
    <w:name w:val="脚注文本1"/>
    <w:basedOn w:val="67"/>
    <w:next w:val="68"/>
    <w:autoRedefine/>
    <w:unhideWhenUsed/>
    <w:qFormat/>
    <w:uiPriority w:val="0"/>
    <w:pPr>
      <w:snapToGrid w:val="0"/>
      <w:jc w:val="left"/>
    </w:pPr>
    <w:rPr>
      <w:kern w:val="0"/>
      <w:sz w:val="18"/>
      <w:szCs w:val="18"/>
    </w:rPr>
  </w:style>
  <w:style w:type="paragraph" w:customStyle="1" w:styleId="67">
    <w:name w:val="正文_1_0"/>
    <w:next w:val="66"/>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8">
    <w:name w:val="索引 51"/>
    <w:basedOn w:val="67"/>
    <w:next w:val="67"/>
    <w:unhideWhenUsed/>
    <w:qFormat/>
    <w:uiPriority w:val="99"/>
    <w:pPr>
      <w:ind w:left="1680"/>
    </w:pPr>
  </w:style>
  <w:style w:type="paragraph" w:customStyle="1" w:styleId="69">
    <w:name w:val="No Spacing_0"/>
    <w:basedOn w:val="70"/>
    <w:qFormat/>
    <w:uiPriority w:val="1"/>
  </w:style>
  <w:style w:type="paragraph" w:customStyle="1" w:styleId="70">
    <w:name w:val="正文_5"/>
    <w:basedOn w:val="64"/>
    <w:next w:val="71"/>
    <w:qFormat/>
    <w:uiPriority w:val="0"/>
    <w:rPr>
      <w:rFonts w:ascii="Calibri" w:hAnsi="Calibri"/>
      <w:szCs w:val="22"/>
    </w:rPr>
  </w:style>
  <w:style w:type="paragraph" w:customStyle="1" w:styleId="71">
    <w:name w:val="段_0"/>
    <w:next w:val="70"/>
    <w:autoRedefine/>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72">
    <w:name w:val="正文1_0"/>
    <w:basedOn w:val="73"/>
    <w:qFormat/>
    <w:uiPriority w:val="0"/>
    <w:pPr>
      <w:widowControl/>
      <w:spacing w:before="120" w:after="120"/>
      <w:ind w:firstLine="200" w:firstLineChars="200"/>
      <w:jc w:val="left"/>
    </w:pPr>
    <w:rPr>
      <w:rFonts w:ascii="Times New Roman" w:hAnsi="Times New Roman" w:eastAsia="Adobe 仿宋 Std R"/>
    </w:rPr>
  </w:style>
  <w:style w:type="paragraph" w:customStyle="1" w:styleId="73">
    <w:name w:val="正文_3"/>
    <w:basedOn w:val="74"/>
    <w:next w:val="75"/>
    <w:qFormat/>
    <w:uiPriority w:val="0"/>
  </w:style>
  <w:style w:type="paragraph" w:customStyle="1" w:styleId="74">
    <w:name w:val="Normal_0"/>
    <w:basedOn w:val="45"/>
    <w:next w:val="28"/>
    <w:qFormat/>
    <w:uiPriority w:val="0"/>
    <w:rPr>
      <w:rFonts w:ascii="Calibri" w:hAnsi="Calibri"/>
      <w:sz w:val="21"/>
    </w:rPr>
  </w:style>
  <w:style w:type="paragraph" w:customStyle="1" w:styleId="75">
    <w:name w:val="正文缩进_0_0"/>
    <w:basedOn w:val="76"/>
    <w:autoRedefine/>
    <w:unhideWhenUsed/>
    <w:qFormat/>
    <w:uiPriority w:val="0"/>
    <w:pPr>
      <w:ind w:firstLine="420" w:firstLineChars="200"/>
    </w:pPr>
  </w:style>
  <w:style w:type="paragraph" w:customStyle="1" w:styleId="76">
    <w:name w:val="正文_2_0_0"/>
    <w:basedOn w:val="77"/>
    <w:next w:val="81"/>
    <w:qFormat/>
    <w:uiPriority w:val="0"/>
    <w:rPr>
      <w:rFonts w:cs="Calibri"/>
      <w:szCs w:val="21"/>
    </w:rPr>
  </w:style>
  <w:style w:type="paragraph" w:customStyle="1" w:styleId="77">
    <w:name w:val="正文_3_0_0"/>
    <w:basedOn w:val="78"/>
    <w:next w:val="79"/>
    <w:qFormat/>
    <w:uiPriority w:val="0"/>
    <w:rPr>
      <w:rFonts w:ascii="Calibri" w:hAnsi="Calibri"/>
    </w:rPr>
  </w:style>
  <w:style w:type="paragraph" w:customStyle="1" w:styleId="78">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文本_1_0_0"/>
    <w:basedOn w:val="80"/>
    <w:autoRedefine/>
    <w:qFormat/>
    <w:uiPriority w:val="0"/>
    <w:pPr>
      <w:spacing w:after="120"/>
    </w:pPr>
  </w:style>
  <w:style w:type="paragraph" w:customStyle="1" w:styleId="80">
    <w:name w:val="正文_2_0_0_0_0"/>
    <w:next w:val="7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首行缩进 2_4"/>
    <w:basedOn w:val="82"/>
    <w:unhideWhenUsed/>
    <w:qFormat/>
    <w:uiPriority w:val="99"/>
    <w:pPr>
      <w:ind w:firstLine="420" w:firstLineChars="200"/>
    </w:pPr>
  </w:style>
  <w:style w:type="paragraph" w:customStyle="1" w:styleId="82">
    <w:name w:val="正文文本缩进_5"/>
    <w:basedOn w:val="83"/>
    <w:autoRedefine/>
    <w:qFormat/>
    <w:uiPriority w:val="0"/>
    <w:pPr>
      <w:spacing w:line="500" w:lineRule="exact"/>
      <w:ind w:left="1588" w:leftChars="832" w:firstLine="433" w:firstLineChars="196"/>
    </w:pPr>
    <w:rPr>
      <w:kern w:val="0"/>
      <w:sz w:val="24"/>
    </w:rPr>
  </w:style>
  <w:style w:type="paragraph" w:customStyle="1" w:styleId="83">
    <w:name w:val="正文_2_0_0_0"/>
    <w:next w:val="8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UserStyle_0"/>
    <w:basedOn w:val="1"/>
    <w:autoRedefine/>
    <w:qFormat/>
    <w:uiPriority w:val="0"/>
    <w:rPr>
      <w:rFonts w:ascii="Courier New" w:hAnsi="Courier New"/>
      <w:sz w:val="20"/>
    </w:rPr>
  </w:style>
  <w:style w:type="character" w:customStyle="1" w:styleId="85">
    <w:name w:val="标题 1 字符"/>
    <w:autoRedefine/>
    <w:qFormat/>
    <w:uiPriority w:val="0"/>
    <w:rPr>
      <w:rFonts w:ascii="Times New Roman" w:hAnsi="Times New Roman" w:eastAsia="宋体" w:cs="Times New Roman"/>
      <w:b/>
      <w:bCs/>
      <w:kern w:val="44"/>
      <w:sz w:val="44"/>
      <w:szCs w:val="44"/>
    </w:rPr>
  </w:style>
  <w:style w:type="paragraph" w:customStyle="1" w:styleId="86">
    <w:name w:val="首行缩进:  0.85 厘米"/>
    <w:basedOn w:val="1"/>
    <w:autoRedefine/>
    <w:qFormat/>
    <w:uiPriority w:val="0"/>
    <w:pPr>
      <w:widowControl/>
      <w:spacing w:after="100" w:line="360" w:lineRule="auto"/>
      <w:ind w:firstLine="482"/>
      <w:jc w:val="left"/>
    </w:pPr>
    <w:rPr>
      <w:kern w:val="0"/>
      <w:sz w:val="24"/>
      <w:lang w:eastAsia="en-US"/>
    </w:rPr>
  </w:style>
  <w:style w:type="character" w:customStyle="1" w:styleId="87">
    <w:name w:val="标题 1 Char"/>
    <w:link w:val="2"/>
    <w:autoRedefine/>
    <w:qFormat/>
    <w:uiPriority w:val="0"/>
    <w:rPr>
      <w:rFonts w:ascii="Times New Roman" w:hAnsi="Times New Roman" w:eastAsia="宋体" w:cs="Times New Roman"/>
      <w:b/>
      <w:bCs/>
      <w:kern w:val="44"/>
      <w:sz w:val="32"/>
      <w:szCs w:val="44"/>
    </w:rPr>
  </w:style>
  <w:style w:type="paragraph" w:customStyle="1" w:styleId="88">
    <w:name w:val="WPS Plain"/>
    <w:basedOn w:val="1"/>
    <w:autoRedefine/>
    <w:qFormat/>
    <w:uiPriority w:val="0"/>
    <w:pPr>
      <w:widowControl/>
      <w:jc w:val="left"/>
    </w:pPr>
    <w:rPr>
      <w:sz w:val="24"/>
    </w:rPr>
  </w:style>
  <w:style w:type="paragraph" w:customStyle="1" w:styleId="89">
    <w:name w:val="正文_1"/>
    <w:qFormat/>
    <w:uiPriority w:val="0"/>
    <w:pPr>
      <w:widowControl w:val="0"/>
      <w:jc w:val="both"/>
    </w:pPr>
    <w:rPr>
      <w:rFonts w:ascii="Calibri" w:hAnsi="Calibri" w:eastAsia="宋体" w:cs="Times New Roman"/>
      <w:kern w:val="2"/>
      <w:sz w:val="21"/>
      <w:szCs w:val="24"/>
      <w:lang w:val="en-US" w:eastAsia="zh-CN" w:bidi="ar-SA"/>
    </w:rPr>
  </w:style>
  <w:style w:type="character" w:customStyle="1" w:styleId="90">
    <w:name w:val="PageNumber"/>
    <w:qFormat/>
    <w:uiPriority w:val="0"/>
  </w:style>
  <w:style w:type="paragraph" w:styleId="91">
    <w:name w:val="List Paragraph"/>
    <w:basedOn w:val="1"/>
    <w:qFormat/>
    <w:uiPriority w:val="34"/>
    <w:pPr>
      <w:ind w:firstLine="200" w:firstLineChars="200"/>
    </w:pPr>
    <w:rPr>
      <w:rFonts w:ascii="Calibri" w:hAnsi="Calibri"/>
      <w:szCs w:val="22"/>
    </w:rPr>
  </w:style>
  <w:style w:type="character" w:customStyle="1" w:styleId="92">
    <w:name w:val="批注框文本 Char"/>
    <w:basedOn w:val="31"/>
    <w:link w:val="15"/>
    <w:autoRedefine/>
    <w:qFormat/>
    <w:uiPriority w:val="0"/>
    <w:rPr>
      <w:rFonts w:ascii="Times New Roman" w:hAnsi="Times New Roman" w:eastAsia="宋体" w:cs="Times New Roman"/>
      <w:kern w:val="2"/>
      <w:sz w:val="18"/>
      <w:szCs w:val="18"/>
    </w:rPr>
  </w:style>
  <w:style w:type="paragraph" w:customStyle="1" w:styleId="93">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5">
    <w:name w:val="题注5"/>
    <w:basedOn w:val="1"/>
    <w:next w:val="7"/>
    <w:qFormat/>
    <w:uiPriority w:val="0"/>
    <w:pPr>
      <w:numPr>
        <w:ilvl w:val="1"/>
        <w:numId w:val="2"/>
      </w:numPr>
      <w:tabs>
        <w:tab w:val="left" w:pos="0"/>
        <w:tab w:val="left" w:pos="720"/>
      </w:tabs>
      <w:spacing w:line="360" w:lineRule="auto"/>
      <w:ind w:left="720" w:hanging="720"/>
    </w:pPr>
    <w:rPr>
      <w:b/>
      <w:color w:val="000000"/>
      <w:sz w:val="28"/>
      <w:szCs w:val="28"/>
    </w:rPr>
  </w:style>
  <w:style w:type="paragraph" w:customStyle="1" w:styleId="96">
    <w:name w:val="样式1"/>
    <w:basedOn w:val="1"/>
    <w:next w:val="97"/>
    <w:qFormat/>
    <w:uiPriority w:val="0"/>
    <w:pPr>
      <w:spacing w:before="120" w:after="120"/>
    </w:pPr>
  </w:style>
  <w:style w:type="paragraph" w:customStyle="1" w:styleId="97">
    <w:name w:val="样式2"/>
    <w:basedOn w:val="1"/>
    <w:qFormat/>
    <w:uiPriority w:val="0"/>
    <w:pPr>
      <w:spacing w:before="120" w:after="120"/>
    </w:pPr>
  </w:style>
  <w:style w:type="character" w:customStyle="1" w:styleId="98">
    <w:name w:val="prev"/>
    <w:basedOn w:val="31"/>
    <w:qFormat/>
    <w:uiPriority w:val="0"/>
    <w:rPr>
      <w:color w:val="888888"/>
    </w:rPr>
  </w:style>
  <w:style w:type="character" w:customStyle="1" w:styleId="99">
    <w:name w:val="prev1"/>
    <w:basedOn w:val="31"/>
    <w:qFormat/>
    <w:uiPriority w:val="0"/>
    <w:rPr>
      <w:rFonts w:ascii="微软雅黑" w:hAnsi="微软雅黑" w:eastAsia="微软雅黑" w:cs="微软雅黑"/>
      <w:sz w:val="21"/>
      <w:szCs w:val="21"/>
    </w:rPr>
  </w:style>
  <w:style w:type="character" w:customStyle="1" w:styleId="100">
    <w:name w:val="next2"/>
    <w:basedOn w:val="31"/>
    <w:qFormat/>
    <w:uiPriority w:val="0"/>
    <w:rPr>
      <w:color w:val="888888"/>
    </w:rPr>
  </w:style>
  <w:style w:type="character" w:customStyle="1" w:styleId="101">
    <w:name w:val="next3"/>
    <w:basedOn w:val="31"/>
    <w:qFormat/>
    <w:uiPriority w:val="0"/>
    <w:rPr>
      <w:rFonts w:hint="eastAsia" w:ascii="微软雅黑" w:hAnsi="微软雅黑" w:eastAsia="微软雅黑" w:cs="微软雅黑"/>
      <w:sz w:val="21"/>
      <w:szCs w:val="21"/>
    </w:rPr>
  </w:style>
  <w:style w:type="character" w:customStyle="1" w:styleId="102">
    <w:name w:val="cfdate"/>
    <w:basedOn w:val="31"/>
    <w:qFormat/>
    <w:uiPriority w:val="0"/>
    <w:rPr>
      <w:color w:val="333333"/>
      <w:sz w:val="18"/>
      <w:szCs w:val="18"/>
    </w:rPr>
  </w:style>
  <w:style w:type="character" w:customStyle="1" w:styleId="103">
    <w:name w:val="redfilefwwh"/>
    <w:basedOn w:val="31"/>
    <w:qFormat/>
    <w:uiPriority w:val="0"/>
    <w:rPr>
      <w:color w:val="BA2636"/>
      <w:sz w:val="18"/>
      <w:szCs w:val="18"/>
    </w:rPr>
  </w:style>
  <w:style w:type="character" w:customStyle="1" w:styleId="104">
    <w:name w:val="qxdate"/>
    <w:basedOn w:val="31"/>
    <w:qFormat/>
    <w:uiPriority w:val="0"/>
    <w:rPr>
      <w:color w:val="333333"/>
      <w:sz w:val="18"/>
      <w:szCs w:val="18"/>
    </w:rPr>
  </w:style>
  <w:style w:type="character" w:customStyle="1" w:styleId="105">
    <w:name w:val="gjfg"/>
    <w:basedOn w:val="31"/>
    <w:qFormat/>
    <w:uiPriority w:val="0"/>
  </w:style>
  <w:style w:type="character" w:customStyle="1" w:styleId="106">
    <w:name w:val="displayarti"/>
    <w:basedOn w:val="31"/>
    <w:qFormat/>
    <w:uiPriority w:val="0"/>
    <w:rPr>
      <w:color w:val="FFFFFF"/>
      <w:shd w:val="clear" w:fill="A00000"/>
    </w:rPr>
  </w:style>
  <w:style w:type="character" w:customStyle="1" w:styleId="107">
    <w:name w:val="redfilenumber"/>
    <w:basedOn w:val="31"/>
    <w:qFormat/>
    <w:uiPriority w:val="0"/>
    <w:rPr>
      <w:color w:val="BA2636"/>
      <w:sz w:val="18"/>
      <w:szCs w:val="18"/>
    </w:rPr>
  </w:style>
  <w:style w:type="paragraph" w:customStyle="1" w:styleId="108">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09">
    <w:name w:val="普通(网站)1"/>
    <w:basedOn w:val="1"/>
    <w:qFormat/>
    <w:uiPriority w:val="0"/>
    <w:pPr>
      <w:jc w:val="left"/>
    </w:pPr>
    <w:rPr>
      <w:kern w:val="0"/>
      <w:sz w:val="24"/>
    </w:rPr>
  </w:style>
  <w:style w:type="paragraph" w:customStyle="1" w:styleId="110">
    <w:name w:val="Body text|1"/>
    <w:basedOn w:val="1"/>
    <w:qFormat/>
    <w:uiPriority w:val="0"/>
    <w:pPr>
      <w:spacing w:line="290" w:lineRule="auto"/>
      <w:ind w:firstLine="400"/>
    </w:pPr>
    <w:rPr>
      <w:rFonts w:ascii="宋体" w:hAnsi="宋体" w:cs="宋体"/>
      <w:sz w:val="22"/>
      <w:szCs w:val="22"/>
      <w:lang w:val="zh-CN" w:bidi="zh-CN"/>
    </w:rPr>
  </w:style>
  <w:style w:type="paragraph" w:customStyle="1" w:styleId="111">
    <w:name w:val="普通(网站)2"/>
    <w:basedOn w:val="1"/>
    <w:qFormat/>
    <w:uiPriority w:val="0"/>
    <w:pPr>
      <w:jc w:val="left"/>
    </w:pPr>
    <w:rPr>
      <w:rFonts w:ascii="Times New Roman" w:hAnsi="Times New Roman"/>
      <w:kern w:val="0"/>
      <w:sz w:val="24"/>
    </w:rPr>
  </w:style>
  <w:style w:type="character" w:customStyle="1" w:styleId="112">
    <w:name w:val="font31"/>
    <w:basedOn w:val="31"/>
    <w:qFormat/>
    <w:uiPriority w:val="0"/>
    <w:rPr>
      <w:rFonts w:hint="eastAsia" w:ascii="宋体" w:hAnsi="宋体" w:eastAsia="宋体" w:cs="宋体"/>
      <w:b/>
      <w:bCs/>
      <w:color w:val="000000"/>
      <w:sz w:val="18"/>
      <w:szCs w:val="18"/>
      <w:u w:val="none"/>
    </w:rPr>
  </w:style>
  <w:style w:type="character" w:customStyle="1" w:styleId="113">
    <w:name w:val="font21"/>
    <w:basedOn w:val="31"/>
    <w:qFormat/>
    <w:uiPriority w:val="0"/>
    <w:rPr>
      <w:rFonts w:hint="eastAsia" w:ascii="宋体" w:hAnsi="宋体" w:eastAsia="宋体" w:cs="宋体"/>
      <w:color w:val="000000"/>
      <w:sz w:val="18"/>
      <w:szCs w:val="18"/>
      <w:u w:val="none"/>
    </w:rPr>
  </w:style>
  <w:style w:type="paragraph" w:customStyle="1" w:styleId="114">
    <w:name w:val="列出段落1"/>
    <w:basedOn w:val="1"/>
    <w:qFormat/>
    <w:uiPriority w:val="0"/>
    <w:pPr>
      <w:ind w:firstLine="420" w:firstLineChars="200"/>
    </w:pPr>
    <w:rPr>
      <w:szCs w:val="21"/>
    </w:rPr>
  </w:style>
  <w:style w:type="character" w:customStyle="1" w:styleId="115">
    <w:name w:val="font51"/>
    <w:basedOn w:val="31"/>
    <w:qFormat/>
    <w:uiPriority w:val="0"/>
    <w:rPr>
      <w:rFonts w:hint="eastAsia" w:ascii="宋体" w:hAnsi="宋体" w:eastAsia="宋体" w:cs="宋体"/>
      <w:color w:val="000000"/>
      <w:sz w:val="22"/>
      <w:szCs w:val="22"/>
      <w:u w:val="none"/>
    </w:rPr>
  </w:style>
  <w:style w:type="table" w:customStyle="1" w:styleId="116">
    <w:name w:val="网格型1"/>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7">
    <w:name w:val="段落正文"/>
    <w:basedOn w:val="1"/>
    <w:qFormat/>
    <w:uiPriority w:val="0"/>
    <w:pPr>
      <w:widowControl/>
      <w:kinsoku w:val="0"/>
      <w:adjustRightInd w:val="0"/>
      <w:snapToGrid w:val="0"/>
      <w:spacing w:line="360" w:lineRule="auto"/>
      <w:ind w:firstLine="200" w:firstLineChars="200"/>
      <w:textAlignment w:val="baseline"/>
    </w:pPr>
    <w:rPr>
      <w:rFonts w:ascii="Times New Roman" w:hAnsi="Times New Roman" w:eastAsia="Arial" w:cs="Times New Roman"/>
      <w:snapToGrid w:val="0"/>
      <w:color w:val="000000"/>
      <w:sz w:val="24"/>
      <w:szCs w:val="21"/>
      <w:lang w:eastAsia="en-US"/>
    </w:rPr>
  </w:style>
  <w:style w:type="paragraph" w:customStyle="1" w:styleId="118">
    <w:name w:val="Table Text"/>
    <w:basedOn w:val="1"/>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 w:type="paragraph" w:customStyle="1" w:styleId="119">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120">
    <w:name w:val="WPSOffice手动目录 1"/>
    <w:qFormat/>
    <w:uiPriority w:val="0"/>
    <w:pPr>
      <w:ind w:leftChars="0"/>
    </w:pPr>
    <w:rPr>
      <w:rFonts w:ascii="Times New Roman" w:hAnsi="Times New Roman" w:eastAsia="宋体" w:cs="Times New Roman"/>
      <w:sz w:val="20"/>
      <w:szCs w:val="20"/>
    </w:rPr>
  </w:style>
  <w:style w:type="paragraph" w:customStyle="1" w:styleId="121">
    <w:name w:val="WPSOffice手动目录 2"/>
    <w:qFormat/>
    <w:uiPriority w:val="0"/>
    <w:pPr>
      <w:ind w:leftChars="200"/>
    </w:pPr>
    <w:rPr>
      <w:rFonts w:ascii="Times New Roman" w:hAnsi="Times New Roman" w:eastAsia="宋体" w:cs="Times New Roman"/>
      <w:sz w:val="20"/>
      <w:szCs w:val="20"/>
    </w:rPr>
  </w:style>
  <w:style w:type="paragraph" w:customStyle="1" w:styleId="122">
    <w:name w:val="WPSOffice手动目录 3"/>
    <w:qFormat/>
    <w:uiPriority w:val="0"/>
    <w:pPr>
      <w:ind w:leftChars="400"/>
    </w:pPr>
    <w:rPr>
      <w:rFonts w:ascii="Times New Roman" w:hAnsi="Times New Roman" w:eastAsia="宋体" w:cs="Times New Roman"/>
      <w:sz w:val="20"/>
      <w:szCs w:val="20"/>
    </w:rPr>
  </w:style>
  <w:style w:type="character" w:customStyle="1" w:styleId="123">
    <w:name w:val="标题 3 Char"/>
    <w:link w:val="4"/>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71</Pages>
  <Words>1627</Words>
  <Characters>1915</Characters>
  <Lines>220</Lines>
  <Paragraphs>62</Paragraphs>
  <TotalTime>17</TotalTime>
  <ScaleCrop>false</ScaleCrop>
  <LinksUpToDate>false</LinksUpToDate>
  <CharactersWithSpaces>2066</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2023-07-02T06:50:00Z</dcterms:created>
  <dc:creator>太子、</dc:creator>
  <cp:lastModifiedBy>招标代理</cp:lastModifiedBy>
  <cp:lastPrinted>2023-08-07T08:36:00Z</cp:lastPrinted>
  <dcterms:modified xsi:type="dcterms:W3CDTF">2026-05-13T10:45:37Z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CA125D864430448692DA1CD02F386F94_13</vt:lpwstr>
  </property>
  <property fmtid="{D5CDD505-2E9C-101B-9397-08002B2CF9AE}" pid="4" name="KSOTemplateDocerSaveRecord">
    <vt:lpwstr>eyJoZGlkIjoiZjRhN2FkN2IwZTBkN2E5NjgzMzI0YTEwNmQ2NDVlNzAiLCJ1c2VySWQiOiIxNDkxODAwMzI3In0=</vt:lpwstr>
  </property>
</Properties>
</file>