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3C0F855">
      <w:pPr>
        <w:wordWrap w:val="0"/>
        <w:snapToGrid w:val="0"/>
        <w:spacing w:line="360" w:lineRule="auto"/>
        <w:jc w:val="right"/>
        <w:rPr>
          <w:rFonts w:eastAsia="仿宋_GB2312"/>
          <w:color w:val="000000"/>
        </w:rPr>
      </w:pPr>
      <w:r>
        <w:rPr>
          <w:rFonts w:eastAsia="仿宋_GB2312"/>
          <w:color w:val="000000"/>
        </w:rPr>
        <w:drawing>
          <wp:anchor distT="0" distB="0" distL="114300" distR="114300" simplePos="0" relativeHeight="251660288" behindDoc="0" locked="0" layoutInCell="1" allowOverlap="1">
            <wp:simplePos x="0" y="0"/>
            <wp:positionH relativeFrom="column">
              <wp:posOffset>2529205</wp:posOffset>
            </wp:positionH>
            <wp:positionV relativeFrom="paragraph">
              <wp:posOffset>-99060</wp:posOffset>
            </wp:positionV>
            <wp:extent cx="916305" cy="578485"/>
            <wp:effectExtent l="0" t="0" r="17145" b="12065"/>
            <wp:wrapNone/>
            <wp:docPr id="13" name="图片 13" descr="中合安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中合安建"/>
                    <pic:cNvPicPr>
                      <a:picLocks noChangeAspect="1"/>
                    </pic:cNvPicPr>
                  </pic:nvPicPr>
                  <pic:blipFill>
                    <a:blip r:embed="rId20"/>
                    <a:stretch>
                      <a:fillRect/>
                    </a:stretch>
                  </pic:blipFill>
                  <pic:spPr>
                    <a:xfrm>
                      <a:off x="0" y="0"/>
                      <a:ext cx="916305" cy="578485"/>
                    </a:xfrm>
                    <a:prstGeom prst="rect">
                      <a:avLst/>
                    </a:prstGeom>
                  </pic:spPr>
                </pic:pic>
              </a:graphicData>
            </a:graphic>
          </wp:anchor>
        </w:drawing>
      </w:r>
      <w:r>
        <w:rPr>
          <w:rFonts w:eastAsia="仿宋_GB2312"/>
          <w:b/>
          <w:color w:val="000000"/>
          <w:kern w:val="16"/>
        </w:rPr>
        <w:pict>
          <v:shape id="_x0000_s2051" o:spid="_x0000_s2051" o:spt="136" alt="water" type="#_x0000_t136" style="position:absolute;left:0pt;margin-left:273.35pt;margin-top:5.9pt;height:19.25pt;width:206.55pt;mso-wrap-distance-left:9pt;mso-wrap-distance-right:9pt;z-index:-251656192;mso-width-relative:page;mso-height-relative:page;" fillcolor="#002060" filled="t" stroked="t" coordsize="21600,21600" wrapcoords="11206 0 4393 62 822 64 827 2325 820 4629 239 4631 244 6840 246 9639 244 12370 239 14375 820 14377 827 18214 822 21502 9399 21504 11242 21600 11258 21600 14928 21504 16396 21502 16435 21342 21142 21340 21180 21136 21213 20889 21240 20599 21262 20267 21279 19892 21290 19473 21296 19013 21297 18509 21297 2708 21353 2160 21234 972 19015 970 18998 356 15256 354 15208 64 11229 62 11222 0 11206 0">
            <v:path/>
            <v:fill type="gradient" on="t" colors="0f #012D86;65536f #0E2557" focussize="0f,0f" rotate="t">
              <o:fill type="gradientUnscaled" v:ext="backwardCompatible"/>
            </v:fill>
            <v:stroke weight="1.5pt" color="#99CCFF"/>
            <v:imagedata o:title=""/>
            <o:lock v:ext="edit"/>
            <v:textpath on="t" fitshape="t" fitpath="t" trim="t" xscale="f" string="中合安建工程管理有限公司" style="font-family:宋体;font-size:36pt;v-text-align:center;"/>
            <v:shadow on="t" color="#990000" offset2="-2pt,-2pt"/>
            <w10:wrap type="tight"/>
          </v:shape>
        </w:pict>
      </w:r>
      <w:r>
        <w:rPr>
          <w:rFonts w:eastAsia="仿宋_GB2312"/>
          <w:color w:val="000000"/>
        </w:rPr>
        <w:t xml:space="preserve">                </w:t>
      </w:r>
    </w:p>
    <w:p w14:paraId="4D03D994">
      <w:pPr>
        <w:wordWrap w:val="0"/>
        <w:snapToGrid w:val="0"/>
        <w:spacing w:line="360" w:lineRule="auto"/>
        <w:jc w:val="right"/>
        <w:rPr>
          <w:rFonts w:eastAsia="黑体"/>
          <w:color w:val="000000"/>
        </w:rPr>
      </w:pPr>
      <w:r>
        <w:rPr>
          <w:rFonts w:eastAsia="仿宋_GB2312"/>
          <w:color w:val="000000"/>
        </w:rPr>
        <w:t xml:space="preserve"> </w:t>
      </w:r>
    </w:p>
    <w:p w14:paraId="27BED09E">
      <w:pPr>
        <w:wordWrap w:val="0"/>
        <w:snapToGrid w:val="0"/>
        <w:spacing w:line="360" w:lineRule="auto"/>
        <w:ind w:right="480"/>
        <w:jc w:val="right"/>
        <w:rPr>
          <w:rFonts w:eastAsia="黑体"/>
          <w:color w:val="000000"/>
        </w:rPr>
      </w:pPr>
      <w:r>
        <w:rPr>
          <w:rFonts w:eastAsia="黑体"/>
          <w:color w:val="000000"/>
        </w:rPr>
        <w:t xml:space="preserve">                 </w:t>
      </w:r>
    </w:p>
    <w:p w14:paraId="5E560CAC">
      <w:pPr>
        <w:wordWrap w:val="0"/>
        <w:snapToGrid w:val="0"/>
        <w:spacing w:line="360" w:lineRule="auto"/>
        <w:jc w:val="right"/>
        <w:rPr>
          <w:rFonts w:eastAsia="黑体"/>
          <w:color w:val="000000"/>
        </w:rPr>
      </w:pPr>
      <w:r>
        <w:rPr>
          <w:rFonts w:eastAsia="黑体"/>
          <w:color w:val="000000"/>
        </w:rPr>
        <w:t xml:space="preserve"> </w:t>
      </w:r>
      <w:r>
        <w:rPr>
          <w:rFonts w:eastAsia="黑体"/>
          <w:color w:val="000000"/>
          <w:sz w:val="24"/>
          <w:szCs w:val="22"/>
        </w:rPr>
        <w:t>项目编号：</w:t>
      </w:r>
      <w:r>
        <w:rPr>
          <w:rFonts w:hint="eastAsia" w:eastAsia="黑体"/>
          <w:color w:val="000000"/>
          <w:sz w:val="24"/>
          <w:szCs w:val="22"/>
        </w:rPr>
        <w:t>2026ZHAJ-09</w:t>
      </w:r>
    </w:p>
    <w:p w14:paraId="26310312">
      <w:pPr>
        <w:snapToGrid w:val="0"/>
        <w:spacing w:line="360" w:lineRule="auto"/>
        <w:jc w:val="right"/>
        <w:rPr>
          <w:rFonts w:eastAsia="黑体"/>
          <w:color w:val="000000"/>
        </w:rPr>
      </w:pPr>
    </w:p>
    <w:p w14:paraId="414F822F">
      <w:pPr>
        <w:snapToGrid w:val="0"/>
        <w:spacing w:line="360" w:lineRule="auto"/>
        <w:jc w:val="center"/>
        <w:rPr>
          <w:rFonts w:eastAsia="黑体"/>
          <w:color w:val="000000"/>
          <w:sz w:val="52"/>
          <w:szCs w:val="52"/>
        </w:rPr>
      </w:pPr>
    </w:p>
    <w:p w14:paraId="22422B34">
      <w:pPr>
        <w:pStyle w:val="2"/>
        <w:jc w:val="center"/>
        <w:rPr>
          <w:rFonts w:hint="eastAsia" w:eastAsia="宋体"/>
          <w:lang w:eastAsia="zh-CN"/>
        </w:rPr>
      </w:pPr>
      <w:r>
        <w:rPr>
          <w:rFonts w:hint="eastAsia" w:eastAsia="黑体"/>
          <w:b/>
          <w:sz w:val="56"/>
          <w:szCs w:val="56"/>
          <w:lang w:eastAsia="zh-CN"/>
        </w:rPr>
        <w:t>新疆农业大学2吨镁精炼电熔炉机械加工、装配及现场调试服务项目</w:t>
      </w:r>
    </w:p>
    <w:p w14:paraId="5F803378">
      <w:pPr>
        <w:pStyle w:val="4"/>
        <w:numPr>
          <w:ilvl w:val="0"/>
          <w:numId w:val="0"/>
        </w:numPr>
      </w:pPr>
    </w:p>
    <w:p w14:paraId="54436AAB">
      <w:pPr>
        <w:snapToGrid w:val="0"/>
        <w:jc w:val="center"/>
        <w:rPr>
          <w:rFonts w:eastAsia="黑体"/>
          <w:color w:val="000000"/>
          <w:sz w:val="78"/>
        </w:rPr>
      </w:pPr>
    </w:p>
    <w:p w14:paraId="3960076D">
      <w:pPr>
        <w:pStyle w:val="19"/>
        <w:rPr>
          <w:rFonts w:ascii="Times New Roman" w:hAnsi="Times New Roman" w:eastAsia="黑体" w:cs="Times New Roman"/>
          <w:color w:val="000000"/>
          <w:sz w:val="78"/>
        </w:rPr>
      </w:pPr>
    </w:p>
    <w:p w14:paraId="608CB7C6">
      <w:pPr>
        <w:pStyle w:val="19"/>
        <w:rPr>
          <w:rFonts w:ascii="Times New Roman" w:hAnsi="Times New Roman" w:eastAsia="黑体" w:cs="Times New Roman"/>
          <w:color w:val="000000"/>
          <w:sz w:val="78"/>
        </w:rPr>
      </w:pPr>
    </w:p>
    <w:p w14:paraId="3409AA41">
      <w:pPr>
        <w:pStyle w:val="19"/>
        <w:rPr>
          <w:rFonts w:ascii="Times New Roman" w:hAnsi="Times New Roman" w:cs="Times New Roman"/>
        </w:rPr>
      </w:pPr>
    </w:p>
    <w:p w14:paraId="71D5484A">
      <w:pPr>
        <w:pStyle w:val="19"/>
        <w:rPr>
          <w:rFonts w:ascii="Times New Roman" w:hAnsi="Times New Roman" w:cs="Times New Roman"/>
        </w:rPr>
      </w:pPr>
    </w:p>
    <w:p w14:paraId="1E43466E">
      <w:pPr>
        <w:snapToGrid w:val="0"/>
        <w:jc w:val="center"/>
        <w:rPr>
          <w:rFonts w:eastAsia="黑体"/>
          <w:color w:val="000000"/>
          <w:sz w:val="78"/>
        </w:rPr>
      </w:pPr>
      <w:r>
        <w:rPr>
          <w:rFonts w:eastAsia="黑体"/>
          <w:color w:val="000000"/>
          <w:sz w:val="78"/>
        </w:rPr>
        <w:t>竞争性磋商文件</w:t>
      </w:r>
    </w:p>
    <w:p w14:paraId="15F1B411">
      <w:pPr>
        <w:snapToGrid w:val="0"/>
        <w:spacing w:line="360" w:lineRule="auto"/>
        <w:rPr>
          <w:rFonts w:eastAsia="黑体"/>
          <w:color w:val="000000"/>
          <w:sz w:val="32"/>
        </w:rPr>
      </w:pPr>
    </w:p>
    <w:p w14:paraId="7495BC4D"/>
    <w:p w14:paraId="2F65C4CB">
      <w:pPr>
        <w:pStyle w:val="19"/>
        <w:rPr>
          <w:rFonts w:ascii="Times New Roman" w:hAnsi="Times New Roman" w:cs="Times New Roman"/>
        </w:rPr>
      </w:pPr>
    </w:p>
    <w:p w14:paraId="6E3B6C18">
      <w:pPr>
        <w:pStyle w:val="2"/>
      </w:pPr>
    </w:p>
    <w:p w14:paraId="78AED871"/>
    <w:p w14:paraId="66B24D7A">
      <w:pPr>
        <w:pStyle w:val="19"/>
        <w:rPr>
          <w:rFonts w:ascii="Times New Roman" w:hAnsi="Times New Roman" w:cs="Times New Roman"/>
        </w:rPr>
      </w:pPr>
    </w:p>
    <w:p w14:paraId="615326D9">
      <w:pPr>
        <w:pStyle w:val="2"/>
        <w:ind w:left="1480" w:hanging="640"/>
        <w:rPr>
          <w:rFonts w:eastAsia="黑体"/>
          <w:sz w:val="32"/>
        </w:rPr>
      </w:pPr>
    </w:p>
    <w:p w14:paraId="4E063164">
      <w:pPr>
        <w:snapToGrid w:val="0"/>
        <w:spacing w:line="360" w:lineRule="auto"/>
        <w:ind w:left="2240" w:hanging="2240" w:hangingChars="700"/>
        <w:rPr>
          <w:rFonts w:eastAsia="黑体"/>
          <w:color w:val="000000"/>
          <w:sz w:val="32"/>
          <w:szCs w:val="32"/>
        </w:rPr>
      </w:pPr>
    </w:p>
    <w:p w14:paraId="5EA1AC02">
      <w:pPr>
        <w:snapToGrid w:val="0"/>
        <w:spacing w:line="360" w:lineRule="auto"/>
        <w:ind w:left="2240" w:hanging="2240" w:hangingChars="700"/>
        <w:rPr>
          <w:rFonts w:eastAsia="黑体"/>
          <w:color w:val="000000"/>
          <w:sz w:val="32"/>
          <w:szCs w:val="32"/>
        </w:rPr>
      </w:pPr>
      <w:r>
        <w:rPr>
          <w:rFonts w:eastAsia="黑体"/>
          <w:color w:val="000000"/>
          <w:sz w:val="32"/>
          <w:szCs w:val="32"/>
        </w:rPr>
        <w:t>采   购   人：新疆农业大学</w:t>
      </w:r>
    </w:p>
    <w:p w14:paraId="7B50AB07">
      <w:pPr>
        <w:snapToGrid w:val="0"/>
        <w:spacing w:line="360" w:lineRule="auto"/>
        <w:rPr>
          <w:rFonts w:eastAsia="黑体"/>
          <w:color w:val="000000"/>
          <w:sz w:val="32"/>
          <w:szCs w:val="32"/>
        </w:rPr>
      </w:pPr>
      <w:r>
        <w:rPr>
          <w:rFonts w:eastAsia="黑体"/>
          <w:color w:val="000000"/>
          <w:sz w:val="32"/>
          <w:szCs w:val="32"/>
        </w:rPr>
        <w:t>采购代理机构：中合安建工程管理有限公司</w:t>
      </w:r>
    </w:p>
    <w:p w14:paraId="60BE37BB">
      <w:pPr>
        <w:snapToGrid w:val="0"/>
        <w:spacing w:line="360" w:lineRule="auto"/>
        <w:jc w:val="left"/>
        <w:rPr>
          <w:rFonts w:eastAsia="仿宋"/>
          <w:color w:val="000000"/>
        </w:rPr>
      </w:pPr>
      <w:r>
        <w:rPr>
          <w:rFonts w:eastAsia="黑体"/>
          <w:color w:val="000000"/>
          <w:sz w:val="32"/>
          <w:szCs w:val="32"/>
        </w:rPr>
        <w:t>文件编制日期：2026年</w:t>
      </w:r>
      <w:r>
        <w:rPr>
          <w:rFonts w:hint="eastAsia" w:eastAsia="黑体"/>
          <w:color w:val="000000"/>
          <w:sz w:val="32"/>
          <w:szCs w:val="32"/>
          <w:lang w:val="en-US" w:eastAsia="zh-CN"/>
        </w:rPr>
        <w:t>5</w:t>
      </w:r>
      <w:r>
        <w:rPr>
          <w:rFonts w:eastAsia="黑体"/>
          <w:color w:val="000000"/>
          <w:sz w:val="32"/>
          <w:szCs w:val="32"/>
        </w:rPr>
        <w:t>月</w:t>
      </w:r>
    </w:p>
    <w:p w14:paraId="7C6CFB70">
      <w:pPr>
        <w:tabs>
          <w:tab w:val="left" w:pos="1134"/>
          <w:tab w:val="left" w:pos="5481"/>
          <w:tab w:val="left" w:pos="5859"/>
        </w:tabs>
        <w:spacing w:line="360" w:lineRule="auto"/>
        <w:rPr>
          <w:b/>
          <w:sz w:val="72"/>
          <w:szCs w:val="72"/>
        </w:rPr>
        <w:sectPr>
          <w:headerReference r:id="rId3" w:type="first"/>
          <w:footerReference r:id="rId5" w:type="first"/>
          <w:footerReference r:id="rId4" w:type="default"/>
          <w:pgSz w:w="11911" w:h="16838"/>
          <w:pgMar w:top="1440" w:right="1140" w:bottom="1440" w:left="1140" w:header="850" w:footer="1088" w:gutter="0"/>
          <w:pgNumType w:start="1"/>
          <w:cols w:space="0" w:num="1"/>
          <w:docGrid w:linePitch="312" w:charSpace="0"/>
        </w:sectPr>
      </w:pPr>
    </w:p>
    <w:p w14:paraId="7BF6F736">
      <w:pPr>
        <w:jc w:val="center"/>
        <w:rPr>
          <w:rStyle w:val="49"/>
          <w:rFonts w:eastAsia="仿宋"/>
          <w:b/>
          <w:color w:val="000000"/>
          <w:sz w:val="56"/>
          <w:szCs w:val="56"/>
        </w:rPr>
      </w:pPr>
    </w:p>
    <w:p w14:paraId="4C76D8D0">
      <w:pPr>
        <w:pStyle w:val="2"/>
        <w:rPr>
          <w:rStyle w:val="49"/>
          <w:rFonts w:eastAsia="仿宋"/>
          <w:b/>
          <w:color w:val="000000"/>
          <w:sz w:val="56"/>
          <w:szCs w:val="56"/>
        </w:rPr>
      </w:pPr>
    </w:p>
    <w:p w14:paraId="066889B2">
      <w:pPr>
        <w:jc w:val="center"/>
        <w:rPr>
          <w:rStyle w:val="49"/>
          <w:rFonts w:eastAsia="仿宋"/>
          <w:b/>
          <w:color w:val="000000"/>
          <w:sz w:val="52"/>
          <w:szCs w:val="52"/>
        </w:rPr>
      </w:pPr>
      <w:r>
        <w:rPr>
          <w:rStyle w:val="49"/>
          <w:rFonts w:eastAsia="仿宋"/>
          <w:b/>
          <w:color w:val="000000"/>
          <w:sz w:val="52"/>
          <w:szCs w:val="52"/>
        </w:rPr>
        <w:t>竞争性磋商文件</w:t>
      </w:r>
    </w:p>
    <w:p w14:paraId="737714E1">
      <w:pPr>
        <w:pStyle w:val="7"/>
        <w:rPr>
          <w:rStyle w:val="49"/>
          <w:rFonts w:ascii="Times New Roman" w:hAnsi="Times New Roman" w:eastAsia="仿宋"/>
          <w:b/>
          <w:color w:val="000000"/>
          <w:sz w:val="56"/>
          <w:szCs w:val="56"/>
        </w:rPr>
      </w:pPr>
    </w:p>
    <w:p w14:paraId="3A68E3D0"/>
    <w:p w14:paraId="64F887F0">
      <w:pPr>
        <w:pStyle w:val="12"/>
        <w:ind w:firstLine="210"/>
      </w:pPr>
    </w:p>
    <w:p w14:paraId="2D83F92D"/>
    <w:p w14:paraId="3AFAF7E8">
      <w:pPr>
        <w:tabs>
          <w:tab w:val="left" w:pos="2100"/>
        </w:tabs>
        <w:snapToGrid w:val="0"/>
        <w:spacing w:line="480" w:lineRule="auto"/>
        <w:ind w:left="1826" w:leftChars="-70" w:hanging="1973" w:hangingChars="702"/>
        <w:rPr>
          <w:rFonts w:hint="eastAsia" w:eastAsia="仿宋"/>
          <w:b/>
          <w:color w:val="000000"/>
          <w:sz w:val="28"/>
          <w:szCs w:val="28"/>
          <w:lang w:eastAsia="zh-CN"/>
        </w:rPr>
      </w:pPr>
      <w:r>
        <w:rPr>
          <w:rFonts w:eastAsia="仿宋"/>
          <w:b/>
          <w:color w:val="000000"/>
          <w:sz w:val="28"/>
          <w:szCs w:val="28"/>
        </w:rPr>
        <w:t>项目名称：</w:t>
      </w:r>
      <w:r>
        <w:rPr>
          <w:rFonts w:hint="eastAsia" w:eastAsia="仿宋"/>
          <w:b/>
          <w:sz w:val="28"/>
          <w:szCs w:val="28"/>
          <w:lang w:eastAsia="zh-CN"/>
        </w:rPr>
        <w:t>新疆农业大学2吨镁精炼电熔炉机械加工、装配及现场调试服务项目</w:t>
      </w:r>
    </w:p>
    <w:p w14:paraId="490560D6">
      <w:pPr>
        <w:tabs>
          <w:tab w:val="left" w:pos="2100"/>
        </w:tabs>
        <w:snapToGrid w:val="0"/>
        <w:spacing w:line="480" w:lineRule="auto"/>
        <w:ind w:left="1826" w:leftChars="-70" w:hanging="1973" w:hangingChars="702"/>
        <w:rPr>
          <w:rFonts w:eastAsia="仿宋"/>
          <w:b/>
          <w:color w:val="000000"/>
          <w:spacing w:val="-20"/>
          <w:sz w:val="28"/>
          <w:szCs w:val="28"/>
        </w:rPr>
      </w:pPr>
      <w:r>
        <w:rPr>
          <w:rFonts w:eastAsia="仿宋"/>
          <w:b/>
          <w:color w:val="000000"/>
          <w:sz w:val="28"/>
          <w:szCs w:val="28"/>
        </w:rPr>
        <w:t>采购人（盖章）：</w:t>
      </w:r>
      <w:r>
        <w:rPr>
          <w:rFonts w:eastAsia="仿宋"/>
          <w:b/>
          <w:color w:val="000000"/>
          <w:spacing w:val="-20"/>
          <w:sz w:val="28"/>
          <w:szCs w:val="28"/>
        </w:rPr>
        <w:t>新疆农业大学</w:t>
      </w:r>
    </w:p>
    <w:p w14:paraId="6E60DE9C">
      <w:pPr>
        <w:tabs>
          <w:tab w:val="left" w:pos="2100"/>
        </w:tabs>
        <w:snapToGrid w:val="0"/>
        <w:spacing w:line="480" w:lineRule="auto"/>
        <w:ind w:left="1826" w:leftChars="-70" w:hanging="1973" w:hangingChars="702"/>
        <w:rPr>
          <w:rFonts w:eastAsia="仿宋"/>
          <w:b/>
          <w:color w:val="000000"/>
          <w:sz w:val="28"/>
          <w:szCs w:val="28"/>
        </w:rPr>
      </w:pPr>
      <w:r>
        <w:rPr>
          <w:rFonts w:eastAsia="仿宋"/>
          <w:b/>
          <w:color w:val="000000"/>
          <w:sz w:val="28"/>
          <w:szCs w:val="28"/>
        </w:rPr>
        <w:t>联系人： 岳勇老师</w:t>
      </w:r>
    </w:p>
    <w:p w14:paraId="154903F4">
      <w:pPr>
        <w:tabs>
          <w:tab w:val="left" w:pos="2100"/>
        </w:tabs>
        <w:snapToGrid w:val="0"/>
        <w:spacing w:line="480" w:lineRule="auto"/>
        <w:ind w:left="1826" w:leftChars="-70" w:hanging="1973" w:hangingChars="702"/>
        <w:rPr>
          <w:rFonts w:eastAsia="仿宋"/>
          <w:b/>
          <w:color w:val="000000"/>
          <w:sz w:val="28"/>
          <w:szCs w:val="28"/>
        </w:rPr>
      </w:pPr>
      <w:r>
        <w:rPr>
          <w:rFonts w:eastAsia="仿宋"/>
          <w:b/>
          <w:color w:val="000000"/>
          <w:sz w:val="28"/>
          <w:szCs w:val="28"/>
        </w:rPr>
        <w:t>联系方式：13999902318</w:t>
      </w:r>
    </w:p>
    <w:p w14:paraId="2D297618">
      <w:pPr>
        <w:tabs>
          <w:tab w:val="left" w:pos="2100"/>
        </w:tabs>
        <w:snapToGrid w:val="0"/>
        <w:spacing w:line="480" w:lineRule="auto"/>
        <w:ind w:left="1826" w:leftChars="-70" w:hanging="1973" w:hangingChars="702"/>
        <w:rPr>
          <w:rFonts w:eastAsia="仿宋"/>
          <w:b/>
          <w:color w:val="000000"/>
          <w:sz w:val="28"/>
          <w:szCs w:val="28"/>
        </w:rPr>
      </w:pPr>
      <w:r>
        <w:rPr>
          <w:rFonts w:eastAsia="仿宋"/>
          <w:b/>
          <w:color w:val="000000"/>
          <w:sz w:val="28"/>
          <w:szCs w:val="28"/>
        </w:rPr>
        <w:t>联系地址：乌鲁木齐市沙依巴克区八一街道农大东路311号</w:t>
      </w:r>
    </w:p>
    <w:p w14:paraId="2AA43104">
      <w:pPr>
        <w:pStyle w:val="12"/>
        <w:snapToGrid w:val="0"/>
        <w:ind w:firstLine="280"/>
        <w:rPr>
          <w:sz w:val="28"/>
          <w:szCs w:val="28"/>
        </w:rPr>
      </w:pPr>
    </w:p>
    <w:p w14:paraId="77F92610">
      <w:pPr>
        <w:pStyle w:val="12"/>
        <w:spacing w:line="480" w:lineRule="auto"/>
        <w:ind w:firstLine="280"/>
        <w:rPr>
          <w:sz w:val="28"/>
          <w:szCs w:val="28"/>
        </w:rPr>
      </w:pPr>
    </w:p>
    <w:p w14:paraId="2C363C2F">
      <w:pPr>
        <w:tabs>
          <w:tab w:val="left" w:pos="2100"/>
        </w:tabs>
        <w:snapToGrid w:val="0"/>
        <w:spacing w:line="480" w:lineRule="auto"/>
        <w:ind w:left="1826" w:leftChars="-70" w:hanging="1973" w:hangingChars="702"/>
        <w:rPr>
          <w:rFonts w:eastAsia="仿宋"/>
          <w:b/>
          <w:color w:val="000000"/>
          <w:sz w:val="28"/>
          <w:szCs w:val="28"/>
        </w:rPr>
      </w:pPr>
      <w:r>
        <w:rPr>
          <w:rFonts w:eastAsia="仿宋"/>
          <w:b/>
          <w:color w:val="000000"/>
          <w:sz w:val="28"/>
          <w:szCs w:val="28"/>
        </w:rPr>
        <w:t>采购代理机构（盖章）：中合安建工程管理有限公司</w:t>
      </w:r>
    </w:p>
    <w:p w14:paraId="37AFA107">
      <w:pPr>
        <w:tabs>
          <w:tab w:val="left" w:pos="2100"/>
        </w:tabs>
        <w:snapToGrid w:val="0"/>
        <w:spacing w:line="480" w:lineRule="auto"/>
        <w:ind w:left="1826" w:leftChars="-70" w:hanging="1973" w:hangingChars="702"/>
        <w:rPr>
          <w:rFonts w:eastAsia="仿宋"/>
          <w:b/>
          <w:color w:val="000000"/>
          <w:sz w:val="28"/>
          <w:szCs w:val="28"/>
        </w:rPr>
      </w:pPr>
      <w:r>
        <w:rPr>
          <w:rFonts w:eastAsia="仿宋"/>
          <w:b/>
          <w:color w:val="000000"/>
          <w:sz w:val="28"/>
          <w:szCs w:val="28"/>
        </w:rPr>
        <w:t>法定代表人（盖章）：王蕾</w:t>
      </w:r>
    </w:p>
    <w:p w14:paraId="67C16E18">
      <w:pPr>
        <w:tabs>
          <w:tab w:val="left" w:pos="2100"/>
        </w:tabs>
        <w:snapToGrid w:val="0"/>
        <w:spacing w:line="480" w:lineRule="auto"/>
        <w:ind w:left="1826" w:leftChars="-70" w:hanging="1973" w:hangingChars="702"/>
        <w:rPr>
          <w:rFonts w:eastAsia="仿宋"/>
          <w:b/>
          <w:color w:val="000000"/>
          <w:sz w:val="28"/>
          <w:szCs w:val="28"/>
        </w:rPr>
      </w:pPr>
      <w:r>
        <w:rPr>
          <w:rFonts w:eastAsia="仿宋"/>
          <w:b/>
          <w:color w:val="000000"/>
          <w:sz w:val="28"/>
          <w:szCs w:val="28"/>
        </w:rPr>
        <w:t>项目负责人：彭小倬、王荣荣</w:t>
      </w:r>
    </w:p>
    <w:p w14:paraId="02A985C9">
      <w:pPr>
        <w:tabs>
          <w:tab w:val="left" w:pos="2100"/>
        </w:tabs>
        <w:snapToGrid w:val="0"/>
        <w:spacing w:line="480" w:lineRule="auto"/>
        <w:ind w:left="1826" w:leftChars="-70" w:hanging="1973" w:hangingChars="702"/>
        <w:rPr>
          <w:rFonts w:eastAsia="仿宋"/>
          <w:b/>
          <w:color w:val="000000"/>
          <w:sz w:val="28"/>
          <w:szCs w:val="28"/>
        </w:rPr>
      </w:pPr>
      <w:r>
        <w:rPr>
          <w:rFonts w:eastAsia="仿宋"/>
          <w:b/>
          <w:color w:val="000000"/>
          <w:sz w:val="28"/>
          <w:szCs w:val="28"/>
        </w:rPr>
        <w:t>联系电话：</w:t>
      </w:r>
      <w:bookmarkStart w:id="0" w:name="OLE_LINK2"/>
      <w:r>
        <w:rPr>
          <w:rFonts w:eastAsia="仿宋"/>
          <w:b/>
          <w:color w:val="000000"/>
          <w:sz w:val="28"/>
          <w:szCs w:val="28"/>
        </w:rPr>
        <w:t>13579881296</w:t>
      </w:r>
      <w:bookmarkEnd w:id="0"/>
    </w:p>
    <w:p w14:paraId="3C7E152F">
      <w:pPr>
        <w:tabs>
          <w:tab w:val="left" w:pos="2100"/>
        </w:tabs>
        <w:snapToGrid w:val="0"/>
        <w:spacing w:line="480" w:lineRule="auto"/>
        <w:ind w:left="1303" w:leftChars="-69" w:hanging="1448" w:hangingChars="515"/>
        <w:rPr>
          <w:rFonts w:eastAsia="仿宋"/>
          <w:b/>
          <w:color w:val="000000"/>
          <w:sz w:val="28"/>
          <w:szCs w:val="28"/>
        </w:rPr>
      </w:pPr>
      <w:r>
        <w:rPr>
          <w:rFonts w:eastAsia="仿宋"/>
          <w:b/>
          <w:color w:val="000000"/>
          <w:sz w:val="28"/>
          <w:szCs w:val="28"/>
        </w:rPr>
        <w:t>联系地址：新疆乌鲁木齐市高新区（新市区）新医路165号汇文大厦1栋6层A</w:t>
      </w:r>
    </w:p>
    <w:p w14:paraId="4BFF8983">
      <w:pPr>
        <w:pStyle w:val="12"/>
        <w:ind w:firstLine="280"/>
        <w:rPr>
          <w:sz w:val="28"/>
          <w:szCs w:val="28"/>
        </w:rPr>
        <w:sectPr>
          <w:headerReference r:id="rId6" w:type="default"/>
          <w:footerReference r:id="rId7" w:type="default"/>
          <w:pgSz w:w="11911" w:h="16838"/>
          <w:pgMar w:top="1440" w:right="1140" w:bottom="1440" w:left="1140" w:header="850" w:footer="1088" w:gutter="0"/>
          <w:pgNumType w:start="1"/>
          <w:cols w:space="0" w:num="1"/>
        </w:sectPr>
      </w:pPr>
    </w:p>
    <w:sdt>
      <w:sdtPr>
        <w:rPr>
          <w:rFonts w:eastAsia="仿宋"/>
          <w:b/>
          <w:bCs/>
          <w:sz w:val="32"/>
          <w:szCs w:val="32"/>
        </w:rPr>
        <w:id w:val="147461557"/>
        <w15:color w:val="DBDBDB"/>
        <w:docPartObj>
          <w:docPartGallery w:val="Table of Contents"/>
          <w:docPartUnique/>
        </w:docPartObj>
      </w:sdtPr>
      <w:sdtEndPr>
        <w:rPr>
          <w:rFonts w:eastAsia="仿宋"/>
          <w:b/>
          <w:bCs/>
          <w:sz w:val="21"/>
          <w:szCs w:val="28"/>
        </w:rPr>
      </w:sdtEndPr>
      <w:sdtContent>
        <w:p w14:paraId="254B447A">
          <w:pPr>
            <w:spacing w:line="360" w:lineRule="auto"/>
            <w:jc w:val="center"/>
            <w:rPr>
              <w:rFonts w:eastAsia="仿宋"/>
              <w:b/>
              <w:bCs/>
              <w:sz w:val="32"/>
              <w:szCs w:val="32"/>
            </w:rPr>
          </w:pPr>
          <w:r>
            <w:rPr>
              <w:rFonts w:eastAsia="仿宋"/>
              <w:b/>
              <w:bCs/>
              <w:sz w:val="32"/>
              <w:szCs w:val="32"/>
            </w:rPr>
            <w:t>目录</w:t>
          </w:r>
        </w:p>
        <w:p w14:paraId="538EC6A6">
          <w:pPr>
            <w:pStyle w:val="17"/>
            <w:tabs>
              <w:tab w:val="right" w:leader="dot" w:pos="9746"/>
            </w:tabs>
            <w:spacing w:line="360" w:lineRule="auto"/>
            <w:rPr>
              <w:rFonts w:eastAsia="仿宋"/>
              <w:sz w:val="28"/>
              <w:szCs w:val="28"/>
            </w:rPr>
          </w:pPr>
          <w:r>
            <w:rPr>
              <w:rStyle w:val="31"/>
              <w:rFonts w:ascii="Times New Roman" w:eastAsia="仿宋"/>
              <w:b/>
            </w:rPr>
            <w:fldChar w:fldCharType="begin"/>
          </w:r>
          <w:r>
            <w:rPr>
              <w:rStyle w:val="31"/>
              <w:rFonts w:ascii="Times New Roman" w:eastAsia="仿宋"/>
              <w:b/>
              <w:bCs/>
              <w:szCs w:val="28"/>
            </w:rPr>
            <w:instrText xml:space="preserve">TOC \o "1-1" \h \u </w:instrText>
          </w:r>
          <w:r>
            <w:rPr>
              <w:rStyle w:val="31"/>
              <w:rFonts w:ascii="Times New Roman" w:eastAsia="仿宋"/>
              <w:b/>
            </w:rPr>
            <w:fldChar w:fldCharType="separate"/>
          </w:r>
          <w:r>
            <w:fldChar w:fldCharType="begin"/>
          </w:r>
          <w:r>
            <w:instrText xml:space="preserve"> HYPERLINK \l "_Toc22507" </w:instrText>
          </w:r>
          <w:r>
            <w:fldChar w:fldCharType="separate"/>
          </w:r>
          <w:r>
            <w:rPr>
              <w:rFonts w:eastAsia="仿宋"/>
              <w:bCs/>
              <w:sz w:val="28"/>
              <w:szCs w:val="28"/>
            </w:rPr>
            <w:t>第一部分 磋商公告</w:t>
          </w:r>
          <w:r>
            <w:rPr>
              <w:rFonts w:eastAsia="仿宋"/>
              <w:sz w:val="28"/>
              <w:szCs w:val="28"/>
            </w:rPr>
            <w:tab/>
          </w:r>
          <w:r>
            <w:rPr>
              <w:rFonts w:eastAsia="仿宋"/>
              <w:sz w:val="28"/>
              <w:szCs w:val="28"/>
            </w:rPr>
            <w:fldChar w:fldCharType="begin"/>
          </w:r>
          <w:r>
            <w:rPr>
              <w:rFonts w:eastAsia="仿宋"/>
              <w:sz w:val="28"/>
              <w:szCs w:val="28"/>
            </w:rPr>
            <w:instrText xml:space="preserve"> PAGEREF _Toc22507 \h </w:instrText>
          </w:r>
          <w:r>
            <w:rPr>
              <w:rFonts w:eastAsia="仿宋"/>
              <w:sz w:val="28"/>
              <w:szCs w:val="28"/>
            </w:rPr>
            <w:fldChar w:fldCharType="separate"/>
          </w:r>
          <w:r>
            <w:rPr>
              <w:rFonts w:eastAsia="仿宋"/>
              <w:sz w:val="28"/>
              <w:szCs w:val="28"/>
            </w:rPr>
            <w:t>1</w:t>
          </w:r>
          <w:r>
            <w:rPr>
              <w:rFonts w:eastAsia="仿宋"/>
              <w:sz w:val="28"/>
              <w:szCs w:val="28"/>
            </w:rPr>
            <w:fldChar w:fldCharType="end"/>
          </w:r>
          <w:r>
            <w:rPr>
              <w:rFonts w:eastAsia="仿宋"/>
              <w:sz w:val="28"/>
              <w:szCs w:val="28"/>
            </w:rPr>
            <w:fldChar w:fldCharType="end"/>
          </w:r>
        </w:p>
        <w:p w14:paraId="2767AF57">
          <w:pPr>
            <w:pStyle w:val="17"/>
            <w:tabs>
              <w:tab w:val="right" w:leader="dot" w:pos="9746"/>
            </w:tabs>
            <w:spacing w:line="360" w:lineRule="auto"/>
            <w:rPr>
              <w:rFonts w:eastAsia="仿宋"/>
              <w:sz w:val="28"/>
              <w:szCs w:val="28"/>
            </w:rPr>
          </w:pPr>
          <w:r>
            <w:fldChar w:fldCharType="begin"/>
          </w:r>
          <w:r>
            <w:instrText xml:space="preserve"> HYPERLINK \l "_Toc13105" </w:instrText>
          </w:r>
          <w:r>
            <w:fldChar w:fldCharType="separate"/>
          </w:r>
          <w:r>
            <w:rPr>
              <w:rFonts w:eastAsia="仿宋"/>
              <w:bCs/>
              <w:sz w:val="28"/>
              <w:szCs w:val="28"/>
            </w:rPr>
            <w:t>第二部分 供应商须知</w:t>
          </w:r>
          <w:r>
            <w:rPr>
              <w:rFonts w:eastAsia="仿宋"/>
              <w:sz w:val="28"/>
              <w:szCs w:val="28"/>
            </w:rPr>
            <w:tab/>
          </w:r>
          <w:r>
            <w:rPr>
              <w:rFonts w:eastAsia="仿宋"/>
              <w:sz w:val="28"/>
              <w:szCs w:val="28"/>
            </w:rPr>
            <w:fldChar w:fldCharType="begin"/>
          </w:r>
          <w:r>
            <w:rPr>
              <w:rFonts w:eastAsia="仿宋"/>
              <w:sz w:val="28"/>
              <w:szCs w:val="28"/>
            </w:rPr>
            <w:instrText xml:space="preserve"> PAGEREF _Toc13105 \h </w:instrText>
          </w:r>
          <w:r>
            <w:rPr>
              <w:rFonts w:eastAsia="仿宋"/>
              <w:sz w:val="28"/>
              <w:szCs w:val="28"/>
            </w:rPr>
            <w:fldChar w:fldCharType="separate"/>
          </w:r>
          <w:r>
            <w:rPr>
              <w:rFonts w:eastAsia="仿宋"/>
              <w:sz w:val="28"/>
              <w:szCs w:val="28"/>
            </w:rPr>
            <w:t>5</w:t>
          </w:r>
          <w:r>
            <w:rPr>
              <w:rFonts w:eastAsia="仿宋"/>
              <w:sz w:val="28"/>
              <w:szCs w:val="28"/>
            </w:rPr>
            <w:fldChar w:fldCharType="end"/>
          </w:r>
          <w:r>
            <w:rPr>
              <w:rFonts w:eastAsia="仿宋"/>
              <w:sz w:val="28"/>
              <w:szCs w:val="28"/>
            </w:rPr>
            <w:fldChar w:fldCharType="end"/>
          </w:r>
        </w:p>
        <w:p w14:paraId="4FBE58B3">
          <w:pPr>
            <w:pStyle w:val="17"/>
            <w:tabs>
              <w:tab w:val="right" w:leader="dot" w:pos="9746"/>
            </w:tabs>
            <w:spacing w:line="360" w:lineRule="auto"/>
            <w:rPr>
              <w:rFonts w:eastAsia="仿宋"/>
              <w:sz w:val="28"/>
              <w:szCs w:val="28"/>
            </w:rPr>
          </w:pPr>
          <w:r>
            <w:fldChar w:fldCharType="begin"/>
          </w:r>
          <w:r>
            <w:instrText xml:space="preserve"> HYPERLINK \l "_Toc8573" </w:instrText>
          </w:r>
          <w:r>
            <w:fldChar w:fldCharType="separate"/>
          </w:r>
          <w:r>
            <w:rPr>
              <w:rFonts w:eastAsia="仿宋"/>
              <w:sz w:val="28"/>
              <w:szCs w:val="28"/>
            </w:rPr>
            <w:t>第三部分 采购需求</w:t>
          </w:r>
          <w:r>
            <w:rPr>
              <w:rFonts w:eastAsia="仿宋"/>
              <w:sz w:val="28"/>
              <w:szCs w:val="28"/>
            </w:rPr>
            <w:tab/>
          </w:r>
          <w:r>
            <w:rPr>
              <w:rFonts w:eastAsia="仿宋"/>
              <w:sz w:val="28"/>
              <w:szCs w:val="28"/>
            </w:rPr>
            <w:fldChar w:fldCharType="begin"/>
          </w:r>
          <w:r>
            <w:rPr>
              <w:rFonts w:eastAsia="仿宋"/>
              <w:sz w:val="28"/>
              <w:szCs w:val="28"/>
            </w:rPr>
            <w:instrText xml:space="preserve"> PAGEREF _Toc8573 \h </w:instrText>
          </w:r>
          <w:r>
            <w:rPr>
              <w:rFonts w:eastAsia="仿宋"/>
              <w:sz w:val="28"/>
              <w:szCs w:val="28"/>
            </w:rPr>
            <w:fldChar w:fldCharType="separate"/>
          </w:r>
          <w:r>
            <w:rPr>
              <w:rFonts w:eastAsia="仿宋"/>
              <w:sz w:val="28"/>
              <w:szCs w:val="28"/>
            </w:rPr>
            <w:t>28</w:t>
          </w:r>
          <w:r>
            <w:rPr>
              <w:rFonts w:eastAsia="仿宋"/>
              <w:sz w:val="28"/>
              <w:szCs w:val="28"/>
            </w:rPr>
            <w:fldChar w:fldCharType="end"/>
          </w:r>
          <w:r>
            <w:rPr>
              <w:rFonts w:eastAsia="仿宋"/>
              <w:sz w:val="28"/>
              <w:szCs w:val="28"/>
            </w:rPr>
            <w:fldChar w:fldCharType="end"/>
          </w:r>
        </w:p>
        <w:p w14:paraId="545D986D">
          <w:pPr>
            <w:pStyle w:val="17"/>
            <w:tabs>
              <w:tab w:val="right" w:leader="dot" w:pos="9746"/>
            </w:tabs>
            <w:spacing w:line="360" w:lineRule="auto"/>
            <w:rPr>
              <w:rFonts w:eastAsia="仿宋"/>
              <w:sz w:val="28"/>
              <w:szCs w:val="28"/>
            </w:rPr>
          </w:pPr>
          <w:r>
            <w:fldChar w:fldCharType="begin"/>
          </w:r>
          <w:r>
            <w:instrText xml:space="preserve"> HYPERLINK \l "_Toc24690" </w:instrText>
          </w:r>
          <w:r>
            <w:fldChar w:fldCharType="separate"/>
          </w:r>
          <w:r>
            <w:rPr>
              <w:rFonts w:eastAsia="仿宋"/>
              <w:sz w:val="28"/>
              <w:szCs w:val="28"/>
            </w:rPr>
            <w:t>第四部分 合同</w:t>
          </w:r>
          <w:r>
            <w:rPr>
              <w:rFonts w:eastAsia="仿宋"/>
              <w:sz w:val="28"/>
              <w:szCs w:val="28"/>
            </w:rPr>
            <w:tab/>
          </w:r>
          <w:r>
            <w:rPr>
              <w:rFonts w:eastAsia="仿宋"/>
              <w:sz w:val="28"/>
              <w:szCs w:val="28"/>
            </w:rPr>
            <w:fldChar w:fldCharType="begin"/>
          </w:r>
          <w:r>
            <w:rPr>
              <w:rFonts w:eastAsia="仿宋"/>
              <w:sz w:val="28"/>
              <w:szCs w:val="28"/>
            </w:rPr>
            <w:instrText xml:space="preserve"> PAGEREF _Toc24690 \h </w:instrText>
          </w:r>
          <w:r>
            <w:rPr>
              <w:rFonts w:eastAsia="仿宋"/>
              <w:sz w:val="28"/>
              <w:szCs w:val="28"/>
            </w:rPr>
            <w:fldChar w:fldCharType="separate"/>
          </w:r>
          <w:r>
            <w:rPr>
              <w:rFonts w:eastAsia="仿宋"/>
              <w:sz w:val="28"/>
              <w:szCs w:val="28"/>
            </w:rPr>
            <w:t>34</w:t>
          </w:r>
          <w:r>
            <w:rPr>
              <w:rFonts w:eastAsia="仿宋"/>
              <w:sz w:val="28"/>
              <w:szCs w:val="28"/>
            </w:rPr>
            <w:fldChar w:fldCharType="end"/>
          </w:r>
          <w:r>
            <w:rPr>
              <w:rFonts w:eastAsia="仿宋"/>
              <w:sz w:val="28"/>
              <w:szCs w:val="28"/>
            </w:rPr>
            <w:fldChar w:fldCharType="end"/>
          </w:r>
        </w:p>
        <w:p w14:paraId="25AD7FCA">
          <w:pPr>
            <w:pStyle w:val="17"/>
            <w:tabs>
              <w:tab w:val="right" w:leader="dot" w:pos="9746"/>
            </w:tabs>
            <w:spacing w:line="360" w:lineRule="auto"/>
            <w:rPr>
              <w:rFonts w:eastAsia="仿宋"/>
              <w:sz w:val="28"/>
              <w:szCs w:val="28"/>
            </w:rPr>
          </w:pPr>
          <w:r>
            <w:fldChar w:fldCharType="begin"/>
          </w:r>
          <w:r>
            <w:instrText xml:space="preserve"> HYPERLINK \l "_Toc21493" </w:instrText>
          </w:r>
          <w:r>
            <w:fldChar w:fldCharType="separate"/>
          </w:r>
          <w:r>
            <w:rPr>
              <w:rFonts w:eastAsia="仿宋"/>
              <w:sz w:val="28"/>
              <w:szCs w:val="28"/>
            </w:rPr>
            <w:t>第五部分 响应文件格式及附件</w:t>
          </w:r>
          <w:r>
            <w:rPr>
              <w:rFonts w:eastAsia="仿宋"/>
              <w:sz w:val="28"/>
              <w:szCs w:val="28"/>
            </w:rPr>
            <w:tab/>
          </w:r>
          <w:r>
            <w:rPr>
              <w:rFonts w:eastAsia="仿宋"/>
              <w:sz w:val="28"/>
              <w:szCs w:val="28"/>
            </w:rPr>
            <w:fldChar w:fldCharType="begin"/>
          </w:r>
          <w:r>
            <w:rPr>
              <w:rFonts w:eastAsia="仿宋"/>
              <w:sz w:val="28"/>
              <w:szCs w:val="28"/>
            </w:rPr>
            <w:instrText xml:space="preserve"> PAGEREF _Toc21493 \h </w:instrText>
          </w:r>
          <w:r>
            <w:rPr>
              <w:rFonts w:eastAsia="仿宋"/>
              <w:sz w:val="28"/>
              <w:szCs w:val="28"/>
            </w:rPr>
            <w:fldChar w:fldCharType="separate"/>
          </w:r>
          <w:r>
            <w:rPr>
              <w:rFonts w:eastAsia="仿宋"/>
              <w:sz w:val="28"/>
              <w:szCs w:val="28"/>
            </w:rPr>
            <w:t>51</w:t>
          </w:r>
          <w:r>
            <w:rPr>
              <w:rFonts w:eastAsia="仿宋"/>
              <w:sz w:val="28"/>
              <w:szCs w:val="28"/>
            </w:rPr>
            <w:fldChar w:fldCharType="end"/>
          </w:r>
          <w:r>
            <w:rPr>
              <w:rFonts w:eastAsia="仿宋"/>
              <w:sz w:val="28"/>
              <w:szCs w:val="28"/>
            </w:rPr>
            <w:fldChar w:fldCharType="end"/>
          </w:r>
        </w:p>
        <w:p w14:paraId="0C0C3B55">
          <w:pPr>
            <w:spacing w:line="360" w:lineRule="auto"/>
            <w:jc w:val="center"/>
            <w:rPr>
              <w:rFonts w:eastAsia="仿宋"/>
              <w:bCs/>
              <w:szCs w:val="28"/>
            </w:rPr>
          </w:pPr>
          <w:r>
            <w:rPr>
              <w:rFonts w:eastAsia="仿宋"/>
              <w:bCs/>
              <w:sz w:val="28"/>
              <w:szCs w:val="28"/>
            </w:rPr>
            <w:fldChar w:fldCharType="end"/>
          </w:r>
        </w:p>
      </w:sdtContent>
    </w:sdt>
    <w:p w14:paraId="4C4CE247">
      <w:pPr>
        <w:pStyle w:val="2"/>
      </w:pPr>
    </w:p>
    <w:p w14:paraId="3C9192B0">
      <w:pPr>
        <w:spacing w:line="360" w:lineRule="auto"/>
        <w:jc w:val="center"/>
        <w:rPr>
          <w:rStyle w:val="31"/>
          <w:rFonts w:ascii="Times New Roman" w:eastAsia="仿宋"/>
          <w:b/>
          <w:bCs/>
          <w:szCs w:val="28"/>
        </w:rPr>
      </w:pPr>
    </w:p>
    <w:p w14:paraId="37B53C0F">
      <w:pPr>
        <w:spacing w:line="360" w:lineRule="auto"/>
        <w:jc w:val="center"/>
        <w:rPr>
          <w:rStyle w:val="31"/>
          <w:rFonts w:ascii="Times New Roman" w:eastAsia="仿宋"/>
          <w:b/>
          <w:bCs/>
          <w:szCs w:val="28"/>
        </w:rPr>
      </w:pPr>
    </w:p>
    <w:p w14:paraId="3ECDE849">
      <w:pPr>
        <w:spacing w:line="360" w:lineRule="auto"/>
        <w:jc w:val="center"/>
        <w:rPr>
          <w:rStyle w:val="31"/>
          <w:rFonts w:ascii="Times New Roman" w:eastAsia="仿宋"/>
          <w:b/>
          <w:bCs/>
          <w:szCs w:val="28"/>
        </w:rPr>
      </w:pPr>
    </w:p>
    <w:p w14:paraId="7C551461">
      <w:pPr>
        <w:spacing w:line="360" w:lineRule="auto"/>
        <w:jc w:val="center"/>
        <w:rPr>
          <w:rStyle w:val="31"/>
          <w:rFonts w:ascii="Times New Roman" w:eastAsia="仿宋"/>
          <w:b/>
          <w:bCs/>
          <w:szCs w:val="28"/>
        </w:rPr>
      </w:pPr>
    </w:p>
    <w:p w14:paraId="66FBC19A">
      <w:pPr>
        <w:spacing w:line="360" w:lineRule="auto"/>
        <w:jc w:val="center"/>
        <w:rPr>
          <w:rStyle w:val="31"/>
          <w:rFonts w:ascii="Times New Roman" w:eastAsia="仿宋"/>
          <w:b/>
          <w:bCs/>
          <w:szCs w:val="28"/>
        </w:rPr>
      </w:pPr>
    </w:p>
    <w:p w14:paraId="633F0E3B">
      <w:pPr>
        <w:spacing w:line="360" w:lineRule="auto"/>
        <w:jc w:val="center"/>
        <w:rPr>
          <w:rStyle w:val="31"/>
          <w:rFonts w:ascii="Times New Roman" w:eastAsia="仿宋"/>
          <w:b/>
          <w:bCs/>
          <w:szCs w:val="28"/>
        </w:rPr>
      </w:pPr>
    </w:p>
    <w:p w14:paraId="0511CCBF">
      <w:pPr>
        <w:spacing w:line="360" w:lineRule="auto"/>
        <w:rPr>
          <w:rStyle w:val="31"/>
          <w:rFonts w:ascii="Times New Roman" w:eastAsia="仿宋"/>
          <w:b/>
          <w:bCs/>
          <w:szCs w:val="28"/>
        </w:rPr>
      </w:pPr>
    </w:p>
    <w:p w14:paraId="16E870AA">
      <w:pPr>
        <w:spacing w:line="360" w:lineRule="auto"/>
        <w:jc w:val="center"/>
        <w:rPr>
          <w:rStyle w:val="31"/>
          <w:rFonts w:ascii="Times New Roman" w:eastAsia="仿宋"/>
          <w:b/>
          <w:bCs/>
          <w:szCs w:val="28"/>
        </w:rPr>
      </w:pPr>
    </w:p>
    <w:p w14:paraId="6E36E2DA">
      <w:pPr>
        <w:spacing w:line="360" w:lineRule="auto"/>
        <w:rPr>
          <w:rStyle w:val="31"/>
          <w:rFonts w:ascii="Times New Roman" w:eastAsia="仿宋"/>
          <w:b/>
          <w:bCs/>
          <w:szCs w:val="28"/>
        </w:rPr>
      </w:pPr>
    </w:p>
    <w:p w14:paraId="4AA9AEC5">
      <w:pPr>
        <w:spacing w:line="360" w:lineRule="auto"/>
        <w:jc w:val="center"/>
        <w:rPr>
          <w:rStyle w:val="31"/>
          <w:rFonts w:ascii="Times New Roman" w:eastAsia="仿宋"/>
          <w:b/>
          <w:bCs/>
          <w:szCs w:val="28"/>
        </w:rPr>
      </w:pPr>
    </w:p>
    <w:p w14:paraId="6AA292DB">
      <w:pPr>
        <w:spacing w:line="360" w:lineRule="auto"/>
        <w:jc w:val="center"/>
        <w:rPr>
          <w:rStyle w:val="31"/>
          <w:rFonts w:ascii="Times New Roman" w:eastAsia="仿宋"/>
          <w:b/>
          <w:bCs/>
          <w:szCs w:val="28"/>
        </w:rPr>
      </w:pPr>
    </w:p>
    <w:p w14:paraId="79E8CCD9">
      <w:pPr>
        <w:spacing w:line="360" w:lineRule="auto"/>
        <w:jc w:val="center"/>
        <w:rPr>
          <w:rStyle w:val="31"/>
          <w:rFonts w:ascii="Times New Roman" w:eastAsia="仿宋"/>
          <w:b/>
          <w:bCs/>
          <w:szCs w:val="28"/>
        </w:rPr>
      </w:pPr>
    </w:p>
    <w:p w14:paraId="7307933F">
      <w:pPr>
        <w:spacing w:line="360" w:lineRule="auto"/>
        <w:ind w:firstLine="562" w:firstLineChars="200"/>
        <w:jc w:val="center"/>
        <w:rPr>
          <w:rStyle w:val="31"/>
          <w:rFonts w:ascii="Times New Roman" w:eastAsia="仿宋"/>
          <w:b/>
          <w:bCs/>
          <w:szCs w:val="28"/>
        </w:rPr>
        <w:sectPr>
          <w:pgSz w:w="11911" w:h="16838"/>
          <w:pgMar w:top="1440" w:right="1140" w:bottom="1440" w:left="1140" w:header="850" w:footer="1088" w:gutter="0"/>
          <w:pgNumType w:start="1"/>
          <w:cols w:space="0" w:num="1"/>
          <w:docGrid w:linePitch="312" w:charSpace="0"/>
        </w:sectPr>
      </w:pPr>
    </w:p>
    <w:p w14:paraId="04A8BFD1">
      <w:pPr>
        <w:spacing w:line="360" w:lineRule="auto"/>
        <w:ind w:firstLine="643" w:firstLineChars="200"/>
        <w:jc w:val="center"/>
        <w:outlineLvl w:val="0"/>
      </w:pPr>
      <w:bookmarkStart w:id="1" w:name="_Toc22507"/>
      <w:r>
        <w:rPr>
          <w:rStyle w:val="31"/>
          <w:rFonts w:ascii="Times New Roman" w:eastAsia="仿宋"/>
          <w:b/>
          <w:bCs/>
          <w:sz w:val="32"/>
          <w:szCs w:val="32"/>
        </w:rPr>
        <w:t>第一部分 磋商公告</w:t>
      </w:r>
      <w:bookmarkEnd w:id="1"/>
    </w:p>
    <w:p w14:paraId="58D36601">
      <w:pPr>
        <w:spacing w:line="360" w:lineRule="auto"/>
        <w:ind w:firstLine="562" w:firstLineChars="200"/>
        <w:jc w:val="center"/>
        <w:rPr>
          <w:rStyle w:val="31"/>
          <w:rFonts w:ascii="Times New Roman" w:eastAsia="仿宋"/>
          <w:b/>
          <w:bCs/>
          <w:szCs w:val="28"/>
        </w:rPr>
      </w:pPr>
      <w:bookmarkStart w:id="2" w:name="_Toc20502"/>
      <w:r>
        <w:rPr>
          <w:rStyle w:val="31"/>
          <w:rFonts w:hint="eastAsia" w:eastAsia="仿宋"/>
          <w:b/>
          <w:bCs/>
          <w:szCs w:val="28"/>
          <w:lang w:eastAsia="zh-CN"/>
        </w:rPr>
        <w:t>新疆农业大学2吨镁精炼电熔炉机械加工、装配及现场调试服务项目</w:t>
      </w:r>
      <w:r>
        <w:rPr>
          <w:rStyle w:val="31"/>
          <w:rFonts w:ascii="Times New Roman" w:eastAsia="仿宋"/>
          <w:b/>
          <w:bCs/>
          <w:szCs w:val="28"/>
        </w:rPr>
        <w:t>竞争性磋商公告</w:t>
      </w:r>
    </w:p>
    <w:bookmarkEnd w:id="2"/>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23"/>
      </w:tblGrid>
      <w:tr w14:paraId="3339B7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2" w:hRule="atLeast"/>
          <w:jc w:val="center"/>
        </w:trPr>
        <w:tc>
          <w:tcPr>
            <w:tcW w:w="9623" w:type="dxa"/>
          </w:tcPr>
          <w:p w14:paraId="40FD0D3A">
            <w:pPr>
              <w:spacing w:line="500" w:lineRule="exact"/>
              <w:ind w:firstLine="480" w:firstLineChars="200"/>
              <w:jc w:val="left"/>
              <w:rPr>
                <w:rFonts w:ascii="Calibri" w:hAnsi="Calibri" w:eastAsia="仿宋" w:cs="Calibri"/>
                <w:sz w:val="24"/>
                <w:szCs w:val="24"/>
              </w:rPr>
            </w:pPr>
            <w:r>
              <w:rPr>
                <w:rFonts w:ascii="Calibri" w:hAnsi="Calibri" w:eastAsia="仿宋" w:cs="Calibri"/>
                <w:sz w:val="24"/>
                <w:szCs w:val="24"/>
              </w:rPr>
              <w:t>项目概况</w:t>
            </w:r>
          </w:p>
          <w:p w14:paraId="46F1543E">
            <w:pPr>
              <w:spacing w:line="500" w:lineRule="exact"/>
              <w:ind w:firstLine="480" w:firstLineChars="200"/>
              <w:jc w:val="left"/>
              <w:rPr>
                <w:rFonts w:ascii="Calibri" w:hAnsi="Calibri" w:eastAsia="仿宋" w:cs="Calibri"/>
                <w:sz w:val="28"/>
                <w:szCs w:val="28"/>
              </w:rPr>
            </w:pPr>
            <w:r>
              <w:rPr>
                <w:rFonts w:hint="eastAsia" w:ascii="Calibri" w:hAnsi="Calibri" w:eastAsia="仿宋" w:cs="Calibri"/>
                <w:sz w:val="24"/>
                <w:szCs w:val="24"/>
                <w:lang w:eastAsia="zh-CN"/>
              </w:rPr>
              <w:t>新疆农业大学2吨镁精炼电熔炉机械加工、装配及现场调试服务项目</w:t>
            </w:r>
            <w:r>
              <w:rPr>
                <w:rFonts w:hint="eastAsia" w:ascii="仿宋" w:hAnsi="仿宋" w:eastAsia="仿宋" w:cs="仿宋"/>
                <w:sz w:val="24"/>
                <w:szCs w:val="24"/>
              </w:rPr>
              <w:t>的潜在供应商应在政采云平台线上获取采购文件，并于</w:t>
            </w:r>
            <w:r>
              <w:rPr>
                <w:rFonts w:hint="eastAsia" w:ascii="仿宋" w:hAnsi="仿宋" w:eastAsia="仿宋" w:cs="仿宋"/>
                <w:sz w:val="24"/>
                <w:szCs w:val="24"/>
                <w:highlight w:val="none"/>
              </w:rPr>
              <w:t>2026年5月</w:t>
            </w:r>
            <w:r>
              <w:rPr>
                <w:rFonts w:hint="eastAsia" w:ascii="仿宋" w:hAnsi="仿宋" w:eastAsia="仿宋" w:cs="仿宋"/>
                <w:sz w:val="24"/>
                <w:szCs w:val="24"/>
                <w:highlight w:val="none"/>
                <w:lang w:val="en-US" w:eastAsia="zh-CN"/>
              </w:rPr>
              <w:t>26</w:t>
            </w:r>
            <w:r>
              <w:rPr>
                <w:rFonts w:hint="eastAsia" w:ascii="仿宋" w:hAnsi="仿宋" w:eastAsia="仿宋" w:cs="仿宋"/>
                <w:sz w:val="24"/>
                <w:szCs w:val="24"/>
                <w:highlight w:val="none"/>
              </w:rPr>
              <w:t>日 11:00</w:t>
            </w:r>
            <w:r>
              <w:rPr>
                <w:rFonts w:hint="eastAsia" w:ascii="仿宋" w:hAnsi="仿宋" w:eastAsia="仿宋" w:cs="仿宋"/>
                <w:sz w:val="24"/>
                <w:szCs w:val="24"/>
              </w:rPr>
              <w:t>（北京时间）前</w:t>
            </w:r>
            <w:r>
              <w:rPr>
                <w:rFonts w:ascii="Calibri" w:hAnsi="Calibri" w:eastAsia="仿宋" w:cs="Calibri"/>
                <w:sz w:val="24"/>
                <w:szCs w:val="24"/>
              </w:rPr>
              <w:t>提交响应文件。</w:t>
            </w:r>
            <w:r>
              <w:rPr>
                <w:rFonts w:ascii="Calibri" w:hAnsi="Calibri" w:eastAsia="仿宋" w:cs="Calibri"/>
                <w:sz w:val="28"/>
                <w:szCs w:val="28"/>
              </w:rPr>
              <w:t xml:space="preserve">        </w:t>
            </w:r>
          </w:p>
        </w:tc>
      </w:tr>
    </w:tbl>
    <w:p w14:paraId="48330FFB">
      <w:pPr>
        <w:pStyle w:val="20"/>
        <w:adjustRightInd w:val="0"/>
        <w:snapToGrid w:val="0"/>
        <w:spacing w:line="360" w:lineRule="auto"/>
        <w:rPr>
          <w:rStyle w:val="24"/>
          <w:rFonts w:ascii="Times New Roman" w:hAnsi="Times New Roman" w:eastAsia="仿宋" w:cs="Times New Roman"/>
          <w:sz w:val="28"/>
          <w:szCs w:val="28"/>
        </w:rPr>
      </w:pPr>
    </w:p>
    <w:p w14:paraId="69F8E35A">
      <w:pPr>
        <w:pStyle w:val="20"/>
        <w:adjustRightInd w:val="0"/>
        <w:snapToGrid w:val="0"/>
        <w:spacing w:line="360" w:lineRule="auto"/>
        <w:rPr>
          <w:rFonts w:ascii="Times New Roman" w:hAnsi="Times New Roman" w:eastAsia="仿宋" w:cs="Times New Roman"/>
        </w:rPr>
      </w:pPr>
      <w:r>
        <w:rPr>
          <w:rStyle w:val="24"/>
          <w:rFonts w:ascii="Times New Roman" w:hAnsi="Times New Roman" w:eastAsia="仿宋" w:cs="Times New Roman"/>
        </w:rPr>
        <w:t>一、项目基本情况</w:t>
      </w:r>
    </w:p>
    <w:p w14:paraId="0C36E55D">
      <w:pPr>
        <w:pStyle w:val="20"/>
        <w:adjustRightInd w:val="0"/>
        <w:snapToGrid w:val="0"/>
        <w:spacing w:line="360" w:lineRule="auto"/>
        <w:ind w:firstLine="480" w:firstLineChars="200"/>
        <w:rPr>
          <w:rFonts w:ascii="Times New Roman" w:hAnsi="Times New Roman" w:eastAsia="仿宋" w:cs="Times New Roman"/>
        </w:rPr>
      </w:pPr>
      <w:r>
        <w:rPr>
          <w:rFonts w:ascii="Times New Roman" w:hAnsi="Times New Roman" w:eastAsia="仿宋" w:cs="Times New Roman"/>
        </w:rPr>
        <w:t>项目编号：</w:t>
      </w:r>
      <w:r>
        <w:rPr>
          <w:rFonts w:hint="eastAsia" w:ascii="Times New Roman" w:hAnsi="Times New Roman" w:eastAsia="仿宋" w:cs="Times New Roman"/>
        </w:rPr>
        <w:t>2026ZHAJ-09</w:t>
      </w:r>
    </w:p>
    <w:p w14:paraId="3109E951">
      <w:pPr>
        <w:pStyle w:val="20"/>
        <w:adjustRightInd w:val="0"/>
        <w:snapToGrid w:val="0"/>
        <w:spacing w:line="360" w:lineRule="auto"/>
        <w:ind w:firstLine="480" w:firstLineChars="200"/>
        <w:rPr>
          <w:rFonts w:hint="eastAsia" w:ascii="仿宋" w:hAnsi="仿宋" w:eastAsia="仿宋" w:cs="仿宋"/>
          <w:lang w:eastAsia="zh-CN"/>
        </w:rPr>
      </w:pPr>
      <w:r>
        <w:rPr>
          <w:rFonts w:ascii="Times New Roman" w:hAnsi="Times New Roman" w:eastAsia="仿宋" w:cs="Times New Roman"/>
        </w:rPr>
        <w:t>项</w:t>
      </w:r>
      <w:r>
        <w:rPr>
          <w:rFonts w:hint="eastAsia" w:ascii="仿宋" w:hAnsi="仿宋" w:eastAsia="仿宋" w:cs="仿宋"/>
        </w:rPr>
        <w:t>目名称：</w:t>
      </w:r>
      <w:r>
        <w:rPr>
          <w:rFonts w:hint="eastAsia" w:ascii="仿宋" w:hAnsi="仿宋" w:eastAsia="仿宋" w:cs="仿宋"/>
          <w:lang w:eastAsia="zh-CN"/>
        </w:rPr>
        <w:t>新疆农业大学2吨镁精炼电熔炉机械加工、装配及现场调试服务项目</w:t>
      </w:r>
    </w:p>
    <w:p w14:paraId="64489BAB">
      <w:pPr>
        <w:pStyle w:val="20"/>
        <w:adjustRightInd w:val="0"/>
        <w:snapToGrid w:val="0"/>
        <w:spacing w:line="360" w:lineRule="auto"/>
        <w:ind w:firstLine="480" w:firstLineChars="200"/>
        <w:rPr>
          <w:rFonts w:hint="eastAsia" w:ascii="仿宋" w:hAnsi="仿宋" w:eastAsia="仿宋" w:cs="仿宋"/>
        </w:rPr>
      </w:pPr>
      <w:r>
        <w:rPr>
          <w:rFonts w:hint="eastAsia" w:ascii="仿宋" w:hAnsi="仿宋" w:eastAsia="仿宋" w:cs="仿宋"/>
        </w:rPr>
        <w:t>采购方式：竞争性磋商</w:t>
      </w:r>
    </w:p>
    <w:p w14:paraId="5088E7C1">
      <w:pPr>
        <w:pStyle w:val="20"/>
        <w:adjustRightInd w:val="0"/>
        <w:snapToGrid w:val="0"/>
        <w:spacing w:line="360" w:lineRule="auto"/>
        <w:ind w:firstLine="480" w:firstLineChars="200"/>
        <w:rPr>
          <w:rFonts w:hint="eastAsia" w:ascii="仿宋" w:hAnsi="仿宋" w:eastAsia="仿宋" w:cs="仿宋"/>
        </w:rPr>
      </w:pPr>
      <w:r>
        <w:rPr>
          <w:rFonts w:hint="eastAsia" w:ascii="仿宋" w:hAnsi="仿宋" w:eastAsia="仿宋" w:cs="仿宋"/>
        </w:rPr>
        <w:t>预算金额：</w:t>
      </w:r>
      <w:r>
        <w:rPr>
          <w:rFonts w:hint="eastAsia" w:ascii="仿宋" w:hAnsi="仿宋" w:eastAsia="仿宋" w:cs="仿宋"/>
          <w:lang w:eastAsia="zh-CN"/>
        </w:rPr>
        <w:t>25.00</w:t>
      </w:r>
      <w:r>
        <w:rPr>
          <w:rFonts w:hint="eastAsia" w:ascii="仿宋" w:hAnsi="仿宋" w:eastAsia="仿宋" w:cs="仿宋"/>
        </w:rPr>
        <w:t>（万元）</w:t>
      </w:r>
    </w:p>
    <w:p w14:paraId="2F2FC1E3">
      <w:pPr>
        <w:pStyle w:val="20"/>
        <w:adjustRightInd w:val="0"/>
        <w:snapToGrid w:val="0"/>
        <w:spacing w:line="360" w:lineRule="auto"/>
        <w:ind w:firstLine="480" w:firstLineChars="200"/>
        <w:rPr>
          <w:rFonts w:hint="eastAsia" w:ascii="仿宋" w:hAnsi="仿宋" w:eastAsia="仿宋" w:cs="仿宋"/>
        </w:rPr>
      </w:pPr>
      <w:r>
        <w:rPr>
          <w:rFonts w:hint="eastAsia" w:ascii="仿宋" w:hAnsi="仿宋" w:eastAsia="仿宋" w:cs="仿宋"/>
        </w:rPr>
        <w:t>最高限价：</w:t>
      </w:r>
      <w:r>
        <w:rPr>
          <w:rFonts w:hint="eastAsia" w:ascii="仿宋" w:hAnsi="仿宋" w:eastAsia="仿宋" w:cs="仿宋"/>
          <w:lang w:eastAsia="zh-CN"/>
        </w:rPr>
        <w:t>25.00</w:t>
      </w:r>
      <w:r>
        <w:rPr>
          <w:rFonts w:hint="eastAsia" w:ascii="仿宋" w:hAnsi="仿宋" w:eastAsia="仿宋" w:cs="仿宋"/>
        </w:rPr>
        <w:t>（万元）</w:t>
      </w:r>
    </w:p>
    <w:p w14:paraId="562DF515">
      <w:pPr>
        <w:widowControl/>
        <w:adjustRightInd w:val="0"/>
        <w:snapToGrid w:val="0"/>
        <w:spacing w:line="360" w:lineRule="auto"/>
        <w:ind w:firstLine="480" w:firstLineChars="200"/>
        <w:jc w:val="left"/>
        <w:rPr>
          <w:rFonts w:hint="eastAsia" w:ascii="仿宋" w:hAnsi="仿宋" w:eastAsia="仿宋" w:cs="仿宋"/>
          <w:sz w:val="24"/>
          <w:szCs w:val="24"/>
        </w:rPr>
      </w:pPr>
      <w:r>
        <w:rPr>
          <w:rFonts w:hint="eastAsia" w:ascii="仿宋" w:hAnsi="仿宋" w:eastAsia="仿宋" w:cs="仿宋"/>
          <w:sz w:val="24"/>
          <w:szCs w:val="24"/>
        </w:rPr>
        <w:t>采购需求</w:t>
      </w:r>
      <w:r>
        <w:rPr>
          <w:rFonts w:hint="eastAsia" w:ascii="仿宋" w:hAnsi="仿宋" w:eastAsia="仿宋" w:cs="仿宋"/>
          <w:kern w:val="0"/>
          <w:sz w:val="24"/>
          <w:szCs w:val="24"/>
        </w:rPr>
        <w:t>：2吨镁精炼电炉是对通过3.5吨燃气熔炉溶化后的镁业进行精炼提纯的重要装备。目前，已完成前期设计和仓储部试验。现在需要按照设计要求加工、装配满足示范生产的装备。</w:t>
      </w:r>
      <w:r>
        <w:rPr>
          <w:rFonts w:hint="eastAsia" w:ascii="仿宋" w:hAnsi="仿宋" w:eastAsia="仿宋" w:cs="仿宋"/>
          <w:sz w:val="24"/>
          <w:szCs w:val="24"/>
        </w:rPr>
        <w:t>（其余详见第五部分采购需求）</w:t>
      </w:r>
    </w:p>
    <w:p w14:paraId="3C201BBE">
      <w:pPr>
        <w:pStyle w:val="20"/>
        <w:adjustRightInd w:val="0"/>
        <w:snapToGrid w:val="0"/>
        <w:spacing w:line="360" w:lineRule="auto"/>
        <w:ind w:firstLine="480" w:firstLineChars="200"/>
        <w:jc w:val="both"/>
        <w:rPr>
          <w:rFonts w:hint="eastAsia" w:ascii="仿宋" w:hAnsi="仿宋" w:eastAsia="仿宋" w:cs="仿宋"/>
        </w:rPr>
      </w:pPr>
      <w:r>
        <w:rPr>
          <w:rFonts w:hint="eastAsia" w:ascii="仿宋" w:hAnsi="仿宋" w:eastAsia="仿宋" w:cs="仿宋"/>
          <w:kern w:val="2"/>
        </w:rPr>
        <w:t>合同履约期限：中标方应在合同签订后，甲方材料到场7个日历日内完成机械零部件的加工工作；在零部件及其他成套设备到场的14个日历日内完成装配工作；现场调试服务期限到2026年12月31日结束或自治区验收通过之日，以两者最晚时间为准。</w:t>
      </w:r>
    </w:p>
    <w:p w14:paraId="36D51E31">
      <w:pPr>
        <w:pStyle w:val="20"/>
        <w:adjustRightInd w:val="0"/>
        <w:snapToGrid w:val="0"/>
        <w:spacing w:line="360" w:lineRule="auto"/>
        <w:ind w:firstLine="480" w:firstLineChars="200"/>
        <w:rPr>
          <w:rFonts w:hint="eastAsia" w:ascii="仿宋" w:hAnsi="仿宋" w:eastAsia="仿宋" w:cs="仿宋"/>
        </w:rPr>
      </w:pPr>
      <w:r>
        <w:rPr>
          <w:rFonts w:hint="eastAsia" w:ascii="仿宋" w:hAnsi="仿宋" w:eastAsia="仿宋" w:cs="仿宋"/>
        </w:rPr>
        <w:t>本项目（否）接受联合体投标。</w:t>
      </w:r>
    </w:p>
    <w:p w14:paraId="28F4134C">
      <w:pPr>
        <w:pStyle w:val="20"/>
        <w:adjustRightInd w:val="0"/>
        <w:snapToGrid w:val="0"/>
        <w:spacing w:line="360" w:lineRule="auto"/>
        <w:rPr>
          <w:rFonts w:ascii="Times New Roman" w:hAnsi="Times New Roman" w:eastAsia="仿宋" w:cs="Times New Roman"/>
        </w:rPr>
      </w:pPr>
      <w:r>
        <w:rPr>
          <w:rStyle w:val="24"/>
          <w:rFonts w:ascii="Times New Roman" w:hAnsi="Times New Roman" w:eastAsia="仿宋" w:cs="Times New Roman"/>
        </w:rPr>
        <w:t>二、申请人的资格要求：</w:t>
      </w:r>
    </w:p>
    <w:p w14:paraId="369507C0">
      <w:pPr>
        <w:pStyle w:val="20"/>
        <w:adjustRightInd w:val="0"/>
        <w:snapToGrid w:val="0"/>
        <w:spacing w:line="360" w:lineRule="auto"/>
        <w:ind w:firstLine="480" w:firstLineChars="200"/>
        <w:rPr>
          <w:rFonts w:ascii="Times New Roman" w:hAnsi="Times New Roman" w:eastAsia="仿宋" w:cs="Times New Roman"/>
        </w:rPr>
      </w:pPr>
      <w:r>
        <w:rPr>
          <w:rFonts w:ascii="Times New Roman" w:hAnsi="Times New Roman" w:eastAsia="仿宋" w:cs="Times New Roman"/>
        </w:rPr>
        <w:t>1.满足《中华人民共和国政府采购法》第二十二条规定；</w:t>
      </w:r>
    </w:p>
    <w:p w14:paraId="0E5732FC">
      <w:pPr>
        <w:pStyle w:val="20"/>
        <w:adjustRightInd w:val="0"/>
        <w:snapToGrid w:val="0"/>
        <w:spacing w:line="360" w:lineRule="auto"/>
        <w:ind w:firstLine="480" w:firstLineChars="200"/>
        <w:rPr>
          <w:rFonts w:ascii="Times New Roman" w:hAnsi="Times New Roman" w:eastAsia="仿宋" w:cs="Times New Roman"/>
        </w:rPr>
      </w:pPr>
      <w:r>
        <w:rPr>
          <w:rFonts w:ascii="Times New Roman" w:hAnsi="Times New Roman" w:eastAsia="仿宋" w:cs="Times New Roman"/>
        </w:rPr>
        <w:t>2.落实政府采购政策需满足的资格要求：本项目为专门面向中小企业采购项目；</w:t>
      </w:r>
    </w:p>
    <w:p w14:paraId="424BA60B">
      <w:pPr>
        <w:pStyle w:val="20"/>
        <w:adjustRightInd w:val="0"/>
        <w:snapToGrid w:val="0"/>
        <w:spacing w:line="360" w:lineRule="auto"/>
        <w:ind w:firstLine="480" w:firstLineChars="200"/>
        <w:rPr>
          <w:rFonts w:ascii="Times New Roman" w:hAnsi="Times New Roman" w:eastAsia="仿宋" w:cs="Times New Roman"/>
        </w:rPr>
      </w:pPr>
      <w:r>
        <w:rPr>
          <w:rFonts w:ascii="Times New Roman" w:hAnsi="Times New Roman" w:eastAsia="仿宋" w:cs="Times New Roman"/>
        </w:rPr>
        <w:t>3.本项目的特定资格要求：</w:t>
      </w:r>
    </w:p>
    <w:p w14:paraId="6B2DCC2F">
      <w:pPr>
        <w:pStyle w:val="20"/>
        <w:adjustRightInd w:val="0"/>
        <w:snapToGrid w:val="0"/>
        <w:spacing w:line="360" w:lineRule="auto"/>
        <w:ind w:firstLine="480" w:firstLineChars="200"/>
        <w:rPr>
          <w:rFonts w:hint="eastAsia" w:ascii="仿宋" w:hAnsi="仿宋" w:eastAsia="仿宋" w:cs="仿宋"/>
        </w:rPr>
      </w:pPr>
      <w:r>
        <w:rPr>
          <w:rFonts w:hint="eastAsia" w:ascii="仿宋" w:hAnsi="仿宋" w:eastAsia="仿宋" w:cs="仿宋"/>
        </w:rPr>
        <w:t>（1）供应商须在“信用中国”（www.creditchina.gov.cn）和中国政府采购网（www.ccgp.gov.cn）网站上未被列入失信被执行人、重大税收违法案件当事人名单以及政府采购严重违法失信行为记录名单（查询时间为自公告发布之日后）</w:t>
      </w:r>
    </w:p>
    <w:p w14:paraId="56FF1F42">
      <w:pPr>
        <w:pStyle w:val="20"/>
        <w:adjustRightInd w:val="0"/>
        <w:snapToGrid w:val="0"/>
        <w:spacing w:line="360" w:lineRule="auto"/>
        <w:ind w:firstLine="480" w:firstLineChars="200"/>
        <w:rPr>
          <w:rFonts w:ascii="Times New Roman" w:hAnsi="Times New Roman" w:eastAsia="仿宋" w:cs="Times New Roman"/>
        </w:rPr>
      </w:pPr>
      <w:r>
        <w:rPr>
          <w:rFonts w:hint="eastAsia" w:ascii="仿宋" w:hAnsi="仿宋" w:eastAsia="仿宋" w:cs="仿宋"/>
        </w:rPr>
        <w:t>（2）其它说明：（A）与采购人存在利害关系可能影响采购公正性的法人、其他组织或者个人，不得参加本次采购活动。（B）单位负责人为同一人或者存在直接控股、管理关系的不同供应商，不得</w:t>
      </w:r>
      <w:r>
        <w:rPr>
          <w:rFonts w:ascii="Times New Roman" w:hAnsi="Times New Roman" w:eastAsia="仿宋" w:cs="Times New Roman"/>
        </w:rPr>
        <w:t>参加同一合同项下的政府采购活动。除单一来源采购项目外，为采购项目提供整体设计、规范编制或者项目管理、监理、检测等服务的供应商，不得再参加该采购项目的其他采购活动。</w:t>
      </w:r>
    </w:p>
    <w:p w14:paraId="145F0E4E">
      <w:pPr>
        <w:pStyle w:val="20"/>
        <w:adjustRightInd w:val="0"/>
        <w:snapToGrid w:val="0"/>
        <w:spacing w:line="360" w:lineRule="auto"/>
        <w:rPr>
          <w:rFonts w:ascii="Times New Roman" w:hAnsi="Times New Roman" w:eastAsia="仿宋" w:cs="Times New Roman"/>
        </w:rPr>
      </w:pPr>
      <w:r>
        <w:rPr>
          <w:rStyle w:val="24"/>
          <w:rFonts w:ascii="Times New Roman" w:hAnsi="Times New Roman" w:eastAsia="仿宋" w:cs="Times New Roman"/>
        </w:rPr>
        <w:t>三、获取采购文件</w:t>
      </w:r>
    </w:p>
    <w:p w14:paraId="1DB48C52">
      <w:pPr>
        <w:pStyle w:val="20"/>
        <w:adjustRightInd w:val="0"/>
        <w:snapToGrid w:val="0"/>
        <w:spacing w:line="360" w:lineRule="auto"/>
        <w:ind w:firstLine="480" w:firstLineChars="200"/>
        <w:rPr>
          <w:rFonts w:ascii="Times New Roman" w:hAnsi="Times New Roman" w:eastAsia="仿宋" w:cs="Times New Roman"/>
        </w:rPr>
      </w:pPr>
      <w:r>
        <w:rPr>
          <w:rFonts w:ascii="Times New Roman" w:hAnsi="Times New Roman" w:eastAsia="仿宋" w:cs="Times New Roman"/>
        </w:rPr>
        <w:t>时</w:t>
      </w:r>
      <w:r>
        <w:rPr>
          <w:rFonts w:hint="eastAsia" w:ascii="仿宋" w:hAnsi="仿宋" w:eastAsia="仿宋" w:cs="仿宋"/>
        </w:rPr>
        <w:t>间：</w:t>
      </w:r>
      <w:r>
        <w:rPr>
          <w:rFonts w:hint="eastAsia" w:ascii="仿宋" w:hAnsi="仿宋" w:eastAsia="仿宋" w:cs="仿宋"/>
          <w:highlight w:val="none"/>
        </w:rPr>
        <w:t>2026年5月</w:t>
      </w:r>
      <w:r>
        <w:rPr>
          <w:rFonts w:hint="eastAsia" w:ascii="仿宋" w:hAnsi="仿宋" w:eastAsia="仿宋" w:cs="仿宋"/>
          <w:highlight w:val="none"/>
          <w:lang w:val="en-US" w:eastAsia="zh-CN"/>
        </w:rPr>
        <w:t>15</w:t>
      </w:r>
      <w:r>
        <w:rPr>
          <w:rFonts w:hint="eastAsia" w:ascii="仿宋" w:hAnsi="仿宋" w:eastAsia="仿宋" w:cs="仿宋"/>
          <w:highlight w:val="none"/>
        </w:rPr>
        <w:t>日至2026年5月</w:t>
      </w:r>
      <w:r>
        <w:rPr>
          <w:rFonts w:hint="eastAsia" w:ascii="仿宋" w:hAnsi="仿宋" w:eastAsia="仿宋" w:cs="仿宋"/>
          <w:highlight w:val="none"/>
          <w:lang w:val="en-US" w:eastAsia="zh-CN"/>
        </w:rPr>
        <w:t>22</w:t>
      </w:r>
      <w:r>
        <w:rPr>
          <w:rFonts w:hint="eastAsia" w:ascii="仿宋" w:hAnsi="仿宋" w:eastAsia="仿宋" w:cs="仿宋"/>
          <w:highlight w:val="none"/>
        </w:rPr>
        <w:t>日</w:t>
      </w:r>
      <w:r>
        <w:rPr>
          <w:rFonts w:hint="eastAsia" w:ascii="仿宋" w:hAnsi="仿宋" w:eastAsia="仿宋" w:cs="仿宋"/>
        </w:rPr>
        <w:t>，每天上午00:00至14:00，下午14:00至23:59（北京时间</w:t>
      </w:r>
      <w:r>
        <w:rPr>
          <w:rFonts w:ascii="Times New Roman" w:hAnsi="Times New Roman" w:eastAsia="仿宋" w:cs="Times New Roman"/>
        </w:rPr>
        <w:t>，法定节假日除外）</w:t>
      </w:r>
    </w:p>
    <w:p w14:paraId="3277F24B">
      <w:pPr>
        <w:pStyle w:val="20"/>
        <w:adjustRightInd w:val="0"/>
        <w:snapToGrid w:val="0"/>
        <w:spacing w:line="360" w:lineRule="auto"/>
        <w:ind w:firstLine="480" w:firstLineChars="200"/>
        <w:rPr>
          <w:rFonts w:ascii="Times New Roman" w:hAnsi="Times New Roman" w:eastAsia="仿宋" w:cs="Times New Roman"/>
        </w:rPr>
      </w:pPr>
      <w:r>
        <w:rPr>
          <w:rFonts w:ascii="Times New Roman" w:hAnsi="Times New Roman" w:eastAsia="仿宋" w:cs="Times New Roman"/>
        </w:rPr>
        <w:t>地点：政采云平台线上</w:t>
      </w:r>
    </w:p>
    <w:p w14:paraId="3E96EC2E">
      <w:pPr>
        <w:pStyle w:val="20"/>
        <w:adjustRightInd w:val="0"/>
        <w:snapToGrid w:val="0"/>
        <w:spacing w:line="360" w:lineRule="auto"/>
        <w:ind w:firstLine="480" w:firstLineChars="200"/>
        <w:rPr>
          <w:rFonts w:ascii="Times New Roman" w:hAnsi="Times New Roman" w:eastAsia="仿宋" w:cs="Times New Roman"/>
        </w:rPr>
      </w:pPr>
      <w:r>
        <w:rPr>
          <w:rFonts w:ascii="Times New Roman" w:hAnsi="Times New Roman" w:eastAsia="仿宋" w:cs="Times New Roman"/>
        </w:rPr>
        <w:t>方式：供应商登录政采云平台https://www.zcygov.cn/在线申请获取采购文件（进入“项目采购”应用，在获取采购文件菜单中选择项目，申请获取采购文件），或者点击采购公告底部潜在供应商“获取采购文件”，页面跳转后登陆，直接获取采购文件。</w:t>
      </w:r>
    </w:p>
    <w:p w14:paraId="3EEF7EBF">
      <w:pPr>
        <w:adjustRightInd w:val="0"/>
        <w:snapToGrid w:val="0"/>
        <w:spacing w:line="360" w:lineRule="auto"/>
        <w:ind w:firstLine="480" w:firstLineChars="200"/>
        <w:jc w:val="left"/>
        <w:rPr>
          <w:rFonts w:eastAsia="仿宋"/>
          <w:kern w:val="0"/>
          <w:sz w:val="24"/>
          <w:szCs w:val="24"/>
        </w:rPr>
      </w:pPr>
      <w:r>
        <w:rPr>
          <w:rFonts w:eastAsia="仿宋"/>
          <w:kern w:val="0"/>
          <w:sz w:val="24"/>
          <w:szCs w:val="24"/>
        </w:rPr>
        <w:t>售价（元）：0</w:t>
      </w:r>
    </w:p>
    <w:p w14:paraId="04DE3DA8">
      <w:pPr>
        <w:adjustRightInd w:val="0"/>
        <w:snapToGrid w:val="0"/>
        <w:spacing w:line="360" w:lineRule="auto"/>
        <w:jc w:val="left"/>
        <w:rPr>
          <w:rStyle w:val="24"/>
          <w:rFonts w:eastAsia="仿宋"/>
          <w:kern w:val="0"/>
          <w:sz w:val="24"/>
          <w:szCs w:val="24"/>
        </w:rPr>
      </w:pPr>
      <w:r>
        <w:rPr>
          <w:rStyle w:val="24"/>
          <w:rFonts w:eastAsia="仿宋"/>
          <w:kern w:val="0"/>
          <w:sz w:val="24"/>
          <w:szCs w:val="24"/>
        </w:rPr>
        <w:t>四、响应文件提交 </w:t>
      </w:r>
    </w:p>
    <w:p w14:paraId="5CF00875">
      <w:pPr>
        <w:pStyle w:val="20"/>
        <w:adjustRightInd w:val="0"/>
        <w:snapToGrid w:val="0"/>
        <w:spacing w:line="360" w:lineRule="auto"/>
        <w:ind w:firstLine="480" w:firstLineChars="200"/>
        <w:rPr>
          <w:rFonts w:hint="eastAsia" w:ascii="仿宋" w:hAnsi="仿宋" w:eastAsia="仿宋" w:cs="仿宋"/>
          <w:highlight w:val="none"/>
        </w:rPr>
      </w:pPr>
      <w:r>
        <w:rPr>
          <w:rFonts w:hint="eastAsia" w:ascii="仿宋" w:hAnsi="仿宋" w:eastAsia="仿宋" w:cs="仿宋"/>
        </w:rPr>
        <w:t>截止时间</w:t>
      </w:r>
      <w:r>
        <w:rPr>
          <w:rFonts w:hint="eastAsia" w:ascii="仿宋" w:hAnsi="仿宋" w:eastAsia="仿宋" w:cs="仿宋"/>
          <w:highlight w:val="none"/>
        </w:rPr>
        <w:t>：2026年5月</w:t>
      </w:r>
      <w:r>
        <w:rPr>
          <w:rFonts w:hint="eastAsia" w:ascii="仿宋" w:hAnsi="仿宋" w:eastAsia="仿宋" w:cs="仿宋"/>
          <w:highlight w:val="none"/>
          <w:lang w:val="en-US" w:eastAsia="zh-CN"/>
        </w:rPr>
        <w:t>26</w:t>
      </w:r>
      <w:r>
        <w:rPr>
          <w:rFonts w:hint="eastAsia" w:ascii="仿宋" w:hAnsi="仿宋" w:eastAsia="仿宋" w:cs="仿宋"/>
          <w:highlight w:val="none"/>
        </w:rPr>
        <w:t>日11:00（北京时间）</w:t>
      </w:r>
    </w:p>
    <w:p w14:paraId="7F8153B5">
      <w:pPr>
        <w:pStyle w:val="20"/>
        <w:adjustRightInd w:val="0"/>
        <w:snapToGrid w:val="0"/>
        <w:spacing w:line="360" w:lineRule="auto"/>
        <w:ind w:firstLine="480" w:firstLineChars="200"/>
        <w:rPr>
          <w:rFonts w:ascii="Times New Roman" w:hAnsi="Times New Roman" w:eastAsia="仿宋" w:cs="Times New Roman"/>
          <w:highlight w:val="none"/>
        </w:rPr>
      </w:pPr>
      <w:r>
        <w:rPr>
          <w:rFonts w:hint="eastAsia" w:ascii="仿宋" w:hAnsi="仿宋" w:eastAsia="仿宋" w:cs="仿宋"/>
          <w:highlight w:val="none"/>
        </w:rPr>
        <w:t>地点：请登录政采云投标客户端投标</w:t>
      </w:r>
      <w:r>
        <w:rPr>
          <w:rFonts w:ascii="Times New Roman" w:hAnsi="Times New Roman" w:eastAsia="仿宋" w:cs="Times New Roman"/>
          <w:highlight w:val="none"/>
        </w:rPr>
        <w:tab/>
      </w:r>
      <w:r>
        <w:rPr>
          <w:rFonts w:ascii="Times New Roman" w:hAnsi="Times New Roman" w:eastAsia="仿宋" w:cs="Times New Roman"/>
          <w:highlight w:val="none"/>
        </w:rPr>
        <w:t xml:space="preserve"> </w:t>
      </w:r>
    </w:p>
    <w:p w14:paraId="1F75337A">
      <w:pPr>
        <w:pStyle w:val="20"/>
        <w:adjustRightInd w:val="0"/>
        <w:snapToGrid w:val="0"/>
        <w:spacing w:line="360" w:lineRule="auto"/>
        <w:rPr>
          <w:rFonts w:ascii="Times New Roman" w:hAnsi="Times New Roman" w:eastAsia="仿宋" w:cs="Times New Roman"/>
          <w:highlight w:val="none"/>
        </w:rPr>
      </w:pPr>
      <w:r>
        <w:rPr>
          <w:rStyle w:val="24"/>
          <w:rFonts w:ascii="Times New Roman" w:hAnsi="Times New Roman" w:eastAsia="仿宋" w:cs="Times New Roman"/>
          <w:highlight w:val="none"/>
        </w:rPr>
        <w:t>五、响应文件开启</w:t>
      </w:r>
      <w:r>
        <w:rPr>
          <w:rFonts w:ascii="Times New Roman" w:hAnsi="Times New Roman" w:eastAsia="仿宋" w:cs="Times New Roman"/>
          <w:highlight w:val="none"/>
        </w:rPr>
        <w:t> </w:t>
      </w:r>
    </w:p>
    <w:p w14:paraId="6E44985F">
      <w:pPr>
        <w:pStyle w:val="20"/>
        <w:adjustRightInd w:val="0"/>
        <w:snapToGrid w:val="0"/>
        <w:spacing w:line="360" w:lineRule="auto"/>
        <w:ind w:firstLine="480" w:firstLineChars="200"/>
        <w:rPr>
          <w:rFonts w:hint="eastAsia" w:ascii="仿宋" w:hAnsi="仿宋" w:eastAsia="仿宋" w:cs="仿宋"/>
        </w:rPr>
      </w:pPr>
      <w:r>
        <w:rPr>
          <w:rFonts w:ascii="Times New Roman" w:hAnsi="Times New Roman" w:eastAsia="仿宋" w:cs="Times New Roman"/>
          <w:highlight w:val="none"/>
        </w:rPr>
        <w:t>开启</w:t>
      </w:r>
      <w:r>
        <w:rPr>
          <w:rFonts w:hint="eastAsia" w:ascii="仿宋" w:hAnsi="仿宋" w:eastAsia="仿宋" w:cs="仿宋"/>
          <w:highlight w:val="none"/>
        </w:rPr>
        <w:t>时间：2026年5月</w:t>
      </w:r>
      <w:r>
        <w:rPr>
          <w:rFonts w:hint="eastAsia" w:ascii="仿宋" w:hAnsi="仿宋" w:eastAsia="仿宋" w:cs="仿宋"/>
          <w:highlight w:val="none"/>
          <w:lang w:val="en-US" w:eastAsia="zh-CN"/>
        </w:rPr>
        <w:t>26</w:t>
      </w:r>
      <w:r>
        <w:rPr>
          <w:rFonts w:hint="eastAsia" w:ascii="仿宋" w:hAnsi="仿宋" w:eastAsia="仿宋" w:cs="仿宋"/>
          <w:highlight w:val="none"/>
        </w:rPr>
        <w:t>日1</w:t>
      </w:r>
      <w:r>
        <w:rPr>
          <w:rFonts w:hint="eastAsia" w:ascii="仿宋" w:hAnsi="仿宋" w:eastAsia="仿宋" w:cs="仿宋"/>
        </w:rPr>
        <w:t>1:00（北京时间）</w:t>
      </w:r>
    </w:p>
    <w:p w14:paraId="58967889">
      <w:pPr>
        <w:pStyle w:val="20"/>
        <w:adjustRightInd w:val="0"/>
        <w:snapToGrid w:val="0"/>
        <w:spacing w:line="360" w:lineRule="auto"/>
        <w:ind w:firstLine="480" w:firstLineChars="200"/>
        <w:rPr>
          <w:rFonts w:ascii="Times New Roman" w:hAnsi="Times New Roman" w:eastAsia="仿宋" w:cs="Times New Roman"/>
        </w:rPr>
      </w:pPr>
      <w:r>
        <w:rPr>
          <w:rFonts w:hint="eastAsia" w:ascii="仿宋" w:hAnsi="仿宋" w:eastAsia="仿宋" w:cs="仿宋"/>
        </w:rPr>
        <w:t>地点：供应商登录政采云平台https://www.zcygov.cn/，进入“项目采购-开标评标-右边选择对应项目点击“进入项目”进入开标大厅</w:t>
      </w:r>
      <w:r>
        <w:rPr>
          <w:rFonts w:ascii="Times New Roman" w:hAnsi="Times New Roman" w:eastAsia="仿宋" w:cs="Times New Roman"/>
        </w:rPr>
        <w:t xml:space="preserve"> </w:t>
      </w:r>
    </w:p>
    <w:p w14:paraId="1F9AFBB5">
      <w:pPr>
        <w:pStyle w:val="20"/>
        <w:adjustRightInd w:val="0"/>
        <w:snapToGrid w:val="0"/>
        <w:spacing w:line="360" w:lineRule="auto"/>
        <w:rPr>
          <w:rFonts w:ascii="Times New Roman" w:hAnsi="Times New Roman" w:eastAsia="仿宋" w:cs="Times New Roman"/>
        </w:rPr>
      </w:pPr>
      <w:r>
        <w:rPr>
          <w:rStyle w:val="24"/>
          <w:rFonts w:ascii="Times New Roman" w:hAnsi="Times New Roman" w:eastAsia="仿宋" w:cs="Times New Roman"/>
        </w:rPr>
        <w:t>六、公告期限</w:t>
      </w:r>
    </w:p>
    <w:p w14:paraId="17B723BA">
      <w:pPr>
        <w:pStyle w:val="20"/>
        <w:adjustRightInd w:val="0"/>
        <w:snapToGrid w:val="0"/>
        <w:spacing w:line="360" w:lineRule="auto"/>
        <w:ind w:firstLine="480" w:firstLineChars="200"/>
        <w:rPr>
          <w:rFonts w:ascii="Times New Roman" w:hAnsi="Times New Roman" w:eastAsia="仿宋" w:cs="Times New Roman"/>
        </w:rPr>
      </w:pPr>
      <w:r>
        <w:rPr>
          <w:rFonts w:ascii="Times New Roman" w:hAnsi="Times New Roman" w:eastAsia="仿宋" w:cs="Times New Roman"/>
        </w:rPr>
        <w:t>自本公告发布之日起3个工作日。</w:t>
      </w:r>
    </w:p>
    <w:p w14:paraId="67E2494B">
      <w:pPr>
        <w:pStyle w:val="20"/>
        <w:adjustRightInd w:val="0"/>
        <w:snapToGrid w:val="0"/>
        <w:spacing w:line="360" w:lineRule="auto"/>
        <w:rPr>
          <w:rFonts w:ascii="Times New Roman" w:hAnsi="Times New Roman" w:eastAsia="仿宋" w:cs="Times New Roman"/>
        </w:rPr>
      </w:pPr>
      <w:r>
        <w:rPr>
          <w:rStyle w:val="24"/>
          <w:rFonts w:ascii="Times New Roman" w:hAnsi="Times New Roman" w:eastAsia="仿宋" w:cs="Times New Roman"/>
        </w:rPr>
        <w:t>七、其他补充事宜 </w:t>
      </w:r>
    </w:p>
    <w:p w14:paraId="6F22C152">
      <w:pPr>
        <w:pStyle w:val="20"/>
        <w:adjustRightInd w:val="0"/>
        <w:snapToGrid w:val="0"/>
        <w:spacing w:line="360" w:lineRule="auto"/>
        <w:ind w:firstLine="480" w:firstLineChars="200"/>
        <w:rPr>
          <w:rFonts w:ascii="Times New Roman" w:hAnsi="Times New Roman" w:eastAsia="仿宋" w:cs="Times New Roman"/>
        </w:rPr>
      </w:pPr>
      <w:r>
        <w:rPr>
          <w:rFonts w:ascii="Times New Roman" w:hAnsi="Times New Roman" w:eastAsia="仿宋" w:cs="Times New Roman"/>
        </w:rPr>
        <w:t>1.本项目实行网上投标，采用电子投标文件。</w:t>
      </w:r>
    </w:p>
    <w:p w14:paraId="235F6964">
      <w:pPr>
        <w:pStyle w:val="20"/>
        <w:adjustRightInd w:val="0"/>
        <w:snapToGrid w:val="0"/>
        <w:spacing w:line="360" w:lineRule="auto"/>
        <w:ind w:firstLine="480" w:firstLineChars="200"/>
        <w:rPr>
          <w:rFonts w:ascii="Times New Roman" w:hAnsi="Times New Roman" w:eastAsia="仿宋" w:cs="Times New Roman"/>
        </w:rPr>
      </w:pPr>
      <w:r>
        <w:rPr>
          <w:rFonts w:ascii="Times New Roman" w:hAnsi="Times New Roman" w:eastAsia="仿宋" w:cs="Times New Roman"/>
        </w:rPr>
        <w:t>2.各供应商应在开标前确保成为正式注册入库供应商，并完成CA数字证书(符合国密标准)申领。因未注册入库、未办理CA数字证书等原因造成无法投标或投标失败等后果由供应商自行承担。如需咨询，请联系新疆-安信CA服务热线0991-7810912；翔晟CA服务热线025-66085508；新疆CA服务热线4000921999。</w:t>
      </w:r>
    </w:p>
    <w:p w14:paraId="1E5AEBE2">
      <w:pPr>
        <w:pStyle w:val="20"/>
        <w:adjustRightInd w:val="0"/>
        <w:snapToGrid w:val="0"/>
        <w:spacing w:line="360" w:lineRule="auto"/>
        <w:ind w:firstLine="480" w:firstLineChars="200"/>
        <w:rPr>
          <w:rFonts w:ascii="Times New Roman" w:hAnsi="Times New Roman" w:eastAsia="仿宋" w:cs="Times New Roman"/>
        </w:rPr>
      </w:pPr>
      <w:r>
        <w:rPr>
          <w:rFonts w:ascii="Times New Roman" w:hAnsi="Times New Roman" w:eastAsia="仿宋" w:cs="Times New Roman"/>
        </w:rPr>
        <w:t>3.供应商将政采云电子交易客户端下载、安装完成后，可通过账号密码或CA登录客户端进行投标文件的制作。在使用政采云投标客户端时，建议使用WIN7及以上操作系统。</w:t>
      </w:r>
    </w:p>
    <w:p w14:paraId="21180CAD">
      <w:pPr>
        <w:pStyle w:val="20"/>
        <w:adjustRightInd w:val="0"/>
        <w:snapToGrid w:val="0"/>
        <w:spacing w:line="360" w:lineRule="auto"/>
        <w:ind w:firstLine="480" w:firstLineChars="200"/>
        <w:rPr>
          <w:rFonts w:ascii="Times New Roman" w:hAnsi="Times New Roman" w:eastAsia="仿宋" w:cs="Times New Roman"/>
        </w:rPr>
      </w:pPr>
      <w:r>
        <w:rPr>
          <w:rFonts w:ascii="Times New Roman" w:hAnsi="Times New Roman" w:eastAsia="仿宋" w:cs="Times New Roman"/>
        </w:rPr>
        <w:t>4.其他事项：</w:t>
      </w:r>
    </w:p>
    <w:p w14:paraId="32AB1EF1">
      <w:pPr>
        <w:pStyle w:val="20"/>
        <w:adjustRightInd w:val="0"/>
        <w:snapToGrid w:val="0"/>
        <w:spacing w:line="360" w:lineRule="auto"/>
        <w:ind w:firstLine="480" w:firstLineChars="200"/>
        <w:rPr>
          <w:rFonts w:ascii="Times New Roman" w:hAnsi="Times New Roman" w:eastAsia="仿宋" w:cs="Times New Roman"/>
        </w:rPr>
      </w:pPr>
      <w:r>
        <w:rPr>
          <w:rFonts w:ascii="Times New Roman" w:hAnsi="Times New Roman" w:eastAsia="仿宋" w:cs="Times New Roman"/>
        </w:rPr>
        <w:t>（1）政采云投标客户端请至新疆政府采购网（http://www.ccgp-xinjiang.gov.cn/）下载专区查看，如有问题可拨打政采云客户服务热线95763进行咨询。</w:t>
      </w:r>
    </w:p>
    <w:p w14:paraId="69CED213">
      <w:pPr>
        <w:pStyle w:val="20"/>
        <w:adjustRightInd w:val="0"/>
        <w:snapToGrid w:val="0"/>
        <w:spacing w:line="360" w:lineRule="auto"/>
        <w:ind w:firstLine="480" w:firstLineChars="200"/>
        <w:rPr>
          <w:rFonts w:ascii="Times New Roman" w:hAnsi="Times New Roman" w:eastAsia="仿宋" w:cs="Times New Roman"/>
        </w:rPr>
      </w:pPr>
      <w:r>
        <w:rPr>
          <w:rFonts w:ascii="Times New Roman" w:hAnsi="Times New Roman" w:eastAsia="仿宋" w:cs="Times New Roman"/>
        </w:rPr>
        <w:t>（2）供应商在开标时须使用制作加密电子响应文件所使用的CA锁及电脑，电脑须提前配置好浏览器（建议使用谷歌浏览器），以便开标时解锁。</w:t>
      </w:r>
    </w:p>
    <w:p w14:paraId="3E5E0A87">
      <w:pPr>
        <w:pStyle w:val="20"/>
        <w:adjustRightInd w:val="0"/>
        <w:snapToGrid w:val="0"/>
        <w:spacing w:line="360" w:lineRule="auto"/>
        <w:ind w:firstLine="480" w:firstLineChars="200"/>
        <w:rPr>
          <w:rFonts w:ascii="Times New Roman" w:hAnsi="Times New Roman" w:eastAsia="仿宋" w:cs="Times New Roman"/>
        </w:rPr>
      </w:pPr>
      <w:r>
        <w:rPr>
          <w:rFonts w:ascii="Times New Roman" w:hAnsi="Times New Roman" w:eastAsia="仿宋" w:cs="Times New Roman"/>
        </w:rPr>
        <w:t>（3）供应商对不见面开评标系统的技术操作咨询，可通过https://edu.zcygov.cn/luban/xinjiang-e-biding自助查询，也可在政采云帮助中心常见问题解答和操作流程讲解视频中自助查询，网址为：https://service.zcygov.cn/#/help，“项目采购”—“操作流程-电子招投标”—“政府采购项目电子交易管理操作指南-供应商”版面获取操作指南。</w:t>
      </w:r>
    </w:p>
    <w:p w14:paraId="38C6BEE6">
      <w:pPr>
        <w:pStyle w:val="20"/>
        <w:adjustRightInd w:val="0"/>
        <w:snapToGrid w:val="0"/>
        <w:spacing w:line="360" w:lineRule="auto"/>
        <w:ind w:firstLine="480" w:firstLineChars="200"/>
        <w:rPr>
          <w:rFonts w:ascii="Times New Roman" w:hAnsi="Times New Roman" w:eastAsia="仿宋" w:cs="Times New Roman"/>
          <w:highlight w:val="red"/>
        </w:rPr>
      </w:pPr>
      <w:r>
        <w:rPr>
          <w:rFonts w:ascii="Times New Roman" w:hAnsi="Times New Roman" w:eastAsia="仿宋" w:cs="Times New Roman"/>
        </w:rPr>
        <w:t>（4）为了保证开评标顺利进行，政采云线上开标功能完全实现，供应商开标所使用的电脑设备须具有视频及语音功能。</w:t>
      </w:r>
    </w:p>
    <w:p w14:paraId="3B965FF0">
      <w:pPr>
        <w:pStyle w:val="20"/>
        <w:adjustRightInd w:val="0"/>
        <w:snapToGrid w:val="0"/>
        <w:spacing w:line="360" w:lineRule="auto"/>
        <w:rPr>
          <w:rFonts w:ascii="Times New Roman" w:hAnsi="Times New Roman" w:eastAsia="仿宋" w:cs="Times New Roman"/>
          <w:b/>
          <w:bCs/>
          <w:i/>
          <w:iCs/>
        </w:rPr>
      </w:pPr>
      <w:r>
        <w:rPr>
          <w:rFonts w:ascii="Times New Roman" w:hAnsi="Times New Roman" w:eastAsia="仿宋" w:cs="Times New Roman"/>
          <w:b/>
          <w:bCs/>
          <w:i/>
          <w:iCs/>
        </w:rPr>
        <w:t>特别提示：</w:t>
      </w:r>
    </w:p>
    <w:p w14:paraId="12EB40A0">
      <w:pPr>
        <w:pStyle w:val="20"/>
        <w:adjustRightInd w:val="0"/>
        <w:snapToGrid w:val="0"/>
        <w:spacing w:line="360" w:lineRule="auto"/>
        <w:rPr>
          <w:rFonts w:ascii="Times New Roman" w:hAnsi="Times New Roman" w:eastAsia="仿宋" w:cs="Times New Roman"/>
          <w:b/>
          <w:bCs/>
          <w:i/>
          <w:iCs/>
        </w:rPr>
      </w:pPr>
      <w:r>
        <w:rPr>
          <w:rFonts w:ascii="Times New Roman" w:hAnsi="Times New Roman" w:eastAsia="仿宋" w:cs="Times New Roman"/>
          <w:b/>
          <w:bCs/>
          <w:i/>
          <w:iCs/>
        </w:rPr>
        <w:t xml:space="preserve">    1、采购限额标准以上，200万元以下的货物和服务采购项目、400万元以下的工程采购项目，适宜由中小企业提供的，采购人应当专门面向中小企业采购。</w:t>
      </w:r>
    </w:p>
    <w:p w14:paraId="661AE3B5">
      <w:pPr>
        <w:pStyle w:val="20"/>
        <w:adjustRightInd w:val="0"/>
        <w:snapToGrid w:val="0"/>
        <w:spacing w:line="360" w:lineRule="auto"/>
        <w:rPr>
          <w:rFonts w:ascii="Times New Roman" w:hAnsi="Times New Roman" w:eastAsia="仿宋" w:cs="Times New Roman"/>
          <w:b/>
          <w:bCs/>
          <w:i/>
          <w:iCs/>
        </w:rPr>
      </w:pPr>
      <w:r>
        <w:rPr>
          <w:rFonts w:ascii="Times New Roman" w:hAnsi="Times New Roman" w:eastAsia="仿宋" w:cs="Times New Roman"/>
          <w:b/>
          <w:bCs/>
          <w:i/>
          <w:iCs/>
        </w:rPr>
        <w:t xml:space="preserve">    2、超过200万元的货物和服务采购项目，预留该部分采购项目预算总额的30%以上专门面向中小企业采购，其中预留给小微企业的比例不低于60%。</w:t>
      </w:r>
    </w:p>
    <w:p w14:paraId="309E8FB0">
      <w:pPr>
        <w:pStyle w:val="20"/>
        <w:adjustRightInd w:val="0"/>
        <w:snapToGrid w:val="0"/>
        <w:spacing w:line="360" w:lineRule="auto"/>
        <w:rPr>
          <w:rFonts w:ascii="Times New Roman" w:hAnsi="Times New Roman" w:eastAsia="仿宋" w:cs="Times New Roman"/>
          <w:b/>
          <w:bCs/>
          <w:i/>
          <w:iCs/>
        </w:rPr>
      </w:pPr>
      <w:r>
        <w:rPr>
          <w:rFonts w:ascii="Times New Roman" w:hAnsi="Times New Roman" w:eastAsia="仿宋" w:cs="Times New Roman"/>
          <w:b/>
          <w:bCs/>
          <w:i/>
          <w:iCs/>
        </w:rPr>
        <w:t xml:space="preserve">    3、超过400万元的工程采购项目中适宜由中小企业提供的，预留该部分采购项目预算总额的40%以上专门面向中小企业采购，其中预留给小微企业的比例不低于60%。</w:t>
      </w:r>
    </w:p>
    <w:p w14:paraId="4DFB3338">
      <w:pPr>
        <w:pStyle w:val="20"/>
        <w:adjustRightInd w:val="0"/>
        <w:snapToGrid w:val="0"/>
        <w:spacing w:line="360" w:lineRule="auto"/>
        <w:rPr>
          <w:rFonts w:ascii="Times New Roman" w:hAnsi="Times New Roman" w:eastAsia="仿宋" w:cs="Times New Roman"/>
          <w:b/>
          <w:bCs/>
          <w:i/>
          <w:iCs/>
        </w:rPr>
      </w:pPr>
      <w:r>
        <w:rPr>
          <w:rFonts w:ascii="Times New Roman" w:hAnsi="Times New Roman" w:eastAsia="仿宋" w:cs="Times New Roman"/>
          <w:b/>
          <w:bCs/>
          <w:i/>
          <w:iCs/>
        </w:rPr>
        <w:t xml:space="preserve">    4、对于未预留份额专门面向中小企业的采购项目，以及预留份额项目中的非预留部分采购包，采购人、采购代理机构应当对符合规定的小微企业报价给予10%~20%（工程项目为3%~5%）的扣除，用扣除后的价格参加评审。适用招标投标法的政府采购工程建设项目，采用综合评估法但未采用低价优先法计算价格分的，评标时应当在采用原报价进行评分的基础上增加其价格得分的3%~5%作为其价格分。</w:t>
      </w:r>
    </w:p>
    <w:p w14:paraId="38E8D4D8">
      <w:pPr>
        <w:pStyle w:val="20"/>
        <w:adjustRightInd w:val="0"/>
        <w:snapToGrid w:val="0"/>
        <w:spacing w:line="360" w:lineRule="auto"/>
        <w:rPr>
          <w:rFonts w:ascii="Times New Roman" w:hAnsi="Times New Roman" w:eastAsia="仿宋" w:cs="Times New Roman"/>
          <w:b/>
          <w:bCs/>
          <w:i/>
          <w:iCs/>
        </w:rPr>
      </w:pPr>
      <w:r>
        <w:rPr>
          <w:rFonts w:ascii="Times New Roman" w:hAnsi="Times New Roman" w:eastAsia="仿宋" w:cs="Times New Roman"/>
          <w:b/>
          <w:bCs/>
          <w:i/>
          <w:iCs/>
        </w:rPr>
        <w:t xml:space="preserve">    5、接受大中型企业与小微企业组成联合体或者允许大中型企业向一家或者多家小微企业分包的采购项目，对于联合协议或者分包意向协议约定小微企业的合同份额占到合同总金额30%以上的，采购人、采购代理机构应当对联合体或者大中型企业的报价给予4%~6%（工程项目为1%~2%）的扣除，用扣除后的价格参加评审。适用招标投标法的政府采购工程建设项目，采用综合评估法但未采用低价优先法计算价格分的，评标时应当在采用原报价进行评分的基础上增加其价格得分的1%~2%作为其价格分。</w:t>
      </w:r>
    </w:p>
    <w:p w14:paraId="573A32B7">
      <w:pPr>
        <w:pStyle w:val="20"/>
        <w:adjustRightInd w:val="0"/>
        <w:snapToGrid w:val="0"/>
        <w:spacing w:line="360" w:lineRule="auto"/>
        <w:rPr>
          <w:rFonts w:ascii="Times New Roman" w:hAnsi="Times New Roman" w:eastAsia="仿宋" w:cs="Times New Roman"/>
        </w:rPr>
      </w:pPr>
      <w:r>
        <w:rPr>
          <w:rStyle w:val="24"/>
          <w:rFonts w:ascii="Times New Roman" w:hAnsi="Times New Roman" w:eastAsia="仿宋" w:cs="Times New Roman"/>
        </w:rPr>
        <w:t>八、凡对本次招标提出询问，请按以下方式联系</w:t>
      </w:r>
    </w:p>
    <w:p w14:paraId="6EB884EC">
      <w:pPr>
        <w:pStyle w:val="20"/>
        <w:adjustRightInd w:val="0"/>
        <w:snapToGrid w:val="0"/>
        <w:spacing w:line="360" w:lineRule="auto"/>
        <w:ind w:firstLine="480" w:firstLineChars="200"/>
        <w:rPr>
          <w:rFonts w:ascii="Times New Roman" w:hAnsi="Times New Roman" w:eastAsia="仿宋" w:cs="Times New Roman"/>
        </w:rPr>
      </w:pPr>
      <w:r>
        <w:rPr>
          <w:rFonts w:ascii="Times New Roman" w:hAnsi="Times New Roman" w:eastAsia="仿宋" w:cs="Times New Roman"/>
        </w:rPr>
        <w:t>1.采购人信息</w:t>
      </w:r>
    </w:p>
    <w:p w14:paraId="37D047E6">
      <w:pPr>
        <w:pStyle w:val="20"/>
        <w:adjustRightInd w:val="0"/>
        <w:snapToGrid w:val="0"/>
        <w:spacing w:line="360" w:lineRule="auto"/>
        <w:ind w:firstLine="480" w:firstLineChars="200"/>
        <w:rPr>
          <w:rFonts w:ascii="Times New Roman" w:hAnsi="Times New Roman" w:eastAsia="仿宋" w:cs="Times New Roman"/>
        </w:rPr>
      </w:pPr>
      <w:r>
        <w:rPr>
          <w:rFonts w:ascii="Times New Roman" w:hAnsi="Times New Roman" w:eastAsia="仿宋" w:cs="Times New Roman"/>
        </w:rPr>
        <w:t>名 称：新疆农业大学</w:t>
      </w:r>
    </w:p>
    <w:p w14:paraId="4C630743">
      <w:pPr>
        <w:pStyle w:val="20"/>
        <w:adjustRightInd w:val="0"/>
        <w:snapToGrid w:val="0"/>
        <w:spacing w:line="360" w:lineRule="auto"/>
        <w:ind w:firstLine="480" w:firstLineChars="200"/>
        <w:rPr>
          <w:rFonts w:ascii="Times New Roman" w:hAnsi="Times New Roman" w:eastAsia="仿宋" w:cs="Times New Roman"/>
        </w:rPr>
      </w:pPr>
      <w:r>
        <w:rPr>
          <w:rFonts w:ascii="Times New Roman" w:hAnsi="Times New Roman" w:eastAsia="仿宋" w:cs="Times New Roman"/>
        </w:rPr>
        <w:t>地 址：乌鲁木齐市沙依巴克区八一街道农大东路311号</w:t>
      </w:r>
    </w:p>
    <w:p w14:paraId="0E1A84D6">
      <w:pPr>
        <w:pStyle w:val="20"/>
        <w:adjustRightInd w:val="0"/>
        <w:snapToGrid w:val="0"/>
        <w:spacing w:line="360" w:lineRule="auto"/>
        <w:ind w:firstLine="480" w:firstLineChars="200"/>
        <w:rPr>
          <w:rFonts w:ascii="Times New Roman" w:hAnsi="Times New Roman" w:eastAsia="仿宋" w:cs="Times New Roman"/>
        </w:rPr>
      </w:pPr>
      <w:r>
        <w:rPr>
          <w:rFonts w:ascii="Times New Roman" w:hAnsi="Times New Roman" w:eastAsia="仿宋" w:cs="Times New Roman"/>
        </w:rPr>
        <w:t>联系方式：13999902318</w:t>
      </w:r>
    </w:p>
    <w:p w14:paraId="2A66C402">
      <w:pPr>
        <w:pStyle w:val="20"/>
        <w:adjustRightInd w:val="0"/>
        <w:snapToGrid w:val="0"/>
        <w:spacing w:line="360" w:lineRule="auto"/>
        <w:ind w:firstLine="480" w:firstLineChars="200"/>
        <w:rPr>
          <w:rFonts w:ascii="Times New Roman" w:hAnsi="Times New Roman" w:eastAsia="仿宋" w:cs="Times New Roman"/>
        </w:rPr>
      </w:pPr>
      <w:r>
        <w:rPr>
          <w:rFonts w:ascii="Times New Roman" w:hAnsi="Times New Roman" w:eastAsia="仿宋" w:cs="Times New Roman"/>
        </w:rPr>
        <w:t>2.采购代理机构信息</w:t>
      </w:r>
    </w:p>
    <w:p w14:paraId="437A5865">
      <w:pPr>
        <w:pStyle w:val="20"/>
        <w:adjustRightInd w:val="0"/>
        <w:snapToGrid w:val="0"/>
        <w:spacing w:line="360" w:lineRule="auto"/>
        <w:ind w:firstLine="480" w:firstLineChars="200"/>
        <w:rPr>
          <w:rFonts w:ascii="Times New Roman" w:hAnsi="Times New Roman" w:eastAsia="仿宋" w:cs="Times New Roman"/>
        </w:rPr>
      </w:pPr>
      <w:r>
        <w:rPr>
          <w:rFonts w:ascii="Times New Roman" w:hAnsi="Times New Roman" w:eastAsia="仿宋" w:cs="Times New Roman"/>
        </w:rPr>
        <w:t>名 称：中合安建工程管理有限公司</w:t>
      </w:r>
    </w:p>
    <w:p w14:paraId="479DE219">
      <w:pPr>
        <w:pStyle w:val="20"/>
        <w:adjustRightInd w:val="0"/>
        <w:snapToGrid w:val="0"/>
        <w:spacing w:line="360" w:lineRule="auto"/>
        <w:ind w:firstLine="480" w:firstLineChars="200"/>
        <w:rPr>
          <w:rFonts w:ascii="Times New Roman" w:hAnsi="Times New Roman" w:eastAsia="仿宋" w:cs="Times New Roman"/>
        </w:rPr>
      </w:pPr>
      <w:r>
        <w:rPr>
          <w:rFonts w:ascii="Times New Roman" w:hAnsi="Times New Roman" w:eastAsia="仿宋" w:cs="Times New Roman"/>
        </w:rPr>
        <w:t>地 址：新疆乌鲁木齐市高新区（新市区）新医路165号汇文大厦1栋6层A</w:t>
      </w:r>
    </w:p>
    <w:p w14:paraId="0EF7B6E5">
      <w:pPr>
        <w:pStyle w:val="20"/>
        <w:adjustRightInd w:val="0"/>
        <w:snapToGrid w:val="0"/>
        <w:spacing w:line="360" w:lineRule="auto"/>
        <w:ind w:firstLine="480" w:firstLineChars="200"/>
        <w:rPr>
          <w:rFonts w:ascii="Times New Roman" w:hAnsi="Times New Roman" w:eastAsia="仿宋" w:cs="Times New Roman"/>
        </w:rPr>
      </w:pPr>
      <w:r>
        <w:rPr>
          <w:rFonts w:ascii="Times New Roman" w:hAnsi="Times New Roman" w:eastAsia="仿宋" w:cs="Times New Roman"/>
        </w:rPr>
        <w:t>联系方式：13579881296</w:t>
      </w:r>
    </w:p>
    <w:p w14:paraId="5030328D">
      <w:pPr>
        <w:pStyle w:val="20"/>
        <w:snapToGrid w:val="0"/>
        <w:spacing w:line="360" w:lineRule="auto"/>
        <w:ind w:firstLine="480" w:firstLineChars="200"/>
        <w:rPr>
          <w:rFonts w:ascii="Times New Roman" w:hAnsi="Times New Roman" w:eastAsia="仿宋" w:cs="Times New Roman"/>
          <w:bCs/>
          <w:color w:val="000000"/>
          <w:lang w:bidi="ar"/>
        </w:rPr>
      </w:pPr>
      <w:r>
        <w:rPr>
          <w:rFonts w:ascii="Times New Roman" w:hAnsi="Times New Roman" w:eastAsia="仿宋" w:cs="Times New Roman"/>
        </w:rPr>
        <w:t>3.</w:t>
      </w:r>
      <w:r>
        <w:rPr>
          <w:rFonts w:ascii="Times New Roman" w:hAnsi="Times New Roman" w:eastAsia="仿宋" w:cs="Times New Roman"/>
          <w:bCs/>
          <w:color w:val="000000"/>
          <w:lang w:bidi="ar"/>
        </w:rPr>
        <w:t>项目联系方式</w:t>
      </w:r>
    </w:p>
    <w:p w14:paraId="64103060">
      <w:pPr>
        <w:pStyle w:val="20"/>
        <w:snapToGrid w:val="0"/>
        <w:spacing w:line="360" w:lineRule="auto"/>
        <w:ind w:firstLine="480" w:firstLineChars="200"/>
        <w:rPr>
          <w:rFonts w:ascii="Times New Roman" w:hAnsi="Times New Roman" w:eastAsia="仿宋" w:cs="Times New Roman"/>
          <w:bCs/>
          <w:color w:val="000000"/>
          <w:lang w:bidi="ar"/>
        </w:rPr>
      </w:pPr>
      <w:r>
        <w:rPr>
          <w:rFonts w:ascii="Times New Roman" w:hAnsi="Times New Roman" w:eastAsia="仿宋" w:cs="Times New Roman"/>
          <w:bCs/>
          <w:color w:val="000000"/>
          <w:lang w:bidi="ar"/>
        </w:rPr>
        <w:t>项目联系人：彭小倬、王荣荣</w:t>
      </w:r>
    </w:p>
    <w:p w14:paraId="5C1CB4F4">
      <w:pPr>
        <w:pStyle w:val="20"/>
        <w:adjustRightInd w:val="0"/>
        <w:snapToGrid w:val="0"/>
        <w:spacing w:line="360" w:lineRule="auto"/>
        <w:ind w:firstLine="480" w:firstLineChars="200"/>
        <w:rPr>
          <w:rFonts w:ascii="Times New Roman" w:hAnsi="Times New Roman" w:eastAsia="仿宋" w:cs="Times New Roman"/>
        </w:rPr>
      </w:pPr>
      <w:r>
        <w:rPr>
          <w:rFonts w:ascii="Times New Roman" w:hAnsi="Times New Roman" w:eastAsia="仿宋" w:cs="Times New Roman"/>
          <w:bCs/>
          <w:color w:val="000000"/>
          <w:lang w:bidi="ar"/>
        </w:rPr>
        <w:t>电 话：</w:t>
      </w:r>
      <w:r>
        <w:rPr>
          <w:rFonts w:ascii="Times New Roman" w:hAnsi="Times New Roman" w:eastAsia="仿宋" w:cs="Times New Roman"/>
        </w:rPr>
        <w:t>13579881296</w:t>
      </w:r>
    </w:p>
    <w:p w14:paraId="5456EBED">
      <w:pPr>
        <w:pStyle w:val="20"/>
        <w:adjustRightInd w:val="0"/>
        <w:snapToGrid w:val="0"/>
        <w:spacing w:line="360" w:lineRule="auto"/>
        <w:ind w:firstLine="560" w:firstLineChars="200"/>
        <w:jc w:val="center"/>
        <w:outlineLvl w:val="0"/>
        <w:rPr>
          <w:rStyle w:val="31"/>
          <w:rFonts w:ascii="Times New Roman" w:hAnsi="Times New Roman" w:eastAsia="仿宋" w:cs="Times New Roman"/>
          <w:szCs w:val="28"/>
        </w:rPr>
      </w:pPr>
      <w:r>
        <w:rPr>
          <w:rStyle w:val="27"/>
          <w:rFonts w:ascii="Times New Roman" w:hAnsi="Times New Roman" w:eastAsia="仿宋" w:cs="Times New Roman"/>
          <w:sz w:val="28"/>
          <w:szCs w:val="28"/>
        </w:rPr>
        <w:br w:type="page"/>
      </w:r>
      <w:bookmarkStart w:id="3" w:name="_Toc13105"/>
      <w:r>
        <w:rPr>
          <w:rStyle w:val="31"/>
          <w:rFonts w:ascii="Times New Roman" w:hAnsi="Times New Roman" w:eastAsia="仿宋" w:cs="Times New Roman"/>
          <w:b/>
          <w:bCs/>
          <w:sz w:val="32"/>
          <w:szCs w:val="32"/>
        </w:rPr>
        <w:t>第二部分 供应商须知</w:t>
      </w:r>
      <w:bookmarkEnd w:id="3"/>
    </w:p>
    <w:p w14:paraId="25A5C388">
      <w:pPr>
        <w:adjustRightInd w:val="0"/>
        <w:snapToGrid w:val="0"/>
        <w:spacing w:line="360" w:lineRule="auto"/>
        <w:ind w:firstLine="562" w:firstLineChars="200"/>
        <w:jc w:val="center"/>
        <w:rPr>
          <w:rFonts w:eastAsia="仿宋"/>
          <w:b/>
          <w:sz w:val="28"/>
          <w:szCs w:val="28"/>
        </w:rPr>
      </w:pPr>
      <w:r>
        <w:rPr>
          <w:rFonts w:eastAsia="仿宋"/>
          <w:b/>
          <w:sz w:val="28"/>
          <w:szCs w:val="28"/>
        </w:rPr>
        <w:t>供应商需求前附表</w:t>
      </w:r>
    </w:p>
    <w:tbl>
      <w:tblPr>
        <w:tblStyle w:val="21"/>
        <w:tblW w:w="972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1"/>
        <w:gridCol w:w="1699"/>
        <w:gridCol w:w="7311"/>
      </w:tblGrid>
      <w:tr w14:paraId="68F227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11" w:type="dxa"/>
            <w:vAlign w:val="center"/>
          </w:tcPr>
          <w:p w14:paraId="634B097A">
            <w:pPr>
              <w:adjustRightInd w:val="0"/>
              <w:snapToGrid w:val="0"/>
              <w:jc w:val="center"/>
              <w:rPr>
                <w:rFonts w:eastAsia="仿宋"/>
                <w:b/>
                <w:bCs/>
                <w:szCs w:val="21"/>
              </w:rPr>
            </w:pPr>
            <w:r>
              <w:rPr>
                <w:rFonts w:eastAsia="仿宋"/>
                <w:b/>
                <w:bCs/>
                <w:szCs w:val="21"/>
              </w:rPr>
              <w:t>序号</w:t>
            </w:r>
          </w:p>
        </w:tc>
        <w:tc>
          <w:tcPr>
            <w:tcW w:w="1699" w:type="dxa"/>
            <w:vAlign w:val="center"/>
          </w:tcPr>
          <w:p w14:paraId="50B77BB0">
            <w:pPr>
              <w:adjustRightInd w:val="0"/>
              <w:snapToGrid w:val="0"/>
              <w:jc w:val="center"/>
              <w:rPr>
                <w:rFonts w:eastAsia="仿宋"/>
                <w:b/>
                <w:bCs/>
                <w:szCs w:val="21"/>
              </w:rPr>
            </w:pPr>
            <w:r>
              <w:rPr>
                <w:rFonts w:eastAsia="仿宋"/>
                <w:b/>
                <w:bCs/>
                <w:szCs w:val="21"/>
              </w:rPr>
              <w:t>类别</w:t>
            </w:r>
          </w:p>
        </w:tc>
        <w:tc>
          <w:tcPr>
            <w:tcW w:w="7311" w:type="dxa"/>
            <w:vAlign w:val="center"/>
          </w:tcPr>
          <w:p w14:paraId="2A10FE22">
            <w:pPr>
              <w:adjustRightInd w:val="0"/>
              <w:snapToGrid w:val="0"/>
              <w:jc w:val="center"/>
              <w:rPr>
                <w:rFonts w:eastAsia="仿宋"/>
                <w:b/>
                <w:bCs/>
                <w:szCs w:val="21"/>
              </w:rPr>
            </w:pPr>
            <w:r>
              <w:rPr>
                <w:rFonts w:eastAsia="仿宋"/>
                <w:b/>
                <w:bCs/>
                <w:szCs w:val="21"/>
              </w:rPr>
              <w:t>内容说明</w:t>
            </w:r>
          </w:p>
        </w:tc>
      </w:tr>
      <w:tr w14:paraId="121015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11" w:type="dxa"/>
            <w:vAlign w:val="center"/>
          </w:tcPr>
          <w:p w14:paraId="2CD31EF6">
            <w:pPr>
              <w:adjustRightInd w:val="0"/>
              <w:snapToGrid w:val="0"/>
              <w:jc w:val="center"/>
              <w:rPr>
                <w:rFonts w:eastAsia="仿宋"/>
                <w:b/>
                <w:bCs/>
                <w:szCs w:val="21"/>
              </w:rPr>
            </w:pPr>
            <w:r>
              <w:rPr>
                <w:rFonts w:eastAsia="仿宋"/>
                <w:szCs w:val="21"/>
              </w:rPr>
              <w:t>1</w:t>
            </w:r>
          </w:p>
        </w:tc>
        <w:tc>
          <w:tcPr>
            <w:tcW w:w="1699" w:type="dxa"/>
            <w:vAlign w:val="center"/>
          </w:tcPr>
          <w:p w14:paraId="3A578947">
            <w:pPr>
              <w:adjustRightInd w:val="0"/>
              <w:snapToGrid w:val="0"/>
              <w:jc w:val="center"/>
              <w:rPr>
                <w:rFonts w:eastAsia="仿宋"/>
                <w:szCs w:val="21"/>
              </w:rPr>
            </w:pPr>
            <w:r>
              <w:rPr>
                <w:rFonts w:eastAsia="仿宋"/>
                <w:szCs w:val="21"/>
              </w:rPr>
              <w:t>项目名称</w:t>
            </w:r>
          </w:p>
        </w:tc>
        <w:tc>
          <w:tcPr>
            <w:tcW w:w="7311" w:type="dxa"/>
            <w:vAlign w:val="center"/>
          </w:tcPr>
          <w:p w14:paraId="4B3A2E53">
            <w:pPr>
              <w:adjustRightInd w:val="0"/>
              <w:snapToGrid w:val="0"/>
              <w:jc w:val="left"/>
              <w:rPr>
                <w:rFonts w:hint="eastAsia" w:eastAsia="仿宋"/>
                <w:szCs w:val="21"/>
                <w:lang w:eastAsia="zh-CN"/>
              </w:rPr>
            </w:pPr>
            <w:r>
              <w:rPr>
                <w:rFonts w:hint="eastAsia" w:eastAsia="仿宋"/>
                <w:szCs w:val="21"/>
                <w:lang w:eastAsia="zh-CN"/>
              </w:rPr>
              <w:t>新疆农业大学2吨镁精炼电熔炉机械加工、装配及现场调试服务项目</w:t>
            </w:r>
          </w:p>
        </w:tc>
      </w:tr>
      <w:tr w14:paraId="1315C9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11" w:type="dxa"/>
            <w:vAlign w:val="center"/>
          </w:tcPr>
          <w:p w14:paraId="0E185FB4">
            <w:pPr>
              <w:adjustRightInd w:val="0"/>
              <w:snapToGrid w:val="0"/>
              <w:jc w:val="center"/>
              <w:rPr>
                <w:rFonts w:eastAsia="仿宋"/>
                <w:b/>
                <w:bCs/>
                <w:szCs w:val="21"/>
              </w:rPr>
            </w:pPr>
            <w:r>
              <w:rPr>
                <w:rFonts w:eastAsia="仿宋"/>
                <w:szCs w:val="21"/>
              </w:rPr>
              <w:t>2</w:t>
            </w:r>
          </w:p>
        </w:tc>
        <w:tc>
          <w:tcPr>
            <w:tcW w:w="1699" w:type="dxa"/>
            <w:vAlign w:val="center"/>
          </w:tcPr>
          <w:p w14:paraId="581C31D0">
            <w:pPr>
              <w:adjustRightInd w:val="0"/>
              <w:snapToGrid w:val="0"/>
              <w:jc w:val="center"/>
              <w:rPr>
                <w:rFonts w:eastAsia="仿宋"/>
                <w:b/>
                <w:bCs/>
                <w:szCs w:val="21"/>
              </w:rPr>
            </w:pPr>
            <w:r>
              <w:rPr>
                <w:rFonts w:eastAsia="仿宋"/>
                <w:szCs w:val="21"/>
              </w:rPr>
              <w:t>项目编号</w:t>
            </w:r>
          </w:p>
        </w:tc>
        <w:tc>
          <w:tcPr>
            <w:tcW w:w="7311" w:type="dxa"/>
            <w:vAlign w:val="center"/>
          </w:tcPr>
          <w:p w14:paraId="4CAFE5F5">
            <w:pPr>
              <w:adjustRightInd w:val="0"/>
              <w:snapToGrid w:val="0"/>
              <w:jc w:val="left"/>
              <w:rPr>
                <w:rFonts w:eastAsia="仿宋"/>
                <w:b/>
                <w:bCs/>
                <w:szCs w:val="21"/>
              </w:rPr>
            </w:pPr>
            <w:r>
              <w:rPr>
                <w:rFonts w:hint="eastAsia" w:eastAsia="仿宋"/>
                <w:szCs w:val="21"/>
                <w:lang w:eastAsia="zh-CN"/>
              </w:rPr>
              <w:t>2026ZHAJ-09</w:t>
            </w:r>
          </w:p>
        </w:tc>
      </w:tr>
      <w:tr w14:paraId="1FC585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11" w:type="dxa"/>
            <w:vAlign w:val="center"/>
          </w:tcPr>
          <w:p w14:paraId="45D9C035">
            <w:pPr>
              <w:adjustRightInd w:val="0"/>
              <w:snapToGrid w:val="0"/>
              <w:jc w:val="center"/>
              <w:rPr>
                <w:rFonts w:eastAsia="仿宋"/>
                <w:szCs w:val="21"/>
              </w:rPr>
            </w:pPr>
            <w:r>
              <w:rPr>
                <w:rFonts w:eastAsia="仿宋"/>
                <w:szCs w:val="21"/>
              </w:rPr>
              <w:t>3</w:t>
            </w:r>
          </w:p>
        </w:tc>
        <w:tc>
          <w:tcPr>
            <w:tcW w:w="1699" w:type="dxa"/>
            <w:vAlign w:val="center"/>
          </w:tcPr>
          <w:p w14:paraId="4DAF9489">
            <w:pPr>
              <w:overflowPunct w:val="0"/>
              <w:adjustRightInd w:val="0"/>
              <w:snapToGrid w:val="0"/>
              <w:ind w:right="136" w:rightChars="65"/>
              <w:jc w:val="center"/>
              <w:rPr>
                <w:rFonts w:eastAsia="仿宋"/>
                <w:szCs w:val="21"/>
              </w:rPr>
            </w:pPr>
            <w:r>
              <w:rPr>
                <w:rFonts w:eastAsia="仿宋"/>
                <w:szCs w:val="21"/>
              </w:rPr>
              <w:t>采购人名称/地址/联系人</w:t>
            </w:r>
          </w:p>
        </w:tc>
        <w:tc>
          <w:tcPr>
            <w:tcW w:w="7311" w:type="dxa"/>
            <w:vAlign w:val="center"/>
          </w:tcPr>
          <w:p w14:paraId="63E21918">
            <w:pPr>
              <w:overflowPunct w:val="0"/>
              <w:adjustRightInd w:val="0"/>
              <w:snapToGrid w:val="0"/>
              <w:ind w:right="136" w:rightChars="65"/>
              <w:rPr>
                <w:rFonts w:eastAsia="仿宋"/>
                <w:szCs w:val="21"/>
              </w:rPr>
            </w:pPr>
            <w:r>
              <w:rPr>
                <w:rFonts w:eastAsia="仿宋"/>
                <w:szCs w:val="21"/>
              </w:rPr>
              <w:t>名称：新疆农业大学</w:t>
            </w:r>
          </w:p>
          <w:p w14:paraId="73E998F0">
            <w:pPr>
              <w:overflowPunct w:val="0"/>
              <w:adjustRightInd w:val="0"/>
              <w:snapToGrid w:val="0"/>
              <w:ind w:right="136" w:rightChars="65"/>
              <w:rPr>
                <w:rFonts w:eastAsia="仿宋"/>
                <w:szCs w:val="21"/>
              </w:rPr>
            </w:pPr>
            <w:r>
              <w:rPr>
                <w:rFonts w:eastAsia="仿宋"/>
                <w:szCs w:val="21"/>
              </w:rPr>
              <w:t>地点：乌鲁木齐市沙依巴克区八一街道农大东路311号</w:t>
            </w:r>
          </w:p>
          <w:p w14:paraId="639D2C9E">
            <w:pPr>
              <w:overflowPunct w:val="0"/>
              <w:adjustRightInd w:val="0"/>
              <w:snapToGrid w:val="0"/>
              <w:ind w:right="136" w:rightChars="65"/>
              <w:rPr>
                <w:rFonts w:eastAsia="仿宋"/>
                <w:szCs w:val="21"/>
              </w:rPr>
            </w:pPr>
            <w:r>
              <w:rPr>
                <w:rFonts w:eastAsia="仿宋"/>
                <w:szCs w:val="21"/>
              </w:rPr>
              <w:t>联系人：岳勇老师    电话：13999902318</w:t>
            </w:r>
          </w:p>
        </w:tc>
      </w:tr>
      <w:tr w14:paraId="5DA6BE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11" w:type="dxa"/>
            <w:vAlign w:val="center"/>
          </w:tcPr>
          <w:p w14:paraId="77B0082C">
            <w:pPr>
              <w:adjustRightInd w:val="0"/>
              <w:snapToGrid w:val="0"/>
              <w:jc w:val="center"/>
              <w:rPr>
                <w:rFonts w:eastAsia="仿宋"/>
                <w:szCs w:val="21"/>
              </w:rPr>
            </w:pPr>
            <w:r>
              <w:rPr>
                <w:rFonts w:eastAsia="仿宋"/>
                <w:szCs w:val="21"/>
              </w:rPr>
              <w:t>4</w:t>
            </w:r>
          </w:p>
        </w:tc>
        <w:tc>
          <w:tcPr>
            <w:tcW w:w="1699" w:type="dxa"/>
            <w:vAlign w:val="center"/>
          </w:tcPr>
          <w:p w14:paraId="373684D5">
            <w:pPr>
              <w:overflowPunct w:val="0"/>
              <w:adjustRightInd w:val="0"/>
              <w:snapToGrid w:val="0"/>
              <w:ind w:right="136" w:rightChars="65"/>
              <w:jc w:val="center"/>
              <w:rPr>
                <w:rFonts w:eastAsia="仿宋"/>
                <w:szCs w:val="21"/>
              </w:rPr>
            </w:pPr>
            <w:r>
              <w:rPr>
                <w:rFonts w:eastAsia="仿宋"/>
                <w:szCs w:val="21"/>
              </w:rPr>
              <w:t>代理机构/地址/联系人</w:t>
            </w:r>
          </w:p>
        </w:tc>
        <w:tc>
          <w:tcPr>
            <w:tcW w:w="7311" w:type="dxa"/>
            <w:vAlign w:val="center"/>
          </w:tcPr>
          <w:p w14:paraId="4192BB2B">
            <w:pPr>
              <w:overflowPunct w:val="0"/>
              <w:adjustRightInd w:val="0"/>
              <w:snapToGrid w:val="0"/>
              <w:ind w:right="136" w:rightChars="65"/>
              <w:rPr>
                <w:rFonts w:eastAsia="仿宋"/>
                <w:szCs w:val="21"/>
              </w:rPr>
            </w:pPr>
            <w:r>
              <w:rPr>
                <w:rFonts w:eastAsia="仿宋"/>
                <w:szCs w:val="21"/>
              </w:rPr>
              <w:t>名称：中合安建工程管理有限公司</w:t>
            </w:r>
          </w:p>
          <w:p w14:paraId="352327A7">
            <w:pPr>
              <w:overflowPunct w:val="0"/>
              <w:adjustRightInd w:val="0"/>
              <w:snapToGrid w:val="0"/>
              <w:ind w:right="136" w:rightChars="65"/>
              <w:rPr>
                <w:rFonts w:eastAsia="仿宋"/>
                <w:szCs w:val="21"/>
              </w:rPr>
            </w:pPr>
            <w:r>
              <w:rPr>
                <w:rFonts w:eastAsia="仿宋"/>
                <w:szCs w:val="21"/>
              </w:rPr>
              <w:t>地址：新疆乌鲁木齐市高新区（新市区）新医路165号汇文大厦1栋6层A</w:t>
            </w:r>
          </w:p>
          <w:p w14:paraId="20B51301">
            <w:pPr>
              <w:overflowPunct w:val="0"/>
              <w:adjustRightInd w:val="0"/>
              <w:snapToGrid w:val="0"/>
              <w:ind w:right="136" w:rightChars="65"/>
              <w:rPr>
                <w:rFonts w:eastAsia="仿宋"/>
                <w:b/>
                <w:kern w:val="0"/>
                <w:szCs w:val="21"/>
              </w:rPr>
            </w:pPr>
            <w:r>
              <w:rPr>
                <w:rFonts w:eastAsia="仿宋"/>
                <w:szCs w:val="21"/>
              </w:rPr>
              <w:t xml:space="preserve">联系人：彭小倬、王荣荣  </w:t>
            </w:r>
            <w:r>
              <w:rPr>
                <w:rFonts w:hint="eastAsia" w:eastAsia="仿宋"/>
                <w:szCs w:val="21"/>
                <w:lang w:val="en-US" w:eastAsia="zh-CN"/>
              </w:rPr>
              <w:t xml:space="preserve"> </w:t>
            </w:r>
            <w:r>
              <w:rPr>
                <w:rFonts w:eastAsia="仿宋"/>
                <w:szCs w:val="21"/>
              </w:rPr>
              <w:t xml:space="preserve"> 电话：13579881296</w:t>
            </w:r>
          </w:p>
        </w:tc>
      </w:tr>
      <w:tr w14:paraId="35B937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11" w:type="dxa"/>
            <w:vAlign w:val="center"/>
          </w:tcPr>
          <w:p w14:paraId="60F8ED02">
            <w:pPr>
              <w:adjustRightInd w:val="0"/>
              <w:snapToGrid w:val="0"/>
              <w:jc w:val="center"/>
              <w:rPr>
                <w:rFonts w:eastAsia="仿宋"/>
                <w:szCs w:val="21"/>
              </w:rPr>
            </w:pPr>
            <w:r>
              <w:rPr>
                <w:rFonts w:eastAsia="仿宋"/>
                <w:szCs w:val="21"/>
              </w:rPr>
              <w:t>5</w:t>
            </w:r>
          </w:p>
        </w:tc>
        <w:tc>
          <w:tcPr>
            <w:tcW w:w="1699" w:type="dxa"/>
            <w:vAlign w:val="center"/>
          </w:tcPr>
          <w:p w14:paraId="48A9596A">
            <w:pPr>
              <w:adjustRightInd w:val="0"/>
              <w:snapToGrid w:val="0"/>
              <w:jc w:val="center"/>
              <w:rPr>
                <w:rFonts w:eastAsia="仿宋"/>
                <w:szCs w:val="21"/>
              </w:rPr>
            </w:pPr>
            <w:r>
              <w:rPr>
                <w:rFonts w:eastAsia="仿宋"/>
                <w:szCs w:val="21"/>
              </w:rPr>
              <w:t>资金来源</w:t>
            </w:r>
          </w:p>
        </w:tc>
        <w:tc>
          <w:tcPr>
            <w:tcW w:w="7311" w:type="dxa"/>
            <w:vAlign w:val="center"/>
          </w:tcPr>
          <w:p w14:paraId="23D822BB">
            <w:pPr>
              <w:adjustRightInd w:val="0"/>
              <w:snapToGrid w:val="0"/>
              <w:jc w:val="left"/>
              <w:rPr>
                <w:rFonts w:eastAsia="仿宋"/>
                <w:szCs w:val="21"/>
              </w:rPr>
            </w:pPr>
            <w:r>
              <w:rPr>
                <w:rFonts w:eastAsia="仿宋"/>
                <w:szCs w:val="21"/>
              </w:rPr>
              <w:t>财政资金</w:t>
            </w:r>
          </w:p>
        </w:tc>
      </w:tr>
      <w:tr w14:paraId="394C02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1" w:type="dxa"/>
            <w:vAlign w:val="center"/>
          </w:tcPr>
          <w:p w14:paraId="1D7FD764">
            <w:pPr>
              <w:adjustRightInd w:val="0"/>
              <w:snapToGrid w:val="0"/>
              <w:jc w:val="center"/>
              <w:rPr>
                <w:rFonts w:eastAsia="仿宋"/>
                <w:szCs w:val="21"/>
              </w:rPr>
            </w:pPr>
            <w:r>
              <w:rPr>
                <w:rFonts w:eastAsia="仿宋"/>
                <w:szCs w:val="21"/>
              </w:rPr>
              <w:t>6</w:t>
            </w:r>
          </w:p>
        </w:tc>
        <w:tc>
          <w:tcPr>
            <w:tcW w:w="1699" w:type="dxa"/>
            <w:vAlign w:val="center"/>
          </w:tcPr>
          <w:p w14:paraId="4C76C961">
            <w:pPr>
              <w:overflowPunct w:val="0"/>
              <w:adjustRightInd w:val="0"/>
              <w:snapToGrid w:val="0"/>
              <w:ind w:right="136" w:rightChars="65"/>
              <w:jc w:val="center"/>
              <w:rPr>
                <w:rFonts w:eastAsia="仿宋"/>
                <w:szCs w:val="21"/>
              </w:rPr>
            </w:pPr>
            <w:r>
              <w:rPr>
                <w:rFonts w:eastAsia="仿宋"/>
                <w:szCs w:val="21"/>
              </w:rPr>
              <w:t>采购预算及 最高限价</w:t>
            </w:r>
          </w:p>
        </w:tc>
        <w:tc>
          <w:tcPr>
            <w:tcW w:w="7311" w:type="dxa"/>
            <w:vAlign w:val="center"/>
          </w:tcPr>
          <w:p w14:paraId="041874F8">
            <w:pPr>
              <w:overflowPunct w:val="0"/>
              <w:adjustRightInd w:val="0"/>
              <w:snapToGrid w:val="0"/>
              <w:ind w:right="136" w:rightChars="65"/>
              <w:rPr>
                <w:rFonts w:eastAsia="仿宋"/>
                <w:szCs w:val="21"/>
              </w:rPr>
            </w:pPr>
            <w:r>
              <w:rPr>
                <w:rFonts w:hint="eastAsia" w:eastAsia="仿宋"/>
                <w:szCs w:val="21"/>
                <w:lang w:eastAsia="zh-CN"/>
              </w:rPr>
              <w:t>25.00</w:t>
            </w:r>
            <w:r>
              <w:rPr>
                <w:rFonts w:eastAsia="仿宋"/>
                <w:szCs w:val="21"/>
              </w:rPr>
              <w:t>万元</w:t>
            </w:r>
          </w:p>
        </w:tc>
      </w:tr>
      <w:tr w14:paraId="0AAFF3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11" w:type="dxa"/>
            <w:vAlign w:val="center"/>
          </w:tcPr>
          <w:p w14:paraId="34102DC6">
            <w:pPr>
              <w:adjustRightInd w:val="0"/>
              <w:snapToGrid w:val="0"/>
              <w:jc w:val="center"/>
              <w:rPr>
                <w:rFonts w:eastAsia="仿宋"/>
                <w:szCs w:val="21"/>
              </w:rPr>
            </w:pPr>
            <w:r>
              <w:rPr>
                <w:rFonts w:eastAsia="仿宋"/>
                <w:szCs w:val="21"/>
              </w:rPr>
              <w:t>7</w:t>
            </w:r>
          </w:p>
        </w:tc>
        <w:tc>
          <w:tcPr>
            <w:tcW w:w="1699" w:type="dxa"/>
            <w:vAlign w:val="center"/>
          </w:tcPr>
          <w:p w14:paraId="6BB8C6DD">
            <w:pPr>
              <w:overflowPunct w:val="0"/>
              <w:adjustRightInd w:val="0"/>
              <w:snapToGrid w:val="0"/>
              <w:ind w:right="136" w:rightChars="65"/>
              <w:jc w:val="center"/>
              <w:rPr>
                <w:rFonts w:eastAsia="仿宋"/>
                <w:szCs w:val="21"/>
              </w:rPr>
            </w:pPr>
            <w:r>
              <w:rPr>
                <w:rFonts w:eastAsia="仿宋"/>
                <w:szCs w:val="21"/>
              </w:rPr>
              <w:t>采购内容</w:t>
            </w:r>
          </w:p>
        </w:tc>
        <w:tc>
          <w:tcPr>
            <w:tcW w:w="7311" w:type="dxa"/>
            <w:vAlign w:val="center"/>
          </w:tcPr>
          <w:p w14:paraId="2AB2067F">
            <w:pPr>
              <w:overflowPunct w:val="0"/>
              <w:adjustRightInd w:val="0"/>
              <w:snapToGrid w:val="0"/>
              <w:ind w:right="-44" w:rightChars="-21"/>
              <w:jc w:val="left"/>
              <w:rPr>
                <w:rFonts w:eastAsia="仿宋"/>
                <w:szCs w:val="21"/>
              </w:rPr>
            </w:pPr>
            <w:r>
              <w:rPr>
                <w:rFonts w:hint="eastAsia" w:eastAsia="仿宋"/>
                <w:szCs w:val="21"/>
              </w:rPr>
              <w:t>2吨镁精炼电炉是对通过3.5吨燃气熔炉溶化后的镁业进行精炼提纯的重要装备。目前，已完成前期设计和仓储部试验。现在需要按照设计要求加工、装配满足示范生产的装备。</w:t>
            </w:r>
            <w:r>
              <w:rPr>
                <w:rFonts w:eastAsia="仿宋"/>
                <w:szCs w:val="21"/>
              </w:rPr>
              <w:t>（其余详见第五部分采购需求）</w:t>
            </w:r>
          </w:p>
        </w:tc>
      </w:tr>
      <w:tr w14:paraId="45FF3F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11" w:type="dxa"/>
            <w:vAlign w:val="center"/>
          </w:tcPr>
          <w:p w14:paraId="1B1D6CA3">
            <w:pPr>
              <w:adjustRightInd w:val="0"/>
              <w:snapToGrid w:val="0"/>
              <w:jc w:val="center"/>
              <w:rPr>
                <w:rFonts w:eastAsia="仿宋"/>
                <w:szCs w:val="21"/>
              </w:rPr>
            </w:pPr>
            <w:r>
              <w:rPr>
                <w:rFonts w:eastAsia="仿宋"/>
                <w:szCs w:val="21"/>
              </w:rPr>
              <w:t>8</w:t>
            </w:r>
          </w:p>
        </w:tc>
        <w:tc>
          <w:tcPr>
            <w:tcW w:w="1699" w:type="dxa"/>
            <w:vAlign w:val="center"/>
          </w:tcPr>
          <w:p w14:paraId="52DD7BB6">
            <w:pPr>
              <w:overflowPunct w:val="0"/>
              <w:adjustRightInd w:val="0"/>
              <w:snapToGrid w:val="0"/>
              <w:ind w:right="136" w:rightChars="65"/>
              <w:jc w:val="center"/>
              <w:rPr>
                <w:rFonts w:eastAsia="仿宋"/>
                <w:szCs w:val="21"/>
              </w:rPr>
            </w:pPr>
            <w:r>
              <w:rPr>
                <w:rFonts w:eastAsia="仿宋"/>
                <w:szCs w:val="21"/>
              </w:rPr>
              <w:t>采购方式</w:t>
            </w:r>
          </w:p>
        </w:tc>
        <w:tc>
          <w:tcPr>
            <w:tcW w:w="7311" w:type="dxa"/>
            <w:vAlign w:val="center"/>
          </w:tcPr>
          <w:p w14:paraId="15DFCE6F">
            <w:pPr>
              <w:overflowPunct w:val="0"/>
              <w:adjustRightInd w:val="0"/>
              <w:snapToGrid w:val="0"/>
              <w:ind w:right="136" w:rightChars="65"/>
              <w:rPr>
                <w:rFonts w:eastAsia="仿宋"/>
                <w:szCs w:val="21"/>
              </w:rPr>
            </w:pPr>
            <w:r>
              <w:rPr>
                <w:rFonts w:eastAsia="仿宋"/>
                <w:szCs w:val="21"/>
              </w:rPr>
              <w:t>竞争性磋商</w:t>
            </w:r>
          </w:p>
        </w:tc>
      </w:tr>
      <w:tr w14:paraId="5E4785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11" w:type="dxa"/>
            <w:vAlign w:val="center"/>
          </w:tcPr>
          <w:p w14:paraId="6C370700">
            <w:pPr>
              <w:adjustRightInd w:val="0"/>
              <w:snapToGrid w:val="0"/>
              <w:jc w:val="center"/>
              <w:rPr>
                <w:rFonts w:eastAsia="仿宋"/>
                <w:szCs w:val="21"/>
              </w:rPr>
            </w:pPr>
            <w:r>
              <w:rPr>
                <w:rFonts w:eastAsia="仿宋"/>
                <w:szCs w:val="21"/>
              </w:rPr>
              <w:t>9</w:t>
            </w:r>
          </w:p>
        </w:tc>
        <w:tc>
          <w:tcPr>
            <w:tcW w:w="1699" w:type="dxa"/>
            <w:vAlign w:val="center"/>
          </w:tcPr>
          <w:p w14:paraId="16147CF8">
            <w:pPr>
              <w:overflowPunct w:val="0"/>
              <w:adjustRightInd w:val="0"/>
              <w:snapToGrid w:val="0"/>
              <w:ind w:right="136" w:rightChars="65"/>
              <w:jc w:val="center"/>
              <w:rPr>
                <w:rFonts w:eastAsia="仿宋"/>
                <w:szCs w:val="21"/>
              </w:rPr>
            </w:pPr>
            <w:r>
              <w:rPr>
                <w:rFonts w:eastAsia="仿宋"/>
                <w:szCs w:val="21"/>
              </w:rPr>
              <w:t>公告媒体</w:t>
            </w:r>
          </w:p>
        </w:tc>
        <w:tc>
          <w:tcPr>
            <w:tcW w:w="7311" w:type="dxa"/>
            <w:vAlign w:val="center"/>
          </w:tcPr>
          <w:p w14:paraId="2B0AF436">
            <w:pPr>
              <w:overflowPunct w:val="0"/>
              <w:adjustRightInd w:val="0"/>
              <w:snapToGrid w:val="0"/>
              <w:ind w:right="136" w:rightChars="65"/>
              <w:jc w:val="left"/>
              <w:rPr>
                <w:rFonts w:eastAsia="仿宋"/>
                <w:szCs w:val="21"/>
              </w:rPr>
            </w:pPr>
            <w:r>
              <w:rPr>
                <w:rFonts w:eastAsia="仿宋"/>
                <w:szCs w:val="21"/>
              </w:rPr>
              <w:t>新疆政府采购网</w:t>
            </w:r>
          </w:p>
        </w:tc>
      </w:tr>
      <w:tr w14:paraId="19C37B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11" w:type="dxa"/>
            <w:vAlign w:val="center"/>
          </w:tcPr>
          <w:p w14:paraId="78D376FA">
            <w:pPr>
              <w:adjustRightInd w:val="0"/>
              <w:snapToGrid w:val="0"/>
              <w:jc w:val="center"/>
              <w:rPr>
                <w:rFonts w:eastAsia="仿宋"/>
                <w:szCs w:val="21"/>
              </w:rPr>
            </w:pPr>
            <w:r>
              <w:rPr>
                <w:rFonts w:eastAsia="仿宋"/>
                <w:szCs w:val="21"/>
              </w:rPr>
              <w:t>10</w:t>
            </w:r>
          </w:p>
        </w:tc>
        <w:tc>
          <w:tcPr>
            <w:tcW w:w="1699" w:type="dxa"/>
            <w:vAlign w:val="center"/>
          </w:tcPr>
          <w:p w14:paraId="6388583E">
            <w:pPr>
              <w:adjustRightInd w:val="0"/>
              <w:snapToGrid w:val="0"/>
              <w:jc w:val="center"/>
              <w:rPr>
                <w:rFonts w:eastAsia="仿宋"/>
                <w:szCs w:val="21"/>
              </w:rPr>
            </w:pPr>
            <w:r>
              <w:rPr>
                <w:rFonts w:eastAsia="仿宋"/>
                <w:szCs w:val="21"/>
              </w:rPr>
              <w:t>供应商</w:t>
            </w:r>
          </w:p>
          <w:p w14:paraId="00AE3372">
            <w:pPr>
              <w:adjustRightInd w:val="0"/>
              <w:snapToGrid w:val="0"/>
              <w:jc w:val="center"/>
              <w:rPr>
                <w:rFonts w:eastAsia="仿宋"/>
                <w:szCs w:val="21"/>
              </w:rPr>
            </w:pPr>
            <w:r>
              <w:rPr>
                <w:rFonts w:eastAsia="仿宋"/>
                <w:szCs w:val="21"/>
                <w:lang w:eastAsia="en-US"/>
              </w:rPr>
              <w:t>资格条件</w:t>
            </w:r>
          </w:p>
        </w:tc>
        <w:tc>
          <w:tcPr>
            <w:tcW w:w="7311" w:type="dxa"/>
            <w:vAlign w:val="center"/>
          </w:tcPr>
          <w:p w14:paraId="35F845A0">
            <w:pPr>
              <w:overflowPunct w:val="0"/>
              <w:adjustRightInd w:val="0"/>
              <w:snapToGrid w:val="0"/>
              <w:ind w:right="136" w:rightChars="65" w:firstLine="420" w:firstLineChars="200"/>
              <w:rPr>
                <w:rFonts w:eastAsia="仿宋"/>
                <w:szCs w:val="21"/>
              </w:rPr>
            </w:pPr>
            <w:r>
              <w:rPr>
                <w:rFonts w:eastAsia="仿宋"/>
                <w:szCs w:val="21"/>
              </w:rPr>
              <w:t>1.满足《中华人民共和国政府采购法》第二十二条规定；</w:t>
            </w:r>
          </w:p>
          <w:p w14:paraId="1093E139">
            <w:pPr>
              <w:overflowPunct w:val="0"/>
              <w:adjustRightInd w:val="0"/>
              <w:snapToGrid w:val="0"/>
              <w:ind w:right="136" w:rightChars="65" w:firstLine="420" w:firstLineChars="200"/>
              <w:rPr>
                <w:rFonts w:eastAsia="仿宋"/>
                <w:szCs w:val="21"/>
              </w:rPr>
            </w:pPr>
            <w:r>
              <w:rPr>
                <w:rFonts w:eastAsia="仿宋"/>
                <w:szCs w:val="21"/>
              </w:rPr>
              <w:t>2.落实政府采购政策需满足的资格要求：本项目为专门面向中小企业采购的项目；</w:t>
            </w:r>
          </w:p>
          <w:p w14:paraId="1433FB56">
            <w:pPr>
              <w:overflowPunct w:val="0"/>
              <w:adjustRightInd w:val="0"/>
              <w:snapToGrid w:val="0"/>
              <w:ind w:right="136" w:rightChars="65" w:firstLine="420" w:firstLineChars="200"/>
              <w:rPr>
                <w:rFonts w:eastAsia="仿宋"/>
                <w:szCs w:val="21"/>
              </w:rPr>
            </w:pPr>
            <w:r>
              <w:rPr>
                <w:rFonts w:eastAsia="仿宋"/>
                <w:szCs w:val="21"/>
              </w:rPr>
              <w:t>3.本项目的特定资格要求：</w:t>
            </w:r>
          </w:p>
          <w:p w14:paraId="293DCB7D">
            <w:pPr>
              <w:overflowPunct w:val="0"/>
              <w:adjustRightInd w:val="0"/>
              <w:snapToGrid w:val="0"/>
              <w:ind w:right="136" w:rightChars="65" w:firstLine="420" w:firstLineChars="200"/>
              <w:rPr>
                <w:rFonts w:eastAsia="仿宋"/>
                <w:szCs w:val="21"/>
              </w:rPr>
            </w:pPr>
            <w:r>
              <w:rPr>
                <w:rFonts w:eastAsia="仿宋"/>
                <w:szCs w:val="21"/>
              </w:rPr>
              <w:t>（1）供应商须在“信用中国”（www.creditchina.gov.cn）和中国政府采购网（www.ccgp.gov.cn）网站上未被列入失信被执行人、重大税收违法案件当事人名单以及政府采购严重违法失信行为记录名单（查询时间为自公告发布之日后）</w:t>
            </w:r>
          </w:p>
          <w:p w14:paraId="42B44B8F">
            <w:pPr>
              <w:overflowPunct w:val="0"/>
              <w:adjustRightInd w:val="0"/>
              <w:snapToGrid w:val="0"/>
              <w:ind w:right="136" w:rightChars="65" w:firstLine="420" w:firstLineChars="200"/>
              <w:rPr>
                <w:rFonts w:eastAsia="仿宋"/>
                <w:szCs w:val="21"/>
              </w:rPr>
            </w:pPr>
            <w:r>
              <w:rPr>
                <w:rFonts w:eastAsia="仿宋"/>
                <w:szCs w:val="21"/>
              </w:rPr>
              <w:t>（2）其他说明：（A）与采购人存在利害关系可能影响采购公正性的法人、其他组织或者个人，不得参加本次采购活动。（B）单位负责人为同一人或者存在直接控股、管理关系的不同供应商，不得参加同一合同项下的政府采购活动。除单一来源采购项目外，为采购项目提供整体设计、规范编制或者项目管理、监理、检测等服务的供应商，不得再参加该采购项目的其他采购活动。</w:t>
            </w:r>
          </w:p>
        </w:tc>
      </w:tr>
      <w:tr w14:paraId="33BF10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11" w:type="dxa"/>
            <w:vAlign w:val="center"/>
          </w:tcPr>
          <w:p w14:paraId="7B75F7CE">
            <w:pPr>
              <w:adjustRightInd w:val="0"/>
              <w:snapToGrid w:val="0"/>
              <w:jc w:val="center"/>
              <w:rPr>
                <w:rFonts w:eastAsia="仿宋"/>
                <w:szCs w:val="21"/>
              </w:rPr>
            </w:pPr>
            <w:r>
              <w:rPr>
                <w:rFonts w:eastAsia="仿宋"/>
                <w:szCs w:val="21"/>
              </w:rPr>
              <w:t>11</w:t>
            </w:r>
          </w:p>
        </w:tc>
        <w:tc>
          <w:tcPr>
            <w:tcW w:w="1699" w:type="dxa"/>
            <w:vAlign w:val="center"/>
          </w:tcPr>
          <w:p w14:paraId="77B08953">
            <w:pPr>
              <w:adjustRightInd w:val="0"/>
              <w:snapToGrid w:val="0"/>
              <w:jc w:val="center"/>
              <w:rPr>
                <w:rFonts w:eastAsia="仿宋"/>
                <w:szCs w:val="21"/>
              </w:rPr>
            </w:pPr>
            <w:r>
              <w:rPr>
                <w:rFonts w:eastAsia="仿宋"/>
                <w:b/>
                <w:bCs/>
                <w:szCs w:val="21"/>
              </w:rPr>
              <w:t>资格审查内容</w:t>
            </w:r>
          </w:p>
        </w:tc>
        <w:tc>
          <w:tcPr>
            <w:tcW w:w="7311" w:type="dxa"/>
            <w:vAlign w:val="center"/>
          </w:tcPr>
          <w:p w14:paraId="4A914025">
            <w:pPr>
              <w:overflowPunct w:val="0"/>
              <w:adjustRightInd w:val="0"/>
              <w:snapToGrid w:val="0"/>
              <w:ind w:right="136" w:rightChars="65"/>
              <w:rPr>
                <w:rFonts w:eastAsia="仿宋"/>
                <w:b/>
                <w:bCs/>
                <w:szCs w:val="21"/>
              </w:rPr>
            </w:pPr>
            <w:r>
              <w:rPr>
                <w:rFonts w:eastAsia="仿宋"/>
                <w:b/>
                <w:bCs/>
                <w:szCs w:val="21"/>
              </w:rPr>
              <w:t>供应商必须按照采购文件要求提交资格证明材料。</w:t>
            </w:r>
          </w:p>
          <w:p w14:paraId="4156A32F">
            <w:pPr>
              <w:overflowPunct w:val="0"/>
              <w:adjustRightInd w:val="0"/>
              <w:snapToGrid w:val="0"/>
              <w:ind w:right="136" w:rightChars="65"/>
              <w:rPr>
                <w:rFonts w:eastAsia="仿宋"/>
                <w:b/>
                <w:bCs/>
                <w:szCs w:val="21"/>
              </w:rPr>
            </w:pPr>
            <w:r>
              <w:rPr>
                <w:rFonts w:eastAsia="仿宋"/>
                <w:b/>
                <w:bCs/>
                <w:szCs w:val="21"/>
              </w:rPr>
              <w:t>由于供应商自身原因导致提交的电子文件无法识别的后果自负。</w:t>
            </w:r>
          </w:p>
        </w:tc>
      </w:tr>
      <w:tr w14:paraId="3BB6A7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11" w:type="dxa"/>
            <w:vAlign w:val="center"/>
          </w:tcPr>
          <w:p w14:paraId="43E6E577">
            <w:pPr>
              <w:adjustRightInd w:val="0"/>
              <w:snapToGrid w:val="0"/>
              <w:jc w:val="center"/>
              <w:rPr>
                <w:rFonts w:eastAsia="仿宋"/>
                <w:szCs w:val="21"/>
              </w:rPr>
            </w:pPr>
            <w:r>
              <w:rPr>
                <w:rFonts w:eastAsia="仿宋"/>
                <w:szCs w:val="21"/>
              </w:rPr>
              <w:t>12</w:t>
            </w:r>
          </w:p>
        </w:tc>
        <w:tc>
          <w:tcPr>
            <w:tcW w:w="1699" w:type="dxa"/>
            <w:vAlign w:val="center"/>
          </w:tcPr>
          <w:p w14:paraId="0BFDF055">
            <w:pPr>
              <w:adjustRightInd w:val="0"/>
              <w:snapToGrid w:val="0"/>
              <w:jc w:val="center"/>
              <w:rPr>
                <w:rFonts w:eastAsia="仿宋"/>
                <w:snapToGrid w:val="0"/>
                <w:szCs w:val="21"/>
              </w:rPr>
            </w:pPr>
            <w:r>
              <w:rPr>
                <w:rFonts w:eastAsia="仿宋"/>
                <w:snapToGrid w:val="0"/>
                <w:szCs w:val="21"/>
                <w:lang w:eastAsia="en-US"/>
              </w:rPr>
              <w:t>联合体</w:t>
            </w:r>
          </w:p>
        </w:tc>
        <w:tc>
          <w:tcPr>
            <w:tcW w:w="7311" w:type="dxa"/>
            <w:vAlign w:val="center"/>
          </w:tcPr>
          <w:p w14:paraId="27F9A826">
            <w:pPr>
              <w:adjustRightInd w:val="0"/>
              <w:snapToGrid w:val="0"/>
              <w:rPr>
                <w:rFonts w:eastAsia="仿宋"/>
                <w:snapToGrid w:val="0"/>
                <w:szCs w:val="21"/>
              </w:rPr>
            </w:pPr>
            <w:r>
              <w:rPr>
                <w:rFonts w:ascii="Segoe UI Symbol" w:hAnsi="Segoe UI Symbol" w:eastAsia="仿宋" w:cs="Segoe UI Symbol"/>
                <w:snapToGrid w:val="0"/>
                <w:szCs w:val="21"/>
              </w:rPr>
              <w:t>☑</w:t>
            </w:r>
            <w:r>
              <w:rPr>
                <w:rFonts w:eastAsia="仿宋"/>
                <w:snapToGrid w:val="0"/>
                <w:szCs w:val="21"/>
              </w:rPr>
              <w:t xml:space="preserve">不接受   </w:t>
            </w:r>
            <w:r>
              <w:rPr>
                <w:rFonts w:eastAsia="仿宋"/>
                <w:snapToGrid w:val="0"/>
                <w:szCs w:val="21"/>
                <w:lang w:eastAsia="en-US"/>
              </w:rPr>
              <w:sym w:font="Wingdings 2" w:char="00A3"/>
            </w:r>
            <w:r>
              <w:rPr>
                <w:rFonts w:eastAsia="仿宋"/>
                <w:snapToGrid w:val="0"/>
                <w:szCs w:val="21"/>
              </w:rPr>
              <w:t>接受</w:t>
            </w:r>
          </w:p>
          <w:p w14:paraId="2FB48748">
            <w:pPr>
              <w:adjustRightInd w:val="0"/>
              <w:snapToGrid w:val="0"/>
              <w:rPr>
                <w:rFonts w:eastAsia="仿宋"/>
                <w:snapToGrid w:val="0"/>
                <w:szCs w:val="21"/>
              </w:rPr>
            </w:pPr>
            <w:r>
              <w:rPr>
                <w:rFonts w:eastAsia="仿宋"/>
                <w:snapToGrid w:val="0"/>
                <w:szCs w:val="21"/>
              </w:rPr>
              <w:t>不允许成交企供应商将合同主体、非主体和关键非关键性内容委托企业完成</w:t>
            </w:r>
          </w:p>
        </w:tc>
      </w:tr>
      <w:tr w14:paraId="3932B1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11" w:type="dxa"/>
            <w:vAlign w:val="center"/>
          </w:tcPr>
          <w:p w14:paraId="69560A77">
            <w:pPr>
              <w:adjustRightInd w:val="0"/>
              <w:snapToGrid w:val="0"/>
              <w:jc w:val="center"/>
              <w:rPr>
                <w:rFonts w:eastAsia="仿宋"/>
                <w:szCs w:val="21"/>
              </w:rPr>
            </w:pPr>
            <w:r>
              <w:rPr>
                <w:rFonts w:eastAsia="仿宋"/>
                <w:szCs w:val="21"/>
              </w:rPr>
              <w:t>13</w:t>
            </w:r>
          </w:p>
        </w:tc>
        <w:tc>
          <w:tcPr>
            <w:tcW w:w="1699" w:type="dxa"/>
            <w:vAlign w:val="center"/>
          </w:tcPr>
          <w:p w14:paraId="24DC545E">
            <w:pPr>
              <w:adjustRightInd w:val="0"/>
              <w:snapToGrid w:val="0"/>
              <w:jc w:val="center"/>
              <w:rPr>
                <w:rFonts w:eastAsia="仿宋"/>
                <w:b/>
                <w:bCs/>
                <w:snapToGrid w:val="0"/>
                <w:szCs w:val="21"/>
                <w:lang w:eastAsia="en-US"/>
              </w:rPr>
            </w:pPr>
            <w:r>
              <w:rPr>
                <w:rFonts w:eastAsia="仿宋"/>
                <w:szCs w:val="21"/>
              </w:rPr>
              <w:t>磋商有效期</w:t>
            </w:r>
          </w:p>
        </w:tc>
        <w:tc>
          <w:tcPr>
            <w:tcW w:w="7311" w:type="dxa"/>
            <w:vAlign w:val="center"/>
          </w:tcPr>
          <w:p w14:paraId="339D6B86">
            <w:pPr>
              <w:adjustRightInd w:val="0"/>
              <w:snapToGrid w:val="0"/>
              <w:jc w:val="left"/>
              <w:rPr>
                <w:rFonts w:eastAsia="仿宋"/>
                <w:snapToGrid w:val="0"/>
                <w:szCs w:val="21"/>
              </w:rPr>
            </w:pPr>
            <w:r>
              <w:rPr>
                <w:rFonts w:eastAsia="仿宋"/>
                <w:szCs w:val="21"/>
              </w:rPr>
              <w:t>90日历日（从递交响应文件截止时间起计算）。</w:t>
            </w:r>
          </w:p>
        </w:tc>
      </w:tr>
      <w:tr w14:paraId="652099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11" w:type="dxa"/>
            <w:vAlign w:val="center"/>
          </w:tcPr>
          <w:p w14:paraId="68C4A9DF">
            <w:pPr>
              <w:adjustRightInd w:val="0"/>
              <w:snapToGrid w:val="0"/>
              <w:jc w:val="center"/>
              <w:rPr>
                <w:rFonts w:eastAsia="仿宋"/>
                <w:szCs w:val="21"/>
              </w:rPr>
            </w:pPr>
            <w:r>
              <w:rPr>
                <w:rFonts w:eastAsia="仿宋"/>
                <w:szCs w:val="21"/>
              </w:rPr>
              <w:t>14</w:t>
            </w:r>
          </w:p>
        </w:tc>
        <w:tc>
          <w:tcPr>
            <w:tcW w:w="1699" w:type="dxa"/>
            <w:vAlign w:val="center"/>
          </w:tcPr>
          <w:p w14:paraId="5BB5C0A1">
            <w:pPr>
              <w:adjustRightInd w:val="0"/>
              <w:snapToGrid w:val="0"/>
              <w:jc w:val="center"/>
              <w:rPr>
                <w:rFonts w:eastAsia="仿宋"/>
                <w:szCs w:val="21"/>
              </w:rPr>
            </w:pPr>
            <w:r>
              <w:rPr>
                <w:rFonts w:eastAsia="仿宋"/>
                <w:szCs w:val="21"/>
              </w:rPr>
              <w:t>合同履约期限</w:t>
            </w:r>
          </w:p>
        </w:tc>
        <w:tc>
          <w:tcPr>
            <w:tcW w:w="7311" w:type="dxa"/>
            <w:vAlign w:val="center"/>
          </w:tcPr>
          <w:p w14:paraId="203A8C1C">
            <w:pPr>
              <w:adjustRightInd w:val="0"/>
              <w:snapToGrid w:val="0"/>
              <w:rPr>
                <w:rFonts w:eastAsia="仿宋"/>
                <w:szCs w:val="21"/>
              </w:rPr>
            </w:pPr>
            <w:r>
              <w:rPr>
                <w:rFonts w:hint="eastAsia" w:eastAsia="仿宋"/>
                <w:szCs w:val="21"/>
              </w:rPr>
              <w:t>中标方应在合同签订后，甲方材料到场7个日历日内完成机械零部件的加工工作；在零部件及其他成套设备到场的14个日历日内完成装配工作；现场调试服务期限到2026年12月31日结束或自治区验收通过之日，以两者最晚时间为准。</w:t>
            </w:r>
          </w:p>
        </w:tc>
      </w:tr>
      <w:tr w14:paraId="5977ED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11" w:type="dxa"/>
            <w:vAlign w:val="center"/>
          </w:tcPr>
          <w:p w14:paraId="2EB91A80">
            <w:pPr>
              <w:adjustRightInd w:val="0"/>
              <w:snapToGrid w:val="0"/>
              <w:jc w:val="center"/>
              <w:rPr>
                <w:rFonts w:eastAsia="仿宋"/>
                <w:szCs w:val="21"/>
              </w:rPr>
            </w:pPr>
            <w:r>
              <w:rPr>
                <w:rFonts w:eastAsia="仿宋"/>
                <w:szCs w:val="21"/>
              </w:rPr>
              <w:t>15</w:t>
            </w:r>
          </w:p>
        </w:tc>
        <w:tc>
          <w:tcPr>
            <w:tcW w:w="1699" w:type="dxa"/>
            <w:vAlign w:val="center"/>
          </w:tcPr>
          <w:p w14:paraId="0E3A6FDA">
            <w:pPr>
              <w:adjustRightInd w:val="0"/>
              <w:snapToGrid w:val="0"/>
              <w:jc w:val="center"/>
              <w:rPr>
                <w:rFonts w:eastAsia="仿宋"/>
                <w:szCs w:val="21"/>
              </w:rPr>
            </w:pPr>
            <w:r>
              <w:rPr>
                <w:rFonts w:eastAsia="仿宋"/>
                <w:bCs/>
                <w:szCs w:val="21"/>
              </w:rPr>
              <w:t>验收</w:t>
            </w:r>
          </w:p>
        </w:tc>
        <w:tc>
          <w:tcPr>
            <w:tcW w:w="7311" w:type="dxa"/>
            <w:vAlign w:val="center"/>
          </w:tcPr>
          <w:p w14:paraId="72E1BF61">
            <w:pPr>
              <w:pStyle w:val="18"/>
              <w:adjustRightInd w:val="0"/>
              <w:spacing w:line="240" w:lineRule="auto"/>
              <w:rPr>
                <w:rFonts w:eastAsia="仿宋"/>
                <w:sz w:val="21"/>
                <w:szCs w:val="21"/>
              </w:rPr>
            </w:pPr>
            <w:r>
              <w:rPr>
                <w:rFonts w:eastAsia="仿宋"/>
                <w:kern w:val="0"/>
                <w:sz w:val="21"/>
                <w:szCs w:val="21"/>
              </w:rPr>
              <w:t>/</w:t>
            </w:r>
          </w:p>
        </w:tc>
      </w:tr>
      <w:tr w14:paraId="250B55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11" w:type="dxa"/>
            <w:vAlign w:val="center"/>
          </w:tcPr>
          <w:p w14:paraId="68DEBAFC">
            <w:pPr>
              <w:adjustRightInd w:val="0"/>
              <w:snapToGrid w:val="0"/>
              <w:jc w:val="center"/>
              <w:rPr>
                <w:rFonts w:eastAsia="仿宋"/>
                <w:szCs w:val="21"/>
              </w:rPr>
            </w:pPr>
            <w:r>
              <w:rPr>
                <w:rFonts w:eastAsia="仿宋"/>
                <w:szCs w:val="21"/>
              </w:rPr>
              <w:t>16</w:t>
            </w:r>
          </w:p>
        </w:tc>
        <w:tc>
          <w:tcPr>
            <w:tcW w:w="1699" w:type="dxa"/>
            <w:vAlign w:val="center"/>
          </w:tcPr>
          <w:p w14:paraId="43B848F0">
            <w:pPr>
              <w:adjustRightInd w:val="0"/>
              <w:snapToGrid w:val="0"/>
              <w:jc w:val="center"/>
              <w:rPr>
                <w:rFonts w:eastAsia="仿宋"/>
                <w:szCs w:val="21"/>
              </w:rPr>
            </w:pPr>
            <w:r>
              <w:rPr>
                <w:rFonts w:eastAsia="仿宋"/>
                <w:szCs w:val="21"/>
              </w:rPr>
              <w:t>付款方式</w:t>
            </w:r>
          </w:p>
        </w:tc>
        <w:tc>
          <w:tcPr>
            <w:tcW w:w="7311" w:type="dxa"/>
            <w:vAlign w:val="center"/>
          </w:tcPr>
          <w:p w14:paraId="0FD2EE8A">
            <w:pPr>
              <w:adjustRightInd w:val="0"/>
              <w:snapToGrid w:val="0"/>
              <w:jc w:val="left"/>
              <w:rPr>
                <w:rFonts w:eastAsia="仿宋"/>
                <w:szCs w:val="21"/>
              </w:rPr>
            </w:pPr>
            <w:r>
              <w:rPr>
                <w:rFonts w:eastAsia="仿宋"/>
                <w:szCs w:val="21"/>
              </w:rPr>
              <w:t>1、付款币种：人民币支付。</w:t>
            </w:r>
          </w:p>
          <w:p w14:paraId="26BEB3F3">
            <w:pPr>
              <w:adjustRightInd w:val="0"/>
              <w:snapToGrid w:val="0"/>
              <w:jc w:val="left"/>
              <w:rPr>
                <w:rFonts w:eastAsia="仿宋"/>
                <w:szCs w:val="21"/>
              </w:rPr>
            </w:pPr>
            <w:r>
              <w:rPr>
                <w:rFonts w:eastAsia="仿宋"/>
                <w:szCs w:val="21"/>
              </w:rPr>
              <w:t>2、付款方式：</w:t>
            </w:r>
            <w:r>
              <w:rPr>
                <w:rFonts w:hint="eastAsia" w:eastAsia="仿宋"/>
                <w:szCs w:val="21"/>
              </w:rPr>
              <w:t>甲方分阶段支付费用，机械加工阶段完成并通过验收之日起5个工作日内支付合同价的30%，装配阶段完成并通过甲方验收之日起5个工作日内支付合同价30%，项目现场服务到2026年10月31日通过甲方验收之日起5个工作日内支付合同价35%，项目通过验收之日起5个工作日内结清余额。</w:t>
            </w:r>
          </w:p>
        </w:tc>
      </w:tr>
      <w:tr w14:paraId="7D789E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11" w:type="dxa"/>
            <w:vAlign w:val="center"/>
          </w:tcPr>
          <w:p w14:paraId="3EE2B45A">
            <w:pPr>
              <w:adjustRightInd w:val="0"/>
              <w:snapToGrid w:val="0"/>
              <w:jc w:val="center"/>
              <w:rPr>
                <w:rFonts w:eastAsia="仿宋"/>
                <w:szCs w:val="21"/>
              </w:rPr>
            </w:pPr>
            <w:r>
              <w:rPr>
                <w:rFonts w:eastAsia="仿宋"/>
                <w:szCs w:val="21"/>
              </w:rPr>
              <w:t>17</w:t>
            </w:r>
          </w:p>
        </w:tc>
        <w:tc>
          <w:tcPr>
            <w:tcW w:w="1699" w:type="dxa"/>
            <w:vAlign w:val="center"/>
          </w:tcPr>
          <w:p w14:paraId="1A2DA6C2">
            <w:pPr>
              <w:adjustRightInd w:val="0"/>
              <w:snapToGrid w:val="0"/>
              <w:jc w:val="center"/>
              <w:rPr>
                <w:rFonts w:eastAsia="仿宋"/>
                <w:snapToGrid w:val="0"/>
                <w:szCs w:val="21"/>
              </w:rPr>
            </w:pPr>
            <w:r>
              <w:rPr>
                <w:rFonts w:eastAsia="仿宋"/>
                <w:snapToGrid w:val="0"/>
                <w:szCs w:val="21"/>
                <w:lang w:eastAsia="en-US"/>
              </w:rPr>
              <w:t>信用查询</w:t>
            </w:r>
            <w:r>
              <w:rPr>
                <w:rFonts w:eastAsia="仿宋"/>
                <w:snapToGrid w:val="0"/>
                <w:szCs w:val="21"/>
              </w:rPr>
              <w:t>方法</w:t>
            </w:r>
          </w:p>
        </w:tc>
        <w:tc>
          <w:tcPr>
            <w:tcW w:w="7311" w:type="dxa"/>
            <w:vAlign w:val="center"/>
          </w:tcPr>
          <w:p w14:paraId="64630D95">
            <w:pPr>
              <w:tabs>
                <w:tab w:val="left" w:pos="3303"/>
              </w:tabs>
              <w:adjustRightInd w:val="0"/>
              <w:snapToGrid w:val="0"/>
              <w:ind w:firstLine="422" w:firstLineChars="200"/>
              <w:rPr>
                <w:rFonts w:eastAsia="仿宋"/>
                <w:snapToGrid w:val="0"/>
                <w:szCs w:val="21"/>
              </w:rPr>
            </w:pPr>
            <w:r>
              <w:rPr>
                <w:rFonts w:eastAsia="仿宋"/>
                <w:b/>
                <w:bCs/>
                <w:snapToGrid w:val="0"/>
                <w:szCs w:val="21"/>
              </w:rPr>
              <w:sym w:font="Wingdings 2" w:char="00A3"/>
            </w:r>
            <w:r>
              <w:rPr>
                <w:rFonts w:eastAsia="仿宋"/>
                <w:b/>
                <w:bCs/>
                <w:snapToGrid w:val="0"/>
                <w:szCs w:val="21"/>
              </w:rPr>
              <w:t>供应商自行查询上述记录，如实提供无不良信用记录并加盖供应商公章。本项目信用记录查询截止时点为</w:t>
            </w:r>
            <w:r>
              <w:rPr>
                <w:rFonts w:eastAsia="仿宋"/>
                <w:b/>
                <w:bCs/>
                <w:snapToGrid w:val="0"/>
                <w:szCs w:val="21"/>
                <w:u w:val="single"/>
              </w:rPr>
              <w:t>响应文件开启时间。</w:t>
            </w:r>
          </w:p>
          <w:p w14:paraId="470CF44E">
            <w:pPr>
              <w:adjustRightInd w:val="0"/>
              <w:snapToGrid w:val="0"/>
              <w:ind w:firstLine="420" w:firstLineChars="200"/>
              <w:rPr>
                <w:rFonts w:eastAsia="仿宋"/>
                <w:snapToGrid w:val="0"/>
                <w:szCs w:val="21"/>
              </w:rPr>
            </w:pPr>
            <w:r>
              <w:rPr>
                <w:rFonts w:eastAsia="仿宋"/>
                <w:snapToGrid w:val="0"/>
                <w:szCs w:val="21"/>
              </w:rPr>
              <w:sym w:font="Wingdings 2" w:char="0052"/>
            </w:r>
            <w:r>
              <w:rPr>
                <w:rFonts w:eastAsia="仿宋"/>
                <w:snapToGrid w:val="0"/>
                <w:szCs w:val="21"/>
              </w:rPr>
              <w:t>由采购人代表或者采购代理机构在通过“政采云”平台→信用情况→“信用中国”网站(www.creditchina.gov.cn)、中国政府采购网(www.ccgp.gov.cn)链接入口进行精确查询。在查询网站中直接打印查询记录，截图另存为电子文档作为评审资料保存。</w:t>
            </w:r>
          </w:p>
          <w:p w14:paraId="570532BF">
            <w:pPr>
              <w:adjustRightInd w:val="0"/>
              <w:snapToGrid w:val="0"/>
              <w:ind w:firstLine="420" w:firstLineChars="200"/>
              <w:rPr>
                <w:rFonts w:eastAsia="仿宋"/>
                <w:snapToGrid w:val="0"/>
                <w:szCs w:val="21"/>
              </w:rPr>
            </w:pPr>
            <w:r>
              <w:rPr>
                <w:rFonts w:eastAsia="仿宋"/>
                <w:snapToGrid w:val="0"/>
                <w:szCs w:val="21"/>
              </w:rPr>
              <w:t>对在“信用中国”网站(www.creditchina.gov.cn)、中国政府采购网(www.ccgp.gov.cn)被列入失信被执行人、重大税收违法案件当事人名单、政府采购严重违法失信行为记录名单及其他不符合《中华人民共和国政府采购法》第二十二条规定条件的供应商，资格审查不通过，不得参与政府采购活动。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521ABD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11" w:type="dxa"/>
            <w:vAlign w:val="center"/>
          </w:tcPr>
          <w:p w14:paraId="1757428A">
            <w:pPr>
              <w:adjustRightInd w:val="0"/>
              <w:snapToGrid w:val="0"/>
              <w:jc w:val="center"/>
              <w:rPr>
                <w:rFonts w:eastAsia="仿宋"/>
                <w:szCs w:val="21"/>
              </w:rPr>
            </w:pPr>
            <w:r>
              <w:rPr>
                <w:rFonts w:eastAsia="仿宋"/>
                <w:szCs w:val="21"/>
              </w:rPr>
              <w:t>18</w:t>
            </w:r>
          </w:p>
        </w:tc>
        <w:tc>
          <w:tcPr>
            <w:tcW w:w="1699" w:type="dxa"/>
            <w:vAlign w:val="center"/>
          </w:tcPr>
          <w:p w14:paraId="09A06700">
            <w:pPr>
              <w:adjustRightInd w:val="0"/>
              <w:snapToGrid w:val="0"/>
              <w:jc w:val="center"/>
              <w:rPr>
                <w:rFonts w:eastAsia="仿宋"/>
                <w:snapToGrid w:val="0"/>
                <w:szCs w:val="21"/>
              </w:rPr>
            </w:pPr>
            <w:r>
              <w:rPr>
                <w:rFonts w:eastAsia="仿宋"/>
                <w:snapToGrid w:val="0"/>
                <w:szCs w:val="21"/>
              </w:rPr>
              <w:t>响应文件编制须知</w:t>
            </w:r>
          </w:p>
        </w:tc>
        <w:tc>
          <w:tcPr>
            <w:tcW w:w="7311" w:type="dxa"/>
            <w:vAlign w:val="center"/>
          </w:tcPr>
          <w:p w14:paraId="699C2DAF">
            <w:pPr>
              <w:adjustRightInd w:val="0"/>
              <w:snapToGrid w:val="0"/>
              <w:ind w:firstLine="420" w:firstLineChars="200"/>
              <w:rPr>
                <w:rFonts w:eastAsia="仿宋"/>
                <w:snapToGrid w:val="0"/>
                <w:szCs w:val="21"/>
              </w:rPr>
            </w:pPr>
            <w:r>
              <w:rPr>
                <w:rFonts w:eastAsia="仿宋"/>
                <w:snapToGrid w:val="0"/>
                <w:szCs w:val="21"/>
              </w:rPr>
              <w:t>1.在磋商文件领取截止时间前，使用办理的CA数字证书，通过政采云平台（https://www.zcygov.cn/）窗口下载所投项目的磋商文件。</w:t>
            </w:r>
          </w:p>
          <w:p w14:paraId="279185BE">
            <w:pPr>
              <w:adjustRightInd w:val="0"/>
              <w:snapToGrid w:val="0"/>
              <w:ind w:firstLine="420" w:firstLineChars="200"/>
              <w:jc w:val="left"/>
              <w:rPr>
                <w:rFonts w:eastAsia="仿宋"/>
                <w:snapToGrid w:val="0"/>
                <w:szCs w:val="21"/>
              </w:rPr>
            </w:pPr>
            <w:r>
              <w:rPr>
                <w:rFonts w:eastAsia="仿宋"/>
                <w:snapToGrid w:val="0"/>
                <w:szCs w:val="21"/>
              </w:rPr>
              <w:t>2.供应商需在新疆政府采购网</w:t>
            </w:r>
            <w:r>
              <w:rPr>
                <w:rFonts w:eastAsia="仿宋"/>
                <w:snapToGrid w:val="0"/>
                <w:w w:val="80"/>
                <w:szCs w:val="21"/>
              </w:rPr>
              <w:t>（</w:t>
            </w:r>
            <w:r>
              <w:rPr>
                <w:rFonts w:eastAsia="仿宋"/>
                <w:snapToGrid w:val="0"/>
                <w:szCs w:val="21"/>
              </w:rPr>
              <w:t>http://www.ccgp-xinjiang.gov.cn/）下载专区自行下载政采云电子投标客户端。在电子投标客户端内制作对应的响应文件。响应文件制作完成后在响应截止时间前上传至政采云平台对应项目即可。</w:t>
            </w:r>
          </w:p>
          <w:p w14:paraId="14C48478">
            <w:pPr>
              <w:adjustRightInd w:val="0"/>
              <w:snapToGrid w:val="0"/>
              <w:ind w:firstLine="420" w:firstLineChars="200"/>
              <w:rPr>
                <w:rFonts w:eastAsia="仿宋"/>
                <w:szCs w:val="21"/>
              </w:rPr>
            </w:pPr>
            <w:r>
              <w:rPr>
                <w:rFonts w:eastAsia="仿宋"/>
                <w:snapToGrid w:val="0"/>
                <w:szCs w:val="21"/>
              </w:rPr>
              <w:t>3.磋商文件规定：不接受响应文件中出现的可选择或可调整的投标方案和报价，任何有选择的或可调整的投标方案和报价将被视为不响应磋商文件，将被拒绝。</w:t>
            </w:r>
          </w:p>
        </w:tc>
      </w:tr>
      <w:tr w14:paraId="7D9472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11" w:type="dxa"/>
            <w:vAlign w:val="center"/>
          </w:tcPr>
          <w:p w14:paraId="66D70E34">
            <w:pPr>
              <w:adjustRightInd w:val="0"/>
              <w:snapToGrid w:val="0"/>
              <w:jc w:val="center"/>
              <w:rPr>
                <w:rFonts w:eastAsia="仿宋"/>
                <w:bCs/>
                <w:szCs w:val="21"/>
              </w:rPr>
            </w:pPr>
            <w:r>
              <w:rPr>
                <w:rFonts w:eastAsia="仿宋"/>
                <w:bCs/>
                <w:szCs w:val="21"/>
              </w:rPr>
              <w:t>19</w:t>
            </w:r>
          </w:p>
        </w:tc>
        <w:tc>
          <w:tcPr>
            <w:tcW w:w="1699" w:type="dxa"/>
            <w:vAlign w:val="center"/>
          </w:tcPr>
          <w:p w14:paraId="6348D1F5">
            <w:pPr>
              <w:adjustRightInd w:val="0"/>
              <w:snapToGrid w:val="0"/>
              <w:jc w:val="center"/>
              <w:rPr>
                <w:rFonts w:eastAsia="仿宋"/>
                <w:snapToGrid w:val="0"/>
                <w:szCs w:val="21"/>
              </w:rPr>
            </w:pPr>
            <w:r>
              <w:rPr>
                <w:rFonts w:eastAsia="仿宋"/>
                <w:snapToGrid w:val="0"/>
                <w:szCs w:val="21"/>
              </w:rPr>
              <w:t>磋商文件的澄清</w:t>
            </w:r>
          </w:p>
        </w:tc>
        <w:tc>
          <w:tcPr>
            <w:tcW w:w="7311" w:type="dxa"/>
            <w:vAlign w:val="center"/>
          </w:tcPr>
          <w:p w14:paraId="7BAB8183">
            <w:pPr>
              <w:adjustRightInd w:val="0"/>
              <w:snapToGrid w:val="0"/>
              <w:ind w:firstLine="420" w:firstLineChars="200"/>
              <w:rPr>
                <w:rFonts w:eastAsia="仿宋"/>
                <w:snapToGrid w:val="0"/>
                <w:szCs w:val="21"/>
              </w:rPr>
            </w:pPr>
            <w:r>
              <w:rPr>
                <w:rFonts w:eastAsia="仿宋"/>
                <w:snapToGrid w:val="0"/>
                <w:szCs w:val="21"/>
              </w:rPr>
              <w:t>提交首次响应文件截止之日前，采购人、采购代理机构或者磋商小组可以对已发出的磋商文件进行必要的澄清或者修改，澄清或者修改的内容作为磋商文件的组成部分。澄清或者修改的内容可能影响响应文件编制的，采购人、采购代理机构应当在提交首次响应文件截止时间至少5日前，以书面形式通知所有获取磋商文件的供应商；不足5日的，采购人、采购代理机构应当顺延提交首次响应文件截止时间。</w:t>
            </w:r>
          </w:p>
        </w:tc>
      </w:tr>
      <w:tr w14:paraId="2FEFC1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11" w:type="dxa"/>
            <w:vAlign w:val="center"/>
          </w:tcPr>
          <w:p w14:paraId="4305182F">
            <w:pPr>
              <w:adjustRightInd w:val="0"/>
              <w:snapToGrid w:val="0"/>
              <w:jc w:val="center"/>
              <w:rPr>
                <w:rFonts w:eastAsia="仿宋"/>
                <w:bCs/>
                <w:szCs w:val="21"/>
              </w:rPr>
            </w:pPr>
            <w:r>
              <w:rPr>
                <w:rFonts w:eastAsia="仿宋"/>
                <w:bCs/>
                <w:szCs w:val="21"/>
              </w:rPr>
              <w:t>20</w:t>
            </w:r>
          </w:p>
        </w:tc>
        <w:tc>
          <w:tcPr>
            <w:tcW w:w="1699" w:type="dxa"/>
            <w:vAlign w:val="center"/>
          </w:tcPr>
          <w:p w14:paraId="357DAAB3">
            <w:pPr>
              <w:adjustRightInd w:val="0"/>
              <w:snapToGrid w:val="0"/>
              <w:jc w:val="center"/>
              <w:rPr>
                <w:rFonts w:eastAsia="仿宋"/>
                <w:szCs w:val="21"/>
              </w:rPr>
            </w:pPr>
            <w:r>
              <w:rPr>
                <w:rFonts w:eastAsia="仿宋"/>
                <w:szCs w:val="21"/>
              </w:rPr>
              <w:t>递交响应文件的截止时间和地点</w:t>
            </w:r>
          </w:p>
        </w:tc>
        <w:tc>
          <w:tcPr>
            <w:tcW w:w="7311" w:type="dxa"/>
            <w:vAlign w:val="center"/>
          </w:tcPr>
          <w:p w14:paraId="310A76E3">
            <w:pPr>
              <w:adjustRightInd w:val="0"/>
              <w:snapToGrid w:val="0"/>
              <w:rPr>
                <w:rFonts w:eastAsia="仿宋"/>
                <w:szCs w:val="21"/>
                <w:highlight w:val="none"/>
              </w:rPr>
            </w:pPr>
            <w:r>
              <w:rPr>
                <w:rFonts w:eastAsia="仿宋"/>
                <w:szCs w:val="21"/>
                <w:highlight w:val="none"/>
              </w:rPr>
              <w:t>1）递交时间：2026年</w:t>
            </w:r>
            <w:r>
              <w:rPr>
                <w:rFonts w:hint="eastAsia" w:eastAsia="仿宋"/>
                <w:szCs w:val="21"/>
                <w:highlight w:val="none"/>
              </w:rPr>
              <w:t>5</w:t>
            </w:r>
            <w:r>
              <w:rPr>
                <w:rFonts w:eastAsia="仿宋"/>
                <w:szCs w:val="21"/>
                <w:highlight w:val="none"/>
              </w:rPr>
              <w:t>月</w:t>
            </w:r>
            <w:r>
              <w:rPr>
                <w:rFonts w:hint="eastAsia" w:eastAsia="仿宋"/>
                <w:szCs w:val="21"/>
                <w:highlight w:val="none"/>
                <w:lang w:val="en-US" w:eastAsia="zh-CN"/>
              </w:rPr>
              <w:t>26</w:t>
            </w:r>
            <w:r>
              <w:rPr>
                <w:rFonts w:eastAsia="仿宋"/>
                <w:szCs w:val="21"/>
                <w:highlight w:val="none"/>
              </w:rPr>
              <w:t>日11:00时</w:t>
            </w:r>
          </w:p>
          <w:p w14:paraId="797F9E7B">
            <w:pPr>
              <w:adjustRightInd w:val="0"/>
              <w:snapToGrid w:val="0"/>
              <w:rPr>
                <w:rFonts w:eastAsia="仿宋"/>
                <w:szCs w:val="21"/>
                <w:highlight w:val="none"/>
              </w:rPr>
            </w:pPr>
            <w:r>
              <w:rPr>
                <w:rFonts w:eastAsia="仿宋"/>
                <w:szCs w:val="21"/>
                <w:highlight w:val="none"/>
              </w:rPr>
              <w:t>2）递交地点：请登录政采云投标客户端投标</w:t>
            </w:r>
          </w:p>
        </w:tc>
      </w:tr>
      <w:tr w14:paraId="3682A8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11" w:type="dxa"/>
            <w:vAlign w:val="center"/>
          </w:tcPr>
          <w:p w14:paraId="1BDE5BA2">
            <w:pPr>
              <w:adjustRightInd w:val="0"/>
              <w:snapToGrid w:val="0"/>
              <w:jc w:val="center"/>
              <w:rPr>
                <w:rFonts w:eastAsia="仿宋"/>
                <w:bCs/>
                <w:szCs w:val="21"/>
              </w:rPr>
            </w:pPr>
            <w:r>
              <w:rPr>
                <w:rFonts w:eastAsia="仿宋"/>
                <w:bCs/>
                <w:szCs w:val="21"/>
              </w:rPr>
              <w:t>21</w:t>
            </w:r>
          </w:p>
        </w:tc>
        <w:tc>
          <w:tcPr>
            <w:tcW w:w="1699" w:type="dxa"/>
            <w:vAlign w:val="center"/>
          </w:tcPr>
          <w:p w14:paraId="3C6E286C">
            <w:pPr>
              <w:adjustRightInd w:val="0"/>
              <w:snapToGrid w:val="0"/>
              <w:jc w:val="center"/>
              <w:rPr>
                <w:rFonts w:eastAsia="仿宋"/>
                <w:snapToGrid w:val="0"/>
                <w:szCs w:val="21"/>
              </w:rPr>
            </w:pPr>
            <w:r>
              <w:rPr>
                <w:rFonts w:eastAsia="仿宋"/>
                <w:snapToGrid w:val="0"/>
                <w:szCs w:val="21"/>
              </w:rPr>
              <w:t>响应文件开启时间和地点</w:t>
            </w:r>
          </w:p>
        </w:tc>
        <w:tc>
          <w:tcPr>
            <w:tcW w:w="7311" w:type="dxa"/>
            <w:vAlign w:val="center"/>
          </w:tcPr>
          <w:p w14:paraId="69119784">
            <w:pPr>
              <w:adjustRightInd w:val="0"/>
              <w:snapToGrid w:val="0"/>
              <w:rPr>
                <w:rFonts w:eastAsia="仿宋"/>
                <w:snapToGrid w:val="0"/>
                <w:szCs w:val="21"/>
                <w:highlight w:val="none"/>
              </w:rPr>
            </w:pPr>
            <w:r>
              <w:rPr>
                <w:rFonts w:eastAsia="仿宋"/>
                <w:snapToGrid w:val="0"/>
                <w:szCs w:val="21"/>
                <w:highlight w:val="none"/>
              </w:rPr>
              <w:t>1）开标时间：2026年</w:t>
            </w:r>
            <w:r>
              <w:rPr>
                <w:rFonts w:hint="eastAsia" w:eastAsia="仿宋"/>
                <w:snapToGrid w:val="0"/>
                <w:szCs w:val="21"/>
                <w:highlight w:val="none"/>
              </w:rPr>
              <w:t>5</w:t>
            </w:r>
            <w:r>
              <w:rPr>
                <w:rFonts w:eastAsia="仿宋"/>
                <w:snapToGrid w:val="0"/>
                <w:szCs w:val="21"/>
                <w:highlight w:val="none"/>
              </w:rPr>
              <w:t>月</w:t>
            </w:r>
            <w:r>
              <w:rPr>
                <w:rFonts w:hint="eastAsia" w:eastAsia="仿宋"/>
                <w:snapToGrid w:val="0"/>
                <w:szCs w:val="21"/>
                <w:highlight w:val="none"/>
                <w:lang w:val="en-US" w:eastAsia="zh-CN"/>
              </w:rPr>
              <w:t>26</w:t>
            </w:r>
            <w:r>
              <w:rPr>
                <w:rFonts w:eastAsia="仿宋"/>
                <w:snapToGrid w:val="0"/>
                <w:szCs w:val="21"/>
                <w:highlight w:val="none"/>
              </w:rPr>
              <w:t>日11:00</w:t>
            </w:r>
            <w:r>
              <w:rPr>
                <w:rFonts w:eastAsia="仿宋"/>
                <w:szCs w:val="21"/>
                <w:highlight w:val="none"/>
              </w:rPr>
              <w:t>时</w:t>
            </w:r>
          </w:p>
          <w:p w14:paraId="62EE8C73">
            <w:pPr>
              <w:adjustRightInd w:val="0"/>
              <w:snapToGrid w:val="0"/>
              <w:rPr>
                <w:rFonts w:eastAsia="仿宋"/>
                <w:snapToGrid w:val="0"/>
                <w:szCs w:val="21"/>
                <w:highlight w:val="none"/>
              </w:rPr>
            </w:pPr>
            <w:r>
              <w:rPr>
                <w:rFonts w:eastAsia="仿宋"/>
                <w:snapToGrid w:val="0"/>
                <w:szCs w:val="21"/>
                <w:highlight w:val="none"/>
              </w:rPr>
              <w:t>2）开标地点：供应商登录政采云平台https://www.zcygov.cn/，进入“项目采购-开标评标-右边选择对应项目点击“进入项目”进入开标大厅。</w:t>
            </w:r>
          </w:p>
          <w:p w14:paraId="748F0E63">
            <w:pPr>
              <w:adjustRightInd w:val="0"/>
              <w:snapToGrid w:val="0"/>
              <w:rPr>
                <w:rFonts w:eastAsia="仿宋"/>
                <w:b/>
                <w:bCs/>
                <w:snapToGrid w:val="0"/>
                <w:szCs w:val="21"/>
                <w:highlight w:val="none"/>
              </w:rPr>
            </w:pPr>
            <w:r>
              <w:rPr>
                <w:rFonts w:eastAsia="仿宋"/>
                <w:b/>
                <w:bCs/>
                <w:snapToGrid w:val="0"/>
                <w:szCs w:val="21"/>
                <w:highlight w:val="none"/>
              </w:rPr>
              <w:t>响应文件开启当日，供应商无需到达开标现场，仅需通过政采云平台“不见面”开标大厅完成远程解密。大厅操作提示：</w:t>
            </w:r>
          </w:p>
          <w:p w14:paraId="2F27DA69">
            <w:pPr>
              <w:adjustRightInd w:val="0"/>
              <w:snapToGrid w:val="0"/>
              <w:rPr>
                <w:rFonts w:eastAsia="仿宋"/>
                <w:b/>
                <w:bCs/>
                <w:snapToGrid w:val="0"/>
                <w:szCs w:val="21"/>
                <w:highlight w:val="none"/>
              </w:rPr>
            </w:pPr>
            <w:r>
              <w:rPr>
                <w:rFonts w:ascii="Cambria Math" w:hAnsi="Cambria Math" w:eastAsia="仿宋" w:cs="Cambria Math"/>
                <w:b/>
                <w:bCs/>
                <w:snapToGrid w:val="0"/>
                <w:szCs w:val="21"/>
                <w:highlight w:val="none"/>
              </w:rPr>
              <w:t>①</w:t>
            </w:r>
            <w:r>
              <w:rPr>
                <w:rFonts w:eastAsia="仿宋"/>
                <w:b/>
                <w:bCs/>
                <w:snapToGrid w:val="0"/>
                <w:szCs w:val="21"/>
                <w:highlight w:val="none"/>
              </w:rPr>
              <w:t>开标前一小时在系统进行在线签到；</w:t>
            </w:r>
          </w:p>
          <w:p w14:paraId="26F2BE18">
            <w:pPr>
              <w:adjustRightInd w:val="0"/>
              <w:snapToGrid w:val="0"/>
              <w:rPr>
                <w:rFonts w:eastAsia="仿宋"/>
                <w:b/>
                <w:bCs/>
                <w:snapToGrid w:val="0"/>
                <w:szCs w:val="21"/>
                <w:highlight w:val="none"/>
              </w:rPr>
            </w:pPr>
            <w:r>
              <w:rPr>
                <w:rFonts w:ascii="Cambria Math" w:hAnsi="Cambria Math" w:eastAsia="仿宋" w:cs="Cambria Math"/>
                <w:b/>
                <w:bCs/>
                <w:snapToGrid w:val="0"/>
                <w:szCs w:val="21"/>
                <w:highlight w:val="none"/>
              </w:rPr>
              <w:t>②</w:t>
            </w:r>
            <w:r>
              <w:rPr>
                <w:rFonts w:eastAsia="仿宋"/>
                <w:b/>
                <w:bCs/>
                <w:snapToGrid w:val="0"/>
                <w:szCs w:val="21"/>
                <w:highlight w:val="none"/>
              </w:rPr>
              <w:t>30分钟内完成在线解密；</w:t>
            </w:r>
          </w:p>
          <w:p w14:paraId="4973714A">
            <w:pPr>
              <w:adjustRightInd w:val="0"/>
              <w:snapToGrid w:val="0"/>
              <w:rPr>
                <w:rFonts w:eastAsia="仿宋"/>
                <w:b/>
                <w:bCs/>
                <w:snapToGrid w:val="0"/>
                <w:szCs w:val="21"/>
                <w:highlight w:val="none"/>
              </w:rPr>
            </w:pPr>
            <w:r>
              <w:rPr>
                <w:rFonts w:ascii="Cambria Math" w:hAnsi="Cambria Math" w:eastAsia="仿宋" w:cs="Cambria Math"/>
                <w:b/>
                <w:bCs/>
                <w:snapToGrid w:val="0"/>
                <w:szCs w:val="21"/>
                <w:highlight w:val="none"/>
              </w:rPr>
              <w:t>③</w:t>
            </w:r>
            <w:r>
              <w:rPr>
                <w:rFonts w:eastAsia="仿宋"/>
                <w:b/>
                <w:bCs/>
                <w:snapToGrid w:val="0"/>
                <w:szCs w:val="21"/>
                <w:highlight w:val="none"/>
              </w:rPr>
              <w:t>开标结束后30分钟内完成“开标一览表”在线签章。</w:t>
            </w:r>
          </w:p>
          <w:p w14:paraId="6CCE042A">
            <w:pPr>
              <w:adjustRightInd w:val="0"/>
              <w:snapToGrid w:val="0"/>
              <w:rPr>
                <w:rFonts w:eastAsia="仿宋"/>
                <w:kern w:val="0"/>
                <w:szCs w:val="21"/>
                <w:highlight w:val="none"/>
                <w:lang w:bidi="zh-CN"/>
              </w:rPr>
            </w:pPr>
            <w:r>
              <w:rPr>
                <w:rFonts w:eastAsia="仿宋"/>
                <w:b/>
                <w:bCs/>
                <w:snapToGrid w:val="0"/>
                <w:szCs w:val="21"/>
                <w:highlight w:val="none"/>
              </w:rPr>
              <w:t>注意：如未在规定时间进行以上操作，将导致投标（响应）无效。</w:t>
            </w:r>
          </w:p>
        </w:tc>
      </w:tr>
      <w:tr w14:paraId="402CAC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11" w:type="dxa"/>
            <w:vAlign w:val="center"/>
          </w:tcPr>
          <w:p w14:paraId="4D90EAB9">
            <w:pPr>
              <w:adjustRightInd w:val="0"/>
              <w:snapToGrid w:val="0"/>
              <w:jc w:val="center"/>
              <w:rPr>
                <w:rFonts w:eastAsia="仿宋"/>
                <w:bCs/>
                <w:szCs w:val="21"/>
              </w:rPr>
            </w:pPr>
            <w:r>
              <w:rPr>
                <w:rFonts w:eastAsia="仿宋"/>
                <w:bCs/>
                <w:szCs w:val="21"/>
              </w:rPr>
              <w:t>22</w:t>
            </w:r>
          </w:p>
        </w:tc>
        <w:tc>
          <w:tcPr>
            <w:tcW w:w="1699" w:type="dxa"/>
            <w:vAlign w:val="center"/>
          </w:tcPr>
          <w:p w14:paraId="4B89A9A7">
            <w:pPr>
              <w:adjustRightInd w:val="0"/>
              <w:snapToGrid w:val="0"/>
              <w:jc w:val="center"/>
              <w:rPr>
                <w:rFonts w:eastAsia="仿宋"/>
                <w:snapToGrid w:val="0"/>
                <w:szCs w:val="21"/>
              </w:rPr>
            </w:pPr>
            <w:r>
              <w:rPr>
                <w:rFonts w:eastAsia="仿宋"/>
                <w:snapToGrid w:val="0"/>
                <w:szCs w:val="21"/>
              </w:rPr>
              <w:t>磋商小组的组建及确定方式</w:t>
            </w:r>
          </w:p>
        </w:tc>
        <w:tc>
          <w:tcPr>
            <w:tcW w:w="7311" w:type="dxa"/>
            <w:vAlign w:val="center"/>
          </w:tcPr>
          <w:p w14:paraId="7B3E3B77">
            <w:pPr>
              <w:adjustRightInd w:val="0"/>
              <w:snapToGrid w:val="0"/>
              <w:jc w:val="left"/>
              <w:rPr>
                <w:rFonts w:eastAsia="仿宋"/>
                <w:snapToGrid w:val="0"/>
                <w:szCs w:val="21"/>
              </w:rPr>
            </w:pPr>
            <w:r>
              <w:rPr>
                <w:rFonts w:eastAsia="仿宋"/>
                <w:snapToGrid w:val="0"/>
                <w:szCs w:val="21"/>
              </w:rPr>
              <w:t>磋商小组人员组成：由采购人代表和评审专家共3人以上单数组成，其中评审专家人数不得少于磋商小组成员总数的2/3。</w:t>
            </w:r>
          </w:p>
          <w:p w14:paraId="1D7C2F3B">
            <w:pPr>
              <w:adjustRightInd w:val="0"/>
              <w:snapToGrid w:val="0"/>
              <w:jc w:val="left"/>
              <w:rPr>
                <w:rFonts w:eastAsia="仿宋"/>
                <w:snapToGrid w:val="0"/>
                <w:szCs w:val="21"/>
                <w:lang w:val="zh-CN"/>
              </w:rPr>
            </w:pPr>
            <w:r>
              <w:rPr>
                <w:rFonts w:eastAsia="仿宋"/>
                <w:snapToGrid w:val="0"/>
                <w:szCs w:val="21"/>
              </w:rPr>
              <w:t>评审专家确定方式：政采云专家库随机抽取</w:t>
            </w:r>
          </w:p>
        </w:tc>
      </w:tr>
      <w:tr w14:paraId="0AF274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11" w:type="dxa"/>
            <w:vAlign w:val="center"/>
          </w:tcPr>
          <w:p w14:paraId="0CE62BF9">
            <w:pPr>
              <w:adjustRightInd w:val="0"/>
              <w:snapToGrid w:val="0"/>
              <w:jc w:val="center"/>
              <w:rPr>
                <w:rFonts w:eastAsia="仿宋"/>
                <w:bCs/>
                <w:szCs w:val="21"/>
              </w:rPr>
            </w:pPr>
            <w:r>
              <w:rPr>
                <w:rFonts w:eastAsia="仿宋"/>
                <w:bCs/>
                <w:szCs w:val="21"/>
              </w:rPr>
              <w:t>23</w:t>
            </w:r>
          </w:p>
        </w:tc>
        <w:tc>
          <w:tcPr>
            <w:tcW w:w="1699" w:type="dxa"/>
            <w:vAlign w:val="center"/>
          </w:tcPr>
          <w:p w14:paraId="7531A062">
            <w:pPr>
              <w:adjustRightInd w:val="0"/>
              <w:snapToGrid w:val="0"/>
              <w:jc w:val="center"/>
              <w:rPr>
                <w:rFonts w:eastAsia="仿宋"/>
                <w:szCs w:val="21"/>
              </w:rPr>
            </w:pPr>
            <w:r>
              <w:rPr>
                <w:rFonts w:eastAsia="仿宋"/>
                <w:szCs w:val="21"/>
              </w:rPr>
              <w:t>磋商保证金的金额及缴纳</w:t>
            </w:r>
          </w:p>
          <w:p w14:paraId="0BE2C0E6">
            <w:pPr>
              <w:adjustRightInd w:val="0"/>
              <w:snapToGrid w:val="0"/>
              <w:jc w:val="center"/>
              <w:rPr>
                <w:rFonts w:eastAsia="仿宋"/>
                <w:szCs w:val="21"/>
              </w:rPr>
            </w:pPr>
            <w:r>
              <w:rPr>
                <w:rFonts w:eastAsia="仿宋"/>
                <w:szCs w:val="21"/>
              </w:rPr>
              <w:t>方式</w:t>
            </w:r>
          </w:p>
        </w:tc>
        <w:tc>
          <w:tcPr>
            <w:tcW w:w="7311" w:type="dxa"/>
            <w:vAlign w:val="center"/>
          </w:tcPr>
          <w:p w14:paraId="150EDD3F">
            <w:pPr>
              <w:pStyle w:val="14"/>
              <w:adjustRightInd w:val="0"/>
              <w:snapToGrid w:val="0"/>
              <w:jc w:val="left"/>
              <w:rPr>
                <w:rFonts w:ascii="Times New Roman" w:hAnsi="Times New Roman" w:eastAsia="仿宋"/>
                <w:bCs/>
                <w:szCs w:val="21"/>
              </w:rPr>
            </w:pPr>
            <w:r>
              <w:rPr>
                <w:rFonts w:ascii="Times New Roman" w:hAnsi="Times New Roman" w:eastAsia="仿宋"/>
                <w:snapToGrid w:val="0"/>
                <w:szCs w:val="21"/>
              </w:rPr>
              <w:t>□</w:t>
            </w:r>
            <w:r>
              <w:rPr>
                <w:rFonts w:ascii="Times New Roman" w:hAnsi="Times New Roman" w:eastAsia="仿宋"/>
                <w:bCs/>
                <w:szCs w:val="21"/>
              </w:rPr>
              <w:t>不提供。</w:t>
            </w:r>
          </w:p>
          <w:p w14:paraId="764A7B5F">
            <w:pPr>
              <w:pStyle w:val="14"/>
              <w:adjustRightInd w:val="0"/>
              <w:snapToGrid w:val="0"/>
              <w:jc w:val="left"/>
              <w:rPr>
                <w:rFonts w:ascii="Times New Roman" w:hAnsi="Times New Roman" w:eastAsia="仿宋"/>
                <w:bCs/>
                <w:szCs w:val="21"/>
                <w:lang w:val="zh-CN"/>
              </w:rPr>
            </w:pPr>
            <w:r>
              <w:rPr>
                <w:rFonts w:ascii="Segoe UI Symbol" w:hAnsi="Segoe UI Symbol" w:eastAsia="仿宋" w:cs="Segoe UI Symbol"/>
                <w:snapToGrid w:val="0"/>
                <w:szCs w:val="21"/>
              </w:rPr>
              <w:t>☑</w:t>
            </w:r>
            <w:r>
              <w:rPr>
                <w:rFonts w:ascii="Times New Roman" w:hAnsi="Times New Roman" w:eastAsia="仿宋"/>
                <w:bCs/>
                <w:szCs w:val="21"/>
                <w:lang w:val="zh-CN"/>
              </w:rPr>
              <w:t>提供。</w:t>
            </w:r>
            <w:r>
              <w:rPr>
                <w:rFonts w:ascii="Times New Roman" w:hAnsi="Times New Roman" w:eastAsia="仿宋"/>
                <w:bCs/>
                <w:szCs w:val="21"/>
              </w:rPr>
              <w:t>保证金</w:t>
            </w:r>
            <w:r>
              <w:rPr>
                <w:rFonts w:ascii="Times New Roman" w:hAnsi="Times New Roman" w:eastAsia="仿宋"/>
                <w:bCs/>
                <w:szCs w:val="21"/>
                <w:lang w:val="zh-CN"/>
              </w:rPr>
              <w:t>数额不得超过采购项目预算金额的</w:t>
            </w:r>
            <w:r>
              <w:rPr>
                <w:rFonts w:ascii="Times New Roman" w:hAnsi="Times New Roman" w:eastAsia="仿宋"/>
                <w:bCs/>
                <w:szCs w:val="21"/>
              </w:rPr>
              <w:t>1</w:t>
            </w:r>
            <w:r>
              <w:rPr>
                <w:rFonts w:ascii="Times New Roman" w:hAnsi="Times New Roman" w:eastAsia="仿宋"/>
                <w:bCs/>
                <w:szCs w:val="21"/>
                <w:lang w:val="zh-CN"/>
              </w:rPr>
              <w:t>%。</w:t>
            </w:r>
          </w:p>
          <w:p w14:paraId="226BE246">
            <w:pPr>
              <w:pStyle w:val="14"/>
              <w:adjustRightInd w:val="0"/>
              <w:snapToGrid w:val="0"/>
              <w:ind w:firstLine="420" w:firstLineChars="200"/>
              <w:jc w:val="left"/>
              <w:rPr>
                <w:rFonts w:ascii="Times New Roman" w:hAnsi="Times New Roman" w:eastAsia="仿宋"/>
                <w:bCs/>
                <w:szCs w:val="21"/>
                <w:lang w:val="zh-CN"/>
              </w:rPr>
            </w:pPr>
            <w:r>
              <w:rPr>
                <w:rFonts w:ascii="Times New Roman" w:hAnsi="Times New Roman" w:eastAsia="仿宋"/>
                <w:bCs/>
                <w:szCs w:val="21"/>
                <w:lang w:val="zh-CN"/>
              </w:rPr>
              <w:t>磋商保证金金额：</w:t>
            </w:r>
            <w:r>
              <w:rPr>
                <w:rFonts w:hint="eastAsia" w:ascii="Times New Roman" w:hAnsi="Times New Roman" w:eastAsia="仿宋"/>
                <w:bCs/>
                <w:szCs w:val="21"/>
                <w:lang w:val="en-US" w:eastAsia="zh-CN"/>
              </w:rPr>
              <w:t>25</w:t>
            </w:r>
            <w:r>
              <w:rPr>
                <w:rFonts w:ascii="Times New Roman" w:hAnsi="Times New Roman" w:eastAsia="仿宋"/>
                <w:bCs/>
                <w:szCs w:val="21"/>
              </w:rPr>
              <w:t>00.00</w:t>
            </w:r>
            <w:r>
              <w:rPr>
                <w:rFonts w:ascii="Times New Roman" w:hAnsi="Times New Roman" w:eastAsia="仿宋"/>
                <w:bCs/>
                <w:szCs w:val="21"/>
                <w:lang w:val="zh-CN"/>
              </w:rPr>
              <w:t>元（</w:t>
            </w:r>
            <w:r>
              <w:rPr>
                <w:rFonts w:hint="eastAsia" w:ascii="Times New Roman" w:hAnsi="Times New Roman" w:eastAsia="仿宋"/>
                <w:bCs/>
                <w:szCs w:val="21"/>
                <w:lang w:eastAsia="zh-CN"/>
              </w:rPr>
              <w:t>贰仟伍佰</w:t>
            </w:r>
            <w:r>
              <w:rPr>
                <w:rFonts w:ascii="Times New Roman" w:hAnsi="Times New Roman" w:eastAsia="仿宋"/>
                <w:bCs/>
                <w:szCs w:val="21"/>
              </w:rPr>
              <w:t>元整</w:t>
            </w:r>
            <w:r>
              <w:rPr>
                <w:rFonts w:ascii="Times New Roman" w:hAnsi="Times New Roman" w:eastAsia="仿宋"/>
                <w:bCs/>
                <w:szCs w:val="21"/>
                <w:lang w:val="zh-CN"/>
              </w:rPr>
              <w:t>）</w:t>
            </w:r>
          </w:p>
          <w:p w14:paraId="1FD46D86">
            <w:pPr>
              <w:adjustRightInd w:val="0"/>
              <w:snapToGrid w:val="0"/>
              <w:ind w:firstLine="420" w:firstLineChars="200"/>
              <w:rPr>
                <w:rFonts w:eastAsia="仿宋"/>
                <w:szCs w:val="21"/>
              </w:rPr>
            </w:pPr>
            <w:r>
              <w:rPr>
                <w:rFonts w:eastAsia="仿宋"/>
                <w:szCs w:val="21"/>
              </w:rPr>
              <w:t>代理机构名称：中合安建工程管理有限公司新疆分公司</w:t>
            </w:r>
          </w:p>
          <w:p w14:paraId="337A7C35">
            <w:pPr>
              <w:adjustRightInd w:val="0"/>
              <w:snapToGrid w:val="0"/>
              <w:ind w:firstLine="420" w:firstLineChars="200"/>
              <w:rPr>
                <w:rFonts w:eastAsia="仿宋"/>
                <w:szCs w:val="21"/>
              </w:rPr>
            </w:pPr>
            <w:r>
              <w:rPr>
                <w:rFonts w:eastAsia="仿宋"/>
                <w:szCs w:val="21"/>
              </w:rPr>
              <w:t>开户行：交通银行股份有限公司乌鲁木齐新医路支行</w:t>
            </w:r>
          </w:p>
          <w:p w14:paraId="7CFBBE83">
            <w:pPr>
              <w:adjustRightInd w:val="0"/>
              <w:snapToGrid w:val="0"/>
              <w:ind w:firstLine="420" w:firstLineChars="200"/>
              <w:rPr>
                <w:rFonts w:eastAsia="仿宋"/>
                <w:szCs w:val="21"/>
              </w:rPr>
            </w:pPr>
            <w:r>
              <w:rPr>
                <w:rFonts w:eastAsia="仿宋"/>
                <w:szCs w:val="21"/>
              </w:rPr>
              <w:t>开户行行号：301881000139</w:t>
            </w:r>
          </w:p>
          <w:p w14:paraId="60C8AFCF">
            <w:pPr>
              <w:adjustRightInd w:val="0"/>
              <w:snapToGrid w:val="0"/>
              <w:ind w:left="479" w:leftChars="228"/>
              <w:rPr>
                <w:rFonts w:eastAsia="仿宋"/>
                <w:szCs w:val="21"/>
              </w:rPr>
            </w:pPr>
            <w:r>
              <w:rPr>
                <w:rFonts w:eastAsia="仿宋"/>
                <w:szCs w:val="21"/>
              </w:rPr>
              <w:t>账号：651651005015003167990</w:t>
            </w:r>
            <w:r>
              <w:rPr>
                <w:rFonts w:eastAsia="仿宋"/>
                <w:szCs w:val="21"/>
              </w:rPr>
              <w:br w:type="textWrapping"/>
            </w:r>
            <w:r>
              <w:rPr>
                <w:rFonts w:eastAsia="仿宋"/>
                <w:szCs w:val="21"/>
              </w:rPr>
              <w:t>地址：</w:t>
            </w:r>
            <w:r>
              <w:rPr>
                <w:rFonts w:eastAsia="仿宋"/>
                <w:bCs/>
                <w:szCs w:val="21"/>
                <w:lang w:val="zh-CN"/>
              </w:rPr>
              <w:t>新疆乌鲁木齐高新区（新市区）新医路165号汇文大厦1栋6层</w:t>
            </w:r>
            <w:r>
              <w:rPr>
                <w:rFonts w:eastAsia="仿宋"/>
                <w:bCs/>
                <w:szCs w:val="21"/>
              </w:rPr>
              <w:t>B</w:t>
            </w:r>
          </w:p>
          <w:p w14:paraId="0E0D7ABC">
            <w:pPr>
              <w:pStyle w:val="14"/>
              <w:adjustRightInd w:val="0"/>
              <w:snapToGrid w:val="0"/>
              <w:ind w:firstLine="420" w:firstLineChars="200"/>
              <w:jc w:val="left"/>
              <w:rPr>
                <w:rFonts w:ascii="Times New Roman" w:hAnsi="Times New Roman" w:eastAsia="仿宋"/>
                <w:szCs w:val="21"/>
                <w:lang w:val="zh-CN"/>
              </w:rPr>
            </w:pPr>
            <w:r>
              <w:rPr>
                <w:rFonts w:ascii="Times New Roman" w:hAnsi="Times New Roman" w:eastAsia="仿宋"/>
                <w:bCs/>
                <w:szCs w:val="21"/>
                <w:lang w:val="zh-CN"/>
              </w:rPr>
              <w:t>磋商保证金缴纳形式：</w:t>
            </w:r>
            <w:r>
              <w:rPr>
                <w:rFonts w:ascii="Times New Roman" w:hAnsi="Times New Roman" w:eastAsia="仿宋"/>
                <w:szCs w:val="21"/>
              </w:rPr>
              <w:t>支票、汇票、本票或者金融机构、担保机构出具的保函等非现金形式提交</w:t>
            </w:r>
            <w:r>
              <w:rPr>
                <w:rFonts w:ascii="Times New Roman" w:hAnsi="Times New Roman" w:eastAsia="仿宋"/>
                <w:szCs w:val="21"/>
                <w:lang w:val="zh-CN"/>
              </w:rPr>
              <w:t>。</w:t>
            </w:r>
          </w:p>
          <w:p w14:paraId="362A2C4E">
            <w:pPr>
              <w:pStyle w:val="14"/>
              <w:adjustRightInd w:val="0"/>
              <w:snapToGrid w:val="0"/>
              <w:ind w:firstLine="422" w:firstLineChars="200"/>
              <w:jc w:val="left"/>
              <w:rPr>
                <w:rFonts w:ascii="Times New Roman" w:hAnsi="Times New Roman" w:eastAsia="仿宋"/>
                <w:bCs/>
                <w:color w:val="EE0000"/>
                <w:szCs w:val="21"/>
                <w:lang w:val="zh-CN"/>
              </w:rPr>
            </w:pPr>
            <w:r>
              <w:rPr>
                <w:rFonts w:ascii="Times New Roman" w:hAnsi="Times New Roman" w:eastAsia="仿宋"/>
                <w:b/>
                <w:szCs w:val="21"/>
                <w:lang w:val="zh-CN"/>
              </w:rPr>
              <w:t>各供应商缴纳投标保证金时需在附加信息及用途栏内注明磋商保证金、项目名称；磋商保证金于磋商截止时间前确认到账，若供应商未按照上述规定缴纳磋商保证金,</w:t>
            </w:r>
            <w:r>
              <w:rPr>
                <w:rFonts w:ascii="Times New Roman" w:hAnsi="Times New Roman" w:eastAsia="仿宋"/>
                <w:b/>
                <w:szCs w:val="21"/>
              </w:rPr>
              <w:t>磋商</w:t>
            </w:r>
            <w:r>
              <w:rPr>
                <w:rFonts w:ascii="Times New Roman" w:hAnsi="Times New Roman" w:eastAsia="仿宋"/>
                <w:b/>
                <w:szCs w:val="21"/>
                <w:lang w:val="zh-CN"/>
              </w:rPr>
              <w:t>文件将被拒绝评审。</w:t>
            </w:r>
          </w:p>
        </w:tc>
      </w:tr>
      <w:tr w14:paraId="024A0D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11" w:type="dxa"/>
            <w:vAlign w:val="center"/>
          </w:tcPr>
          <w:p w14:paraId="125A9D52">
            <w:pPr>
              <w:adjustRightInd w:val="0"/>
              <w:snapToGrid w:val="0"/>
              <w:jc w:val="center"/>
              <w:rPr>
                <w:rFonts w:eastAsia="仿宋"/>
                <w:bCs/>
                <w:szCs w:val="21"/>
              </w:rPr>
            </w:pPr>
            <w:r>
              <w:rPr>
                <w:rFonts w:eastAsia="仿宋"/>
                <w:bCs/>
                <w:szCs w:val="21"/>
              </w:rPr>
              <w:t>24</w:t>
            </w:r>
          </w:p>
        </w:tc>
        <w:tc>
          <w:tcPr>
            <w:tcW w:w="1699" w:type="dxa"/>
            <w:vAlign w:val="center"/>
          </w:tcPr>
          <w:p w14:paraId="395205AB">
            <w:pPr>
              <w:adjustRightInd w:val="0"/>
              <w:snapToGrid w:val="0"/>
              <w:jc w:val="center"/>
              <w:rPr>
                <w:rFonts w:eastAsia="仿宋"/>
                <w:snapToGrid w:val="0"/>
                <w:szCs w:val="21"/>
              </w:rPr>
            </w:pPr>
            <w:r>
              <w:rPr>
                <w:rFonts w:eastAsia="仿宋"/>
                <w:snapToGrid w:val="0"/>
                <w:szCs w:val="21"/>
              </w:rPr>
              <w:t>响应文件的</w:t>
            </w:r>
          </w:p>
          <w:p w14:paraId="1AB0316A">
            <w:pPr>
              <w:adjustRightInd w:val="0"/>
              <w:snapToGrid w:val="0"/>
              <w:jc w:val="center"/>
              <w:rPr>
                <w:rFonts w:eastAsia="仿宋"/>
                <w:snapToGrid w:val="0"/>
                <w:szCs w:val="21"/>
              </w:rPr>
            </w:pPr>
            <w:r>
              <w:rPr>
                <w:rFonts w:eastAsia="仿宋"/>
                <w:snapToGrid w:val="0"/>
                <w:szCs w:val="21"/>
              </w:rPr>
              <w:t>现场解密</w:t>
            </w:r>
          </w:p>
        </w:tc>
        <w:tc>
          <w:tcPr>
            <w:tcW w:w="7311" w:type="dxa"/>
            <w:vAlign w:val="center"/>
          </w:tcPr>
          <w:p w14:paraId="74645D23">
            <w:pPr>
              <w:adjustRightInd w:val="0"/>
              <w:snapToGrid w:val="0"/>
              <w:ind w:firstLine="420" w:firstLineChars="200"/>
              <w:rPr>
                <w:rFonts w:eastAsia="仿宋"/>
                <w:snapToGrid w:val="0"/>
                <w:szCs w:val="21"/>
              </w:rPr>
            </w:pPr>
            <w:r>
              <w:rPr>
                <w:rFonts w:eastAsia="仿宋"/>
                <w:snapToGrid w:val="0"/>
                <w:szCs w:val="21"/>
              </w:rPr>
              <w:t>响应文件解密时长：30分钟（过时未进行解密的响应文件，开标现场不进行解密时间延长）。</w:t>
            </w:r>
          </w:p>
          <w:p w14:paraId="4955F94E">
            <w:pPr>
              <w:adjustRightInd w:val="0"/>
              <w:snapToGrid w:val="0"/>
              <w:ind w:firstLine="420" w:firstLineChars="200"/>
              <w:rPr>
                <w:rFonts w:eastAsia="仿宋"/>
                <w:snapToGrid w:val="0"/>
                <w:szCs w:val="21"/>
                <w:lang w:val="zh-CN"/>
              </w:rPr>
            </w:pPr>
            <w:r>
              <w:rPr>
                <w:rFonts w:eastAsia="仿宋"/>
                <w:snapToGrid w:val="0"/>
                <w:szCs w:val="21"/>
              </w:rPr>
              <w:t>开标当日仅需在任意地点通过政采云平台不见面开标系统（登录地址详见网站操作手册）完成远程解密、提疑澄清、开标唱标、结果公布等交互环节。供应商必须在规定的时间内使用能正确解密响应文件的“CA锁”完成远程解密，因供应商原因未能解密、解密失败或解密超时，视为供应商撤销其响应文件，系统内响应文件将被退回；因网上招投标平台发生故障，导致无法按时完成响应文件解密或开、评标工作无法进行的，可根据实际情况相应延迟解密时间或调整开、评标时间。</w:t>
            </w:r>
          </w:p>
        </w:tc>
      </w:tr>
      <w:tr w14:paraId="1A6273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11" w:type="dxa"/>
            <w:vAlign w:val="center"/>
          </w:tcPr>
          <w:p w14:paraId="6DEB9AB4">
            <w:pPr>
              <w:adjustRightInd w:val="0"/>
              <w:snapToGrid w:val="0"/>
              <w:jc w:val="center"/>
              <w:rPr>
                <w:rFonts w:eastAsia="仿宋"/>
                <w:bCs/>
                <w:szCs w:val="21"/>
              </w:rPr>
            </w:pPr>
            <w:r>
              <w:rPr>
                <w:rFonts w:eastAsia="仿宋"/>
                <w:bCs/>
                <w:szCs w:val="21"/>
              </w:rPr>
              <w:t>25</w:t>
            </w:r>
          </w:p>
        </w:tc>
        <w:tc>
          <w:tcPr>
            <w:tcW w:w="1699" w:type="dxa"/>
            <w:vAlign w:val="center"/>
          </w:tcPr>
          <w:p w14:paraId="029AE3A8">
            <w:pPr>
              <w:adjustRightInd w:val="0"/>
              <w:snapToGrid w:val="0"/>
              <w:jc w:val="center"/>
              <w:rPr>
                <w:rFonts w:eastAsia="仿宋"/>
                <w:snapToGrid w:val="0"/>
                <w:szCs w:val="21"/>
              </w:rPr>
            </w:pPr>
            <w:r>
              <w:rPr>
                <w:rFonts w:eastAsia="仿宋"/>
                <w:snapToGrid w:val="0"/>
                <w:szCs w:val="21"/>
              </w:rPr>
              <w:t>招标代理费</w:t>
            </w:r>
          </w:p>
        </w:tc>
        <w:tc>
          <w:tcPr>
            <w:tcW w:w="7311" w:type="dxa"/>
            <w:vAlign w:val="center"/>
          </w:tcPr>
          <w:p w14:paraId="0B1C5C9B">
            <w:pPr>
              <w:adjustRightInd w:val="0"/>
              <w:snapToGrid w:val="0"/>
              <w:ind w:firstLine="420" w:firstLineChars="200"/>
              <w:rPr>
                <w:rFonts w:eastAsia="仿宋"/>
                <w:snapToGrid w:val="0"/>
                <w:szCs w:val="21"/>
              </w:rPr>
            </w:pPr>
            <w:r>
              <w:rPr>
                <w:rFonts w:eastAsia="仿宋"/>
                <w:snapToGrid w:val="0"/>
                <w:szCs w:val="21"/>
              </w:rPr>
              <w:t>参照国家计委计价格【2002】1980号、发改办价格【2003】857号、【2011】534号文计取，不足3000元按3000元计取，本项目招标代理服务费由成交供应商支付。</w:t>
            </w:r>
          </w:p>
          <w:p w14:paraId="5A195F1B">
            <w:pPr>
              <w:adjustRightInd w:val="0"/>
              <w:snapToGrid w:val="0"/>
              <w:ind w:firstLine="420" w:firstLineChars="200"/>
              <w:rPr>
                <w:rFonts w:eastAsia="仿宋"/>
                <w:snapToGrid w:val="0"/>
                <w:szCs w:val="21"/>
              </w:rPr>
            </w:pPr>
            <w:r>
              <w:rPr>
                <w:rFonts w:eastAsia="仿宋"/>
                <w:snapToGrid w:val="0"/>
                <w:szCs w:val="21"/>
              </w:rPr>
              <w:t>成交供应商须在领取成交通知书时一次性付清招标代理服务费。</w:t>
            </w:r>
          </w:p>
        </w:tc>
      </w:tr>
      <w:tr w14:paraId="6AF181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11" w:type="dxa"/>
            <w:vAlign w:val="center"/>
          </w:tcPr>
          <w:p w14:paraId="4DF5EB36">
            <w:pPr>
              <w:adjustRightInd w:val="0"/>
              <w:snapToGrid w:val="0"/>
              <w:jc w:val="center"/>
              <w:rPr>
                <w:rFonts w:eastAsia="仿宋"/>
                <w:bCs/>
                <w:szCs w:val="21"/>
              </w:rPr>
            </w:pPr>
            <w:r>
              <w:rPr>
                <w:rFonts w:eastAsia="仿宋"/>
                <w:bCs/>
                <w:szCs w:val="21"/>
              </w:rPr>
              <w:t>26</w:t>
            </w:r>
          </w:p>
        </w:tc>
        <w:tc>
          <w:tcPr>
            <w:tcW w:w="1699" w:type="dxa"/>
            <w:tcBorders>
              <w:right w:val="single" w:color="auto" w:sz="4" w:space="0"/>
            </w:tcBorders>
            <w:vAlign w:val="center"/>
          </w:tcPr>
          <w:p w14:paraId="6E4D5E2A">
            <w:pPr>
              <w:overflowPunct w:val="0"/>
              <w:adjustRightInd w:val="0"/>
              <w:snapToGrid w:val="0"/>
              <w:jc w:val="center"/>
              <w:rPr>
                <w:rFonts w:eastAsia="仿宋"/>
                <w:szCs w:val="21"/>
              </w:rPr>
            </w:pPr>
            <w:r>
              <w:rPr>
                <w:rFonts w:eastAsia="仿宋"/>
                <w:szCs w:val="21"/>
              </w:rPr>
              <w:t>磋商程序/磋商报价次数/评审原则</w:t>
            </w:r>
          </w:p>
        </w:tc>
        <w:tc>
          <w:tcPr>
            <w:tcW w:w="7311" w:type="dxa"/>
            <w:tcBorders>
              <w:top w:val="single" w:color="auto" w:sz="4" w:space="0"/>
              <w:left w:val="single" w:color="auto" w:sz="4" w:space="0"/>
              <w:bottom w:val="single" w:color="auto" w:sz="4" w:space="0"/>
              <w:right w:val="single" w:color="auto" w:sz="4" w:space="0"/>
            </w:tcBorders>
            <w:vAlign w:val="center"/>
          </w:tcPr>
          <w:p w14:paraId="29227283">
            <w:pPr>
              <w:overflowPunct w:val="0"/>
              <w:adjustRightInd w:val="0"/>
              <w:snapToGrid w:val="0"/>
              <w:ind w:firstLine="420" w:firstLineChars="200"/>
              <w:rPr>
                <w:rFonts w:eastAsia="仿宋"/>
                <w:szCs w:val="21"/>
              </w:rPr>
            </w:pPr>
            <w:r>
              <w:rPr>
                <w:rFonts w:eastAsia="仿宋"/>
                <w:szCs w:val="21"/>
              </w:rPr>
              <w:t>磋商程序：磋商小组对所有提交的响应文件进行评审；</w:t>
            </w:r>
          </w:p>
          <w:p w14:paraId="298FCBCE">
            <w:pPr>
              <w:overflowPunct w:val="0"/>
              <w:adjustRightInd w:val="0"/>
              <w:snapToGrid w:val="0"/>
              <w:ind w:firstLine="420" w:firstLineChars="200"/>
              <w:rPr>
                <w:rFonts w:eastAsia="仿宋"/>
                <w:szCs w:val="21"/>
              </w:rPr>
            </w:pPr>
            <w:r>
              <w:rPr>
                <w:rFonts w:eastAsia="仿宋"/>
                <w:szCs w:val="21"/>
              </w:rPr>
              <w:t>磋商小组所有成员集中与单一供应商分别进行磋商；</w:t>
            </w:r>
          </w:p>
          <w:p w14:paraId="0C8A6ADE">
            <w:pPr>
              <w:overflowPunct w:val="0"/>
              <w:adjustRightInd w:val="0"/>
              <w:snapToGrid w:val="0"/>
              <w:ind w:firstLine="422" w:firstLineChars="200"/>
              <w:rPr>
                <w:rFonts w:eastAsia="仿宋"/>
                <w:szCs w:val="21"/>
              </w:rPr>
            </w:pPr>
            <w:r>
              <w:rPr>
                <w:rFonts w:eastAsia="仿宋"/>
                <w:b/>
                <w:bCs/>
                <w:szCs w:val="21"/>
              </w:rPr>
              <w:t>报价次数：供应商按照要求提交二次报价为最后报价</w:t>
            </w:r>
          </w:p>
          <w:p w14:paraId="35326FA3">
            <w:pPr>
              <w:overflowPunct w:val="0"/>
              <w:adjustRightInd w:val="0"/>
              <w:snapToGrid w:val="0"/>
              <w:ind w:firstLine="420" w:firstLineChars="200"/>
              <w:rPr>
                <w:rFonts w:eastAsia="仿宋"/>
                <w:szCs w:val="21"/>
              </w:rPr>
            </w:pPr>
            <w:r>
              <w:rPr>
                <w:rFonts w:eastAsia="仿宋"/>
                <w:szCs w:val="21"/>
              </w:rPr>
              <w:t>评审原则：经磋商小组综合评审后按照综合得分由高到低的顺序推荐3名成交候选人。</w:t>
            </w:r>
          </w:p>
        </w:tc>
      </w:tr>
      <w:tr w14:paraId="26E057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1" w:type="dxa"/>
            <w:vAlign w:val="center"/>
          </w:tcPr>
          <w:p w14:paraId="4DFE274E">
            <w:pPr>
              <w:adjustRightInd w:val="0"/>
              <w:snapToGrid w:val="0"/>
              <w:jc w:val="center"/>
              <w:rPr>
                <w:rFonts w:eastAsia="仿宋"/>
                <w:bCs/>
                <w:szCs w:val="21"/>
              </w:rPr>
            </w:pPr>
            <w:r>
              <w:rPr>
                <w:rFonts w:eastAsia="仿宋"/>
                <w:bCs/>
                <w:szCs w:val="21"/>
              </w:rPr>
              <w:t>27</w:t>
            </w:r>
          </w:p>
        </w:tc>
        <w:tc>
          <w:tcPr>
            <w:tcW w:w="1699" w:type="dxa"/>
            <w:tcBorders>
              <w:right w:val="single" w:color="auto" w:sz="4" w:space="0"/>
            </w:tcBorders>
            <w:vAlign w:val="center"/>
          </w:tcPr>
          <w:p w14:paraId="2A36C1EA">
            <w:pPr>
              <w:overflowPunct w:val="0"/>
              <w:adjustRightInd w:val="0"/>
              <w:snapToGrid w:val="0"/>
              <w:jc w:val="center"/>
              <w:rPr>
                <w:rFonts w:eastAsia="仿宋"/>
                <w:szCs w:val="21"/>
              </w:rPr>
            </w:pPr>
            <w:r>
              <w:rPr>
                <w:rFonts w:eastAsia="仿宋"/>
                <w:szCs w:val="21"/>
              </w:rPr>
              <w:t>关于偏离表的要求</w:t>
            </w:r>
          </w:p>
        </w:tc>
        <w:tc>
          <w:tcPr>
            <w:tcW w:w="7311" w:type="dxa"/>
            <w:tcBorders>
              <w:top w:val="single" w:color="auto" w:sz="4" w:space="0"/>
              <w:left w:val="single" w:color="auto" w:sz="4" w:space="0"/>
              <w:bottom w:val="single" w:color="auto" w:sz="4" w:space="0"/>
              <w:right w:val="single" w:color="auto" w:sz="4" w:space="0"/>
            </w:tcBorders>
            <w:vAlign w:val="center"/>
          </w:tcPr>
          <w:p w14:paraId="11B9FB0A">
            <w:pPr>
              <w:adjustRightInd w:val="0"/>
              <w:snapToGrid w:val="0"/>
              <w:ind w:firstLine="420" w:firstLineChars="200"/>
              <w:rPr>
                <w:rFonts w:eastAsia="仿宋"/>
                <w:szCs w:val="21"/>
              </w:rPr>
            </w:pPr>
            <w:r>
              <w:rPr>
                <w:rFonts w:eastAsia="仿宋"/>
                <w:szCs w:val="21"/>
              </w:rPr>
              <w:t>磋商文件中所有偏离表内容若无偏离，应在响应表格中填写“无”，未填写视为不响应磋商文件。</w:t>
            </w:r>
          </w:p>
        </w:tc>
      </w:tr>
      <w:tr w14:paraId="7687E3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11" w:type="dxa"/>
            <w:vAlign w:val="center"/>
          </w:tcPr>
          <w:p w14:paraId="078E2FF4">
            <w:pPr>
              <w:adjustRightInd w:val="0"/>
              <w:snapToGrid w:val="0"/>
              <w:jc w:val="center"/>
              <w:rPr>
                <w:rFonts w:eastAsia="仿宋"/>
                <w:bCs/>
                <w:szCs w:val="21"/>
              </w:rPr>
            </w:pPr>
            <w:r>
              <w:rPr>
                <w:rFonts w:eastAsia="仿宋"/>
                <w:bCs/>
                <w:szCs w:val="21"/>
              </w:rPr>
              <w:t>28</w:t>
            </w:r>
          </w:p>
        </w:tc>
        <w:tc>
          <w:tcPr>
            <w:tcW w:w="1699" w:type="dxa"/>
            <w:tcBorders>
              <w:right w:val="single" w:color="auto" w:sz="4" w:space="0"/>
            </w:tcBorders>
            <w:vAlign w:val="center"/>
          </w:tcPr>
          <w:p w14:paraId="74D2582A">
            <w:pPr>
              <w:overflowPunct w:val="0"/>
              <w:adjustRightInd w:val="0"/>
              <w:snapToGrid w:val="0"/>
              <w:jc w:val="center"/>
              <w:rPr>
                <w:rFonts w:eastAsia="仿宋"/>
                <w:szCs w:val="21"/>
              </w:rPr>
            </w:pPr>
            <w:r>
              <w:rPr>
                <w:rFonts w:eastAsia="仿宋"/>
                <w:szCs w:val="21"/>
              </w:rPr>
              <w:t>特别声明</w:t>
            </w:r>
          </w:p>
        </w:tc>
        <w:tc>
          <w:tcPr>
            <w:tcW w:w="7311" w:type="dxa"/>
            <w:tcBorders>
              <w:top w:val="single" w:color="auto" w:sz="4" w:space="0"/>
              <w:left w:val="single" w:color="auto" w:sz="4" w:space="0"/>
              <w:bottom w:val="single" w:color="auto" w:sz="4" w:space="0"/>
              <w:right w:val="single" w:color="auto" w:sz="4" w:space="0"/>
            </w:tcBorders>
            <w:vAlign w:val="center"/>
          </w:tcPr>
          <w:p w14:paraId="448D29C2">
            <w:pPr>
              <w:adjustRightInd w:val="0"/>
              <w:snapToGrid w:val="0"/>
              <w:ind w:firstLine="420" w:firstLineChars="200"/>
              <w:rPr>
                <w:rFonts w:eastAsia="仿宋"/>
                <w:szCs w:val="21"/>
              </w:rPr>
            </w:pPr>
            <w:r>
              <w:rPr>
                <w:rFonts w:eastAsia="仿宋"/>
                <w:szCs w:val="21"/>
              </w:rPr>
              <w:t>供应商在制作响应文件时，不得弄虚作假，不伪造和变造本不属于供应商本身的响应材料。（如假证书、假业绩、假合同、假授权、故意隐瞒不良行为记录、夸大荣誉、使用非供应商在职员工的相关证件及其他不符合《中华人民共和国政府采购法》《政府采购竞争性磋商采购方式管理暂行办法》等规定的条款）；如在采购过程中发现有供应商出现此类问题，将按照政府采购相关法律法规规定进行处理，并将其列入政府采购黑名单库。</w:t>
            </w:r>
          </w:p>
        </w:tc>
      </w:tr>
      <w:tr w14:paraId="6B7372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11" w:type="dxa"/>
            <w:vAlign w:val="center"/>
          </w:tcPr>
          <w:p w14:paraId="563EC206">
            <w:pPr>
              <w:adjustRightInd w:val="0"/>
              <w:snapToGrid w:val="0"/>
              <w:jc w:val="center"/>
              <w:rPr>
                <w:rFonts w:eastAsia="仿宋"/>
                <w:bCs/>
                <w:szCs w:val="21"/>
              </w:rPr>
            </w:pPr>
            <w:r>
              <w:rPr>
                <w:rFonts w:eastAsia="仿宋"/>
                <w:bCs/>
                <w:szCs w:val="21"/>
              </w:rPr>
              <w:t>29</w:t>
            </w:r>
          </w:p>
        </w:tc>
        <w:tc>
          <w:tcPr>
            <w:tcW w:w="1699" w:type="dxa"/>
            <w:tcBorders>
              <w:right w:val="single" w:color="auto" w:sz="4" w:space="0"/>
            </w:tcBorders>
            <w:vAlign w:val="center"/>
          </w:tcPr>
          <w:p w14:paraId="40A64782">
            <w:pPr>
              <w:overflowPunct w:val="0"/>
              <w:adjustRightInd w:val="0"/>
              <w:snapToGrid w:val="0"/>
              <w:jc w:val="center"/>
              <w:rPr>
                <w:rFonts w:eastAsia="仿宋"/>
                <w:szCs w:val="21"/>
              </w:rPr>
            </w:pPr>
            <w:r>
              <w:rPr>
                <w:rFonts w:eastAsia="仿宋"/>
                <w:szCs w:val="21"/>
              </w:rPr>
              <w:t>特别提示</w:t>
            </w:r>
          </w:p>
        </w:tc>
        <w:tc>
          <w:tcPr>
            <w:tcW w:w="7311" w:type="dxa"/>
            <w:tcBorders>
              <w:top w:val="single" w:color="auto" w:sz="4" w:space="0"/>
              <w:left w:val="single" w:color="auto" w:sz="4" w:space="0"/>
              <w:bottom w:val="single" w:color="auto" w:sz="4" w:space="0"/>
              <w:right w:val="single" w:color="auto" w:sz="4" w:space="0"/>
            </w:tcBorders>
            <w:vAlign w:val="center"/>
          </w:tcPr>
          <w:p w14:paraId="46120C36">
            <w:pPr>
              <w:adjustRightInd w:val="0"/>
              <w:snapToGrid w:val="0"/>
              <w:ind w:firstLine="420" w:firstLineChars="200"/>
              <w:rPr>
                <w:rFonts w:eastAsia="仿宋"/>
                <w:szCs w:val="21"/>
              </w:rPr>
            </w:pPr>
            <w:r>
              <w:rPr>
                <w:rFonts w:eastAsia="仿宋"/>
                <w:szCs w:val="21"/>
              </w:rPr>
              <w:t>1.各供应商必须针对项目特点制作响应文件并报价，响应文件均必须满足磋商文件制作等要求，否则将导致磋商被拒绝。</w:t>
            </w:r>
          </w:p>
          <w:p w14:paraId="3D6B401F">
            <w:pPr>
              <w:adjustRightInd w:val="0"/>
              <w:snapToGrid w:val="0"/>
              <w:ind w:firstLine="420" w:firstLineChars="200"/>
              <w:rPr>
                <w:rFonts w:eastAsia="仿宋"/>
                <w:szCs w:val="21"/>
              </w:rPr>
            </w:pPr>
            <w:r>
              <w:rPr>
                <w:rFonts w:eastAsia="仿宋"/>
                <w:szCs w:val="21"/>
              </w:rPr>
              <w:t>2.当出现下列情形之一，响应文件将予以退回：</w:t>
            </w:r>
          </w:p>
          <w:p w14:paraId="5687AA32">
            <w:pPr>
              <w:adjustRightInd w:val="0"/>
              <w:snapToGrid w:val="0"/>
              <w:rPr>
                <w:rFonts w:eastAsia="仿宋"/>
                <w:szCs w:val="21"/>
              </w:rPr>
            </w:pPr>
            <w:r>
              <w:rPr>
                <w:rFonts w:eastAsia="仿宋"/>
                <w:szCs w:val="21"/>
              </w:rPr>
              <w:t>（1）供应商在磋商文件递交截止时间前未成功上传加密电子响应文件；</w:t>
            </w:r>
          </w:p>
          <w:p w14:paraId="2D991E33">
            <w:pPr>
              <w:adjustRightInd w:val="0"/>
              <w:snapToGrid w:val="0"/>
              <w:rPr>
                <w:rFonts w:eastAsia="仿宋"/>
                <w:szCs w:val="21"/>
              </w:rPr>
            </w:pPr>
            <w:r>
              <w:rPr>
                <w:rFonts w:eastAsia="仿宋"/>
                <w:szCs w:val="21"/>
              </w:rPr>
              <w:t>（2）供应商使用解密的CA数字证书与上传加密响应文件使用的CA数字证书不一致；</w:t>
            </w:r>
          </w:p>
          <w:p w14:paraId="662862CA">
            <w:pPr>
              <w:adjustRightInd w:val="0"/>
              <w:snapToGrid w:val="0"/>
              <w:rPr>
                <w:rFonts w:eastAsia="仿宋"/>
                <w:szCs w:val="21"/>
              </w:rPr>
            </w:pPr>
            <w:r>
              <w:rPr>
                <w:rFonts w:eastAsia="仿宋"/>
                <w:szCs w:val="21"/>
              </w:rPr>
              <w:t>（3）供应商解密时CA数字证书已过期，导致无法正常解密；</w:t>
            </w:r>
          </w:p>
          <w:p w14:paraId="3662DE89">
            <w:pPr>
              <w:adjustRightInd w:val="0"/>
              <w:snapToGrid w:val="0"/>
              <w:rPr>
                <w:rFonts w:eastAsia="仿宋"/>
                <w:szCs w:val="21"/>
              </w:rPr>
            </w:pPr>
            <w:r>
              <w:rPr>
                <w:rFonts w:eastAsia="仿宋"/>
                <w:szCs w:val="21"/>
              </w:rPr>
              <w:t>（4）加密响应文件时，CA数字证书未过期，解密时，显示CA数字证书已过期，导致无法正常解密；</w:t>
            </w:r>
          </w:p>
          <w:p w14:paraId="0A0010FA">
            <w:pPr>
              <w:adjustRightInd w:val="0"/>
              <w:snapToGrid w:val="0"/>
              <w:rPr>
                <w:rFonts w:eastAsia="仿宋"/>
                <w:szCs w:val="21"/>
              </w:rPr>
            </w:pPr>
            <w:r>
              <w:rPr>
                <w:rFonts w:eastAsia="仿宋"/>
                <w:szCs w:val="21"/>
              </w:rPr>
              <w:t>（5）未在规定的响应文件解密时间内进行解密的；</w:t>
            </w:r>
          </w:p>
          <w:p w14:paraId="3F980D2E">
            <w:pPr>
              <w:adjustRightInd w:val="0"/>
              <w:snapToGrid w:val="0"/>
              <w:rPr>
                <w:rFonts w:eastAsia="仿宋"/>
                <w:szCs w:val="21"/>
              </w:rPr>
            </w:pPr>
            <w:r>
              <w:rPr>
                <w:rFonts w:eastAsia="仿宋"/>
                <w:szCs w:val="21"/>
              </w:rPr>
              <w:t xml:space="preserve">（6）供应商个人原因导致无法解密的其他情形。 </w:t>
            </w:r>
          </w:p>
          <w:p w14:paraId="473E66B1">
            <w:pPr>
              <w:adjustRightInd w:val="0"/>
              <w:snapToGrid w:val="0"/>
              <w:ind w:firstLine="420" w:firstLineChars="200"/>
              <w:rPr>
                <w:rFonts w:eastAsia="仿宋"/>
                <w:szCs w:val="21"/>
              </w:rPr>
            </w:pPr>
            <w:r>
              <w:rPr>
                <w:rFonts w:eastAsia="仿宋"/>
                <w:szCs w:val="21"/>
              </w:rPr>
              <w:t>3.供应商应在磋商截止时间前将响应时使用的计算机安装相关的浏览器（推荐使用谷歌浏览器）、CA驱动等软件，方便响应文件解密时能够正常解密。</w:t>
            </w:r>
          </w:p>
          <w:p w14:paraId="3FF66AFE">
            <w:pPr>
              <w:adjustRightInd w:val="0"/>
              <w:snapToGrid w:val="0"/>
              <w:ind w:firstLine="420" w:firstLineChars="200"/>
              <w:rPr>
                <w:rFonts w:eastAsia="仿宋"/>
                <w:szCs w:val="21"/>
              </w:rPr>
            </w:pPr>
            <w:r>
              <w:rPr>
                <w:rFonts w:eastAsia="仿宋"/>
                <w:szCs w:val="21"/>
              </w:rPr>
              <w:t>4.供应商需在磋商截止时间前自行测试开标时使用的计算机，如因供应商自身原因导致响应文件解密失败的，由供应商自行承担相应后果。</w:t>
            </w:r>
          </w:p>
        </w:tc>
      </w:tr>
      <w:tr w14:paraId="04A0F8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11" w:type="dxa"/>
            <w:vAlign w:val="center"/>
          </w:tcPr>
          <w:p w14:paraId="46F03BBB">
            <w:pPr>
              <w:adjustRightInd w:val="0"/>
              <w:snapToGrid w:val="0"/>
              <w:jc w:val="center"/>
              <w:rPr>
                <w:rFonts w:eastAsia="仿宋"/>
                <w:bCs/>
                <w:szCs w:val="21"/>
              </w:rPr>
            </w:pPr>
            <w:r>
              <w:rPr>
                <w:rFonts w:eastAsia="仿宋"/>
                <w:bCs/>
                <w:szCs w:val="21"/>
              </w:rPr>
              <w:t>30</w:t>
            </w:r>
          </w:p>
        </w:tc>
        <w:tc>
          <w:tcPr>
            <w:tcW w:w="1699" w:type="dxa"/>
            <w:tcBorders>
              <w:right w:val="single" w:color="auto" w:sz="4" w:space="0"/>
            </w:tcBorders>
            <w:vAlign w:val="center"/>
          </w:tcPr>
          <w:p w14:paraId="093059DE">
            <w:pPr>
              <w:adjustRightInd w:val="0"/>
              <w:snapToGrid w:val="0"/>
              <w:jc w:val="center"/>
              <w:rPr>
                <w:rFonts w:eastAsia="仿宋"/>
                <w:snapToGrid w:val="0"/>
                <w:szCs w:val="21"/>
              </w:rPr>
            </w:pPr>
            <w:r>
              <w:rPr>
                <w:rFonts w:eastAsia="仿宋"/>
                <w:snapToGrid w:val="0"/>
                <w:szCs w:val="21"/>
              </w:rPr>
              <w:t>注意事项</w:t>
            </w:r>
          </w:p>
        </w:tc>
        <w:tc>
          <w:tcPr>
            <w:tcW w:w="7311" w:type="dxa"/>
            <w:tcBorders>
              <w:top w:val="single" w:color="auto" w:sz="4" w:space="0"/>
              <w:left w:val="single" w:color="auto" w:sz="4" w:space="0"/>
              <w:bottom w:val="single" w:color="auto" w:sz="4" w:space="0"/>
              <w:right w:val="single" w:color="auto" w:sz="4" w:space="0"/>
            </w:tcBorders>
            <w:vAlign w:val="center"/>
          </w:tcPr>
          <w:p w14:paraId="1EF44077">
            <w:pPr>
              <w:adjustRightInd w:val="0"/>
              <w:snapToGrid w:val="0"/>
              <w:ind w:firstLine="420" w:firstLineChars="200"/>
              <w:rPr>
                <w:rFonts w:eastAsia="仿宋"/>
                <w:szCs w:val="21"/>
              </w:rPr>
            </w:pPr>
            <w:r>
              <w:rPr>
                <w:rFonts w:eastAsia="仿宋"/>
                <w:szCs w:val="21"/>
              </w:rPr>
              <w:t>1.无论何种原因，在响应文件中未提供相应材料的，磋商小组将视同其未提供。</w:t>
            </w:r>
          </w:p>
          <w:p w14:paraId="1B59CC28">
            <w:pPr>
              <w:adjustRightInd w:val="0"/>
              <w:snapToGrid w:val="0"/>
              <w:ind w:firstLine="420" w:firstLineChars="200"/>
              <w:rPr>
                <w:rFonts w:eastAsia="仿宋"/>
                <w:szCs w:val="21"/>
              </w:rPr>
            </w:pPr>
            <w:r>
              <w:rPr>
                <w:rFonts w:eastAsia="仿宋"/>
                <w:szCs w:val="21"/>
              </w:rPr>
              <w:t>2.各供应商应在开标前应确保成为新疆政府采购网正式注册入库供应商，并完成CA数字证书（符合国密标准）申领。如需咨询，请联系新疆CA服务热线0991-2819290；</w:t>
            </w:r>
          </w:p>
          <w:p w14:paraId="5EF9D37A">
            <w:pPr>
              <w:adjustRightInd w:val="0"/>
              <w:snapToGrid w:val="0"/>
              <w:ind w:firstLine="420" w:firstLineChars="200"/>
              <w:rPr>
                <w:rFonts w:eastAsia="仿宋"/>
                <w:szCs w:val="21"/>
              </w:rPr>
            </w:pPr>
            <w:r>
              <w:rPr>
                <w:rFonts w:eastAsia="仿宋"/>
                <w:szCs w:val="21"/>
              </w:rPr>
              <w:t>3.供应商将政采云电子交易客户端下载、安装完成后，可通过账号密码或CA登录客户端进行响应文件的制作。在使用政采云投标客户端时，建议使用WIN7及以上操作系统。客户端请至新疆政府采购网（http://www.ccgp-xinjiang.gov.cn/）下载专区查看，如有问题可拨打政采云客户服务热线95763进行咨询。</w:t>
            </w:r>
          </w:p>
          <w:p w14:paraId="3132CAF5">
            <w:pPr>
              <w:adjustRightInd w:val="0"/>
              <w:snapToGrid w:val="0"/>
              <w:ind w:firstLine="420" w:firstLineChars="200"/>
              <w:rPr>
                <w:rFonts w:eastAsia="仿宋"/>
                <w:snapToGrid w:val="0"/>
                <w:szCs w:val="21"/>
              </w:rPr>
            </w:pPr>
            <w:r>
              <w:rPr>
                <w:rFonts w:eastAsia="仿宋"/>
                <w:szCs w:val="21"/>
              </w:rPr>
              <w:t>4.供应商首次参加政府采购活动的，可前往新疆政府采购网（ http://www.ccgp-xinjiang.gov.cn/）下载操作指南。（步骤：进入新疆政府采购网</w:t>
            </w:r>
            <w:r>
              <w:rPr>
                <w:rFonts w:eastAsia="仿宋"/>
                <w:w w:val="80"/>
                <w:szCs w:val="21"/>
              </w:rPr>
              <w:t>（http://www.ccgp-xinjiang.gov.cn/）</w:t>
            </w:r>
            <w:r>
              <w:rPr>
                <w:rFonts w:eastAsia="仿宋"/>
                <w:szCs w:val="21"/>
              </w:rPr>
              <w:t>点击主页面的办事指南—选择并下载供应商政采云平台操作指南）。</w:t>
            </w:r>
          </w:p>
        </w:tc>
      </w:tr>
      <w:tr w14:paraId="55744C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11" w:type="dxa"/>
            <w:vAlign w:val="center"/>
          </w:tcPr>
          <w:p w14:paraId="2E68B071">
            <w:pPr>
              <w:adjustRightInd w:val="0"/>
              <w:snapToGrid w:val="0"/>
              <w:jc w:val="center"/>
              <w:rPr>
                <w:rFonts w:eastAsia="仿宋"/>
                <w:bCs/>
                <w:szCs w:val="21"/>
              </w:rPr>
            </w:pPr>
            <w:r>
              <w:rPr>
                <w:rFonts w:eastAsia="仿宋"/>
                <w:bCs/>
                <w:szCs w:val="21"/>
              </w:rPr>
              <w:t>31</w:t>
            </w:r>
          </w:p>
        </w:tc>
        <w:tc>
          <w:tcPr>
            <w:tcW w:w="1699" w:type="dxa"/>
            <w:tcBorders>
              <w:right w:val="single" w:color="auto" w:sz="4" w:space="0"/>
            </w:tcBorders>
            <w:vAlign w:val="center"/>
          </w:tcPr>
          <w:p w14:paraId="0145B645">
            <w:pPr>
              <w:adjustRightInd w:val="0"/>
              <w:snapToGrid w:val="0"/>
              <w:jc w:val="center"/>
              <w:rPr>
                <w:rFonts w:eastAsia="仿宋"/>
                <w:snapToGrid w:val="0"/>
                <w:szCs w:val="21"/>
                <w:highlight w:val="yellow"/>
              </w:rPr>
            </w:pPr>
            <w:r>
              <w:rPr>
                <w:rFonts w:eastAsia="仿宋"/>
                <w:bCs/>
                <w:szCs w:val="21"/>
              </w:rPr>
              <w:t>低于成本价不正当竞争预防措施</w:t>
            </w:r>
          </w:p>
        </w:tc>
        <w:tc>
          <w:tcPr>
            <w:tcW w:w="7311" w:type="dxa"/>
            <w:tcBorders>
              <w:top w:val="single" w:color="auto" w:sz="4" w:space="0"/>
              <w:left w:val="single" w:color="auto" w:sz="4" w:space="0"/>
              <w:bottom w:val="single" w:color="auto" w:sz="4" w:space="0"/>
              <w:right w:val="single" w:color="auto" w:sz="4" w:space="0"/>
            </w:tcBorders>
            <w:vAlign w:val="center"/>
          </w:tcPr>
          <w:p w14:paraId="6A6E3906">
            <w:pPr>
              <w:snapToGrid w:val="0"/>
              <w:rPr>
                <w:rFonts w:eastAsia="仿宋"/>
                <w:b/>
                <w:szCs w:val="21"/>
              </w:rPr>
            </w:pPr>
            <w:r>
              <w:rPr>
                <w:rFonts w:eastAsia="仿宋"/>
                <w:b/>
                <w:szCs w:val="21"/>
              </w:rPr>
              <w:t>低于成本价不正当竞争预防措施：财库〔2026〕2号</w:t>
            </w:r>
          </w:p>
          <w:p w14:paraId="218E91B8">
            <w:pPr>
              <w:snapToGrid w:val="0"/>
              <w:ind w:firstLine="420" w:firstLineChars="200"/>
              <w:rPr>
                <w:rFonts w:eastAsia="仿宋"/>
                <w:bCs/>
                <w:szCs w:val="21"/>
              </w:rPr>
            </w:pPr>
            <w:r>
              <w:rPr>
                <w:rFonts w:eastAsia="仿宋"/>
                <w:bCs/>
                <w:szCs w:val="21"/>
              </w:rPr>
              <w:t>（一）评审中出现下列情形之一的，磋商小组应当启动异常低价投标（响应）审查程序：</w:t>
            </w:r>
          </w:p>
          <w:p w14:paraId="75790C6B">
            <w:pPr>
              <w:snapToGrid w:val="0"/>
              <w:ind w:firstLine="420" w:firstLineChars="200"/>
              <w:rPr>
                <w:rFonts w:eastAsia="仿宋"/>
                <w:bCs/>
                <w:szCs w:val="21"/>
              </w:rPr>
            </w:pPr>
            <w:r>
              <w:rPr>
                <w:rFonts w:eastAsia="仿宋"/>
                <w:bCs/>
                <w:szCs w:val="21"/>
              </w:rPr>
              <w:t>1.投标（响应）报价低于全部通过符合性审查供应商投标（响应）报价平均值50%的，即投标（响应）报价&lt;全部通过符合性审查供应商投标（响应）报价平均值×50%；</w:t>
            </w:r>
          </w:p>
          <w:p w14:paraId="3FDE5723">
            <w:pPr>
              <w:snapToGrid w:val="0"/>
              <w:ind w:firstLine="420" w:firstLineChars="200"/>
              <w:rPr>
                <w:rFonts w:eastAsia="仿宋"/>
                <w:bCs/>
                <w:szCs w:val="21"/>
              </w:rPr>
            </w:pPr>
            <w:r>
              <w:rPr>
                <w:rFonts w:eastAsia="仿宋"/>
                <w:bCs/>
                <w:szCs w:val="21"/>
              </w:rPr>
              <w:t>2.投标（响应）报价低于通过符合性审查的次低报价供应商投标（响应）报价50%的，即投标（响应）报价&lt;通过符合性审查的次低报价供应商投标（响应）报价×50%；</w:t>
            </w:r>
          </w:p>
          <w:p w14:paraId="4FC1B3B4">
            <w:pPr>
              <w:snapToGrid w:val="0"/>
              <w:ind w:firstLine="420" w:firstLineChars="200"/>
              <w:rPr>
                <w:rFonts w:eastAsia="仿宋"/>
                <w:bCs/>
                <w:szCs w:val="21"/>
              </w:rPr>
            </w:pPr>
            <w:r>
              <w:rPr>
                <w:rFonts w:eastAsia="仿宋"/>
                <w:bCs/>
                <w:szCs w:val="21"/>
              </w:rPr>
              <w:t>3.投标（响应）报价低于采购项目最高限价45%的，即投标（响应）报价&lt;采购项目最高限价×45%；</w:t>
            </w:r>
          </w:p>
          <w:p w14:paraId="5517E000">
            <w:pPr>
              <w:snapToGrid w:val="0"/>
              <w:ind w:firstLine="420" w:firstLineChars="200"/>
              <w:rPr>
                <w:rFonts w:eastAsia="仿宋"/>
                <w:bCs/>
                <w:szCs w:val="21"/>
              </w:rPr>
            </w:pPr>
            <w:r>
              <w:rPr>
                <w:rFonts w:eastAsia="仿宋"/>
                <w:bCs/>
                <w:szCs w:val="21"/>
              </w:rPr>
              <w:t>4.磋商小组基于专业判断，认为供应商报价过低，有可能影响产品质量或者不能诚信履约的其他情形。</w:t>
            </w:r>
          </w:p>
          <w:p w14:paraId="0FF93127">
            <w:pPr>
              <w:snapToGrid w:val="0"/>
              <w:ind w:firstLine="420" w:firstLineChars="200"/>
              <w:rPr>
                <w:rFonts w:eastAsia="仿宋"/>
                <w:bCs/>
                <w:szCs w:val="21"/>
              </w:rPr>
            </w:pPr>
            <w:r>
              <w:rPr>
                <w:rFonts w:eastAsia="仿宋"/>
                <w:bCs/>
                <w:szCs w:val="21"/>
              </w:rPr>
              <w:t>采购人可以结合具体项目实际情况，提高上述第1项至第3项中启动异常低价投标（响应）审查的数值标准，但是最高不得超过65%。</w:t>
            </w:r>
          </w:p>
          <w:p w14:paraId="65DF4DC7">
            <w:pPr>
              <w:snapToGrid w:val="0"/>
              <w:rPr>
                <w:rFonts w:eastAsia="仿宋"/>
                <w:bCs/>
                <w:szCs w:val="21"/>
              </w:rPr>
            </w:pPr>
            <w:r>
              <w:rPr>
                <w:rFonts w:eastAsia="仿宋"/>
                <w:bCs/>
                <w:szCs w:val="21"/>
              </w:rPr>
              <w:t>相关法律法规对供应商报价有规定的，从其规定。</w:t>
            </w:r>
          </w:p>
          <w:p w14:paraId="42B7B65E">
            <w:pPr>
              <w:snapToGrid w:val="0"/>
              <w:ind w:firstLine="420" w:firstLineChars="200"/>
              <w:rPr>
                <w:rFonts w:eastAsia="仿宋"/>
                <w:bCs/>
                <w:szCs w:val="21"/>
              </w:rPr>
            </w:pPr>
            <w:r>
              <w:rPr>
                <w:rFonts w:eastAsia="仿宋"/>
                <w:bCs/>
                <w:szCs w:val="21"/>
              </w:rPr>
              <w:t>（二）磋商小组启动异常低价投标（响应）审查后，属于前述第1项至第4项情形的，应当要求相关供应商在评审现场合理的时间内对投标（响应）价格作出解释，提供项目具体成本测算等与报价合理性相关的书面说明及必要的证明材料，包括但不限于原材料成本、人工成本、制造费用等，给予相关供应商的合理时间一般不少于30分钟。其中，属于第3项情形，供应商已随投标（响应）文件一并提交相关书面说明及必要的证明材料的，在评审现场可不再重复提交。</w:t>
            </w:r>
          </w:p>
          <w:p w14:paraId="1CDBFD48">
            <w:pPr>
              <w:snapToGrid w:val="0"/>
              <w:ind w:firstLine="420" w:firstLineChars="200"/>
              <w:rPr>
                <w:rFonts w:eastAsia="仿宋"/>
                <w:bCs/>
                <w:szCs w:val="21"/>
              </w:rPr>
            </w:pPr>
            <w:r>
              <w:rPr>
                <w:rFonts w:eastAsia="仿宋"/>
                <w:bCs/>
                <w:szCs w:val="21"/>
              </w:rPr>
              <w:t>磋商小组依据专业经验，参考同类项目中标（成交）价格、类似产品市场价格水平、行业人工费用标准、国家有关部门指导行业协会发布的行业平均成本等情况，对报价合理性进行判断。投标（响应）供应商不能提供书面说明、证明材料，或者提供的书面说明、证明材料不能证明其报价合理性的，磋商小组应当将其作为无效投标（响应）处理。</w:t>
            </w:r>
          </w:p>
          <w:p w14:paraId="3E90716C">
            <w:pPr>
              <w:snapToGrid w:val="0"/>
              <w:ind w:firstLine="420" w:firstLineChars="200"/>
              <w:rPr>
                <w:rFonts w:eastAsia="仿宋"/>
                <w:bCs/>
                <w:szCs w:val="21"/>
              </w:rPr>
            </w:pPr>
            <w:r>
              <w:rPr>
                <w:rFonts w:eastAsia="仿宋"/>
                <w:bCs/>
                <w:szCs w:val="21"/>
              </w:rPr>
              <w:t>采购人、采购代理机构应当为磋商小组在评审现场及时获取同类项目中标（成交）价格、类似产品市场价格水平、行业人工费用标准、国家有关部门指导行业协会发布的行业平均成本等相关信息资料提供便利。磋商小组借助互联网等渠道查询相关信息的，应当严格遵守评审工作纪律，不得实施影响评审公正的行为。</w:t>
            </w:r>
          </w:p>
          <w:p w14:paraId="465C13E7">
            <w:pPr>
              <w:autoSpaceDE w:val="0"/>
              <w:autoSpaceDN w:val="0"/>
              <w:adjustRightInd w:val="0"/>
              <w:snapToGrid w:val="0"/>
              <w:ind w:firstLine="420" w:firstLineChars="200"/>
              <w:jc w:val="left"/>
              <w:rPr>
                <w:rFonts w:eastAsia="仿宋"/>
                <w:b/>
                <w:bCs/>
                <w:szCs w:val="21"/>
                <w:highlight w:val="yellow"/>
              </w:rPr>
            </w:pPr>
            <w:r>
              <w:rPr>
                <w:rFonts w:eastAsia="仿宋"/>
                <w:bCs/>
                <w:szCs w:val="21"/>
              </w:rPr>
              <w:t>异常低价投标（响应）审查的启动原因、审查意见和审查结果应当在评审报告中记录，并随供应商提供的相关书面说明及证明材料，以及磋商小组有关互联网浏览、查询历史一并归档。</w:t>
            </w:r>
          </w:p>
        </w:tc>
      </w:tr>
      <w:tr w14:paraId="72C798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11" w:type="dxa"/>
            <w:vAlign w:val="center"/>
          </w:tcPr>
          <w:p w14:paraId="69A0E9F6">
            <w:pPr>
              <w:adjustRightInd w:val="0"/>
              <w:snapToGrid w:val="0"/>
              <w:jc w:val="center"/>
              <w:rPr>
                <w:rFonts w:eastAsia="仿宋"/>
                <w:bCs/>
                <w:szCs w:val="21"/>
              </w:rPr>
            </w:pPr>
            <w:r>
              <w:rPr>
                <w:rFonts w:eastAsia="仿宋"/>
                <w:bCs/>
                <w:szCs w:val="21"/>
              </w:rPr>
              <w:t>32</w:t>
            </w:r>
          </w:p>
        </w:tc>
        <w:tc>
          <w:tcPr>
            <w:tcW w:w="1699" w:type="dxa"/>
            <w:tcBorders>
              <w:right w:val="single" w:color="auto" w:sz="4" w:space="0"/>
            </w:tcBorders>
            <w:vAlign w:val="center"/>
          </w:tcPr>
          <w:p w14:paraId="5D3C6C17">
            <w:pPr>
              <w:adjustRightInd w:val="0"/>
              <w:snapToGrid w:val="0"/>
              <w:jc w:val="center"/>
              <w:rPr>
                <w:rFonts w:eastAsia="仿宋"/>
                <w:bCs/>
                <w:szCs w:val="21"/>
              </w:rPr>
            </w:pPr>
            <w:r>
              <w:rPr>
                <w:rFonts w:eastAsia="仿宋"/>
                <w:bCs/>
                <w:szCs w:val="21"/>
              </w:rPr>
              <w:t>政府采购政策</w:t>
            </w:r>
          </w:p>
          <w:p w14:paraId="720B9382">
            <w:pPr>
              <w:adjustRightInd w:val="0"/>
              <w:snapToGrid w:val="0"/>
              <w:jc w:val="center"/>
              <w:rPr>
                <w:rFonts w:eastAsia="仿宋"/>
                <w:bCs/>
                <w:szCs w:val="21"/>
              </w:rPr>
            </w:pPr>
            <w:r>
              <w:rPr>
                <w:rFonts w:eastAsia="仿宋"/>
                <w:bCs/>
                <w:szCs w:val="21"/>
              </w:rPr>
              <w:t>支持</w:t>
            </w:r>
          </w:p>
        </w:tc>
        <w:tc>
          <w:tcPr>
            <w:tcW w:w="7311" w:type="dxa"/>
            <w:tcBorders>
              <w:top w:val="single" w:color="auto" w:sz="4" w:space="0"/>
              <w:left w:val="single" w:color="auto" w:sz="4" w:space="0"/>
              <w:bottom w:val="single" w:color="auto" w:sz="4" w:space="0"/>
              <w:right w:val="single" w:color="auto" w:sz="4" w:space="0"/>
            </w:tcBorders>
            <w:vAlign w:val="center"/>
          </w:tcPr>
          <w:p w14:paraId="4126C44F">
            <w:pPr>
              <w:autoSpaceDE w:val="0"/>
              <w:autoSpaceDN w:val="0"/>
              <w:adjustRightInd w:val="0"/>
              <w:snapToGrid w:val="0"/>
              <w:jc w:val="left"/>
              <w:rPr>
                <w:rFonts w:eastAsia="仿宋"/>
                <w:b/>
                <w:bCs/>
                <w:szCs w:val="21"/>
              </w:rPr>
            </w:pPr>
            <w:r>
              <w:rPr>
                <w:rFonts w:eastAsia="仿宋"/>
                <w:b/>
                <w:bCs/>
                <w:szCs w:val="21"/>
              </w:rPr>
              <w:t>关于落实中小企业政府采购政策：</w:t>
            </w:r>
          </w:p>
          <w:p w14:paraId="0745DBB3">
            <w:pPr>
              <w:autoSpaceDE w:val="0"/>
              <w:autoSpaceDN w:val="0"/>
              <w:adjustRightInd w:val="0"/>
              <w:snapToGrid w:val="0"/>
              <w:ind w:firstLine="420" w:firstLineChars="200"/>
              <w:jc w:val="left"/>
              <w:rPr>
                <w:rFonts w:eastAsia="仿宋"/>
                <w:szCs w:val="21"/>
              </w:rPr>
            </w:pPr>
            <w:r>
              <w:rPr>
                <w:rFonts w:eastAsia="仿宋"/>
                <w:szCs w:val="21"/>
              </w:rPr>
              <w:t>因本项目为专门面向中小企业采购项目,不再执行价格评审优惠的扶持政策；</w:t>
            </w:r>
          </w:p>
          <w:p w14:paraId="1E0A2311">
            <w:pPr>
              <w:overflowPunct w:val="0"/>
              <w:adjustRightInd w:val="0"/>
              <w:snapToGrid w:val="0"/>
              <w:ind w:right="136" w:rightChars="65" w:firstLine="420" w:firstLineChars="200"/>
              <w:rPr>
                <w:rFonts w:eastAsia="仿宋"/>
                <w:szCs w:val="21"/>
              </w:rPr>
            </w:pPr>
            <w:r>
              <w:rPr>
                <w:rFonts w:eastAsia="仿宋"/>
                <w:szCs w:val="21"/>
              </w:rPr>
              <w:t>1.根据工信部等部委发布的《关于印发中小企业划型标准规定的通知》（工信部联企业〔2011〕300号）、财政部、工业和信息化部《政府采购促进中小企业发展管理办法 》（财库[2020]46号文）规定，财政部关于进一步加大政府采购支持中小企业力度的通知(财库〔2022〕19号)规定、新疆维吾尔自治区财政厅、新疆生产建设兵团财政局《关于落实好政府采购支持中小企业发展的通知》(新财购[2022]22号)，</w:t>
            </w:r>
            <w:r>
              <w:rPr>
                <w:rFonts w:eastAsia="仿宋"/>
                <w:b/>
                <w:bCs/>
                <w:szCs w:val="21"/>
                <w:u w:val="single"/>
              </w:rPr>
              <w:t>本次采购标的所属行业为其他未列明行业</w:t>
            </w:r>
            <w:r>
              <w:rPr>
                <w:rFonts w:eastAsia="仿宋"/>
                <w:szCs w:val="21"/>
              </w:rPr>
              <w:t>，符合中小微型企业应按照磋商文件格式要求提供《中小企业声明函》（见格式），（监狱企业、残疾人福利性单位视同为中小企业）。</w:t>
            </w:r>
          </w:p>
          <w:p w14:paraId="05F01022">
            <w:pPr>
              <w:pStyle w:val="6"/>
              <w:rPr>
                <w:rFonts w:eastAsia="仿宋"/>
                <w:b/>
                <w:bCs/>
                <w:szCs w:val="21"/>
              </w:rPr>
            </w:pPr>
            <w:r>
              <w:rPr>
                <w:rFonts w:eastAsia="仿宋"/>
                <w:szCs w:val="21"/>
              </w:rPr>
              <w:t>2.依据本办法规定享受扶持政策获得政府采购合同的，小微企业不得将合同分包给大中型企业，中型企业不得将合同分包给大型企业。）</w:t>
            </w:r>
          </w:p>
          <w:p w14:paraId="65A78A5E">
            <w:pPr>
              <w:autoSpaceDE w:val="0"/>
              <w:autoSpaceDN w:val="0"/>
              <w:adjustRightInd w:val="0"/>
              <w:snapToGrid w:val="0"/>
              <w:ind w:firstLine="420" w:firstLineChars="200"/>
              <w:jc w:val="left"/>
              <w:rPr>
                <w:rFonts w:eastAsia="仿宋"/>
                <w:szCs w:val="21"/>
              </w:rPr>
            </w:pPr>
            <w:r>
              <w:rPr>
                <w:rFonts w:eastAsia="仿宋"/>
                <w:szCs w:val="21"/>
              </w:rPr>
              <w:t>3.根据财政部、工业和信息化部《政府采购促进中小企业发展管理办法》(财库[2020]46号文)的规定,监狱企业、残疾人福利性单位视同为中小企业。符合以下条件的中小微型企业应按照磋商文件格式要求提供《中小企业声明函》。</w:t>
            </w:r>
          </w:p>
          <w:p w14:paraId="677423D1">
            <w:pPr>
              <w:autoSpaceDE w:val="0"/>
              <w:autoSpaceDN w:val="0"/>
              <w:adjustRightInd w:val="0"/>
              <w:snapToGrid w:val="0"/>
              <w:ind w:firstLine="420" w:firstLineChars="200"/>
              <w:jc w:val="left"/>
              <w:rPr>
                <w:rFonts w:eastAsia="仿宋"/>
                <w:szCs w:val="21"/>
              </w:rPr>
            </w:pPr>
            <w:r>
              <w:rPr>
                <w:rFonts w:eastAsia="仿宋"/>
                <w:szCs w:val="21"/>
              </w:rPr>
              <w:t>(1)本文件所称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w:t>
            </w:r>
          </w:p>
          <w:p w14:paraId="6D8F09CD">
            <w:pPr>
              <w:autoSpaceDE w:val="0"/>
              <w:autoSpaceDN w:val="0"/>
              <w:adjustRightInd w:val="0"/>
              <w:snapToGrid w:val="0"/>
              <w:ind w:firstLine="420" w:firstLineChars="200"/>
              <w:jc w:val="left"/>
              <w:rPr>
                <w:rFonts w:eastAsia="仿宋"/>
                <w:szCs w:val="21"/>
              </w:rPr>
            </w:pPr>
            <w:r>
              <w:rPr>
                <w:rFonts w:eastAsia="仿宋"/>
                <w:szCs w:val="21"/>
              </w:rPr>
              <w:t>(2)在政府采购活动中，供应商提供的货物、工程或者服务符合下列情形的，享受本办法规定的中小企业扶持政策：</w:t>
            </w:r>
          </w:p>
          <w:p w14:paraId="2377E780">
            <w:pPr>
              <w:autoSpaceDE w:val="0"/>
              <w:autoSpaceDN w:val="0"/>
              <w:adjustRightInd w:val="0"/>
              <w:snapToGrid w:val="0"/>
              <w:ind w:firstLine="420" w:firstLineChars="200"/>
              <w:jc w:val="left"/>
              <w:rPr>
                <w:rFonts w:eastAsia="仿宋"/>
                <w:szCs w:val="21"/>
              </w:rPr>
            </w:pPr>
            <w:r>
              <w:rPr>
                <w:rFonts w:eastAsia="仿宋"/>
                <w:szCs w:val="21"/>
              </w:rPr>
              <w:t>(一) 在货物采购项目中，货物由中小企业制造，即货物由中小企业生产且使用该中小企业商号或者注册商标；</w:t>
            </w:r>
          </w:p>
          <w:p w14:paraId="49F8CDE0">
            <w:pPr>
              <w:autoSpaceDE w:val="0"/>
              <w:autoSpaceDN w:val="0"/>
              <w:adjustRightInd w:val="0"/>
              <w:snapToGrid w:val="0"/>
              <w:ind w:firstLine="420" w:firstLineChars="200"/>
              <w:jc w:val="left"/>
              <w:rPr>
                <w:rFonts w:eastAsia="仿宋"/>
                <w:szCs w:val="21"/>
              </w:rPr>
            </w:pPr>
            <w:r>
              <w:rPr>
                <w:rFonts w:eastAsia="仿宋"/>
                <w:szCs w:val="21"/>
              </w:rPr>
              <w:t>(二) 在工程采购项目中，工程由中小企业承建，即工程施工单位为中小企业；</w:t>
            </w:r>
          </w:p>
          <w:p w14:paraId="68FEE2F0">
            <w:pPr>
              <w:autoSpaceDE w:val="0"/>
              <w:autoSpaceDN w:val="0"/>
              <w:adjustRightInd w:val="0"/>
              <w:snapToGrid w:val="0"/>
              <w:ind w:firstLine="420" w:firstLineChars="200"/>
              <w:jc w:val="left"/>
              <w:rPr>
                <w:rFonts w:eastAsia="仿宋"/>
                <w:szCs w:val="21"/>
              </w:rPr>
            </w:pPr>
            <w:r>
              <w:rPr>
                <w:rFonts w:eastAsia="仿宋"/>
                <w:szCs w:val="21"/>
              </w:rPr>
              <w:t>(三) 在服务采购项目中，服务由中小企业承接，即提供服务的人员为中小企业依照《中华人民共和国劳动合同法》订立劳动合同的从业人员。</w:t>
            </w:r>
          </w:p>
          <w:p w14:paraId="155505DB">
            <w:pPr>
              <w:autoSpaceDE w:val="0"/>
              <w:autoSpaceDN w:val="0"/>
              <w:adjustRightInd w:val="0"/>
              <w:snapToGrid w:val="0"/>
              <w:ind w:firstLine="420" w:firstLineChars="200"/>
              <w:jc w:val="left"/>
              <w:rPr>
                <w:rFonts w:eastAsia="仿宋"/>
                <w:szCs w:val="21"/>
              </w:rPr>
            </w:pPr>
            <w:r>
              <w:rPr>
                <w:rFonts w:eastAsia="仿宋"/>
                <w:szCs w:val="21"/>
              </w:rPr>
              <w:t>在货物采购项目中，供应商提供的货物既有中小企业制造货物，也有大型企业制造货物的，不享受本办法规定的中小企业扶持政策。</w:t>
            </w:r>
          </w:p>
          <w:p w14:paraId="79CE4EEA">
            <w:pPr>
              <w:autoSpaceDE w:val="0"/>
              <w:autoSpaceDN w:val="0"/>
              <w:adjustRightInd w:val="0"/>
              <w:snapToGrid w:val="0"/>
              <w:ind w:firstLine="420" w:firstLineChars="200"/>
              <w:jc w:val="left"/>
              <w:rPr>
                <w:rFonts w:eastAsia="仿宋"/>
                <w:szCs w:val="21"/>
              </w:rPr>
            </w:pPr>
            <w:r>
              <w:rPr>
                <w:rFonts w:eastAsia="仿宋"/>
                <w:szCs w:val="21"/>
              </w:rPr>
              <w:t>以联合体形式参加政府采购活动，联合体各方均为中小企业的，联合体视同中小企业。其中，联合体各方均为小微企业的，联合体视同小微企业。</w:t>
            </w:r>
          </w:p>
          <w:p w14:paraId="7AB65539">
            <w:pPr>
              <w:autoSpaceDE w:val="0"/>
              <w:autoSpaceDN w:val="0"/>
              <w:adjustRightInd w:val="0"/>
              <w:snapToGrid w:val="0"/>
              <w:ind w:firstLine="420" w:firstLineChars="200"/>
              <w:jc w:val="left"/>
              <w:rPr>
                <w:rFonts w:eastAsia="仿宋"/>
                <w:szCs w:val="21"/>
              </w:rPr>
            </w:pPr>
            <w:r>
              <w:rPr>
                <w:rFonts w:eastAsia="仿宋"/>
                <w:szCs w:val="21"/>
              </w:rPr>
              <w:t>(3)依据本办法规定享受扶持政策获得政府采购合同的，小微企业不得将合同分包给大中型企业，中型企业不得将合同分包给大型企业。</w:t>
            </w:r>
          </w:p>
          <w:p w14:paraId="3FF07367">
            <w:pPr>
              <w:autoSpaceDE w:val="0"/>
              <w:autoSpaceDN w:val="0"/>
              <w:adjustRightInd w:val="0"/>
              <w:snapToGrid w:val="0"/>
              <w:ind w:firstLine="420" w:firstLineChars="200"/>
              <w:jc w:val="left"/>
              <w:rPr>
                <w:rFonts w:eastAsia="仿宋"/>
                <w:szCs w:val="21"/>
              </w:rPr>
            </w:pPr>
            <w:r>
              <w:rPr>
                <w:rFonts w:eastAsia="仿宋"/>
                <w:szCs w:val="21"/>
              </w:rPr>
              <w:t>(4)提供由省级以上监狱管理局、戒毒管理局(含新疆生产建设兵团)出具的属于监狱企业证明文件(扫描件) 的，视同为小型和微型企业。</w:t>
            </w:r>
          </w:p>
          <w:p w14:paraId="06880E76">
            <w:pPr>
              <w:autoSpaceDE w:val="0"/>
              <w:autoSpaceDN w:val="0"/>
              <w:adjustRightInd w:val="0"/>
              <w:snapToGrid w:val="0"/>
              <w:ind w:firstLine="420" w:firstLineChars="200"/>
              <w:jc w:val="left"/>
              <w:rPr>
                <w:rFonts w:eastAsia="仿宋"/>
                <w:szCs w:val="21"/>
              </w:rPr>
            </w:pPr>
            <w:r>
              <w:rPr>
                <w:rFonts w:eastAsia="仿宋"/>
                <w:szCs w:val="21"/>
              </w:rPr>
              <w:t>(5)符合享受政府采购支持政策的残疾人福利性单位条件且提供《残疾人福利性单位声明函》的，视同为小型和微型企业。</w:t>
            </w:r>
          </w:p>
          <w:p w14:paraId="2C9F88C1">
            <w:pPr>
              <w:autoSpaceDE w:val="0"/>
              <w:autoSpaceDN w:val="0"/>
              <w:adjustRightInd w:val="0"/>
              <w:snapToGrid w:val="0"/>
              <w:ind w:firstLine="420" w:firstLineChars="200"/>
              <w:jc w:val="left"/>
              <w:rPr>
                <w:rFonts w:eastAsia="仿宋"/>
                <w:szCs w:val="21"/>
              </w:rPr>
            </w:pPr>
            <w:r>
              <w:rPr>
                <w:rFonts w:eastAsia="仿宋"/>
                <w:szCs w:val="21"/>
              </w:rPr>
              <w:t>(6)本采购项目中小企业划分标准所属行业为：</w:t>
            </w:r>
            <w:r>
              <w:rPr>
                <w:rFonts w:eastAsia="仿宋"/>
                <w:b/>
                <w:bCs/>
                <w:szCs w:val="21"/>
              </w:rPr>
              <w:t>其它为列明行业</w:t>
            </w:r>
            <w:r>
              <w:rPr>
                <w:rFonts w:eastAsia="仿宋"/>
                <w:szCs w:val="21"/>
              </w:rPr>
              <w:t>。即：从业人员300人以下的为中小微型企业。其中，从业人员100人及以上的为中型企业；从业人员10人及以上的为小型企业；从业人员10人以下的为微型企业。</w:t>
            </w:r>
          </w:p>
          <w:p w14:paraId="7F4E1D51">
            <w:pPr>
              <w:autoSpaceDE w:val="0"/>
              <w:autoSpaceDN w:val="0"/>
              <w:adjustRightInd w:val="0"/>
              <w:snapToGrid w:val="0"/>
              <w:jc w:val="left"/>
              <w:rPr>
                <w:rFonts w:eastAsia="仿宋"/>
                <w:bCs/>
                <w:szCs w:val="21"/>
              </w:rPr>
            </w:pPr>
            <w:r>
              <w:rPr>
                <w:rFonts w:eastAsia="仿宋"/>
                <w:b/>
                <w:bCs/>
                <w:szCs w:val="21"/>
              </w:rPr>
              <w:t>（供应商应在中小企业声明函中按照要求填写，如未按要求填写，将被否决此次磋商）</w:t>
            </w:r>
          </w:p>
        </w:tc>
      </w:tr>
      <w:tr w14:paraId="2523DC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11" w:type="dxa"/>
            <w:vAlign w:val="center"/>
          </w:tcPr>
          <w:p w14:paraId="6E1FF1B9">
            <w:pPr>
              <w:adjustRightInd w:val="0"/>
              <w:snapToGrid w:val="0"/>
              <w:jc w:val="center"/>
              <w:rPr>
                <w:rFonts w:eastAsia="仿宋"/>
                <w:bCs/>
                <w:szCs w:val="21"/>
              </w:rPr>
            </w:pPr>
          </w:p>
        </w:tc>
        <w:tc>
          <w:tcPr>
            <w:tcW w:w="9010" w:type="dxa"/>
            <w:gridSpan w:val="2"/>
            <w:tcBorders>
              <w:right w:val="single" w:color="auto" w:sz="4" w:space="0"/>
            </w:tcBorders>
            <w:vAlign w:val="center"/>
          </w:tcPr>
          <w:p w14:paraId="5A89346D">
            <w:pPr>
              <w:autoSpaceDE w:val="0"/>
              <w:autoSpaceDN w:val="0"/>
              <w:adjustRightInd w:val="0"/>
              <w:snapToGrid w:val="0"/>
              <w:jc w:val="left"/>
              <w:rPr>
                <w:rFonts w:eastAsia="仿宋"/>
                <w:b/>
                <w:bCs/>
                <w:szCs w:val="21"/>
              </w:rPr>
            </w:pPr>
            <w:r>
              <w:rPr>
                <w:rFonts w:eastAsia="仿宋"/>
                <w:b/>
                <w:bCs/>
                <w:szCs w:val="21"/>
              </w:rPr>
              <w:t>1、采购公告的招标范围与投标须知前附表的招标范围不一致的，以投标须知前附表的招标范围为准。</w:t>
            </w:r>
          </w:p>
          <w:p w14:paraId="5CAD1AEE">
            <w:pPr>
              <w:autoSpaceDE w:val="0"/>
              <w:autoSpaceDN w:val="0"/>
              <w:adjustRightInd w:val="0"/>
              <w:snapToGrid w:val="0"/>
              <w:jc w:val="left"/>
              <w:rPr>
                <w:rFonts w:eastAsia="仿宋"/>
                <w:b/>
                <w:bCs/>
                <w:szCs w:val="21"/>
              </w:rPr>
            </w:pPr>
            <w:r>
              <w:rPr>
                <w:rFonts w:eastAsia="仿宋"/>
                <w:b/>
                <w:bCs/>
                <w:szCs w:val="21"/>
              </w:rPr>
              <w:t>2、投标须知前附表与投标须知正文部分内容不一致的，以投标须知前附表为准。</w:t>
            </w:r>
          </w:p>
          <w:p w14:paraId="77EEF46C">
            <w:pPr>
              <w:autoSpaceDE w:val="0"/>
              <w:autoSpaceDN w:val="0"/>
              <w:adjustRightInd w:val="0"/>
              <w:snapToGrid w:val="0"/>
              <w:jc w:val="left"/>
              <w:rPr>
                <w:rFonts w:eastAsia="仿宋"/>
                <w:b/>
                <w:bCs/>
                <w:szCs w:val="21"/>
                <w:highlight w:val="yellow"/>
              </w:rPr>
            </w:pPr>
            <w:r>
              <w:rPr>
                <w:rFonts w:eastAsia="仿宋"/>
                <w:b/>
                <w:bCs/>
                <w:szCs w:val="21"/>
              </w:rPr>
              <w:t>3、项目名称与项目编号出现不一致时，以《磋商文件》封面的项目名称和项目编号为准。</w:t>
            </w:r>
          </w:p>
        </w:tc>
      </w:tr>
    </w:tbl>
    <w:p w14:paraId="6BDD7123">
      <w:pPr>
        <w:rPr>
          <w:rFonts w:eastAsia="仿宋"/>
          <w:b/>
          <w:sz w:val="28"/>
          <w:szCs w:val="28"/>
        </w:rPr>
      </w:pPr>
      <w:r>
        <w:rPr>
          <w:rFonts w:eastAsia="仿宋"/>
          <w:b/>
          <w:sz w:val="28"/>
          <w:szCs w:val="28"/>
        </w:rPr>
        <w:br w:type="page"/>
      </w:r>
    </w:p>
    <w:p w14:paraId="294A3DE8">
      <w:pPr>
        <w:spacing w:line="360" w:lineRule="auto"/>
        <w:jc w:val="center"/>
        <w:rPr>
          <w:rFonts w:eastAsia="仿宋"/>
          <w:b/>
          <w:sz w:val="28"/>
          <w:szCs w:val="28"/>
        </w:rPr>
      </w:pPr>
      <w:r>
        <w:rPr>
          <w:rFonts w:eastAsia="仿宋"/>
          <w:b/>
          <w:sz w:val="28"/>
          <w:szCs w:val="28"/>
        </w:rPr>
        <w:t>供应商须知</w:t>
      </w:r>
    </w:p>
    <w:p w14:paraId="2035C03B">
      <w:pPr>
        <w:spacing w:line="360" w:lineRule="auto"/>
        <w:ind w:firstLine="482" w:firstLineChars="200"/>
        <w:rPr>
          <w:rFonts w:eastAsia="仿宋"/>
          <w:b/>
          <w:sz w:val="24"/>
          <w:szCs w:val="24"/>
        </w:rPr>
      </w:pPr>
      <w:bookmarkStart w:id="4" w:name="OLE_LINK1"/>
      <w:r>
        <w:rPr>
          <w:rFonts w:eastAsia="仿宋"/>
          <w:b/>
          <w:sz w:val="24"/>
          <w:szCs w:val="24"/>
        </w:rPr>
        <w:t>1.适用范围</w:t>
      </w:r>
    </w:p>
    <w:p w14:paraId="491C4DD5">
      <w:pPr>
        <w:spacing w:line="360" w:lineRule="auto"/>
        <w:ind w:firstLine="480" w:firstLineChars="200"/>
        <w:rPr>
          <w:rFonts w:eastAsia="仿宋"/>
          <w:sz w:val="24"/>
          <w:szCs w:val="24"/>
        </w:rPr>
      </w:pPr>
      <w:r>
        <w:rPr>
          <w:rFonts w:eastAsia="仿宋"/>
          <w:sz w:val="24"/>
          <w:szCs w:val="24"/>
        </w:rPr>
        <w:t>1.1</w:t>
      </w:r>
      <w:r>
        <w:rPr>
          <w:rStyle w:val="33"/>
          <w:rFonts w:ascii="Times New Roman" w:hAnsi="Times New Roman" w:eastAsia="仿宋"/>
          <w:sz w:val="24"/>
          <w:szCs w:val="24"/>
        </w:rPr>
        <w:t>本磋商文件仅适用于本次采购活动。</w:t>
      </w:r>
    </w:p>
    <w:p w14:paraId="5DE2B945">
      <w:pPr>
        <w:spacing w:line="360" w:lineRule="auto"/>
        <w:ind w:firstLine="482" w:firstLineChars="200"/>
        <w:rPr>
          <w:rFonts w:eastAsia="仿宋"/>
          <w:b/>
          <w:sz w:val="24"/>
          <w:szCs w:val="24"/>
        </w:rPr>
      </w:pPr>
      <w:r>
        <w:rPr>
          <w:rFonts w:eastAsia="仿宋"/>
          <w:b/>
          <w:sz w:val="24"/>
          <w:szCs w:val="24"/>
        </w:rPr>
        <w:t>2.磋商资格</w:t>
      </w:r>
    </w:p>
    <w:p w14:paraId="5DEA848D">
      <w:pPr>
        <w:spacing w:line="360" w:lineRule="auto"/>
        <w:ind w:firstLine="480" w:firstLineChars="200"/>
        <w:rPr>
          <w:rFonts w:eastAsia="仿宋"/>
          <w:sz w:val="24"/>
          <w:szCs w:val="24"/>
        </w:rPr>
      </w:pPr>
      <w:r>
        <w:rPr>
          <w:rFonts w:eastAsia="仿宋"/>
          <w:sz w:val="24"/>
          <w:szCs w:val="24"/>
        </w:rPr>
        <w:t>2.1具有承担本项目能力以及符合供应商须知前附表中申请人资格条件的服务机构均为合格的供应商。</w:t>
      </w:r>
    </w:p>
    <w:p w14:paraId="08EBF210">
      <w:pPr>
        <w:spacing w:line="360" w:lineRule="auto"/>
        <w:ind w:firstLine="482" w:firstLineChars="200"/>
        <w:rPr>
          <w:rFonts w:eastAsia="仿宋"/>
          <w:b/>
          <w:sz w:val="24"/>
          <w:szCs w:val="24"/>
        </w:rPr>
      </w:pPr>
      <w:r>
        <w:rPr>
          <w:rFonts w:eastAsia="仿宋"/>
          <w:b/>
          <w:sz w:val="24"/>
          <w:szCs w:val="24"/>
        </w:rPr>
        <w:t>3.定义</w:t>
      </w:r>
    </w:p>
    <w:p w14:paraId="5EB2054F">
      <w:pPr>
        <w:spacing w:line="360" w:lineRule="auto"/>
        <w:ind w:firstLine="480" w:firstLineChars="200"/>
        <w:rPr>
          <w:rStyle w:val="33"/>
          <w:rFonts w:ascii="Times New Roman" w:hAnsi="Times New Roman" w:eastAsia="仿宋"/>
          <w:sz w:val="24"/>
          <w:szCs w:val="24"/>
        </w:rPr>
      </w:pPr>
      <w:r>
        <w:rPr>
          <w:rStyle w:val="33"/>
          <w:rFonts w:ascii="Times New Roman" w:hAnsi="Times New Roman" w:eastAsia="仿宋"/>
          <w:sz w:val="24"/>
          <w:szCs w:val="24"/>
        </w:rPr>
        <w:t>下列术语和缩写的定义为：</w:t>
      </w:r>
    </w:p>
    <w:p w14:paraId="6E829C0F">
      <w:pPr>
        <w:spacing w:line="360" w:lineRule="auto"/>
        <w:ind w:firstLine="480" w:firstLineChars="200"/>
        <w:rPr>
          <w:rStyle w:val="33"/>
          <w:rFonts w:ascii="Times New Roman" w:hAnsi="Times New Roman" w:eastAsia="仿宋"/>
          <w:sz w:val="24"/>
          <w:szCs w:val="24"/>
        </w:rPr>
      </w:pPr>
      <w:r>
        <w:rPr>
          <w:rFonts w:eastAsia="仿宋"/>
          <w:sz w:val="24"/>
          <w:szCs w:val="24"/>
        </w:rPr>
        <w:t>3.1</w:t>
      </w:r>
      <w:r>
        <w:rPr>
          <w:rStyle w:val="33"/>
          <w:rFonts w:ascii="Times New Roman" w:hAnsi="Times New Roman" w:eastAsia="仿宋"/>
          <w:sz w:val="24"/>
          <w:szCs w:val="24"/>
        </w:rPr>
        <w:t>“采购人”系指新疆农业大学</w:t>
      </w:r>
      <w:r>
        <w:rPr>
          <w:rFonts w:eastAsia="仿宋"/>
          <w:bCs/>
          <w:sz w:val="24"/>
          <w:szCs w:val="24"/>
        </w:rPr>
        <w:t>。</w:t>
      </w:r>
    </w:p>
    <w:p w14:paraId="23A9EF06">
      <w:pPr>
        <w:spacing w:line="360" w:lineRule="auto"/>
        <w:ind w:firstLine="480" w:firstLineChars="200"/>
        <w:rPr>
          <w:rStyle w:val="33"/>
          <w:rFonts w:ascii="Times New Roman" w:hAnsi="Times New Roman" w:eastAsia="仿宋"/>
          <w:sz w:val="24"/>
          <w:szCs w:val="24"/>
        </w:rPr>
      </w:pPr>
      <w:r>
        <w:rPr>
          <w:rFonts w:eastAsia="仿宋"/>
          <w:sz w:val="24"/>
          <w:szCs w:val="24"/>
        </w:rPr>
        <w:t>3.2</w:t>
      </w:r>
      <w:r>
        <w:rPr>
          <w:rStyle w:val="33"/>
          <w:rFonts w:ascii="Times New Roman" w:hAnsi="Times New Roman" w:eastAsia="仿宋"/>
          <w:sz w:val="24"/>
          <w:szCs w:val="24"/>
        </w:rPr>
        <w:t>“招标代理机构”系指中合安建工程管理有限公司。</w:t>
      </w:r>
    </w:p>
    <w:p w14:paraId="49439185">
      <w:pPr>
        <w:spacing w:line="360" w:lineRule="auto"/>
        <w:ind w:firstLine="480" w:firstLineChars="200"/>
        <w:rPr>
          <w:rStyle w:val="33"/>
          <w:rFonts w:ascii="Times New Roman" w:hAnsi="Times New Roman" w:eastAsia="仿宋"/>
          <w:sz w:val="24"/>
          <w:szCs w:val="24"/>
        </w:rPr>
      </w:pPr>
      <w:r>
        <w:rPr>
          <w:rFonts w:eastAsia="仿宋"/>
          <w:sz w:val="24"/>
          <w:szCs w:val="24"/>
        </w:rPr>
        <w:t>3.3</w:t>
      </w:r>
      <w:r>
        <w:rPr>
          <w:rStyle w:val="33"/>
          <w:rFonts w:ascii="Times New Roman" w:hAnsi="Times New Roman" w:eastAsia="仿宋"/>
          <w:sz w:val="24"/>
          <w:szCs w:val="24"/>
        </w:rPr>
        <w:t>“招标方”系指采购人和招标代理机构的统称。</w:t>
      </w:r>
    </w:p>
    <w:p w14:paraId="40327B13">
      <w:pPr>
        <w:spacing w:line="360" w:lineRule="auto"/>
        <w:ind w:firstLine="480" w:firstLineChars="200"/>
        <w:rPr>
          <w:rFonts w:eastAsia="仿宋"/>
          <w:sz w:val="24"/>
          <w:szCs w:val="24"/>
        </w:rPr>
      </w:pPr>
      <w:r>
        <w:rPr>
          <w:rFonts w:eastAsia="仿宋"/>
          <w:sz w:val="24"/>
          <w:szCs w:val="24"/>
        </w:rPr>
        <w:t>3.4“供应商”系指有资格的供应商。</w:t>
      </w:r>
    </w:p>
    <w:p w14:paraId="6BA866FC">
      <w:pPr>
        <w:spacing w:line="360" w:lineRule="auto"/>
        <w:ind w:firstLine="480" w:firstLineChars="200"/>
        <w:rPr>
          <w:rFonts w:eastAsia="仿宋"/>
          <w:sz w:val="24"/>
          <w:szCs w:val="24"/>
        </w:rPr>
      </w:pPr>
      <w:r>
        <w:rPr>
          <w:rFonts w:eastAsia="仿宋"/>
          <w:sz w:val="24"/>
          <w:szCs w:val="24"/>
        </w:rPr>
        <w:t>3.5“成交供应商”系指经</w:t>
      </w:r>
      <w:r>
        <w:rPr>
          <w:rFonts w:eastAsia="仿宋"/>
          <w:spacing w:val="-2"/>
          <w:sz w:val="24"/>
          <w:szCs w:val="24"/>
        </w:rPr>
        <w:t>磋商小组</w:t>
      </w:r>
      <w:r>
        <w:rPr>
          <w:rFonts w:eastAsia="仿宋"/>
          <w:sz w:val="24"/>
          <w:szCs w:val="24"/>
        </w:rPr>
        <w:t>评定后综合得分第一的供应商。</w:t>
      </w:r>
    </w:p>
    <w:p w14:paraId="3683BEA5">
      <w:pPr>
        <w:spacing w:line="360" w:lineRule="auto"/>
        <w:ind w:firstLine="480" w:firstLineChars="200"/>
        <w:rPr>
          <w:rFonts w:eastAsia="仿宋"/>
          <w:sz w:val="24"/>
          <w:szCs w:val="24"/>
        </w:rPr>
      </w:pPr>
      <w:r>
        <w:rPr>
          <w:rFonts w:eastAsia="仿宋"/>
          <w:sz w:val="24"/>
          <w:szCs w:val="24"/>
        </w:rPr>
        <w:t>3.6“响应”系指供应商、根据招标代理机构发布的磋商文件，编制响应文件并按规定磋商的行为。</w:t>
      </w:r>
    </w:p>
    <w:p w14:paraId="77358566">
      <w:pPr>
        <w:spacing w:line="360" w:lineRule="auto"/>
        <w:ind w:firstLine="480" w:firstLineChars="200"/>
        <w:rPr>
          <w:rFonts w:eastAsia="仿宋"/>
          <w:sz w:val="24"/>
          <w:szCs w:val="24"/>
        </w:rPr>
      </w:pPr>
      <w:r>
        <w:rPr>
          <w:rFonts w:eastAsia="仿宋"/>
          <w:sz w:val="24"/>
          <w:szCs w:val="24"/>
        </w:rPr>
        <w:t>3.7“服务”系指磋商文件规定供应商须承担的合同期限内的相关工作任务、服务项目及其他类似的责任。</w:t>
      </w:r>
    </w:p>
    <w:p w14:paraId="5B4B8281">
      <w:pPr>
        <w:spacing w:line="360" w:lineRule="auto"/>
        <w:ind w:firstLine="482" w:firstLineChars="200"/>
        <w:rPr>
          <w:rFonts w:eastAsia="仿宋"/>
          <w:b/>
          <w:sz w:val="24"/>
          <w:szCs w:val="24"/>
        </w:rPr>
      </w:pPr>
      <w:r>
        <w:rPr>
          <w:rFonts w:eastAsia="仿宋"/>
          <w:b/>
          <w:sz w:val="24"/>
          <w:szCs w:val="24"/>
        </w:rPr>
        <w:t>4.磋商费用</w:t>
      </w:r>
    </w:p>
    <w:p w14:paraId="7ADA70CB">
      <w:pPr>
        <w:spacing w:line="360" w:lineRule="auto"/>
        <w:ind w:firstLine="480" w:firstLineChars="200"/>
        <w:rPr>
          <w:rFonts w:eastAsia="仿宋"/>
          <w:sz w:val="24"/>
          <w:szCs w:val="24"/>
        </w:rPr>
      </w:pPr>
      <w:r>
        <w:rPr>
          <w:rFonts w:eastAsia="仿宋"/>
          <w:sz w:val="24"/>
          <w:szCs w:val="24"/>
        </w:rPr>
        <w:t>4.1无论磋商结果如何，凡参与招标、磋商活动有关的所有费用将由供应商自行承担。</w:t>
      </w:r>
    </w:p>
    <w:p w14:paraId="29260519">
      <w:pPr>
        <w:spacing w:line="360" w:lineRule="auto"/>
        <w:ind w:firstLine="480" w:firstLineChars="200"/>
        <w:rPr>
          <w:rFonts w:eastAsia="仿宋"/>
          <w:sz w:val="24"/>
          <w:szCs w:val="24"/>
        </w:rPr>
      </w:pPr>
      <w:r>
        <w:rPr>
          <w:rFonts w:eastAsia="仿宋"/>
          <w:sz w:val="24"/>
          <w:szCs w:val="24"/>
        </w:rPr>
        <w:t>4.2供应商被视为熟悉本招标项目的各种情况以及与履行合同有关的一切情况。</w:t>
      </w:r>
    </w:p>
    <w:p w14:paraId="329E528B">
      <w:pPr>
        <w:spacing w:line="360" w:lineRule="auto"/>
        <w:ind w:firstLine="482" w:firstLineChars="200"/>
        <w:jc w:val="center"/>
        <w:rPr>
          <w:rFonts w:eastAsia="仿宋"/>
          <w:b/>
          <w:sz w:val="24"/>
          <w:szCs w:val="24"/>
        </w:rPr>
      </w:pPr>
      <w:r>
        <w:rPr>
          <w:rFonts w:eastAsia="仿宋"/>
          <w:b/>
          <w:sz w:val="24"/>
          <w:szCs w:val="24"/>
        </w:rPr>
        <w:t>磋商文件</w:t>
      </w:r>
    </w:p>
    <w:p w14:paraId="7ED17CC1">
      <w:pPr>
        <w:spacing w:line="360" w:lineRule="auto"/>
        <w:ind w:firstLine="482" w:firstLineChars="200"/>
        <w:rPr>
          <w:rFonts w:eastAsia="仿宋"/>
          <w:b/>
          <w:sz w:val="24"/>
          <w:szCs w:val="24"/>
        </w:rPr>
      </w:pPr>
      <w:r>
        <w:rPr>
          <w:rFonts w:eastAsia="仿宋"/>
          <w:b/>
          <w:sz w:val="24"/>
          <w:szCs w:val="24"/>
        </w:rPr>
        <w:t>5.磋商文件的构成</w:t>
      </w:r>
    </w:p>
    <w:p w14:paraId="45ABE549">
      <w:pPr>
        <w:spacing w:line="360" w:lineRule="auto"/>
        <w:ind w:firstLine="480" w:firstLineChars="200"/>
        <w:rPr>
          <w:rFonts w:eastAsia="仿宋"/>
          <w:sz w:val="24"/>
          <w:szCs w:val="24"/>
        </w:rPr>
      </w:pPr>
      <w:r>
        <w:rPr>
          <w:rFonts w:eastAsia="仿宋"/>
          <w:sz w:val="24"/>
          <w:szCs w:val="24"/>
        </w:rPr>
        <w:t>5.1磋商文件由下述部分组成：</w:t>
      </w:r>
    </w:p>
    <w:p w14:paraId="6E87EE05">
      <w:pPr>
        <w:spacing w:line="360" w:lineRule="auto"/>
        <w:ind w:firstLine="560"/>
        <w:rPr>
          <w:rFonts w:eastAsia="仿宋"/>
          <w:sz w:val="24"/>
          <w:szCs w:val="24"/>
        </w:rPr>
      </w:pPr>
      <w:r>
        <w:rPr>
          <w:rFonts w:eastAsia="仿宋"/>
          <w:sz w:val="24"/>
          <w:szCs w:val="24"/>
        </w:rPr>
        <w:t>一、磋商公告</w:t>
      </w:r>
    </w:p>
    <w:p w14:paraId="6FC3211C">
      <w:pPr>
        <w:spacing w:line="360" w:lineRule="auto"/>
        <w:ind w:firstLine="560"/>
        <w:rPr>
          <w:rFonts w:eastAsia="仿宋"/>
          <w:sz w:val="24"/>
          <w:szCs w:val="24"/>
        </w:rPr>
      </w:pPr>
      <w:r>
        <w:rPr>
          <w:rFonts w:eastAsia="仿宋"/>
          <w:sz w:val="24"/>
          <w:szCs w:val="24"/>
        </w:rPr>
        <w:t>二、供应商须知</w:t>
      </w:r>
    </w:p>
    <w:p w14:paraId="2BDA3392">
      <w:pPr>
        <w:spacing w:line="360" w:lineRule="auto"/>
        <w:ind w:firstLine="560"/>
        <w:rPr>
          <w:rFonts w:eastAsia="仿宋"/>
          <w:sz w:val="24"/>
          <w:szCs w:val="24"/>
        </w:rPr>
      </w:pPr>
      <w:r>
        <w:rPr>
          <w:rFonts w:eastAsia="仿宋"/>
          <w:sz w:val="24"/>
          <w:szCs w:val="24"/>
        </w:rPr>
        <w:t>三、采购需求</w:t>
      </w:r>
    </w:p>
    <w:p w14:paraId="6CF94061">
      <w:pPr>
        <w:spacing w:line="360" w:lineRule="auto"/>
        <w:ind w:firstLine="560"/>
        <w:rPr>
          <w:rFonts w:eastAsia="仿宋"/>
          <w:sz w:val="24"/>
          <w:szCs w:val="24"/>
        </w:rPr>
      </w:pPr>
      <w:r>
        <w:rPr>
          <w:rFonts w:eastAsia="仿宋"/>
          <w:sz w:val="24"/>
          <w:szCs w:val="24"/>
        </w:rPr>
        <w:t>四、合同</w:t>
      </w:r>
    </w:p>
    <w:p w14:paraId="3127A8FF">
      <w:pPr>
        <w:spacing w:line="360" w:lineRule="auto"/>
        <w:ind w:firstLine="560"/>
        <w:rPr>
          <w:rFonts w:eastAsia="仿宋"/>
          <w:sz w:val="24"/>
          <w:szCs w:val="24"/>
        </w:rPr>
      </w:pPr>
      <w:r>
        <w:rPr>
          <w:rFonts w:eastAsia="仿宋"/>
          <w:sz w:val="24"/>
          <w:szCs w:val="24"/>
        </w:rPr>
        <w:t>五、响应文件格式及附件</w:t>
      </w:r>
    </w:p>
    <w:p w14:paraId="598B1DDF">
      <w:pPr>
        <w:spacing w:line="360" w:lineRule="auto"/>
        <w:ind w:firstLine="482" w:firstLineChars="200"/>
        <w:rPr>
          <w:rFonts w:eastAsia="仿宋"/>
          <w:b/>
          <w:sz w:val="24"/>
          <w:szCs w:val="24"/>
        </w:rPr>
      </w:pPr>
      <w:r>
        <w:rPr>
          <w:rFonts w:eastAsia="仿宋"/>
          <w:b/>
          <w:sz w:val="24"/>
          <w:szCs w:val="24"/>
        </w:rPr>
        <w:t>6.磋商文件的澄清</w:t>
      </w:r>
    </w:p>
    <w:p w14:paraId="4905C8AE">
      <w:pPr>
        <w:spacing w:line="360" w:lineRule="auto"/>
        <w:ind w:firstLine="480" w:firstLineChars="200"/>
        <w:rPr>
          <w:rFonts w:eastAsia="仿宋"/>
          <w:sz w:val="24"/>
          <w:szCs w:val="24"/>
        </w:rPr>
      </w:pPr>
      <w:r>
        <w:rPr>
          <w:rFonts w:eastAsia="仿宋"/>
          <w:sz w:val="24"/>
          <w:szCs w:val="24"/>
        </w:rPr>
        <w:t>6.1供应商对磋商文件如有异议，可在磋商截止期的五日前按磋商文件中载明的地址以书面形式（包括信函、电报或传真，不包括电子邮件，下同）通知招标方要求澄清。招标方将视情况确定采用适当方式予以澄清。招标方认为有必要时，可将澄清内容（包括原提出问题，但不包括问题的来源）分发给所有供应商。</w:t>
      </w:r>
    </w:p>
    <w:p w14:paraId="7DF09ECA">
      <w:pPr>
        <w:spacing w:line="360" w:lineRule="auto"/>
        <w:ind w:firstLine="482" w:firstLineChars="200"/>
        <w:rPr>
          <w:rFonts w:eastAsia="仿宋"/>
          <w:b/>
          <w:sz w:val="24"/>
          <w:szCs w:val="24"/>
        </w:rPr>
      </w:pPr>
      <w:r>
        <w:rPr>
          <w:rFonts w:eastAsia="仿宋"/>
          <w:b/>
          <w:sz w:val="24"/>
          <w:szCs w:val="24"/>
        </w:rPr>
        <w:t>7.磋商文件的修改或补充</w:t>
      </w:r>
    </w:p>
    <w:p w14:paraId="13089496">
      <w:pPr>
        <w:spacing w:line="360" w:lineRule="auto"/>
        <w:ind w:firstLine="480" w:firstLineChars="200"/>
        <w:rPr>
          <w:rFonts w:eastAsia="仿宋"/>
          <w:sz w:val="24"/>
          <w:szCs w:val="24"/>
          <w:highlight w:val="red"/>
        </w:rPr>
      </w:pPr>
      <w:r>
        <w:rPr>
          <w:rFonts w:eastAsia="仿宋"/>
          <w:sz w:val="24"/>
          <w:szCs w:val="24"/>
        </w:rPr>
        <w:t>7.1在磋商截止期五日前的任何时间，招标方可主动或依据供应商要求澄清的问题而修改或补充磋商文件，并以书面形式或网上公告通知所有供应商，供应商不需要确认。澄清文件在采购公告发布的同一媒介上发布之日起，视为供应商已收到该澄清。供应商未及时关注采购人在网站上发布的澄清文件造成的损失，由供应商自行负责。</w:t>
      </w:r>
    </w:p>
    <w:p w14:paraId="4B38F2DE">
      <w:pPr>
        <w:spacing w:line="360" w:lineRule="auto"/>
        <w:ind w:firstLine="480" w:firstLineChars="200"/>
        <w:rPr>
          <w:rFonts w:eastAsia="仿宋"/>
          <w:sz w:val="24"/>
          <w:szCs w:val="24"/>
        </w:rPr>
      </w:pPr>
      <w:r>
        <w:rPr>
          <w:rFonts w:eastAsia="仿宋"/>
          <w:sz w:val="24"/>
          <w:szCs w:val="24"/>
        </w:rPr>
        <w:t>7.2为使供应商在准备磋商时有适当的时间考虑响应文件的修改，招标方有权决定推迟磋商截止时间和开标日期，并将此变更通知所有的供应商。</w:t>
      </w:r>
    </w:p>
    <w:p w14:paraId="62CA0736">
      <w:pPr>
        <w:spacing w:line="360" w:lineRule="auto"/>
        <w:ind w:firstLine="480" w:firstLineChars="200"/>
        <w:rPr>
          <w:rFonts w:eastAsia="仿宋"/>
          <w:sz w:val="24"/>
          <w:szCs w:val="24"/>
        </w:rPr>
      </w:pPr>
      <w:r>
        <w:rPr>
          <w:rFonts w:eastAsia="仿宋"/>
          <w:sz w:val="24"/>
          <w:szCs w:val="24"/>
        </w:rPr>
        <w:t>7.3磋商文件的修改和补充文件将构成磋商文件的一部分，并且对供应商具有优先约束力。</w:t>
      </w:r>
    </w:p>
    <w:p w14:paraId="7B839747">
      <w:pPr>
        <w:spacing w:line="360" w:lineRule="auto"/>
        <w:ind w:firstLine="482" w:firstLineChars="200"/>
        <w:rPr>
          <w:rFonts w:eastAsia="仿宋"/>
          <w:b/>
          <w:sz w:val="24"/>
          <w:szCs w:val="24"/>
        </w:rPr>
      </w:pPr>
      <w:r>
        <w:rPr>
          <w:rFonts w:eastAsia="仿宋"/>
          <w:b/>
          <w:sz w:val="24"/>
          <w:szCs w:val="24"/>
        </w:rPr>
        <w:t>8.对供应商的资质要求</w:t>
      </w:r>
    </w:p>
    <w:p w14:paraId="024F77E2">
      <w:pPr>
        <w:spacing w:line="360" w:lineRule="auto"/>
        <w:ind w:firstLine="480" w:firstLineChars="200"/>
        <w:rPr>
          <w:rFonts w:eastAsia="仿宋"/>
          <w:bCs/>
          <w:sz w:val="24"/>
          <w:szCs w:val="24"/>
        </w:rPr>
      </w:pPr>
      <w:r>
        <w:rPr>
          <w:rFonts w:eastAsia="仿宋"/>
          <w:bCs/>
          <w:sz w:val="24"/>
          <w:szCs w:val="24"/>
        </w:rPr>
        <w:t>8.1供应商必须提交能够证明其具有履行本项目合同能力的资格证明文件，作为响应文件的一部分，资格审查及符合性审查以响应文件要求为准进行查验。</w:t>
      </w:r>
    </w:p>
    <w:p w14:paraId="3DB6BA98">
      <w:pPr>
        <w:spacing w:line="360" w:lineRule="auto"/>
        <w:ind w:firstLine="480" w:firstLineChars="200"/>
        <w:rPr>
          <w:rFonts w:eastAsia="仿宋"/>
          <w:bCs/>
          <w:sz w:val="24"/>
          <w:szCs w:val="24"/>
        </w:rPr>
      </w:pPr>
      <w:r>
        <w:rPr>
          <w:rFonts w:eastAsia="仿宋"/>
          <w:bCs/>
          <w:sz w:val="24"/>
          <w:szCs w:val="24"/>
        </w:rPr>
        <w:t>8.2所有在响应文件中提交的资格证明文件必须加盖公章。</w:t>
      </w:r>
    </w:p>
    <w:p w14:paraId="26213A7B">
      <w:pPr>
        <w:spacing w:line="360" w:lineRule="auto"/>
        <w:ind w:firstLine="480" w:firstLineChars="200"/>
        <w:rPr>
          <w:rFonts w:eastAsia="仿宋"/>
          <w:bCs/>
          <w:sz w:val="24"/>
          <w:szCs w:val="24"/>
        </w:rPr>
      </w:pPr>
      <w:r>
        <w:rPr>
          <w:rFonts w:eastAsia="仿宋"/>
          <w:bCs/>
          <w:sz w:val="24"/>
          <w:szCs w:val="24"/>
        </w:rPr>
        <w:t>8.3所有资格证明文件必须满足磋商文件的要求，否则将视为无效响应。</w:t>
      </w:r>
    </w:p>
    <w:p w14:paraId="63CD4252">
      <w:pPr>
        <w:spacing w:line="360" w:lineRule="auto"/>
        <w:ind w:firstLine="480" w:firstLineChars="200"/>
        <w:rPr>
          <w:rFonts w:eastAsia="仿宋"/>
          <w:bCs/>
          <w:sz w:val="24"/>
          <w:szCs w:val="24"/>
        </w:rPr>
      </w:pPr>
      <w:r>
        <w:rPr>
          <w:rFonts w:eastAsia="仿宋"/>
          <w:bCs/>
          <w:sz w:val="24"/>
          <w:szCs w:val="24"/>
        </w:rPr>
        <w:t>8.4供应商违反国家有关法律法规的强制性规定的，其投标按无效标处理。</w:t>
      </w:r>
    </w:p>
    <w:p w14:paraId="5476221F">
      <w:pPr>
        <w:spacing w:line="360" w:lineRule="auto"/>
        <w:ind w:firstLine="482" w:firstLineChars="200"/>
        <w:jc w:val="center"/>
        <w:rPr>
          <w:rFonts w:eastAsia="仿宋"/>
          <w:b/>
          <w:sz w:val="24"/>
          <w:szCs w:val="24"/>
        </w:rPr>
      </w:pPr>
      <w:r>
        <w:rPr>
          <w:rFonts w:eastAsia="仿宋"/>
          <w:b/>
          <w:sz w:val="24"/>
          <w:szCs w:val="24"/>
        </w:rPr>
        <w:t>响应文件</w:t>
      </w:r>
    </w:p>
    <w:p w14:paraId="5307F366">
      <w:pPr>
        <w:spacing w:line="360" w:lineRule="auto"/>
        <w:ind w:firstLine="482" w:firstLineChars="200"/>
        <w:rPr>
          <w:rFonts w:eastAsia="仿宋"/>
          <w:b/>
          <w:sz w:val="24"/>
          <w:szCs w:val="24"/>
        </w:rPr>
      </w:pPr>
      <w:r>
        <w:rPr>
          <w:rFonts w:eastAsia="仿宋"/>
          <w:b/>
          <w:sz w:val="24"/>
          <w:szCs w:val="24"/>
        </w:rPr>
        <w:t>9.响应文件的编写</w:t>
      </w:r>
    </w:p>
    <w:p w14:paraId="73117EB9">
      <w:pPr>
        <w:spacing w:line="360" w:lineRule="auto"/>
        <w:ind w:firstLine="482" w:firstLineChars="200"/>
        <w:rPr>
          <w:rFonts w:eastAsia="仿宋"/>
          <w:b/>
          <w:sz w:val="24"/>
          <w:szCs w:val="24"/>
        </w:rPr>
      </w:pPr>
      <w:r>
        <w:rPr>
          <w:rFonts w:eastAsia="仿宋"/>
          <w:b/>
          <w:sz w:val="24"/>
          <w:szCs w:val="24"/>
        </w:rPr>
        <w:t>9.1要求</w:t>
      </w:r>
    </w:p>
    <w:p w14:paraId="013763EA">
      <w:pPr>
        <w:spacing w:line="360" w:lineRule="auto"/>
        <w:ind w:firstLine="480" w:firstLineChars="200"/>
        <w:rPr>
          <w:rFonts w:eastAsia="仿宋"/>
          <w:sz w:val="24"/>
          <w:szCs w:val="24"/>
        </w:rPr>
      </w:pPr>
      <w:r>
        <w:rPr>
          <w:rFonts w:eastAsia="仿宋"/>
          <w:sz w:val="24"/>
          <w:szCs w:val="24"/>
        </w:rPr>
        <w:t>供应商应详细阅读磋商文件中的条款、规范、表示、条件和格式等所有内容，按磋商文件的要进行响应，并保证所提供的全部材料的真实性，使其响应对磋商文件做出实质性响应。否则，其磋商将视为无效。</w:t>
      </w:r>
    </w:p>
    <w:p w14:paraId="4500C047">
      <w:pPr>
        <w:spacing w:line="360" w:lineRule="auto"/>
        <w:ind w:firstLine="482" w:firstLineChars="200"/>
        <w:rPr>
          <w:rFonts w:eastAsia="仿宋"/>
          <w:b/>
          <w:sz w:val="24"/>
          <w:szCs w:val="24"/>
        </w:rPr>
      </w:pPr>
      <w:r>
        <w:rPr>
          <w:rFonts w:eastAsia="仿宋"/>
          <w:b/>
          <w:sz w:val="24"/>
          <w:szCs w:val="24"/>
        </w:rPr>
        <w:t>9.2响应文件语言和度量单位</w:t>
      </w:r>
    </w:p>
    <w:p w14:paraId="48DD4D71">
      <w:pPr>
        <w:spacing w:line="360" w:lineRule="auto"/>
        <w:ind w:firstLine="480" w:firstLineChars="200"/>
        <w:rPr>
          <w:rFonts w:eastAsia="仿宋"/>
          <w:sz w:val="24"/>
          <w:szCs w:val="24"/>
        </w:rPr>
      </w:pPr>
      <w:r>
        <w:rPr>
          <w:rFonts w:eastAsia="仿宋"/>
          <w:sz w:val="24"/>
          <w:szCs w:val="24"/>
        </w:rPr>
        <w:t>除在磋商文件的技术规格中另有规定外，计量单位应使用中华人民共和国法定计量单位。</w:t>
      </w:r>
    </w:p>
    <w:p w14:paraId="6CF0D1B2">
      <w:pPr>
        <w:spacing w:line="360" w:lineRule="auto"/>
        <w:ind w:firstLine="482" w:firstLineChars="200"/>
        <w:rPr>
          <w:rFonts w:eastAsia="仿宋"/>
          <w:b/>
          <w:sz w:val="24"/>
          <w:szCs w:val="24"/>
        </w:rPr>
      </w:pPr>
      <w:r>
        <w:rPr>
          <w:rFonts w:eastAsia="仿宋"/>
          <w:b/>
          <w:sz w:val="24"/>
          <w:szCs w:val="24"/>
        </w:rPr>
        <w:t>9.3响应文件的组成</w:t>
      </w:r>
    </w:p>
    <w:p w14:paraId="6DA99E36">
      <w:pPr>
        <w:spacing w:line="360" w:lineRule="auto"/>
        <w:ind w:firstLine="480" w:firstLineChars="200"/>
        <w:rPr>
          <w:rFonts w:eastAsia="仿宋"/>
          <w:sz w:val="24"/>
          <w:szCs w:val="24"/>
        </w:rPr>
      </w:pPr>
      <w:r>
        <w:rPr>
          <w:rFonts w:eastAsia="仿宋"/>
          <w:sz w:val="24"/>
          <w:szCs w:val="24"/>
        </w:rPr>
        <w:t>供应商编写的响应文件应包括下列内容：</w:t>
      </w:r>
    </w:p>
    <w:p w14:paraId="1F2763E6">
      <w:pPr>
        <w:adjustRightInd w:val="0"/>
        <w:snapToGrid w:val="0"/>
        <w:spacing w:line="360" w:lineRule="auto"/>
        <w:ind w:firstLine="480" w:firstLineChars="200"/>
        <w:rPr>
          <w:rFonts w:eastAsia="仿宋"/>
          <w:sz w:val="24"/>
          <w:szCs w:val="24"/>
        </w:rPr>
      </w:pPr>
      <w:r>
        <w:rPr>
          <w:rFonts w:eastAsia="仿宋"/>
          <w:sz w:val="24"/>
          <w:szCs w:val="24"/>
        </w:rPr>
        <w:t>一、商务部分</w:t>
      </w:r>
    </w:p>
    <w:p w14:paraId="45301FC8">
      <w:pPr>
        <w:adjustRightInd w:val="0"/>
        <w:snapToGrid w:val="0"/>
        <w:spacing w:line="360" w:lineRule="auto"/>
        <w:ind w:firstLine="480" w:firstLineChars="200"/>
        <w:rPr>
          <w:rFonts w:eastAsia="仿宋"/>
          <w:sz w:val="24"/>
          <w:szCs w:val="24"/>
        </w:rPr>
      </w:pPr>
      <w:r>
        <w:rPr>
          <w:rFonts w:eastAsia="仿宋"/>
          <w:sz w:val="24"/>
          <w:szCs w:val="24"/>
        </w:rPr>
        <w:t>1、磋商响应声明</w:t>
      </w:r>
    </w:p>
    <w:p w14:paraId="62402275">
      <w:pPr>
        <w:adjustRightInd w:val="0"/>
        <w:snapToGrid w:val="0"/>
        <w:spacing w:line="360" w:lineRule="auto"/>
        <w:ind w:firstLine="480" w:firstLineChars="200"/>
        <w:rPr>
          <w:rFonts w:eastAsia="仿宋"/>
          <w:sz w:val="24"/>
          <w:szCs w:val="24"/>
        </w:rPr>
      </w:pPr>
      <w:r>
        <w:rPr>
          <w:rFonts w:eastAsia="仿宋"/>
          <w:sz w:val="24"/>
          <w:szCs w:val="24"/>
        </w:rPr>
        <w:t xml:space="preserve">附件 1－1法定代表人身份证明扫描件(法定代表人参加磋商) </w:t>
      </w:r>
    </w:p>
    <w:p w14:paraId="5176C46F">
      <w:pPr>
        <w:adjustRightInd w:val="0"/>
        <w:snapToGrid w:val="0"/>
        <w:spacing w:line="360" w:lineRule="auto"/>
        <w:ind w:firstLine="480" w:firstLineChars="200"/>
        <w:rPr>
          <w:rFonts w:eastAsia="仿宋"/>
          <w:sz w:val="24"/>
          <w:szCs w:val="24"/>
        </w:rPr>
      </w:pPr>
      <w:r>
        <w:rPr>
          <w:rFonts w:eastAsia="仿宋"/>
          <w:sz w:val="24"/>
          <w:szCs w:val="24"/>
        </w:rPr>
        <w:t>附件 1－2法定代表人授权书(授权代表参加磋商)</w:t>
      </w:r>
    </w:p>
    <w:p w14:paraId="545ABFAC">
      <w:pPr>
        <w:adjustRightInd w:val="0"/>
        <w:snapToGrid w:val="0"/>
        <w:spacing w:line="360" w:lineRule="auto"/>
        <w:ind w:firstLine="480" w:firstLineChars="200"/>
        <w:rPr>
          <w:rFonts w:eastAsia="仿宋"/>
          <w:sz w:val="24"/>
          <w:szCs w:val="24"/>
        </w:rPr>
      </w:pPr>
      <w:r>
        <w:rPr>
          <w:rFonts w:eastAsia="仿宋"/>
          <w:sz w:val="24"/>
          <w:szCs w:val="24"/>
        </w:rPr>
        <w:t>2、报价一览表</w:t>
      </w:r>
    </w:p>
    <w:p w14:paraId="38781229">
      <w:pPr>
        <w:adjustRightInd w:val="0"/>
        <w:snapToGrid w:val="0"/>
        <w:spacing w:line="360" w:lineRule="auto"/>
        <w:ind w:firstLine="480" w:firstLineChars="200"/>
        <w:rPr>
          <w:rFonts w:eastAsia="仿宋"/>
          <w:sz w:val="24"/>
          <w:szCs w:val="24"/>
        </w:rPr>
      </w:pPr>
      <w:r>
        <w:rPr>
          <w:rFonts w:eastAsia="仿宋"/>
          <w:sz w:val="24"/>
          <w:szCs w:val="24"/>
        </w:rPr>
        <w:t>附件 2－1 报价一览表</w:t>
      </w:r>
    </w:p>
    <w:p w14:paraId="715D7F37">
      <w:pPr>
        <w:adjustRightInd w:val="0"/>
        <w:snapToGrid w:val="0"/>
        <w:spacing w:line="360" w:lineRule="auto"/>
        <w:ind w:firstLine="480" w:firstLineChars="200"/>
        <w:rPr>
          <w:rFonts w:eastAsia="仿宋"/>
          <w:sz w:val="24"/>
          <w:szCs w:val="24"/>
        </w:rPr>
      </w:pPr>
      <w:r>
        <w:rPr>
          <w:rFonts w:eastAsia="仿宋"/>
          <w:sz w:val="24"/>
          <w:szCs w:val="24"/>
        </w:rPr>
        <w:t xml:space="preserve">3、商务条款偏离表(格式附后) </w:t>
      </w:r>
    </w:p>
    <w:p w14:paraId="2AE65665">
      <w:pPr>
        <w:adjustRightInd w:val="0"/>
        <w:snapToGrid w:val="0"/>
        <w:spacing w:line="360" w:lineRule="auto"/>
        <w:ind w:firstLine="480" w:firstLineChars="200"/>
        <w:rPr>
          <w:rFonts w:eastAsia="仿宋"/>
          <w:sz w:val="24"/>
          <w:szCs w:val="24"/>
        </w:rPr>
      </w:pPr>
      <w:r>
        <w:rPr>
          <w:rFonts w:eastAsia="仿宋"/>
          <w:sz w:val="24"/>
          <w:szCs w:val="24"/>
        </w:rPr>
        <w:t>4、磋商保证金</w:t>
      </w:r>
    </w:p>
    <w:p w14:paraId="618D2C71">
      <w:pPr>
        <w:adjustRightInd w:val="0"/>
        <w:snapToGrid w:val="0"/>
        <w:spacing w:line="360" w:lineRule="auto"/>
        <w:ind w:firstLine="480" w:firstLineChars="200"/>
        <w:rPr>
          <w:rFonts w:eastAsia="仿宋"/>
          <w:sz w:val="24"/>
          <w:szCs w:val="24"/>
        </w:rPr>
      </w:pPr>
      <w:r>
        <w:rPr>
          <w:rFonts w:eastAsia="仿宋"/>
          <w:sz w:val="24"/>
          <w:szCs w:val="24"/>
        </w:rPr>
        <w:t>5、供应商的资格证明材料</w:t>
      </w:r>
    </w:p>
    <w:p w14:paraId="7FEEDD63">
      <w:pPr>
        <w:adjustRightInd w:val="0"/>
        <w:snapToGrid w:val="0"/>
        <w:spacing w:line="360" w:lineRule="auto"/>
        <w:ind w:firstLine="480" w:firstLineChars="200"/>
        <w:rPr>
          <w:rFonts w:eastAsia="仿宋"/>
          <w:sz w:val="24"/>
          <w:szCs w:val="24"/>
        </w:rPr>
      </w:pPr>
      <w:r>
        <w:rPr>
          <w:rFonts w:eastAsia="仿宋"/>
          <w:sz w:val="24"/>
          <w:szCs w:val="24"/>
        </w:rPr>
        <w:t>附件 5－1供应商基本情况表(格式附后)</w:t>
      </w:r>
    </w:p>
    <w:p w14:paraId="09B02637">
      <w:pPr>
        <w:adjustRightInd w:val="0"/>
        <w:snapToGrid w:val="0"/>
        <w:spacing w:line="360" w:lineRule="auto"/>
        <w:ind w:firstLine="480" w:firstLineChars="200"/>
        <w:rPr>
          <w:rFonts w:eastAsia="仿宋"/>
          <w:sz w:val="24"/>
          <w:szCs w:val="24"/>
        </w:rPr>
      </w:pPr>
      <w:r>
        <w:rPr>
          <w:rFonts w:eastAsia="仿宋"/>
          <w:sz w:val="24"/>
          <w:szCs w:val="24"/>
        </w:rPr>
        <w:t>附件 5－2关于满足《中华人民共和国政府采购法》第二十二条的承诺(格式附后)</w:t>
      </w:r>
    </w:p>
    <w:p w14:paraId="45B6BA36">
      <w:pPr>
        <w:adjustRightInd w:val="0"/>
        <w:snapToGrid w:val="0"/>
        <w:spacing w:line="360" w:lineRule="auto"/>
        <w:ind w:firstLine="480" w:firstLineChars="200"/>
        <w:rPr>
          <w:rFonts w:eastAsia="仿宋"/>
          <w:sz w:val="24"/>
          <w:szCs w:val="24"/>
        </w:rPr>
      </w:pPr>
      <w:r>
        <w:rPr>
          <w:rFonts w:eastAsia="仿宋"/>
          <w:sz w:val="24"/>
          <w:szCs w:val="24"/>
        </w:rPr>
        <w:t>6、提供符合政府采购政策的证明材料</w:t>
      </w:r>
    </w:p>
    <w:p w14:paraId="0E12863B">
      <w:pPr>
        <w:adjustRightInd w:val="0"/>
        <w:snapToGrid w:val="0"/>
        <w:spacing w:line="360" w:lineRule="auto"/>
        <w:ind w:firstLine="480" w:firstLineChars="200"/>
        <w:rPr>
          <w:rFonts w:eastAsia="仿宋"/>
          <w:sz w:val="24"/>
          <w:szCs w:val="24"/>
        </w:rPr>
      </w:pPr>
      <w:r>
        <w:rPr>
          <w:rFonts w:eastAsia="仿宋"/>
          <w:sz w:val="24"/>
          <w:szCs w:val="24"/>
        </w:rPr>
        <w:t>附件 6－1</w:t>
      </w:r>
      <w:r>
        <w:rPr>
          <w:rFonts w:eastAsia="仿宋"/>
          <w:sz w:val="24"/>
          <w:szCs w:val="24"/>
        </w:rPr>
        <w:tab/>
      </w:r>
      <w:r>
        <w:rPr>
          <w:rFonts w:eastAsia="仿宋"/>
          <w:sz w:val="24"/>
          <w:szCs w:val="24"/>
        </w:rPr>
        <w:t>中小企业声明函(格式附后)</w:t>
      </w:r>
    </w:p>
    <w:p w14:paraId="77B44C63">
      <w:pPr>
        <w:adjustRightInd w:val="0"/>
        <w:snapToGrid w:val="0"/>
        <w:spacing w:line="360" w:lineRule="auto"/>
        <w:ind w:firstLine="480" w:firstLineChars="200"/>
        <w:rPr>
          <w:rFonts w:eastAsia="仿宋"/>
          <w:sz w:val="24"/>
          <w:szCs w:val="24"/>
        </w:rPr>
      </w:pPr>
      <w:r>
        <w:rPr>
          <w:rFonts w:eastAsia="仿宋"/>
          <w:sz w:val="24"/>
          <w:szCs w:val="24"/>
        </w:rPr>
        <w:t>7、供应商业绩证明材料</w:t>
      </w:r>
    </w:p>
    <w:p w14:paraId="5AE372B1">
      <w:pPr>
        <w:adjustRightInd w:val="0"/>
        <w:snapToGrid w:val="0"/>
        <w:spacing w:line="360" w:lineRule="auto"/>
        <w:ind w:firstLine="480" w:firstLineChars="200"/>
        <w:rPr>
          <w:rFonts w:eastAsia="仿宋"/>
          <w:sz w:val="24"/>
          <w:szCs w:val="24"/>
        </w:rPr>
      </w:pPr>
      <w:r>
        <w:rPr>
          <w:rFonts w:eastAsia="仿宋"/>
          <w:sz w:val="24"/>
          <w:szCs w:val="24"/>
        </w:rPr>
        <w:t>8、供应商认为需提供的其他资料</w:t>
      </w:r>
    </w:p>
    <w:p w14:paraId="62B3CC89">
      <w:pPr>
        <w:adjustRightInd w:val="0"/>
        <w:snapToGrid w:val="0"/>
        <w:spacing w:line="360" w:lineRule="auto"/>
        <w:ind w:firstLine="480" w:firstLineChars="200"/>
        <w:rPr>
          <w:rFonts w:eastAsia="仿宋"/>
          <w:sz w:val="24"/>
          <w:szCs w:val="24"/>
        </w:rPr>
      </w:pPr>
      <w:r>
        <w:rPr>
          <w:rFonts w:eastAsia="仿宋"/>
          <w:sz w:val="24"/>
          <w:szCs w:val="24"/>
        </w:rPr>
        <w:t>二、技术部分</w:t>
      </w:r>
    </w:p>
    <w:p w14:paraId="26BA949D">
      <w:pPr>
        <w:adjustRightInd w:val="0"/>
        <w:snapToGrid w:val="0"/>
        <w:spacing w:line="360" w:lineRule="auto"/>
        <w:ind w:firstLine="480" w:firstLineChars="200"/>
        <w:rPr>
          <w:rFonts w:eastAsia="仿宋"/>
          <w:sz w:val="24"/>
          <w:szCs w:val="24"/>
        </w:rPr>
      </w:pPr>
      <w:r>
        <w:rPr>
          <w:rFonts w:eastAsia="仿宋"/>
          <w:sz w:val="24"/>
          <w:szCs w:val="24"/>
        </w:rPr>
        <w:t>1、技术响应与偏离表</w:t>
      </w:r>
    </w:p>
    <w:p w14:paraId="5EE413A4">
      <w:pPr>
        <w:adjustRightInd w:val="0"/>
        <w:snapToGrid w:val="0"/>
        <w:spacing w:line="360" w:lineRule="auto"/>
        <w:ind w:firstLine="480" w:firstLineChars="200"/>
        <w:rPr>
          <w:rFonts w:eastAsia="仿宋"/>
          <w:sz w:val="24"/>
          <w:szCs w:val="24"/>
        </w:rPr>
      </w:pPr>
      <w:r>
        <w:rPr>
          <w:rFonts w:eastAsia="仿宋"/>
          <w:sz w:val="24"/>
          <w:szCs w:val="24"/>
        </w:rPr>
        <w:t>2、供应商认为有必要提供的声明及其他资料</w:t>
      </w:r>
    </w:p>
    <w:p w14:paraId="6ED254CA">
      <w:pPr>
        <w:spacing w:line="360" w:lineRule="auto"/>
        <w:ind w:firstLine="482" w:firstLineChars="200"/>
        <w:rPr>
          <w:rFonts w:eastAsia="仿宋"/>
          <w:b/>
          <w:sz w:val="24"/>
          <w:szCs w:val="24"/>
        </w:rPr>
      </w:pPr>
      <w:r>
        <w:rPr>
          <w:rFonts w:eastAsia="仿宋"/>
          <w:b/>
          <w:sz w:val="24"/>
          <w:szCs w:val="24"/>
        </w:rPr>
        <w:t>9.4响应文件格式</w:t>
      </w:r>
    </w:p>
    <w:p w14:paraId="160BBDE6">
      <w:pPr>
        <w:spacing w:line="360" w:lineRule="auto"/>
        <w:ind w:firstLine="480" w:firstLineChars="200"/>
        <w:rPr>
          <w:rFonts w:eastAsia="仿宋"/>
          <w:sz w:val="24"/>
          <w:szCs w:val="24"/>
        </w:rPr>
      </w:pPr>
      <w:r>
        <w:rPr>
          <w:rFonts w:eastAsia="仿宋"/>
          <w:sz w:val="24"/>
          <w:szCs w:val="24"/>
        </w:rPr>
        <w:t>供应商应按磋商文件的范本格式认真填写。</w:t>
      </w:r>
    </w:p>
    <w:p w14:paraId="5B80E56A">
      <w:pPr>
        <w:spacing w:line="360" w:lineRule="auto"/>
        <w:ind w:firstLine="482" w:firstLineChars="200"/>
        <w:rPr>
          <w:rFonts w:eastAsia="仿宋"/>
          <w:b/>
          <w:sz w:val="24"/>
          <w:szCs w:val="24"/>
        </w:rPr>
      </w:pPr>
      <w:r>
        <w:rPr>
          <w:rFonts w:eastAsia="仿宋"/>
          <w:b/>
          <w:sz w:val="24"/>
          <w:szCs w:val="24"/>
        </w:rPr>
        <w:t>9.5报价及货币单位</w:t>
      </w:r>
    </w:p>
    <w:p w14:paraId="7AEDEA92">
      <w:pPr>
        <w:spacing w:line="360" w:lineRule="auto"/>
        <w:ind w:firstLine="480" w:firstLineChars="200"/>
        <w:rPr>
          <w:rFonts w:eastAsia="仿宋"/>
          <w:sz w:val="24"/>
          <w:szCs w:val="24"/>
        </w:rPr>
      </w:pPr>
      <w:r>
        <w:rPr>
          <w:rFonts w:eastAsia="仿宋"/>
          <w:sz w:val="24"/>
          <w:szCs w:val="24"/>
        </w:rPr>
        <w:t>9.5.1供应商应在报价表中标明其提供的所有服务及其完成本项目相关工作范围内所有费用的总价，采购人不接受有任何选择性报价。</w:t>
      </w:r>
    </w:p>
    <w:p w14:paraId="144CE5CB">
      <w:pPr>
        <w:spacing w:line="360" w:lineRule="auto"/>
        <w:ind w:firstLine="480" w:firstLineChars="200"/>
        <w:rPr>
          <w:rFonts w:eastAsia="仿宋"/>
          <w:sz w:val="24"/>
          <w:szCs w:val="24"/>
        </w:rPr>
      </w:pPr>
      <w:r>
        <w:rPr>
          <w:rFonts w:eastAsia="仿宋"/>
          <w:sz w:val="24"/>
          <w:szCs w:val="24"/>
        </w:rPr>
        <w:t>9.5.2报价应包括以下内容：</w:t>
      </w:r>
    </w:p>
    <w:p w14:paraId="65184EDF">
      <w:pPr>
        <w:spacing w:line="360" w:lineRule="auto"/>
        <w:ind w:firstLine="480" w:firstLineChars="200"/>
        <w:rPr>
          <w:rFonts w:eastAsia="仿宋"/>
          <w:sz w:val="24"/>
          <w:szCs w:val="24"/>
        </w:rPr>
      </w:pPr>
      <w:r>
        <w:rPr>
          <w:rFonts w:eastAsia="仿宋"/>
          <w:sz w:val="24"/>
          <w:szCs w:val="24"/>
        </w:rPr>
        <w:t>（1）所有报价应包括服务所需的一切费用（如</w:t>
      </w:r>
      <w:r>
        <w:rPr>
          <w:rFonts w:eastAsia="仿宋"/>
          <w:spacing w:val="-1"/>
          <w:kern w:val="0"/>
          <w:sz w:val="24"/>
          <w:szCs w:val="24"/>
        </w:rPr>
        <w:t>调研费、设计费、运费、拆除费、搬运、人工、安装、辅材、税金等一切与本项目相关费用</w:t>
      </w:r>
      <w:r>
        <w:rPr>
          <w:rFonts w:eastAsia="仿宋"/>
          <w:sz w:val="24"/>
          <w:szCs w:val="24"/>
        </w:rPr>
        <w:t>等）。</w:t>
      </w:r>
    </w:p>
    <w:p w14:paraId="7096AEB4">
      <w:pPr>
        <w:spacing w:line="360" w:lineRule="auto"/>
        <w:ind w:firstLine="480" w:firstLineChars="200"/>
        <w:rPr>
          <w:rFonts w:eastAsia="仿宋"/>
          <w:sz w:val="24"/>
          <w:szCs w:val="24"/>
        </w:rPr>
      </w:pPr>
      <w:r>
        <w:rPr>
          <w:rFonts w:eastAsia="仿宋"/>
          <w:sz w:val="24"/>
          <w:szCs w:val="24"/>
        </w:rPr>
        <w:t>(2)报价按磋商文件中价格表的格式填写，以人民币报价。</w:t>
      </w:r>
    </w:p>
    <w:p w14:paraId="5FB92C98">
      <w:pPr>
        <w:spacing w:line="360" w:lineRule="auto"/>
        <w:ind w:firstLine="480" w:firstLineChars="200"/>
        <w:rPr>
          <w:rFonts w:eastAsia="仿宋"/>
          <w:sz w:val="24"/>
          <w:szCs w:val="24"/>
        </w:rPr>
      </w:pPr>
      <w:r>
        <w:rPr>
          <w:rFonts w:eastAsia="仿宋"/>
          <w:sz w:val="24"/>
          <w:szCs w:val="24"/>
        </w:rPr>
        <w:t>(3)供应商的价格必须保证在磋商有效期及服务期限内固定不变。</w:t>
      </w:r>
    </w:p>
    <w:p w14:paraId="5DF0B123">
      <w:pPr>
        <w:spacing w:line="360" w:lineRule="auto"/>
        <w:ind w:firstLine="480" w:firstLineChars="200"/>
        <w:rPr>
          <w:rFonts w:eastAsia="仿宋"/>
          <w:sz w:val="24"/>
          <w:szCs w:val="24"/>
        </w:rPr>
      </w:pPr>
      <w:r>
        <w:rPr>
          <w:rFonts w:eastAsia="仿宋"/>
          <w:sz w:val="24"/>
          <w:szCs w:val="24"/>
        </w:rPr>
        <w:t>(4)不接受任何变通或有任何选择性的报价。报价必须唯一、确定、严格。当在单价和总价之间出现任何差异时，以单价为准，除非单价有明显的小数点错误，则以合计价格修正单价。</w:t>
      </w:r>
    </w:p>
    <w:p w14:paraId="75C87775">
      <w:pPr>
        <w:spacing w:line="360" w:lineRule="auto"/>
        <w:ind w:firstLine="480" w:firstLineChars="200"/>
        <w:rPr>
          <w:rFonts w:eastAsia="仿宋"/>
          <w:sz w:val="24"/>
          <w:szCs w:val="24"/>
        </w:rPr>
      </w:pPr>
      <w:r>
        <w:rPr>
          <w:rFonts w:eastAsia="仿宋"/>
          <w:sz w:val="24"/>
          <w:szCs w:val="24"/>
        </w:rPr>
        <w:t>(5)供应商不得以低于成本的报价竞标，也不得以其他方式弄虚作假，骗取中标。</w:t>
      </w:r>
    </w:p>
    <w:p w14:paraId="269BCB5A">
      <w:pPr>
        <w:tabs>
          <w:tab w:val="left" w:pos="1185"/>
        </w:tabs>
        <w:spacing w:line="360" w:lineRule="auto"/>
        <w:ind w:firstLine="480" w:firstLineChars="200"/>
        <w:rPr>
          <w:rFonts w:eastAsia="仿宋"/>
          <w:b/>
          <w:sz w:val="24"/>
          <w:szCs w:val="24"/>
        </w:rPr>
      </w:pPr>
      <w:r>
        <w:rPr>
          <w:rFonts w:eastAsia="仿宋"/>
          <w:sz w:val="24"/>
          <w:szCs w:val="24"/>
        </w:rPr>
        <w:t>10.</w:t>
      </w:r>
      <w:r>
        <w:rPr>
          <w:rFonts w:eastAsia="仿宋"/>
          <w:b/>
          <w:sz w:val="24"/>
          <w:szCs w:val="24"/>
        </w:rPr>
        <w:t>招标代理费</w:t>
      </w:r>
    </w:p>
    <w:p w14:paraId="41D4FB4F">
      <w:pPr>
        <w:spacing w:line="360" w:lineRule="auto"/>
        <w:ind w:firstLine="480" w:firstLineChars="200"/>
        <w:rPr>
          <w:rFonts w:eastAsia="仿宋"/>
          <w:sz w:val="24"/>
          <w:szCs w:val="24"/>
        </w:rPr>
      </w:pPr>
      <w:r>
        <w:rPr>
          <w:rFonts w:eastAsia="仿宋"/>
          <w:sz w:val="24"/>
          <w:szCs w:val="24"/>
        </w:rPr>
        <w:t>参照国家计委计价格【2002】1980号、发改办价格【2003】857号、【2011】534号文计取，不足3000元按3000元计取，本项目招标代理服务费由成交供应商支付。成交供应商须在领取成交通知书时一次性付清招标代理服务费。</w:t>
      </w:r>
    </w:p>
    <w:p w14:paraId="22B9E7B5">
      <w:pPr>
        <w:spacing w:line="360" w:lineRule="auto"/>
        <w:ind w:firstLine="482" w:firstLineChars="200"/>
        <w:rPr>
          <w:rFonts w:eastAsia="仿宋"/>
          <w:b/>
          <w:sz w:val="24"/>
          <w:szCs w:val="24"/>
        </w:rPr>
      </w:pPr>
      <w:r>
        <w:rPr>
          <w:rFonts w:eastAsia="仿宋"/>
          <w:b/>
          <w:sz w:val="24"/>
          <w:szCs w:val="24"/>
        </w:rPr>
        <w:t>11.服务计划</w:t>
      </w:r>
    </w:p>
    <w:p w14:paraId="50FAD4B5">
      <w:pPr>
        <w:spacing w:line="360" w:lineRule="auto"/>
        <w:ind w:firstLine="480" w:firstLineChars="200"/>
        <w:rPr>
          <w:rFonts w:eastAsia="仿宋"/>
          <w:sz w:val="24"/>
          <w:szCs w:val="24"/>
        </w:rPr>
      </w:pPr>
      <w:r>
        <w:rPr>
          <w:rFonts w:eastAsia="仿宋"/>
          <w:sz w:val="24"/>
          <w:szCs w:val="24"/>
        </w:rPr>
        <w:t>供应商可以针对本次招标项目的实际需求拟定完善的服务计划。</w:t>
      </w:r>
    </w:p>
    <w:p w14:paraId="41BF084F">
      <w:pPr>
        <w:spacing w:line="360" w:lineRule="auto"/>
        <w:ind w:firstLine="482" w:firstLineChars="200"/>
        <w:rPr>
          <w:rFonts w:eastAsia="仿宋"/>
          <w:b/>
          <w:sz w:val="24"/>
          <w:szCs w:val="24"/>
        </w:rPr>
      </w:pPr>
      <w:r>
        <w:rPr>
          <w:rFonts w:eastAsia="仿宋"/>
          <w:b/>
          <w:sz w:val="24"/>
          <w:szCs w:val="24"/>
        </w:rPr>
        <w:t>12.磋商有效期</w:t>
      </w:r>
    </w:p>
    <w:p w14:paraId="58AE8F65">
      <w:pPr>
        <w:spacing w:line="360" w:lineRule="auto"/>
        <w:ind w:firstLine="480" w:firstLineChars="200"/>
        <w:rPr>
          <w:rFonts w:eastAsia="仿宋"/>
          <w:sz w:val="24"/>
          <w:szCs w:val="24"/>
        </w:rPr>
      </w:pPr>
      <w:r>
        <w:rPr>
          <w:rFonts w:eastAsia="仿宋"/>
          <w:sz w:val="24"/>
          <w:szCs w:val="24"/>
        </w:rPr>
        <w:t>12.1从递交响应文件截止时间起计算，磋商有效期为</w:t>
      </w:r>
      <w:r>
        <w:rPr>
          <w:rFonts w:eastAsia="仿宋"/>
          <w:sz w:val="24"/>
          <w:szCs w:val="24"/>
          <w:u w:val="single"/>
        </w:rPr>
        <w:t xml:space="preserve"> 90</w:t>
      </w:r>
      <w:r>
        <w:rPr>
          <w:rFonts w:eastAsia="仿宋"/>
          <w:sz w:val="24"/>
          <w:szCs w:val="24"/>
        </w:rPr>
        <w:t>日历日（如不满足将导致废标）。</w:t>
      </w:r>
    </w:p>
    <w:p w14:paraId="3BC00795">
      <w:pPr>
        <w:spacing w:line="360" w:lineRule="auto"/>
        <w:ind w:firstLine="480" w:firstLineChars="200"/>
        <w:rPr>
          <w:rFonts w:eastAsia="仿宋"/>
          <w:sz w:val="24"/>
          <w:szCs w:val="24"/>
        </w:rPr>
      </w:pPr>
      <w:r>
        <w:rPr>
          <w:rFonts w:eastAsia="仿宋"/>
          <w:sz w:val="24"/>
          <w:szCs w:val="24"/>
        </w:rPr>
        <w:t>12.2在特殊情况下，采购方可与供应商协商延长响应文件的有效期。</w:t>
      </w:r>
    </w:p>
    <w:p w14:paraId="50EFBC90">
      <w:pPr>
        <w:spacing w:line="360" w:lineRule="auto"/>
        <w:ind w:firstLine="482" w:firstLineChars="200"/>
        <w:rPr>
          <w:rFonts w:eastAsia="仿宋"/>
          <w:b/>
          <w:color w:val="auto"/>
          <w:sz w:val="24"/>
          <w:szCs w:val="24"/>
        </w:rPr>
      </w:pPr>
      <w:r>
        <w:rPr>
          <w:rFonts w:eastAsia="仿宋"/>
          <w:b/>
          <w:color w:val="auto"/>
          <w:sz w:val="24"/>
          <w:szCs w:val="24"/>
        </w:rPr>
        <w:t>13.响应文件的签署规定</w:t>
      </w:r>
    </w:p>
    <w:p w14:paraId="1821CD90">
      <w:pPr>
        <w:spacing w:line="360" w:lineRule="auto"/>
        <w:ind w:firstLine="480" w:firstLineChars="200"/>
        <w:rPr>
          <w:rFonts w:eastAsia="仿宋"/>
          <w:color w:val="auto"/>
          <w:sz w:val="24"/>
          <w:szCs w:val="24"/>
        </w:rPr>
      </w:pPr>
      <w:r>
        <w:rPr>
          <w:rFonts w:eastAsia="仿宋"/>
          <w:color w:val="auto"/>
          <w:sz w:val="24"/>
          <w:szCs w:val="24"/>
        </w:rPr>
        <w:t>1</w:t>
      </w:r>
      <w:r>
        <w:rPr>
          <w:rFonts w:hint="eastAsia" w:eastAsia="仿宋"/>
          <w:color w:val="auto"/>
          <w:sz w:val="24"/>
          <w:szCs w:val="24"/>
          <w:lang w:val="en-US" w:eastAsia="zh-CN"/>
        </w:rPr>
        <w:t>3.1</w:t>
      </w:r>
      <w:r>
        <w:rPr>
          <w:rFonts w:eastAsia="仿宋"/>
          <w:color w:val="auto"/>
          <w:sz w:val="24"/>
          <w:szCs w:val="24"/>
        </w:rPr>
        <w:t>响应文件应清楚工整，不允许修改。</w:t>
      </w:r>
    </w:p>
    <w:p w14:paraId="63D7BA58">
      <w:pPr>
        <w:spacing w:line="360" w:lineRule="auto"/>
        <w:ind w:firstLine="480" w:firstLineChars="200"/>
        <w:rPr>
          <w:rFonts w:eastAsia="仿宋"/>
          <w:color w:val="auto"/>
          <w:sz w:val="24"/>
          <w:szCs w:val="24"/>
        </w:rPr>
      </w:pPr>
      <w:r>
        <w:rPr>
          <w:rFonts w:eastAsia="仿宋"/>
          <w:color w:val="auto"/>
          <w:sz w:val="24"/>
          <w:szCs w:val="24"/>
        </w:rPr>
        <w:t>1</w:t>
      </w:r>
      <w:r>
        <w:rPr>
          <w:rFonts w:hint="eastAsia" w:eastAsia="仿宋"/>
          <w:color w:val="auto"/>
          <w:sz w:val="24"/>
          <w:szCs w:val="24"/>
          <w:lang w:val="en-US" w:eastAsia="zh-CN"/>
        </w:rPr>
        <w:t>3.2</w:t>
      </w:r>
      <w:r>
        <w:rPr>
          <w:rFonts w:eastAsia="仿宋"/>
          <w:color w:val="auto"/>
          <w:sz w:val="24"/>
          <w:szCs w:val="24"/>
        </w:rPr>
        <w:t>响应文件应由法人代表或法人授权代表在规定的签章处逐一签署或加盖单位公章</w:t>
      </w:r>
      <w:r>
        <w:rPr>
          <w:rFonts w:eastAsia="仿宋"/>
          <w:bCs/>
          <w:color w:val="auto"/>
          <w:sz w:val="24"/>
          <w:szCs w:val="24"/>
        </w:rPr>
        <w:t>，响应文件方为有效。</w:t>
      </w:r>
    </w:p>
    <w:p w14:paraId="6614A22D">
      <w:pPr>
        <w:spacing w:line="360" w:lineRule="auto"/>
        <w:ind w:firstLine="482" w:firstLineChars="200"/>
        <w:rPr>
          <w:rFonts w:eastAsia="仿宋"/>
          <w:b/>
          <w:sz w:val="24"/>
          <w:szCs w:val="24"/>
        </w:rPr>
      </w:pPr>
      <w:r>
        <w:rPr>
          <w:rFonts w:hint="eastAsia" w:eastAsia="仿宋"/>
          <w:b/>
          <w:sz w:val="24"/>
          <w:szCs w:val="24"/>
          <w:lang w:val="en-US" w:eastAsia="zh-CN"/>
        </w:rPr>
        <w:t>14</w:t>
      </w:r>
      <w:r>
        <w:rPr>
          <w:rFonts w:eastAsia="仿宋"/>
          <w:b/>
          <w:sz w:val="24"/>
          <w:szCs w:val="24"/>
        </w:rPr>
        <w:t xml:space="preserve">. 磋商保证金 </w:t>
      </w:r>
    </w:p>
    <w:p w14:paraId="409E7AE1">
      <w:pPr>
        <w:spacing w:line="360" w:lineRule="auto"/>
        <w:ind w:firstLine="480" w:firstLineChars="200"/>
        <w:rPr>
          <w:rFonts w:eastAsia="仿宋"/>
          <w:sz w:val="24"/>
          <w:szCs w:val="24"/>
        </w:rPr>
      </w:pPr>
      <w:r>
        <w:rPr>
          <w:rFonts w:eastAsia="仿宋"/>
          <w:sz w:val="24"/>
          <w:szCs w:val="24"/>
        </w:rPr>
        <w:t>1</w:t>
      </w:r>
      <w:r>
        <w:rPr>
          <w:rFonts w:hint="eastAsia" w:eastAsia="仿宋"/>
          <w:sz w:val="24"/>
          <w:szCs w:val="24"/>
          <w:lang w:val="en-US" w:eastAsia="zh-CN"/>
        </w:rPr>
        <w:t>4</w:t>
      </w:r>
      <w:r>
        <w:rPr>
          <w:rFonts w:eastAsia="仿宋"/>
          <w:sz w:val="24"/>
          <w:szCs w:val="24"/>
        </w:rPr>
        <w:t>.1招标方因供应商的违规行为而受到损害时将不予退还供应商的磋商保证金，将其作为所受损害的补偿。</w:t>
      </w:r>
    </w:p>
    <w:p w14:paraId="1ADCDE1C">
      <w:pPr>
        <w:spacing w:line="360" w:lineRule="auto"/>
        <w:ind w:firstLine="480" w:firstLineChars="200"/>
        <w:rPr>
          <w:rFonts w:eastAsia="仿宋"/>
          <w:sz w:val="24"/>
          <w:szCs w:val="24"/>
        </w:rPr>
      </w:pPr>
      <w:r>
        <w:rPr>
          <w:rFonts w:eastAsia="仿宋"/>
          <w:sz w:val="24"/>
          <w:szCs w:val="24"/>
        </w:rPr>
        <w:t>1</w:t>
      </w:r>
      <w:r>
        <w:rPr>
          <w:rFonts w:hint="eastAsia" w:eastAsia="仿宋"/>
          <w:sz w:val="24"/>
          <w:szCs w:val="24"/>
          <w:lang w:val="en-US" w:eastAsia="zh-CN"/>
        </w:rPr>
        <w:t>4</w:t>
      </w:r>
      <w:r>
        <w:rPr>
          <w:rFonts w:eastAsia="仿宋"/>
          <w:sz w:val="24"/>
          <w:szCs w:val="24"/>
        </w:rPr>
        <w:t>.2磋商保证金提交要求（见供应商须知前附表）</w:t>
      </w:r>
    </w:p>
    <w:p w14:paraId="26419FE1">
      <w:pPr>
        <w:spacing w:line="360" w:lineRule="auto"/>
        <w:ind w:firstLine="482" w:firstLineChars="200"/>
        <w:rPr>
          <w:rFonts w:eastAsia="仿宋"/>
          <w:b/>
          <w:sz w:val="24"/>
          <w:szCs w:val="24"/>
        </w:rPr>
      </w:pPr>
      <w:r>
        <w:rPr>
          <w:rFonts w:eastAsia="仿宋"/>
          <w:b/>
          <w:sz w:val="24"/>
          <w:szCs w:val="24"/>
        </w:rPr>
        <w:t>1</w:t>
      </w:r>
      <w:r>
        <w:rPr>
          <w:rFonts w:hint="eastAsia" w:eastAsia="仿宋"/>
          <w:b/>
          <w:sz w:val="24"/>
          <w:szCs w:val="24"/>
          <w:lang w:val="en-US" w:eastAsia="zh-CN"/>
        </w:rPr>
        <w:t>5</w:t>
      </w:r>
      <w:r>
        <w:rPr>
          <w:rFonts w:eastAsia="仿宋"/>
          <w:b/>
          <w:sz w:val="24"/>
          <w:szCs w:val="24"/>
        </w:rPr>
        <w:t>.响应文件的递交</w:t>
      </w:r>
    </w:p>
    <w:p w14:paraId="3E9F4E0F">
      <w:pPr>
        <w:spacing w:line="360" w:lineRule="auto"/>
        <w:ind w:firstLine="480" w:firstLineChars="200"/>
        <w:rPr>
          <w:rFonts w:eastAsia="仿宋"/>
          <w:sz w:val="24"/>
          <w:szCs w:val="24"/>
        </w:rPr>
      </w:pPr>
      <w:r>
        <w:rPr>
          <w:rFonts w:eastAsia="仿宋"/>
          <w:sz w:val="24"/>
          <w:szCs w:val="24"/>
        </w:rPr>
        <w:t>1</w:t>
      </w:r>
      <w:r>
        <w:rPr>
          <w:rFonts w:hint="eastAsia" w:eastAsia="仿宋"/>
          <w:sz w:val="24"/>
          <w:szCs w:val="24"/>
          <w:lang w:val="en-US" w:eastAsia="zh-CN"/>
        </w:rPr>
        <w:t>5</w:t>
      </w:r>
      <w:r>
        <w:rPr>
          <w:rFonts w:eastAsia="仿宋"/>
          <w:sz w:val="24"/>
          <w:szCs w:val="24"/>
        </w:rPr>
        <w:t xml:space="preserve">.1加密的电子响应文件应在递交截止时间前通过政采云平台上传完成。 </w:t>
      </w:r>
    </w:p>
    <w:p w14:paraId="00826EB1">
      <w:pPr>
        <w:spacing w:line="360" w:lineRule="auto"/>
        <w:ind w:firstLine="480" w:firstLineChars="200"/>
        <w:rPr>
          <w:rFonts w:eastAsia="仿宋"/>
          <w:sz w:val="24"/>
          <w:szCs w:val="24"/>
        </w:rPr>
      </w:pPr>
      <w:r>
        <w:rPr>
          <w:rFonts w:eastAsia="仿宋"/>
          <w:sz w:val="24"/>
          <w:szCs w:val="24"/>
        </w:rPr>
        <w:t>1</w:t>
      </w:r>
      <w:r>
        <w:rPr>
          <w:rFonts w:hint="eastAsia" w:eastAsia="仿宋"/>
          <w:sz w:val="24"/>
          <w:szCs w:val="24"/>
          <w:lang w:val="en-US" w:eastAsia="zh-CN"/>
        </w:rPr>
        <w:t>5</w:t>
      </w:r>
      <w:r>
        <w:rPr>
          <w:rFonts w:eastAsia="仿宋"/>
          <w:sz w:val="24"/>
          <w:szCs w:val="24"/>
        </w:rPr>
        <w:t>.2响应文件开启当日，供应商无需到达开标现场，仅需通过政采云平台“不见面”开标大厅完成远程解密。大厅操作提示：</w:t>
      </w:r>
      <w:r>
        <w:rPr>
          <w:rFonts w:ascii="Cambria Math" w:hAnsi="Cambria Math" w:eastAsia="仿宋" w:cs="Cambria Math"/>
          <w:sz w:val="24"/>
          <w:szCs w:val="24"/>
        </w:rPr>
        <w:t>①</w:t>
      </w:r>
      <w:r>
        <w:rPr>
          <w:rFonts w:eastAsia="仿宋"/>
          <w:sz w:val="24"/>
          <w:szCs w:val="24"/>
        </w:rPr>
        <w:t>在开标前一小时在系统进行在线签到；</w:t>
      </w:r>
      <w:r>
        <w:rPr>
          <w:rFonts w:ascii="Cambria Math" w:hAnsi="Cambria Math" w:eastAsia="仿宋" w:cs="Cambria Math"/>
          <w:sz w:val="24"/>
          <w:szCs w:val="24"/>
        </w:rPr>
        <w:t>②</w:t>
      </w:r>
      <w:r>
        <w:rPr>
          <w:rFonts w:eastAsia="仿宋"/>
          <w:sz w:val="24"/>
          <w:szCs w:val="24"/>
        </w:rPr>
        <w:t>在30分钟内完成在线解密；</w:t>
      </w:r>
      <w:r>
        <w:rPr>
          <w:rFonts w:ascii="Cambria Math" w:hAnsi="Cambria Math" w:eastAsia="仿宋" w:cs="Cambria Math"/>
          <w:sz w:val="24"/>
          <w:szCs w:val="24"/>
        </w:rPr>
        <w:t>③</w:t>
      </w:r>
      <w:r>
        <w:rPr>
          <w:rFonts w:eastAsia="仿宋"/>
          <w:sz w:val="24"/>
          <w:szCs w:val="24"/>
        </w:rPr>
        <w:t>在开标结束后30分钟内完成“开标一览表”在线签章。注意：如未在规定时间进行以上操作，将导致投标（响应）无效。</w:t>
      </w:r>
    </w:p>
    <w:p w14:paraId="26DD3C97">
      <w:pPr>
        <w:spacing w:line="360" w:lineRule="auto"/>
        <w:ind w:firstLine="482" w:firstLineChars="200"/>
        <w:rPr>
          <w:rFonts w:eastAsia="仿宋"/>
          <w:b/>
          <w:sz w:val="24"/>
          <w:szCs w:val="24"/>
        </w:rPr>
      </w:pPr>
      <w:r>
        <w:rPr>
          <w:rFonts w:hint="eastAsia" w:eastAsia="仿宋"/>
          <w:b/>
          <w:sz w:val="24"/>
          <w:szCs w:val="24"/>
          <w:lang w:val="en-US" w:eastAsia="zh-CN"/>
        </w:rPr>
        <w:t>16</w:t>
      </w:r>
      <w:r>
        <w:rPr>
          <w:rFonts w:eastAsia="仿宋"/>
          <w:b/>
          <w:sz w:val="24"/>
          <w:szCs w:val="24"/>
        </w:rPr>
        <w:t>.磋商截止时间</w:t>
      </w:r>
    </w:p>
    <w:p w14:paraId="106A40DB">
      <w:pPr>
        <w:spacing w:line="360" w:lineRule="auto"/>
        <w:ind w:firstLine="480" w:firstLineChars="200"/>
        <w:rPr>
          <w:rFonts w:eastAsia="仿宋"/>
          <w:sz w:val="24"/>
          <w:szCs w:val="24"/>
        </w:rPr>
      </w:pPr>
      <w:r>
        <w:rPr>
          <w:rFonts w:eastAsia="仿宋"/>
          <w:sz w:val="24"/>
          <w:szCs w:val="24"/>
        </w:rPr>
        <w:t>1</w:t>
      </w:r>
      <w:r>
        <w:rPr>
          <w:rFonts w:hint="eastAsia" w:eastAsia="仿宋"/>
          <w:sz w:val="24"/>
          <w:szCs w:val="24"/>
          <w:lang w:val="en-US" w:eastAsia="zh-CN"/>
        </w:rPr>
        <w:t>6</w:t>
      </w:r>
      <w:r>
        <w:rPr>
          <w:rFonts w:eastAsia="仿宋"/>
          <w:sz w:val="24"/>
          <w:szCs w:val="24"/>
        </w:rPr>
        <w:t>.1响应文件的递交截止日期为磋商公告所规定的时间。</w:t>
      </w:r>
    </w:p>
    <w:p w14:paraId="5746C1EC">
      <w:pPr>
        <w:spacing w:line="360" w:lineRule="auto"/>
        <w:ind w:firstLine="480" w:firstLineChars="200"/>
        <w:rPr>
          <w:rFonts w:eastAsia="仿宋"/>
          <w:sz w:val="24"/>
          <w:szCs w:val="24"/>
        </w:rPr>
      </w:pPr>
      <w:r>
        <w:rPr>
          <w:rFonts w:eastAsia="仿宋"/>
          <w:sz w:val="24"/>
          <w:szCs w:val="24"/>
        </w:rPr>
        <w:t>1</w:t>
      </w:r>
      <w:r>
        <w:rPr>
          <w:rFonts w:hint="eastAsia" w:eastAsia="仿宋"/>
          <w:sz w:val="24"/>
          <w:szCs w:val="24"/>
          <w:lang w:val="en-US" w:eastAsia="zh-CN"/>
        </w:rPr>
        <w:t>6</w:t>
      </w:r>
      <w:r>
        <w:rPr>
          <w:rFonts w:eastAsia="仿宋"/>
          <w:sz w:val="24"/>
          <w:szCs w:val="24"/>
        </w:rPr>
        <w:t>.2加密的电子响应文件应在递交截止时间前通过政采云平台上传完成，在此之后上传的响应文件为无效磋商，响应文件将一律被拒绝。</w:t>
      </w:r>
    </w:p>
    <w:p w14:paraId="508A714F">
      <w:pPr>
        <w:spacing w:line="360" w:lineRule="auto"/>
        <w:ind w:firstLine="480" w:firstLineChars="200"/>
        <w:rPr>
          <w:rFonts w:eastAsia="仿宋"/>
          <w:sz w:val="24"/>
          <w:szCs w:val="24"/>
        </w:rPr>
      </w:pPr>
      <w:r>
        <w:rPr>
          <w:rFonts w:eastAsia="仿宋"/>
          <w:sz w:val="24"/>
          <w:szCs w:val="24"/>
        </w:rPr>
        <w:t>1</w:t>
      </w:r>
      <w:r>
        <w:rPr>
          <w:rFonts w:hint="eastAsia" w:eastAsia="仿宋"/>
          <w:sz w:val="24"/>
          <w:szCs w:val="24"/>
          <w:lang w:val="en-US" w:eastAsia="zh-CN"/>
        </w:rPr>
        <w:t>6</w:t>
      </w:r>
      <w:r>
        <w:rPr>
          <w:rFonts w:eastAsia="仿宋"/>
          <w:sz w:val="24"/>
          <w:szCs w:val="24"/>
        </w:rPr>
        <w:t>.3出现因磋商文件的修改而推迟磋商截止时间的情况时，供应商则须按采购人的变更公告通知重新规定的磋商时间递交。</w:t>
      </w:r>
    </w:p>
    <w:p w14:paraId="6A29BB83">
      <w:pPr>
        <w:spacing w:line="360" w:lineRule="auto"/>
        <w:ind w:firstLine="482" w:firstLineChars="200"/>
        <w:rPr>
          <w:rFonts w:eastAsia="仿宋"/>
          <w:b/>
          <w:sz w:val="24"/>
          <w:szCs w:val="24"/>
        </w:rPr>
      </w:pPr>
      <w:r>
        <w:rPr>
          <w:rFonts w:eastAsia="仿宋"/>
          <w:b/>
          <w:sz w:val="24"/>
          <w:szCs w:val="24"/>
        </w:rPr>
        <w:t>1</w:t>
      </w:r>
      <w:r>
        <w:rPr>
          <w:rFonts w:hint="eastAsia" w:eastAsia="仿宋"/>
          <w:b/>
          <w:sz w:val="24"/>
          <w:szCs w:val="24"/>
          <w:lang w:val="en-US" w:eastAsia="zh-CN"/>
        </w:rPr>
        <w:t>7</w:t>
      </w:r>
      <w:r>
        <w:rPr>
          <w:rFonts w:eastAsia="仿宋"/>
          <w:b/>
          <w:sz w:val="24"/>
          <w:szCs w:val="24"/>
        </w:rPr>
        <w:t>.响应文件的修改和撤销</w:t>
      </w:r>
    </w:p>
    <w:p w14:paraId="5E0B8C4C">
      <w:pPr>
        <w:spacing w:line="360" w:lineRule="auto"/>
        <w:ind w:firstLine="480" w:firstLineChars="200"/>
        <w:rPr>
          <w:rFonts w:eastAsia="仿宋"/>
          <w:sz w:val="24"/>
          <w:szCs w:val="24"/>
        </w:rPr>
      </w:pPr>
      <w:r>
        <w:rPr>
          <w:rFonts w:eastAsia="仿宋"/>
          <w:sz w:val="24"/>
          <w:szCs w:val="24"/>
        </w:rPr>
        <w:t>1</w:t>
      </w:r>
      <w:r>
        <w:rPr>
          <w:rFonts w:hint="eastAsia" w:eastAsia="仿宋"/>
          <w:sz w:val="24"/>
          <w:szCs w:val="24"/>
          <w:lang w:val="en-US" w:eastAsia="zh-CN"/>
        </w:rPr>
        <w:t>7.</w:t>
      </w:r>
      <w:r>
        <w:rPr>
          <w:rFonts w:eastAsia="仿宋"/>
          <w:sz w:val="24"/>
          <w:szCs w:val="24"/>
        </w:rPr>
        <w:t>1响应文件上传成功后，在磋商截止时间前，供应商可撤回响应文件，修改内容。</w:t>
      </w:r>
    </w:p>
    <w:p w14:paraId="7C12152D">
      <w:pPr>
        <w:spacing w:line="360" w:lineRule="auto"/>
        <w:ind w:firstLine="480" w:firstLineChars="200"/>
        <w:rPr>
          <w:rFonts w:eastAsia="仿宋"/>
          <w:sz w:val="24"/>
          <w:szCs w:val="24"/>
        </w:rPr>
      </w:pPr>
      <w:r>
        <w:rPr>
          <w:rFonts w:eastAsia="仿宋"/>
          <w:sz w:val="24"/>
          <w:szCs w:val="24"/>
        </w:rPr>
        <w:t>操作路径：登录政采云平台-【项目采购】-【响应文件上传】</w:t>
      </w:r>
    </w:p>
    <w:p w14:paraId="5CC349D2">
      <w:pPr>
        <w:spacing w:line="360" w:lineRule="auto"/>
        <w:ind w:firstLine="480" w:firstLineChars="200"/>
        <w:rPr>
          <w:rFonts w:eastAsia="仿宋"/>
          <w:sz w:val="24"/>
          <w:szCs w:val="24"/>
        </w:rPr>
      </w:pPr>
      <w:r>
        <w:rPr>
          <w:rFonts w:eastAsia="仿宋"/>
          <w:sz w:val="24"/>
          <w:szCs w:val="24"/>
        </w:rPr>
        <w:t>具体操作：在进行中标签页下，选择状态为已上传，在操作栏点击[撤回]按钮进行撤回；也可点击[查看]按钮，点击页面右上角的[撤回]按钮进行撤回。</w:t>
      </w:r>
    </w:p>
    <w:p w14:paraId="4AF3DB79">
      <w:pPr>
        <w:spacing w:line="360" w:lineRule="auto"/>
        <w:ind w:firstLine="480" w:firstLineChars="200"/>
        <w:rPr>
          <w:rFonts w:eastAsia="仿宋"/>
          <w:sz w:val="24"/>
          <w:szCs w:val="24"/>
        </w:rPr>
      </w:pPr>
      <w:r>
        <w:rPr>
          <w:rFonts w:eastAsia="仿宋"/>
          <w:sz w:val="24"/>
          <w:szCs w:val="24"/>
        </w:rPr>
        <w:t>1</w:t>
      </w:r>
      <w:r>
        <w:rPr>
          <w:rFonts w:hint="eastAsia" w:eastAsia="仿宋"/>
          <w:sz w:val="24"/>
          <w:szCs w:val="24"/>
          <w:lang w:val="en-US" w:eastAsia="zh-CN"/>
        </w:rPr>
        <w:t>7</w:t>
      </w:r>
      <w:r>
        <w:rPr>
          <w:rFonts w:eastAsia="仿宋"/>
          <w:sz w:val="24"/>
          <w:szCs w:val="24"/>
        </w:rPr>
        <w:t>.2供应商不得在开标后至磋商有效期期满前撤销响应文件。否则采购人将没收其磋商保证金。</w:t>
      </w:r>
    </w:p>
    <w:p w14:paraId="0837972A">
      <w:pPr>
        <w:spacing w:line="360" w:lineRule="auto"/>
        <w:ind w:firstLine="482" w:firstLineChars="200"/>
        <w:jc w:val="center"/>
        <w:rPr>
          <w:rFonts w:eastAsia="仿宋"/>
          <w:b/>
          <w:sz w:val="24"/>
          <w:szCs w:val="24"/>
        </w:rPr>
      </w:pPr>
      <w:r>
        <w:rPr>
          <w:rFonts w:eastAsia="仿宋"/>
          <w:b/>
          <w:sz w:val="24"/>
          <w:szCs w:val="24"/>
        </w:rPr>
        <w:t>开标</w:t>
      </w:r>
    </w:p>
    <w:p w14:paraId="57AED071">
      <w:pPr>
        <w:spacing w:line="360" w:lineRule="auto"/>
        <w:ind w:firstLine="480" w:firstLineChars="200"/>
        <w:rPr>
          <w:rFonts w:eastAsia="仿宋"/>
          <w:sz w:val="24"/>
          <w:szCs w:val="24"/>
        </w:rPr>
      </w:pPr>
      <w:r>
        <w:rPr>
          <w:rFonts w:hint="eastAsia" w:eastAsia="仿宋"/>
          <w:sz w:val="24"/>
          <w:szCs w:val="24"/>
          <w:lang w:val="en-US" w:eastAsia="zh-CN"/>
        </w:rPr>
        <w:t>18</w:t>
      </w:r>
      <w:r>
        <w:rPr>
          <w:rFonts w:eastAsia="仿宋"/>
          <w:sz w:val="24"/>
          <w:szCs w:val="24"/>
        </w:rPr>
        <w:t>.本次采购按磋商文件中约定的时间和地点进行。</w:t>
      </w:r>
    </w:p>
    <w:p w14:paraId="687F6301">
      <w:pPr>
        <w:spacing w:line="360" w:lineRule="auto"/>
        <w:ind w:firstLine="480" w:firstLineChars="200"/>
        <w:rPr>
          <w:rFonts w:eastAsia="仿宋"/>
          <w:sz w:val="24"/>
          <w:szCs w:val="24"/>
        </w:rPr>
      </w:pPr>
      <w:r>
        <w:rPr>
          <w:rFonts w:hint="eastAsia" w:eastAsia="仿宋"/>
          <w:sz w:val="24"/>
          <w:szCs w:val="24"/>
          <w:lang w:val="en-US" w:eastAsia="zh-CN"/>
        </w:rPr>
        <w:t>19</w:t>
      </w:r>
      <w:r>
        <w:rPr>
          <w:rFonts w:eastAsia="仿宋"/>
          <w:sz w:val="24"/>
          <w:szCs w:val="24"/>
        </w:rPr>
        <w:t>.开标时将通过政采云平台“不见面”开标大厅对响应文件完成远程解密，并在解密后进行唱标。唱标以供应商提交的响应文件中“报价一览表”的内容为准，并对唱标内容作以记录。</w:t>
      </w:r>
    </w:p>
    <w:p w14:paraId="7A06030A">
      <w:pPr>
        <w:spacing w:line="360" w:lineRule="auto"/>
        <w:ind w:firstLine="480" w:firstLineChars="200"/>
        <w:rPr>
          <w:rFonts w:eastAsia="仿宋"/>
          <w:sz w:val="24"/>
          <w:szCs w:val="24"/>
        </w:rPr>
      </w:pPr>
      <w:r>
        <w:rPr>
          <w:rFonts w:eastAsia="仿宋"/>
          <w:sz w:val="24"/>
          <w:szCs w:val="24"/>
        </w:rPr>
        <w:t>若采购人宣读的内容与响应文件不符时，供应商有权在开标现场提出异议，经监督人员当场核查确认之后，可重新宣读其响应文件。若供应商现场未提出异议，则认为供应商已确认采购人宣读的结果。</w:t>
      </w:r>
    </w:p>
    <w:p w14:paraId="53AF8321">
      <w:pPr>
        <w:spacing w:line="360" w:lineRule="auto"/>
        <w:ind w:firstLine="480" w:firstLineChars="200"/>
        <w:rPr>
          <w:rFonts w:eastAsia="仿宋"/>
          <w:sz w:val="24"/>
          <w:szCs w:val="24"/>
        </w:rPr>
      </w:pPr>
      <w:r>
        <w:rPr>
          <w:rFonts w:eastAsia="仿宋"/>
          <w:sz w:val="24"/>
          <w:szCs w:val="24"/>
        </w:rPr>
        <w:t>开标由代理机构主持，邀请监督部门人员现场全过程监督。</w:t>
      </w:r>
    </w:p>
    <w:p w14:paraId="0F46636E">
      <w:pPr>
        <w:spacing w:line="360" w:lineRule="auto"/>
        <w:ind w:firstLine="480" w:firstLineChars="200"/>
        <w:rPr>
          <w:rFonts w:eastAsia="仿宋"/>
          <w:sz w:val="24"/>
          <w:szCs w:val="24"/>
        </w:rPr>
      </w:pPr>
      <w:r>
        <w:rPr>
          <w:rFonts w:eastAsia="仿宋"/>
          <w:sz w:val="24"/>
          <w:szCs w:val="24"/>
        </w:rPr>
        <w:t>2</w:t>
      </w:r>
      <w:r>
        <w:rPr>
          <w:rFonts w:hint="eastAsia" w:eastAsia="仿宋"/>
          <w:sz w:val="24"/>
          <w:szCs w:val="24"/>
          <w:lang w:val="en-US" w:eastAsia="zh-CN"/>
        </w:rPr>
        <w:t>0</w:t>
      </w:r>
      <w:r>
        <w:rPr>
          <w:rFonts w:eastAsia="仿宋"/>
          <w:sz w:val="24"/>
          <w:szCs w:val="24"/>
        </w:rPr>
        <w:t>.开标和唱标的顺序，按照政采云平台上的先后顺序依次进行。</w:t>
      </w:r>
    </w:p>
    <w:p w14:paraId="1A612FA8">
      <w:pPr>
        <w:spacing w:line="360" w:lineRule="auto"/>
        <w:ind w:firstLine="480" w:firstLineChars="200"/>
        <w:jc w:val="left"/>
        <w:rPr>
          <w:rFonts w:eastAsia="仿宋"/>
          <w:bCs/>
          <w:sz w:val="24"/>
          <w:szCs w:val="24"/>
        </w:rPr>
      </w:pPr>
      <w:r>
        <w:rPr>
          <w:rFonts w:eastAsia="仿宋"/>
          <w:sz w:val="24"/>
          <w:szCs w:val="24"/>
        </w:rPr>
        <w:t>2</w:t>
      </w:r>
      <w:r>
        <w:rPr>
          <w:rFonts w:hint="eastAsia" w:eastAsia="仿宋"/>
          <w:sz w:val="24"/>
          <w:szCs w:val="24"/>
          <w:lang w:val="en-US" w:eastAsia="zh-CN"/>
        </w:rPr>
        <w:t>1</w:t>
      </w:r>
      <w:r>
        <w:rPr>
          <w:rFonts w:eastAsia="仿宋"/>
          <w:sz w:val="24"/>
          <w:szCs w:val="24"/>
        </w:rPr>
        <w:t>.</w:t>
      </w:r>
      <w:r>
        <w:rPr>
          <w:rFonts w:eastAsia="仿宋"/>
          <w:bCs/>
          <w:sz w:val="24"/>
          <w:szCs w:val="24"/>
        </w:rPr>
        <w:t>无效的响应文件</w:t>
      </w:r>
    </w:p>
    <w:p w14:paraId="1D6DF874">
      <w:pPr>
        <w:spacing w:line="360" w:lineRule="auto"/>
        <w:ind w:firstLine="480" w:firstLineChars="200"/>
        <w:jc w:val="left"/>
        <w:rPr>
          <w:rFonts w:eastAsia="仿宋"/>
          <w:sz w:val="24"/>
          <w:szCs w:val="24"/>
        </w:rPr>
      </w:pPr>
      <w:r>
        <w:rPr>
          <w:rFonts w:eastAsia="仿宋"/>
          <w:sz w:val="24"/>
          <w:szCs w:val="24"/>
        </w:rPr>
        <w:t>2</w:t>
      </w:r>
      <w:r>
        <w:rPr>
          <w:rFonts w:hint="eastAsia" w:eastAsia="仿宋"/>
          <w:sz w:val="24"/>
          <w:szCs w:val="24"/>
          <w:lang w:val="en-US" w:eastAsia="zh-CN"/>
        </w:rPr>
        <w:t>2</w:t>
      </w:r>
      <w:r>
        <w:rPr>
          <w:rFonts w:eastAsia="仿宋"/>
          <w:sz w:val="24"/>
          <w:szCs w:val="24"/>
        </w:rPr>
        <w:t>.开标时响应文件出现下列情形之一的应当作为无效响应文件，不得进入评审：</w:t>
      </w:r>
    </w:p>
    <w:p w14:paraId="1EE14B5E">
      <w:pPr>
        <w:spacing w:line="360" w:lineRule="auto"/>
        <w:ind w:firstLine="480" w:firstLineChars="200"/>
        <w:jc w:val="left"/>
        <w:rPr>
          <w:rFonts w:eastAsia="仿宋"/>
          <w:sz w:val="24"/>
          <w:szCs w:val="24"/>
        </w:rPr>
      </w:pPr>
      <w:r>
        <w:rPr>
          <w:rFonts w:eastAsia="仿宋"/>
          <w:sz w:val="24"/>
          <w:szCs w:val="24"/>
        </w:rPr>
        <w:t>2</w:t>
      </w:r>
      <w:r>
        <w:rPr>
          <w:rFonts w:hint="eastAsia" w:eastAsia="仿宋"/>
          <w:sz w:val="24"/>
          <w:szCs w:val="24"/>
          <w:lang w:val="en-US" w:eastAsia="zh-CN"/>
        </w:rPr>
        <w:t>2</w:t>
      </w:r>
      <w:r>
        <w:rPr>
          <w:rFonts w:eastAsia="仿宋"/>
          <w:sz w:val="24"/>
          <w:szCs w:val="24"/>
        </w:rPr>
        <w:t>.1未在政采云系统进行在线签到的；</w:t>
      </w:r>
    </w:p>
    <w:p w14:paraId="441504BA">
      <w:pPr>
        <w:spacing w:line="360" w:lineRule="auto"/>
        <w:ind w:firstLine="480" w:firstLineChars="200"/>
        <w:jc w:val="left"/>
        <w:rPr>
          <w:rFonts w:eastAsia="仿宋"/>
          <w:sz w:val="24"/>
          <w:szCs w:val="24"/>
        </w:rPr>
      </w:pPr>
      <w:r>
        <w:rPr>
          <w:rFonts w:eastAsia="仿宋"/>
          <w:sz w:val="24"/>
          <w:szCs w:val="24"/>
        </w:rPr>
        <w:t>2</w:t>
      </w:r>
      <w:r>
        <w:rPr>
          <w:rFonts w:hint="eastAsia" w:eastAsia="仿宋"/>
          <w:sz w:val="24"/>
          <w:szCs w:val="24"/>
          <w:lang w:val="en-US" w:eastAsia="zh-CN"/>
        </w:rPr>
        <w:t>2</w:t>
      </w:r>
      <w:r>
        <w:rPr>
          <w:rFonts w:eastAsia="仿宋"/>
          <w:sz w:val="24"/>
          <w:szCs w:val="24"/>
        </w:rPr>
        <w:t>.2未在30分钟内完成在线解密的；</w:t>
      </w:r>
    </w:p>
    <w:p w14:paraId="75633A85">
      <w:pPr>
        <w:spacing w:line="360" w:lineRule="auto"/>
        <w:ind w:firstLine="480" w:firstLineChars="200"/>
        <w:jc w:val="left"/>
        <w:rPr>
          <w:rFonts w:eastAsia="仿宋"/>
          <w:sz w:val="24"/>
          <w:szCs w:val="24"/>
        </w:rPr>
      </w:pPr>
      <w:r>
        <w:rPr>
          <w:rFonts w:eastAsia="仿宋"/>
          <w:sz w:val="24"/>
          <w:szCs w:val="24"/>
        </w:rPr>
        <w:t>2</w:t>
      </w:r>
      <w:r>
        <w:rPr>
          <w:rFonts w:hint="eastAsia" w:eastAsia="仿宋"/>
          <w:sz w:val="24"/>
          <w:szCs w:val="24"/>
          <w:lang w:val="en-US" w:eastAsia="zh-CN"/>
        </w:rPr>
        <w:t>2</w:t>
      </w:r>
      <w:r>
        <w:rPr>
          <w:rFonts w:eastAsia="仿宋"/>
          <w:sz w:val="24"/>
          <w:szCs w:val="24"/>
        </w:rPr>
        <w:t>.3唱标结束后30分钟内未完成“开标一览表”在线签章的；</w:t>
      </w:r>
    </w:p>
    <w:p w14:paraId="7AC8F02E">
      <w:pPr>
        <w:spacing w:line="360" w:lineRule="auto"/>
        <w:ind w:firstLine="480" w:firstLineChars="200"/>
        <w:jc w:val="left"/>
        <w:rPr>
          <w:rFonts w:eastAsia="仿宋"/>
          <w:sz w:val="24"/>
          <w:szCs w:val="24"/>
        </w:rPr>
      </w:pPr>
      <w:r>
        <w:rPr>
          <w:rFonts w:eastAsia="仿宋"/>
          <w:sz w:val="24"/>
          <w:szCs w:val="24"/>
        </w:rPr>
        <w:t>2</w:t>
      </w:r>
      <w:r>
        <w:rPr>
          <w:rFonts w:hint="eastAsia" w:eastAsia="仿宋"/>
          <w:sz w:val="24"/>
          <w:szCs w:val="24"/>
          <w:lang w:val="en-US" w:eastAsia="zh-CN"/>
        </w:rPr>
        <w:t>2</w:t>
      </w:r>
      <w:r>
        <w:rPr>
          <w:rFonts w:eastAsia="仿宋"/>
          <w:sz w:val="24"/>
          <w:szCs w:val="24"/>
        </w:rPr>
        <w:t>.4供应商未按照磋商文件要求提供磋商保证金的；</w:t>
      </w:r>
    </w:p>
    <w:p w14:paraId="09B31C43">
      <w:pPr>
        <w:spacing w:line="360" w:lineRule="auto"/>
        <w:ind w:firstLine="480" w:firstLineChars="200"/>
        <w:jc w:val="left"/>
        <w:rPr>
          <w:rFonts w:eastAsia="仿宋"/>
          <w:sz w:val="24"/>
          <w:szCs w:val="24"/>
        </w:rPr>
      </w:pPr>
      <w:r>
        <w:rPr>
          <w:rFonts w:eastAsia="仿宋"/>
          <w:sz w:val="24"/>
          <w:szCs w:val="24"/>
        </w:rPr>
        <w:t>2</w:t>
      </w:r>
      <w:r>
        <w:rPr>
          <w:rFonts w:hint="eastAsia" w:eastAsia="仿宋"/>
          <w:sz w:val="24"/>
          <w:szCs w:val="24"/>
          <w:lang w:val="en-US" w:eastAsia="zh-CN"/>
        </w:rPr>
        <w:t>2</w:t>
      </w:r>
      <w:r>
        <w:rPr>
          <w:rFonts w:eastAsia="仿宋"/>
          <w:sz w:val="24"/>
          <w:szCs w:val="24"/>
        </w:rPr>
        <w:t>.5有效证件不齐全的供应商的响应文件。</w:t>
      </w:r>
    </w:p>
    <w:p w14:paraId="374FDA15">
      <w:pPr>
        <w:spacing w:line="360" w:lineRule="auto"/>
        <w:ind w:firstLine="482" w:firstLineChars="200"/>
        <w:jc w:val="center"/>
        <w:rPr>
          <w:rFonts w:eastAsia="仿宋"/>
          <w:b/>
          <w:sz w:val="24"/>
          <w:szCs w:val="24"/>
        </w:rPr>
      </w:pPr>
      <w:r>
        <w:rPr>
          <w:rFonts w:eastAsia="仿宋"/>
          <w:b/>
          <w:sz w:val="24"/>
          <w:szCs w:val="24"/>
        </w:rPr>
        <w:t>评 审</w:t>
      </w:r>
    </w:p>
    <w:p w14:paraId="0D6E23C2">
      <w:pPr>
        <w:spacing w:line="360" w:lineRule="auto"/>
        <w:ind w:firstLine="482" w:firstLineChars="200"/>
        <w:rPr>
          <w:rFonts w:eastAsia="仿宋"/>
          <w:b/>
          <w:sz w:val="24"/>
          <w:szCs w:val="24"/>
        </w:rPr>
      </w:pPr>
      <w:r>
        <w:rPr>
          <w:rFonts w:eastAsia="仿宋"/>
          <w:b/>
          <w:sz w:val="24"/>
          <w:szCs w:val="24"/>
        </w:rPr>
        <w:t>2</w:t>
      </w:r>
      <w:r>
        <w:rPr>
          <w:rFonts w:hint="eastAsia" w:eastAsia="仿宋"/>
          <w:b/>
          <w:sz w:val="24"/>
          <w:szCs w:val="24"/>
          <w:lang w:val="en-US" w:eastAsia="zh-CN"/>
        </w:rPr>
        <w:t>3</w:t>
      </w:r>
      <w:r>
        <w:rPr>
          <w:rFonts w:eastAsia="仿宋"/>
          <w:b/>
          <w:sz w:val="24"/>
          <w:szCs w:val="24"/>
        </w:rPr>
        <w:t>.评审过程的保密性</w:t>
      </w:r>
    </w:p>
    <w:p w14:paraId="555E91EE">
      <w:pPr>
        <w:spacing w:line="360" w:lineRule="auto"/>
        <w:ind w:firstLine="472" w:firstLineChars="200"/>
        <w:rPr>
          <w:rFonts w:eastAsia="仿宋"/>
          <w:spacing w:val="-2"/>
          <w:sz w:val="24"/>
          <w:szCs w:val="24"/>
        </w:rPr>
      </w:pPr>
      <w:r>
        <w:rPr>
          <w:rFonts w:eastAsia="仿宋"/>
          <w:spacing w:val="-2"/>
          <w:sz w:val="24"/>
          <w:szCs w:val="24"/>
        </w:rPr>
        <w:t>2</w:t>
      </w:r>
      <w:r>
        <w:rPr>
          <w:rFonts w:hint="eastAsia" w:eastAsia="仿宋"/>
          <w:spacing w:val="-2"/>
          <w:sz w:val="24"/>
          <w:szCs w:val="24"/>
          <w:lang w:val="en-US" w:eastAsia="zh-CN"/>
        </w:rPr>
        <w:t>3</w:t>
      </w:r>
      <w:r>
        <w:rPr>
          <w:rFonts w:eastAsia="仿宋"/>
          <w:spacing w:val="-2"/>
          <w:sz w:val="24"/>
          <w:szCs w:val="24"/>
        </w:rPr>
        <w:t>.1开标后直到授予供应商签订合同为止，凡是属于审查、澄清、评价和比较的有关资料以及授标建议等内容，磋商小组成员或参与评审的有关工作人员均不得向供应商或其他无关的人员透露，违者给予警告、取消担任磋商小组成员的资格。</w:t>
      </w:r>
    </w:p>
    <w:p w14:paraId="28114A1A">
      <w:pPr>
        <w:spacing w:line="360" w:lineRule="auto"/>
        <w:ind w:firstLine="472" w:firstLineChars="200"/>
        <w:rPr>
          <w:rFonts w:eastAsia="仿宋"/>
          <w:spacing w:val="-2"/>
          <w:sz w:val="24"/>
          <w:szCs w:val="24"/>
        </w:rPr>
      </w:pPr>
      <w:r>
        <w:rPr>
          <w:rFonts w:eastAsia="仿宋"/>
          <w:spacing w:val="-2"/>
          <w:sz w:val="24"/>
          <w:szCs w:val="24"/>
        </w:rPr>
        <w:t>2</w:t>
      </w:r>
      <w:r>
        <w:rPr>
          <w:rFonts w:hint="eastAsia" w:eastAsia="仿宋"/>
          <w:spacing w:val="-2"/>
          <w:sz w:val="24"/>
          <w:szCs w:val="24"/>
          <w:lang w:val="en-US" w:eastAsia="zh-CN"/>
        </w:rPr>
        <w:t>3</w:t>
      </w:r>
      <w:r>
        <w:rPr>
          <w:rFonts w:eastAsia="仿宋"/>
          <w:spacing w:val="-2"/>
          <w:sz w:val="24"/>
          <w:szCs w:val="24"/>
        </w:rPr>
        <w:t>.2 供应商在评审过程中，所进行的力图影响评审结果的以及不符合《中华人民共和国政府采购法》以及本次招标的有关规定的活动，将被取消其中标资格。</w:t>
      </w:r>
    </w:p>
    <w:p w14:paraId="3A549DD7">
      <w:pPr>
        <w:spacing w:line="360" w:lineRule="auto"/>
        <w:ind w:firstLine="482" w:firstLineChars="200"/>
        <w:rPr>
          <w:rFonts w:eastAsia="仿宋"/>
          <w:b/>
          <w:sz w:val="24"/>
          <w:szCs w:val="24"/>
        </w:rPr>
      </w:pPr>
      <w:r>
        <w:rPr>
          <w:rFonts w:eastAsia="仿宋"/>
          <w:b/>
          <w:sz w:val="24"/>
          <w:szCs w:val="24"/>
        </w:rPr>
        <w:t>2</w:t>
      </w:r>
      <w:r>
        <w:rPr>
          <w:rFonts w:hint="eastAsia" w:eastAsia="仿宋"/>
          <w:b/>
          <w:sz w:val="24"/>
          <w:szCs w:val="24"/>
          <w:lang w:val="en-US" w:eastAsia="zh-CN"/>
        </w:rPr>
        <w:t>4</w:t>
      </w:r>
      <w:r>
        <w:rPr>
          <w:rFonts w:eastAsia="仿宋"/>
          <w:b/>
          <w:sz w:val="24"/>
          <w:szCs w:val="24"/>
        </w:rPr>
        <w:t>.磋商小组</w:t>
      </w:r>
    </w:p>
    <w:p w14:paraId="5B380524">
      <w:pPr>
        <w:spacing w:line="360" w:lineRule="auto"/>
        <w:ind w:firstLine="472" w:firstLineChars="200"/>
        <w:rPr>
          <w:rFonts w:eastAsia="仿宋"/>
          <w:spacing w:val="-2"/>
          <w:sz w:val="24"/>
          <w:szCs w:val="24"/>
        </w:rPr>
      </w:pPr>
      <w:r>
        <w:rPr>
          <w:rFonts w:eastAsia="仿宋"/>
          <w:spacing w:val="-2"/>
          <w:sz w:val="24"/>
          <w:szCs w:val="24"/>
        </w:rPr>
        <w:t>2</w:t>
      </w:r>
      <w:r>
        <w:rPr>
          <w:rFonts w:hint="eastAsia" w:eastAsia="仿宋"/>
          <w:spacing w:val="-2"/>
          <w:sz w:val="24"/>
          <w:szCs w:val="24"/>
          <w:lang w:val="en-US" w:eastAsia="zh-CN"/>
        </w:rPr>
        <w:t>4</w:t>
      </w:r>
      <w:r>
        <w:rPr>
          <w:rFonts w:eastAsia="仿宋"/>
          <w:spacing w:val="-2"/>
          <w:sz w:val="24"/>
          <w:szCs w:val="24"/>
        </w:rPr>
        <w:t>.1采购人将根据《中华人民共和国政府采购法》的规定，依法组建本次招标的磋商小组，负责本次采购项目的评审活动。磋商小组负责向采购人推荐成交候选人或者根据采购人的授权直接确定成交供应商。</w:t>
      </w:r>
    </w:p>
    <w:p w14:paraId="0F2A0D39">
      <w:pPr>
        <w:spacing w:line="360" w:lineRule="auto"/>
        <w:ind w:firstLine="472" w:firstLineChars="200"/>
        <w:rPr>
          <w:rFonts w:eastAsia="仿宋"/>
          <w:spacing w:val="-2"/>
          <w:sz w:val="24"/>
          <w:szCs w:val="24"/>
        </w:rPr>
      </w:pPr>
      <w:r>
        <w:rPr>
          <w:rFonts w:eastAsia="仿宋"/>
          <w:spacing w:val="-2"/>
          <w:sz w:val="24"/>
          <w:szCs w:val="24"/>
        </w:rPr>
        <w:t>2</w:t>
      </w:r>
      <w:r>
        <w:rPr>
          <w:rFonts w:hint="eastAsia" w:eastAsia="仿宋"/>
          <w:spacing w:val="-2"/>
          <w:sz w:val="24"/>
          <w:szCs w:val="24"/>
          <w:lang w:val="en-US" w:eastAsia="zh-CN"/>
        </w:rPr>
        <w:t>4</w:t>
      </w:r>
      <w:r>
        <w:rPr>
          <w:rFonts w:eastAsia="仿宋"/>
          <w:spacing w:val="-2"/>
          <w:sz w:val="24"/>
          <w:szCs w:val="24"/>
        </w:rPr>
        <w:t>.2磋商小组成员名单于开标前确定。磋商小组成员名单在成交结果确定前保密。</w:t>
      </w:r>
    </w:p>
    <w:p w14:paraId="5B4A00B3">
      <w:pPr>
        <w:spacing w:line="360" w:lineRule="auto"/>
        <w:ind w:firstLine="472" w:firstLineChars="200"/>
        <w:rPr>
          <w:rFonts w:eastAsia="仿宋"/>
          <w:spacing w:val="-2"/>
          <w:sz w:val="24"/>
          <w:szCs w:val="24"/>
        </w:rPr>
      </w:pPr>
      <w:r>
        <w:rPr>
          <w:rFonts w:eastAsia="仿宋"/>
          <w:spacing w:val="-2"/>
          <w:sz w:val="24"/>
          <w:szCs w:val="24"/>
        </w:rPr>
        <w:t>2</w:t>
      </w:r>
      <w:r>
        <w:rPr>
          <w:rFonts w:hint="eastAsia" w:eastAsia="仿宋"/>
          <w:spacing w:val="-2"/>
          <w:sz w:val="24"/>
          <w:szCs w:val="24"/>
          <w:lang w:val="en-US" w:eastAsia="zh-CN"/>
        </w:rPr>
        <w:t>4</w:t>
      </w:r>
      <w:r>
        <w:rPr>
          <w:rFonts w:eastAsia="仿宋"/>
          <w:spacing w:val="-2"/>
          <w:sz w:val="24"/>
          <w:szCs w:val="24"/>
        </w:rPr>
        <w:t>.3磋商小组由采购人或熟悉相关业务的代表以及有关技术、经济等方面的人员组成，成员为三人及以上的单数，其中技术、经济等方面的成员不少于成员总数的三分之二。</w:t>
      </w:r>
    </w:p>
    <w:p w14:paraId="4109A752">
      <w:pPr>
        <w:spacing w:line="360" w:lineRule="auto"/>
        <w:ind w:firstLine="472" w:firstLineChars="200"/>
        <w:rPr>
          <w:rFonts w:eastAsia="仿宋"/>
          <w:spacing w:val="-2"/>
          <w:sz w:val="24"/>
          <w:szCs w:val="24"/>
        </w:rPr>
      </w:pPr>
      <w:r>
        <w:rPr>
          <w:rFonts w:eastAsia="仿宋"/>
          <w:spacing w:val="-2"/>
          <w:sz w:val="24"/>
          <w:szCs w:val="24"/>
        </w:rPr>
        <w:t>2</w:t>
      </w:r>
      <w:r>
        <w:rPr>
          <w:rFonts w:hint="eastAsia" w:eastAsia="仿宋"/>
          <w:spacing w:val="-2"/>
          <w:sz w:val="24"/>
          <w:szCs w:val="24"/>
          <w:lang w:val="en-US" w:eastAsia="zh-CN"/>
        </w:rPr>
        <w:t>4</w:t>
      </w:r>
      <w:r>
        <w:rPr>
          <w:rFonts w:eastAsia="仿宋"/>
          <w:spacing w:val="-2"/>
          <w:sz w:val="24"/>
          <w:szCs w:val="24"/>
        </w:rPr>
        <w:t>.4按前款规定，磋商小组的成员，由采购人采取随机抽取的方式确定或者直接确定的方式。</w:t>
      </w:r>
    </w:p>
    <w:p w14:paraId="2A64DBE4">
      <w:pPr>
        <w:spacing w:line="360" w:lineRule="auto"/>
        <w:ind w:firstLine="472" w:firstLineChars="200"/>
        <w:rPr>
          <w:rFonts w:eastAsia="仿宋"/>
          <w:spacing w:val="-2"/>
          <w:sz w:val="24"/>
          <w:szCs w:val="24"/>
        </w:rPr>
      </w:pPr>
      <w:r>
        <w:rPr>
          <w:rFonts w:eastAsia="仿宋"/>
          <w:spacing w:val="-2"/>
          <w:sz w:val="24"/>
          <w:szCs w:val="24"/>
        </w:rPr>
        <w:t>2</w:t>
      </w:r>
      <w:r>
        <w:rPr>
          <w:rFonts w:hint="eastAsia" w:eastAsia="仿宋"/>
          <w:spacing w:val="-2"/>
          <w:sz w:val="24"/>
          <w:szCs w:val="24"/>
          <w:lang w:val="en-US" w:eastAsia="zh-CN"/>
        </w:rPr>
        <w:t>4</w:t>
      </w:r>
      <w:r>
        <w:rPr>
          <w:rFonts w:eastAsia="仿宋"/>
          <w:spacing w:val="-2"/>
          <w:sz w:val="24"/>
          <w:szCs w:val="24"/>
        </w:rPr>
        <w:t>.5评审专家（磋商小组专家成员）应符合下列条件：</w:t>
      </w:r>
    </w:p>
    <w:p w14:paraId="7A549144">
      <w:pPr>
        <w:spacing w:line="360" w:lineRule="auto"/>
        <w:ind w:firstLine="472" w:firstLineChars="200"/>
        <w:rPr>
          <w:rFonts w:eastAsia="仿宋"/>
          <w:spacing w:val="-2"/>
          <w:sz w:val="24"/>
          <w:szCs w:val="24"/>
        </w:rPr>
      </w:pPr>
      <w:r>
        <w:rPr>
          <w:rFonts w:eastAsia="仿宋"/>
          <w:spacing w:val="-2"/>
          <w:sz w:val="24"/>
          <w:szCs w:val="24"/>
        </w:rPr>
        <w:t>(1)具有良好的职业道德，廉洁自律，遵纪守法,无行贿、受贿、欺诈等不良信用记录；</w:t>
      </w:r>
    </w:p>
    <w:p w14:paraId="1955DCEF">
      <w:pPr>
        <w:spacing w:line="360" w:lineRule="auto"/>
        <w:ind w:firstLine="472" w:firstLineChars="200"/>
        <w:rPr>
          <w:rFonts w:eastAsia="仿宋"/>
          <w:spacing w:val="-2"/>
          <w:sz w:val="24"/>
          <w:szCs w:val="24"/>
        </w:rPr>
      </w:pPr>
      <w:r>
        <w:rPr>
          <w:rFonts w:eastAsia="仿宋"/>
          <w:spacing w:val="-2"/>
          <w:sz w:val="24"/>
          <w:szCs w:val="24"/>
        </w:rPr>
        <w:t>(2)具有中级专业技术职称或同等专业水平且从事相关领域工作满8年,或者具有高级专业技术职称或同等专业水平；</w:t>
      </w:r>
    </w:p>
    <w:p w14:paraId="0E0980CA">
      <w:pPr>
        <w:spacing w:line="360" w:lineRule="auto"/>
        <w:ind w:firstLine="472" w:firstLineChars="200"/>
        <w:rPr>
          <w:rFonts w:eastAsia="仿宋"/>
          <w:spacing w:val="-2"/>
          <w:sz w:val="24"/>
          <w:szCs w:val="24"/>
        </w:rPr>
      </w:pPr>
      <w:r>
        <w:rPr>
          <w:rFonts w:eastAsia="仿宋"/>
          <w:spacing w:val="-2"/>
          <w:sz w:val="24"/>
          <w:szCs w:val="24"/>
        </w:rPr>
        <w:t>(3)熟悉政府采购相关政策法规；</w:t>
      </w:r>
    </w:p>
    <w:p w14:paraId="1D9E6F32">
      <w:pPr>
        <w:spacing w:line="360" w:lineRule="auto"/>
        <w:ind w:firstLine="472" w:firstLineChars="200"/>
        <w:rPr>
          <w:rFonts w:eastAsia="仿宋"/>
          <w:spacing w:val="-2"/>
          <w:sz w:val="24"/>
          <w:szCs w:val="24"/>
        </w:rPr>
      </w:pPr>
      <w:r>
        <w:rPr>
          <w:rFonts w:eastAsia="仿宋"/>
          <w:spacing w:val="-2"/>
          <w:sz w:val="24"/>
          <w:szCs w:val="24"/>
        </w:rPr>
        <w:t>(4)承诺以独立身份参加评审工作,依法履行评审专家工作职责并承担相应法律责任的中国公民；</w:t>
      </w:r>
    </w:p>
    <w:p w14:paraId="621C9246">
      <w:pPr>
        <w:spacing w:line="360" w:lineRule="auto"/>
        <w:ind w:firstLine="472" w:firstLineChars="200"/>
        <w:rPr>
          <w:rFonts w:eastAsia="仿宋"/>
          <w:spacing w:val="-2"/>
          <w:sz w:val="24"/>
          <w:szCs w:val="24"/>
        </w:rPr>
      </w:pPr>
      <w:r>
        <w:rPr>
          <w:rFonts w:eastAsia="仿宋"/>
          <w:spacing w:val="-2"/>
          <w:sz w:val="24"/>
          <w:szCs w:val="24"/>
        </w:rPr>
        <w:t>(5)身体健康，能够承担评审工作；</w:t>
      </w:r>
    </w:p>
    <w:p w14:paraId="7D2481B6">
      <w:pPr>
        <w:spacing w:line="360" w:lineRule="auto"/>
        <w:ind w:firstLine="472" w:firstLineChars="200"/>
        <w:rPr>
          <w:rFonts w:eastAsia="仿宋"/>
          <w:spacing w:val="-2"/>
          <w:sz w:val="24"/>
          <w:szCs w:val="24"/>
        </w:rPr>
      </w:pPr>
      <w:r>
        <w:rPr>
          <w:rFonts w:eastAsia="仿宋"/>
          <w:spacing w:val="-2"/>
          <w:sz w:val="24"/>
          <w:szCs w:val="24"/>
        </w:rPr>
        <w:t>(6)申请成为评审专家前三年内,无《政府采购评审专家管理办法》中规定的不良行为记录。</w:t>
      </w:r>
    </w:p>
    <w:p w14:paraId="7C910DBD">
      <w:pPr>
        <w:spacing w:line="360" w:lineRule="auto"/>
        <w:ind w:firstLine="472" w:firstLineChars="200"/>
        <w:rPr>
          <w:rFonts w:eastAsia="仿宋"/>
          <w:spacing w:val="-2"/>
          <w:sz w:val="24"/>
          <w:szCs w:val="24"/>
        </w:rPr>
      </w:pPr>
      <w:r>
        <w:rPr>
          <w:rFonts w:eastAsia="仿宋"/>
          <w:spacing w:val="-2"/>
          <w:sz w:val="24"/>
          <w:szCs w:val="24"/>
        </w:rPr>
        <w:t>有下列情形之一的，不得担任磋商小组成员：</w:t>
      </w:r>
    </w:p>
    <w:p w14:paraId="63C8F7C8">
      <w:pPr>
        <w:spacing w:line="360" w:lineRule="auto"/>
        <w:ind w:firstLine="472" w:firstLineChars="200"/>
        <w:rPr>
          <w:rFonts w:eastAsia="仿宋"/>
          <w:spacing w:val="-2"/>
          <w:sz w:val="24"/>
          <w:szCs w:val="24"/>
        </w:rPr>
      </w:pPr>
      <w:r>
        <w:rPr>
          <w:rFonts w:eastAsia="仿宋"/>
          <w:spacing w:val="-2"/>
          <w:sz w:val="24"/>
          <w:szCs w:val="24"/>
        </w:rPr>
        <w:t>(1)参加采购活动前三年内,与供应商存在劳动关系,或者担任过供应商的董事、监事,或者是供应商的控股股东或实际控制人；</w:t>
      </w:r>
    </w:p>
    <w:p w14:paraId="2FD691B1">
      <w:pPr>
        <w:spacing w:line="360" w:lineRule="auto"/>
        <w:ind w:firstLine="472" w:firstLineChars="200"/>
        <w:rPr>
          <w:rFonts w:eastAsia="仿宋"/>
          <w:spacing w:val="-2"/>
          <w:sz w:val="24"/>
          <w:szCs w:val="24"/>
        </w:rPr>
      </w:pPr>
      <w:r>
        <w:rPr>
          <w:rFonts w:eastAsia="仿宋"/>
          <w:spacing w:val="-2"/>
          <w:sz w:val="24"/>
          <w:szCs w:val="24"/>
        </w:rPr>
        <w:t>(2)与供应商的法定代表人或者负责人有夫妻、直系血亲、三代以内旁系血亲或者近姻亲关系；</w:t>
      </w:r>
    </w:p>
    <w:p w14:paraId="55A00B91">
      <w:pPr>
        <w:spacing w:line="360" w:lineRule="auto"/>
        <w:ind w:firstLine="472" w:firstLineChars="200"/>
        <w:rPr>
          <w:rFonts w:eastAsia="仿宋"/>
          <w:spacing w:val="-2"/>
          <w:sz w:val="24"/>
          <w:szCs w:val="24"/>
        </w:rPr>
      </w:pPr>
      <w:r>
        <w:rPr>
          <w:rFonts w:eastAsia="仿宋"/>
          <w:spacing w:val="-2"/>
          <w:sz w:val="24"/>
          <w:szCs w:val="24"/>
        </w:rPr>
        <w:t>(3)与供应商有其他可能影响政府采购活动公平、公正进行的关系。</w:t>
      </w:r>
    </w:p>
    <w:p w14:paraId="77E89276">
      <w:pPr>
        <w:spacing w:line="360" w:lineRule="auto"/>
        <w:ind w:firstLine="472" w:firstLineChars="200"/>
        <w:rPr>
          <w:rFonts w:eastAsia="仿宋"/>
          <w:spacing w:val="-2"/>
          <w:sz w:val="24"/>
          <w:szCs w:val="24"/>
        </w:rPr>
      </w:pPr>
      <w:r>
        <w:rPr>
          <w:rFonts w:eastAsia="仿宋"/>
          <w:spacing w:val="-2"/>
          <w:sz w:val="24"/>
          <w:szCs w:val="24"/>
        </w:rPr>
        <w:t>2</w:t>
      </w:r>
      <w:r>
        <w:rPr>
          <w:rFonts w:hint="eastAsia" w:eastAsia="仿宋"/>
          <w:spacing w:val="-2"/>
          <w:sz w:val="24"/>
          <w:szCs w:val="24"/>
          <w:lang w:val="en-US" w:eastAsia="zh-CN"/>
        </w:rPr>
        <w:t>4</w:t>
      </w:r>
      <w:r>
        <w:rPr>
          <w:rFonts w:eastAsia="仿宋"/>
          <w:spacing w:val="-2"/>
          <w:sz w:val="24"/>
          <w:szCs w:val="24"/>
        </w:rPr>
        <w:t xml:space="preserve">.6磋商小组成员应当客观、公正地履行职责，遵守职业道德，并对所提出的评审意见承担个人责任。磋商小组成员不得与任何供应商或者与招标结果有利害关系的人员进行私下接触，不得收受供应商、中介人、其他有利害关系人的财物或者其他好处。 </w:t>
      </w:r>
    </w:p>
    <w:p w14:paraId="3047C270">
      <w:pPr>
        <w:spacing w:line="360" w:lineRule="auto"/>
        <w:ind w:firstLine="472" w:firstLineChars="200"/>
        <w:rPr>
          <w:rFonts w:eastAsia="仿宋"/>
          <w:sz w:val="24"/>
          <w:szCs w:val="24"/>
        </w:rPr>
      </w:pPr>
      <w:r>
        <w:rPr>
          <w:rFonts w:eastAsia="仿宋"/>
          <w:spacing w:val="-2"/>
          <w:sz w:val="24"/>
          <w:szCs w:val="24"/>
        </w:rPr>
        <w:t>2</w:t>
      </w:r>
      <w:r>
        <w:rPr>
          <w:rFonts w:hint="eastAsia" w:eastAsia="仿宋"/>
          <w:spacing w:val="-2"/>
          <w:sz w:val="24"/>
          <w:szCs w:val="24"/>
          <w:lang w:val="en-US" w:eastAsia="zh-CN"/>
        </w:rPr>
        <w:t>4</w:t>
      </w:r>
      <w:r>
        <w:rPr>
          <w:rFonts w:eastAsia="仿宋"/>
          <w:spacing w:val="-2"/>
          <w:sz w:val="24"/>
          <w:szCs w:val="24"/>
        </w:rPr>
        <w:t>.7磋商小组成员和与本次评审活动有关的工作人员，不得透露对响应文件的评审和比较、成交候选人的推荐情况以及与评审有关的其他情况。与评审活动有关的工作人员，是指磋商小组成员以外的、因参与评审监督工作或者事务性工作而知悉有关评审情况的所有人员。</w:t>
      </w:r>
    </w:p>
    <w:p w14:paraId="4BFB090B">
      <w:pPr>
        <w:spacing w:line="360" w:lineRule="auto"/>
        <w:ind w:firstLine="482" w:firstLineChars="200"/>
        <w:rPr>
          <w:rFonts w:eastAsia="仿宋"/>
          <w:b/>
          <w:sz w:val="24"/>
          <w:szCs w:val="24"/>
        </w:rPr>
      </w:pPr>
      <w:r>
        <w:rPr>
          <w:rFonts w:eastAsia="仿宋"/>
          <w:b/>
          <w:sz w:val="24"/>
          <w:szCs w:val="24"/>
        </w:rPr>
        <w:t>2</w:t>
      </w:r>
      <w:r>
        <w:rPr>
          <w:rFonts w:hint="eastAsia" w:eastAsia="仿宋"/>
          <w:b/>
          <w:sz w:val="24"/>
          <w:szCs w:val="24"/>
          <w:lang w:val="en-US" w:eastAsia="zh-CN"/>
        </w:rPr>
        <w:t>5</w:t>
      </w:r>
      <w:r>
        <w:rPr>
          <w:rFonts w:eastAsia="仿宋"/>
          <w:b/>
          <w:sz w:val="24"/>
          <w:szCs w:val="24"/>
        </w:rPr>
        <w:t>.评审的准备</w:t>
      </w:r>
    </w:p>
    <w:p w14:paraId="7896DA56">
      <w:pPr>
        <w:spacing w:line="360" w:lineRule="auto"/>
        <w:ind w:firstLine="472" w:firstLineChars="200"/>
        <w:rPr>
          <w:rFonts w:eastAsia="仿宋"/>
          <w:spacing w:val="-2"/>
          <w:sz w:val="24"/>
          <w:szCs w:val="24"/>
        </w:rPr>
      </w:pPr>
      <w:r>
        <w:rPr>
          <w:rFonts w:eastAsia="仿宋"/>
          <w:spacing w:val="-2"/>
          <w:sz w:val="24"/>
          <w:szCs w:val="24"/>
        </w:rPr>
        <w:t>2</w:t>
      </w:r>
      <w:r>
        <w:rPr>
          <w:rFonts w:hint="eastAsia" w:eastAsia="仿宋"/>
          <w:spacing w:val="-2"/>
          <w:sz w:val="24"/>
          <w:szCs w:val="24"/>
          <w:lang w:val="en-US" w:eastAsia="zh-CN"/>
        </w:rPr>
        <w:t>5</w:t>
      </w:r>
      <w:r>
        <w:rPr>
          <w:rFonts w:eastAsia="仿宋"/>
          <w:spacing w:val="-2"/>
          <w:sz w:val="24"/>
          <w:szCs w:val="24"/>
        </w:rPr>
        <w:t>.1磋商小组的成员应当熟悉并认真研究磋商文件，至少应了解和熟悉以下内容：</w:t>
      </w:r>
    </w:p>
    <w:p w14:paraId="4E43124C">
      <w:pPr>
        <w:spacing w:line="360" w:lineRule="auto"/>
        <w:ind w:firstLine="472" w:firstLineChars="200"/>
        <w:rPr>
          <w:rFonts w:eastAsia="仿宋"/>
          <w:spacing w:val="-2"/>
          <w:sz w:val="24"/>
          <w:szCs w:val="24"/>
        </w:rPr>
      </w:pPr>
      <w:r>
        <w:rPr>
          <w:rFonts w:eastAsia="仿宋"/>
          <w:spacing w:val="-2"/>
          <w:sz w:val="24"/>
          <w:szCs w:val="24"/>
        </w:rPr>
        <w:t>(1)招标目的。</w:t>
      </w:r>
    </w:p>
    <w:p w14:paraId="7E21CD97">
      <w:pPr>
        <w:spacing w:line="360" w:lineRule="auto"/>
        <w:ind w:firstLine="472" w:firstLineChars="200"/>
        <w:rPr>
          <w:rFonts w:eastAsia="仿宋"/>
          <w:spacing w:val="-2"/>
          <w:sz w:val="24"/>
          <w:szCs w:val="24"/>
        </w:rPr>
      </w:pPr>
      <w:r>
        <w:rPr>
          <w:rFonts w:eastAsia="仿宋"/>
          <w:spacing w:val="-2"/>
          <w:sz w:val="24"/>
          <w:szCs w:val="24"/>
        </w:rPr>
        <w:t>(2)招标项目的范围、性质。</w:t>
      </w:r>
    </w:p>
    <w:p w14:paraId="71D90DD7">
      <w:pPr>
        <w:spacing w:line="360" w:lineRule="auto"/>
        <w:ind w:firstLine="472" w:firstLineChars="200"/>
        <w:rPr>
          <w:rFonts w:eastAsia="仿宋"/>
          <w:spacing w:val="-2"/>
          <w:sz w:val="24"/>
          <w:szCs w:val="24"/>
        </w:rPr>
      </w:pPr>
      <w:r>
        <w:rPr>
          <w:rFonts w:eastAsia="仿宋"/>
          <w:spacing w:val="-2"/>
          <w:sz w:val="24"/>
          <w:szCs w:val="24"/>
        </w:rPr>
        <w:t>(3)磋商文件中规定的主要技术要求、标准和商务条款。</w:t>
      </w:r>
    </w:p>
    <w:p w14:paraId="2EF4F834">
      <w:pPr>
        <w:spacing w:line="360" w:lineRule="auto"/>
        <w:ind w:firstLine="472" w:firstLineChars="200"/>
        <w:rPr>
          <w:rFonts w:eastAsia="仿宋"/>
          <w:spacing w:val="-2"/>
          <w:sz w:val="24"/>
          <w:szCs w:val="24"/>
        </w:rPr>
      </w:pPr>
      <w:r>
        <w:rPr>
          <w:rFonts w:eastAsia="仿宋"/>
          <w:spacing w:val="-2"/>
          <w:sz w:val="24"/>
          <w:szCs w:val="24"/>
        </w:rPr>
        <w:t>(4)磋商文件规定的评审标准、评审方法和在评审过程中应考虑的相关因素。</w:t>
      </w:r>
    </w:p>
    <w:p w14:paraId="06E2A98D">
      <w:pPr>
        <w:spacing w:line="360" w:lineRule="auto"/>
        <w:ind w:firstLine="472" w:firstLineChars="200"/>
        <w:rPr>
          <w:rFonts w:eastAsia="仿宋"/>
          <w:spacing w:val="-2"/>
          <w:sz w:val="24"/>
          <w:szCs w:val="24"/>
        </w:rPr>
      </w:pPr>
      <w:r>
        <w:rPr>
          <w:rFonts w:eastAsia="仿宋"/>
          <w:spacing w:val="-2"/>
          <w:sz w:val="24"/>
          <w:szCs w:val="24"/>
        </w:rPr>
        <w:t>2</w:t>
      </w:r>
      <w:r>
        <w:rPr>
          <w:rFonts w:hint="eastAsia" w:eastAsia="仿宋"/>
          <w:spacing w:val="-2"/>
          <w:sz w:val="24"/>
          <w:szCs w:val="24"/>
          <w:lang w:val="en-US" w:eastAsia="zh-CN"/>
        </w:rPr>
        <w:t>5</w:t>
      </w:r>
      <w:r>
        <w:rPr>
          <w:rFonts w:eastAsia="仿宋"/>
          <w:spacing w:val="-2"/>
          <w:sz w:val="24"/>
          <w:szCs w:val="24"/>
        </w:rPr>
        <w:t>.2采购人应当向磋商小组提供评审所需的重要信息和数据。</w:t>
      </w:r>
    </w:p>
    <w:p w14:paraId="408F44B7">
      <w:pPr>
        <w:spacing w:line="360" w:lineRule="auto"/>
        <w:ind w:firstLine="472" w:firstLineChars="200"/>
        <w:rPr>
          <w:rFonts w:eastAsia="仿宋"/>
          <w:sz w:val="24"/>
          <w:szCs w:val="24"/>
        </w:rPr>
      </w:pPr>
      <w:r>
        <w:rPr>
          <w:rFonts w:eastAsia="仿宋"/>
          <w:spacing w:val="-2"/>
          <w:sz w:val="24"/>
          <w:szCs w:val="24"/>
        </w:rPr>
        <w:t>2</w:t>
      </w:r>
      <w:r>
        <w:rPr>
          <w:rFonts w:hint="eastAsia" w:eastAsia="仿宋"/>
          <w:spacing w:val="-2"/>
          <w:sz w:val="24"/>
          <w:szCs w:val="24"/>
          <w:lang w:val="en-US" w:eastAsia="zh-CN"/>
        </w:rPr>
        <w:t>5</w:t>
      </w:r>
      <w:r>
        <w:rPr>
          <w:rFonts w:eastAsia="仿宋"/>
          <w:spacing w:val="-2"/>
          <w:sz w:val="24"/>
          <w:szCs w:val="24"/>
        </w:rPr>
        <w:t>.3磋商小组应当根据磋商文件规定的评审标准和方法，对响应文件进行系统地评审和比较。磋商文件中没有规定的标准和方法不得作为评审的依据。</w:t>
      </w:r>
    </w:p>
    <w:p w14:paraId="534BE6B0">
      <w:pPr>
        <w:spacing w:line="360" w:lineRule="auto"/>
        <w:ind w:firstLine="482" w:firstLineChars="200"/>
        <w:rPr>
          <w:rFonts w:eastAsia="仿宋"/>
          <w:b/>
          <w:sz w:val="24"/>
          <w:szCs w:val="24"/>
        </w:rPr>
      </w:pPr>
      <w:r>
        <w:rPr>
          <w:rFonts w:eastAsia="仿宋"/>
          <w:b/>
          <w:sz w:val="24"/>
          <w:szCs w:val="24"/>
        </w:rPr>
        <w:t>2</w:t>
      </w:r>
      <w:r>
        <w:rPr>
          <w:rFonts w:hint="eastAsia" w:eastAsia="仿宋"/>
          <w:b/>
          <w:sz w:val="24"/>
          <w:szCs w:val="24"/>
          <w:lang w:val="en-US" w:eastAsia="zh-CN"/>
        </w:rPr>
        <w:t>6</w:t>
      </w:r>
      <w:r>
        <w:rPr>
          <w:rFonts w:eastAsia="仿宋"/>
          <w:b/>
          <w:sz w:val="24"/>
          <w:szCs w:val="24"/>
        </w:rPr>
        <w:t>.评审依据及评审办法</w:t>
      </w:r>
    </w:p>
    <w:p w14:paraId="21DDCF59">
      <w:pPr>
        <w:spacing w:line="360" w:lineRule="auto"/>
        <w:ind w:firstLine="480" w:firstLineChars="200"/>
        <w:jc w:val="left"/>
        <w:rPr>
          <w:rFonts w:eastAsia="仿宋"/>
          <w:sz w:val="24"/>
          <w:szCs w:val="24"/>
        </w:rPr>
      </w:pPr>
      <w:r>
        <w:rPr>
          <w:rFonts w:eastAsia="仿宋"/>
          <w:sz w:val="24"/>
          <w:szCs w:val="24"/>
        </w:rPr>
        <w:t>2</w:t>
      </w:r>
      <w:r>
        <w:rPr>
          <w:rFonts w:hint="eastAsia" w:eastAsia="仿宋"/>
          <w:sz w:val="24"/>
          <w:szCs w:val="24"/>
          <w:lang w:val="en-US" w:eastAsia="zh-CN"/>
        </w:rPr>
        <w:t>6</w:t>
      </w:r>
      <w:r>
        <w:rPr>
          <w:rFonts w:eastAsia="仿宋"/>
          <w:sz w:val="24"/>
          <w:szCs w:val="24"/>
        </w:rPr>
        <w:t>.1评审依据为磋商文件。</w:t>
      </w:r>
    </w:p>
    <w:p w14:paraId="556841E7">
      <w:pPr>
        <w:spacing w:line="360" w:lineRule="auto"/>
        <w:ind w:firstLine="480" w:firstLineChars="200"/>
        <w:jc w:val="left"/>
        <w:rPr>
          <w:rFonts w:eastAsia="仿宋"/>
          <w:sz w:val="24"/>
          <w:szCs w:val="24"/>
        </w:rPr>
      </w:pPr>
      <w:r>
        <w:rPr>
          <w:rFonts w:eastAsia="仿宋"/>
          <w:sz w:val="24"/>
          <w:szCs w:val="24"/>
        </w:rPr>
        <w:t>2</w:t>
      </w:r>
      <w:r>
        <w:rPr>
          <w:rFonts w:hint="eastAsia" w:eastAsia="仿宋"/>
          <w:sz w:val="24"/>
          <w:szCs w:val="24"/>
          <w:lang w:val="en-US" w:eastAsia="zh-CN"/>
        </w:rPr>
        <w:t>6</w:t>
      </w:r>
      <w:r>
        <w:rPr>
          <w:rFonts w:eastAsia="仿宋"/>
          <w:sz w:val="24"/>
          <w:szCs w:val="24"/>
        </w:rPr>
        <w:t>.2本次采购项目采用综合评分法。</w:t>
      </w:r>
    </w:p>
    <w:p w14:paraId="1BB51A14">
      <w:pPr>
        <w:spacing w:line="360" w:lineRule="auto"/>
        <w:ind w:firstLine="480" w:firstLineChars="200"/>
        <w:jc w:val="left"/>
        <w:rPr>
          <w:rFonts w:eastAsia="仿宋"/>
          <w:sz w:val="24"/>
          <w:szCs w:val="24"/>
        </w:rPr>
      </w:pPr>
      <w:r>
        <w:rPr>
          <w:rFonts w:eastAsia="仿宋"/>
          <w:sz w:val="24"/>
          <w:szCs w:val="24"/>
        </w:rPr>
        <w:t>2</w:t>
      </w:r>
      <w:r>
        <w:rPr>
          <w:rFonts w:hint="eastAsia" w:eastAsia="仿宋"/>
          <w:sz w:val="24"/>
          <w:szCs w:val="24"/>
          <w:lang w:val="en-US" w:eastAsia="zh-CN"/>
        </w:rPr>
        <w:t>6</w:t>
      </w:r>
      <w:r>
        <w:rPr>
          <w:rFonts w:eastAsia="仿宋"/>
          <w:sz w:val="24"/>
          <w:szCs w:val="24"/>
        </w:rPr>
        <w:t>.3采购人不接受不符合国家有关部门相关规定的磋商报价或优惠方案。</w:t>
      </w:r>
    </w:p>
    <w:p w14:paraId="0DB63EF8">
      <w:pPr>
        <w:spacing w:line="360" w:lineRule="auto"/>
        <w:ind w:firstLine="482" w:firstLineChars="200"/>
        <w:rPr>
          <w:rFonts w:eastAsia="仿宋"/>
          <w:b/>
          <w:sz w:val="24"/>
          <w:szCs w:val="24"/>
        </w:rPr>
      </w:pPr>
      <w:r>
        <w:rPr>
          <w:rFonts w:hint="eastAsia" w:eastAsia="仿宋"/>
          <w:b/>
          <w:sz w:val="24"/>
          <w:szCs w:val="24"/>
          <w:lang w:val="en-US" w:eastAsia="zh-CN"/>
        </w:rPr>
        <w:t>27</w:t>
      </w:r>
      <w:r>
        <w:rPr>
          <w:rFonts w:eastAsia="仿宋"/>
          <w:b/>
          <w:sz w:val="24"/>
          <w:szCs w:val="24"/>
        </w:rPr>
        <w:t>.评审程序及评审因素</w:t>
      </w:r>
    </w:p>
    <w:p w14:paraId="239A716F">
      <w:pPr>
        <w:spacing w:line="360" w:lineRule="auto"/>
        <w:ind w:firstLine="482" w:firstLineChars="200"/>
        <w:rPr>
          <w:rFonts w:eastAsia="仿宋"/>
          <w:b/>
          <w:sz w:val="24"/>
          <w:szCs w:val="24"/>
        </w:rPr>
      </w:pPr>
      <w:r>
        <w:rPr>
          <w:rFonts w:eastAsia="仿宋"/>
          <w:b/>
          <w:sz w:val="24"/>
          <w:szCs w:val="24"/>
        </w:rPr>
        <w:t>2</w:t>
      </w:r>
      <w:r>
        <w:rPr>
          <w:rFonts w:hint="eastAsia" w:eastAsia="仿宋"/>
          <w:b/>
          <w:sz w:val="24"/>
          <w:szCs w:val="24"/>
          <w:lang w:val="en-US" w:eastAsia="zh-CN"/>
        </w:rPr>
        <w:t>7</w:t>
      </w:r>
      <w:r>
        <w:rPr>
          <w:rFonts w:eastAsia="仿宋"/>
          <w:b/>
          <w:sz w:val="24"/>
          <w:szCs w:val="24"/>
        </w:rPr>
        <w:t>.1评审程序</w:t>
      </w:r>
    </w:p>
    <w:p w14:paraId="76FE71C8">
      <w:pPr>
        <w:spacing w:line="360" w:lineRule="auto"/>
        <w:ind w:firstLine="482" w:firstLineChars="200"/>
        <w:rPr>
          <w:rFonts w:eastAsia="仿宋"/>
          <w:b/>
          <w:sz w:val="24"/>
          <w:szCs w:val="24"/>
        </w:rPr>
      </w:pPr>
      <w:r>
        <w:rPr>
          <w:rFonts w:eastAsia="仿宋"/>
          <w:b/>
          <w:sz w:val="24"/>
          <w:szCs w:val="24"/>
        </w:rPr>
        <w:t>成立</w:t>
      </w:r>
      <w:r>
        <w:rPr>
          <w:rFonts w:eastAsia="仿宋"/>
          <w:b/>
          <w:bCs/>
          <w:spacing w:val="-2"/>
          <w:sz w:val="24"/>
          <w:szCs w:val="24"/>
        </w:rPr>
        <w:t>磋商小组</w:t>
      </w:r>
      <w:r>
        <w:rPr>
          <w:rFonts w:eastAsia="仿宋"/>
          <w:b/>
          <w:sz w:val="24"/>
          <w:szCs w:val="24"/>
        </w:rPr>
        <w:t>→资格审查→初步评审（符合性审查表）→详细评审（商务、技术部分评审及报价得分计算）→推荐成交候选人→完成评审报告。</w:t>
      </w:r>
    </w:p>
    <w:p w14:paraId="1A600A48">
      <w:pPr>
        <w:spacing w:line="360" w:lineRule="auto"/>
        <w:ind w:firstLine="482" w:firstLineChars="200"/>
        <w:rPr>
          <w:rFonts w:eastAsia="仿宋"/>
          <w:b/>
          <w:sz w:val="24"/>
          <w:szCs w:val="24"/>
        </w:rPr>
      </w:pPr>
      <w:r>
        <w:rPr>
          <w:rFonts w:eastAsia="仿宋"/>
          <w:b/>
          <w:sz w:val="24"/>
          <w:szCs w:val="24"/>
        </w:rPr>
        <w:t>2</w:t>
      </w:r>
      <w:r>
        <w:rPr>
          <w:rFonts w:hint="eastAsia" w:eastAsia="仿宋"/>
          <w:b/>
          <w:sz w:val="24"/>
          <w:szCs w:val="24"/>
          <w:lang w:val="en-US" w:eastAsia="zh-CN"/>
        </w:rPr>
        <w:t>7</w:t>
      </w:r>
      <w:r>
        <w:rPr>
          <w:rFonts w:eastAsia="仿宋"/>
          <w:b/>
          <w:sz w:val="24"/>
          <w:szCs w:val="24"/>
        </w:rPr>
        <w:t>.2对响应文件的评估和比较</w:t>
      </w:r>
    </w:p>
    <w:p w14:paraId="7177331C">
      <w:pPr>
        <w:spacing w:line="360" w:lineRule="auto"/>
        <w:ind w:firstLine="472" w:firstLineChars="200"/>
        <w:rPr>
          <w:rFonts w:eastAsia="仿宋"/>
          <w:spacing w:val="-2"/>
          <w:sz w:val="24"/>
          <w:szCs w:val="24"/>
        </w:rPr>
      </w:pPr>
      <w:r>
        <w:rPr>
          <w:rFonts w:eastAsia="仿宋"/>
          <w:spacing w:val="-2"/>
          <w:sz w:val="24"/>
          <w:szCs w:val="24"/>
        </w:rPr>
        <w:t>对实质性响应的响应文件进行评估和比较。</w:t>
      </w:r>
    </w:p>
    <w:p w14:paraId="04F0B9E7">
      <w:pPr>
        <w:spacing w:line="360" w:lineRule="auto"/>
        <w:ind w:firstLine="482" w:firstLineChars="200"/>
        <w:rPr>
          <w:rFonts w:eastAsia="仿宋"/>
          <w:b/>
          <w:sz w:val="24"/>
          <w:szCs w:val="24"/>
        </w:rPr>
      </w:pPr>
      <w:r>
        <w:rPr>
          <w:rFonts w:eastAsia="仿宋"/>
          <w:b/>
          <w:sz w:val="24"/>
          <w:szCs w:val="24"/>
        </w:rPr>
        <w:t>2</w:t>
      </w:r>
      <w:r>
        <w:rPr>
          <w:rFonts w:hint="eastAsia" w:eastAsia="仿宋"/>
          <w:b/>
          <w:sz w:val="24"/>
          <w:szCs w:val="24"/>
          <w:lang w:val="en-US" w:eastAsia="zh-CN"/>
        </w:rPr>
        <w:t>7</w:t>
      </w:r>
      <w:r>
        <w:rPr>
          <w:rFonts w:eastAsia="仿宋"/>
          <w:b/>
          <w:sz w:val="24"/>
          <w:szCs w:val="24"/>
        </w:rPr>
        <w:t>.3 初步评审</w:t>
      </w:r>
    </w:p>
    <w:p w14:paraId="221888CB">
      <w:pPr>
        <w:spacing w:line="360" w:lineRule="auto"/>
        <w:ind w:firstLine="472" w:firstLineChars="200"/>
        <w:rPr>
          <w:rFonts w:eastAsia="仿宋"/>
          <w:spacing w:val="-2"/>
          <w:sz w:val="24"/>
          <w:szCs w:val="24"/>
        </w:rPr>
      </w:pPr>
      <w:r>
        <w:rPr>
          <w:rFonts w:eastAsia="仿宋"/>
          <w:spacing w:val="-2"/>
          <w:sz w:val="24"/>
          <w:szCs w:val="24"/>
        </w:rPr>
        <w:t>2</w:t>
      </w:r>
      <w:r>
        <w:rPr>
          <w:rFonts w:hint="eastAsia" w:eastAsia="仿宋"/>
          <w:spacing w:val="-2"/>
          <w:sz w:val="24"/>
          <w:szCs w:val="24"/>
          <w:lang w:val="en-US" w:eastAsia="zh-CN"/>
        </w:rPr>
        <w:t>7</w:t>
      </w:r>
      <w:r>
        <w:rPr>
          <w:rFonts w:eastAsia="仿宋"/>
          <w:spacing w:val="-2"/>
          <w:sz w:val="24"/>
          <w:szCs w:val="24"/>
        </w:rPr>
        <w:t>.3.1资格审查未通过的，其响应文件无效。磋商小组对响应文件的有效性、完整性和响应程度进行审查时，可以书面方式要求供应商对响应文件中含义不明确、对同类问题表述不一致或者有明显文字和计算错误的内容作必要的澄清、说明或补正。供应商的澄清、说明或补正应以书面方式进行,并不得超出响应文件的范围或者改变响应文件的实质性内容。响应文件中的大写金额和小写金额不一致的以大写金额为准。</w:t>
      </w:r>
    </w:p>
    <w:p w14:paraId="22449E3A">
      <w:pPr>
        <w:spacing w:line="360" w:lineRule="auto"/>
        <w:ind w:firstLine="472" w:firstLineChars="200"/>
        <w:rPr>
          <w:rFonts w:eastAsia="仿宋"/>
          <w:spacing w:val="-2"/>
          <w:sz w:val="24"/>
          <w:szCs w:val="24"/>
        </w:rPr>
      </w:pPr>
      <w:r>
        <w:rPr>
          <w:rFonts w:eastAsia="仿宋"/>
          <w:spacing w:val="-2"/>
          <w:sz w:val="24"/>
          <w:szCs w:val="24"/>
        </w:rPr>
        <w:t>2</w:t>
      </w:r>
      <w:r>
        <w:rPr>
          <w:rFonts w:hint="eastAsia" w:eastAsia="仿宋"/>
          <w:spacing w:val="-2"/>
          <w:sz w:val="24"/>
          <w:szCs w:val="24"/>
          <w:lang w:val="en-US" w:eastAsia="zh-CN"/>
        </w:rPr>
        <w:t>7</w:t>
      </w:r>
      <w:r>
        <w:rPr>
          <w:rFonts w:eastAsia="仿宋"/>
          <w:spacing w:val="-2"/>
          <w:sz w:val="24"/>
          <w:szCs w:val="24"/>
        </w:rPr>
        <w:t>.3.2采购方不接受不符合国家有关部门相关规定的磋商报价或优惠方案。</w:t>
      </w:r>
    </w:p>
    <w:p w14:paraId="3D76DFAD">
      <w:pPr>
        <w:spacing w:line="360" w:lineRule="auto"/>
        <w:ind w:firstLine="472" w:firstLineChars="200"/>
        <w:rPr>
          <w:rFonts w:eastAsia="仿宋"/>
          <w:spacing w:val="-2"/>
          <w:sz w:val="24"/>
          <w:szCs w:val="24"/>
        </w:rPr>
      </w:pPr>
      <w:r>
        <w:rPr>
          <w:rFonts w:eastAsia="仿宋"/>
          <w:spacing w:val="-2"/>
          <w:sz w:val="24"/>
          <w:szCs w:val="24"/>
        </w:rPr>
        <w:t>2</w:t>
      </w:r>
      <w:r>
        <w:rPr>
          <w:rFonts w:hint="eastAsia" w:eastAsia="仿宋"/>
          <w:spacing w:val="-2"/>
          <w:sz w:val="24"/>
          <w:szCs w:val="24"/>
          <w:lang w:val="en-US" w:eastAsia="zh-CN"/>
        </w:rPr>
        <w:t>7</w:t>
      </w:r>
      <w:r>
        <w:rPr>
          <w:rFonts w:eastAsia="仿宋"/>
          <w:spacing w:val="-2"/>
          <w:sz w:val="24"/>
          <w:szCs w:val="24"/>
        </w:rPr>
        <w:t>.3.3在评审过程中，磋商小组发现供应商以他人名义投标、串通投标、以行贿手段谋取中标或者以其他弄虚作假方式磋商的，该供应商的磋商将被否决。</w:t>
      </w:r>
    </w:p>
    <w:p w14:paraId="146FCA10">
      <w:pPr>
        <w:spacing w:line="360" w:lineRule="auto"/>
        <w:ind w:firstLine="472" w:firstLineChars="200"/>
        <w:rPr>
          <w:rFonts w:eastAsia="仿宋"/>
          <w:spacing w:val="-2"/>
          <w:sz w:val="24"/>
          <w:szCs w:val="24"/>
        </w:rPr>
      </w:pPr>
      <w:r>
        <w:rPr>
          <w:rFonts w:eastAsia="仿宋"/>
          <w:spacing w:val="-2"/>
          <w:sz w:val="24"/>
          <w:szCs w:val="24"/>
        </w:rPr>
        <w:t>2</w:t>
      </w:r>
      <w:r>
        <w:rPr>
          <w:rFonts w:hint="eastAsia" w:eastAsia="仿宋"/>
          <w:spacing w:val="-2"/>
          <w:sz w:val="24"/>
          <w:szCs w:val="24"/>
          <w:lang w:val="en-US" w:eastAsia="zh-CN"/>
        </w:rPr>
        <w:t>7</w:t>
      </w:r>
      <w:r>
        <w:rPr>
          <w:rFonts w:eastAsia="仿宋"/>
          <w:spacing w:val="-2"/>
          <w:sz w:val="24"/>
          <w:szCs w:val="24"/>
        </w:rPr>
        <w:t>.3.4供应商的资格条件不符合国家有关规定和磋商文件要求的，或者拒不按照要求对响应文件进行澄清、说明或补正的，磋商小组可以否决其磋商。</w:t>
      </w:r>
    </w:p>
    <w:p w14:paraId="1FA795F7">
      <w:pPr>
        <w:spacing w:line="360" w:lineRule="auto"/>
        <w:ind w:firstLine="472" w:firstLineChars="200"/>
        <w:rPr>
          <w:rFonts w:eastAsia="仿宋"/>
          <w:spacing w:val="-2"/>
          <w:sz w:val="24"/>
          <w:szCs w:val="24"/>
        </w:rPr>
      </w:pPr>
      <w:r>
        <w:rPr>
          <w:rFonts w:eastAsia="仿宋"/>
          <w:spacing w:val="-2"/>
          <w:sz w:val="24"/>
          <w:szCs w:val="24"/>
        </w:rPr>
        <w:t>2</w:t>
      </w:r>
      <w:r>
        <w:rPr>
          <w:rFonts w:hint="eastAsia" w:eastAsia="仿宋"/>
          <w:spacing w:val="-2"/>
          <w:sz w:val="24"/>
          <w:szCs w:val="24"/>
          <w:lang w:val="en-US" w:eastAsia="zh-CN"/>
        </w:rPr>
        <w:t>7</w:t>
      </w:r>
      <w:r>
        <w:rPr>
          <w:rFonts w:eastAsia="仿宋"/>
          <w:spacing w:val="-2"/>
          <w:sz w:val="24"/>
          <w:szCs w:val="24"/>
        </w:rPr>
        <w:t>.3.5磋商小组应当审查每一个响应文件是否对磋商文件提出的所有实质性要求和条件做出响应。未能在实质上响应的磋商，其磋商将被否决。</w:t>
      </w:r>
    </w:p>
    <w:p w14:paraId="7B30E983">
      <w:pPr>
        <w:spacing w:line="360" w:lineRule="auto"/>
        <w:ind w:firstLine="472" w:firstLineChars="200"/>
        <w:rPr>
          <w:rFonts w:eastAsia="仿宋"/>
          <w:spacing w:val="-2"/>
          <w:sz w:val="24"/>
          <w:szCs w:val="24"/>
        </w:rPr>
      </w:pPr>
      <w:r>
        <w:rPr>
          <w:rFonts w:eastAsia="仿宋"/>
          <w:spacing w:val="-2"/>
          <w:sz w:val="24"/>
          <w:szCs w:val="24"/>
        </w:rPr>
        <w:t>2</w:t>
      </w:r>
      <w:r>
        <w:rPr>
          <w:rFonts w:hint="eastAsia" w:eastAsia="仿宋"/>
          <w:spacing w:val="-2"/>
          <w:sz w:val="24"/>
          <w:szCs w:val="24"/>
          <w:lang w:val="en-US" w:eastAsia="zh-CN"/>
        </w:rPr>
        <w:t>7</w:t>
      </w:r>
      <w:r>
        <w:rPr>
          <w:rFonts w:eastAsia="仿宋"/>
          <w:spacing w:val="-2"/>
          <w:sz w:val="24"/>
          <w:szCs w:val="24"/>
        </w:rPr>
        <w:t>.3.6供应商不得误导、干扰采购方的评审活动，否则将废除其磋商。</w:t>
      </w:r>
    </w:p>
    <w:p w14:paraId="1E7B3D0E">
      <w:pPr>
        <w:spacing w:line="360" w:lineRule="auto"/>
        <w:ind w:firstLine="472" w:firstLineChars="200"/>
        <w:rPr>
          <w:rFonts w:eastAsia="仿宋"/>
          <w:spacing w:val="-2"/>
          <w:sz w:val="24"/>
          <w:szCs w:val="24"/>
        </w:rPr>
      </w:pPr>
      <w:r>
        <w:rPr>
          <w:rFonts w:hint="eastAsia" w:eastAsia="仿宋"/>
          <w:spacing w:val="-2"/>
          <w:sz w:val="24"/>
          <w:szCs w:val="24"/>
          <w:lang w:val="en-US" w:eastAsia="zh-CN"/>
        </w:rPr>
        <w:t>27</w:t>
      </w:r>
      <w:r>
        <w:rPr>
          <w:rFonts w:eastAsia="仿宋"/>
          <w:spacing w:val="-2"/>
          <w:sz w:val="24"/>
          <w:szCs w:val="24"/>
        </w:rPr>
        <w:t>.3.7磋商小组根据上述规定否决不合格磋商，因有效磋商不足本次评标办法规定数量而使得磋商明显缺乏竞争性时，根据《中华人民共和国政府采购法》的相关，将作流标处理。</w:t>
      </w:r>
    </w:p>
    <w:p w14:paraId="78E1FC4D">
      <w:pPr>
        <w:spacing w:line="360" w:lineRule="auto"/>
        <w:ind w:firstLine="472" w:firstLineChars="200"/>
        <w:rPr>
          <w:rFonts w:eastAsia="仿宋"/>
          <w:spacing w:val="-2"/>
          <w:sz w:val="24"/>
          <w:szCs w:val="24"/>
        </w:rPr>
      </w:pPr>
      <w:r>
        <w:rPr>
          <w:rFonts w:eastAsia="仿宋"/>
          <w:spacing w:val="-2"/>
          <w:sz w:val="24"/>
          <w:szCs w:val="24"/>
        </w:rPr>
        <w:t>2</w:t>
      </w:r>
      <w:r>
        <w:rPr>
          <w:rFonts w:hint="eastAsia" w:eastAsia="仿宋"/>
          <w:spacing w:val="-2"/>
          <w:sz w:val="24"/>
          <w:szCs w:val="24"/>
          <w:lang w:val="en-US" w:eastAsia="zh-CN"/>
        </w:rPr>
        <w:t>7</w:t>
      </w:r>
      <w:r>
        <w:rPr>
          <w:rFonts w:eastAsia="仿宋"/>
          <w:spacing w:val="-2"/>
          <w:sz w:val="24"/>
          <w:szCs w:val="24"/>
        </w:rPr>
        <w:t>.3.8响应文件的澄清</w:t>
      </w:r>
    </w:p>
    <w:p w14:paraId="10991B59">
      <w:pPr>
        <w:spacing w:line="360" w:lineRule="auto"/>
        <w:ind w:firstLine="472" w:firstLineChars="200"/>
        <w:rPr>
          <w:rFonts w:eastAsia="仿宋"/>
          <w:spacing w:val="-2"/>
          <w:sz w:val="24"/>
          <w:szCs w:val="24"/>
        </w:rPr>
      </w:pPr>
      <w:r>
        <w:rPr>
          <w:rFonts w:eastAsia="仿宋"/>
          <w:spacing w:val="-2"/>
          <w:sz w:val="24"/>
          <w:szCs w:val="24"/>
        </w:rPr>
        <w:t>2</w:t>
      </w:r>
      <w:r>
        <w:rPr>
          <w:rFonts w:hint="eastAsia" w:eastAsia="仿宋"/>
          <w:spacing w:val="-2"/>
          <w:sz w:val="24"/>
          <w:szCs w:val="24"/>
          <w:lang w:val="en-US" w:eastAsia="zh-CN"/>
        </w:rPr>
        <w:t>7</w:t>
      </w:r>
      <w:r>
        <w:rPr>
          <w:rFonts w:eastAsia="仿宋"/>
          <w:spacing w:val="-2"/>
          <w:sz w:val="24"/>
          <w:szCs w:val="24"/>
        </w:rPr>
        <w:t>.3.8.1为有助于对响应文件进行审查、评估和比较，采购方组建的磋商小组将对认为需要（不是每一个）的供应商进行询标，请供应商澄清其磋商内容，供应商有责任按照采购方通知的时间、地点指派专人进行答疑和澄清。询标时供应商代表应作书面记录，所有澄清的答复必须是书面形式。</w:t>
      </w:r>
    </w:p>
    <w:p w14:paraId="5CBAE518">
      <w:pPr>
        <w:spacing w:line="360" w:lineRule="auto"/>
        <w:ind w:firstLine="472" w:firstLineChars="200"/>
        <w:rPr>
          <w:rFonts w:eastAsia="仿宋"/>
          <w:spacing w:val="-2"/>
          <w:sz w:val="24"/>
          <w:szCs w:val="24"/>
        </w:rPr>
      </w:pPr>
      <w:r>
        <w:rPr>
          <w:rFonts w:eastAsia="仿宋"/>
          <w:spacing w:val="-2"/>
          <w:sz w:val="24"/>
          <w:szCs w:val="24"/>
        </w:rPr>
        <w:t>2</w:t>
      </w:r>
      <w:r>
        <w:rPr>
          <w:rFonts w:hint="eastAsia" w:eastAsia="仿宋"/>
          <w:spacing w:val="-2"/>
          <w:sz w:val="24"/>
          <w:szCs w:val="24"/>
          <w:lang w:val="en-US" w:eastAsia="zh-CN"/>
        </w:rPr>
        <w:t>7</w:t>
      </w:r>
      <w:r>
        <w:rPr>
          <w:rFonts w:eastAsia="仿宋"/>
          <w:spacing w:val="-2"/>
          <w:sz w:val="24"/>
          <w:szCs w:val="24"/>
        </w:rPr>
        <w:t>.3.8.2重要澄清的答复应是书面的，但不得对磋商的价格、技术指标和参数等内容进行实质性修改。澄清文件须由供应商法定代表人或法人授权代表签章和加盖供应商公章并作为响应文件的组成部分。</w:t>
      </w:r>
    </w:p>
    <w:p w14:paraId="08F3B9AA">
      <w:pPr>
        <w:spacing w:line="360" w:lineRule="auto"/>
        <w:ind w:firstLine="472" w:firstLineChars="200"/>
        <w:rPr>
          <w:rFonts w:eastAsia="仿宋"/>
          <w:spacing w:val="-2"/>
          <w:sz w:val="24"/>
          <w:szCs w:val="24"/>
        </w:rPr>
      </w:pPr>
      <w:r>
        <w:rPr>
          <w:rFonts w:eastAsia="仿宋"/>
          <w:spacing w:val="-2"/>
          <w:sz w:val="24"/>
          <w:szCs w:val="24"/>
        </w:rPr>
        <w:t>2</w:t>
      </w:r>
      <w:r>
        <w:rPr>
          <w:rFonts w:hint="eastAsia" w:eastAsia="仿宋"/>
          <w:spacing w:val="-2"/>
          <w:sz w:val="24"/>
          <w:szCs w:val="24"/>
          <w:lang w:val="en-US" w:eastAsia="zh-CN"/>
        </w:rPr>
        <w:t>7</w:t>
      </w:r>
      <w:r>
        <w:rPr>
          <w:rFonts w:eastAsia="仿宋"/>
          <w:spacing w:val="-2"/>
          <w:sz w:val="24"/>
          <w:szCs w:val="24"/>
        </w:rPr>
        <w:t>.3.8.3供应商的澄清不得对磋商内容进行实质性修改。</w:t>
      </w:r>
    </w:p>
    <w:p w14:paraId="09267079">
      <w:pPr>
        <w:spacing w:line="360" w:lineRule="auto"/>
        <w:ind w:firstLine="562" w:firstLineChars="200"/>
        <w:jc w:val="center"/>
        <w:rPr>
          <w:rFonts w:eastAsia="仿宋"/>
          <w:b/>
          <w:bCs/>
          <w:sz w:val="28"/>
          <w:szCs w:val="28"/>
        </w:rPr>
      </w:pPr>
      <w:r>
        <w:rPr>
          <w:rFonts w:eastAsia="仿宋"/>
          <w:b/>
          <w:bCs/>
          <w:sz w:val="28"/>
          <w:szCs w:val="28"/>
        </w:rPr>
        <w:t>资格审查标准</w:t>
      </w:r>
    </w:p>
    <w:tbl>
      <w:tblPr>
        <w:tblStyle w:val="21"/>
        <w:tblW w:w="5557" w:type="pct"/>
        <w:tblInd w:w="-66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3"/>
        <w:gridCol w:w="4345"/>
        <w:gridCol w:w="4653"/>
      </w:tblGrid>
      <w:tr w14:paraId="7B107D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235" w:type="pct"/>
            <w:vAlign w:val="center"/>
          </w:tcPr>
          <w:p w14:paraId="22B590E6">
            <w:pPr>
              <w:snapToGrid w:val="0"/>
              <w:rPr>
                <w:rFonts w:eastAsia="仿宋"/>
                <w:bCs/>
                <w:szCs w:val="21"/>
              </w:rPr>
            </w:pPr>
            <w:r>
              <w:rPr>
                <w:rFonts w:eastAsia="仿宋"/>
                <w:b/>
                <w:szCs w:val="21"/>
              </w:rPr>
              <w:t>序号</w:t>
            </w:r>
          </w:p>
        </w:tc>
        <w:tc>
          <w:tcPr>
            <w:tcW w:w="2301" w:type="pct"/>
            <w:vAlign w:val="center"/>
          </w:tcPr>
          <w:p w14:paraId="2A849136">
            <w:pPr>
              <w:pStyle w:val="54"/>
              <w:adjustRightInd w:val="0"/>
              <w:snapToGrid w:val="0"/>
              <w:jc w:val="center"/>
              <w:rPr>
                <w:rFonts w:eastAsia="仿宋"/>
                <w:b/>
                <w:bCs/>
                <w:sz w:val="21"/>
                <w:szCs w:val="21"/>
              </w:rPr>
            </w:pPr>
            <w:r>
              <w:rPr>
                <w:rFonts w:eastAsia="仿宋"/>
                <w:b/>
                <w:bCs/>
                <w:sz w:val="21"/>
                <w:szCs w:val="21"/>
              </w:rPr>
              <w:t>审查要求</w:t>
            </w:r>
          </w:p>
        </w:tc>
        <w:tc>
          <w:tcPr>
            <w:tcW w:w="2463" w:type="pct"/>
            <w:vAlign w:val="center"/>
          </w:tcPr>
          <w:p w14:paraId="3AC38D4C">
            <w:pPr>
              <w:pStyle w:val="54"/>
              <w:adjustRightInd w:val="0"/>
              <w:snapToGrid w:val="0"/>
              <w:jc w:val="center"/>
              <w:rPr>
                <w:rFonts w:eastAsia="仿宋"/>
                <w:b/>
                <w:bCs/>
                <w:sz w:val="21"/>
                <w:szCs w:val="21"/>
              </w:rPr>
            </w:pPr>
            <w:r>
              <w:rPr>
                <w:rFonts w:eastAsia="仿宋"/>
                <w:b/>
                <w:bCs/>
                <w:sz w:val="21"/>
                <w:szCs w:val="21"/>
              </w:rPr>
              <w:t>审查内容和审查标准</w:t>
            </w:r>
          </w:p>
        </w:tc>
      </w:tr>
      <w:tr w14:paraId="4EEB6E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235" w:type="pct"/>
            <w:vAlign w:val="center"/>
          </w:tcPr>
          <w:p w14:paraId="42B69EC7">
            <w:pPr>
              <w:snapToGrid w:val="0"/>
              <w:jc w:val="center"/>
              <w:rPr>
                <w:rFonts w:eastAsia="仿宋"/>
                <w:szCs w:val="21"/>
              </w:rPr>
            </w:pPr>
            <w:r>
              <w:rPr>
                <w:rFonts w:eastAsia="仿宋"/>
                <w:szCs w:val="21"/>
              </w:rPr>
              <w:t>1</w:t>
            </w:r>
          </w:p>
        </w:tc>
        <w:tc>
          <w:tcPr>
            <w:tcW w:w="2301" w:type="pct"/>
            <w:vAlign w:val="center"/>
          </w:tcPr>
          <w:p w14:paraId="72F5FD73">
            <w:pPr>
              <w:pStyle w:val="54"/>
              <w:adjustRightInd w:val="0"/>
              <w:snapToGrid w:val="0"/>
              <w:jc w:val="center"/>
              <w:rPr>
                <w:rFonts w:eastAsia="仿宋"/>
                <w:sz w:val="21"/>
                <w:szCs w:val="21"/>
              </w:rPr>
            </w:pPr>
            <w:r>
              <w:rPr>
                <w:rFonts w:eastAsia="仿宋"/>
                <w:sz w:val="21"/>
                <w:szCs w:val="21"/>
              </w:rPr>
              <w:t>具有独立承担民事责任的能力</w:t>
            </w:r>
          </w:p>
        </w:tc>
        <w:tc>
          <w:tcPr>
            <w:tcW w:w="2463" w:type="pct"/>
            <w:vAlign w:val="center"/>
          </w:tcPr>
          <w:p w14:paraId="620917B7">
            <w:pPr>
              <w:pStyle w:val="54"/>
              <w:adjustRightInd w:val="0"/>
              <w:snapToGrid w:val="0"/>
              <w:rPr>
                <w:rFonts w:eastAsia="仿宋"/>
                <w:sz w:val="21"/>
                <w:szCs w:val="21"/>
              </w:rPr>
            </w:pPr>
            <w:r>
              <w:rPr>
                <w:rFonts w:eastAsia="仿宋"/>
                <w:sz w:val="21"/>
                <w:szCs w:val="21"/>
              </w:rPr>
              <w:t>供应商为企业（包括合伙企业）的，应提供有效的“营业执照”；供应商是非企业机构的，应提供有效的“执业许可证”、“登记证书”等证明文件;供应商是个体工商户的，应提供有效的“个体工商户营业执照”；供应商是自然人的，应提供有效的自然人身份证明。”（上述资料须复印件加盖印章）</w:t>
            </w:r>
          </w:p>
          <w:p w14:paraId="11DFB9E6">
            <w:pPr>
              <w:pStyle w:val="54"/>
              <w:adjustRightInd w:val="0"/>
              <w:snapToGrid w:val="0"/>
              <w:rPr>
                <w:rFonts w:eastAsia="仿宋"/>
                <w:sz w:val="21"/>
                <w:szCs w:val="21"/>
              </w:rPr>
            </w:pPr>
            <w:r>
              <w:rPr>
                <w:rFonts w:eastAsia="仿宋"/>
                <w:sz w:val="21"/>
                <w:szCs w:val="21"/>
              </w:rPr>
              <w:t>分支机构参加投标的，应提供该分支机构或其所属法人/其他组织的相应证明文件；同时还应提供其所属法人/其他组织出具的授权其参与本项目的授权书（格式自拟，须加盖其所属法人/其他组织的印章）；对于银行、保险、石油石化、电力、电信等行业的分支机构，可以提供上述授权，也可以提供其所属法人/其他组织的有关文件或制度等能够证明授权其独立开展业务的证明材料。</w:t>
            </w:r>
          </w:p>
        </w:tc>
      </w:tr>
      <w:tr w14:paraId="5E9E3F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235" w:type="pct"/>
            <w:vAlign w:val="center"/>
          </w:tcPr>
          <w:p w14:paraId="38E96C65">
            <w:pPr>
              <w:snapToGrid w:val="0"/>
              <w:jc w:val="center"/>
              <w:rPr>
                <w:rFonts w:eastAsia="仿宋"/>
                <w:szCs w:val="21"/>
              </w:rPr>
            </w:pPr>
            <w:r>
              <w:rPr>
                <w:rFonts w:eastAsia="仿宋"/>
                <w:szCs w:val="21"/>
              </w:rPr>
              <w:t>2</w:t>
            </w:r>
          </w:p>
        </w:tc>
        <w:tc>
          <w:tcPr>
            <w:tcW w:w="2301" w:type="pct"/>
            <w:vAlign w:val="center"/>
          </w:tcPr>
          <w:p w14:paraId="6DF034B5">
            <w:pPr>
              <w:pStyle w:val="54"/>
              <w:adjustRightInd w:val="0"/>
              <w:snapToGrid w:val="0"/>
              <w:jc w:val="center"/>
              <w:rPr>
                <w:rFonts w:eastAsia="仿宋"/>
                <w:sz w:val="21"/>
                <w:szCs w:val="21"/>
              </w:rPr>
            </w:pPr>
            <w:r>
              <w:rPr>
                <w:rFonts w:eastAsia="仿宋"/>
                <w:sz w:val="21"/>
                <w:szCs w:val="21"/>
              </w:rPr>
              <w:t>具有良好的商业信誉和健全的财务会计制度</w:t>
            </w:r>
          </w:p>
        </w:tc>
        <w:tc>
          <w:tcPr>
            <w:tcW w:w="2463" w:type="pct"/>
            <w:vAlign w:val="center"/>
          </w:tcPr>
          <w:p w14:paraId="3322F1AD">
            <w:pPr>
              <w:pStyle w:val="54"/>
              <w:adjustRightInd w:val="0"/>
              <w:snapToGrid w:val="0"/>
              <w:rPr>
                <w:rFonts w:eastAsia="仿宋"/>
                <w:sz w:val="21"/>
                <w:szCs w:val="21"/>
              </w:rPr>
            </w:pPr>
            <w:r>
              <w:rPr>
                <w:rFonts w:hint="eastAsia" w:eastAsia="仿宋"/>
                <w:sz w:val="21"/>
                <w:szCs w:val="21"/>
              </w:rPr>
              <w:t>须提供本单位上一年度（2024年度或2025年度）的财务审计报告或财务报表或提供开标日前三个月内银行出具的资信证明；（供应商成立不足一年的提供截止开标前近3个月任意一个月的财务报表和截止开标前近1个月基本开户银行出具的资信证明）</w:t>
            </w:r>
          </w:p>
        </w:tc>
      </w:tr>
      <w:tr w14:paraId="56607C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3" w:hRule="atLeast"/>
        </w:trPr>
        <w:tc>
          <w:tcPr>
            <w:tcW w:w="235" w:type="pct"/>
            <w:vAlign w:val="center"/>
          </w:tcPr>
          <w:p w14:paraId="77EF7BC8">
            <w:pPr>
              <w:snapToGrid w:val="0"/>
              <w:jc w:val="center"/>
              <w:rPr>
                <w:rFonts w:eastAsia="仿宋"/>
                <w:szCs w:val="21"/>
              </w:rPr>
            </w:pPr>
            <w:r>
              <w:rPr>
                <w:rFonts w:eastAsia="仿宋"/>
                <w:szCs w:val="21"/>
              </w:rPr>
              <w:t>3</w:t>
            </w:r>
          </w:p>
        </w:tc>
        <w:tc>
          <w:tcPr>
            <w:tcW w:w="2301" w:type="pct"/>
            <w:vAlign w:val="center"/>
          </w:tcPr>
          <w:p w14:paraId="396CAFCD">
            <w:pPr>
              <w:pStyle w:val="54"/>
              <w:adjustRightInd w:val="0"/>
              <w:snapToGrid w:val="0"/>
              <w:jc w:val="center"/>
              <w:rPr>
                <w:rFonts w:eastAsia="仿宋"/>
                <w:sz w:val="21"/>
                <w:szCs w:val="21"/>
              </w:rPr>
            </w:pPr>
            <w:r>
              <w:rPr>
                <w:rFonts w:eastAsia="仿宋"/>
                <w:sz w:val="21"/>
                <w:szCs w:val="21"/>
              </w:rPr>
              <w:t>具有履行合同所必需的设备和专业技术能力</w:t>
            </w:r>
          </w:p>
        </w:tc>
        <w:tc>
          <w:tcPr>
            <w:tcW w:w="2463" w:type="pct"/>
            <w:vAlign w:val="center"/>
          </w:tcPr>
          <w:p w14:paraId="19A126F6">
            <w:pPr>
              <w:pStyle w:val="54"/>
              <w:adjustRightInd w:val="0"/>
              <w:snapToGrid w:val="0"/>
              <w:rPr>
                <w:rFonts w:eastAsia="仿宋"/>
                <w:sz w:val="21"/>
                <w:szCs w:val="21"/>
              </w:rPr>
            </w:pPr>
            <w:r>
              <w:rPr>
                <w:rFonts w:eastAsia="仿宋"/>
                <w:sz w:val="21"/>
                <w:szCs w:val="21"/>
              </w:rPr>
              <w:t>须提供具备履行合同所必需的设备和专业技术能力的证明材料或承诺书；</w:t>
            </w:r>
          </w:p>
        </w:tc>
      </w:tr>
      <w:tr w14:paraId="541C00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2" w:hRule="atLeast"/>
        </w:trPr>
        <w:tc>
          <w:tcPr>
            <w:tcW w:w="235" w:type="pct"/>
            <w:vAlign w:val="center"/>
          </w:tcPr>
          <w:p w14:paraId="4EA40248">
            <w:pPr>
              <w:snapToGrid w:val="0"/>
              <w:jc w:val="center"/>
              <w:rPr>
                <w:rFonts w:eastAsia="仿宋"/>
                <w:szCs w:val="21"/>
              </w:rPr>
            </w:pPr>
            <w:r>
              <w:rPr>
                <w:rFonts w:eastAsia="仿宋"/>
                <w:szCs w:val="21"/>
              </w:rPr>
              <w:t>4</w:t>
            </w:r>
          </w:p>
        </w:tc>
        <w:tc>
          <w:tcPr>
            <w:tcW w:w="2301" w:type="pct"/>
            <w:vAlign w:val="center"/>
          </w:tcPr>
          <w:p w14:paraId="04F85AA1">
            <w:pPr>
              <w:pStyle w:val="20"/>
              <w:adjustRightInd w:val="0"/>
              <w:snapToGrid w:val="0"/>
              <w:jc w:val="center"/>
              <w:rPr>
                <w:rFonts w:ascii="Times New Roman" w:hAnsi="Times New Roman" w:eastAsia="仿宋" w:cs="Times New Roman"/>
                <w:sz w:val="21"/>
                <w:szCs w:val="21"/>
              </w:rPr>
            </w:pPr>
            <w:r>
              <w:rPr>
                <w:rFonts w:ascii="Times New Roman" w:hAnsi="Times New Roman" w:eastAsia="仿宋" w:cs="Times New Roman"/>
                <w:sz w:val="21"/>
                <w:szCs w:val="21"/>
              </w:rPr>
              <w:t>有依法缴纳税收和依法缴纳社会保障资金的记录</w:t>
            </w:r>
          </w:p>
        </w:tc>
        <w:tc>
          <w:tcPr>
            <w:tcW w:w="2463" w:type="pct"/>
            <w:vAlign w:val="center"/>
          </w:tcPr>
          <w:p w14:paraId="46B97721">
            <w:pPr>
              <w:pStyle w:val="20"/>
              <w:adjustRightInd w:val="0"/>
              <w:snapToGrid w:val="0"/>
              <w:jc w:val="both"/>
              <w:rPr>
                <w:rFonts w:ascii="Times New Roman" w:hAnsi="Times New Roman" w:eastAsia="仿宋" w:cs="Times New Roman"/>
                <w:sz w:val="21"/>
                <w:szCs w:val="21"/>
              </w:rPr>
            </w:pPr>
            <w:r>
              <w:rPr>
                <w:rFonts w:ascii="Times New Roman" w:hAnsi="Times New Roman" w:eastAsia="仿宋" w:cs="Times New Roman"/>
                <w:sz w:val="21"/>
                <w:szCs w:val="21"/>
              </w:rPr>
              <w:t>须提供响应文件递交截止日期之前6个月内任意一个月的完税证明及缴纳社保记录；（依法免税、依法不需要缴纳社会保障资金的应提供相应文件说明）</w:t>
            </w:r>
          </w:p>
        </w:tc>
      </w:tr>
      <w:tr w14:paraId="5B489F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trPr>
        <w:tc>
          <w:tcPr>
            <w:tcW w:w="235" w:type="pct"/>
            <w:vAlign w:val="center"/>
          </w:tcPr>
          <w:p w14:paraId="51393075">
            <w:pPr>
              <w:snapToGrid w:val="0"/>
              <w:jc w:val="center"/>
              <w:rPr>
                <w:rFonts w:eastAsia="仿宋"/>
                <w:szCs w:val="21"/>
              </w:rPr>
            </w:pPr>
            <w:r>
              <w:rPr>
                <w:rFonts w:eastAsia="仿宋"/>
                <w:szCs w:val="21"/>
              </w:rPr>
              <w:t>5</w:t>
            </w:r>
          </w:p>
        </w:tc>
        <w:tc>
          <w:tcPr>
            <w:tcW w:w="2301" w:type="pct"/>
            <w:vAlign w:val="center"/>
          </w:tcPr>
          <w:p w14:paraId="1A04C947">
            <w:pPr>
              <w:pStyle w:val="20"/>
              <w:adjustRightInd w:val="0"/>
              <w:snapToGrid w:val="0"/>
              <w:jc w:val="center"/>
              <w:rPr>
                <w:rFonts w:ascii="Times New Roman" w:hAnsi="Times New Roman" w:eastAsia="仿宋" w:cs="Times New Roman"/>
                <w:sz w:val="21"/>
                <w:szCs w:val="21"/>
              </w:rPr>
            </w:pPr>
            <w:r>
              <w:rPr>
                <w:rFonts w:ascii="Times New Roman" w:hAnsi="Times New Roman" w:eastAsia="仿宋" w:cs="Times New Roman"/>
                <w:sz w:val="21"/>
                <w:szCs w:val="21"/>
              </w:rPr>
              <w:t>参加政府采购活动前三年内，在经营活动中没有重大违法记录</w:t>
            </w:r>
          </w:p>
        </w:tc>
        <w:tc>
          <w:tcPr>
            <w:tcW w:w="2463" w:type="pct"/>
            <w:vAlign w:val="center"/>
          </w:tcPr>
          <w:p w14:paraId="44AA7B4A">
            <w:pPr>
              <w:pStyle w:val="20"/>
              <w:adjustRightInd w:val="0"/>
              <w:snapToGrid w:val="0"/>
              <w:jc w:val="both"/>
              <w:rPr>
                <w:rFonts w:ascii="Times New Roman" w:hAnsi="Times New Roman" w:eastAsia="仿宋" w:cs="Times New Roman"/>
                <w:color w:val="000000"/>
                <w:sz w:val="21"/>
                <w:szCs w:val="21"/>
              </w:rPr>
            </w:pPr>
            <w:r>
              <w:rPr>
                <w:rFonts w:ascii="Times New Roman" w:hAnsi="Times New Roman" w:eastAsia="仿宋" w:cs="Times New Roman"/>
                <w:sz w:val="21"/>
                <w:szCs w:val="21"/>
              </w:rPr>
              <w:t>须提供供应商声明函原件扫描件</w:t>
            </w:r>
          </w:p>
        </w:tc>
      </w:tr>
      <w:tr w14:paraId="5C1C40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trPr>
        <w:tc>
          <w:tcPr>
            <w:tcW w:w="235" w:type="pct"/>
            <w:vAlign w:val="center"/>
          </w:tcPr>
          <w:p w14:paraId="0C102ECA">
            <w:pPr>
              <w:snapToGrid w:val="0"/>
              <w:jc w:val="center"/>
              <w:rPr>
                <w:rFonts w:eastAsia="仿宋"/>
                <w:szCs w:val="21"/>
              </w:rPr>
            </w:pPr>
            <w:r>
              <w:rPr>
                <w:rFonts w:eastAsia="仿宋"/>
                <w:szCs w:val="21"/>
              </w:rPr>
              <w:t>6</w:t>
            </w:r>
          </w:p>
        </w:tc>
        <w:tc>
          <w:tcPr>
            <w:tcW w:w="2301" w:type="pct"/>
            <w:vAlign w:val="center"/>
          </w:tcPr>
          <w:p w14:paraId="63DFA4E4">
            <w:pPr>
              <w:pStyle w:val="54"/>
              <w:adjustRightInd w:val="0"/>
              <w:snapToGrid w:val="0"/>
              <w:jc w:val="center"/>
              <w:rPr>
                <w:rFonts w:eastAsia="仿宋"/>
                <w:sz w:val="21"/>
                <w:szCs w:val="21"/>
              </w:rPr>
            </w:pPr>
            <w:r>
              <w:rPr>
                <w:rFonts w:eastAsia="仿宋"/>
                <w:color w:val="000000"/>
                <w:sz w:val="21"/>
                <w:szCs w:val="21"/>
              </w:rPr>
              <w:t>法律、行政法规规定的其他条件</w:t>
            </w:r>
          </w:p>
        </w:tc>
        <w:tc>
          <w:tcPr>
            <w:tcW w:w="2463" w:type="pct"/>
            <w:vAlign w:val="center"/>
          </w:tcPr>
          <w:p w14:paraId="15C5B0CC">
            <w:pPr>
              <w:pStyle w:val="54"/>
              <w:adjustRightInd w:val="0"/>
              <w:snapToGrid w:val="0"/>
              <w:rPr>
                <w:rFonts w:eastAsia="仿宋"/>
                <w:sz w:val="21"/>
                <w:szCs w:val="21"/>
              </w:rPr>
            </w:pPr>
            <w:r>
              <w:rPr>
                <w:rFonts w:eastAsia="仿宋"/>
                <w:color w:val="000000"/>
                <w:sz w:val="21"/>
                <w:szCs w:val="21"/>
              </w:rPr>
              <w:t>提供承诺函</w:t>
            </w:r>
          </w:p>
        </w:tc>
      </w:tr>
      <w:tr w14:paraId="614207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trPr>
        <w:tc>
          <w:tcPr>
            <w:tcW w:w="235" w:type="pct"/>
            <w:vAlign w:val="center"/>
          </w:tcPr>
          <w:p w14:paraId="42D5DAEE">
            <w:pPr>
              <w:snapToGrid w:val="0"/>
              <w:jc w:val="center"/>
              <w:rPr>
                <w:rFonts w:eastAsia="仿宋"/>
                <w:szCs w:val="21"/>
              </w:rPr>
            </w:pPr>
            <w:r>
              <w:rPr>
                <w:rFonts w:hint="eastAsia" w:eastAsia="仿宋"/>
                <w:szCs w:val="21"/>
              </w:rPr>
              <w:t>7</w:t>
            </w:r>
          </w:p>
        </w:tc>
        <w:tc>
          <w:tcPr>
            <w:tcW w:w="2301" w:type="pct"/>
            <w:vAlign w:val="center"/>
          </w:tcPr>
          <w:p w14:paraId="213CB03C">
            <w:pPr>
              <w:pStyle w:val="54"/>
              <w:wordWrap w:val="0"/>
              <w:adjustRightInd w:val="0"/>
              <w:snapToGrid w:val="0"/>
              <w:jc w:val="center"/>
              <w:rPr>
                <w:rFonts w:eastAsia="仿宋"/>
                <w:sz w:val="21"/>
                <w:szCs w:val="21"/>
              </w:rPr>
            </w:pPr>
            <w:r>
              <w:rPr>
                <w:rFonts w:eastAsia="仿宋"/>
                <w:sz w:val="21"/>
                <w:szCs w:val="21"/>
              </w:rPr>
              <w:t>在“信用中国”（www.creditchina.gov.cn）和中国政府采购网（www.ccgp.gov.cn）网站上未被列入失信被执行人、重大税收违法案件当事人名单以及政府采购严重违法失信行为记录名单（查询时间为自公告发布之日后）</w:t>
            </w:r>
          </w:p>
        </w:tc>
        <w:tc>
          <w:tcPr>
            <w:tcW w:w="2463" w:type="pct"/>
            <w:vAlign w:val="center"/>
          </w:tcPr>
          <w:p w14:paraId="3041A41F">
            <w:pPr>
              <w:pStyle w:val="54"/>
              <w:adjustRightInd w:val="0"/>
              <w:snapToGrid w:val="0"/>
              <w:rPr>
                <w:rFonts w:eastAsia="仿宋"/>
                <w:sz w:val="21"/>
                <w:szCs w:val="21"/>
              </w:rPr>
            </w:pPr>
            <w:r>
              <w:rPr>
                <w:rFonts w:eastAsia="仿宋"/>
                <w:sz w:val="21"/>
                <w:szCs w:val="21"/>
              </w:rPr>
              <w:t>提供查询结果的网页打印页作为查询记录和证据，与其他采购文件一并保存。查询结果以采购人或采购代理机构查询结果为准。</w:t>
            </w:r>
          </w:p>
        </w:tc>
      </w:tr>
      <w:tr w14:paraId="5F4F99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35" w:type="pct"/>
            <w:vAlign w:val="center"/>
          </w:tcPr>
          <w:p w14:paraId="3D1A92AE">
            <w:pPr>
              <w:snapToGrid w:val="0"/>
              <w:jc w:val="center"/>
              <w:rPr>
                <w:rFonts w:eastAsia="仿宋"/>
                <w:szCs w:val="21"/>
              </w:rPr>
            </w:pPr>
            <w:r>
              <w:rPr>
                <w:rFonts w:hint="eastAsia" w:eastAsia="仿宋"/>
                <w:szCs w:val="21"/>
              </w:rPr>
              <w:t>8</w:t>
            </w:r>
          </w:p>
        </w:tc>
        <w:tc>
          <w:tcPr>
            <w:tcW w:w="2301" w:type="pct"/>
            <w:vAlign w:val="center"/>
          </w:tcPr>
          <w:p w14:paraId="3F79F9AC">
            <w:pPr>
              <w:pStyle w:val="54"/>
              <w:adjustRightInd w:val="0"/>
              <w:snapToGrid w:val="0"/>
              <w:jc w:val="center"/>
              <w:rPr>
                <w:rFonts w:eastAsia="仿宋"/>
                <w:sz w:val="21"/>
                <w:szCs w:val="21"/>
              </w:rPr>
            </w:pPr>
            <w:r>
              <w:rPr>
                <w:rFonts w:eastAsia="仿宋"/>
                <w:sz w:val="21"/>
                <w:szCs w:val="21"/>
              </w:rPr>
              <w:t>其他说明：（A）与采购人存在利害关系可能影响采购公正性的法人、其他组织或者个人，不得参加本次采购活动。（B）单位负责人为同一人或者存在直接控股、管理关系的不同供应商，不得参加同一合同项下的政府采购活动。除单一来源采购项目外，为采购项目提供整体设计、规范编制或者项目管理、监理、检测等服务的供应商，不得再参加该采购项目的其他采购活动。</w:t>
            </w:r>
          </w:p>
        </w:tc>
        <w:tc>
          <w:tcPr>
            <w:tcW w:w="2463" w:type="pct"/>
            <w:vAlign w:val="center"/>
          </w:tcPr>
          <w:p w14:paraId="456C1ADE">
            <w:pPr>
              <w:pStyle w:val="54"/>
              <w:adjustRightInd w:val="0"/>
              <w:snapToGrid w:val="0"/>
              <w:rPr>
                <w:rFonts w:eastAsia="仿宋"/>
                <w:sz w:val="21"/>
                <w:szCs w:val="21"/>
              </w:rPr>
            </w:pPr>
            <w:r>
              <w:rPr>
                <w:rFonts w:eastAsia="仿宋"/>
                <w:sz w:val="21"/>
                <w:szCs w:val="21"/>
              </w:rPr>
              <w:t>须提供供应商声明函原件扫描件</w:t>
            </w:r>
          </w:p>
        </w:tc>
      </w:tr>
      <w:tr w14:paraId="010DFD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1" w:hRule="atLeast"/>
        </w:trPr>
        <w:tc>
          <w:tcPr>
            <w:tcW w:w="235" w:type="pct"/>
            <w:vAlign w:val="center"/>
          </w:tcPr>
          <w:p w14:paraId="0BB72DF4">
            <w:pPr>
              <w:snapToGrid w:val="0"/>
              <w:jc w:val="center"/>
              <w:rPr>
                <w:rFonts w:eastAsia="仿宋"/>
                <w:szCs w:val="21"/>
              </w:rPr>
            </w:pPr>
            <w:r>
              <w:rPr>
                <w:rFonts w:hint="eastAsia" w:eastAsia="仿宋"/>
                <w:szCs w:val="21"/>
              </w:rPr>
              <w:t>9</w:t>
            </w:r>
          </w:p>
        </w:tc>
        <w:tc>
          <w:tcPr>
            <w:tcW w:w="2301" w:type="pct"/>
            <w:vAlign w:val="center"/>
          </w:tcPr>
          <w:p w14:paraId="0D6AAD3B">
            <w:pPr>
              <w:pStyle w:val="54"/>
              <w:adjustRightInd w:val="0"/>
              <w:snapToGrid w:val="0"/>
              <w:jc w:val="center"/>
              <w:rPr>
                <w:rFonts w:eastAsia="仿宋"/>
                <w:sz w:val="21"/>
                <w:szCs w:val="21"/>
              </w:rPr>
            </w:pPr>
            <w:r>
              <w:rPr>
                <w:rFonts w:eastAsia="仿宋"/>
                <w:sz w:val="21"/>
                <w:szCs w:val="21"/>
              </w:rPr>
              <w:t>落实政府采购政策需满足的资格要求</w:t>
            </w:r>
          </w:p>
        </w:tc>
        <w:tc>
          <w:tcPr>
            <w:tcW w:w="2463" w:type="pct"/>
            <w:vAlign w:val="center"/>
          </w:tcPr>
          <w:p w14:paraId="50845DC4">
            <w:pPr>
              <w:pStyle w:val="54"/>
              <w:adjustRightInd w:val="0"/>
              <w:snapToGrid w:val="0"/>
              <w:rPr>
                <w:rFonts w:eastAsia="仿宋"/>
                <w:sz w:val="21"/>
                <w:szCs w:val="21"/>
              </w:rPr>
            </w:pPr>
            <w:r>
              <w:rPr>
                <w:rFonts w:eastAsia="仿宋"/>
                <w:sz w:val="21"/>
                <w:szCs w:val="21"/>
              </w:rPr>
              <w:t>提供有效的《中小企业声明函》原件扫描件</w:t>
            </w:r>
          </w:p>
        </w:tc>
      </w:tr>
      <w:tr w14:paraId="0D6A86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1" w:hRule="atLeast"/>
        </w:trPr>
        <w:tc>
          <w:tcPr>
            <w:tcW w:w="5000" w:type="pct"/>
            <w:gridSpan w:val="3"/>
            <w:vAlign w:val="center"/>
          </w:tcPr>
          <w:p w14:paraId="10D318C9">
            <w:pPr>
              <w:snapToGrid w:val="0"/>
              <w:rPr>
                <w:rFonts w:eastAsia="仿宋"/>
                <w:szCs w:val="21"/>
              </w:rPr>
            </w:pPr>
            <w:r>
              <w:rPr>
                <w:rFonts w:eastAsia="仿宋"/>
                <w:szCs w:val="21"/>
              </w:rPr>
              <w:t>注：以上审查资料必须按要求提供，未按要求提供资料的供应商以及资格评审中有一项不满足审查标准的，</w:t>
            </w:r>
            <w:r>
              <w:rPr>
                <w:rFonts w:eastAsia="仿宋"/>
                <w:color w:val="000000"/>
                <w:szCs w:val="21"/>
              </w:rPr>
              <w:t>采购人或者采购代理机构应当</w:t>
            </w:r>
            <w:r>
              <w:rPr>
                <w:rFonts w:eastAsia="仿宋"/>
                <w:szCs w:val="21"/>
              </w:rPr>
              <w:t>认定该供应商不通过资格审查，不得进入下一阶段评审。如果造成供应商不足三个的，则认定本次招标的供应商数量没有竞争力，宣布本次招标失败。采购人将重新组织招标活动。</w:t>
            </w:r>
          </w:p>
        </w:tc>
      </w:tr>
    </w:tbl>
    <w:p w14:paraId="4AB7AE2A">
      <w:pPr>
        <w:spacing w:line="360" w:lineRule="auto"/>
        <w:ind w:firstLine="482" w:firstLineChars="200"/>
        <w:jc w:val="center"/>
        <w:rPr>
          <w:rFonts w:eastAsia="仿宋"/>
          <w:b/>
          <w:bCs/>
          <w:sz w:val="24"/>
          <w:szCs w:val="24"/>
        </w:rPr>
      </w:pPr>
    </w:p>
    <w:p w14:paraId="03A15D89">
      <w:pPr>
        <w:spacing w:line="360" w:lineRule="auto"/>
        <w:ind w:firstLine="482" w:firstLineChars="200"/>
        <w:jc w:val="center"/>
        <w:rPr>
          <w:rFonts w:eastAsia="仿宋"/>
          <w:b/>
          <w:bCs/>
          <w:sz w:val="24"/>
          <w:szCs w:val="24"/>
        </w:rPr>
      </w:pPr>
    </w:p>
    <w:p w14:paraId="608E0B83">
      <w:pPr>
        <w:spacing w:line="360" w:lineRule="auto"/>
        <w:ind w:firstLine="482" w:firstLineChars="200"/>
        <w:jc w:val="center"/>
        <w:rPr>
          <w:rFonts w:eastAsia="仿宋"/>
          <w:sz w:val="24"/>
          <w:szCs w:val="24"/>
        </w:rPr>
      </w:pPr>
      <w:r>
        <w:rPr>
          <w:rFonts w:eastAsia="仿宋"/>
          <w:b/>
          <w:bCs/>
          <w:sz w:val="24"/>
          <w:szCs w:val="24"/>
        </w:rPr>
        <w:t>初步评审－符合性检查表</w:t>
      </w:r>
    </w:p>
    <w:tbl>
      <w:tblPr>
        <w:tblStyle w:val="21"/>
        <w:tblW w:w="946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471"/>
        <w:gridCol w:w="625"/>
        <w:gridCol w:w="1421"/>
        <w:gridCol w:w="5536"/>
        <w:gridCol w:w="696"/>
        <w:gridCol w:w="717"/>
      </w:tblGrid>
      <w:tr w14:paraId="5C8581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09" w:hRule="atLeast"/>
          <w:jc w:val="center"/>
        </w:trPr>
        <w:tc>
          <w:tcPr>
            <w:tcW w:w="1096" w:type="dxa"/>
            <w:gridSpan w:val="2"/>
            <w:vMerge w:val="restart"/>
            <w:vAlign w:val="center"/>
          </w:tcPr>
          <w:p w14:paraId="445C8A04">
            <w:pPr>
              <w:jc w:val="center"/>
              <w:rPr>
                <w:rFonts w:eastAsia="仿宋"/>
                <w:b/>
                <w:bCs/>
                <w:szCs w:val="21"/>
              </w:rPr>
            </w:pPr>
            <w:bookmarkStart w:id="5" w:name="EBf97f626d7f2349dc98726a51f37130cf"/>
            <w:r>
              <w:rPr>
                <w:rFonts w:eastAsia="仿宋"/>
                <w:b/>
                <w:bCs/>
                <w:szCs w:val="21"/>
              </w:rPr>
              <w:t>评分因素</w:t>
            </w:r>
          </w:p>
        </w:tc>
        <w:tc>
          <w:tcPr>
            <w:tcW w:w="1421" w:type="dxa"/>
            <w:vMerge w:val="restart"/>
            <w:vAlign w:val="center"/>
          </w:tcPr>
          <w:p w14:paraId="2D2784BC">
            <w:pPr>
              <w:jc w:val="center"/>
              <w:rPr>
                <w:rFonts w:eastAsia="仿宋"/>
                <w:b/>
                <w:bCs/>
                <w:szCs w:val="21"/>
              </w:rPr>
            </w:pPr>
            <w:r>
              <w:rPr>
                <w:rFonts w:eastAsia="仿宋"/>
                <w:b/>
                <w:bCs/>
                <w:szCs w:val="21"/>
              </w:rPr>
              <w:t>评分点</w:t>
            </w:r>
          </w:p>
        </w:tc>
        <w:tc>
          <w:tcPr>
            <w:tcW w:w="5536" w:type="dxa"/>
            <w:vMerge w:val="restart"/>
            <w:vAlign w:val="center"/>
          </w:tcPr>
          <w:p w14:paraId="601BEC7F">
            <w:pPr>
              <w:jc w:val="center"/>
              <w:rPr>
                <w:rFonts w:eastAsia="仿宋"/>
                <w:b/>
                <w:bCs/>
                <w:szCs w:val="21"/>
              </w:rPr>
            </w:pPr>
            <w:r>
              <w:rPr>
                <w:rFonts w:eastAsia="仿宋"/>
                <w:b/>
                <w:bCs/>
                <w:szCs w:val="21"/>
              </w:rPr>
              <w:t>评分标准</w:t>
            </w:r>
          </w:p>
        </w:tc>
        <w:tc>
          <w:tcPr>
            <w:tcW w:w="1413" w:type="dxa"/>
            <w:gridSpan w:val="2"/>
            <w:vAlign w:val="center"/>
          </w:tcPr>
          <w:p w14:paraId="2A4CB9ED">
            <w:pPr>
              <w:jc w:val="center"/>
              <w:rPr>
                <w:rFonts w:eastAsia="仿宋"/>
                <w:b/>
                <w:bCs/>
                <w:szCs w:val="21"/>
              </w:rPr>
            </w:pPr>
            <w:r>
              <w:rPr>
                <w:rFonts w:eastAsia="仿宋"/>
                <w:b/>
                <w:bCs/>
                <w:szCs w:val="21"/>
              </w:rPr>
              <w:t>评审意见</w:t>
            </w:r>
          </w:p>
        </w:tc>
      </w:tr>
      <w:tr w14:paraId="01D2D5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36" w:hRule="atLeast"/>
          <w:jc w:val="center"/>
        </w:trPr>
        <w:tc>
          <w:tcPr>
            <w:tcW w:w="1096" w:type="dxa"/>
            <w:gridSpan w:val="2"/>
            <w:vMerge w:val="continue"/>
            <w:vAlign w:val="center"/>
          </w:tcPr>
          <w:p w14:paraId="08BC7162">
            <w:pPr>
              <w:jc w:val="center"/>
              <w:rPr>
                <w:rFonts w:eastAsia="仿宋"/>
                <w:b/>
                <w:bCs/>
                <w:szCs w:val="21"/>
              </w:rPr>
            </w:pPr>
          </w:p>
        </w:tc>
        <w:tc>
          <w:tcPr>
            <w:tcW w:w="1421" w:type="dxa"/>
            <w:vMerge w:val="continue"/>
            <w:vAlign w:val="center"/>
          </w:tcPr>
          <w:p w14:paraId="40567D1D">
            <w:pPr>
              <w:jc w:val="center"/>
              <w:rPr>
                <w:rFonts w:eastAsia="仿宋"/>
                <w:b/>
                <w:bCs/>
                <w:szCs w:val="21"/>
              </w:rPr>
            </w:pPr>
          </w:p>
        </w:tc>
        <w:tc>
          <w:tcPr>
            <w:tcW w:w="5536" w:type="dxa"/>
            <w:vMerge w:val="continue"/>
            <w:vAlign w:val="center"/>
          </w:tcPr>
          <w:p w14:paraId="510AAA6F">
            <w:pPr>
              <w:jc w:val="center"/>
              <w:rPr>
                <w:rFonts w:eastAsia="仿宋"/>
                <w:b/>
                <w:bCs/>
                <w:szCs w:val="21"/>
              </w:rPr>
            </w:pPr>
          </w:p>
        </w:tc>
        <w:tc>
          <w:tcPr>
            <w:tcW w:w="696" w:type="dxa"/>
            <w:vAlign w:val="center"/>
          </w:tcPr>
          <w:p w14:paraId="2139498E">
            <w:pPr>
              <w:jc w:val="center"/>
              <w:rPr>
                <w:rFonts w:eastAsia="仿宋"/>
                <w:b/>
                <w:bCs/>
                <w:szCs w:val="21"/>
              </w:rPr>
            </w:pPr>
            <w:r>
              <w:rPr>
                <w:rFonts w:eastAsia="仿宋"/>
                <w:b/>
                <w:bCs/>
                <w:szCs w:val="21"/>
              </w:rPr>
              <w:t>是</w:t>
            </w:r>
          </w:p>
          <w:p w14:paraId="2DC78F46">
            <w:pPr>
              <w:jc w:val="center"/>
              <w:rPr>
                <w:rFonts w:eastAsia="仿宋"/>
                <w:b/>
                <w:bCs/>
                <w:szCs w:val="21"/>
              </w:rPr>
            </w:pPr>
            <w:r>
              <w:rPr>
                <w:rFonts w:eastAsia="仿宋"/>
                <w:b/>
                <w:bCs/>
                <w:szCs w:val="21"/>
              </w:rPr>
              <w:t>（√）</w:t>
            </w:r>
          </w:p>
        </w:tc>
        <w:tc>
          <w:tcPr>
            <w:tcW w:w="717" w:type="dxa"/>
            <w:vAlign w:val="center"/>
          </w:tcPr>
          <w:p w14:paraId="5BD03D3B">
            <w:pPr>
              <w:jc w:val="center"/>
              <w:rPr>
                <w:rFonts w:eastAsia="仿宋"/>
                <w:b/>
                <w:bCs/>
                <w:szCs w:val="21"/>
              </w:rPr>
            </w:pPr>
            <w:r>
              <w:rPr>
                <w:rFonts w:eastAsia="仿宋"/>
                <w:b/>
                <w:bCs/>
                <w:szCs w:val="21"/>
              </w:rPr>
              <w:t>否</w:t>
            </w:r>
          </w:p>
          <w:p w14:paraId="5EC9E13D">
            <w:pPr>
              <w:jc w:val="center"/>
              <w:rPr>
                <w:rFonts w:eastAsia="仿宋"/>
                <w:b/>
                <w:bCs/>
                <w:szCs w:val="21"/>
              </w:rPr>
            </w:pPr>
            <w:r>
              <w:rPr>
                <w:rFonts w:eastAsia="仿宋"/>
                <w:b/>
                <w:bCs/>
                <w:szCs w:val="21"/>
              </w:rPr>
              <w:t>（×）</w:t>
            </w:r>
          </w:p>
        </w:tc>
      </w:tr>
      <w:tr w14:paraId="041FDB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71" w:hRule="atLeast"/>
          <w:jc w:val="center"/>
        </w:trPr>
        <w:tc>
          <w:tcPr>
            <w:tcW w:w="471" w:type="dxa"/>
            <w:vMerge w:val="restart"/>
            <w:vAlign w:val="center"/>
          </w:tcPr>
          <w:p w14:paraId="104513AB">
            <w:pPr>
              <w:jc w:val="center"/>
              <w:rPr>
                <w:rFonts w:eastAsia="仿宋"/>
                <w:b/>
                <w:bCs/>
                <w:szCs w:val="21"/>
              </w:rPr>
            </w:pPr>
            <w:r>
              <w:rPr>
                <w:rFonts w:eastAsia="仿宋"/>
                <w:b/>
                <w:bCs/>
                <w:szCs w:val="21"/>
              </w:rPr>
              <w:t>初步评审</w:t>
            </w:r>
          </w:p>
        </w:tc>
        <w:tc>
          <w:tcPr>
            <w:tcW w:w="625" w:type="dxa"/>
            <w:vMerge w:val="restart"/>
            <w:vAlign w:val="center"/>
          </w:tcPr>
          <w:p w14:paraId="451051D4">
            <w:pPr>
              <w:jc w:val="center"/>
              <w:rPr>
                <w:rFonts w:eastAsia="仿宋"/>
                <w:b/>
                <w:bCs/>
                <w:szCs w:val="21"/>
              </w:rPr>
            </w:pPr>
            <w:r>
              <w:rPr>
                <w:rFonts w:eastAsia="仿宋"/>
                <w:b/>
                <w:bCs/>
                <w:szCs w:val="21"/>
              </w:rPr>
              <w:t>符合性检查</w:t>
            </w:r>
          </w:p>
        </w:tc>
        <w:tc>
          <w:tcPr>
            <w:tcW w:w="1421" w:type="dxa"/>
            <w:vAlign w:val="center"/>
          </w:tcPr>
          <w:p w14:paraId="1E20002B">
            <w:pPr>
              <w:jc w:val="center"/>
              <w:rPr>
                <w:rFonts w:eastAsia="仿宋"/>
                <w:szCs w:val="21"/>
              </w:rPr>
            </w:pPr>
            <w:r>
              <w:rPr>
                <w:rFonts w:eastAsia="仿宋"/>
                <w:szCs w:val="21"/>
              </w:rPr>
              <w:t>磋商保证金</w:t>
            </w:r>
          </w:p>
        </w:tc>
        <w:tc>
          <w:tcPr>
            <w:tcW w:w="5536" w:type="dxa"/>
            <w:vAlign w:val="center"/>
          </w:tcPr>
          <w:p w14:paraId="4CB33668">
            <w:pPr>
              <w:rPr>
                <w:rFonts w:eastAsia="仿宋"/>
                <w:szCs w:val="21"/>
              </w:rPr>
            </w:pPr>
            <w:r>
              <w:rPr>
                <w:rFonts w:eastAsia="仿宋"/>
                <w:szCs w:val="21"/>
              </w:rPr>
              <w:t>按照磋商文件的规定提交磋商保证金的</w:t>
            </w:r>
          </w:p>
        </w:tc>
        <w:tc>
          <w:tcPr>
            <w:tcW w:w="696" w:type="dxa"/>
          </w:tcPr>
          <w:p w14:paraId="123B03E2">
            <w:pPr>
              <w:jc w:val="center"/>
              <w:rPr>
                <w:rFonts w:eastAsia="仿宋"/>
                <w:b/>
                <w:bCs/>
                <w:szCs w:val="21"/>
              </w:rPr>
            </w:pPr>
          </w:p>
        </w:tc>
        <w:tc>
          <w:tcPr>
            <w:tcW w:w="717" w:type="dxa"/>
            <w:vAlign w:val="center"/>
          </w:tcPr>
          <w:p w14:paraId="7D10AF3E">
            <w:pPr>
              <w:jc w:val="center"/>
              <w:rPr>
                <w:rFonts w:eastAsia="仿宋"/>
                <w:b/>
                <w:bCs/>
                <w:szCs w:val="21"/>
              </w:rPr>
            </w:pPr>
          </w:p>
        </w:tc>
      </w:tr>
      <w:tr w14:paraId="1E964D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76" w:hRule="atLeast"/>
          <w:jc w:val="center"/>
        </w:trPr>
        <w:tc>
          <w:tcPr>
            <w:tcW w:w="471" w:type="dxa"/>
            <w:vMerge w:val="continue"/>
          </w:tcPr>
          <w:p w14:paraId="5544FD6C">
            <w:pPr>
              <w:jc w:val="center"/>
              <w:rPr>
                <w:rFonts w:eastAsia="仿宋"/>
                <w:b/>
                <w:bCs/>
                <w:szCs w:val="21"/>
              </w:rPr>
            </w:pPr>
          </w:p>
        </w:tc>
        <w:tc>
          <w:tcPr>
            <w:tcW w:w="625" w:type="dxa"/>
            <w:vMerge w:val="continue"/>
            <w:vAlign w:val="center"/>
          </w:tcPr>
          <w:p w14:paraId="52BAE868">
            <w:pPr>
              <w:jc w:val="center"/>
              <w:rPr>
                <w:rFonts w:eastAsia="仿宋"/>
                <w:b/>
                <w:bCs/>
                <w:szCs w:val="21"/>
              </w:rPr>
            </w:pPr>
          </w:p>
        </w:tc>
        <w:tc>
          <w:tcPr>
            <w:tcW w:w="1421" w:type="dxa"/>
            <w:vAlign w:val="center"/>
          </w:tcPr>
          <w:p w14:paraId="6772C541">
            <w:pPr>
              <w:jc w:val="center"/>
              <w:rPr>
                <w:rFonts w:eastAsia="仿宋"/>
                <w:szCs w:val="21"/>
              </w:rPr>
            </w:pPr>
            <w:r>
              <w:rPr>
                <w:rFonts w:eastAsia="仿宋"/>
                <w:szCs w:val="21"/>
              </w:rPr>
              <w:t>磋商有效期</w:t>
            </w:r>
          </w:p>
        </w:tc>
        <w:tc>
          <w:tcPr>
            <w:tcW w:w="5536" w:type="dxa"/>
            <w:vAlign w:val="center"/>
          </w:tcPr>
          <w:p w14:paraId="390648E6">
            <w:pPr>
              <w:rPr>
                <w:rFonts w:eastAsia="仿宋"/>
                <w:szCs w:val="21"/>
              </w:rPr>
            </w:pPr>
            <w:r>
              <w:rPr>
                <w:rFonts w:eastAsia="仿宋"/>
                <w:szCs w:val="21"/>
              </w:rPr>
              <w:t>响应文件中承诺的磋商有效期满足竞争性磋商文件中的规定</w:t>
            </w:r>
          </w:p>
        </w:tc>
        <w:tc>
          <w:tcPr>
            <w:tcW w:w="696" w:type="dxa"/>
          </w:tcPr>
          <w:p w14:paraId="412763D1">
            <w:pPr>
              <w:jc w:val="center"/>
              <w:rPr>
                <w:rFonts w:eastAsia="仿宋"/>
                <w:b/>
                <w:bCs/>
                <w:szCs w:val="21"/>
              </w:rPr>
            </w:pPr>
          </w:p>
        </w:tc>
        <w:tc>
          <w:tcPr>
            <w:tcW w:w="717" w:type="dxa"/>
            <w:vAlign w:val="center"/>
          </w:tcPr>
          <w:p w14:paraId="1F2D0E9D">
            <w:pPr>
              <w:jc w:val="center"/>
              <w:rPr>
                <w:rFonts w:eastAsia="仿宋"/>
                <w:b/>
                <w:bCs/>
                <w:szCs w:val="21"/>
              </w:rPr>
            </w:pPr>
          </w:p>
        </w:tc>
      </w:tr>
      <w:tr w14:paraId="57498A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576" w:hRule="atLeast"/>
          <w:jc w:val="center"/>
        </w:trPr>
        <w:tc>
          <w:tcPr>
            <w:tcW w:w="471" w:type="dxa"/>
            <w:vMerge w:val="continue"/>
          </w:tcPr>
          <w:p w14:paraId="072E482E">
            <w:pPr>
              <w:jc w:val="center"/>
              <w:rPr>
                <w:rFonts w:eastAsia="仿宋"/>
                <w:b/>
                <w:bCs/>
                <w:szCs w:val="21"/>
              </w:rPr>
            </w:pPr>
          </w:p>
        </w:tc>
        <w:tc>
          <w:tcPr>
            <w:tcW w:w="625" w:type="dxa"/>
            <w:vMerge w:val="continue"/>
            <w:vAlign w:val="center"/>
          </w:tcPr>
          <w:p w14:paraId="1593C2E3">
            <w:pPr>
              <w:jc w:val="center"/>
              <w:rPr>
                <w:rFonts w:eastAsia="仿宋"/>
                <w:b/>
                <w:bCs/>
                <w:szCs w:val="21"/>
              </w:rPr>
            </w:pPr>
          </w:p>
        </w:tc>
        <w:tc>
          <w:tcPr>
            <w:tcW w:w="1421" w:type="dxa"/>
            <w:vAlign w:val="center"/>
          </w:tcPr>
          <w:p w14:paraId="60A83E74">
            <w:pPr>
              <w:jc w:val="center"/>
              <w:rPr>
                <w:rFonts w:eastAsia="仿宋"/>
                <w:szCs w:val="21"/>
              </w:rPr>
            </w:pPr>
            <w:r>
              <w:rPr>
                <w:rFonts w:eastAsia="仿宋"/>
                <w:szCs w:val="21"/>
              </w:rPr>
              <w:t>合同履约期限</w:t>
            </w:r>
          </w:p>
        </w:tc>
        <w:tc>
          <w:tcPr>
            <w:tcW w:w="5536" w:type="dxa"/>
            <w:vAlign w:val="center"/>
          </w:tcPr>
          <w:p w14:paraId="3170C6A0">
            <w:pPr>
              <w:rPr>
                <w:rFonts w:eastAsia="仿宋"/>
                <w:szCs w:val="21"/>
              </w:rPr>
            </w:pPr>
            <w:r>
              <w:rPr>
                <w:rFonts w:eastAsia="仿宋"/>
                <w:szCs w:val="21"/>
              </w:rPr>
              <w:t>响应文件中承诺的合同履约期限满足竞争性磋商文件中的规定</w:t>
            </w:r>
          </w:p>
        </w:tc>
        <w:tc>
          <w:tcPr>
            <w:tcW w:w="696" w:type="dxa"/>
          </w:tcPr>
          <w:p w14:paraId="4E80C3D6">
            <w:pPr>
              <w:jc w:val="center"/>
              <w:rPr>
                <w:rFonts w:eastAsia="仿宋"/>
                <w:b/>
                <w:bCs/>
                <w:szCs w:val="21"/>
              </w:rPr>
            </w:pPr>
          </w:p>
        </w:tc>
        <w:tc>
          <w:tcPr>
            <w:tcW w:w="717" w:type="dxa"/>
            <w:vAlign w:val="center"/>
          </w:tcPr>
          <w:p w14:paraId="3CE5CF2B">
            <w:pPr>
              <w:jc w:val="center"/>
              <w:rPr>
                <w:rFonts w:eastAsia="仿宋"/>
                <w:b/>
                <w:bCs/>
                <w:szCs w:val="21"/>
              </w:rPr>
            </w:pPr>
          </w:p>
        </w:tc>
      </w:tr>
      <w:tr w14:paraId="447BAA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623" w:hRule="atLeast"/>
          <w:jc w:val="center"/>
        </w:trPr>
        <w:tc>
          <w:tcPr>
            <w:tcW w:w="471" w:type="dxa"/>
            <w:vMerge w:val="continue"/>
          </w:tcPr>
          <w:p w14:paraId="3B42D27E">
            <w:pPr>
              <w:jc w:val="center"/>
              <w:rPr>
                <w:rFonts w:eastAsia="仿宋"/>
                <w:b/>
                <w:bCs/>
                <w:szCs w:val="21"/>
              </w:rPr>
            </w:pPr>
          </w:p>
        </w:tc>
        <w:tc>
          <w:tcPr>
            <w:tcW w:w="625" w:type="dxa"/>
            <w:vMerge w:val="continue"/>
            <w:vAlign w:val="center"/>
          </w:tcPr>
          <w:p w14:paraId="0D921294">
            <w:pPr>
              <w:jc w:val="center"/>
              <w:rPr>
                <w:rFonts w:eastAsia="仿宋"/>
                <w:b/>
                <w:bCs/>
                <w:szCs w:val="21"/>
              </w:rPr>
            </w:pPr>
          </w:p>
        </w:tc>
        <w:tc>
          <w:tcPr>
            <w:tcW w:w="1421" w:type="dxa"/>
            <w:vAlign w:val="center"/>
          </w:tcPr>
          <w:p w14:paraId="37DF7356">
            <w:pPr>
              <w:jc w:val="center"/>
              <w:rPr>
                <w:rFonts w:eastAsia="仿宋"/>
                <w:szCs w:val="21"/>
              </w:rPr>
            </w:pPr>
            <w:r>
              <w:rPr>
                <w:rFonts w:eastAsia="仿宋"/>
                <w:szCs w:val="21"/>
              </w:rPr>
              <w:t>响应文件签署、盖章</w:t>
            </w:r>
          </w:p>
        </w:tc>
        <w:tc>
          <w:tcPr>
            <w:tcW w:w="5536" w:type="dxa"/>
            <w:vAlign w:val="center"/>
          </w:tcPr>
          <w:p w14:paraId="12586D3B">
            <w:pPr>
              <w:rPr>
                <w:rFonts w:eastAsia="仿宋"/>
                <w:szCs w:val="21"/>
              </w:rPr>
            </w:pPr>
            <w:r>
              <w:rPr>
                <w:rFonts w:eastAsia="仿宋"/>
                <w:szCs w:val="21"/>
              </w:rPr>
              <w:t>响应文件是否按照竞争性磋商文件规定的要求签署、盖章</w:t>
            </w:r>
          </w:p>
        </w:tc>
        <w:tc>
          <w:tcPr>
            <w:tcW w:w="696" w:type="dxa"/>
          </w:tcPr>
          <w:p w14:paraId="656332BE">
            <w:pPr>
              <w:jc w:val="center"/>
              <w:rPr>
                <w:rFonts w:eastAsia="仿宋"/>
                <w:b/>
                <w:bCs/>
                <w:szCs w:val="21"/>
              </w:rPr>
            </w:pPr>
          </w:p>
        </w:tc>
        <w:tc>
          <w:tcPr>
            <w:tcW w:w="717" w:type="dxa"/>
            <w:vAlign w:val="center"/>
          </w:tcPr>
          <w:p w14:paraId="299E99B6">
            <w:pPr>
              <w:jc w:val="center"/>
              <w:rPr>
                <w:rFonts w:eastAsia="仿宋"/>
                <w:b/>
                <w:bCs/>
                <w:szCs w:val="21"/>
              </w:rPr>
            </w:pPr>
          </w:p>
        </w:tc>
      </w:tr>
      <w:tr w14:paraId="239C5B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67" w:hRule="atLeast"/>
          <w:jc w:val="center"/>
        </w:trPr>
        <w:tc>
          <w:tcPr>
            <w:tcW w:w="471" w:type="dxa"/>
            <w:vMerge w:val="continue"/>
          </w:tcPr>
          <w:p w14:paraId="573BFF4C">
            <w:pPr>
              <w:jc w:val="center"/>
              <w:rPr>
                <w:rFonts w:eastAsia="仿宋"/>
                <w:b/>
                <w:bCs/>
                <w:szCs w:val="21"/>
              </w:rPr>
            </w:pPr>
          </w:p>
        </w:tc>
        <w:tc>
          <w:tcPr>
            <w:tcW w:w="625" w:type="dxa"/>
            <w:vMerge w:val="continue"/>
            <w:vAlign w:val="center"/>
          </w:tcPr>
          <w:p w14:paraId="33BDF1FC">
            <w:pPr>
              <w:jc w:val="center"/>
              <w:rPr>
                <w:rFonts w:eastAsia="仿宋"/>
                <w:b/>
                <w:bCs/>
                <w:szCs w:val="21"/>
              </w:rPr>
            </w:pPr>
          </w:p>
        </w:tc>
        <w:tc>
          <w:tcPr>
            <w:tcW w:w="1421" w:type="dxa"/>
            <w:vAlign w:val="center"/>
          </w:tcPr>
          <w:p w14:paraId="18F90F31">
            <w:pPr>
              <w:jc w:val="center"/>
              <w:rPr>
                <w:rFonts w:eastAsia="仿宋"/>
                <w:szCs w:val="21"/>
              </w:rPr>
            </w:pPr>
            <w:r>
              <w:rPr>
                <w:rFonts w:eastAsia="仿宋"/>
                <w:szCs w:val="21"/>
              </w:rPr>
              <w:t>磋商报价</w:t>
            </w:r>
          </w:p>
        </w:tc>
        <w:tc>
          <w:tcPr>
            <w:tcW w:w="5536" w:type="dxa"/>
            <w:vAlign w:val="center"/>
          </w:tcPr>
          <w:p w14:paraId="25C87895">
            <w:pPr>
              <w:rPr>
                <w:rFonts w:eastAsia="仿宋"/>
                <w:szCs w:val="21"/>
              </w:rPr>
            </w:pPr>
            <w:r>
              <w:rPr>
                <w:rFonts w:eastAsia="仿宋"/>
                <w:szCs w:val="21"/>
              </w:rPr>
              <w:t>报价未超过磋商文件中规定的预算金额或者最高限价</w:t>
            </w:r>
          </w:p>
        </w:tc>
        <w:tc>
          <w:tcPr>
            <w:tcW w:w="696" w:type="dxa"/>
          </w:tcPr>
          <w:p w14:paraId="16C6C54C">
            <w:pPr>
              <w:jc w:val="center"/>
              <w:rPr>
                <w:rFonts w:eastAsia="仿宋"/>
                <w:b/>
                <w:bCs/>
                <w:szCs w:val="21"/>
              </w:rPr>
            </w:pPr>
          </w:p>
        </w:tc>
        <w:tc>
          <w:tcPr>
            <w:tcW w:w="717" w:type="dxa"/>
            <w:vAlign w:val="center"/>
          </w:tcPr>
          <w:p w14:paraId="628BADEE">
            <w:pPr>
              <w:jc w:val="center"/>
              <w:rPr>
                <w:rFonts w:eastAsia="仿宋"/>
                <w:b/>
                <w:bCs/>
                <w:szCs w:val="21"/>
              </w:rPr>
            </w:pPr>
          </w:p>
        </w:tc>
      </w:tr>
      <w:tr w14:paraId="46F25E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67" w:hRule="atLeast"/>
          <w:jc w:val="center"/>
        </w:trPr>
        <w:tc>
          <w:tcPr>
            <w:tcW w:w="471" w:type="dxa"/>
            <w:vMerge w:val="continue"/>
          </w:tcPr>
          <w:p w14:paraId="4072079F">
            <w:pPr>
              <w:jc w:val="center"/>
              <w:rPr>
                <w:rFonts w:eastAsia="仿宋"/>
                <w:b/>
                <w:bCs/>
                <w:szCs w:val="21"/>
              </w:rPr>
            </w:pPr>
          </w:p>
        </w:tc>
        <w:tc>
          <w:tcPr>
            <w:tcW w:w="625" w:type="dxa"/>
            <w:vMerge w:val="continue"/>
            <w:vAlign w:val="center"/>
          </w:tcPr>
          <w:p w14:paraId="719B23D8">
            <w:pPr>
              <w:jc w:val="center"/>
              <w:rPr>
                <w:rFonts w:eastAsia="仿宋"/>
                <w:b/>
                <w:bCs/>
                <w:szCs w:val="21"/>
              </w:rPr>
            </w:pPr>
          </w:p>
        </w:tc>
        <w:tc>
          <w:tcPr>
            <w:tcW w:w="1421" w:type="dxa"/>
            <w:vAlign w:val="center"/>
          </w:tcPr>
          <w:p w14:paraId="67BB0170">
            <w:pPr>
              <w:jc w:val="center"/>
              <w:rPr>
                <w:rFonts w:eastAsia="仿宋"/>
                <w:szCs w:val="21"/>
              </w:rPr>
            </w:pPr>
            <w:r>
              <w:rPr>
                <w:rFonts w:eastAsia="仿宋"/>
                <w:szCs w:val="21"/>
              </w:rPr>
              <w:t>实质性响应</w:t>
            </w:r>
          </w:p>
        </w:tc>
        <w:tc>
          <w:tcPr>
            <w:tcW w:w="5536" w:type="dxa"/>
            <w:vAlign w:val="center"/>
          </w:tcPr>
          <w:p w14:paraId="0C331C27">
            <w:pPr>
              <w:rPr>
                <w:rFonts w:eastAsia="仿宋"/>
                <w:szCs w:val="21"/>
              </w:rPr>
            </w:pPr>
            <w:r>
              <w:rPr>
                <w:rFonts w:eastAsia="仿宋"/>
                <w:szCs w:val="21"/>
              </w:rPr>
              <w:t>响应文件满足竞争性磋商文件中实质性条款的要求和商务要求</w:t>
            </w:r>
          </w:p>
        </w:tc>
        <w:tc>
          <w:tcPr>
            <w:tcW w:w="696" w:type="dxa"/>
          </w:tcPr>
          <w:p w14:paraId="1FCBBE51">
            <w:pPr>
              <w:jc w:val="center"/>
              <w:rPr>
                <w:rFonts w:eastAsia="仿宋"/>
                <w:b/>
                <w:bCs/>
                <w:szCs w:val="21"/>
              </w:rPr>
            </w:pPr>
          </w:p>
        </w:tc>
        <w:tc>
          <w:tcPr>
            <w:tcW w:w="717" w:type="dxa"/>
            <w:vAlign w:val="center"/>
          </w:tcPr>
          <w:p w14:paraId="6650DB1A">
            <w:pPr>
              <w:jc w:val="center"/>
              <w:rPr>
                <w:rFonts w:eastAsia="仿宋"/>
                <w:b/>
                <w:bCs/>
                <w:szCs w:val="21"/>
              </w:rPr>
            </w:pPr>
          </w:p>
        </w:tc>
      </w:tr>
      <w:tr w14:paraId="7DE4EE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48" w:hRule="atLeast"/>
          <w:jc w:val="center"/>
        </w:trPr>
        <w:tc>
          <w:tcPr>
            <w:tcW w:w="471" w:type="dxa"/>
            <w:vMerge w:val="continue"/>
          </w:tcPr>
          <w:p w14:paraId="5B279BDE">
            <w:pPr>
              <w:jc w:val="center"/>
              <w:rPr>
                <w:rFonts w:eastAsia="仿宋"/>
                <w:b/>
                <w:bCs/>
                <w:szCs w:val="21"/>
              </w:rPr>
            </w:pPr>
          </w:p>
        </w:tc>
        <w:tc>
          <w:tcPr>
            <w:tcW w:w="625" w:type="dxa"/>
            <w:vMerge w:val="continue"/>
            <w:vAlign w:val="center"/>
          </w:tcPr>
          <w:p w14:paraId="19937F40">
            <w:pPr>
              <w:jc w:val="center"/>
              <w:rPr>
                <w:rFonts w:eastAsia="仿宋"/>
                <w:b/>
                <w:bCs/>
                <w:szCs w:val="21"/>
              </w:rPr>
            </w:pPr>
          </w:p>
        </w:tc>
        <w:tc>
          <w:tcPr>
            <w:tcW w:w="1421" w:type="dxa"/>
            <w:vAlign w:val="center"/>
          </w:tcPr>
          <w:p w14:paraId="4A85676E">
            <w:pPr>
              <w:jc w:val="center"/>
              <w:rPr>
                <w:rFonts w:eastAsia="仿宋"/>
                <w:szCs w:val="21"/>
              </w:rPr>
            </w:pPr>
            <w:r>
              <w:rPr>
                <w:rFonts w:eastAsia="仿宋"/>
                <w:szCs w:val="21"/>
              </w:rPr>
              <w:t>其他条件</w:t>
            </w:r>
          </w:p>
        </w:tc>
        <w:tc>
          <w:tcPr>
            <w:tcW w:w="5536" w:type="dxa"/>
            <w:vAlign w:val="center"/>
          </w:tcPr>
          <w:p w14:paraId="7ADDD51A">
            <w:pPr>
              <w:rPr>
                <w:rFonts w:eastAsia="仿宋"/>
                <w:szCs w:val="21"/>
              </w:rPr>
            </w:pPr>
            <w:r>
              <w:rPr>
                <w:rFonts w:eastAsia="仿宋"/>
                <w:szCs w:val="21"/>
              </w:rPr>
              <w:t>响应文件是否含有采购人不能接受的附加条件</w:t>
            </w:r>
          </w:p>
        </w:tc>
        <w:tc>
          <w:tcPr>
            <w:tcW w:w="696" w:type="dxa"/>
          </w:tcPr>
          <w:p w14:paraId="2B454719">
            <w:pPr>
              <w:jc w:val="center"/>
              <w:rPr>
                <w:rFonts w:eastAsia="仿宋"/>
                <w:b/>
                <w:bCs/>
                <w:szCs w:val="21"/>
              </w:rPr>
            </w:pPr>
          </w:p>
        </w:tc>
        <w:tc>
          <w:tcPr>
            <w:tcW w:w="717" w:type="dxa"/>
            <w:vAlign w:val="center"/>
          </w:tcPr>
          <w:p w14:paraId="1BC55F47">
            <w:pPr>
              <w:jc w:val="center"/>
              <w:rPr>
                <w:rFonts w:eastAsia="仿宋"/>
                <w:b/>
                <w:bCs/>
                <w:szCs w:val="21"/>
              </w:rPr>
            </w:pPr>
          </w:p>
        </w:tc>
      </w:tr>
      <w:tr w14:paraId="247057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84" w:hRule="atLeast"/>
          <w:jc w:val="center"/>
        </w:trPr>
        <w:tc>
          <w:tcPr>
            <w:tcW w:w="471" w:type="dxa"/>
            <w:vMerge w:val="continue"/>
          </w:tcPr>
          <w:p w14:paraId="529B97F3">
            <w:pPr>
              <w:jc w:val="center"/>
              <w:rPr>
                <w:rFonts w:eastAsia="仿宋"/>
                <w:b/>
                <w:bCs/>
                <w:szCs w:val="21"/>
              </w:rPr>
            </w:pPr>
          </w:p>
        </w:tc>
        <w:tc>
          <w:tcPr>
            <w:tcW w:w="625" w:type="dxa"/>
            <w:vMerge w:val="continue"/>
            <w:vAlign w:val="center"/>
          </w:tcPr>
          <w:p w14:paraId="362122B7">
            <w:pPr>
              <w:jc w:val="center"/>
              <w:rPr>
                <w:rFonts w:eastAsia="仿宋"/>
                <w:b/>
                <w:bCs/>
                <w:szCs w:val="21"/>
              </w:rPr>
            </w:pPr>
          </w:p>
        </w:tc>
        <w:tc>
          <w:tcPr>
            <w:tcW w:w="1421" w:type="dxa"/>
            <w:vAlign w:val="center"/>
          </w:tcPr>
          <w:p w14:paraId="303D8D5D">
            <w:pPr>
              <w:jc w:val="center"/>
              <w:rPr>
                <w:rFonts w:eastAsia="仿宋"/>
                <w:szCs w:val="21"/>
              </w:rPr>
            </w:pPr>
            <w:r>
              <w:rPr>
                <w:rFonts w:eastAsia="仿宋"/>
                <w:szCs w:val="21"/>
              </w:rPr>
              <w:t>无效情形</w:t>
            </w:r>
          </w:p>
        </w:tc>
        <w:tc>
          <w:tcPr>
            <w:tcW w:w="5536" w:type="dxa"/>
            <w:vAlign w:val="center"/>
          </w:tcPr>
          <w:p w14:paraId="4464FC2E">
            <w:pPr>
              <w:rPr>
                <w:rFonts w:eastAsia="仿宋"/>
                <w:szCs w:val="21"/>
              </w:rPr>
            </w:pPr>
            <w:r>
              <w:rPr>
                <w:rFonts w:eastAsia="仿宋"/>
                <w:szCs w:val="21"/>
              </w:rPr>
              <w:t>法律、法规和磋商文件规定的其他无效情形</w:t>
            </w:r>
          </w:p>
        </w:tc>
        <w:tc>
          <w:tcPr>
            <w:tcW w:w="696" w:type="dxa"/>
          </w:tcPr>
          <w:p w14:paraId="712B50EB">
            <w:pPr>
              <w:jc w:val="center"/>
              <w:rPr>
                <w:rFonts w:eastAsia="仿宋"/>
                <w:b/>
                <w:bCs/>
                <w:szCs w:val="21"/>
              </w:rPr>
            </w:pPr>
          </w:p>
        </w:tc>
        <w:tc>
          <w:tcPr>
            <w:tcW w:w="717" w:type="dxa"/>
            <w:vAlign w:val="center"/>
          </w:tcPr>
          <w:p w14:paraId="25CC29E7">
            <w:pPr>
              <w:jc w:val="center"/>
              <w:rPr>
                <w:rFonts w:eastAsia="仿宋"/>
                <w:b/>
                <w:bCs/>
                <w:szCs w:val="21"/>
              </w:rPr>
            </w:pPr>
          </w:p>
        </w:tc>
      </w:tr>
      <w:tr w14:paraId="6178D3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93" w:hRule="atLeast"/>
          <w:jc w:val="center"/>
        </w:trPr>
        <w:tc>
          <w:tcPr>
            <w:tcW w:w="9466" w:type="dxa"/>
            <w:gridSpan w:val="6"/>
            <w:vAlign w:val="center"/>
          </w:tcPr>
          <w:p w14:paraId="04D45977">
            <w:pPr>
              <w:jc w:val="left"/>
              <w:rPr>
                <w:rFonts w:eastAsia="仿宋"/>
                <w:b/>
                <w:bCs/>
                <w:szCs w:val="21"/>
              </w:rPr>
            </w:pPr>
            <w:r>
              <w:rPr>
                <w:rFonts w:eastAsia="仿宋"/>
                <w:b/>
                <w:bCs/>
                <w:szCs w:val="21"/>
              </w:rPr>
              <w:t>注：以上检查内容必须全部符合检查标准，否则为无效标。</w:t>
            </w:r>
          </w:p>
        </w:tc>
      </w:tr>
      <w:bookmarkEnd w:id="5"/>
    </w:tbl>
    <w:p w14:paraId="73460CCA">
      <w:pPr>
        <w:adjustRightInd w:val="0"/>
        <w:snapToGrid w:val="0"/>
        <w:spacing w:line="360" w:lineRule="auto"/>
        <w:ind w:firstLine="482" w:firstLineChars="200"/>
        <w:rPr>
          <w:rFonts w:eastAsia="仿宋"/>
          <w:b/>
          <w:sz w:val="24"/>
          <w:szCs w:val="24"/>
        </w:rPr>
      </w:pPr>
      <w:r>
        <w:rPr>
          <w:rFonts w:eastAsia="仿宋"/>
          <w:b/>
          <w:bCs/>
          <w:sz w:val="24"/>
          <w:szCs w:val="24"/>
        </w:rPr>
        <w:t>注：提交的图表、影印件、查询记录等文件须清晰完整，因文字模糊专家辨识造成审查不合格的由响应人自行承担相应责任。</w:t>
      </w:r>
    </w:p>
    <w:p w14:paraId="61658483">
      <w:pPr>
        <w:pStyle w:val="29"/>
        <w:snapToGrid w:val="0"/>
        <w:spacing w:line="360" w:lineRule="auto"/>
        <w:ind w:firstLine="482" w:firstLineChars="200"/>
        <w:rPr>
          <w:rFonts w:ascii="Times New Roman" w:hAnsi="Times New Roman" w:eastAsia="仿宋"/>
          <w:b/>
          <w:color w:val="auto"/>
        </w:rPr>
      </w:pPr>
      <w:r>
        <w:rPr>
          <w:rFonts w:ascii="Times New Roman" w:hAnsi="Times New Roman" w:eastAsia="仿宋"/>
          <w:b/>
          <w:color w:val="auto"/>
        </w:rPr>
        <w:t>2</w:t>
      </w:r>
      <w:r>
        <w:rPr>
          <w:rFonts w:hint="eastAsia" w:ascii="Times New Roman" w:hAnsi="Times New Roman" w:eastAsia="仿宋"/>
          <w:b/>
          <w:color w:val="auto"/>
          <w:lang w:val="en-US" w:eastAsia="zh-CN"/>
        </w:rPr>
        <w:t>8</w:t>
      </w:r>
      <w:r>
        <w:rPr>
          <w:rFonts w:ascii="Times New Roman" w:hAnsi="Times New Roman" w:eastAsia="仿宋"/>
          <w:b/>
          <w:color w:val="auto"/>
        </w:rPr>
        <w:t xml:space="preserve">详细评审 </w:t>
      </w:r>
    </w:p>
    <w:p w14:paraId="0E997B6C">
      <w:pPr>
        <w:adjustRightInd w:val="0"/>
        <w:snapToGrid w:val="0"/>
        <w:spacing w:line="360" w:lineRule="auto"/>
        <w:ind w:firstLine="480" w:firstLineChars="200"/>
        <w:rPr>
          <w:rFonts w:eastAsia="仿宋"/>
          <w:sz w:val="24"/>
          <w:szCs w:val="24"/>
        </w:rPr>
      </w:pPr>
      <w:r>
        <w:rPr>
          <w:rFonts w:eastAsia="仿宋"/>
          <w:sz w:val="24"/>
          <w:szCs w:val="24"/>
        </w:rPr>
        <w:t>2</w:t>
      </w:r>
      <w:r>
        <w:rPr>
          <w:rFonts w:hint="eastAsia" w:eastAsia="仿宋"/>
          <w:sz w:val="24"/>
          <w:szCs w:val="24"/>
          <w:lang w:val="en-US" w:eastAsia="zh-CN"/>
        </w:rPr>
        <w:t>8</w:t>
      </w:r>
      <w:r>
        <w:rPr>
          <w:rFonts w:eastAsia="仿宋"/>
          <w:sz w:val="24"/>
          <w:szCs w:val="24"/>
        </w:rPr>
        <w:t>.1</w:t>
      </w:r>
      <w:r>
        <w:rPr>
          <w:rFonts w:eastAsia="仿宋"/>
          <w:spacing w:val="-2"/>
          <w:sz w:val="24"/>
          <w:szCs w:val="24"/>
        </w:rPr>
        <w:t>经初步评审合格的响应文件，磋商小组当根据磋商文件确定的评审标准和方法，对其技术和商务部分作进一步详细评审和比较。</w:t>
      </w:r>
    </w:p>
    <w:p w14:paraId="31208BF1">
      <w:pPr>
        <w:adjustRightInd w:val="0"/>
        <w:snapToGrid w:val="0"/>
        <w:spacing w:line="360" w:lineRule="auto"/>
        <w:ind w:firstLine="480" w:firstLineChars="200"/>
        <w:rPr>
          <w:rFonts w:eastAsia="仿宋"/>
          <w:sz w:val="24"/>
          <w:szCs w:val="24"/>
        </w:rPr>
      </w:pPr>
      <w:r>
        <w:rPr>
          <w:rFonts w:eastAsia="仿宋"/>
          <w:sz w:val="24"/>
          <w:szCs w:val="24"/>
        </w:rPr>
        <w:t>磋商小组将采用综合评分法对响应文件所载明的供应商的响应报价、技术、商务响应文件的编制质量等内容进行打分，依据得分从高到低的顺序最终确定成交候选人，</w:t>
      </w:r>
      <w:r>
        <w:rPr>
          <w:rFonts w:eastAsia="仿宋"/>
          <w:b/>
          <w:sz w:val="24"/>
          <w:szCs w:val="24"/>
        </w:rPr>
        <w:t>最低报价不作为成交的唯一依据。</w:t>
      </w:r>
    </w:p>
    <w:p w14:paraId="48A56EBF">
      <w:pPr>
        <w:adjustRightInd w:val="0"/>
        <w:snapToGrid w:val="0"/>
        <w:spacing w:line="360" w:lineRule="auto"/>
        <w:ind w:firstLine="474" w:firstLineChars="200"/>
        <w:rPr>
          <w:rFonts w:eastAsia="仿宋"/>
          <w:b/>
          <w:spacing w:val="-2"/>
          <w:sz w:val="24"/>
          <w:szCs w:val="24"/>
        </w:rPr>
      </w:pPr>
      <w:r>
        <w:rPr>
          <w:rFonts w:eastAsia="仿宋"/>
          <w:b/>
          <w:spacing w:val="-2"/>
          <w:sz w:val="24"/>
          <w:szCs w:val="24"/>
        </w:rPr>
        <w:t>2</w:t>
      </w:r>
      <w:r>
        <w:rPr>
          <w:rFonts w:hint="eastAsia" w:eastAsia="仿宋"/>
          <w:b/>
          <w:spacing w:val="-2"/>
          <w:sz w:val="24"/>
          <w:szCs w:val="24"/>
          <w:lang w:val="en-US" w:eastAsia="zh-CN"/>
        </w:rPr>
        <w:t>8</w:t>
      </w:r>
      <w:r>
        <w:rPr>
          <w:rFonts w:eastAsia="仿宋"/>
          <w:b/>
          <w:spacing w:val="-2"/>
          <w:sz w:val="24"/>
          <w:szCs w:val="24"/>
        </w:rPr>
        <w:t>.2评审因素及标准(详见评分细则)</w:t>
      </w:r>
    </w:p>
    <w:p w14:paraId="0D967932">
      <w:pPr>
        <w:pStyle w:val="29"/>
        <w:snapToGrid w:val="0"/>
        <w:spacing w:line="360" w:lineRule="auto"/>
        <w:ind w:firstLine="482" w:firstLineChars="200"/>
        <w:rPr>
          <w:rFonts w:ascii="Times New Roman" w:hAnsi="Times New Roman" w:eastAsia="仿宋"/>
          <w:b/>
          <w:color w:val="auto"/>
        </w:rPr>
      </w:pPr>
      <w:r>
        <w:rPr>
          <w:rFonts w:ascii="Times New Roman" w:hAnsi="Times New Roman" w:eastAsia="仿宋"/>
          <w:b/>
          <w:color w:val="auto"/>
        </w:rPr>
        <w:t>报价评分标准：</w:t>
      </w:r>
    </w:p>
    <w:p w14:paraId="60B4248A">
      <w:pPr>
        <w:pStyle w:val="29"/>
        <w:snapToGrid w:val="0"/>
        <w:spacing w:line="360" w:lineRule="auto"/>
        <w:ind w:firstLine="480" w:firstLineChars="200"/>
        <w:rPr>
          <w:rFonts w:ascii="Times New Roman" w:hAnsi="Times New Roman" w:eastAsia="仿宋"/>
          <w:color w:val="auto"/>
        </w:rPr>
      </w:pPr>
      <w:r>
        <w:rPr>
          <w:rFonts w:ascii="Times New Roman" w:hAnsi="Times New Roman" w:eastAsia="仿宋"/>
          <w:color w:val="auto"/>
        </w:rPr>
        <w:t>2</w:t>
      </w:r>
      <w:r>
        <w:rPr>
          <w:rFonts w:hint="eastAsia" w:ascii="Times New Roman" w:hAnsi="Times New Roman" w:eastAsia="仿宋"/>
          <w:color w:val="auto"/>
          <w:lang w:val="en-US" w:eastAsia="zh-CN"/>
        </w:rPr>
        <w:t>8</w:t>
      </w:r>
      <w:r>
        <w:rPr>
          <w:rFonts w:ascii="Times New Roman" w:hAnsi="Times New Roman" w:eastAsia="仿宋"/>
          <w:color w:val="auto"/>
        </w:rPr>
        <w:t>.3综合评分法中的价格分统一采用低价优先法计算，即满足磋商文件要求且最后报价最低的供应商的价格为磋商基准价，其价格分为满分。</w:t>
      </w:r>
    </w:p>
    <w:p w14:paraId="79EAB6DE">
      <w:pPr>
        <w:pStyle w:val="29"/>
        <w:snapToGrid w:val="0"/>
        <w:spacing w:line="360" w:lineRule="auto"/>
        <w:ind w:firstLine="480" w:firstLineChars="200"/>
        <w:rPr>
          <w:rFonts w:ascii="Times New Roman" w:hAnsi="Times New Roman" w:eastAsia="仿宋"/>
          <w:color w:val="auto"/>
        </w:rPr>
      </w:pPr>
      <w:r>
        <w:rPr>
          <w:rFonts w:ascii="Times New Roman" w:hAnsi="Times New Roman" w:eastAsia="仿宋"/>
          <w:color w:val="auto"/>
        </w:rPr>
        <w:t>价格分占</w:t>
      </w:r>
      <w:r>
        <w:rPr>
          <w:rFonts w:hint="eastAsia" w:ascii="Times New Roman" w:hAnsi="Times New Roman" w:eastAsia="仿宋"/>
          <w:color w:val="auto"/>
        </w:rPr>
        <w:t>3</w:t>
      </w:r>
      <w:r>
        <w:rPr>
          <w:rFonts w:ascii="Times New Roman" w:hAnsi="Times New Roman" w:eastAsia="仿宋"/>
          <w:color w:val="auto"/>
        </w:rPr>
        <w:t>0%权重；商务技术占</w:t>
      </w:r>
      <w:r>
        <w:rPr>
          <w:rFonts w:hint="eastAsia" w:ascii="Times New Roman" w:hAnsi="Times New Roman" w:eastAsia="仿宋"/>
          <w:color w:val="auto"/>
        </w:rPr>
        <w:t>7</w:t>
      </w:r>
      <w:r>
        <w:rPr>
          <w:rFonts w:ascii="Times New Roman" w:hAnsi="Times New Roman" w:eastAsia="仿宋"/>
          <w:color w:val="auto"/>
        </w:rPr>
        <w:t>0%权重</w:t>
      </w:r>
    </w:p>
    <w:p w14:paraId="3C7662B4">
      <w:pPr>
        <w:pStyle w:val="29"/>
        <w:snapToGrid w:val="0"/>
        <w:spacing w:line="360" w:lineRule="auto"/>
        <w:ind w:firstLine="480" w:firstLineChars="200"/>
        <w:rPr>
          <w:rFonts w:ascii="Times New Roman" w:hAnsi="Times New Roman" w:eastAsia="仿宋"/>
          <w:color w:val="auto"/>
        </w:rPr>
      </w:pPr>
      <w:r>
        <w:rPr>
          <w:rFonts w:ascii="Times New Roman" w:hAnsi="Times New Roman" w:eastAsia="仿宋"/>
          <w:color w:val="auto"/>
        </w:rPr>
        <w:t>2</w:t>
      </w:r>
      <w:r>
        <w:rPr>
          <w:rFonts w:hint="eastAsia" w:ascii="Times New Roman" w:hAnsi="Times New Roman" w:eastAsia="仿宋"/>
          <w:color w:val="auto"/>
          <w:lang w:val="en-US" w:eastAsia="zh-CN"/>
        </w:rPr>
        <w:t>8</w:t>
      </w:r>
      <w:r>
        <w:rPr>
          <w:rFonts w:ascii="Times New Roman" w:hAnsi="Times New Roman" w:eastAsia="仿宋"/>
          <w:color w:val="auto"/>
        </w:rPr>
        <w:t>.4详细评审：评标基准价=有效磋商报价的最低值，有效磋商报价等于基准值的得满分</w:t>
      </w:r>
      <w:r>
        <w:rPr>
          <w:rFonts w:hint="eastAsia" w:ascii="Times New Roman" w:hAnsi="Times New Roman" w:eastAsia="仿宋"/>
          <w:color w:val="auto"/>
        </w:rPr>
        <w:t>3</w:t>
      </w:r>
      <w:r>
        <w:rPr>
          <w:rFonts w:ascii="Times New Roman" w:hAnsi="Times New Roman" w:eastAsia="仿宋"/>
          <w:color w:val="auto"/>
        </w:rPr>
        <w:t>0分，磋商报价得分=（评标基准价/磋商报价）×价格权重×100。</w:t>
      </w:r>
    </w:p>
    <w:p w14:paraId="24B55734">
      <w:pPr>
        <w:pStyle w:val="29"/>
        <w:snapToGrid w:val="0"/>
        <w:spacing w:line="360" w:lineRule="auto"/>
        <w:ind w:firstLine="480" w:firstLineChars="200"/>
        <w:rPr>
          <w:rFonts w:ascii="Times New Roman" w:hAnsi="Times New Roman" w:eastAsia="仿宋"/>
          <w:color w:val="auto"/>
        </w:rPr>
      </w:pPr>
      <w:r>
        <w:rPr>
          <w:rFonts w:ascii="Times New Roman" w:hAnsi="Times New Roman" w:eastAsia="仿宋"/>
          <w:color w:val="auto"/>
        </w:rPr>
        <w:t>2</w:t>
      </w:r>
      <w:r>
        <w:rPr>
          <w:rFonts w:hint="eastAsia" w:ascii="Times New Roman" w:hAnsi="Times New Roman" w:eastAsia="仿宋"/>
          <w:color w:val="auto"/>
          <w:lang w:val="en-US" w:eastAsia="zh-CN"/>
        </w:rPr>
        <w:t>8</w:t>
      </w:r>
      <w:r>
        <w:rPr>
          <w:rFonts w:ascii="Times New Roman" w:hAnsi="Times New Roman" w:eastAsia="仿宋"/>
          <w:color w:val="auto"/>
        </w:rPr>
        <w:t>.5供应商在磋商过程中，所进行的力图影响磋商结果的不符合磋商规则的活动，可能导致其被取消成交资格。</w:t>
      </w:r>
    </w:p>
    <w:p w14:paraId="5BDF2820">
      <w:pPr>
        <w:pStyle w:val="29"/>
        <w:snapToGrid w:val="0"/>
        <w:spacing w:line="360" w:lineRule="auto"/>
        <w:ind w:firstLine="480" w:firstLineChars="200"/>
        <w:rPr>
          <w:rFonts w:ascii="Times New Roman" w:hAnsi="Times New Roman" w:eastAsia="仿宋"/>
          <w:color w:val="auto"/>
        </w:rPr>
      </w:pPr>
      <w:r>
        <w:rPr>
          <w:rFonts w:ascii="Times New Roman" w:hAnsi="Times New Roman" w:eastAsia="仿宋"/>
          <w:color w:val="auto"/>
        </w:rPr>
        <w:t>2</w:t>
      </w:r>
      <w:r>
        <w:rPr>
          <w:rFonts w:hint="eastAsia" w:ascii="Times New Roman" w:hAnsi="Times New Roman" w:eastAsia="仿宋"/>
          <w:color w:val="auto"/>
          <w:lang w:val="en-US" w:eastAsia="zh-CN"/>
        </w:rPr>
        <w:t>8</w:t>
      </w:r>
      <w:r>
        <w:rPr>
          <w:rFonts w:ascii="Times New Roman" w:hAnsi="Times New Roman" w:eastAsia="仿宋"/>
          <w:color w:val="auto"/>
        </w:rPr>
        <w:t>.6与磋商文件有重大偏离的响应文件将被拒绝。</w:t>
      </w:r>
    </w:p>
    <w:p w14:paraId="1B134358">
      <w:pPr>
        <w:pStyle w:val="12"/>
        <w:spacing w:after="0" w:line="360" w:lineRule="auto"/>
        <w:ind w:firstLine="482" w:firstLineChars="200"/>
        <w:jc w:val="center"/>
        <w:rPr>
          <w:rFonts w:eastAsia="仿宋"/>
          <w:b/>
          <w:bCs/>
          <w:sz w:val="24"/>
          <w:szCs w:val="24"/>
        </w:rPr>
      </w:pPr>
      <w:r>
        <w:rPr>
          <w:rFonts w:eastAsia="仿宋"/>
          <w:b/>
          <w:bCs/>
          <w:sz w:val="24"/>
          <w:szCs w:val="24"/>
        </w:rPr>
        <w:t>详细评审--商务技术打分表</w:t>
      </w:r>
    </w:p>
    <w:tbl>
      <w:tblPr>
        <w:tblStyle w:val="45"/>
        <w:tblpPr w:leftFromText="180" w:rightFromText="180" w:vertAnchor="text" w:horzAnchor="page" w:tblpXSpec="center" w:tblpY="521"/>
        <w:tblOverlap w:val="never"/>
        <w:tblW w:w="9667"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47"/>
        <w:gridCol w:w="1270"/>
        <w:gridCol w:w="763"/>
        <w:gridCol w:w="6987"/>
      </w:tblGrid>
      <w:tr w14:paraId="3C2155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8" w:hRule="atLeast"/>
          <w:jc w:val="center"/>
        </w:trPr>
        <w:tc>
          <w:tcPr>
            <w:tcW w:w="647" w:type="dxa"/>
            <w:vAlign w:val="center"/>
          </w:tcPr>
          <w:p w14:paraId="4D0B5A24">
            <w:pPr>
              <w:autoSpaceDE w:val="0"/>
              <w:autoSpaceDN w:val="0"/>
              <w:adjustRightInd w:val="0"/>
              <w:snapToGrid w:val="0"/>
              <w:spacing w:before="155"/>
              <w:ind w:left="97" w:right="88"/>
              <w:jc w:val="center"/>
              <w:rPr>
                <w:rFonts w:ascii="Calibri" w:hAnsi="Calibri" w:eastAsia="仿宋"/>
                <w:kern w:val="0"/>
                <w:szCs w:val="21"/>
                <w:lang w:eastAsia="en-US"/>
              </w:rPr>
            </w:pPr>
            <w:r>
              <w:rPr>
                <w:rFonts w:ascii="Calibri" w:hAnsi="Calibri" w:eastAsia="仿宋"/>
                <w:kern w:val="0"/>
                <w:szCs w:val="21"/>
                <w:lang w:eastAsia="en-US"/>
              </w:rPr>
              <w:t>序号</w:t>
            </w:r>
          </w:p>
        </w:tc>
        <w:tc>
          <w:tcPr>
            <w:tcW w:w="1270" w:type="dxa"/>
            <w:vAlign w:val="center"/>
          </w:tcPr>
          <w:p w14:paraId="478DE262">
            <w:pPr>
              <w:autoSpaceDE w:val="0"/>
              <w:autoSpaceDN w:val="0"/>
              <w:adjustRightInd w:val="0"/>
              <w:snapToGrid w:val="0"/>
              <w:spacing w:before="155"/>
              <w:ind w:right="-46"/>
              <w:jc w:val="center"/>
              <w:rPr>
                <w:rFonts w:ascii="Calibri" w:hAnsi="Calibri" w:eastAsia="仿宋"/>
                <w:kern w:val="0"/>
                <w:szCs w:val="21"/>
                <w:lang w:eastAsia="en-US"/>
              </w:rPr>
            </w:pPr>
            <w:r>
              <w:rPr>
                <w:rFonts w:ascii="Calibri" w:hAnsi="Calibri" w:eastAsia="仿宋"/>
                <w:kern w:val="0"/>
                <w:szCs w:val="21"/>
                <w:lang w:eastAsia="en-US"/>
              </w:rPr>
              <w:t>评审内容</w:t>
            </w:r>
          </w:p>
        </w:tc>
        <w:tc>
          <w:tcPr>
            <w:tcW w:w="763" w:type="dxa"/>
            <w:vAlign w:val="center"/>
          </w:tcPr>
          <w:p w14:paraId="29329222">
            <w:pPr>
              <w:autoSpaceDE w:val="0"/>
              <w:autoSpaceDN w:val="0"/>
              <w:adjustRightInd w:val="0"/>
              <w:snapToGrid w:val="0"/>
              <w:ind w:left="134" w:hanging="134" w:hangingChars="64"/>
              <w:jc w:val="center"/>
              <w:rPr>
                <w:rFonts w:ascii="Calibri" w:hAnsi="Calibri" w:eastAsia="仿宋"/>
                <w:kern w:val="0"/>
                <w:szCs w:val="21"/>
                <w:lang w:eastAsia="en-US"/>
              </w:rPr>
            </w:pPr>
            <w:r>
              <w:rPr>
                <w:rFonts w:ascii="Calibri" w:hAnsi="Calibri" w:eastAsia="仿宋"/>
                <w:kern w:val="0"/>
                <w:szCs w:val="21"/>
                <w:lang w:eastAsia="en-US"/>
              </w:rPr>
              <w:t>单项</w:t>
            </w:r>
          </w:p>
          <w:p w14:paraId="141CF59A">
            <w:pPr>
              <w:autoSpaceDE w:val="0"/>
              <w:autoSpaceDN w:val="0"/>
              <w:adjustRightInd w:val="0"/>
              <w:snapToGrid w:val="0"/>
              <w:spacing w:before="4"/>
              <w:ind w:left="10" w:hanging="10" w:hangingChars="5"/>
              <w:jc w:val="center"/>
              <w:rPr>
                <w:rFonts w:ascii="Calibri" w:hAnsi="Calibri" w:eastAsia="仿宋"/>
                <w:kern w:val="0"/>
                <w:szCs w:val="21"/>
                <w:lang w:eastAsia="en-US"/>
              </w:rPr>
            </w:pPr>
            <w:r>
              <w:rPr>
                <w:rFonts w:ascii="Calibri" w:hAnsi="Calibri" w:eastAsia="仿宋"/>
                <w:kern w:val="0"/>
                <w:szCs w:val="21"/>
                <w:lang w:eastAsia="en-US"/>
              </w:rPr>
              <w:t>分值</w:t>
            </w:r>
          </w:p>
        </w:tc>
        <w:tc>
          <w:tcPr>
            <w:tcW w:w="6987" w:type="dxa"/>
            <w:vAlign w:val="center"/>
          </w:tcPr>
          <w:p w14:paraId="3606C0DB">
            <w:pPr>
              <w:tabs>
                <w:tab w:val="left" w:pos="1480"/>
              </w:tabs>
              <w:autoSpaceDE w:val="0"/>
              <w:autoSpaceDN w:val="0"/>
              <w:adjustRightInd w:val="0"/>
              <w:snapToGrid w:val="0"/>
              <w:ind w:right="-8"/>
              <w:jc w:val="center"/>
              <w:rPr>
                <w:rFonts w:ascii="Calibri" w:hAnsi="Calibri" w:eastAsia="仿宋"/>
                <w:kern w:val="0"/>
                <w:szCs w:val="21"/>
                <w:lang w:eastAsia="en-US"/>
              </w:rPr>
            </w:pPr>
            <w:r>
              <w:rPr>
                <w:rFonts w:ascii="Calibri" w:hAnsi="Calibri" w:eastAsia="仿宋"/>
                <w:kern w:val="0"/>
                <w:szCs w:val="21"/>
                <w:lang w:eastAsia="en-US"/>
              </w:rPr>
              <w:t>评分范围</w:t>
            </w:r>
          </w:p>
        </w:tc>
      </w:tr>
      <w:tr w14:paraId="16408B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647" w:type="dxa"/>
            <w:vAlign w:val="center"/>
          </w:tcPr>
          <w:p w14:paraId="65EBDEB6">
            <w:pPr>
              <w:autoSpaceDE w:val="0"/>
              <w:autoSpaceDN w:val="0"/>
              <w:adjustRightInd w:val="0"/>
              <w:snapToGrid w:val="0"/>
              <w:spacing w:before="1"/>
              <w:ind w:left="9"/>
              <w:jc w:val="center"/>
              <w:rPr>
                <w:rFonts w:ascii="Calibri" w:hAnsi="Calibri" w:eastAsia="仿宋"/>
                <w:szCs w:val="21"/>
                <w:lang w:eastAsia="en-US"/>
              </w:rPr>
            </w:pPr>
            <w:r>
              <w:rPr>
                <w:rFonts w:ascii="Calibri" w:hAnsi="Calibri" w:eastAsia="仿宋"/>
                <w:szCs w:val="21"/>
                <w:lang w:eastAsia="en-US"/>
              </w:rPr>
              <w:t>1</w:t>
            </w:r>
          </w:p>
        </w:tc>
        <w:tc>
          <w:tcPr>
            <w:tcW w:w="1270" w:type="dxa"/>
            <w:vAlign w:val="center"/>
          </w:tcPr>
          <w:p w14:paraId="24CBE13B">
            <w:pPr>
              <w:tabs>
                <w:tab w:val="left" w:pos="1480"/>
              </w:tabs>
              <w:autoSpaceDE w:val="0"/>
              <w:autoSpaceDN w:val="0"/>
              <w:adjustRightInd w:val="0"/>
              <w:snapToGrid w:val="0"/>
              <w:ind w:right="-8"/>
              <w:jc w:val="center"/>
              <w:rPr>
                <w:rFonts w:ascii="Calibri" w:hAnsi="Calibri" w:eastAsia="仿宋"/>
                <w:kern w:val="0"/>
                <w:szCs w:val="21"/>
                <w:lang w:eastAsia="en-US"/>
              </w:rPr>
            </w:pPr>
            <w:r>
              <w:rPr>
                <w:rFonts w:ascii="Calibri" w:hAnsi="Calibri" w:eastAsia="仿宋"/>
                <w:kern w:val="0"/>
                <w:szCs w:val="21"/>
                <w:lang w:eastAsia="en-US"/>
              </w:rPr>
              <w:t>企业业绩</w:t>
            </w:r>
          </w:p>
        </w:tc>
        <w:tc>
          <w:tcPr>
            <w:tcW w:w="763" w:type="dxa"/>
            <w:vAlign w:val="center"/>
          </w:tcPr>
          <w:p w14:paraId="3C8C6A9A">
            <w:pPr>
              <w:tabs>
                <w:tab w:val="left" w:pos="840"/>
              </w:tabs>
              <w:autoSpaceDE w:val="0"/>
              <w:autoSpaceDN w:val="0"/>
              <w:adjustRightInd w:val="0"/>
              <w:snapToGrid w:val="0"/>
              <w:ind w:right="92"/>
              <w:jc w:val="center"/>
              <w:rPr>
                <w:rFonts w:hint="eastAsia" w:ascii="仿宋" w:hAnsi="仿宋" w:eastAsia="仿宋" w:cs="仿宋"/>
                <w:kern w:val="0"/>
                <w:szCs w:val="21"/>
                <w:lang w:eastAsia="en-US"/>
              </w:rPr>
            </w:pPr>
            <w:r>
              <w:rPr>
                <w:rFonts w:hint="eastAsia" w:ascii="仿宋" w:hAnsi="仿宋" w:eastAsia="仿宋" w:cs="仿宋"/>
                <w:kern w:val="0"/>
                <w:szCs w:val="21"/>
                <w:lang w:val="en-US" w:eastAsia="zh-CN"/>
              </w:rPr>
              <w:t>12</w:t>
            </w:r>
            <w:r>
              <w:rPr>
                <w:rFonts w:hint="eastAsia" w:ascii="仿宋" w:hAnsi="仿宋" w:eastAsia="仿宋" w:cs="仿宋"/>
                <w:kern w:val="0"/>
                <w:szCs w:val="21"/>
                <w:lang w:eastAsia="en-US"/>
              </w:rPr>
              <w:t>分</w:t>
            </w:r>
          </w:p>
        </w:tc>
        <w:tc>
          <w:tcPr>
            <w:tcW w:w="6987" w:type="dxa"/>
            <w:vAlign w:val="center"/>
          </w:tcPr>
          <w:p w14:paraId="71E26B70">
            <w:pPr>
              <w:tabs>
                <w:tab w:val="left" w:pos="1480"/>
              </w:tabs>
              <w:autoSpaceDE w:val="0"/>
              <w:autoSpaceDN w:val="0"/>
              <w:adjustRightInd w:val="0"/>
              <w:snapToGrid w:val="0"/>
              <w:ind w:right="-8" w:firstLine="420" w:firstLineChars="200"/>
              <w:jc w:val="left"/>
              <w:rPr>
                <w:rFonts w:hint="eastAsia" w:ascii="仿宋" w:hAnsi="仿宋" w:eastAsia="仿宋" w:cs="仿宋"/>
                <w:kern w:val="0"/>
                <w:szCs w:val="21"/>
                <w:lang w:eastAsia="en-US"/>
              </w:rPr>
            </w:pPr>
            <w:r>
              <w:rPr>
                <w:rFonts w:hint="eastAsia" w:ascii="仿宋" w:hAnsi="仿宋" w:eastAsia="仿宋" w:cs="仿宋"/>
                <w:kern w:val="0"/>
                <w:szCs w:val="21"/>
                <w:lang w:eastAsia="en-US"/>
              </w:rPr>
              <w:t>投标截止日前</w:t>
            </w:r>
            <w:r>
              <w:rPr>
                <w:rFonts w:hint="eastAsia" w:ascii="仿宋" w:hAnsi="仿宋" w:eastAsia="仿宋" w:cs="仿宋"/>
                <w:kern w:val="0"/>
                <w:szCs w:val="21"/>
                <w:lang w:val="en-US" w:eastAsia="zh-CN"/>
              </w:rPr>
              <w:t>5</w:t>
            </w:r>
            <w:r>
              <w:rPr>
                <w:rFonts w:hint="eastAsia" w:ascii="仿宋" w:hAnsi="仿宋" w:eastAsia="仿宋" w:cs="仿宋"/>
                <w:kern w:val="0"/>
                <w:szCs w:val="21"/>
                <w:lang w:eastAsia="en-US"/>
              </w:rPr>
              <w:t>年（即202</w:t>
            </w:r>
            <w:r>
              <w:rPr>
                <w:rFonts w:hint="eastAsia" w:ascii="仿宋" w:hAnsi="仿宋" w:eastAsia="仿宋" w:cs="仿宋"/>
                <w:kern w:val="0"/>
                <w:szCs w:val="21"/>
                <w:lang w:val="en-US" w:eastAsia="zh-CN"/>
              </w:rPr>
              <w:t>1</w:t>
            </w:r>
            <w:r>
              <w:rPr>
                <w:rFonts w:hint="eastAsia" w:ascii="仿宋" w:hAnsi="仿宋" w:eastAsia="仿宋" w:cs="仿宋"/>
                <w:kern w:val="0"/>
                <w:szCs w:val="21"/>
                <w:lang w:eastAsia="en-US"/>
              </w:rPr>
              <w:t>年</w:t>
            </w:r>
            <w:r>
              <w:rPr>
                <w:rFonts w:hint="eastAsia" w:ascii="仿宋" w:hAnsi="仿宋" w:eastAsia="仿宋" w:cs="仿宋"/>
                <w:kern w:val="0"/>
                <w:szCs w:val="21"/>
                <w:lang w:val="en-US" w:eastAsia="zh-CN"/>
              </w:rPr>
              <w:t>5</w:t>
            </w:r>
            <w:r>
              <w:rPr>
                <w:rFonts w:hint="eastAsia" w:ascii="仿宋" w:hAnsi="仿宋" w:eastAsia="仿宋" w:cs="仿宋"/>
                <w:kern w:val="0"/>
                <w:szCs w:val="21"/>
                <w:lang w:eastAsia="en-US"/>
              </w:rPr>
              <w:t>月1日起至今）的同类项目业绩，提供中标（成交）通知书或合同扫描件并加盖供应商公章，每提供1份有效业绩得</w:t>
            </w:r>
            <w:r>
              <w:rPr>
                <w:rFonts w:hint="eastAsia" w:ascii="仿宋" w:hAnsi="仿宋" w:eastAsia="仿宋" w:cs="仿宋"/>
                <w:kern w:val="0"/>
                <w:szCs w:val="21"/>
                <w:lang w:val="en-US" w:eastAsia="zh-CN"/>
              </w:rPr>
              <w:t>4</w:t>
            </w:r>
            <w:r>
              <w:rPr>
                <w:rFonts w:hint="eastAsia" w:ascii="仿宋" w:hAnsi="仿宋" w:eastAsia="仿宋" w:cs="仿宋"/>
                <w:kern w:val="0"/>
                <w:szCs w:val="21"/>
                <w:lang w:eastAsia="en-US"/>
              </w:rPr>
              <w:t>分，</w:t>
            </w:r>
            <w:r>
              <w:rPr>
                <w:rFonts w:hint="eastAsia" w:ascii="仿宋" w:hAnsi="仿宋" w:eastAsia="仿宋" w:cs="仿宋"/>
                <w:kern w:val="0"/>
                <w:szCs w:val="21"/>
                <w:lang w:eastAsia="zh-CN"/>
              </w:rPr>
              <w:t>本项满</w:t>
            </w:r>
            <w:r>
              <w:rPr>
                <w:rFonts w:hint="eastAsia" w:ascii="仿宋" w:hAnsi="仿宋" w:eastAsia="仿宋" w:cs="仿宋"/>
                <w:kern w:val="0"/>
                <w:szCs w:val="21"/>
                <w:lang w:eastAsia="en-US"/>
              </w:rPr>
              <w:t>分为</w:t>
            </w:r>
            <w:r>
              <w:rPr>
                <w:rFonts w:hint="eastAsia" w:ascii="仿宋" w:hAnsi="仿宋" w:eastAsia="仿宋" w:cs="仿宋"/>
                <w:kern w:val="0"/>
                <w:szCs w:val="21"/>
                <w:lang w:val="en-US" w:eastAsia="zh-CN"/>
              </w:rPr>
              <w:t>12</w:t>
            </w:r>
            <w:r>
              <w:rPr>
                <w:rFonts w:hint="eastAsia" w:ascii="仿宋" w:hAnsi="仿宋" w:eastAsia="仿宋" w:cs="仿宋"/>
                <w:kern w:val="0"/>
                <w:szCs w:val="21"/>
                <w:lang w:eastAsia="en-US"/>
              </w:rPr>
              <w:t>分。</w:t>
            </w:r>
          </w:p>
        </w:tc>
      </w:tr>
      <w:tr w14:paraId="4A9999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647" w:type="dxa"/>
            <w:vAlign w:val="center"/>
          </w:tcPr>
          <w:p w14:paraId="4528B908">
            <w:pPr>
              <w:autoSpaceDE w:val="0"/>
              <w:autoSpaceDN w:val="0"/>
              <w:adjustRightInd w:val="0"/>
              <w:snapToGrid w:val="0"/>
              <w:spacing w:before="1"/>
              <w:ind w:left="9"/>
              <w:jc w:val="center"/>
              <w:rPr>
                <w:rFonts w:ascii="Calibri" w:hAnsi="Calibri" w:eastAsia="仿宋"/>
                <w:szCs w:val="21"/>
                <w:lang w:eastAsia="en-US"/>
              </w:rPr>
            </w:pPr>
            <w:r>
              <w:rPr>
                <w:rFonts w:ascii="Calibri" w:hAnsi="Calibri" w:eastAsia="仿宋"/>
                <w:szCs w:val="21"/>
                <w:lang w:eastAsia="en-US"/>
              </w:rPr>
              <w:t>2</w:t>
            </w:r>
          </w:p>
        </w:tc>
        <w:tc>
          <w:tcPr>
            <w:tcW w:w="1270" w:type="dxa"/>
            <w:vAlign w:val="center"/>
          </w:tcPr>
          <w:p w14:paraId="464F46C4">
            <w:pPr>
              <w:tabs>
                <w:tab w:val="left" w:pos="1480"/>
              </w:tabs>
              <w:autoSpaceDE w:val="0"/>
              <w:autoSpaceDN w:val="0"/>
              <w:adjustRightInd w:val="0"/>
              <w:snapToGrid w:val="0"/>
              <w:ind w:right="-8"/>
              <w:jc w:val="center"/>
              <w:rPr>
                <w:rFonts w:ascii="Calibri" w:hAnsi="Calibri" w:eastAsia="仿宋"/>
                <w:kern w:val="0"/>
                <w:szCs w:val="21"/>
                <w:lang w:eastAsia="en-US"/>
              </w:rPr>
            </w:pPr>
            <w:r>
              <w:rPr>
                <w:rFonts w:ascii="Calibri" w:hAnsi="Calibri" w:eastAsia="仿宋"/>
                <w:kern w:val="0"/>
                <w:szCs w:val="21"/>
                <w:lang w:eastAsia="en-US"/>
              </w:rPr>
              <w:t>人员经验</w:t>
            </w:r>
          </w:p>
        </w:tc>
        <w:tc>
          <w:tcPr>
            <w:tcW w:w="763" w:type="dxa"/>
            <w:vAlign w:val="center"/>
          </w:tcPr>
          <w:p w14:paraId="6A5AA564">
            <w:pPr>
              <w:tabs>
                <w:tab w:val="left" w:pos="840"/>
              </w:tabs>
              <w:autoSpaceDE w:val="0"/>
              <w:autoSpaceDN w:val="0"/>
              <w:adjustRightInd w:val="0"/>
              <w:snapToGrid w:val="0"/>
              <w:ind w:right="92"/>
              <w:jc w:val="center"/>
              <w:rPr>
                <w:rFonts w:hint="eastAsia" w:ascii="仿宋" w:hAnsi="仿宋" w:eastAsia="仿宋" w:cs="仿宋"/>
                <w:kern w:val="0"/>
                <w:szCs w:val="21"/>
                <w:lang w:eastAsia="en-US"/>
              </w:rPr>
            </w:pPr>
            <w:r>
              <w:rPr>
                <w:rFonts w:hint="eastAsia" w:ascii="仿宋" w:hAnsi="仿宋" w:eastAsia="仿宋" w:cs="仿宋"/>
                <w:kern w:val="0"/>
                <w:szCs w:val="21"/>
                <w:lang w:val="en-US" w:eastAsia="zh-CN"/>
              </w:rPr>
              <w:t>3</w:t>
            </w:r>
            <w:r>
              <w:rPr>
                <w:rFonts w:hint="eastAsia" w:ascii="仿宋" w:hAnsi="仿宋" w:eastAsia="仿宋" w:cs="仿宋"/>
                <w:kern w:val="0"/>
                <w:szCs w:val="21"/>
                <w:lang w:eastAsia="en-US"/>
              </w:rPr>
              <w:t>分</w:t>
            </w:r>
          </w:p>
        </w:tc>
        <w:tc>
          <w:tcPr>
            <w:tcW w:w="6987" w:type="dxa"/>
            <w:vAlign w:val="center"/>
          </w:tcPr>
          <w:p w14:paraId="3287E584">
            <w:pPr>
              <w:tabs>
                <w:tab w:val="left" w:pos="1480"/>
              </w:tabs>
              <w:autoSpaceDE w:val="0"/>
              <w:autoSpaceDN w:val="0"/>
              <w:adjustRightInd w:val="0"/>
              <w:snapToGrid w:val="0"/>
              <w:ind w:right="-8" w:firstLine="420" w:firstLineChars="200"/>
              <w:jc w:val="left"/>
              <w:rPr>
                <w:rFonts w:hint="eastAsia" w:ascii="仿宋" w:hAnsi="仿宋" w:eastAsia="仿宋" w:cs="仿宋"/>
                <w:kern w:val="0"/>
                <w:szCs w:val="21"/>
                <w:lang w:eastAsia="en-US"/>
              </w:rPr>
            </w:pPr>
            <w:r>
              <w:rPr>
                <w:rFonts w:hint="eastAsia" w:ascii="仿宋" w:hAnsi="仿宋" w:eastAsia="仿宋" w:cs="仿宋"/>
                <w:kern w:val="0"/>
                <w:szCs w:val="21"/>
                <w:lang w:eastAsia="en-US"/>
              </w:rPr>
              <w:t>1.项目小组成员中每配备一名具有</w:t>
            </w:r>
            <w:r>
              <w:rPr>
                <w:rFonts w:hint="eastAsia" w:ascii="仿宋" w:hAnsi="仿宋" w:eastAsia="仿宋" w:cs="仿宋"/>
                <w:kern w:val="0"/>
                <w:szCs w:val="21"/>
                <w:lang w:eastAsia="zh-CN"/>
              </w:rPr>
              <w:t>两</w:t>
            </w:r>
            <w:r>
              <w:rPr>
                <w:rFonts w:hint="eastAsia" w:ascii="仿宋" w:hAnsi="仿宋" w:eastAsia="仿宋" w:cs="仿宋"/>
                <w:kern w:val="0"/>
                <w:szCs w:val="21"/>
                <w:lang w:eastAsia="en-US"/>
              </w:rPr>
              <w:t>年及以上相关工作经验的人员得2分，本条满分</w:t>
            </w:r>
            <w:r>
              <w:rPr>
                <w:rFonts w:hint="eastAsia" w:ascii="仿宋" w:hAnsi="仿宋" w:eastAsia="仿宋" w:cs="仿宋"/>
                <w:kern w:val="0"/>
                <w:szCs w:val="21"/>
                <w:lang w:val="en-US" w:eastAsia="zh-CN"/>
              </w:rPr>
              <w:t>2</w:t>
            </w:r>
            <w:r>
              <w:rPr>
                <w:rFonts w:hint="eastAsia" w:ascii="仿宋" w:hAnsi="仿宋" w:eastAsia="仿宋" w:cs="仿宋"/>
                <w:kern w:val="0"/>
                <w:szCs w:val="21"/>
                <w:lang w:eastAsia="en-US"/>
              </w:rPr>
              <w:t>分；</w:t>
            </w:r>
          </w:p>
          <w:p w14:paraId="227CB9EB">
            <w:pPr>
              <w:tabs>
                <w:tab w:val="left" w:pos="1480"/>
              </w:tabs>
              <w:autoSpaceDE w:val="0"/>
              <w:autoSpaceDN w:val="0"/>
              <w:adjustRightInd w:val="0"/>
              <w:snapToGrid w:val="0"/>
              <w:ind w:right="-8" w:firstLine="420" w:firstLineChars="200"/>
              <w:jc w:val="left"/>
              <w:rPr>
                <w:rFonts w:hint="eastAsia" w:ascii="仿宋" w:hAnsi="仿宋" w:eastAsia="仿宋" w:cs="仿宋"/>
                <w:kern w:val="0"/>
                <w:szCs w:val="21"/>
                <w:lang w:eastAsia="en-US"/>
              </w:rPr>
            </w:pPr>
            <w:r>
              <w:rPr>
                <w:rFonts w:hint="eastAsia" w:ascii="仿宋" w:hAnsi="仿宋" w:eastAsia="仿宋" w:cs="仿宋"/>
                <w:kern w:val="0"/>
                <w:szCs w:val="21"/>
                <w:lang w:eastAsia="en-US"/>
              </w:rPr>
              <w:t>2.项目小组成员中每配备一名具有一年及以上相关工作经验的人员得1分，本条满分</w:t>
            </w:r>
            <w:r>
              <w:rPr>
                <w:rFonts w:hint="eastAsia" w:ascii="仿宋" w:hAnsi="仿宋" w:eastAsia="仿宋" w:cs="仿宋"/>
                <w:kern w:val="0"/>
                <w:szCs w:val="21"/>
                <w:lang w:val="en-US" w:eastAsia="zh-CN"/>
              </w:rPr>
              <w:t>1</w:t>
            </w:r>
            <w:r>
              <w:rPr>
                <w:rFonts w:hint="eastAsia" w:ascii="仿宋" w:hAnsi="仿宋" w:eastAsia="仿宋" w:cs="仿宋"/>
                <w:kern w:val="0"/>
                <w:szCs w:val="21"/>
                <w:lang w:eastAsia="en-US"/>
              </w:rPr>
              <w:t>分；</w:t>
            </w:r>
          </w:p>
          <w:p w14:paraId="25F5325B">
            <w:pPr>
              <w:tabs>
                <w:tab w:val="left" w:pos="1480"/>
              </w:tabs>
              <w:autoSpaceDE w:val="0"/>
              <w:autoSpaceDN w:val="0"/>
              <w:adjustRightInd w:val="0"/>
              <w:snapToGrid w:val="0"/>
              <w:ind w:right="-8" w:firstLine="420" w:firstLineChars="200"/>
              <w:jc w:val="left"/>
              <w:rPr>
                <w:rFonts w:hint="eastAsia" w:ascii="仿宋" w:hAnsi="仿宋" w:eastAsia="仿宋" w:cs="仿宋"/>
                <w:kern w:val="0"/>
                <w:szCs w:val="21"/>
                <w:lang w:eastAsia="en-US"/>
              </w:rPr>
            </w:pPr>
            <w:r>
              <w:rPr>
                <w:rFonts w:hint="eastAsia" w:ascii="仿宋" w:hAnsi="仿宋" w:eastAsia="仿宋" w:cs="仿宋"/>
                <w:kern w:val="0"/>
                <w:szCs w:val="21"/>
                <w:lang w:eastAsia="en-US"/>
              </w:rPr>
              <w:t>本项满分</w:t>
            </w:r>
            <w:r>
              <w:rPr>
                <w:rFonts w:hint="eastAsia" w:ascii="仿宋" w:hAnsi="仿宋" w:eastAsia="仿宋" w:cs="仿宋"/>
                <w:kern w:val="0"/>
                <w:szCs w:val="21"/>
                <w:lang w:val="en-US" w:eastAsia="zh-CN"/>
              </w:rPr>
              <w:t>3</w:t>
            </w:r>
            <w:r>
              <w:rPr>
                <w:rFonts w:hint="eastAsia" w:ascii="仿宋" w:hAnsi="仿宋" w:eastAsia="仿宋" w:cs="仿宋"/>
                <w:kern w:val="0"/>
                <w:szCs w:val="21"/>
                <w:lang w:eastAsia="en-US"/>
              </w:rPr>
              <w:t>分，需提供人员身份证、劳动合同或社保证明及本人工作经验的相关证明材料或承诺函。</w:t>
            </w:r>
          </w:p>
        </w:tc>
      </w:tr>
      <w:tr w14:paraId="358A4E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89" w:hRule="atLeast"/>
          <w:jc w:val="center"/>
        </w:trPr>
        <w:tc>
          <w:tcPr>
            <w:tcW w:w="647" w:type="dxa"/>
            <w:vAlign w:val="center"/>
          </w:tcPr>
          <w:p w14:paraId="01A4EE40">
            <w:pPr>
              <w:autoSpaceDE w:val="0"/>
              <w:autoSpaceDN w:val="0"/>
              <w:adjustRightInd w:val="0"/>
              <w:snapToGrid w:val="0"/>
              <w:spacing w:before="1"/>
              <w:ind w:left="9"/>
              <w:jc w:val="center"/>
              <w:rPr>
                <w:rFonts w:ascii="Calibri" w:hAnsi="Calibri" w:eastAsia="仿宋"/>
                <w:szCs w:val="21"/>
                <w:lang w:eastAsia="en-US"/>
              </w:rPr>
            </w:pPr>
            <w:r>
              <w:rPr>
                <w:rFonts w:ascii="Calibri" w:hAnsi="Calibri" w:eastAsia="仿宋"/>
                <w:szCs w:val="21"/>
                <w:lang w:eastAsia="en-US"/>
              </w:rPr>
              <w:t>3</w:t>
            </w:r>
          </w:p>
        </w:tc>
        <w:tc>
          <w:tcPr>
            <w:tcW w:w="1270" w:type="dxa"/>
            <w:vAlign w:val="center"/>
          </w:tcPr>
          <w:p w14:paraId="2F54C4EC">
            <w:pPr>
              <w:tabs>
                <w:tab w:val="left" w:pos="1480"/>
              </w:tabs>
              <w:autoSpaceDE w:val="0"/>
              <w:autoSpaceDN w:val="0"/>
              <w:adjustRightInd w:val="0"/>
              <w:snapToGrid w:val="0"/>
              <w:ind w:right="-8"/>
              <w:jc w:val="center"/>
              <w:rPr>
                <w:rFonts w:ascii="Calibri" w:hAnsi="Calibri" w:eastAsia="仿宋"/>
                <w:kern w:val="0"/>
                <w:szCs w:val="21"/>
                <w:lang w:eastAsia="en-US"/>
              </w:rPr>
            </w:pPr>
            <w:r>
              <w:rPr>
                <w:rFonts w:ascii="Calibri" w:hAnsi="Calibri" w:eastAsia="仿宋"/>
                <w:kern w:val="0"/>
                <w:szCs w:val="21"/>
                <w:lang w:eastAsia="en-US"/>
              </w:rPr>
              <w:t>实施方案</w:t>
            </w:r>
          </w:p>
        </w:tc>
        <w:tc>
          <w:tcPr>
            <w:tcW w:w="763" w:type="dxa"/>
            <w:vAlign w:val="center"/>
          </w:tcPr>
          <w:p w14:paraId="62136A00">
            <w:pPr>
              <w:tabs>
                <w:tab w:val="left" w:pos="1480"/>
              </w:tabs>
              <w:autoSpaceDE w:val="0"/>
              <w:autoSpaceDN w:val="0"/>
              <w:adjustRightInd w:val="0"/>
              <w:snapToGrid w:val="0"/>
              <w:ind w:right="-8"/>
              <w:jc w:val="center"/>
              <w:rPr>
                <w:rFonts w:hint="eastAsia" w:ascii="仿宋" w:hAnsi="仿宋" w:eastAsia="仿宋" w:cs="仿宋"/>
                <w:kern w:val="0"/>
                <w:szCs w:val="21"/>
                <w:lang w:eastAsia="en-US"/>
              </w:rPr>
            </w:pPr>
            <w:r>
              <w:rPr>
                <w:rFonts w:hint="eastAsia" w:ascii="仿宋" w:hAnsi="仿宋" w:eastAsia="仿宋" w:cs="仿宋"/>
                <w:kern w:val="0"/>
                <w:szCs w:val="21"/>
                <w:lang w:eastAsia="en-US"/>
              </w:rPr>
              <w:t>12分</w:t>
            </w:r>
          </w:p>
        </w:tc>
        <w:tc>
          <w:tcPr>
            <w:tcW w:w="6987" w:type="dxa"/>
            <w:vAlign w:val="center"/>
          </w:tcPr>
          <w:p w14:paraId="1DD6664B">
            <w:pPr>
              <w:tabs>
                <w:tab w:val="left" w:pos="1480"/>
              </w:tabs>
              <w:autoSpaceDE w:val="0"/>
              <w:autoSpaceDN w:val="0"/>
              <w:adjustRightInd w:val="0"/>
              <w:snapToGrid w:val="0"/>
              <w:ind w:right="-8" w:firstLine="420" w:firstLineChars="200"/>
              <w:jc w:val="left"/>
              <w:rPr>
                <w:rFonts w:hint="eastAsia" w:ascii="仿宋" w:hAnsi="仿宋" w:eastAsia="仿宋" w:cs="仿宋"/>
                <w:kern w:val="0"/>
                <w:szCs w:val="21"/>
                <w:lang w:eastAsia="en-US"/>
              </w:rPr>
            </w:pPr>
            <w:r>
              <w:rPr>
                <w:rFonts w:ascii="Calibri" w:hAnsi="Calibri" w:eastAsia="仿宋"/>
                <w:kern w:val="0"/>
                <w:szCs w:val="21"/>
                <w:lang w:eastAsia="en-US"/>
              </w:rPr>
              <w:t>根</w:t>
            </w:r>
            <w:r>
              <w:rPr>
                <w:rFonts w:hint="eastAsia" w:ascii="仿宋" w:hAnsi="仿宋" w:eastAsia="仿宋" w:cs="仿宋"/>
                <w:kern w:val="0"/>
                <w:szCs w:val="21"/>
                <w:lang w:eastAsia="en-US"/>
              </w:rPr>
              <w:t>据供应商提供的配送及安装实施方案进行综合评审，内容包括但不限于：</w:t>
            </w:r>
          </w:p>
          <w:p w14:paraId="451F16C6">
            <w:pPr>
              <w:tabs>
                <w:tab w:val="left" w:pos="1480"/>
              </w:tabs>
              <w:autoSpaceDE w:val="0"/>
              <w:autoSpaceDN w:val="0"/>
              <w:adjustRightInd w:val="0"/>
              <w:snapToGrid w:val="0"/>
              <w:ind w:right="-8" w:firstLine="420" w:firstLineChars="200"/>
              <w:jc w:val="left"/>
              <w:rPr>
                <w:rFonts w:hint="eastAsia" w:ascii="仿宋" w:hAnsi="仿宋" w:eastAsia="仿宋" w:cs="仿宋"/>
                <w:kern w:val="0"/>
                <w:szCs w:val="21"/>
                <w:lang w:eastAsia="en-US"/>
              </w:rPr>
            </w:pPr>
            <w:r>
              <w:rPr>
                <w:rFonts w:hint="eastAsia" w:ascii="仿宋" w:hAnsi="仿宋" w:eastAsia="仿宋" w:cs="仿宋"/>
                <w:kern w:val="0"/>
                <w:szCs w:val="21"/>
                <w:lang w:eastAsia="en-US"/>
              </w:rPr>
              <w:t>1.供货方案；（包括供货时效保障、备货及库存保障、运输安全管控等）</w:t>
            </w:r>
          </w:p>
          <w:p w14:paraId="54B9875D">
            <w:pPr>
              <w:tabs>
                <w:tab w:val="left" w:pos="1480"/>
              </w:tabs>
              <w:autoSpaceDE w:val="0"/>
              <w:autoSpaceDN w:val="0"/>
              <w:adjustRightInd w:val="0"/>
              <w:snapToGrid w:val="0"/>
              <w:ind w:right="-8" w:firstLine="420" w:firstLineChars="200"/>
              <w:jc w:val="left"/>
              <w:rPr>
                <w:rFonts w:hint="eastAsia" w:ascii="仿宋" w:hAnsi="仿宋" w:eastAsia="仿宋" w:cs="仿宋"/>
                <w:kern w:val="0"/>
                <w:szCs w:val="21"/>
                <w:lang w:eastAsia="en-US"/>
              </w:rPr>
            </w:pPr>
            <w:r>
              <w:rPr>
                <w:rFonts w:hint="eastAsia" w:ascii="仿宋" w:hAnsi="仿宋" w:eastAsia="仿宋" w:cs="仿宋"/>
                <w:kern w:val="0"/>
                <w:szCs w:val="21"/>
                <w:lang w:eastAsia="en-US"/>
              </w:rPr>
              <w:t>2.质量保证方案；（包括质量目标承诺、全流程检验管控、检测能力保障等）</w:t>
            </w:r>
          </w:p>
          <w:p w14:paraId="6C8AE807">
            <w:pPr>
              <w:tabs>
                <w:tab w:val="left" w:pos="1480"/>
              </w:tabs>
              <w:autoSpaceDE w:val="0"/>
              <w:autoSpaceDN w:val="0"/>
              <w:adjustRightInd w:val="0"/>
              <w:snapToGrid w:val="0"/>
              <w:ind w:right="-8" w:firstLine="420" w:firstLineChars="200"/>
              <w:jc w:val="left"/>
              <w:rPr>
                <w:rFonts w:hint="eastAsia" w:ascii="仿宋" w:hAnsi="仿宋" w:eastAsia="仿宋" w:cs="仿宋"/>
                <w:kern w:val="0"/>
                <w:szCs w:val="21"/>
                <w:lang w:eastAsia="en-US"/>
              </w:rPr>
            </w:pPr>
            <w:r>
              <w:rPr>
                <w:rFonts w:hint="eastAsia" w:ascii="仿宋" w:hAnsi="仿宋" w:eastAsia="仿宋" w:cs="仿宋"/>
                <w:kern w:val="0"/>
                <w:szCs w:val="21"/>
                <w:lang w:eastAsia="en-US"/>
              </w:rPr>
              <w:t>3.进度保证方案；（包括总进度及阶段分解、资源配置保障、进度管控措施、延误应急处置等）</w:t>
            </w:r>
          </w:p>
          <w:p w14:paraId="27F44E4E">
            <w:pPr>
              <w:tabs>
                <w:tab w:val="left" w:pos="1480"/>
              </w:tabs>
              <w:autoSpaceDE w:val="0"/>
              <w:autoSpaceDN w:val="0"/>
              <w:adjustRightInd w:val="0"/>
              <w:snapToGrid w:val="0"/>
              <w:ind w:right="-8" w:firstLine="420" w:firstLineChars="200"/>
              <w:jc w:val="left"/>
              <w:rPr>
                <w:rFonts w:hint="eastAsia" w:ascii="仿宋" w:hAnsi="仿宋" w:eastAsia="仿宋" w:cs="仿宋"/>
                <w:kern w:val="0"/>
                <w:szCs w:val="21"/>
                <w:lang w:eastAsia="en-US"/>
              </w:rPr>
            </w:pPr>
            <w:r>
              <w:rPr>
                <w:rFonts w:hint="eastAsia" w:ascii="仿宋" w:hAnsi="仿宋" w:eastAsia="仿宋" w:cs="仿宋"/>
                <w:kern w:val="0"/>
                <w:szCs w:val="21"/>
                <w:lang w:eastAsia="en-US"/>
              </w:rPr>
              <w:t>4.安装调试方案；（包括安装调试流程及标准、安装人员保障、安装安全管控、调试验收保障等）</w:t>
            </w:r>
          </w:p>
          <w:p w14:paraId="626CC041">
            <w:pPr>
              <w:autoSpaceDE w:val="0"/>
              <w:autoSpaceDN w:val="0"/>
              <w:adjustRightInd w:val="0"/>
              <w:snapToGrid w:val="0"/>
              <w:ind w:firstLine="420" w:firstLineChars="200"/>
              <w:rPr>
                <w:rFonts w:hint="eastAsia" w:ascii="仿宋" w:hAnsi="仿宋" w:eastAsia="仿宋" w:cs="仿宋"/>
                <w:kern w:val="0"/>
                <w:szCs w:val="21"/>
                <w:lang w:eastAsia="zh-Hans"/>
              </w:rPr>
            </w:pPr>
            <w:r>
              <w:rPr>
                <w:rFonts w:hint="eastAsia" w:ascii="仿宋" w:hAnsi="仿宋" w:eastAsia="仿宋" w:cs="仿宋"/>
                <w:kern w:val="0"/>
                <w:szCs w:val="21"/>
                <w:lang w:eastAsia="en-US"/>
              </w:rPr>
              <w:t>以上全部内容满足需求的得12分，每缺少一项的扣3分，每有一处不足或缺陷或不能符合项目实际情况的扣1分，扣完为止。</w:t>
            </w:r>
          </w:p>
          <w:p w14:paraId="0118671E">
            <w:pPr>
              <w:autoSpaceDE w:val="0"/>
              <w:autoSpaceDN w:val="0"/>
              <w:adjustRightInd w:val="0"/>
              <w:snapToGrid w:val="0"/>
              <w:ind w:firstLine="420" w:firstLineChars="200"/>
              <w:rPr>
                <w:rFonts w:hint="eastAsia" w:ascii="仿宋" w:hAnsi="仿宋" w:eastAsia="仿宋" w:cs="仿宋"/>
                <w:kern w:val="0"/>
                <w:szCs w:val="21"/>
                <w:lang w:eastAsia="en-US"/>
              </w:rPr>
            </w:pPr>
            <w:r>
              <w:rPr>
                <w:rFonts w:hint="eastAsia" w:ascii="仿宋" w:hAnsi="仿宋" w:eastAsia="仿宋" w:cs="仿宋"/>
                <w:kern w:val="0"/>
                <w:szCs w:val="21"/>
                <w:lang w:eastAsia="en-US"/>
              </w:rPr>
              <w:t>注：1、内容满足需求是指：①内容与项目服务需求吻合、层次细化，有具体详细的阐述；②阐述从实际出发，切合项目背景、项目需求并提出专业技术建议或者解决方案；③内容符合国家、地方、行业标准、行业惯例以及项目特点；④内容清楚明了、表述规范、含义准确。</w:t>
            </w:r>
          </w:p>
          <w:p w14:paraId="203893C9">
            <w:pPr>
              <w:autoSpaceDE w:val="0"/>
              <w:autoSpaceDN w:val="0"/>
              <w:adjustRightInd w:val="0"/>
              <w:snapToGrid w:val="0"/>
              <w:ind w:firstLine="420" w:firstLineChars="200"/>
              <w:rPr>
                <w:rFonts w:ascii="Calibri" w:hAnsi="Calibri" w:eastAsia="仿宋"/>
                <w:kern w:val="0"/>
                <w:szCs w:val="21"/>
                <w:lang w:eastAsia="en-US"/>
              </w:rPr>
            </w:pPr>
            <w:r>
              <w:rPr>
                <w:rFonts w:hint="eastAsia" w:ascii="仿宋" w:hAnsi="仿宋" w:eastAsia="仿宋" w:cs="仿宋"/>
                <w:kern w:val="0"/>
                <w:szCs w:val="21"/>
                <w:lang w:eastAsia="en-US"/>
              </w:rPr>
              <w:t>2、①不足具体是指：对应单项中的内容缺失（不完整）、与对应单项的要求缺少重要节点（如仅有框架或标题、单项内容仅有复制招标内容的要求、涉及内容无重点）；②缺陷具体是指：单项方案中出现套用其他项目方案或内容、内容中出现前后描述不一致现象或语言描述出现有错误、内容涉及适用的规范及标准（方法）出现错误、实施地点区域错误等任意一种情形。</w:t>
            </w:r>
          </w:p>
        </w:tc>
      </w:tr>
      <w:tr w14:paraId="2269D7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5" w:hRule="atLeast"/>
          <w:jc w:val="center"/>
        </w:trPr>
        <w:tc>
          <w:tcPr>
            <w:tcW w:w="647" w:type="dxa"/>
            <w:vAlign w:val="center"/>
          </w:tcPr>
          <w:p w14:paraId="15E316C0">
            <w:pPr>
              <w:autoSpaceDE w:val="0"/>
              <w:autoSpaceDN w:val="0"/>
              <w:adjustRightInd w:val="0"/>
              <w:snapToGrid w:val="0"/>
              <w:spacing w:before="1"/>
              <w:ind w:left="9"/>
              <w:jc w:val="center"/>
              <w:rPr>
                <w:rFonts w:ascii="Calibri" w:hAnsi="Calibri" w:eastAsia="仿宋"/>
                <w:szCs w:val="21"/>
                <w:lang w:eastAsia="en-US"/>
              </w:rPr>
            </w:pPr>
            <w:r>
              <w:rPr>
                <w:rFonts w:ascii="Calibri" w:hAnsi="Calibri" w:eastAsia="仿宋"/>
                <w:szCs w:val="21"/>
                <w:lang w:eastAsia="en-US"/>
              </w:rPr>
              <w:t>4</w:t>
            </w:r>
          </w:p>
        </w:tc>
        <w:tc>
          <w:tcPr>
            <w:tcW w:w="1270" w:type="dxa"/>
            <w:vAlign w:val="center"/>
          </w:tcPr>
          <w:p w14:paraId="43EC70B5">
            <w:pPr>
              <w:tabs>
                <w:tab w:val="left" w:pos="1480"/>
              </w:tabs>
              <w:autoSpaceDE w:val="0"/>
              <w:autoSpaceDN w:val="0"/>
              <w:adjustRightInd w:val="0"/>
              <w:snapToGrid w:val="0"/>
              <w:ind w:right="-8"/>
              <w:jc w:val="center"/>
              <w:rPr>
                <w:rFonts w:ascii="Calibri" w:hAnsi="Calibri" w:eastAsia="仿宋"/>
                <w:kern w:val="0"/>
                <w:szCs w:val="21"/>
                <w:lang w:eastAsia="en-US"/>
              </w:rPr>
            </w:pPr>
            <w:r>
              <w:rPr>
                <w:rFonts w:ascii="Calibri" w:hAnsi="Calibri" w:eastAsia="仿宋"/>
                <w:kern w:val="0"/>
                <w:szCs w:val="21"/>
                <w:lang w:eastAsia="en-US"/>
              </w:rPr>
              <w:t>供货及安装进度保障</w:t>
            </w:r>
          </w:p>
        </w:tc>
        <w:tc>
          <w:tcPr>
            <w:tcW w:w="763" w:type="dxa"/>
            <w:vAlign w:val="center"/>
          </w:tcPr>
          <w:p w14:paraId="60ACA8FE">
            <w:pPr>
              <w:tabs>
                <w:tab w:val="left" w:pos="1480"/>
              </w:tabs>
              <w:autoSpaceDE w:val="0"/>
              <w:autoSpaceDN w:val="0"/>
              <w:adjustRightInd w:val="0"/>
              <w:snapToGrid w:val="0"/>
              <w:ind w:right="-8"/>
              <w:jc w:val="center"/>
              <w:rPr>
                <w:rFonts w:hint="eastAsia" w:ascii="仿宋" w:hAnsi="仿宋" w:eastAsia="仿宋" w:cs="仿宋"/>
                <w:kern w:val="0"/>
                <w:szCs w:val="21"/>
                <w:lang w:eastAsia="en-US"/>
              </w:rPr>
            </w:pPr>
            <w:r>
              <w:rPr>
                <w:rFonts w:hint="eastAsia" w:ascii="仿宋" w:hAnsi="仿宋" w:eastAsia="仿宋" w:cs="仿宋"/>
                <w:kern w:val="0"/>
                <w:szCs w:val="21"/>
                <w:lang w:eastAsia="en-US"/>
              </w:rPr>
              <w:t>12分</w:t>
            </w:r>
          </w:p>
        </w:tc>
        <w:tc>
          <w:tcPr>
            <w:tcW w:w="6987" w:type="dxa"/>
            <w:vAlign w:val="center"/>
          </w:tcPr>
          <w:p w14:paraId="73997AB2">
            <w:pPr>
              <w:tabs>
                <w:tab w:val="left" w:pos="1480"/>
              </w:tabs>
              <w:autoSpaceDE w:val="0"/>
              <w:autoSpaceDN w:val="0"/>
              <w:adjustRightInd w:val="0"/>
              <w:snapToGrid w:val="0"/>
              <w:ind w:right="-8" w:firstLine="420" w:firstLineChars="200"/>
              <w:jc w:val="left"/>
              <w:rPr>
                <w:rFonts w:hint="eastAsia" w:ascii="仿宋" w:hAnsi="仿宋" w:eastAsia="仿宋" w:cs="仿宋"/>
                <w:kern w:val="0"/>
                <w:szCs w:val="21"/>
                <w:lang w:eastAsia="en-US"/>
              </w:rPr>
            </w:pPr>
            <w:r>
              <w:rPr>
                <w:rFonts w:hint="eastAsia" w:ascii="仿宋" w:hAnsi="仿宋" w:eastAsia="仿宋" w:cs="仿宋"/>
                <w:kern w:val="0"/>
                <w:szCs w:val="21"/>
                <w:lang w:eastAsia="en-US"/>
              </w:rPr>
              <w:t>针对项目供货及安装进度控制和保证措施方案进行评审，内容包括但不限于：</w:t>
            </w:r>
          </w:p>
          <w:p w14:paraId="44CF9E18">
            <w:pPr>
              <w:autoSpaceDE w:val="0"/>
              <w:autoSpaceDN w:val="0"/>
              <w:adjustRightInd w:val="0"/>
              <w:snapToGrid w:val="0"/>
              <w:ind w:firstLine="420" w:firstLineChars="200"/>
              <w:rPr>
                <w:rFonts w:hint="eastAsia" w:ascii="仿宋" w:hAnsi="仿宋" w:eastAsia="仿宋" w:cs="仿宋"/>
                <w:kern w:val="0"/>
                <w:szCs w:val="21"/>
                <w:lang w:eastAsia="en-US"/>
              </w:rPr>
            </w:pPr>
            <w:r>
              <w:rPr>
                <w:rFonts w:hint="eastAsia" w:ascii="仿宋" w:hAnsi="仿宋" w:eastAsia="仿宋" w:cs="仿宋"/>
                <w:kern w:val="0"/>
                <w:szCs w:val="21"/>
                <w:lang w:eastAsia="en-US"/>
              </w:rPr>
              <w:t>1.提供完整的供货及安装进度计划；</w:t>
            </w:r>
          </w:p>
          <w:p w14:paraId="6BF0C9F2">
            <w:pPr>
              <w:autoSpaceDE w:val="0"/>
              <w:autoSpaceDN w:val="0"/>
              <w:adjustRightInd w:val="0"/>
              <w:snapToGrid w:val="0"/>
              <w:ind w:firstLine="420" w:firstLineChars="200"/>
              <w:rPr>
                <w:rFonts w:hint="eastAsia" w:ascii="仿宋" w:hAnsi="仿宋" w:eastAsia="仿宋" w:cs="仿宋"/>
                <w:kern w:val="0"/>
                <w:szCs w:val="21"/>
                <w:lang w:eastAsia="en-US"/>
              </w:rPr>
            </w:pPr>
            <w:r>
              <w:rPr>
                <w:rFonts w:hint="eastAsia" w:ascii="仿宋" w:hAnsi="仿宋" w:eastAsia="仿宋" w:cs="仿宋"/>
                <w:kern w:val="0"/>
                <w:szCs w:val="21"/>
                <w:lang w:eastAsia="en-US"/>
              </w:rPr>
              <w:t>2.进度控制和周期保证措施；</w:t>
            </w:r>
          </w:p>
          <w:p w14:paraId="0F8030D8">
            <w:pPr>
              <w:autoSpaceDE w:val="0"/>
              <w:autoSpaceDN w:val="0"/>
              <w:adjustRightInd w:val="0"/>
              <w:snapToGrid w:val="0"/>
              <w:ind w:firstLine="420" w:firstLineChars="200"/>
              <w:rPr>
                <w:rFonts w:hint="eastAsia" w:ascii="仿宋" w:hAnsi="仿宋" w:eastAsia="仿宋" w:cs="仿宋"/>
                <w:kern w:val="0"/>
                <w:szCs w:val="21"/>
                <w:lang w:eastAsia="en-US"/>
              </w:rPr>
            </w:pPr>
            <w:r>
              <w:rPr>
                <w:rFonts w:hint="eastAsia" w:ascii="仿宋" w:hAnsi="仿宋" w:eastAsia="仿宋" w:cs="仿宋"/>
                <w:kern w:val="0"/>
                <w:szCs w:val="21"/>
                <w:lang w:eastAsia="en-US"/>
              </w:rPr>
              <w:t>3.明确可行的节点目标；</w:t>
            </w:r>
          </w:p>
          <w:p w14:paraId="43DE7F8C">
            <w:pPr>
              <w:autoSpaceDE w:val="0"/>
              <w:autoSpaceDN w:val="0"/>
              <w:adjustRightInd w:val="0"/>
              <w:snapToGrid w:val="0"/>
              <w:ind w:firstLine="420" w:firstLineChars="200"/>
              <w:rPr>
                <w:rFonts w:hint="eastAsia" w:ascii="仿宋" w:hAnsi="仿宋" w:eastAsia="仿宋" w:cs="仿宋"/>
                <w:kern w:val="0"/>
                <w:szCs w:val="21"/>
                <w:lang w:eastAsia="en-US"/>
              </w:rPr>
            </w:pPr>
            <w:r>
              <w:rPr>
                <w:rFonts w:hint="eastAsia" w:ascii="仿宋" w:hAnsi="仿宋" w:eastAsia="仿宋" w:cs="仿宋"/>
                <w:kern w:val="0"/>
                <w:szCs w:val="21"/>
                <w:lang w:eastAsia="en-US"/>
              </w:rPr>
              <w:t>4.逾期交付的处罚措施；</w:t>
            </w:r>
          </w:p>
          <w:p w14:paraId="49CFF6B9">
            <w:pPr>
              <w:autoSpaceDE w:val="0"/>
              <w:autoSpaceDN w:val="0"/>
              <w:adjustRightInd w:val="0"/>
              <w:snapToGrid w:val="0"/>
              <w:ind w:firstLine="420" w:firstLineChars="200"/>
              <w:rPr>
                <w:rFonts w:hint="eastAsia" w:ascii="仿宋" w:hAnsi="仿宋" w:eastAsia="仿宋" w:cs="仿宋"/>
                <w:kern w:val="0"/>
                <w:szCs w:val="21"/>
                <w:lang w:eastAsia="zh-Hans"/>
              </w:rPr>
            </w:pPr>
            <w:r>
              <w:rPr>
                <w:rFonts w:hint="eastAsia" w:ascii="仿宋" w:hAnsi="仿宋" w:eastAsia="仿宋" w:cs="仿宋"/>
                <w:kern w:val="0"/>
                <w:szCs w:val="21"/>
                <w:lang w:eastAsia="en-US"/>
              </w:rPr>
              <w:t>以上全部内容满足需求的得12分，每缺少一项的扣3分，每有一处不足或缺陷或不能符合项目实际情况的扣1分，扣完为止。</w:t>
            </w:r>
          </w:p>
          <w:p w14:paraId="4A390161">
            <w:pPr>
              <w:autoSpaceDE w:val="0"/>
              <w:autoSpaceDN w:val="0"/>
              <w:adjustRightInd w:val="0"/>
              <w:snapToGrid w:val="0"/>
              <w:ind w:firstLine="420" w:firstLineChars="200"/>
              <w:rPr>
                <w:rFonts w:hint="eastAsia" w:ascii="仿宋" w:hAnsi="仿宋" w:eastAsia="仿宋" w:cs="仿宋"/>
                <w:kern w:val="0"/>
                <w:szCs w:val="21"/>
                <w:lang w:eastAsia="en-US"/>
              </w:rPr>
            </w:pPr>
            <w:r>
              <w:rPr>
                <w:rFonts w:hint="eastAsia" w:ascii="仿宋" w:hAnsi="仿宋" w:eastAsia="仿宋" w:cs="仿宋"/>
                <w:kern w:val="0"/>
                <w:szCs w:val="21"/>
                <w:lang w:eastAsia="en-US"/>
              </w:rPr>
              <w:t>注：1、内容满足需求是指：①内容与项目服务需求吻合、层次细化，有具体详细的阐述；②阐述从实际出发，切合项目背景、项目需求并提出专业技术建议或者解决方案；③内容符合国家、地方、行业标准、行业惯例以及项目特点；④内容清楚明了、表述规范、含义准确。</w:t>
            </w:r>
          </w:p>
          <w:p w14:paraId="07F6CED8">
            <w:pPr>
              <w:autoSpaceDE w:val="0"/>
              <w:autoSpaceDN w:val="0"/>
              <w:adjustRightInd w:val="0"/>
              <w:snapToGrid w:val="0"/>
              <w:ind w:firstLine="420" w:firstLineChars="200"/>
              <w:rPr>
                <w:rFonts w:ascii="Calibri" w:hAnsi="Calibri" w:eastAsia="仿宋"/>
                <w:kern w:val="0"/>
                <w:szCs w:val="21"/>
                <w:lang w:eastAsia="en-US"/>
              </w:rPr>
            </w:pPr>
            <w:r>
              <w:rPr>
                <w:rFonts w:hint="eastAsia" w:ascii="仿宋" w:hAnsi="仿宋" w:eastAsia="仿宋" w:cs="仿宋"/>
                <w:kern w:val="0"/>
                <w:szCs w:val="21"/>
                <w:lang w:eastAsia="en-US"/>
              </w:rPr>
              <w:t>2、①不足具体是指：对应单项中的内容缺失（不完整）、与对应单项的要求缺少重要节点（如仅有框架或标题、单项内容仅有复制招标内容的要求、涉及内容无重点）；②缺陷具体是指：单项方案中出现套用其他项目方案或内容、内容中出现前后描述不一致现象或语言描述出现有错误、内容涉及适用的规范及标准（方法）出现错误、实施地点区域错误等任意一种情形。</w:t>
            </w:r>
          </w:p>
        </w:tc>
      </w:tr>
      <w:tr w14:paraId="6B97BF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5" w:hRule="atLeast"/>
          <w:jc w:val="center"/>
        </w:trPr>
        <w:tc>
          <w:tcPr>
            <w:tcW w:w="647" w:type="dxa"/>
            <w:vAlign w:val="center"/>
          </w:tcPr>
          <w:p w14:paraId="517B9D09">
            <w:pPr>
              <w:autoSpaceDE w:val="0"/>
              <w:autoSpaceDN w:val="0"/>
              <w:adjustRightInd w:val="0"/>
              <w:snapToGrid w:val="0"/>
              <w:ind w:left="9"/>
              <w:jc w:val="center"/>
              <w:rPr>
                <w:rFonts w:ascii="Calibri" w:hAnsi="Calibri" w:eastAsia="仿宋"/>
                <w:kern w:val="0"/>
                <w:szCs w:val="21"/>
                <w:lang w:eastAsia="en-US"/>
              </w:rPr>
            </w:pPr>
            <w:r>
              <w:rPr>
                <w:rFonts w:ascii="Calibri" w:hAnsi="Calibri" w:eastAsia="仿宋"/>
                <w:kern w:val="0"/>
                <w:szCs w:val="21"/>
                <w:lang w:eastAsia="en-US"/>
              </w:rPr>
              <w:t>5</w:t>
            </w:r>
          </w:p>
        </w:tc>
        <w:tc>
          <w:tcPr>
            <w:tcW w:w="1270" w:type="dxa"/>
            <w:vAlign w:val="center"/>
          </w:tcPr>
          <w:p w14:paraId="0E4453F0">
            <w:pPr>
              <w:tabs>
                <w:tab w:val="left" w:pos="1480"/>
              </w:tabs>
              <w:autoSpaceDE w:val="0"/>
              <w:autoSpaceDN w:val="0"/>
              <w:adjustRightInd w:val="0"/>
              <w:snapToGrid w:val="0"/>
              <w:ind w:right="-8"/>
              <w:jc w:val="center"/>
              <w:rPr>
                <w:rFonts w:ascii="Calibri" w:hAnsi="Calibri" w:eastAsia="仿宋"/>
                <w:kern w:val="0"/>
                <w:szCs w:val="21"/>
                <w:lang w:eastAsia="en-US"/>
              </w:rPr>
            </w:pPr>
            <w:r>
              <w:rPr>
                <w:rFonts w:ascii="Calibri" w:hAnsi="Calibri" w:eastAsia="仿宋"/>
                <w:kern w:val="0"/>
                <w:szCs w:val="21"/>
                <w:lang w:eastAsia="en-US"/>
              </w:rPr>
              <w:t>质量控制</w:t>
            </w:r>
          </w:p>
        </w:tc>
        <w:tc>
          <w:tcPr>
            <w:tcW w:w="763" w:type="dxa"/>
            <w:vAlign w:val="center"/>
          </w:tcPr>
          <w:p w14:paraId="6E54E6B7">
            <w:pPr>
              <w:tabs>
                <w:tab w:val="left" w:pos="1480"/>
              </w:tabs>
              <w:autoSpaceDE w:val="0"/>
              <w:autoSpaceDN w:val="0"/>
              <w:adjustRightInd w:val="0"/>
              <w:snapToGrid w:val="0"/>
              <w:ind w:right="-8"/>
              <w:jc w:val="center"/>
              <w:rPr>
                <w:rFonts w:hint="eastAsia" w:ascii="仿宋" w:hAnsi="仿宋" w:eastAsia="仿宋" w:cs="仿宋"/>
                <w:kern w:val="0"/>
                <w:szCs w:val="21"/>
                <w:lang w:eastAsia="en-US"/>
              </w:rPr>
            </w:pPr>
            <w:r>
              <w:rPr>
                <w:rFonts w:hint="eastAsia" w:ascii="仿宋" w:hAnsi="仿宋" w:eastAsia="仿宋" w:cs="仿宋"/>
                <w:kern w:val="0"/>
                <w:szCs w:val="21"/>
                <w:lang w:eastAsia="en-US"/>
              </w:rPr>
              <w:t>12分</w:t>
            </w:r>
          </w:p>
        </w:tc>
        <w:tc>
          <w:tcPr>
            <w:tcW w:w="6987" w:type="dxa"/>
            <w:tcBorders>
              <w:top w:val="single" w:color="auto" w:sz="4" w:space="0"/>
            </w:tcBorders>
            <w:vAlign w:val="center"/>
          </w:tcPr>
          <w:p w14:paraId="3F9F2978">
            <w:pPr>
              <w:tabs>
                <w:tab w:val="left" w:pos="1480"/>
              </w:tabs>
              <w:autoSpaceDE w:val="0"/>
              <w:autoSpaceDN w:val="0"/>
              <w:adjustRightInd w:val="0"/>
              <w:snapToGrid w:val="0"/>
              <w:ind w:right="-8" w:firstLine="420" w:firstLineChars="200"/>
              <w:jc w:val="left"/>
              <w:rPr>
                <w:rFonts w:hint="eastAsia" w:ascii="仿宋" w:hAnsi="仿宋" w:eastAsia="仿宋" w:cs="仿宋"/>
                <w:kern w:val="0"/>
                <w:szCs w:val="21"/>
                <w:lang w:eastAsia="en-US"/>
              </w:rPr>
            </w:pPr>
            <w:r>
              <w:rPr>
                <w:rFonts w:hint="eastAsia" w:ascii="仿宋" w:hAnsi="仿宋" w:eastAsia="仿宋" w:cs="仿宋"/>
                <w:kern w:val="0"/>
                <w:szCs w:val="21"/>
                <w:lang w:eastAsia="en-US"/>
              </w:rPr>
              <w:t>根据本项目的特点和要求，制定质量控制，内容包括但不限于：</w:t>
            </w:r>
          </w:p>
          <w:p w14:paraId="6057E8B3">
            <w:pPr>
              <w:autoSpaceDE w:val="0"/>
              <w:autoSpaceDN w:val="0"/>
              <w:adjustRightInd w:val="0"/>
              <w:snapToGrid w:val="0"/>
              <w:ind w:firstLine="420" w:firstLineChars="200"/>
              <w:rPr>
                <w:rFonts w:hint="eastAsia" w:ascii="仿宋" w:hAnsi="仿宋" w:eastAsia="仿宋" w:cs="仿宋"/>
                <w:kern w:val="0"/>
                <w:szCs w:val="21"/>
                <w:lang w:eastAsia="en-US"/>
              </w:rPr>
            </w:pPr>
            <w:r>
              <w:rPr>
                <w:rFonts w:hint="eastAsia" w:ascii="仿宋" w:hAnsi="仿宋" w:eastAsia="仿宋" w:cs="仿宋"/>
                <w:kern w:val="0"/>
                <w:szCs w:val="21"/>
                <w:lang w:eastAsia="en-US"/>
              </w:rPr>
              <w:t>1.保证质量的施工要素控制措施方案；</w:t>
            </w:r>
          </w:p>
          <w:p w14:paraId="27870CC5">
            <w:pPr>
              <w:autoSpaceDE w:val="0"/>
              <w:autoSpaceDN w:val="0"/>
              <w:adjustRightInd w:val="0"/>
              <w:snapToGrid w:val="0"/>
              <w:ind w:firstLine="420" w:firstLineChars="200"/>
              <w:rPr>
                <w:rFonts w:hint="eastAsia" w:ascii="仿宋" w:hAnsi="仿宋" w:eastAsia="仿宋" w:cs="仿宋"/>
                <w:kern w:val="0"/>
                <w:szCs w:val="21"/>
                <w:lang w:eastAsia="en-US"/>
              </w:rPr>
            </w:pPr>
            <w:r>
              <w:rPr>
                <w:rFonts w:hint="eastAsia" w:ascii="仿宋" w:hAnsi="仿宋" w:eastAsia="仿宋" w:cs="仿宋"/>
                <w:kern w:val="0"/>
                <w:szCs w:val="21"/>
                <w:lang w:eastAsia="en-US"/>
              </w:rPr>
              <w:t>2.质量控制的管理制度；</w:t>
            </w:r>
          </w:p>
          <w:p w14:paraId="0301B112">
            <w:pPr>
              <w:autoSpaceDE w:val="0"/>
              <w:autoSpaceDN w:val="0"/>
              <w:adjustRightInd w:val="0"/>
              <w:snapToGrid w:val="0"/>
              <w:ind w:firstLine="420" w:firstLineChars="200"/>
              <w:rPr>
                <w:rFonts w:hint="eastAsia" w:ascii="仿宋" w:hAnsi="仿宋" w:eastAsia="仿宋" w:cs="仿宋"/>
                <w:kern w:val="0"/>
                <w:szCs w:val="21"/>
                <w:lang w:eastAsia="en-US"/>
              </w:rPr>
            </w:pPr>
            <w:r>
              <w:rPr>
                <w:rFonts w:hint="eastAsia" w:ascii="仿宋" w:hAnsi="仿宋" w:eastAsia="仿宋" w:cs="仿宋"/>
                <w:kern w:val="0"/>
                <w:szCs w:val="21"/>
                <w:lang w:eastAsia="en-US"/>
              </w:rPr>
              <w:t>3.质量管理的组织措施；</w:t>
            </w:r>
          </w:p>
          <w:p w14:paraId="72F2A84C">
            <w:pPr>
              <w:autoSpaceDE w:val="0"/>
              <w:autoSpaceDN w:val="0"/>
              <w:adjustRightInd w:val="0"/>
              <w:snapToGrid w:val="0"/>
              <w:ind w:firstLine="420" w:firstLineChars="200"/>
              <w:rPr>
                <w:rFonts w:hint="eastAsia" w:ascii="仿宋" w:hAnsi="仿宋" w:eastAsia="仿宋" w:cs="仿宋"/>
                <w:kern w:val="0"/>
                <w:szCs w:val="21"/>
                <w:lang w:eastAsia="en-US"/>
              </w:rPr>
            </w:pPr>
            <w:r>
              <w:rPr>
                <w:rFonts w:hint="eastAsia" w:ascii="仿宋" w:hAnsi="仿宋" w:eastAsia="仿宋" w:cs="仿宋"/>
                <w:kern w:val="0"/>
                <w:szCs w:val="21"/>
                <w:lang w:eastAsia="en-US"/>
              </w:rPr>
              <w:t>4.对主要工序、施工工艺、材料验收等的质量控制方案。</w:t>
            </w:r>
          </w:p>
          <w:p w14:paraId="622F649F">
            <w:pPr>
              <w:autoSpaceDE w:val="0"/>
              <w:autoSpaceDN w:val="0"/>
              <w:adjustRightInd w:val="0"/>
              <w:snapToGrid w:val="0"/>
              <w:ind w:firstLine="420" w:firstLineChars="200"/>
              <w:rPr>
                <w:rFonts w:hint="eastAsia" w:ascii="仿宋" w:hAnsi="仿宋" w:eastAsia="仿宋" w:cs="仿宋"/>
                <w:kern w:val="0"/>
                <w:szCs w:val="21"/>
                <w:lang w:eastAsia="zh-Hans"/>
              </w:rPr>
            </w:pPr>
            <w:r>
              <w:rPr>
                <w:rFonts w:hint="eastAsia" w:ascii="仿宋" w:hAnsi="仿宋" w:eastAsia="仿宋" w:cs="仿宋"/>
                <w:kern w:val="0"/>
                <w:szCs w:val="21"/>
                <w:lang w:eastAsia="en-US"/>
              </w:rPr>
              <w:t>以上全部内容满足需求的得12分，每缺少一项的扣3分，每有一处不足或缺陷或不能符合项目实际情况的扣1分，扣完为止。</w:t>
            </w:r>
          </w:p>
          <w:p w14:paraId="4F33FFA7">
            <w:pPr>
              <w:autoSpaceDE w:val="0"/>
              <w:autoSpaceDN w:val="0"/>
              <w:adjustRightInd w:val="0"/>
              <w:snapToGrid w:val="0"/>
              <w:ind w:firstLine="420" w:firstLineChars="200"/>
              <w:rPr>
                <w:rFonts w:hint="eastAsia" w:ascii="仿宋" w:hAnsi="仿宋" w:eastAsia="仿宋" w:cs="仿宋"/>
                <w:kern w:val="0"/>
                <w:szCs w:val="21"/>
                <w:lang w:eastAsia="en-US"/>
              </w:rPr>
            </w:pPr>
            <w:r>
              <w:rPr>
                <w:rFonts w:hint="eastAsia" w:ascii="仿宋" w:hAnsi="仿宋" w:eastAsia="仿宋" w:cs="仿宋"/>
                <w:kern w:val="0"/>
                <w:szCs w:val="21"/>
                <w:lang w:eastAsia="en-US"/>
              </w:rPr>
              <w:t>注：1、内容满足需求是指：①内容与项目服务需求吻合、层次细化，有具体详细的阐述；②阐述从实际出发，切合项目背景、项目需求并提出专业技术建议或者解决方案；③内容符合国家、地方、行业标准、行业惯例以及项目特点；④内容清楚明了、表述规范、含义准确。</w:t>
            </w:r>
          </w:p>
          <w:p w14:paraId="18E385FB">
            <w:pPr>
              <w:autoSpaceDE w:val="0"/>
              <w:autoSpaceDN w:val="0"/>
              <w:adjustRightInd w:val="0"/>
              <w:snapToGrid w:val="0"/>
              <w:ind w:firstLine="420" w:firstLineChars="200"/>
              <w:rPr>
                <w:rFonts w:ascii="Calibri" w:hAnsi="Calibri" w:eastAsia="仿宋"/>
                <w:kern w:val="0"/>
                <w:szCs w:val="21"/>
                <w:lang w:eastAsia="en-US"/>
              </w:rPr>
            </w:pPr>
            <w:r>
              <w:rPr>
                <w:rFonts w:hint="eastAsia" w:ascii="仿宋" w:hAnsi="仿宋" w:eastAsia="仿宋" w:cs="仿宋"/>
                <w:kern w:val="0"/>
                <w:szCs w:val="21"/>
                <w:lang w:eastAsia="en-US"/>
              </w:rPr>
              <w:t>2、①不足具体是指：对应单项中的内容缺失（不完整）、与对应单项的要求缺少重要节点（如仅有框架或标题、单项内容仅有复制招标内容的要求、涉及内容无重点）；②缺陷具体是指：单项方案中出现套用其他项目方案或内容、内容中出现前后描述不一致现象或语言描述出现有错误、内容涉及适用的规范及标准（方法）出现错误、实施地点区域错误等任意一种情形。</w:t>
            </w:r>
          </w:p>
        </w:tc>
      </w:tr>
      <w:tr w14:paraId="08D62D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6" w:hRule="atLeast"/>
          <w:jc w:val="center"/>
        </w:trPr>
        <w:tc>
          <w:tcPr>
            <w:tcW w:w="647" w:type="dxa"/>
            <w:vAlign w:val="center"/>
          </w:tcPr>
          <w:p w14:paraId="379F6E56">
            <w:pPr>
              <w:autoSpaceDE w:val="0"/>
              <w:autoSpaceDN w:val="0"/>
              <w:adjustRightInd w:val="0"/>
              <w:snapToGrid w:val="0"/>
              <w:ind w:left="9"/>
              <w:jc w:val="center"/>
              <w:rPr>
                <w:rFonts w:ascii="Calibri" w:hAnsi="Calibri" w:eastAsia="仿宋"/>
                <w:kern w:val="0"/>
                <w:szCs w:val="21"/>
                <w:lang w:eastAsia="en-US"/>
              </w:rPr>
            </w:pPr>
            <w:r>
              <w:rPr>
                <w:rFonts w:ascii="Calibri" w:hAnsi="Calibri" w:eastAsia="仿宋"/>
                <w:kern w:val="0"/>
                <w:szCs w:val="21"/>
                <w:lang w:eastAsia="en-US"/>
              </w:rPr>
              <w:t>6</w:t>
            </w:r>
          </w:p>
        </w:tc>
        <w:tc>
          <w:tcPr>
            <w:tcW w:w="1270" w:type="dxa"/>
            <w:vAlign w:val="center"/>
          </w:tcPr>
          <w:p w14:paraId="7A58B3FA">
            <w:pPr>
              <w:autoSpaceDE w:val="0"/>
              <w:autoSpaceDN w:val="0"/>
              <w:adjustRightInd w:val="0"/>
              <w:snapToGrid w:val="0"/>
              <w:jc w:val="center"/>
              <w:rPr>
                <w:rFonts w:ascii="Calibri" w:hAnsi="Calibri" w:eastAsia="仿宋"/>
                <w:szCs w:val="21"/>
                <w:lang w:eastAsia="en-US"/>
              </w:rPr>
            </w:pPr>
            <w:r>
              <w:rPr>
                <w:rFonts w:ascii="Calibri" w:hAnsi="Calibri" w:eastAsia="仿宋"/>
                <w:szCs w:val="21"/>
                <w:lang w:eastAsia="en-US"/>
              </w:rPr>
              <w:t>项目小组成员配备情况</w:t>
            </w:r>
          </w:p>
        </w:tc>
        <w:tc>
          <w:tcPr>
            <w:tcW w:w="763" w:type="dxa"/>
            <w:vAlign w:val="center"/>
          </w:tcPr>
          <w:p w14:paraId="37FD7CC0">
            <w:pPr>
              <w:autoSpaceDE w:val="0"/>
              <w:autoSpaceDN w:val="0"/>
              <w:adjustRightInd w:val="0"/>
              <w:snapToGrid w:val="0"/>
              <w:jc w:val="center"/>
              <w:rPr>
                <w:rFonts w:hint="eastAsia" w:ascii="仿宋" w:hAnsi="仿宋" w:eastAsia="仿宋" w:cs="仿宋"/>
                <w:szCs w:val="21"/>
                <w:lang w:eastAsia="en-US"/>
              </w:rPr>
            </w:pPr>
            <w:r>
              <w:rPr>
                <w:rFonts w:hint="eastAsia" w:ascii="仿宋" w:hAnsi="仿宋" w:eastAsia="仿宋" w:cs="仿宋"/>
                <w:szCs w:val="21"/>
                <w:lang w:eastAsia="en-US"/>
              </w:rPr>
              <w:t>9分</w:t>
            </w:r>
          </w:p>
        </w:tc>
        <w:tc>
          <w:tcPr>
            <w:tcW w:w="6987" w:type="dxa"/>
            <w:vAlign w:val="center"/>
          </w:tcPr>
          <w:p w14:paraId="12A7A034">
            <w:pPr>
              <w:autoSpaceDE w:val="0"/>
              <w:autoSpaceDN w:val="0"/>
              <w:adjustRightInd w:val="0"/>
              <w:snapToGrid w:val="0"/>
              <w:ind w:firstLine="420" w:firstLineChars="200"/>
              <w:rPr>
                <w:rFonts w:ascii="Calibri" w:hAnsi="Calibri" w:eastAsia="仿宋"/>
                <w:kern w:val="0"/>
                <w:szCs w:val="21"/>
                <w:lang w:eastAsia="en-US"/>
              </w:rPr>
            </w:pPr>
            <w:r>
              <w:rPr>
                <w:rFonts w:ascii="Calibri" w:hAnsi="Calibri" w:eastAsia="仿宋"/>
                <w:kern w:val="0"/>
                <w:szCs w:val="21"/>
                <w:lang w:eastAsia="en-US"/>
              </w:rPr>
              <w:t>供应商提供项目小组成员配备情况包括但不限于：</w:t>
            </w:r>
          </w:p>
          <w:p w14:paraId="43B9A52F">
            <w:pPr>
              <w:autoSpaceDE w:val="0"/>
              <w:autoSpaceDN w:val="0"/>
              <w:adjustRightInd w:val="0"/>
              <w:snapToGrid w:val="0"/>
              <w:ind w:firstLine="420" w:firstLineChars="200"/>
              <w:rPr>
                <w:rFonts w:hint="eastAsia" w:ascii="仿宋" w:hAnsi="仿宋" w:eastAsia="仿宋" w:cs="仿宋"/>
                <w:kern w:val="0"/>
                <w:szCs w:val="21"/>
                <w:lang w:eastAsia="en-US"/>
              </w:rPr>
            </w:pPr>
            <w:r>
              <w:rPr>
                <w:rFonts w:hint="eastAsia" w:ascii="仿宋" w:hAnsi="仿宋" w:eastAsia="仿宋" w:cs="仿宋"/>
                <w:kern w:val="0"/>
                <w:szCs w:val="21"/>
                <w:lang w:eastAsia="en-US"/>
              </w:rPr>
              <w:t xml:space="preserve">1.项目小组成员组织架构； </w:t>
            </w:r>
          </w:p>
          <w:p w14:paraId="4402E20D">
            <w:pPr>
              <w:autoSpaceDE w:val="0"/>
              <w:autoSpaceDN w:val="0"/>
              <w:adjustRightInd w:val="0"/>
              <w:snapToGrid w:val="0"/>
              <w:ind w:firstLine="420" w:firstLineChars="200"/>
              <w:rPr>
                <w:rFonts w:hint="eastAsia" w:ascii="仿宋" w:hAnsi="仿宋" w:eastAsia="仿宋" w:cs="仿宋"/>
                <w:kern w:val="0"/>
                <w:szCs w:val="21"/>
                <w:lang w:eastAsia="en-US"/>
              </w:rPr>
            </w:pPr>
            <w:r>
              <w:rPr>
                <w:rFonts w:hint="eastAsia" w:ascii="仿宋" w:hAnsi="仿宋" w:eastAsia="仿宋" w:cs="仿宋"/>
                <w:kern w:val="0"/>
                <w:szCs w:val="21"/>
                <w:lang w:eastAsia="en-US"/>
              </w:rPr>
              <w:t>2.拟投入本项目各岗位人员安排；</w:t>
            </w:r>
          </w:p>
          <w:p w14:paraId="3DA6EEBB">
            <w:pPr>
              <w:autoSpaceDE w:val="0"/>
              <w:autoSpaceDN w:val="0"/>
              <w:adjustRightInd w:val="0"/>
              <w:snapToGrid w:val="0"/>
              <w:ind w:firstLine="420" w:firstLineChars="200"/>
              <w:rPr>
                <w:rFonts w:hint="eastAsia" w:ascii="仿宋" w:hAnsi="仿宋" w:eastAsia="仿宋" w:cs="仿宋"/>
                <w:kern w:val="0"/>
                <w:szCs w:val="21"/>
                <w:lang w:eastAsia="en-US"/>
              </w:rPr>
            </w:pPr>
            <w:r>
              <w:rPr>
                <w:rFonts w:hint="eastAsia" w:ascii="仿宋" w:hAnsi="仿宋" w:eastAsia="仿宋" w:cs="仿宋"/>
                <w:kern w:val="0"/>
                <w:szCs w:val="21"/>
                <w:lang w:eastAsia="en-US"/>
              </w:rPr>
              <w:t xml:space="preserve">3.岗位人员上岗培训及安全教育。 </w:t>
            </w:r>
          </w:p>
          <w:p w14:paraId="482145E3">
            <w:pPr>
              <w:autoSpaceDE w:val="0"/>
              <w:autoSpaceDN w:val="0"/>
              <w:adjustRightInd w:val="0"/>
              <w:snapToGrid w:val="0"/>
              <w:ind w:firstLine="420" w:firstLineChars="200"/>
              <w:rPr>
                <w:rFonts w:hint="eastAsia" w:ascii="仿宋" w:hAnsi="仿宋" w:eastAsia="仿宋" w:cs="仿宋"/>
                <w:kern w:val="0"/>
                <w:szCs w:val="21"/>
                <w:lang w:eastAsia="zh-Hans"/>
              </w:rPr>
            </w:pPr>
            <w:r>
              <w:rPr>
                <w:rFonts w:hint="eastAsia" w:ascii="仿宋" w:hAnsi="仿宋" w:eastAsia="仿宋" w:cs="仿宋"/>
                <w:kern w:val="0"/>
                <w:szCs w:val="21"/>
                <w:lang w:eastAsia="en-US"/>
              </w:rPr>
              <w:t>以上全部内容满足需求的得9分，每缺少一项的扣3分，每有一处不足或缺陷或不能符合项目实际情况的扣1分，扣完为止。</w:t>
            </w:r>
          </w:p>
          <w:p w14:paraId="3F82FA05">
            <w:pPr>
              <w:autoSpaceDE w:val="0"/>
              <w:autoSpaceDN w:val="0"/>
              <w:adjustRightInd w:val="0"/>
              <w:snapToGrid w:val="0"/>
              <w:ind w:firstLine="420" w:firstLineChars="200"/>
              <w:rPr>
                <w:rFonts w:hint="eastAsia" w:ascii="仿宋" w:hAnsi="仿宋" w:eastAsia="仿宋" w:cs="仿宋"/>
                <w:kern w:val="0"/>
                <w:szCs w:val="21"/>
                <w:lang w:eastAsia="en-US"/>
              </w:rPr>
            </w:pPr>
            <w:r>
              <w:rPr>
                <w:rFonts w:hint="eastAsia" w:ascii="仿宋" w:hAnsi="仿宋" w:eastAsia="仿宋" w:cs="仿宋"/>
                <w:kern w:val="0"/>
                <w:szCs w:val="21"/>
                <w:lang w:eastAsia="en-US"/>
              </w:rPr>
              <w:t>注：1、内容满足需求是指：①内容与项目服务需求吻合、层次细化，有具体详细的阐述；②阐述从实际出发，切合项目背景、项目需求并提出专业技术建议或者解决方案；③内容符合国家、地方、行业标准、行业惯例以及项目特点；④内容清楚明了、表述规范、含义准确。</w:t>
            </w:r>
          </w:p>
          <w:p w14:paraId="1EBE6284">
            <w:pPr>
              <w:autoSpaceDE w:val="0"/>
              <w:autoSpaceDN w:val="0"/>
              <w:adjustRightInd w:val="0"/>
              <w:snapToGrid w:val="0"/>
              <w:ind w:firstLine="420" w:firstLineChars="200"/>
              <w:rPr>
                <w:rFonts w:ascii="Calibri" w:hAnsi="Calibri" w:eastAsia="仿宋"/>
                <w:kern w:val="0"/>
                <w:szCs w:val="21"/>
                <w:lang w:eastAsia="en-US"/>
              </w:rPr>
            </w:pPr>
            <w:r>
              <w:rPr>
                <w:rFonts w:hint="eastAsia" w:ascii="仿宋" w:hAnsi="仿宋" w:eastAsia="仿宋" w:cs="仿宋"/>
                <w:kern w:val="0"/>
                <w:szCs w:val="21"/>
                <w:lang w:eastAsia="en-US"/>
              </w:rPr>
              <w:t>2、①不足具体是指：对应单项中的内容缺失（不完整）、与对应单项的要求缺少重要节点（如仅有框架或标题、单项内容仅有复制招标内容的要求、涉及内容无重点）；②缺陷具体是指：单项方案中出现套用其他项目方案或内容、内容中出现前后描述不一致现象或语言描述出现有错误、内容涉及适用的规范及标准（方法）出现错误、实施地点区域错误等任意一种情形。</w:t>
            </w:r>
          </w:p>
        </w:tc>
      </w:tr>
      <w:tr w14:paraId="67A9BD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4" w:hRule="atLeast"/>
          <w:jc w:val="center"/>
        </w:trPr>
        <w:tc>
          <w:tcPr>
            <w:tcW w:w="647" w:type="dxa"/>
            <w:vAlign w:val="center"/>
          </w:tcPr>
          <w:p w14:paraId="1B9BA51F">
            <w:pPr>
              <w:autoSpaceDE w:val="0"/>
              <w:autoSpaceDN w:val="0"/>
              <w:adjustRightInd w:val="0"/>
              <w:snapToGrid w:val="0"/>
              <w:spacing w:before="165"/>
              <w:ind w:left="9"/>
              <w:jc w:val="center"/>
              <w:rPr>
                <w:rFonts w:ascii="Calibri" w:hAnsi="Calibri" w:eastAsia="仿宋"/>
                <w:kern w:val="0"/>
                <w:szCs w:val="21"/>
                <w:lang w:eastAsia="en-US"/>
              </w:rPr>
            </w:pPr>
            <w:r>
              <w:rPr>
                <w:rFonts w:ascii="Calibri" w:hAnsi="Calibri" w:eastAsia="仿宋"/>
                <w:kern w:val="0"/>
                <w:szCs w:val="21"/>
                <w:lang w:eastAsia="en-US"/>
              </w:rPr>
              <w:t>7</w:t>
            </w:r>
          </w:p>
        </w:tc>
        <w:tc>
          <w:tcPr>
            <w:tcW w:w="1270" w:type="dxa"/>
            <w:vAlign w:val="center"/>
          </w:tcPr>
          <w:p w14:paraId="3D1A5D25">
            <w:pPr>
              <w:autoSpaceDE w:val="0"/>
              <w:autoSpaceDN w:val="0"/>
              <w:adjustRightInd w:val="0"/>
              <w:snapToGrid w:val="0"/>
              <w:jc w:val="center"/>
              <w:rPr>
                <w:rFonts w:ascii="Calibri" w:hAnsi="Calibri" w:eastAsia="仿宋"/>
                <w:szCs w:val="21"/>
                <w:lang w:eastAsia="en-US"/>
              </w:rPr>
            </w:pPr>
            <w:r>
              <w:rPr>
                <w:rFonts w:ascii="Calibri" w:hAnsi="Calibri" w:eastAsia="仿宋"/>
                <w:szCs w:val="21"/>
                <w:lang w:eastAsia="en-US"/>
              </w:rPr>
              <w:t>售后服务方案</w:t>
            </w:r>
          </w:p>
        </w:tc>
        <w:tc>
          <w:tcPr>
            <w:tcW w:w="763" w:type="dxa"/>
            <w:vAlign w:val="center"/>
          </w:tcPr>
          <w:p w14:paraId="377427D6">
            <w:pPr>
              <w:autoSpaceDE w:val="0"/>
              <w:autoSpaceDN w:val="0"/>
              <w:adjustRightInd w:val="0"/>
              <w:snapToGrid w:val="0"/>
              <w:jc w:val="center"/>
              <w:rPr>
                <w:rFonts w:hint="eastAsia" w:ascii="仿宋" w:hAnsi="仿宋" w:eastAsia="仿宋" w:cs="仿宋"/>
                <w:szCs w:val="21"/>
                <w:lang w:eastAsia="en-US"/>
              </w:rPr>
            </w:pPr>
            <w:r>
              <w:rPr>
                <w:rFonts w:hint="eastAsia" w:ascii="仿宋" w:hAnsi="仿宋" w:eastAsia="仿宋" w:cs="仿宋"/>
                <w:szCs w:val="21"/>
                <w:lang w:eastAsia="en-US"/>
              </w:rPr>
              <w:t>10分</w:t>
            </w:r>
          </w:p>
        </w:tc>
        <w:tc>
          <w:tcPr>
            <w:tcW w:w="6987" w:type="dxa"/>
            <w:vAlign w:val="center"/>
          </w:tcPr>
          <w:p w14:paraId="7E291CF2">
            <w:pPr>
              <w:autoSpaceDE w:val="0"/>
              <w:autoSpaceDN w:val="0"/>
              <w:adjustRightInd w:val="0"/>
              <w:snapToGrid w:val="0"/>
              <w:ind w:firstLine="420" w:firstLineChars="200"/>
              <w:rPr>
                <w:rFonts w:ascii="Calibri" w:hAnsi="Calibri" w:eastAsia="仿宋"/>
                <w:kern w:val="0"/>
                <w:szCs w:val="21"/>
                <w:lang w:eastAsia="en-US"/>
              </w:rPr>
            </w:pPr>
            <w:r>
              <w:rPr>
                <w:rFonts w:ascii="Calibri" w:hAnsi="Calibri" w:eastAsia="仿宋"/>
                <w:kern w:val="0"/>
                <w:szCs w:val="21"/>
                <w:lang w:eastAsia="en-US"/>
              </w:rPr>
              <w:t>根据供应商提供的售后服务方案进行评分：项目售后服务方案包括但不限于：</w:t>
            </w:r>
          </w:p>
          <w:p w14:paraId="0A4878D0">
            <w:pPr>
              <w:autoSpaceDE w:val="0"/>
              <w:autoSpaceDN w:val="0"/>
              <w:adjustRightInd w:val="0"/>
              <w:snapToGrid w:val="0"/>
              <w:ind w:firstLine="420" w:firstLineChars="200"/>
              <w:rPr>
                <w:rFonts w:ascii="Calibri" w:hAnsi="Calibri" w:eastAsia="仿宋"/>
                <w:kern w:val="0"/>
                <w:szCs w:val="21"/>
                <w:lang w:eastAsia="en-US"/>
              </w:rPr>
            </w:pPr>
            <w:r>
              <w:rPr>
                <w:rFonts w:ascii="Calibri" w:hAnsi="Calibri" w:eastAsia="仿宋"/>
                <w:kern w:val="0"/>
                <w:szCs w:val="21"/>
                <w:lang w:eastAsia="en-US"/>
              </w:rPr>
              <w:t>1.售后服务方案；</w:t>
            </w:r>
            <w:bookmarkStart w:id="204" w:name="_GoBack"/>
            <w:bookmarkEnd w:id="204"/>
          </w:p>
          <w:p w14:paraId="194F71A5">
            <w:pPr>
              <w:autoSpaceDE w:val="0"/>
              <w:autoSpaceDN w:val="0"/>
              <w:adjustRightInd w:val="0"/>
              <w:snapToGrid w:val="0"/>
              <w:ind w:firstLine="420" w:firstLineChars="200"/>
              <w:rPr>
                <w:rFonts w:ascii="Calibri" w:hAnsi="Calibri" w:eastAsia="仿宋"/>
                <w:kern w:val="0"/>
                <w:szCs w:val="21"/>
                <w:lang w:eastAsia="en-US"/>
              </w:rPr>
            </w:pPr>
            <w:r>
              <w:rPr>
                <w:rFonts w:ascii="Calibri" w:hAnsi="Calibri" w:eastAsia="仿宋"/>
                <w:kern w:val="0"/>
                <w:szCs w:val="21"/>
                <w:lang w:eastAsia="en-US"/>
              </w:rPr>
              <w:t>2.售后服务人员配备；</w:t>
            </w:r>
          </w:p>
          <w:p w14:paraId="17C7959E">
            <w:pPr>
              <w:autoSpaceDE w:val="0"/>
              <w:autoSpaceDN w:val="0"/>
              <w:adjustRightInd w:val="0"/>
              <w:snapToGrid w:val="0"/>
              <w:ind w:firstLine="420" w:firstLineChars="200"/>
              <w:rPr>
                <w:rFonts w:ascii="Calibri" w:hAnsi="Calibri" w:eastAsia="仿宋"/>
                <w:kern w:val="0"/>
                <w:szCs w:val="21"/>
                <w:lang w:eastAsia="en-US"/>
              </w:rPr>
            </w:pPr>
            <w:r>
              <w:rPr>
                <w:rFonts w:ascii="Calibri" w:hAnsi="Calibri" w:eastAsia="仿宋"/>
                <w:kern w:val="0"/>
                <w:szCs w:val="21"/>
                <w:lang w:eastAsia="en-US"/>
              </w:rPr>
              <w:t>3.故障响应措施；</w:t>
            </w:r>
          </w:p>
          <w:p w14:paraId="5EC39D99">
            <w:pPr>
              <w:autoSpaceDE w:val="0"/>
              <w:autoSpaceDN w:val="0"/>
              <w:adjustRightInd w:val="0"/>
              <w:snapToGrid w:val="0"/>
              <w:ind w:firstLine="420" w:firstLineChars="200"/>
              <w:rPr>
                <w:rFonts w:ascii="Calibri" w:hAnsi="Calibri" w:eastAsia="仿宋"/>
                <w:kern w:val="0"/>
                <w:szCs w:val="21"/>
                <w:lang w:eastAsia="en-US"/>
              </w:rPr>
            </w:pPr>
            <w:r>
              <w:rPr>
                <w:rFonts w:ascii="Calibri" w:hAnsi="Calibri" w:eastAsia="仿宋"/>
                <w:kern w:val="0"/>
                <w:szCs w:val="21"/>
                <w:lang w:eastAsia="en-US"/>
              </w:rPr>
              <w:t>4.服务期完成后的服务措施。</w:t>
            </w:r>
          </w:p>
          <w:p w14:paraId="1181D033">
            <w:pPr>
              <w:autoSpaceDE w:val="0"/>
              <w:autoSpaceDN w:val="0"/>
              <w:adjustRightInd w:val="0"/>
              <w:snapToGrid w:val="0"/>
              <w:ind w:firstLine="420" w:firstLineChars="200"/>
              <w:rPr>
                <w:rFonts w:hint="eastAsia" w:ascii="仿宋" w:hAnsi="仿宋" w:eastAsia="仿宋" w:cs="仿宋"/>
                <w:kern w:val="0"/>
                <w:szCs w:val="21"/>
                <w:lang w:eastAsia="zh-Hans"/>
              </w:rPr>
            </w:pPr>
            <w:r>
              <w:rPr>
                <w:rFonts w:hint="eastAsia" w:ascii="仿宋" w:hAnsi="仿宋" w:eastAsia="仿宋" w:cs="仿宋"/>
                <w:kern w:val="0"/>
                <w:szCs w:val="21"/>
                <w:lang w:eastAsia="en-US"/>
              </w:rPr>
              <w:t>以上全部内容满足需求的得10分，每缺少一项的扣2.5分，每有一处不足或缺陷或不能符合项目实际情况的扣1分，扣完为止。</w:t>
            </w:r>
          </w:p>
          <w:p w14:paraId="3C1CF14B">
            <w:pPr>
              <w:autoSpaceDE w:val="0"/>
              <w:autoSpaceDN w:val="0"/>
              <w:adjustRightInd w:val="0"/>
              <w:snapToGrid w:val="0"/>
              <w:ind w:firstLine="420" w:firstLineChars="200"/>
              <w:rPr>
                <w:rFonts w:hint="eastAsia" w:ascii="仿宋" w:hAnsi="仿宋" w:eastAsia="仿宋" w:cs="仿宋"/>
                <w:kern w:val="0"/>
                <w:szCs w:val="21"/>
                <w:lang w:eastAsia="en-US"/>
              </w:rPr>
            </w:pPr>
            <w:r>
              <w:rPr>
                <w:rFonts w:hint="eastAsia" w:ascii="仿宋" w:hAnsi="仿宋" w:eastAsia="仿宋" w:cs="仿宋"/>
                <w:kern w:val="0"/>
                <w:szCs w:val="21"/>
                <w:lang w:eastAsia="en-US"/>
              </w:rPr>
              <w:t>注：1、内容满足需求是指：①内容与项目服务需求吻合、层次细化，有具体详细的阐述；②阐述从实际出发，切合项目背景、项目需求并提出专业技术建议或者解决方案；③内容符合国家、地方、行业标准、行业惯例以及项目特点；④内容清楚明了、表述规范、含义准确。</w:t>
            </w:r>
          </w:p>
          <w:p w14:paraId="3D61B000">
            <w:pPr>
              <w:autoSpaceDE w:val="0"/>
              <w:autoSpaceDN w:val="0"/>
              <w:adjustRightInd w:val="0"/>
              <w:snapToGrid w:val="0"/>
              <w:ind w:firstLine="420" w:firstLineChars="200"/>
              <w:rPr>
                <w:rFonts w:ascii="Calibri" w:hAnsi="Calibri" w:eastAsia="仿宋"/>
                <w:kern w:val="0"/>
                <w:szCs w:val="21"/>
                <w:lang w:eastAsia="en-US"/>
              </w:rPr>
            </w:pPr>
            <w:r>
              <w:rPr>
                <w:rFonts w:hint="eastAsia" w:ascii="仿宋" w:hAnsi="仿宋" w:eastAsia="仿宋" w:cs="仿宋"/>
                <w:kern w:val="0"/>
                <w:szCs w:val="21"/>
                <w:lang w:eastAsia="en-US"/>
              </w:rPr>
              <w:t>2、①不足具体是指：对应单项中的内容缺失（不完整）、与对应单项的要求缺少重要节点（如仅有框架或标题、单项内容仅有复制招标内容的要求、涉及内容无重点）；②缺陷具体是指：单项方案中出现套用其他项目方案或内容、内容中出现前后描述不一致现象或语言描述出现有错误、内容涉及适用的规范及标准（方法）出现错误、实施地点区域错误等任意一种情形。</w:t>
            </w:r>
          </w:p>
        </w:tc>
      </w:tr>
      <w:tr w14:paraId="79BB73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4" w:hRule="atLeast"/>
          <w:jc w:val="center"/>
        </w:trPr>
        <w:tc>
          <w:tcPr>
            <w:tcW w:w="1917" w:type="dxa"/>
            <w:gridSpan w:val="2"/>
            <w:vAlign w:val="center"/>
          </w:tcPr>
          <w:p w14:paraId="75C864C2">
            <w:pPr>
              <w:autoSpaceDE w:val="0"/>
              <w:autoSpaceDN w:val="0"/>
              <w:adjustRightInd w:val="0"/>
              <w:snapToGrid w:val="0"/>
              <w:spacing w:before="62"/>
              <w:ind w:right="908"/>
              <w:jc w:val="center"/>
              <w:rPr>
                <w:rFonts w:ascii="Calibri" w:hAnsi="Calibri" w:eastAsia="仿宋"/>
                <w:kern w:val="0"/>
                <w:szCs w:val="21"/>
                <w:lang w:eastAsia="en-US"/>
              </w:rPr>
            </w:pPr>
            <w:r>
              <w:rPr>
                <w:rFonts w:ascii="Calibri" w:hAnsi="Calibri" w:eastAsia="仿宋"/>
                <w:kern w:val="0"/>
                <w:szCs w:val="21"/>
                <w:lang w:eastAsia="en-US"/>
              </w:rPr>
              <w:t xml:space="preserve">     合计</w:t>
            </w:r>
          </w:p>
        </w:tc>
        <w:tc>
          <w:tcPr>
            <w:tcW w:w="763" w:type="dxa"/>
            <w:vAlign w:val="center"/>
          </w:tcPr>
          <w:p w14:paraId="23CE7046">
            <w:pPr>
              <w:tabs>
                <w:tab w:val="left" w:pos="630"/>
              </w:tabs>
              <w:autoSpaceDE w:val="0"/>
              <w:autoSpaceDN w:val="0"/>
              <w:adjustRightInd w:val="0"/>
              <w:snapToGrid w:val="0"/>
              <w:spacing w:before="62"/>
              <w:ind w:right="-87"/>
              <w:jc w:val="center"/>
              <w:rPr>
                <w:rFonts w:hint="eastAsia" w:ascii="仿宋" w:hAnsi="仿宋" w:eastAsia="仿宋" w:cs="仿宋"/>
                <w:kern w:val="0"/>
                <w:szCs w:val="21"/>
                <w:lang w:eastAsia="en-US"/>
              </w:rPr>
            </w:pPr>
            <w:r>
              <w:rPr>
                <w:rFonts w:hint="eastAsia" w:ascii="仿宋" w:hAnsi="仿宋" w:eastAsia="仿宋" w:cs="仿宋"/>
                <w:kern w:val="0"/>
                <w:szCs w:val="21"/>
                <w:lang w:eastAsia="en-US"/>
              </w:rPr>
              <w:t>70分</w:t>
            </w:r>
          </w:p>
        </w:tc>
        <w:tc>
          <w:tcPr>
            <w:tcW w:w="6987" w:type="dxa"/>
            <w:vAlign w:val="center"/>
          </w:tcPr>
          <w:p w14:paraId="41B5E267">
            <w:pPr>
              <w:autoSpaceDE w:val="0"/>
              <w:autoSpaceDN w:val="0"/>
              <w:adjustRightInd w:val="0"/>
              <w:snapToGrid w:val="0"/>
              <w:jc w:val="center"/>
              <w:rPr>
                <w:rFonts w:ascii="Calibri" w:hAnsi="Calibri" w:eastAsia="仿宋"/>
                <w:kern w:val="0"/>
                <w:szCs w:val="21"/>
                <w:lang w:eastAsia="en-US"/>
              </w:rPr>
            </w:pPr>
          </w:p>
        </w:tc>
      </w:tr>
    </w:tbl>
    <w:p w14:paraId="2745B0D8">
      <w:pPr>
        <w:tabs>
          <w:tab w:val="left" w:pos="4900"/>
        </w:tabs>
        <w:snapToGrid w:val="0"/>
        <w:spacing w:line="360" w:lineRule="auto"/>
        <w:ind w:firstLine="482" w:firstLineChars="200"/>
        <w:jc w:val="center"/>
        <w:rPr>
          <w:rFonts w:eastAsia="仿宋"/>
          <w:b/>
          <w:sz w:val="24"/>
          <w:szCs w:val="24"/>
        </w:rPr>
      </w:pPr>
      <w:r>
        <w:rPr>
          <w:rFonts w:eastAsia="仿宋"/>
          <w:b/>
          <w:sz w:val="24"/>
          <w:szCs w:val="24"/>
        </w:rPr>
        <w:t>详细评审标准</w:t>
      </w:r>
    </w:p>
    <w:p w14:paraId="379E2443">
      <w:pPr>
        <w:snapToGrid w:val="0"/>
        <w:spacing w:line="360" w:lineRule="auto"/>
        <w:ind w:firstLine="482" w:firstLineChars="200"/>
        <w:rPr>
          <w:rFonts w:eastAsia="仿宋"/>
          <w:b/>
          <w:bCs/>
          <w:sz w:val="24"/>
          <w:szCs w:val="24"/>
        </w:rPr>
      </w:pPr>
      <w:r>
        <w:rPr>
          <w:rFonts w:eastAsia="仿宋"/>
          <w:b/>
          <w:bCs/>
          <w:sz w:val="24"/>
          <w:szCs w:val="24"/>
        </w:rPr>
        <w:t>1）客观评审因素磋商小组协商打分，主观评审因素磋商小组成员独立打分</w:t>
      </w:r>
    </w:p>
    <w:p w14:paraId="48E1F75B">
      <w:pPr>
        <w:snapToGrid w:val="0"/>
        <w:spacing w:line="360" w:lineRule="auto"/>
        <w:ind w:firstLine="482" w:firstLineChars="200"/>
        <w:rPr>
          <w:rFonts w:eastAsia="仿宋"/>
          <w:sz w:val="24"/>
          <w:szCs w:val="24"/>
        </w:rPr>
      </w:pPr>
      <w:r>
        <w:rPr>
          <w:rFonts w:eastAsia="仿宋"/>
          <w:b/>
          <w:bCs/>
          <w:sz w:val="24"/>
          <w:szCs w:val="24"/>
        </w:rPr>
        <w:t>2）若出现综合得分相同的，按最终报价由低到高顺序排列名次；得分且最终报价相同的，按技术指标得分顺序排列名次。</w:t>
      </w:r>
    </w:p>
    <w:p w14:paraId="1FDB2FCF">
      <w:pPr>
        <w:pStyle w:val="12"/>
        <w:snapToGrid w:val="0"/>
        <w:spacing w:after="0" w:line="360" w:lineRule="auto"/>
        <w:ind w:firstLine="480" w:firstLineChars="200"/>
        <w:jc w:val="left"/>
        <w:rPr>
          <w:rFonts w:eastAsia="仿宋"/>
          <w:kern w:val="0"/>
          <w:sz w:val="24"/>
          <w:szCs w:val="24"/>
        </w:rPr>
      </w:pPr>
      <w:r>
        <w:rPr>
          <w:rFonts w:eastAsia="仿宋"/>
          <w:kern w:val="0"/>
          <w:sz w:val="24"/>
          <w:szCs w:val="24"/>
        </w:rPr>
        <w:t>低于成本价不正当竞争预防措施：</w:t>
      </w:r>
    </w:p>
    <w:p w14:paraId="36C5D232">
      <w:pPr>
        <w:pStyle w:val="12"/>
        <w:snapToGrid w:val="0"/>
        <w:spacing w:after="0" w:line="360" w:lineRule="auto"/>
        <w:ind w:firstLine="480" w:firstLineChars="200"/>
        <w:jc w:val="left"/>
        <w:rPr>
          <w:rFonts w:eastAsia="仿宋"/>
          <w:kern w:val="0"/>
          <w:sz w:val="24"/>
          <w:szCs w:val="24"/>
        </w:rPr>
      </w:pPr>
      <w:r>
        <w:rPr>
          <w:rFonts w:eastAsia="仿宋"/>
          <w:kern w:val="0"/>
          <w:sz w:val="24"/>
          <w:szCs w:val="24"/>
        </w:rPr>
        <w:t>（一）评审中出现下列情形之一的，评审委员会应当启动异常低价投标（响应）审查程序：</w:t>
      </w:r>
    </w:p>
    <w:p w14:paraId="5E1D9244">
      <w:pPr>
        <w:pStyle w:val="12"/>
        <w:snapToGrid w:val="0"/>
        <w:spacing w:after="0" w:line="360" w:lineRule="auto"/>
        <w:ind w:firstLine="480" w:firstLineChars="200"/>
        <w:jc w:val="left"/>
        <w:rPr>
          <w:rFonts w:eastAsia="仿宋"/>
          <w:kern w:val="0"/>
          <w:sz w:val="24"/>
          <w:szCs w:val="24"/>
        </w:rPr>
      </w:pPr>
      <w:r>
        <w:rPr>
          <w:rFonts w:eastAsia="仿宋"/>
          <w:kern w:val="0"/>
          <w:sz w:val="24"/>
          <w:szCs w:val="24"/>
        </w:rPr>
        <w:t>1.投标（响应）报价低于全部通过符合性审查供应商投标（响应）报价平均值50%的，即投标（响应）报价&lt;全部通过符合性审查供应商投标（响应）报价平均值×50%；</w:t>
      </w:r>
    </w:p>
    <w:p w14:paraId="2F812D32">
      <w:pPr>
        <w:pStyle w:val="12"/>
        <w:snapToGrid w:val="0"/>
        <w:spacing w:after="0" w:line="360" w:lineRule="auto"/>
        <w:ind w:firstLine="480" w:firstLineChars="200"/>
        <w:jc w:val="left"/>
        <w:rPr>
          <w:rFonts w:eastAsia="仿宋"/>
          <w:kern w:val="0"/>
          <w:sz w:val="24"/>
          <w:szCs w:val="24"/>
        </w:rPr>
      </w:pPr>
      <w:r>
        <w:rPr>
          <w:rFonts w:eastAsia="仿宋"/>
          <w:kern w:val="0"/>
          <w:sz w:val="24"/>
          <w:szCs w:val="24"/>
        </w:rPr>
        <w:t>2.投标（响应）报价低于通过符合性审查的次低报价供应商投标（响应）报价50%的，即投标（响应）报价&lt;通过符合性审查的次低报价供应商投标（响应）报价×50%；</w:t>
      </w:r>
    </w:p>
    <w:p w14:paraId="09AF9FA0">
      <w:pPr>
        <w:pStyle w:val="12"/>
        <w:snapToGrid w:val="0"/>
        <w:spacing w:after="0" w:line="360" w:lineRule="auto"/>
        <w:ind w:firstLine="480" w:firstLineChars="200"/>
        <w:jc w:val="left"/>
        <w:rPr>
          <w:rFonts w:eastAsia="仿宋"/>
          <w:kern w:val="0"/>
          <w:sz w:val="24"/>
          <w:szCs w:val="24"/>
        </w:rPr>
      </w:pPr>
      <w:r>
        <w:rPr>
          <w:rFonts w:eastAsia="仿宋"/>
          <w:kern w:val="0"/>
          <w:sz w:val="24"/>
          <w:szCs w:val="24"/>
        </w:rPr>
        <w:t>3.投标（响应）报价低于采购项目最高限价45%的，即投标（响应）报价&lt;采购项目最高限价×45%；</w:t>
      </w:r>
    </w:p>
    <w:p w14:paraId="318B630A">
      <w:pPr>
        <w:pStyle w:val="12"/>
        <w:snapToGrid w:val="0"/>
        <w:spacing w:after="0" w:line="360" w:lineRule="auto"/>
        <w:ind w:firstLine="480" w:firstLineChars="200"/>
        <w:jc w:val="left"/>
        <w:rPr>
          <w:rFonts w:eastAsia="仿宋"/>
          <w:kern w:val="0"/>
          <w:sz w:val="24"/>
          <w:szCs w:val="24"/>
        </w:rPr>
      </w:pPr>
      <w:r>
        <w:rPr>
          <w:rFonts w:eastAsia="仿宋"/>
          <w:kern w:val="0"/>
          <w:sz w:val="24"/>
          <w:szCs w:val="24"/>
        </w:rPr>
        <w:t>4.评审委员会基于专业判断，认为供应商报价过低，有可能影响产品质量或者不能诚信履约的其他情形。</w:t>
      </w:r>
    </w:p>
    <w:p w14:paraId="4B634D06">
      <w:pPr>
        <w:pStyle w:val="12"/>
        <w:snapToGrid w:val="0"/>
        <w:spacing w:after="0" w:line="360" w:lineRule="auto"/>
        <w:ind w:firstLine="480" w:firstLineChars="200"/>
        <w:jc w:val="left"/>
        <w:rPr>
          <w:rFonts w:eastAsia="仿宋"/>
          <w:kern w:val="0"/>
          <w:sz w:val="24"/>
          <w:szCs w:val="24"/>
        </w:rPr>
      </w:pPr>
      <w:r>
        <w:rPr>
          <w:rFonts w:eastAsia="仿宋"/>
          <w:kern w:val="0"/>
          <w:sz w:val="24"/>
          <w:szCs w:val="24"/>
        </w:rPr>
        <w:t>采购人可以结合具体项目实际情况，提高上述第1项至第3项中启动异常低价投标（响应）审查的数值标准，但是最高不得超过65%。</w:t>
      </w:r>
    </w:p>
    <w:p w14:paraId="3B8EC994">
      <w:pPr>
        <w:pStyle w:val="12"/>
        <w:snapToGrid w:val="0"/>
        <w:spacing w:after="0" w:line="360" w:lineRule="auto"/>
        <w:ind w:firstLine="480" w:firstLineChars="200"/>
        <w:jc w:val="left"/>
        <w:rPr>
          <w:rFonts w:eastAsia="仿宋"/>
          <w:kern w:val="0"/>
          <w:sz w:val="24"/>
          <w:szCs w:val="24"/>
        </w:rPr>
      </w:pPr>
      <w:r>
        <w:rPr>
          <w:rFonts w:eastAsia="仿宋"/>
          <w:kern w:val="0"/>
          <w:sz w:val="24"/>
          <w:szCs w:val="24"/>
        </w:rPr>
        <w:t>相关法律法规对供应商报价有规定的，从其规定。</w:t>
      </w:r>
    </w:p>
    <w:p w14:paraId="6FD809E8">
      <w:pPr>
        <w:pStyle w:val="12"/>
        <w:snapToGrid w:val="0"/>
        <w:spacing w:after="0" w:line="360" w:lineRule="auto"/>
        <w:ind w:firstLine="480" w:firstLineChars="200"/>
        <w:jc w:val="left"/>
        <w:rPr>
          <w:rFonts w:eastAsia="仿宋"/>
          <w:kern w:val="0"/>
          <w:sz w:val="24"/>
          <w:szCs w:val="24"/>
        </w:rPr>
      </w:pPr>
      <w:r>
        <w:rPr>
          <w:rFonts w:eastAsia="仿宋"/>
          <w:kern w:val="0"/>
          <w:sz w:val="24"/>
          <w:szCs w:val="24"/>
        </w:rPr>
        <w:t>（二）评审委员会启动异常低价投标（响应）审查后，属于前述第1项至第4项情形的，应当要求相关供应商在评审现场合理的时间内对投标（响应）价格作出解释，提供项目具体成本测算等与报价合理性相关的书面说明及必要的证明材料，包括但不限于原材料成本、人工成本、制造费用等，给予相关供应商的合理时间一般不少于30分钟。其中，属于第3项情形，供应商已随投标（响应）文件一并提交相关书面说明及必要的证明材料的，在评审现场可不再重复提交。</w:t>
      </w:r>
    </w:p>
    <w:p w14:paraId="4E00ECA3">
      <w:pPr>
        <w:pStyle w:val="12"/>
        <w:snapToGrid w:val="0"/>
        <w:spacing w:after="0" w:line="360" w:lineRule="auto"/>
        <w:ind w:firstLine="480" w:firstLineChars="200"/>
        <w:jc w:val="left"/>
        <w:rPr>
          <w:rFonts w:eastAsia="仿宋"/>
          <w:kern w:val="0"/>
          <w:sz w:val="24"/>
          <w:szCs w:val="24"/>
        </w:rPr>
      </w:pPr>
      <w:r>
        <w:rPr>
          <w:rFonts w:eastAsia="仿宋"/>
          <w:kern w:val="0"/>
          <w:sz w:val="24"/>
          <w:szCs w:val="24"/>
        </w:rPr>
        <w:t>评审委员会依据专业经验，参考同类项目中标（成交）价格、类似产品市场价格水平、行业人工费用标准、国家有关部门指导行业协会发布的行业平均成本等情况，对报价合理性进行判断。投标（响应）供应商不能提供书面说明、证明材料，或者提供的书面说明、证明材料不能证明其报价合理性的，评审委员会应当将其作为无效投标（响应）处理。</w:t>
      </w:r>
    </w:p>
    <w:p w14:paraId="1482FDA9">
      <w:pPr>
        <w:pStyle w:val="12"/>
        <w:snapToGrid w:val="0"/>
        <w:spacing w:after="0" w:line="360" w:lineRule="auto"/>
        <w:ind w:firstLine="480" w:firstLineChars="200"/>
        <w:jc w:val="left"/>
        <w:rPr>
          <w:rFonts w:eastAsia="仿宋"/>
          <w:kern w:val="0"/>
          <w:sz w:val="24"/>
          <w:szCs w:val="24"/>
        </w:rPr>
      </w:pPr>
      <w:r>
        <w:rPr>
          <w:rFonts w:eastAsia="仿宋"/>
          <w:kern w:val="0"/>
          <w:sz w:val="24"/>
          <w:szCs w:val="24"/>
        </w:rPr>
        <w:t>采购人、采购代理机构应当为评审委员会在评审现场及时获取同类项目中标（成交）价格、类似产品市场价格水平、行业人工费用标准、国家有关部门指导行业协会发布的行业平均成本等相关信息资料提供便利。评审委员会借助互联网等渠道查询相关信息的，应当严格遵守评审工作纪律，不得实施影响评审公正的行为。</w:t>
      </w:r>
    </w:p>
    <w:p w14:paraId="004A0B13">
      <w:pPr>
        <w:pStyle w:val="12"/>
        <w:snapToGrid w:val="0"/>
        <w:spacing w:after="0" w:line="360" w:lineRule="auto"/>
        <w:ind w:firstLine="480" w:firstLineChars="200"/>
        <w:jc w:val="left"/>
        <w:rPr>
          <w:rFonts w:eastAsia="仿宋"/>
          <w:b/>
          <w:bCs/>
          <w:sz w:val="24"/>
          <w:szCs w:val="24"/>
        </w:rPr>
      </w:pPr>
      <w:r>
        <w:rPr>
          <w:rFonts w:eastAsia="仿宋"/>
          <w:kern w:val="0"/>
          <w:sz w:val="24"/>
          <w:szCs w:val="24"/>
        </w:rPr>
        <w:t>异常低价投标（响应）审查的启动原因、审查意见和审查结果应当在评审报告中记录，并随供应商提供的相关书面说明及证明材料，以及评审委员会有关互联网浏览、查询历史一并归档。</w:t>
      </w:r>
    </w:p>
    <w:p w14:paraId="339780BD">
      <w:pPr>
        <w:snapToGrid w:val="0"/>
        <w:spacing w:line="360" w:lineRule="auto"/>
        <w:ind w:firstLine="482" w:firstLineChars="200"/>
        <w:jc w:val="left"/>
        <w:rPr>
          <w:rFonts w:eastAsia="仿宋"/>
          <w:b/>
          <w:bCs/>
          <w:sz w:val="24"/>
          <w:szCs w:val="24"/>
        </w:rPr>
      </w:pPr>
      <w:r>
        <w:rPr>
          <w:rFonts w:hint="eastAsia" w:eastAsia="仿宋"/>
          <w:b/>
          <w:bCs/>
          <w:sz w:val="24"/>
          <w:szCs w:val="24"/>
          <w:lang w:val="en-US" w:eastAsia="zh-CN"/>
        </w:rPr>
        <w:t>29</w:t>
      </w:r>
      <w:r>
        <w:rPr>
          <w:rFonts w:eastAsia="仿宋"/>
          <w:b/>
          <w:bCs/>
          <w:sz w:val="24"/>
          <w:szCs w:val="24"/>
        </w:rPr>
        <w:t>.定标原则</w:t>
      </w:r>
    </w:p>
    <w:p w14:paraId="5632AC46">
      <w:pPr>
        <w:snapToGrid w:val="0"/>
        <w:spacing w:line="360" w:lineRule="auto"/>
        <w:ind w:firstLine="480" w:firstLineChars="200"/>
        <w:jc w:val="left"/>
        <w:rPr>
          <w:rFonts w:eastAsia="仿宋"/>
          <w:sz w:val="24"/>
          <w:szCs w:val="24"/>
        </w:rPr>
      </w:pPr>
      <w:r>
        <w:rPr>
          <w:rFonts w:hint="eastAsia" w:eastAsia="仿宋"/>
          <w:sz w:val="24"/>
          <w:szCs w:val="24"/>
          <w:lang w:val="en-US" w:eastAsia="zh-CN"/>
        </w:rPr>
        <w:t>29</w:t>
      </w:r>
      <w:r>
        <w:rPr>
          <w:rFonts w:eastAsia="仿宋"/>
          <w:sz w:val="24"/>
          <w:szCs w:val="24"/>
        </w:rPr>
        <w:t>.1综合评分法，是指响应文件满足磋商文件全部实质性要求且按评分因素的量化指标评审得分最高的供应商为成交候选供应商的评审方法。</w:t>
      </w:r>
    </w:p>
    <w:p w14:paraId="7107EAF2">
      <w:pPr>
        <w:snapToGrid w:val="0"/>
        <w:spacing w:line="360" w:lineRule="auto"/>
        <w:ind w:firstLine="480" w:firstLineChars="200"/>
        <w:jc w:val="left"/>
        <w:rPr>
          <w:rFonts w:eastAsia="仿宋"/>
          <w:sz w:val="24"/>
          <w:szCs w:val="24"/>
        </w:rPr>
      </w:pPr>
      <w:r>
        <w:rPr>
          <w:rFonts w:hint="eastAsia" w:eastAsia="仿宋"/>
          <w:sz w:val="24"/>
          <w:szCs w:val="24"/>
          <w:lang w:val="en-US" w:eastAsia="zh-CN"/>
        </w:rPr>
        <w:t>29</w:t>
      </w:r>
      <w:r>
        <w:rPr>
          <w:rFonts w:eastAsia="仿宋"/>
          <w:sz w:val="24"/>
          <w:szCs w:val="24"/>
        </w:rPr>
        <w:t>.2磋商小组应当根据综合评分情况，按照评审得分由高到低顺序推荐3名以上成交候选供应商，并编写评审报告。评审得分相同的，按照最后报价由低到高的顺序推荐。评审得分且最后报价相同的，按照技术指标优劣顺序推荐。</w:t>
      </w:r>
    </w:p>
    <w:p w14:paraId="57CD26DF">
      <w:pPr>
        <w:snapToGrid w:val="0"/>
        <w:spacing w:line="360" w:lineRule="auto"/>
        <w:ind w:firstLine="480" w:firstLineChars="200"/>
        <w:jc w:val="left"/>
        <w:rPr>
          <w:rFonts w:eastAsia="仿宋"/>
          <w:sz w:val="24"/>
          <w:szCs w:val="24"/>
        </w:rPr>
      </w:pPr>
      <w:r>
        <w:rPr>
          <w:rFonts w:hint="eastAsia" w:eastAsia="仿宋"/>
          <w:sz w:val="24"/>
          <w:szCs w:val="24"/>
          <w:lang w:val="en-US" w:eastAsia="zh-CN"/>
        </w:rPr>
        <w:t>29</w:t>
      </w:r>
      <w:r>
        <w:rPr>
          <w:rFonts w:eastAsia="仿宋"/>
          <w:sz w:val="24"/>
          <w:szCs w:val="24"/>
        </w:rPr>
        <w:t>.3采购人根据磋商小组的评审报告，应当确定排名第一的成交候选人为成交人。排名第一的成交候选人放弃成交、因不可抗力不能履行合同、不按照磋商文件要求提交履约保证金，或者被查实存在影响成交结果的违法行为等情形，不符合成交条件的，采购人可以按照磋商小组提出的成交候选人名单排序依次确定其他成交候选人为成交人，也可以重新采购。</w:t>
      </w:r>
    </w:p>
    <w:p w14:paraId="745914A5">
      <w:pPr>
        <w:snapToGrid w:val="0"/>
        <w:spacing w:line="360" w:lineRule="auto"/>
        <w:ind w:firstLine="482" w:firstLineChars="200"/>
        <w:jc w:val="left"/>
        <w:rPr>
          <w:rFonts w:eastAsia="仿宋"/>
          <w:b/>
          <w:bCs/>
          <w:sz w:val="24"/>
          <w:szCs w:val="24"/>
        </w:rPr>
      </w:pPr>
      <w:r>
        <w:rPr>
          <w:rFonts w:eastAsia="仿宋"/>
          <w:b/>
          <w:bCs/>
          <w:sz w:val="24"/>
          <w:szCs w:val="24"/>
        </w:rPr>
        <w:t>注：若供应商报价中出现赠送、免费等字样需在备注中进行说明。若其单项或总体报价严重低于其他供应商报价，需向本项目磋商小组做出陈述和答疑，磋商小组依据其陈述和答疑内容评定其是否满足磋商文件要求。（若其陈述和答疑内容不满足招标要求，则视为无效标处理）。</w:t>
      </w:r>
    </w:p>
    <w:p w14:paraId="187A03C4">
      <w:pPr>
        <w:snapToGrid w:val="0"/>
        <w:spacing w:line="360" w:lineRule="auto"/>
        <w:ind w:firstLine="482" w:firstLineChars="200"/>
        <w:jc w:val="center"/>
        <w:rPr>
          <w:rFonts w:eastAsia="仿宋"/>
          <w:b/>
          <w:sz w:val="24"/>
          <w:szCs w:val="24"/>
        </w:rPr>
      </w:pPr>
      <w:r>
        <w:rPr>
          <w:rFonts w:eastAsia="仿宋"/>
          <w:b/>
          <w:sz w:val="24"/>
          <w:szCs w:val="24"/>
        </w:rPr>
        <w:t>授予合同</w:t>
      </w:r>
    </w:p>
    <w:p w14:paraId="1BEF3991">
      <w:pPr>
        <w:snapToGrid w:val="0"/>
        <w:spacing w:line="360" w:lineRule="auto"/>
        <w:ind w:firstLine="480" w:firstLineChars="200"/>
        <w:rPr>
          <w:rFonts w:eastAsia="仿宋"/>
          <w:bCs/>
          <w:sz w:val="24"/>
          <w:szCs w:val="24"/>
        </w:rPr>
      </w:pPr>
      <w:r>
        <w:rPr>
          <w:rFonts w:eastAsia="仿宋"/>
          <w:bCs/>
          <w:sz w:val="24"/>
          <w:szCs w:val="24"/>
        </w:rPr>
        <w:t>3</w:t>
      </w:r>
      <w:r>
        <w:rPr>
          <w:rFonts w:hint="eastAsia" w:eastAsia="仿宋"/>
          <w:bCs/>
          <w:sz w:val="24"/>
          <w:szCs w:val="24"/>
          <w:lang w:val="en-US" w:eastAsia="zh-CN"/>
        </w:rPr>
        <w:t>0</w:t>
      </w:r>
      <w:r>
        <w:rPr>
          <w:rFonts w:eastAsia="仿宋"/>
          <w:bCs/>
          <w:sz w:val="24"/>
          <w:szCs w:val="24"/>
        </w:rPr>
        <w:t>.合同授予标准</w:t>
      </w:r>
    </w:p>
    <w:p w14:paraId="43802E77">
      <w:pPr>
        <w:snapToGrid w:val="0"/>
        <w:spacing w:line="360" w:lineRule="auto"/>
        <w:ind w:firstLine="472" w:firstLineChars="200"/>
        <w:rPr>
          <w:rFonts w:eastAsia="仿宋"/>
          <w:bCs/>
          <w:spacing w:val="-2"/>
          <w:sz w:val="24"/>
          <w:szCs w:val="24"/>
        </w:rPr>
      </w:pPr>
      <w:r>
        <w:rPr>
          <w:rFonts w:eastAsia="仿宋"/>
          <w:bCs/>
          <w:spacing w:val="-2"/>
          <w:sz w:val="24"/>
          <w:szCs w:val="24"/>
        </w:rPr>
        <w:t>3</w:t>
      </w:r>
      <w:r>
        <w:rPr>
          <w:rFonts w:hint="eastAsia" w:eastAsia="仿宋"/>
          <w:bCs/>
          <w:spacing w:val="-2"/>
          <w:sz w:val="24"/>
          <w:szCs w:val="24"/>
          <w:lang w:val="en-US" w:eastAsia="zh-CN"/>
        </w:rPr>
        <w:t>0</w:t>
      </w:r>
      <w:r>
        <w:rPr>
          <w:rFonts w:eastAsia="仿宋"/>
          <w:bCs/>
          <w:spacing w:val="-2"/>
          <w:sz w:val="24"/>
          <w:szCs w:val="24"/>
        </w:rPr>
        <w:t>.1合同将授予被确定为实质上响应磋商文件要求且综合评分得分最高的供应商。</w:t>
      </w:r>
    </w:p>
    <w:p w14:paraId="27836D50">
      <w:pPr>
        <w:snapToGrid w:val="0"/>
        <w:spacing w:line="360" w:lineRule="auto"/>
        <w:ind w:firstLine="472" w:firstLineChars="200"/>
        <w:rPr>
          <w:rFonts w:eastAsia="仿宋"/>
          <w:bCs/>
          <w:spacing w:val="-2"/>
          <w:sz w:val="24"/>
          <w:szCs w:val="24"/>
        </w:rPr>
      </w:pPr>
      <w:r>
        <w:rPr>
          <w:rFonts w:eastAsia="仿宋"/>
          <w:bCs/>
          <w:spacing w:val="-2"/>
          <w:sz w:val="24"/>
          <w:szCs w:val="24"/>
        </w:rPr>
        <w:t>3</w:t>
      </w:r>
      <w:r>
        <w:rPr>
          <w:rFonts w:hint="eastAsia" w:eastAsia="仿宋"/>
          <w:bCs/>
          <w:spacing w:val="-2"/>
          <w:sz w:val="24"/>
          <w:szCs w:val="24"/>
          <w:lang w:val="en-US" w:eastAsia="zh-CN"/>
        </w:rPr>
        <w:t>0</w:t>
      </w:r>
      <w:r>
        <w:rPr>
          <w:rFonts w:eastAsia="仿宋"/>
          <w:bCs/>
          <w:spacing w:val="-2"/>
          <w:sz w:val="24"/>
          <w:szCs w:val="24"/>
        </w:rPr>
        <w:t>.2最低磋商报价不一定是被授予合同的保证。</w:t>
      </w:r>
    </w:p>
    <w:p w14:paraId="780566FB">
      <w:pPr>
        <w:snapToGrid w:val="0"/>
        <w:spacing w:line="360" w:lineRule="auto"/>
        <w:ind w:firstLine="472" w:firstLineChars="200"/>
        <w:rPr>
          <w:rFonts w:eastAsia="仿宋"/>
          <w:bCs/>
          <w:spacing w:val="-2"/>
          <w:sz w:val="24"/>
          <w:szCs w:val="24"/>
        </w:rPr>
      </w:pPr>
      <w:r>
        <w:rPr>
          <w:rFonts w:eastAsia="仿宋"/>
          <w:bCs/>
          <w:spacing w:val="-2"/>
          <w:sz w:val="24"/>
          <w:szCs w:val="24"/>
        </w:rPr>
        <w:t>3</w:t>
      </w:r>
      <w:r>
        <w:rPr>
          <w:rFonts w:hint="eastAsia" w:eastAsia="仿宋"/>
          <w:bCs/>
          <w:spacing w:val="-2"/>
          <w:sz w:val="24"/>
          <w:szCs w:val="24"/>
          <w:lang w:val="en-US" w:eastAsia="zh-CN"/>
        </w:rPr>
        <w:t>0</w:t>
      </w:r>
      <w:r>
        <w:rPr>
          <w:rFonts w:eastAsia="仿宋"/>
          <w:bCs/>
          <w:spacing w:val="-2"/>
          <w:sz w:val="24"/>
          <w:szCs w:val="24"/>
        </w:rPr>
        <w:t>.3如果确定该供应商不能无条件圆满履行合同，采购人将对下一个可能中标的供应商资格做出类似的审查。</w:t>
      </w:r>
    </w:p>
    <w:p w14:paraId="024CB1FC">
      <w:pPr>
        <w:snapToGrid w:val="0"/>
        <w:spacing w:line="360" w:lineRule="auto"/>
        <w:ind w:firstLine="480" w:firstLineChars="200"/>
        <w:rPr>
          <w:rFonts w:eastAsia="仿宋"/>
          <w:bCs/>
          <w:sz w:val="24"/>
          <w:szCs w:val="24"/>
        </w:rPr>
      </w:pPr>
      <w:r>
        <w:rPr>
          <w:rFonts w:eastAsia="仿宋"/>
          <w:bCs/>
          <w:sz w:val="24"/>
          <w:szCs w:val="24"/>
        </w:rPr>
        <w:t>3</w:t>
      </w:r>
      <w:r>
        <w:rPr>
          <w:rFonts w:hint="eastAsia" w:eastAsia="仿宋"/>
          <w:bCs/>
          <w:sz w:val="24"/>
          <w:szCs w:val="24"/>
          <w:lang w:val="en-US" w:eastAsia="zh-CN"/>
        </w:rPr>
        <w:t>1</w:t>
      </w:r>
      <w:r>
        <w:rPr>
          <w:rFonts w:eastAsia="仿宋"/>
          <w:bCs/>
          <w:sz w:val="24"/>
          <w:szCs w:val="24"/>
        </w:rPr>
        <w:t>.成交通知书</w:t>
      </w:r>
    </w:p>
    <w:p w14:paraId="5354BB55">
      <w:pPr>
        <w:snapToGrid w:val="0"/>
        <w:spacing w:line="360" w:lineRule="auto"/>
        <w:ind w:firstLine="472" w:firstLineChars="200"/>
        <w:rPr>
          <w:rFonts w:eastAsia="仿宋"/>
          <w:bCs/>
          <w:spacing w:val="-2"/>
          <w:sz w:val="24"/>
          <w:szCs w:val="24"/>
        </w:rPr>
      </w:pPr>
      <w:r>
        <w:rPr>
          <w:rFonts w:eastAsia="仿宋"/>
          <w:bCs/>
          <w:spacing w:val="-2"/>
          <w:sz w:val="24"/>
          <w:szCs w:val="24"/>
        </w:rPr>
        <w:t>3</w:t>
      </w:r>
      <w:r>
        <w:rPr>
          <w:rFonts w:hint="eastAsia" w:eastAsia="仿宋"/>
          <w:bCs/>
          <w:spacing w:val="-2"/>
          <w:sz w:val="24"/>
          <w:szCs w:val="24"/>
          <w:lang w:val="en-US" w:eastAsia="zh-CN"/>
        </w:rPr>
        <w:t>1</w:t>
      </w:r>
      <w:r>
        <w:rPr>
          <w:rFonts w:eastAsia="仿宋"/>
          <w:bCs/>
          <w:spacing w:val="-2"/>
          <w:sz w:val="24"/>
          <w:szCs w:val="24"/>
        </w:rPr>
        <w:t>.1在公告成交结果的同时，采购人或者采购代理机构应当向中标人发出成交通知书，《成交通知书》一经发出即发生法律效力。</w:t>
      </w:r>
    </w:p>
    <w:p w14:paraId="74A37ADA">
      <w:pPr>
        <w:snapToGrid w:val="0"/>
        <w:spacing w:line="360" w:lineRule="auto"/>
        <w:ind w:firstLine="472" w:firstLineChars="200"/>
        <w:rPr>
          <w:rFonts w:eastAsia="仿宋"/>
          <w:bCs/>
          <w:spacing w:val="-2"/>
          <w:sz w:val="24"/>
          <w:szCs w:val="24"/>
        </w:rPr>
      </w:pPr>
      <w:r>
        <w:rPr>
          <w:rFonts w:eastAsia="仿宋"/>
          <w:bCs/>
          <w:spacing w:val="-2"/>
          <w:sz w:val="24"/>
          <w:szCs w:val="24"/>
        </w:rPr>
        <w:t>3</w:t>
      </w:r>
      <w:r>
        <w:rPr>
          <w:rFonts w:hint="eastAsia" w:eastAsia="仿宋"/>
          <w:bCs/>
          <w:spacing w:val="-2"/>
          <w:sz w:val="24"/>
          <w:szCs w:val="24"/>
          <w:lang w:val="en-US" w:eastAsia="zh-CN"/>
        </w:rPr>
        <w:t>2</w:t>
      </w:r>
      <w:r>
        <w:rPr>
          <w:rFonts w:eastAsia="仿宋"/>
          <w:bCs/>
          <w:spacing w:val="-2"/>
          <w:sz w:val="24"/>
          <w:szCs w:val="24"/>
        </w:rPr>
        <w:t>.《成交通知书》将作为签订合同的依据。</w:t>
      </w:r>
    </w:p>
    <w:p w14:paraId="3EACFF45">
      <w:pPr>
        <w:snapToGrid w:val="0"/>
        <w:spacing w:line="360" w:lineRule="auto"/>
        <w:ind w:firstLine="480" w:firstLineChars="200"/>
        <w:rPr>
          <w:rFonts w:eastAsia="仿宋"/>
          <w:bCs/>
          <w:sz w:val="24"/>
          <w:szCs w:val="24"/>
        </w:rPr>
      </w:pPr>
      <w:r>
        <w:rPr>
          <w:rFonts w:eastAsia="仿宋"/>
          <w:bCs/>
          <w:sz w:val="24"/>
          <w:szCs w:val="24"/>
        </w:rPr>
        <w:t>3</w:t>
      </w:r>
      <w:r>
        <w:rPr>
          <w:rFonts w:hint="eastAsia" w:eastAsia="仿宋"/>
          <w:bCs/>
          <w:sz w:val="24"/>
          <w:szCs w:val="24"/>
          <w:lang w:val="en-US" w:eastAsia="zh-CN"/>
        </w:rPr>
        <w:t>3</w:t>
      </w:r>
      <w:r>
        <w:rPr>
          <w:rFonts w:eastAsia="仿宋"/>
          <w:bCs/>
          <w:sz w:val="24"/>
          <w:szCs w:val="24"/>
        </w:rPr>
        <w:t>.签订合同</w:t>
      </w:r>
    </w:p>
    <w:p w14:paraId="0DC9E07F">
      <w:pPr>
        <w:snapToGrid w:val="0"/>
        <w:spacing w:line="360" w:lineRule="auto"/>
        <w:ind w:firstLine="472" w:firstLineChars="200"/>
        <w:rPr>
          <w:rFonts w:eastAsia="仿宋"/>
          <w:bCs/>
          <w:spacing w:val="-2"/>
          <w:sz w:val="24"/>
          <w:szCs w:val="24"/>
        </w:rPr>
      </w:pPr>
      <w:r>
        <w:rPr>
          <w:rFonts w:eastAsia="仿宋"/>
          <w:bCs/>
          <w:spacing w:val="-2"/>
          <w:sz w:val="24"/>
          <w:szCs w:val="24"/>
        </w:rPr>
        <w:t>3</w:t>
      </w:r>
      <w:r>
        <w:rPr>
          <w:rFonts w:hint="eastAsia" w:eastAsia="仿宋"/>
          <w:bCs/>
          <w:spacing w:val="-2"/>
          <w:sz w:val="24"/>
          <w:szCs w:val="24"/>
          <w:lang w:val="en-US" w:eastAsia="zh-CN"/>
        </w:rPr>
        <w:t>3</w:t>
      </w:r>
      <w:r>
        <w:rPr>
          <w:rFonts w:eastAsia="仿宋"/>
          <w:bCs/>
          <w:spacing w:val="-2"/>
          <w:sz w:val="24"/>
          <w:szCs w:val="24"/>
        </w:rPr>
        <w:t>.1成交供应商按照公开招标和成交供应商所响应文件中的约定与买方签订书面合同，所签订的合同不得对公开招标和成交供应商的响应文件作实质性修改。</w:t>
      </w:r>
    </w:p>
    <w:p w14:paraId="14B6273B">
      <w:pPr>
        <w:snapToGrid w:val="0"/>
        <w:spacing w:line="360" w:lineRule="auto"/>
        <w:ind w:firstLine="472" w:firstLineChars="200"/>
        <w:rPr>
          <w:rFonts w:eastAsia="仿宋"/>
          <w:bCs/>
          <w:spacing w:val="-2"/>
          <w:sz w:val="24"/>
          <w:szCs w:val="24"/>
        </w:rPr>
      </w:pPr>
      <w:r>
        <w:rPr>
          <w:rFonts w:eastAsia="仿宋"/>
          <w:bCs/>
          <w:spacing w:val="-2"/>
          <w:sz w:val="24"/>
          <w:szCs w:val="24"/>
        </w:rPr>
        <w:t>3</w:t>
      </w:r>
      <w:r>
        <w:rPr>
          <w:rFonts w:hint="eastAsia" w:eastAsia="仿宋"/>
          <w:bCs/>
          <w:spacing w:val="-2"/>
          <w:sz w:val="24"/>
          <w:szCs w:val="24"/>
          <w:lang w:val="en-US" w:eastAsia="zh-CN"/>
        </w:rPr>
        <w:t>3</w:t>
      </w:r>
      <w:r>
        <w:rPr>
          <w:rFonts w:eastAsia="仿宋"/>
          <w:bCs/>
          <w:spacing w:val="-2"/>
          <w:sz w:val="24"/>
          <w:szCs w:val="24"/>
        </w:rPr>
        <w:t>.2如成交供应商拒签合同，则按违约处理。采购人没收其磋商保证金。</w:t>
      </w:r>
    </w:p>
    <w:p w14:paraId="2B0BB3AA">
      <w:pPr>
        <w:snapToGrid w:val="0"/>
        <w:spacing w:line="360" w:lineRule="auto"/>
        <w:ind w:firstLine="472" w:firstLineChars="200"/>
        <w:rPr>
          <w:rFonts w:eastAsia="仿宋"/>
          <w:bCs/>
          <w:spacing w:val="-2"/>
          <w:sz w:val="24"/>
          <w:szCs w:val="24"/>
        </w:rPr>
      </w:pPr>
      <w:r>
        <w:rPr>
          <w:rFonts w:eastAsia="仿宋"/>
          <w:bCs/>
          <w:spacing w:val="-2"/>
          <w:sz w:val="24"/>
          <w:szCs w:val="24"/>
        </w:rPr>
        <w:t>3</w:t>
      </w:r>
      <w:r>
        <w:rPr>
          <w:rFonts w:hint="eastAsia" w:eastAsia="仿宋"/>
          <w:bCs/>
          <w:spacing w:val="-2"/>
          <w:sz w:val="24"/>
          <w:szCs w:val="24"/>
          <w:lang w:val="en-US" w:eastAsia="zh-CN"/>
        </w:rPr>
        <w:t>3</w:t>
      </w:r>
      <w:r>
        <w:rPr>
          <w:rFonts w:eastAsia="仿宋"/>
          <w:bCs/>
          <w:spacing w:val="-2"/>
          <w:sz w:val="24"/>
          <w:szCs w:val="24"/>
        </w:rPr>
        <w:t>.3磋商文件、成交供应商的响应文件及其澄清文件等，均为签订合同的依据。</w:t>
      </w:r>
    </w:p>
    <w:p w14:paraId="7AF84131">
      <w:pPr>
        <w:snapToGrid w:val="0"/>
        <w:spacing w:line="360" w:lineRule="auto"/>
        <w:ind w:firstLine="472" w:firstLineChars="200"/>
        <w:rPr>
          <w:rFonts w:eastAsia="仿宋"/>
          <w:bCs/>
          <w:spacing w:val="-2"/>
          <w:sz w:val="24"/>
          <w:szCs w:val="24"/>
        </w:rPr>
      </w:pPr>
      <w:r>
        <w:rPr>
          <w:rFonts w:eastAsia="仿宋"/>
          <w:bCs/>
          <w:spacing w:val="-2"/>
          <w:sz w:val="24"/>
          <w:szCs w:val="24"/>
        </w:rPr>
        <w:t>3</w:t>
      </w:r>
      <w:r>
        <w:rPr>
          <w:rFonts w:hint="eastAsia" w:eastAsia="仿宋"/>
          <w:bCs/>
          <w:spacing w:val="-2"/>
          <w:sz w:val="24"/>
          <w:szCs w:val="24"/>
          <w:lang w:val="en-US" w:eastAsia="zh-CN"/>
        </w:rPr>
        <w:t>3</w:t>
      </w:r>
      <w:r>
        <w:rPr>
          <w:rFonts w:eastAsia="仿宋"/>
          <w:bCs/>
          <w:spacing w:val="-2"/>
          <w:sz w:val="24"/>
          <w:szCs w:val="24"/>
        </w:rPr>
        <w:t>.4不允许中标人将中标项目分包或转交他人承担。特殊情况下，中标人必须与采购人协商后共同决定将合同标的中的部分由第三方承担服务责任，但成交供应商必须对合同标的的全部内容向采购人负责，并保证第三方提供的服务符合磋商文件的约定和响应文件的承诺及相关约定。</w:t>
      </w:r>
    </w:p>
    <w:bookmarkEnd w:id="4"/>
    <w:p w14:paraId="20E9FD19">
      <w:pPr>
        <w:snapToGrid w:val="0"/>
        <w:spacing w:line="360" w:lineRule="auto"/>
        <w:ind w:firstLine="472" w:firstLineChars="200"/>
        <w:rPr>
          <w:rFonts w:eastAsia="仿宋"/>
          <w:bCs/>
          <w:spacing w:val="-2"/>
          <w:sz w:val="24"/>
          <w:szCs w:val="24"/>
        </w:rPr>
      </w:pPr>
      <w:r>
        <w:rPr>
          <w:rFonts w:eastAsia="仿宋"/>
          <w:bCs/>
          <w:spacing w:val="-2"/>
          <w:sz w:val="24"/>
          <w:szCs w:val="24"/>
        </w:rPr>
        <w:t>3</w:t>
      </w:r>
      <w:r>
        <w:rPr>
          <w:rFonts w:hint="eastAsia" w:eastAsia="仿宋"/>
          <w:bCs/>
          <w:spacing w:val="-2"/>
          <w:sz w:val="24"/>
          <w:szCs w:val="24"/>
          <w:lang w:val="en-US" w:eastAsia="zh-CN"/>
        </w:rPr>
        <w:t>4</w:t>
      </w:r>
      <w:r>
        <w:rPr>
          <w:rFonts w:eastAsia="仿宋"/>
          <w:bCs/>
          <w:spacing w:val="-2"/>
          <w:sz w:val="24"/>
          <w:szCs w:val="24"/>
        </w:rPr>
        <w:t>.签订商务合同</w:t>
      </w:r>
    </w:p>
    <w:p w14:paraId="4B9F6B24">
      <w:pPr>
        <w:snapToGrid w:val="0"/>
        <w:spacing w:line="360" w:lineRule="auto"/>
        <w:ind w:firstLine="472" w:firstLineChars="200"/>
        <w:rPr>
          <w:rFonts w:eastAsia="仿宋"/>
          <w:bCs/>
          <w:spacing w:val="-2"/>
          <w:sz w:val="24"/>
          <w:szCs w:val="24"/>
        </w:rPr>
      </w:pPr>
      <w:r>
        <w:rPr>
          <w:rFonts w:eastAsia="仿宋"/>
          <w:bCs/>
          <w:spacing w:val="-2"/>
          <w:sz w:val="24"/>
          <w:szCs w:val="24"/>
        </w:rPr>
        <w:t>3</w:t>
      </w:r>
      <w:r>
        <w:rPr>
          <w:rFonts w:hint="eastAsia" w:eastAsia="仿宋"/>
          <w:bCs/>
          <w:spacing w:val="-2"/>
          <w:sz w:val="24"/>
          <w:szCs w:val="24"/>
          <w:lang w:val="en-US" w:eastAsia="zh-CN"/>
        </w:rPr>
        <w:t>4</w:t>
      </w:r>
      <w:r>
        <w:rPr>
          <w:rFonts w:eastAsia="仿宋"/>
          <w:bCs/>
          <w:spacing w:val="-2"/>
          <w:sz w:val="24"/>
          <w:szCs w:val="24"/>
        </w:rPr>
        <w:t>.1采购人与成交供应商应当在成交通知书发出之日起30日内，按照磋商文件确定的事项签订政府采购合同。</w:t>
      </w:r>
    </w:p>
    <w:p w14:paraId="3DDE33B9">
      <w:pPr>
        <w:snapToGrid w:val="0"/>
        <w:spacing w:line="360" w:lineRule="auto"/>
        <w:ind w:firstLine="472" w:firstLineChars="200"/>
        <w:rPr>
          <w:rFonts w:eastAsia="仿宋"/>
          <w:bCs/>
          <w:spacing w:val="-2"/>
          <w:sz w:val="24"/>
          <w:szCs w:val="24"/>
        </w:rPr>
      </w:pPr>
      <w:r>
        <w:rPr>
          <w:rFonts w:eastAsia="仿宋"/>
          <w:bCs/>
          <w:spacing w:val="-2"/>
          <w:sz w:val="24"/>
          <w:szCs w:val="24"/>
        </w:rPr>
        <w:t>成交通知书对采购人和成交供应商均具有法律效力。成交通知书发出后，采购人改变成交结果的，或者成交供应商放弃成交项目的，应当依法承担法律责任。</w:t>
      </w:r>
    </w:p>
    <w:p w14:paraId="10730C6A">
      <w:pPr>
        <w:snapToGrid w:val="0"/>
        <w:spacing w:line="360" w:lineRule="auto"/>
        <w:ind w:firstLine="472" w:firstLineChars="200"/>
        <w:rPr>
          <w:rFonts w:eastAsia="仿宋"/>
          <w:bCs/>
          <w:spacing w:val="-2"/>
          <w:sz w:val="24"/>
          <w:szCs w:val="24"/>
        </w:rPr>
      </w:pPr>
      <w:r>
        <w:rPr>
          <w:rFonts w:eastAsia="仿宋"/>
          <w:bCs/>
          <w:spacing w:val="-2"/>
          <w:sz w:val="24"/>
          <w:szCs w:val="24"/>
        </w:rPr>
        <w:t>3</w:t>
      </w:r>
      <w:r>
        <w:rPr>
          <w:rFonts w:hint="eastAsia" w:eastAsia="仿宋"/>
          <w:bCs/>
          <w:spacing w:val="-2"/>
          <w:sz w:val="24"/>
          <w:szCs w:val="24"/>
          <w:lang w:val="en-US" w:eastAsia="zh-CN"/>
        </w:rPr>
        <w:t>4</w:t>
      </w:r>
      <w:r>
        <w:rPr>
          <w:rFonts w:eastAsia="仿宋"/>
          <w:bCs/>
          <w:spacing w:val="-2"/>
          <w:sz w:val="24"/>
          <w:szCs w:val="24"/>
        </w:rPr>
        <w:t>.2成交合同不得转让。合同分包需在响应文件中予以说明，并需经采购人同意。否则，采购人有权取消成交供应商的成交资格。</w:t>
      </w:r>
    </w:p>
    <w:p w14:paraId="28AFE792">
      <w:pPr>
        <w:snapToGrid w:val="0"/>
        <w:spacing w:line="360" w:lineRule="auto"/>
        <w:ind w:firstLine="472" w:firstLineChars="200"/>
        <w:rPr>
          <w:rFonts w:eastAsia="仿宋"/>
          <w:bCs/>
          <w:spacing w:val="-2"/>
          <w:sz w:val="24"/>
          <w:szCs w:val="24"/>
        </w:rPr>
      </w:pPr>
      <w:r>
        <w:rPr>
          <w:rFonts w:eastAsia="仿宋"/>
          <w:bCs/>
          <w:spacing w:val="-2"/>
          <w:sz w:val="24"/>
          <w:szCs w:val="24"/>
        </w:rPr>
        <w:t>3</w:t>
      </w:r>
      <w:r>
        <w:rPr>
          <w:rFonts w:hint="eastAsia" w:eastAsia="仿宋"/>
          <w:bCs/>
          <w:spacing w:val="-2"/>
          <w:sz w:val="24"/>
          <w:szCs w:val="24"/>
          <w:lang w:val="en-US" w:eastAsia="zh-CN"/>
        </w:rPr>
        <w:t>4</w:t>
      </w:r>
      <w:r>
        <w:rPr>
          <w:rFonts w:eastAsia="仿宋"/>
          <w:bCs/>
          <w:spacing w:val="-2"/>
          <w:sz w:val="24"/>
          <w:szCs w:val="24"/>
        </w:rPr>
        <w:t>.3磋商文件要求成交供应商提交履约磋商保证金的，供应商应当以支票、汇票、本票或者金融机构、担保机构出具的保函等非现金形式提交。</w:t>
      </w:r>
    </w:p>
    <w:p w14:paraId="7F539431">
      <w:pPr>
        <w:snapToGrid w:val="0"/>
        <w:spacing w:line="360" w:lineRule="auto"/>
        <w:ind w:firstLine="472" w:firstLineChars="200"/>
        <w:rPr>
          <w:rFonts w:eastAsia="仿宋"/>
          <w:bCs/>
          <w:spacing w:val="-2"/>
          <w:sz w:val="24"/>
          <w:szCs w:val="24"/>
        </w:rPr>
      </w:pPr>
      <w:r>
        <w:rPr>
          <w:rFonts w:eastAsia="仿宋"/>
          <w:bCs/>
          <w:spacing w:val="-2"/>
          <w:sz w:val="24"/>
          <w:szCs w:val="24"/>
        </w:rPr>
        <w:t>3</w:t>
      </w:r>
      <w:r>
        <w:rPr>
          <w:rFonts w:hint="eastAsia" w:eastAsia="仿宋"/>
          <w:bCs/>
          <w:spacing w:val="-2"/>
          <w:sz w:val="24"/>
          <w:szCs w:val="24"/>
          <w:lang w:val="en-US" w:eastAsia="zh-CN"/>
        </w:rPr>
        <w:t>4</w:t>
      </w:r>
      <w:r>
        <w:rPr>
          <w:rFonts w:eastAsia="仿宋"/>
          <w:bCs/>
          <w:spacing w:val="-2"/>
          <w:sz w:val="24"/>
          <w:szCs w:val="24"/>
        </w:rPr>
        <w:t>.4成交供应商拒绝与采购人签订合同的，采购人可以按照评审报告推荐的</w:t>
      </w:r>
    </w:p>
    <w:p w14:paraId="446918EE">
      <w:pPr>
        <w:snapToGrid w:val="0"/>
        <w:spacing w:line="360" w:lineRule="auto"/>
        <w:ind w:firstLine="472" w:firstLineChars="200"/>
        <w:rPr>
          <w:rFonts w:eastAsia="仿宋"/>
          <w:bCs/>
          <w:spacing w:val="-2"/>
          <w:sz w:val="24"/>
          <w:szCs w:val="24"/>
        </w:rPr>
      </w:pPr>
      <w:r>
        <w:rPr>
          <w:rFonts w:eastAsia="仿宋"/>
          <w:bCs/>
          <w:spacing w:val="-2"/>
          <w:sz w:val="24"/>
          <w:szCs w:val="24"/>
        </w:rPr>
        <w:t>成交候选人名单排序，确定下一候选人为成交供应商，也可以重新开展政府采购活动。</w:t>
      </w:r>
    </w:p>
    <w:p w14:paraId="0EEE497E">
      <w:pPr>
        <w:snapToGrid w:val="0"/>
        <w:spacing w:line="360" w:lineRule="auto"/>
        <w:ind w:firstLine="472" w:firstLineChars="200"/>
        <w:rPr>
          <w:rFonts w:eastAsia="仿宋"/>
          <w:bCs/>
          <w:spacing w:val="-2"/>
          <w:sz w:val="24"/>
          <w:szCs w:val="24"/>
        </w:rPr>
      </w:pPr>
      <w:r>
        <w:rPr>
          <w:rFonts w:eastAsia="仿宋"/>
          <w:bCs/>
          <w:spacing w:val="-2"/>
          <w:sz w:val="24"/>
          <w:szCs w:val="24"/>
        </w:rPr>
        <w:t>3</w:t>
      </w:r>
      <w:r>
        <w:rPr>
          <w:rFonts w:hint="eastAsia" w:eastAsia="仿宋"/>
          <w:bCs/>
          <w:spacing w:val="-2"/>
          <w:sz w:val="24"/>
          <w:szCs w:val="24"/>
          <w:lang w:val="en-US" w:eastAsia="zh-CN"/>
        </w:rPr>
        <w:t>4</w:t>
      </w:r>
      <w:r>
        <w:rPr>
          <w:rFonts w:eastAsia="仿宋"/>
          <w:bCs/>
          <w:spacing w:val="-2"/>
          <w:sz w:val="24"/>
          <w:szCs w:val="24"/>
        </w:rPr>
        <w:t>.5政府采购合同的双方当事人不得擅自变更、中止或者终止合同。</w:t>
      </w:r>
    </w:p>
    <w:p w14:paraId="668610E2">
      <w:pPr>
        <w:snapToGrid w:val="0"/>
        <w:spacing w:line="360" w:lineRule="auto"/>
        <w:ind w:firstLine="472" w:firstLineChars="200"/>
        <w:rPr>
          <w:rFonts w:eastAsia="仿宋"/>
          <w:bCs/>
          <w:spacing w:val="-2"/>
          <w:sz w:val="24"/>
          <w:szCs w:val="24"/>
        </w:rPr>
      </w:pPr>
      <w:r>
        <w:rPr>
          <w:rFonts w:eastAsia="仿宋"/>
          <w:bCs/>
          <w:spacing w:val="-2"/>
          <w:sz w:val="24"/>
          <w:szCs w:val="24"/>
        </w:rPr>
        <w:t>政府采购合同继续履行将损害国家利益和社会公共利益的，双方当事人应当变更、中止或者终止合同。有过错的一方应当承担赔偿责任，双方都有过错的，各自承担相应的责任。</w:t>
      </w:r>
    </w:p>
    <w:p w14:paraId="40428B16">
      <w:pPr>
        <w:snapToGrid w:val="0"/>
        <w:spacing w:line="360" w:lineRule="auto"/>
        <w:ind w:firstLine="472" w:firstLineChars="200"/>
        <w:rPr>
          <w:rFonts w:eastAsia="仿宋"/>
          <w:bCs/>
          <w:spacing w:val="-2"/>
          <w:sz w:val="24"/>
          <w:szCs w:val="24"/>
        </w:rPr>
      </w:pPr>
      <w:r>
        <w:rPr>
          <w:rFonts w:eastAsia="仿宋"/>
          <w:bCs/>
          <w:spacing w:val="-2"/>
          <w:sz w:val="24"/>
          <w:szCs w:val="24"/>
        </w:rPr>
        <w:t>3</w:t>
      </w:r>
      <w:r>
        <w:rPr>
          <w:rFonts w:hint="eastAsia" w:eastAsia="仿宋"/>
          <w:bCs/>
          <w:spacing w:val="-2"/>
          <w:sz w:val="24"/>
          <w:szCs w:val="24"/>
          <w:lang w:val="en-US" w:eastAsia="zh-CN"/>
        </w:rPr>
        <w:t>5</w:t>
      </w:r>
      <w:r>
        <w:rPr>
          <w:rFonts w:eastAsia="仿宋"/>
          <w:bCs/>
          <w:spacing w:val="-2"/>
          <w:sz w:val="24"/>
          <w:szCs w:val="24"/>
        </w:rPr>
        <w:t>.商务合同的组成</w:t>
      </w:r>
    </w:p>
    <w:p w14:paraId="53DEB4CA">
      <w:pPr>
        <w:snapToGrid w:val="0"/>
        <w:spacing w:line="360" w:lineRule="auto"/>
        <w:ind w:firstLine="472" w:firstLineChars="200"/>
        <w:rPr>
          <w:rFonts w:eastAsia="仿宋"/>
          <w:bCs/>
          <w:spacing w:val="-2"/>
          <w:sz w:val="24"/>
          <w:szCs w:val="24"/>
        </w:rPr>
      </w:pPr>
      <w:r>
        <w:rPr>
          <w:rFonts w:eastAsia="仿宋"/>
          <w:bCs/>
          <w:spacing w:val="-2"/>
          <w:sz w:val="24"/>
          <w:szCs w:val="24"/>
        </w:rPr>
        <w:t>3</w:t>
      </w:r>
      <w:r>
        <w:rPr>
          <w:rFonts w:hint="eastAsia" w:eastAsia="仿宋"/>
          <w:bCs/>
          <w:spacing w:val="-2"/>
          <w:sz w:val="24"/>
          <w:szCs w:val="24"/>
          <w:lang w:val="en-US" w:eastAsia="zh-CN"/>
        </w:rPr>
        <w:t>5</w:t>
      </w:r>
      <w:r>
        <w:rPr>
          <w:rFonts w:eastAsia="仿宋"/>
          <w:bCs/>
          <w:spacing w:val="-2"/>
          <w:sz w:val="24"/>
          <w:szCs w:val="24"/>
        </w:rPr>
        <w:t>.1下列文件均为商务合同不可分割的组成部分：</w:t>
      </w:r>
    </w:p>
    <w:p w14:paraId="21CA9582">
      <w:pPr>
        <w:snapToGrid w:val="0"/>
        <w:spacing w:line="360" w:lineRule="auto"/>
        <w:ind w:firstLine="472" w:firstLineChars="200"/>
        <w:rPr>
          <w:rFonts w:eastAsia="仿宋"/>
          <w:bCs/>
          <w:spacing w:val="-2"/>
          <w:sz w:val="24"/>
          <w:szCs w:val="24"/>
        </w:rPr>
      </w:pPr>
      <w:r>
        <w:rPr>
          <w:rFonts w:eastAsia="仿宋"/>
          <w:bCs/>
          <w:spacing w:val="-2"/>
          <w:sz w:val="24"/>
          <w:szCs w:val="24"/>
        </w:rPr>
        <w:t>(1)成交通知书；</w:t>
      </w:r>
    </w:p>
    <w:p w14:paraId="73D653D2">
      <w:pPr>
        <w:snapToGrid w:val="0"/>
        <w:spacing w:line="360" w:lineRule="auto"/>
        <w:ind w:firstLine="472" w:firstLineChars="200"/>
        <w:rPr>
          <w:rFonts w:eastAsia="仿宋"/>
          <w:bCs/>
          <w:spacing w:val="-2"/>
          <w:sz w:val="24"/>
          <w:szCs w:val="24"/>
        </w:rPr>
      </w:pPr>
      <w:r>
        <w:rPr>
          <w:rFonts w:eastAsia="仿宋"/>
          <w:bCs/>
          <w:spacing w:val="-2"/>
          <w:sz w:val="24"/>
          <w:szCs w:val="24"/>
        </w:rPr>
        <w:t>(2)成交供应商的响应文件；</w:t>
      </w:r>
    </w:p>
    <w:p w14:paraId="005A96F4">
      <w:pPr>
        <w:snapToGrid w:val="0"/>
        <w:spacing w:line="360" w:lineRule="auto"/>
        <w:ind w:firstLine="472" w:firstLineChars="200"/>
        <w:rPr>
          <w:rFonts w:eastAsia="仿宋"/>
          <w:bCs/>
          <w:spacing w:val="-2"/>
          <w:sz w:val="24"/>
          <w:szCs w:val="24"/>
        </w:rPr>
      </w:pPr>
      <w:r>
        <w:rPr>
          <w:rFonts w:eastAsia="仿宋"/>
          <w:bCs/>
          <w:spacing w:val="-2"/>
          <w:sz w:val="24"/>
          <w:szCs w:val="24"/>
        </w:rPr>
        <w:t>(3)供应商澄清、说明或补正文件；</w:t>
      </w:r>
    </w:p>
    <w:p w14:paraId="2E5DC544">
      <w:pPr>
        <w:snapToGrid w:val="0"/>
        <w:spacing w:line="360" w:lineRule="auto"/>
        <w:ind w:firstLine="472" w:firstLineChars="200"/>
        <w:rPr>
          <w:rFonts w:eastAsia="仿宋"/>
          <w:sz w:val="24"/>
          <w:szCs w:val="24"/>
        </w:rPr>
      </w:pPr>
      <w:r>
        <w:rPr>
          <w:rFonts w:eastAsia="仿宋"/>
          <w:bCs/>
          <w:spacing w:val="-2"/>
          <w:sz w:val="24"/>
          <w:szCs w:val="24"/>
        </w:rPr>
        <w:t>(4)磋商文件。</w:t>
      </w:r>
    </w:p>
    <w:p w14:paraId="5E658523">
      <w:pPr>
        <w:pStyle w:val="29"/>
        <w:snapToGrid w:val="0"/>
        <w:spacing w:line="360" w:lineRule="auto"/>
        <w:ind w:firstLine="482" w:firstLineChars="200"/>
        <w:rPr>
          <w:rFonts w:ascii="Times New Roman" w:hAnsi="Times New Roman" w:eastAsia="仿宋"/>
          <w:b/>
          <w:bCs/>
          <w:color w:val="auto"/>
        </w:rPr>
      </w:pPr>
      <w:r>
        <w:rPr>
          <w:rFonts w:ascii="Times New Roman" w:hAnsi="Times New Roman" w:eastAsia="仿宋"/>
          <w:b/>
          <w:bCs/>
          <w:color w:val="auto"/>
        </w:rPr>
        <w:t>3</w:t>
      </w:r>
      <w:r>
        <w:rPr>
          <w:rFonts w:hint="eastAsia" w:ascii="Times New Roman" w:hAnsi="Times New Roman" w:eastAsia="仿宋"/>
          <w:b/>
          <w:bCs/>
          <w:color w:val="auto"/>
          <w:lang w:val="en-US" w:eastAsia="zh-CN"/>
        </w:rPr>
        <w:t>6</w:t>
      </w:r>
      <w:r>
        <w:rPr>
          <w:rFonts w:ascii="Times New Roman" w:hAnsi="Times New Roman" w:eastAsia="仿宋"/>
          <w:b/>
          <w:bCs/>
          <w:color w:val="auto"/>
        </w:rPr>
        <w:t>.采购人更改采购服务期限的权利</w:t>
      </w:r>
    </w:p>
    <w:p w14:paraId="77B18A38">
      <w:pPr>
        <w:pStyle w:val="29"/>
        <w:snapToGrid w:val="0"/>
        <w:spacing w:line="360" w:lineRule="auto"/>
        <w:ind w:firstLine="472" w:firstLineChars="200"/>
        <w:rPr>
          <w:rFonts w:ascii="Times New Roman" w:hAnsi="Times New Roman" w:eastAsia="仿宋"/>
          <w:bCs/>
          <w:color w:val="auto"/>
          <w:spacing w:val="-2"/>
        </w:rPr>
      </w:pPr>
      <w:r>
        <w:rPr>
          <w:rFonts w:ascii="Times New Roman" w:hAnsi="Times New Roman" w:eastAsia="仿宋"/>
          <w:bCs/>
          <w:color w:val="auto"/>
          <w:spacing w:val="-2"/>
        </w:rPr>
        <w:t>政府采购合同履行中，采购人需追加与合同标的相同的服务的，在不改变合同其他条款的前提下，可以与供应商协商签订补充合同，但所有补充合同的采购金额不得超过原合同采购金额的10%。</w:t>
      </w:r>
    </w:p>
    <w:p w14:paraId="711085DE">
      <w:pPr>
        <w:pStyle w:val="29"/>
        <w:snapToGrid w:val="0"/>
        <w:spacing w:line="360" w:lineRule="auto"/>
        <w:ind w:firstLine="482" w:firstLineChars="200"/>
        <w:rPr>
          <w:rFonts w:ascii="Times New Roman" w:hAnsi="Times New Roman" w:eastAsia="仿宋"/>
          <w:b/>
          <w:bCs/>
          <w:color w:val="auto"/>
        </w:rPr>
      </w:pPr>
      <w:r>
        <w:rPr>
          <w:rFonts w:ascii="Times New Roman" w:hAnsi="Times New Roman" w:eastAsia="仿宋"/>
          <w:b/>
          <w:bCs/>
          <w:color w:val="auto"/>
        </w:rPr>
        <w:t>3</w:t>
      </w:r>
      <w:r>
        <w:rPr>
          <w:rFonts w:hint="eastAsia" w:ascii="Times New Roman" w:hAnsi="Times New Roman" w:eastAsia="仿宋"/>
          <w:b/>
          <w:bCs/>
          <w:color w:val="auto"/>
          <w:lang w:val="en-US" w:eastAsia="zh-CN"/>
        </w:rPr>
        <w:t>7</w:t>
      </w:r>
      <w:r>
        <w:rPr>
          <w:rFonts w:ascii="Times New Roman" w:hAnsi="Times New Roman" w:eastAsia="仿宋"/>
          <w:b/>
          <w:bCs/>
          <w:color w:val="auto"/>
        </w:rPr>
        <w:t>.其他事项</w:t>
      </w:r>
    </w:p>
    <w:p w14:paraId="21EC9BD9">
      <w:pPr>
        <w:pStyle w:val="29"/>
        <w:snapToGrid w:val="0"/>
        <w:spacing w:line="360" w:lineRule="auto"/>
        <w:ind w:firstLine="472" w:firstLineChars="200"/>
        <w:rPr>
          <w:rFonts w:ascii="Times New Roman" w:hAnsi="Times New Roman" w:eastAsia="仿宋"/>
          <w:bCs/>
          <w:color w:val="auto"/>
          <w:spacing w:val="-2"/>
        </w:rPr>
      </w:pPr>
      <w:r>
        <w:rPr>
          <w:rFonts w:ascii="Times New Roman" w:hAnsi="Times New Roman" w:eastAsia="仿宋"/>
          <w:bCs/>
          <w:color w:val="auto"/>
          <w:spacing w:val="-2"/>
        </w:rPr>
        <w:t>3</w:t>
      </w:r>
      <w:r>
        <w:rPr>
          <w:rFonts w:hint="eastAsia" w:ascii="Times New Roman" w:hAnsi="Times New Roman" w:eastAsia="仿宋"/>
          <w:bCs/>
          <w:color w:val="auto"/>
          <w:spacing w:val="-2"/>
          <w:lang w:val="en-US" w:eastAsia="zh-CN"/>
        </w:rPr>
        <w:t>7</w:t>
      </w:r>
      <w:r>
        <w:rPr>
          <w:rFonts w:ascii="Times New Roman" w:hAnsi="Times New Roman" w:eastAsia="仿宋"/>
          <w:bCs/>
          <w:color w:val="auto"/>
          <w:spacing w:val="-2"/>
        </w:rPr>
        <w:t>.1本磋商文件是根据《中华人民共和国政府采购法》、《政府采购竞争性磋商采购方式管理暂行办法》的规定编制，解释权属中合安建工程管理有限公司。</w:t>
      </w:r>
    </w:p>
    <w:p w14:paraId="0D239399">
      <w:pPr>
        <w:pStyle w:val="29"/>
        <w:snapToGrid w:val="0"/>
        <w:spacing w:line="360" w:lineRule="auto"/>
        <w:ind w:firstLine="472" w:firstLineChars="200"/>
        <w:rPr>
          <w:rFonts w:ascii="Times New Roman" w:hAnsi="Times New Roman" w:eastAsia="仿宋"/>
          <w:bCs/>
          <w:color w:val="auto"/>
          <w:spacing w:val="-2"/>
        </w:rPr>
      </w:pPr>
      <w:r>
        <w:rPr>
          <w:rFonts w:ascii="Times New Roman" w:hAnsi="Times New Roman" w:eastAsia="仿宋"/>
          <w:bCs/>
          <w:color w:val="auto"/>
          <w:spacing w:val="-2"/>
        </w:rPr>
        <w:t>3</w:t>
      </w:r>
      <w:r>
        <w:rPr>
          <w:rFonts w:hint="eastAsia" w:ascii="Times New Roman" w:hAnsi="Times New Roman" w:eastAsia="仿宋"/>
          <w:bCs/>
          <w:color w:val="auto"/>
          <w:spacing w:val="-2"/>
          <w:lang w:val="en-US" w:eastAsia="zh-CN"/>
        </w:rPr>
        <w:t>7</w:t>
      </w:r>
      <w:r>
        <w:rPr>
          <w:rFonts w:ascii="Times New Roman" w:hAnsi="Times New Roman" w:eastAsia="仿宋"/>
          <w:bCs/>
          <w:color w:val="auto"/>
          <w:spacing w:val="-2"/>
        </w:rPr>
        <w:t>.2参与本次磋商的供应商应当有商务、技术人员对磋商小组提出商务、技术问题进行答疑。</w:t>
      </w:r>
    </w:p>
    <w:p w14:paraId="28E21E2A">
      <w:pPr>
        <w:pStyle w:val="29"/>
        <w:snapToGrid w:val="0"/>
        <w:spacing w:line="360" w:lineRule="auto"/>
        <w:ind w:firstLine="472" w:firstLineChars="200"/>
        <w:rPr>
          <w:rFonts w:ascii="Times New Roman" w:hAnsi="Times New Roman" w:eastAsia="仿宋"/>
          <w:bCs/>
          <w:color w:val="auto"/>
          <w:spacing w:val="-2"/>
        </w:rPr>
      </w:pPr>
      <w:bookmarkStart w:id="6" w:name="_Toc148434319"/>
      <w:bookmarkStart w:id="7" w:name="_Toc149723968"/>
      <w:bookmarkStart w:id="8" w:name="_Toc414448313"/>
      <w:bookmarkStart w:id="9" w:name="_Toc16526"/>
      <w:bookmarkStart w:id="10" w:name="_Toc417600059"/>
      <w:r>
        <w:rPr>
          <w:rFonts w:ascii="Times New Roman" w:hAnsi="Times New Roman" w:eastAsia="仿宋"/>
          <w:bCs/>
          <w:color w:val="auto"/>
          <w:spacing w:val="-2"/>
        </w:rPr>
        <w:t>3</w:t>
      </w:r>
      <w:r>
        <w:rPr>
          <w:rFonts w:hint="eastAsia" w:ascii="Times New Roman" w:hAnsi="Times New Roman" w:eastAsia="仿宋"/>
          <w:bCs/>
          <w:color w:val="auto"/>
          <w:spacing w:val="-2"/>
          <w:lang w:val="en-US" w:eastAsia="zh-CN"/>
        </w:rPr>
        <w:t>8</w:t>
      </w:r>
      <w:r>
        <w:rPr>
          <w:rFonts w:ascii="Times New Roman" w:hAnsi="Times New Roman" w:eastAsia="仿宋"/>
          <w:bCs/>
          <w:color w:val="auto"/>
          <w:spacing w:val="-2"/>
        </w:rPr>
        <w:t>.处罚、询问、质疑</w:t>
      </w:r>
      <w:bookmarkEnd w:id="6"/>
      <w:bookmarkEnd w:id="7"/>
      <w:r>
        <w:rPr>
          <w:rFonts w:ascii="Times New Roman" w:hAnsi="Times New Roman" w:eastAsia="仿宋"/>
          <w:bCs/>
          <w:color w:val="auto"/>
          <w:spacing w:val="-2"/>
        </w:rPr>
        <w:t>和投诉</w:t>
      </w:r>
      <w:bookmarkEnd w:id="8"/>
      <w:bookmarkEnd w:id="9"/>
      <w:bookmarkEnd w:id="10"/>
    </w:p>
    <w:p w14:paraId="05ABF2F9">
      <w:pPr>
        <w:pStyle w:val="29"/>
        <w:snapToGrid w:val="0"/>
        <w:spacing w:line="360" w:lineRule="auto"/>
        <w:ind w:firstLine="472" w:firstLineChars="200"/>
        <w:rPr>
          <w:rFonts w:ascii="Times New Roman" w:hAnsi="Times New Roman" w:eastAsia="仿宋"/>
          <w:bCs/>
          <w:color w:val="auto"/>
          <w:spacing w:val="-2"/>
        </w:rPr>
      </w:pPr>
      <w:r>
        <w:rPr>
          <w:rFonts w:ascii="Times New Roman" w:hAnsi="Times New Roman" w:eastAsia="仿宋"/>
          <w:bCs/>
          <w:color w:val="auto"/>
          <w:spacing w:val="-2"/>
        </w:rPr>
        <w:t>3</w:t>
      </w:r>
      <w:r>
        <w:rPr>
          <w:rFonts w:hint="eastAsia" w:ascii="Times New Roman" w:hAnsi="Times New Roman" w:eastAsia="仿宋"/>
          <w:bCs/>
          <w:color w:val="auto"/>
          <w:spacing w:val="-2"/>
          <w:lang w:val="en-US" w:eastAsia="zh-CN"/>
        </w:rPr>
        <w:t>8</w:t>
      </w:r>
      <w:r>
        <w:rPr>
          <w:rFonts w:ascii="Times New Roman" w:hAnsi="Times New Roman" w:eastAsia="仿宋"/>
          <w:bCs/>
          <w:color w:val="auto"/>
          <w:spacing w:val="-2"/>
        </w:rPr>
        <w:t>.1处罚</w:t>
      </w:r>
    </w:p>
    <w:p w14:paraId="3094F966">
      <w:pPr>
        <w:pStyle w:val="29"/>
        <w:snapToGrid w:val="0"/>
        <w:spacing w:line="360" w:lineRule="auto"/>
        <w:ind w:firstLine="472" w:firstLineChars="200"/>
        <w:rPr>
          <w:rFonts w:ascii="Times New Roman" w:hAnsi="Times New Roman" w:eastAsia="仿宋"/>
          <w:bCs/>
          <w:color w:val="auto"/>
          <w:spacing w:val="-2"/>
        </w:rPr>
      </w:pPr>
      <w:r>
        <w:rPr>
          <w:rFonts w:ascii="Times New Roman" w:hAnsi="Times New Roman" w:eastAsia="仿宋"/>
          <w:bCs/>
          <w:color w:val="auto"/>
          <w:spacing w:val="-2"/>
        </w:rPr>
        <w:t>发生下列情况之一，供应商的磋商保证金不予退还：</w:t>
      </w:r>
    </w:p>
    <w:p w14:paraId="5E3087B5">
      <w:pPr>
        <w:pStyle w:val="29"/>
        <w:snapToGrid w:val="0"/>
        <w:spacing w:line="360" w:lineRule="auto"/>
        <w:ind w:firstLine="472" w:firstLineChars="200"/>
        <w:rPr>
          <w:rFonts w:ascii="Times New Roman" w:hAnsi="Times New Roman" w:eastAsia="仿宋"/>
          <w:bCs/>
          <w:color w:val="auto"/>
          <w:spacing w:val="-2"/>
        </w:rPr>
      </w:pPr>
      <w:r>
        <w:rPr>
          <w:rFonts w:ascii="Times New Roman" w:hAnsi="Times New Roman" w:eastAsia="仿宋"/>
          <w:bCs/>
          <w:color w:val="auto"/>
          <w:spacing w:val="-2"/>
        </w:rPr>
        <w:t>（1）开标后在磋商有效期内，供应商撤回其投标；</w:t>
      </w:r>
    </w:p>
    <w:p w14:paraId="06D319CD">
      <w:pPr>
        <w:pStyle w:val="29"/>
        <w:snapToGrid w:val="0"/>
        <w:spacing w:line="360" w:lineRule="auto"/>
        <w:ind w:firstLine="472" w:firstLineChars="200"/>
        <w:rPr>
          <w:rFonts w:ascii="Times New Roman" w:hAnsi="Times New Roman" w:eastAsia="仿宋"/>
          <w:bCs/>
          <w:color w:val="auto"/>
          <w:spacing w:val="-2"/>
        </w:rPr>
      </w:pPr>
      <w:r>
        <w:rPr>
          <w:rFonts w:ascii="Times New Roman" w:hAnsi="Times New Roman" w:eastAsia="仿宋"/>
          <w:bCs/>
          <w:color w:val="auto"/>
          <w:spacing w:val="-2"/>
        </w:rPr>
        <w:t>（2）提供虚假材料谋取中标、成交的；</w:t>
      </w:r>
    </w:p>
    <w:p w14:paraId="6B91884A">
      <w:pPr>
        <w:pStyle w:val="29"/>
        <w:snapToGrid w:val="0"/>
        <w:spacing w:line="360" w:lineRule="auto"/>
        <w:ind w:firstLine="472" w:firstLineChars="200"/>
        <w:rPr>
          <w:rFonts w:ascii="Times New Roman" w:hAnsi="Times New Roman" w:eastAsia="仿宋"/>
          <w:bCs/>
          <w:color w:val="auto"/>
          <w:spacing w:val="-2"/>
        </w:rPr>
      </w:pPr>
      <w:r>
        <w:rPr>
          <w:rFonts w:ascii="Times New Roman" w:hAnsi="Times New Roman" w:eastAsia="仿宋"/>
          <w:bCs/>
          <w:color w:val="auto"/>
          <w:spacing w:val="-2"/>
        </w:rPr>
        <w:t>（3）成交供应商未按本竞争性磋商文件规定签约；</w:t>
      </w:r>
    </w:p>
    <w:p w14:paraId="49266F46">
      <w:pPr>
        <w:pStyle w:val="29"/>
        <w:snapToGrid w:val="0"/>
        <w:spacing w:line="360" w:lineRule="auto"/>
        <w:ind w:firstLine="472" w:firstLineChars="200"/>
        <w:rPr>
          <w:rFonts w:ascii="Times New Roman" w:hAnsi="Times New Roman" w:eastAsia="仿宋"/>
          <w:bCs/>
          <w:color w:val="auto"/>
          <w:spacing w:val="-2"/>
        </w:rPr>
      </w:pPr>
      <w:r>
        <w:rPr>
          <w:rFonts w:ascii="Times New Roman" w:hAnsi="Times New Roman" w:eastAsia="仿宋"/>
          <w:bCs/>
          <w:color w:val="auto"/>
          <w:spacing w:val="-2"/>
        </w:rPr>
        <w:t>（4）成交供应商在签约后5个工作日内，未能按竞争性磋商文件的规定提交合同履约磋商保证金或开具可接受的合同履约磋商保证金保函（视为不具备签订合同条件）或合同履约磋商保证金保函弄虚作假的；</w:t>
      </w:r>
    </w:p>
    <w:p w14:paraId="6287BBF3">
      <w:pPr>
        <w:pStyle w:val="29"/>
        <w:snapToGrid w:val="0"/>
        <w:spacing w:line="360" w:lineRule="auto"/>
        <w:ind w:firstLine="472" w:firstLineChars="200"/>
        <w:rPr>
          <w:rFonts w:ascii="Times New Roman" w:hAnsi="Times New Roman" w:eastAsia="仿宋"/>
          <w:bCs/>
          <w:color w:val="auto"/>
          <w:spacing w:val="-2"/>
        </w:rPr>
      </w:pPr>
      <w:r>
        <w:rPr>
          <w:rFonts w:ascii="Times New Roman" w:hAnsi="Times New Roman" w:eastAsia="仿宋"/>
          <w:bCs/>
          <w:color w:val="auto"/>
          <w:spacing w:val="-2"/>
        </w:rPr>
        <w:t>（5）成交供应商未能按竞争性磋商文件规定缴纳招标代理服务费。</w:t>
      </w:r>
    </w:p>
    <w:p w14:paraId="0C424C39">
      <w:pPr>
        <w:pStyle w:val="29"/>
        <w:snapToGrid w:val="0"/>
        <w:spacing w:line="360" w:lineRule="auto"/>
        <w:ind w:firstLine="472" w:firstLineChars="200"/>
        <w:rPr>
          <w:rFonts w:ascii="Times New Roman" w:hAnsi="Times New Roman" w:eastAsia="仿宋"/>
          <w:bCs/>
          <w:color w:val="auto"/>
          <w:spacing w:val="-2"/>
        </w:rPr>
      </w:pPr>
      <w:r>
        <w:rPr>
          <w:rFonts w:ascii="Times New Roman" w:hAnsi="Times New Roman" w:eastAsia="仿宋"/>
          <w:bCs/>
          <w:color w:val="auto"/>
          <w:spacing w:val="-2"/>
        </w:rPr>
        <w:t>供应商有下列情形之一的,处以政府采购项目中标金额千分之五以上千分之十以下的罚款, 列入不良行为记录名单,在一至三年内禁止参加政府采购活动,并予以通报,有违法所得的,并处没收违法所得,情节严重的,由工商行政管理机关吊销营业执照；构成犯罪的，依法追究刑事责任：</w:t>
      </w:r>
    </w:p>
    <w:p w14:paraId="6672CC3E">
      <w:pPr>
        <w:pStyle w:val="29"/>
        <w:snapToGrid w:val="0"/>
        <w:spacing w:line="360" w:lineRule="auto"/>
        <w:ind w:firstLine="472" w:firstLineChars="200"/>
        <w:rPr>
          <w:rFonts w:ascii="Times New Roman" w:hAnsi="Times New Roman" w:eastAsia="仿宋"/>
          <w:bCs/>
          <w:color w:val="auto"/>
          <w:spacing w:val="-2"/>
        </w:rPr>
      </w:pPr>
      <w:r>
        <w:rPr>
          <w:rFonts w:ascii="Times New Roman" w:hAnsi="Times New Roman" w:eastAsia="仿宋"/>
          <w:bCs/>
          <w:color w:val="auto"/>
          <w:spacing w:val="-2"/>
        </w:rPr>
        <w:t>1）提供虚假材料谋取中标的；</w:t>
      </w:r>
    </w:p>
    <w:p w14:paraId="5D1266CD">
      <w:pPr>
        <w:pStyle w:val="29"/>
        <w:snapToGrid w:val="0"/>
        <w:spacing w:line="360" w:lineRule="auto"/>
        <w:ind w:firstLine="472" w:firstLineChars="200"/>
        <w:rPr>
          <w:rFonts w:ascii="Times New Roman" w:hAnsi="Times New Roman" w:eastAsia="仿宋"/>
          <w:bCs/>
          <w:color w:val="auto"/>
          <w:spacing w:val="-2"/>
        </w:rPr>
      </w:pPr>
      <w:r>
        <w:rPr>
          <w:rFonts w:ascii="Times New Roman" w:hAnsi="Times New Roman" w:eastAsia="仿宋"/>
          <w:bCs/>
          <w:color w:val="auto"/>
          <w:spacing w:val="-2"/>
        </w:rPr>
        <w:t>2）采取不正当手段诋毁、排挤其他供应商的；</w:t>
      </w:r>
    </w:p>
    <w:p w14:paraId="25FE9F1D">
      <w:pPr>
        <w:pStyle w:val="29"/>
        <w:snapToGrid w:val="0"/>
        <w:spacing w:line="360" w:lineRule="auto"/>
        <w:ind w:firstLine="472" w:firstLineChars="200"/>
        <w:rPr>
          <w:rFonts w:ascii="Times New Roman" w:hAnsi="Times New Roman" w:eastAsia="仿宋"/>
          <w:bCs/>
          <w:color w:val="auto"/>
          <w:spacing w:val="-2"/>
        </w:rPr>
      </w:pPr>
      <w:r>
        <w:rPr>
          <w:rFonts w:ascii="Times New Roman" w:hAnsi="Times New Roman" w:eastAsia="仿宋"/>
          <w:bCs/>
          <w:color w:val="auto"/>
          <w:spacing w:val="-2"/>
        </w:rPr>
        <w:t>3）与采购人、其他供应商或者采购代理机构恶意串通的；</w:t>
      </w:r>
    </w:p>
    <w:p w14:paraId="342AF0CE">
      <w:pPr>
        <w:pStyle w:val="29"/>
        <w:snapToGrid w:val="0"/>
        <w:spacing w:line="360" w:lineRule="auto"/>
        <w:ind w:firstLine="472" w:firstLineChars="200"/>
        <w:rPr>
          <w:rFonts w:ascii="Times New Roman" w:hAnsi="Times New Roman" w:eastAsia="仿宋"/>
          <w:bCs/>
          <w:color w:val="auto"/>
          <w:spacing w:val="-2"/>
        </w:rPr>
      </w:pPr>
      <w:r>
        <w:rPr>
          <w:rFonts w:ascii="Times New Roman" w:hAnsi="Times New Roman" w:eastAsia="仿宋"/>
          <w:bCs/>
          <w:color w:val="auto"/>
          <w:spacing w:val="-2"/>
        </w:rPr>
        <w:t>4）向采购人、采购代理机构行贿或者提供其他不正当利益的；</w:t>
      </w:r>
    </w:p>
    <w:p w14:paraId="6E64DD6F">
      <w:pPr>
        <w:pStyle w:val="29"/>
        <w:snapToGrid w:val="0"/>
        <w:spacing w:line="360" w:lineRule="auto"/>
        <w:ind w:firstLine="472" w:firstLineChars="200"/>
        <w:rPr>
          <w:rFonts w:ascii="Times New Roman" w:hAnsi="Times New Roman" w:eastAsia="仿宋"/>
          <w:bCs/>
          <w:color w:val="auto"/>
          <w:spacing w:val="-2"/>
        </w:rPr>
      </w:pPr>
      <w:r>
        <w:rPr>
          <w:rFonts w:ascii="Times New Roman" w:hAnsi="Times New Roman" w:eastAsia="仿宋"/>
          <w:bCs/>
          <w:color w:val="auto"/>
          <w:spacing w:val="-2"/>
        </w:rPr>
        <w:t>5）在招标采购过程中与采购人进行协商磋商的、不按照竞争性磋商文件和成交供应商的响应文件订立合同，或者与采购人另行订立背离合同实质性内容的协议的；</w:t>
      </w:r>
    </w:p>
    <w:p w14:paraId="2E8FD9EB">
      <w:pPr>
        <w:pStyle w:val="29"/>
        <w:snapToGrid w:val="0"/>
        <w:spacing w:line="360" w:lineRule="auto"/>
        <w:ind w:firstLine="472" w:firstLineChars="200"/>
        <w:rPr>
          <w:rFonts w:ascii="Times New Roman" w:hAnsi="Times New Roman" w:eastAsia="仿宋"/>
          <w:bCs/>
          <w:color w:val="auto"/>
          <w:spacing w:val="-2"/>
        </w:rPr>
      </w:pPr>
      <w:r>
        <w:rPr>
          <w:rFonts w:ascii="Times New Roman" w:hAnsi="Times New Roman" w:eastAsia="仿宋"/>
          <w:bCs/>
          <w:color w:val="auto"/>
          <w:spacing w:val="-2"/>
        </w:rPr>
        <w:t>6）拒绝有关部门监督检查或者提供虚假情况的。</w:t>
      </w:r>
    </w:p>
    <w:p w14:paraId="5FA7EA1B">
      <w:pPr>
        <w:pStyle w:val="29"/>
        <w:snapToGrid w:val="0"/>
        <w:spacing w:line="360" w:lineRule="auto"/>
        <w:ind w:firstLine="472" w:firstLineChars="200"/>
        <w:rPr>
          <w:rFonts w:ascii="Times New Roman" w:hAnsi="Times New Roman" w:eastAsia="仿宋"/>
          <w:bCs/>
          <w:color w:val="auto"/>
          <w:spacing w:val="-2"/>
        </w:rPr>
      </w:pPr>
      <w:r>
        <w:rPr>
          <w:rFonts w:ascii="Times New Roman" w:hAnsi="Times New Roman" w:eastAsia="仿宋"/>
          <w:bCs/>
          <w:color w:val="auto"/>
          <w:spacing w:val="-2"/>
        </w:rPr>
        <w:t>供应商有前款1）至5）项情形之一的，中标无效。</w:t>
      </w:r>
    </w:p>
    <w:p w14:paraId="47CCF090">
      <w:pPr>
        <w:pStyle w:val="29"/>
        <w:snapToGrid w:val="0"/>
        <w:spacing w:line="360" w:lineRule="auto"/>
        <w:ind w:firstLine="472" w:firstLineChars="200"/>
        <w:rPr>
          <w:rFonts w:ascii="Times New Roman" w:hAnsi="Times New Roman" w:eastAsia="仿宋"/>
          <w:bCs/>
          <w:color w:val="auto"/>
          <w:spacing w:val="-2"/>
        </w:rPr>
      </w:pPr>
      <w:r>
        <w:rPr>
          <w:rFonts w:ascii="Times New Roman" w:hAnsi="Times New Roman" w:eastAsia="仿宋"/>
          <w:bCs/>
          <w:color w:val="auto"/>
          <w:spacing w:val="-2"/>
        </w:rPr>
        <w:t>3</w:t>
      </w:r>
      <w:r>
        <w:rPr>
          <w:rFonts w:hint="eastAsia" w:ascii="Times New Roman" w:hAnsi="Times New Roman" w:eastAsia="仿宋"/>
          <w:bCs/>
          <w:color w:val="auto"/>
          <w:spacing w:val="-2"/>
          <w:lang w:val="en-US" w:eastAsia="zh-CN"/>
        </w:rPr>
        <w:t>8</w:t>
      </w:r>
      <w:r>
        <w:rPr>
          <w:rFonts w:ascii="Times New Roman" w:hAnsi="Times New Roman" w:eastAsia="仿宋"/>
          <w:bCs/>
          <w:color w:val="auto"/>
          <w:spacing w:val="-2"/>
        </w:rPr>
        <w:t>.2询问</w:t>
      </w:r>
    </w:p>
    <w:p w14:paraId="1C35AD97">
      <w:pPr>
        <w:pStyle w:val="29"/>
        <w:snapToGrid w:val="0"/>
        <w:spacing w:line="360" w:lineRule="auto"/>
        <w:ind w:firstLine="472" w:firstLineChars="200"/>
        <w:rPr>
          <w:rFonts w:ascii="Times New Roman" w:hAnsi="Times New Roman" w:eastAsia="仿宋"/>
          <w:bCs/>
          <w:color w:val="auto"/>
          <w:spacing w:val="-2"/>
        </w:rPr>
      </w:pPr>
      <w:r>
        <w:rPr>
          <w:rFonts w:ascii="Times New Roman" w:hAnsi="Times New Roman" w:eastAsia="仿宋"/>
          <w:bCs/>
          <w:color w:val="auto"/>
          <w:spacing w:val="-2"/>
        </w:rPr>
        <w:t>供应商有权就磋商程序或签订合同的事宜提出询问；供应商对采购事项有疑问的，可以向采购人提出询问。</w:t>
      </w:r>
    </w:p>
    <w:p w14:paraId="52513533">
      <w:pPr>
        <w:pStyle w:val="29"/>
        <w:snapToGrid w:val="0"/>
        <w:spacing w:line="360" w:lineRule="auto"/>
        <w:ind w:firstLine="472" w:firstLineChars="200"/>
        <w:rPr>
          <w:rFonts w:ascii="Times New Roman" w:hAnsi="Times New Roman" w:eastAsia="仿宋"/>
          <w:bCs/>
          <w:color w:val="auto"/>
          <w:spacing w:val="-2"/>
        </w:rPr>
      </w:pPr>
      <w:r>
        <w:rPr>
          <w:rFonts w:ascii="Times New Roman" w:hAnsi="Times New Roman" w:eastAsia="仿宋"/>
          <w:bCs/>
          <w:color w:val="auto"/>
          <w:spacing w:val="-2"/>
        </w:rPr>
        <w:t>3</w:t>
      </w:r>
      <w:r>
        <w:rPr>
          <w:rFonts w:hint="eastAsia" w:ascii="Times New Roman" w:hAnsi="Times New Roman" w:eastAsia="仿宋"/>
          <w:bCs/>
          <w:color w:val="auto"/>
          <w:spacing w:val="-2"/>
          <w:lang w:val="en-US" w:eastAsia="zh-CN"/>
        </w:rPr>
        <w:t>8</w:t>
      </w:r>
      <w:r>
        <w:rPr>
          <w:rFonts w:ascii="Times New Roman" w:hAnsi="Times New Roman" w:eastAsia="仿宋"/>
          <w:bCs/>
          <w:color w:val="auto"/>
          <w:spacing w:val="-2"/>
        </w:rPr>
        <w:t>.3质疑与投诉</w:t>
      </w:r>
    </w:p>
    <w:p w14:paraId="1072B9FA">
      <w:pPr>
        <w:pStyle w:val="29"/>
        <w:snapToGrid w:val="0"/>
        <w:spacing w:line="360" w:lineRule="auto"/>
        <w:ind w:firstLine="472" w:firstLineChars="200"/>
        <w:rPr>
          <w:rFonts w:ascii="Times New Roman" w:hAnsi="Times New Roman" w:eastAsia="仿宋"/>
          <w:bCs/>
          <w:color w:val="auto"/>
          <w:spacing w:val="-2"/>
        </w:rPr>
      </w:pPr>
      <w:r>
        <w:rPr>
          <w:rFonts w:ascii="Times New Roman" w:hAnsi="Times New Roman" w:eastAsia="仿宋"/>
          <w:bCs/>
          <w:color w:val="auto"/>
          <w:spacing w:val="-2"/>
        </w:rPr>
        <w:t>（1）供应商认为磋商文件、采购过程、中标或者成交结果使自己的权益受到损害的，可以在知道或者应知其权益受到损害之日起7个工作日内，向采购人、采购代理机构提出质疑。供应商须在法定质疑期内一次性提出针对同一采购程序环节的质疑。</w:t>
      </w:r>
    </w:p>
    <w:p w14:paraId="1C555422">
      <w:pPr>
        <w:pStyle w:val="29"/>
        <w:snapToGrid w:val="0"/>
        <w:spacing w:line="360" w:lineRule="auto"/>
        <w:ind w:firstLine="472" w:firstLineChars="200"/>
        <w:rPr>
          <w:rFonts w:ascii="Times New Roman" w:hAnsi="Times New Roman" w:eastAsia="仿宋"/>
          <w:bCs/>
          <w:color w:val="auto"/>
          <w:spacing w:val="-2"/>
        </w:rPr>
      </w:pPr>
      <w:r>
        <w:rPr>
          <w:rFonts w:ascii="Times New Roman" w:hAnsi="Times New Roman" w:eastAsia="仿宋"/>
          <w:bCs/>
          <w:color w:val="auto"/>
          <w:spacing w:val="-2"/>
        </w:rPr>
        <w:t>（2）质疑函的必备内容</w:t>
      </w:r>
    </w:p>
    <w:p w14:paraId="10896B8E">
      <w:pPr>
        <w:pStyle w:val="29"/>
        <w:snapToGrid w:val="0"/>
        <w:spacing w:line="360" w:lineRule="auto"/>
        <w:ind w:firstLine="472" w:firstLineChars="200"/>
        <w:rPr>
          <w:rFonts w:ascii="Times New Roman" w:hAnsi="Times New Roman" w:eastAsia="仿宋"/>
          <w:bCs/>
          <w:color w:val="auto"/>
          <w:spacing w:val="-2"/>
        </w:rPr>
      </w:pPr>
      <w:r>
        <w:rPr>
          <w:rFonts w:ascii="Times New Roman" w:hAnsi="Times New Roman" w:eastAsia="仿宋"/>
          <w:bCs/>
          <w:color w:val="auto"/>
          <w:spacing w:val="-2"/>
        </w:rPr>
        <w:t>1）供应商提交的质疑函必须注明单位名称、地址、邮编、可供查询的单位和法定代表人的电话号码、联系人电话；</w:t>
      </w:r>
    </w:p>
    <w:p w14:paraId="02EFD9D7">
      <w:pPr>
        <w:pStyle w:val="29"/>
        <w:snapToGrid w:val="0"/>
        <w:spacing w:line="360" w:lineRule="auto"/>
        <w:ind w:firstLine="472" w:firstLineChars="200"/>
        <w:rPr>
          <w:rFonts w:ascii="Times New Roman" w:hAnsi="Times New Roman" w:eastAsia="仿宋"/>
          <w:bCs/>
          <w:color w:val="auto"/>
          <w:spacing w:val="-2"/>
        </w:rPr>
      </w:pPr>
      <w:r>
        <w:rPr>
          <w:rFonts w:ascii="Times New Roman" w:hAnsi="Times New Roman" w:eastAsia="仿宋"/>
          <w:bCs/>
          <w:color w:val="auto"/>
          <w:spacing w:val="-2"/>
        </w:rPr>
        <w:t>2）质疑项目的名称、编号；</w:t>
      </w:r>
    </w:p>
    <w:p w14:paraId="4684C9DF">
      <w:pPr>
        <w:pStyle w:val="29"/>
        <w:snapToGrid w:val="0"/>
        <w:spacing w:line="360" w:lineRule="auto"/>
        <w:ind w:firstLine="472" w:firstLineChars="200"/>
        <w:rPr>
          <w:rFonts w:ascii="Times New Roman" w:hAnsi="Times New Roman" w:eastAsia="仿宋"/>
          <w:bCs/>
          <w:color w:val="auto"/>
          <w:spacing w:val="-2"/>
        </w:rPr>
      </w:pPr>
      <w:r>
        <w:rPr>
          <w:rFonts w:ascii="Times New Roman" w:hAnsi="Times New Roman" w:eastAsia="仿宋"/>
          <w:bCs/>
          <w:color w:val="auto"/>
          <w:spacing w:val="-2"/>
        </w:rPr>
        <w:t>3）具体质疑事项和与质疑事项相关的请求；</w:t>
      </w:r>
    </w:p>
    <w:p w14:paraId="6F4155C4">
      <w:pPr>
        <w:pStyle w:val="29"/>
        <w:snapToGrid w:val="0"/>
        <w:spacing w:line="360" w:lineRule="auto"/>
        <w:ind w:firstLine="472" w:firstLineChars="200"/>
        <w:rPr>
          <w:rFonts w:ascii="Times New Roman" w:hAnsi="Times New Roman" w:eastAsia="仿宋"/>
          <w:bCs/>
          <w:color w:val="auto"/>
          <w:spacing w:val="-2"/>
        </w:rPr>
      </w:pPr>
      <w:r>
        <w:rPr>
          <w:rFonts w:ascii="Times New Roman" w:hAnsi="Times New Roman" w:eastAsia="仿宋"/>
          <w:bCs/>
          <w:color w:val="auto"/>
          <w:spacing w:val="-2"/>
        </w:rPr>
        <w:t>4）事实依据；</w:t>
      </w:r>
    </w:p>
    <w:p w14:paraId="3884244F">
      <w:pPr>
        <w:pStyle w:val="29"/>
        <w:snapToGrid w:val="0"/>
        <w:spacing w:line="360" w:lineRule="auto"/>
        <w:ind w:firstLine="472" w:firstLineChars="200"/>
        <w:rPr>
          <w:rFonts w:ascii="Times New Roman" w:hAnsi="Times New Roman" w:eastAsia="仿宋"/>
          <w:bCs/>
          <w:color w:val="auto"/>
          <w:spacing w:val="-2"/>
        </w:rPr>
      </w:pPr>
      <w:r>
        <w:rPr>
          <w:rFonts w:ascii="Times New Roman" w:hAnsi="Times New Roman" w:eastAsia="仿宋"/>
          <w:bCs/>
          <w:color w:val="auto"/>
          <w:spacing w:val="-2"/>
        </w:rPr>
        <w:t>5）提起质疑的日期；</w:t>
      </w:r>
    </w:p>
    <w:p w14:paraId="4071B7F3">
      <w:pPr>
        <w:pStyle w:val="29"/>
        <w:snapToGrid w:val="0"/>
        <w:spacing w:line="360" w:lineRule="auto"/>
        <w:ind w:firstLine="472" w:firstLineChars="200"/>
        <w:rPr>
          <w:rFonts w:ascii="Times New Roman" w:hAnsi="Times New Roman" w:eastAsia="仿宋"/>
          <w:bCs/>
          <w:color w:val="auto"/>
          <w:spacing w:val="-2"/>
        </w:rPr>
      </w:pPr>
      <w:r>
        <w:rPr>
          <w:rFonts w:ascii="Times New Roman" w:hAnsi="Times New Roman" w:eastAsia="仿宋"/>
          <w:bCs/>
          <w:color w:val="auto"/>
          <w:spacing w:val="-2"/>
        </w:rPr>
        <w:t>6）质疑函须加盖单位公章，由法定代表人签章。</w:t>
      </w:r>
    </w:p>
    <w:p w14:paraId="65AAC988">
      <w:pPr>
        <w:pStyle w:val="29"/>
        <w:snapToGrid w:val="0"/>
        <w:spacing w:line="360" w:lineRule="auto"/>
        <w:ind w:firstLine="472" w:firstLineChars="200"/>
        <w:rPr>
          <w:rFonts w:ascii="Times New Roman" w:hAnsi="Times New Roman" w:eastAsia="仿宋"/>
          <w:bCs/>
          <w:color w:val="auto"/>
          <w:spacing w:val="-2"/>
        </w:rPr>
      </w:pPr>
      <w:r>
        <w:rPr>
          <w:rFonts w:ascii="Times New Roman" w:hAnsi="Times New Roman" w:eastAsia="仿宋"/>
          <w:bCs/>
          <w:color w:val="auto"/>
          <w:spacing w:val="-2"/>
        </w:rPr>
        <w:t>7）委托代理人递交质疑函的，还须提交委托质疑事项的授权委托书（附法定代表人和被授权人的身份证正反面），加盖单位公章和法定代表人签章和被授权人签章，同时出示被授权人身份证。</w:t>
      </w:r>
    </w:p>
    <w:p w14:paraId="64024198">
      <w:pPr>
        <w:pStyle w:val="29"/>
        <w:snapToGrid w:val="0"/>
        <w:spacing w:line="360" w:lineRule="auto"/>
        <w:ind w:firstLine="472" w:firstLineChars="200"/>
        <w:rPr>
          <w:rFonts w:ascii="Times New Roman" w:hAnsi="Times New Roman" w:eastAsia="仿宋"/>
          <w:bCs/>
          <w:color w:val="auto"/>
          <w:spacing w:val="-2"/>
        </w:rPr>
      </w:pPr>
      <w:r>
        <w:rPr>
          <w:rFonts w:ascii="Times New Roman" w:hAnsi="Times New Roman" w:eastAsia="仿宋"/>
          <w:bCs/>
          <w:color w:val="auto"/>
          <w:spacing w:val="-2"/>
        </w:rPr>
        <w:t>（3）质疑应符合下列条件：</w:t>
      </w:r>
    </w:p>
    <w:p w14:paraId="459B403B">
      <w:pPr>
        <w:pStyle w:val="29"/>
        <w:snapToGrid w:val="0"/>
        <w:spacing w:line="360" w:lineRule="auto"/>
        <w:ind w:firstLine="472" w:firstLineChars="200"/>
        <w:rPr>
          <w:rFonts w:ascii="Times New Roman" w:hAnsi="Times New Roman" w:eastAsia="仿宋"/>
          <w:bCs/>
          <w:color w:val="auto"/>
          <w:spacing w:val="-2"/>
        </w:rPr>
      </w:pPr>
      <w:r>
        <w:rPr>
          <w:rFonts w:ascii="Times New Roman" w:hAnsi="Times New Roman" w:eastAsia="仿宋"/>
          <w:bCs/>
          <w:color w:val="auto"/>
          <w:spacing w:val="-2"/>
        </w:rPr>
        <w:t>1）质疑人是参与所质疑项目的采购活动的供应商；</w:t>
      </w:r>
    </w:p>
    <w:p w14:paraId="6FFBF35E">
      <w:pPr>
        <w:pStyle w:val="29"/>
        <w:snapToGrid w:val="0"/>
        <w:spacing w:line="360" w:lineRule="auto"/>
        <w:ind w:firstLine="472" w:firstLineChars="200"/>
        <w:rPr>
          <w:rFonts w:ascii="Times New Roman" w:hAnsi="Times New Roman" w:eastAsia="仿宋"/>
          <w:bCs/>
          <w:color w:val="auto"/>
          <w:spacing w:val="-2"/>
        </w:rPr>
      </w:pPr>
      <w:r>
        <w:rPr>
          <w:rFonts w:ascii="Times New Roman" w:hAnsi="Times New Roman" w:eastAsia="仿宋"/>
          <w:bCs/>
          <w:color w:val="auto"/>
          <w:spacing w:val="-2"/>
        </w:rPr>
        <w:t>2）质疑函内容符合相关的规定；</w:t>
      </w:r>
    </w:p>
    <w:p w14:paraId="2FB4587B">
      <w:pPr>
        <w:pStyle w:val="29"/>
        <w:snapToGrid w:val="0"/>
        <w:spacing w:line="360" w:lineRule="auto"/>
        <w:ind w:firstLine="472" w:firstLineChars="200"/>
        <w:rPr>
          <w:rFonts w:ascii="Times New Roman" w:hAnsi="Times New Roman" w:eastAsia="仿宋"/>
          <w:bCs/>
          <w:color w:val="auto"/>
          <w:spacing w:val="-2"/>
        </w:rPr>
      </w:pPr>
      <w:r>
        <w:rPr>
          <w:rFonts w:ascii="Times New Roman" w:hAnsi="Times New Roman" w:eastAsia="仿宋"/>
          <w:bCs/>
          <w:color w:val="auto"/>
          <w:spacing w:val="-2"/>
        </w:rPr>
        <w:t>3）在规定的有效期限内提起质疑；</w:t>
      </w:r>
    </w:p>
    <w:p w14:paraId="34B33FED">
      <w:pPr>
        <w:pStyle w:val="29"/>
        <w:snapToGrid w:val="0"/>
        <w:spacing w:line="360" w:lineRule="auto"/>
        <w:ind w:firstLine="472" w:firstLineChars="200"/>
        <w:rPr>
          <w:rFonts w:ascii="Times New Roman" w:hAnsi="Times New Roman" w:eastAsia="仿宋"/>
          <w:bCs/>
          <w:color w:val="auto"/>
          <w:spacing w:val="-2"/>
        </w:rPr>
      </w:pPr>
      <w:r>
        <w:rPr>
          <w:rFonts w:ascii="Times New Roman" w:hAnsi="Times New Roman" w:eastAsia="仿宋"/>
          <w:bCs/>
          <w:color w:val="auto"/>
          <w:spacing w:val="-2"/>
        </w:rPr>
        <w:t>4）招投标监管部门规定的其他条件。</w:t>
      </w:r>
    </w:p>
    <w:p w14:paraId="5BA82763">
      <w:pPr>
        <w:pStyle w:val="29"/>
        <w:snapToGrid w:val="0"/>
        <w:spacing w:line="360" w:lineRule="auto"/>
        <w:ind w:firstLine="472" w:firstLineChars="200"/>
        <w:rPr>
          <w:rFonts w:ascii="Times New Roman" w:hAnsi="Times New Roman" w:eastAsia="仿宋"/>
          <w:bCs/>
          <w:color w:val="auto"/>
          <w:spacing w:val="-2"/>
        </w:rPr>
      </w:pPr>
      <w:r>
        <w:rPr>
          <w:rFonts w:ascii="Times New Roman" w:hAnsi="Times New Roman" w:eastAsia="仿宋"/>
          <w:bCs/>
          <w:color w:val="auto"/>
          <w:spacing w:val="-2"/>
        </w:rPr>
        <w:t>（4）采购人在收到供应商的书面质疑后七个工作日内作出答复，并以书面形式通知质疑供应商和其他有关供应商，但答复的内容不涉及商业秘密。</w:t>
      </w:r>
    </w:p>
    <w:p w14:paraId="5CFBD4F5">
      <w:pPr>
        <w:pStyle w:val="29"/>
        <w:snapToGrid w:val="0"/>
        <w:spacing w:line="360" w:lineRule="auto"/>
        <w:ind w:firstLine="472" w:firstLineChars="200"/>
        <w:rPr>
          <w:rFonts w:ascii="Times New Roman" w:hAnsi="Times New Roman" w:eastAsia="仿宋"/>
          <w:bCs/>
          <w:color w:val="auto"/>
          <w:spacing w:val="-2"/>
        </w:rPr>
      </w:pPr>
      <w:r>
        <w:rPr>
          <w:rFonts w:ascii="Times New Roman" w:hAnsi="Times New Roman" w:eastAsia="仿宋"/>
          <w:bCs/>
          <w:color w:val="auto"/>
          <w:spacing w:val="-2"/>
        </w:rPr>
        <w:t>（5）提出质疑的供应商对答复不满意的，可以在答复期满后十五个工作日内向同级政府招标监督管理部门投诉。政府招标监督管理部门应当在收到投诉三十个工作日内，对投诉事项作出处理决定，并以书面形式通知投诉人和与投诉事项相关的当事人。</w:t>
      </w:r>
    </w:p>
    <w:p w14:paraId="4425AC98">
      <w:pPr>
        <w:pStyle w:val="29"/>
        <w:snapToGrid w:val="0"/>
        <w:spacing w:line="360" w:lineRule="auto"/>
        <w:ind w:firstLine="472" w:firstLineChars="200"/>
        <w:rPr>
          <w:rFonts w:ascii="Times New Roman" w:hAnsi="Times New Roman" w:eastAsia="仿宋"/>
          <w:bCs/>
          <w:color w:val="auto"/>
          <w:spacing w:val="-2"/>
        </w:rPr>
      </w:pPr>
      <w:bookmarkStart w:id="11" w:name="_Toc22210"/>
      <w:bookmarkStart w:id="12" w:name="_Toc417600060"/>
      <w:bookmarkStart w:id="13" w:name="_Toc414448314"/>
      <w:r>
        <w:rPr>
          <w:rFonts w:hint="eastAsia" w:ascii="Times New Roman" w:hAnsi="Times New Roman" w:eastAsia="仿宋"/>
          <w:bCs/>
          <w:color w:val="auto"/>
          <w:spacing w:val="-2"/>
          <w:lang w:val="en-US" w:eastAsia="zh-CN"/>
        </w:rPr>
        <w:t>39</w:t>
      </w:r>
      <w:r>
        <w:rPr>
          <w:rFonts w:ascii="Times New Roman" w:hAnsi="Times New Roman" w:eastAsia="仿宋"/>
          <w:bCs/>
          <w:color w:val="auto"/>
          <w:spacing w:val="-2"/>
        </w:rPr>
        <w:t>.纪律和监督</w:t>
      </w:r>
      <w:bookmarkEnd w:id="11"/>
      <w:bookmarkEnd w:id="12"/>
      <w:bookmarkEnd w:id="13"/>
      <w:bookmarkStart w:id="14" w:name="_Hlt46143102"/>
      <w:bookmarkEnd w:id="14"/>
      <w:bookmarkStart w:id="15" w:name="_Hlt46200272"/>
      <w:bookmarkEnd w:id="15"/>
      <w:bookmarkStart w:id="16" w:name="_Hlt42235894"/>
      <w:bookmarkEnd w:id="16"/>
      <w:bookmarkStart w:id="17" w:name="_Hlt42228925"/>
      <w:bookmarkEnd w:id="17"/>
      <w:bookmarkStart w:id="18" w:name="_Hlt42156005"/>
      <w:bookmarkEnd w:id="18"/>
      <w:bookmarkStart w:id="19" w:name="_Hlt42155898"/>
      <w:bookmarkEnd w:id="19"/>
    </w:p>
    <w:p w14:paraId="745B2B24">
      <w:pPr>
        <w:pStyle w:val="29"/>
        <w:snapToGrid w:val="0"/>
        <w:spacing w:line="360" w:lineRule="auto"/>
        <w:ind w:firstLine="472" w:firstLineChars="200"/>
        <w:rPr>
          <w:rFonts w:ascii="Times New Roman" w:hAnsi="Times New Roman" w:eastAsia="仿宋"/>
          <w:bCs/>
          <w:color w:val="auto"/>
          <w:spacing w:val="-2"/>
        </w:rPr>
      </w:pPr>
      <w:r>
        <w:rPr>
          <w:rFonts w:hint="eastAsia" w:ascii="Times New Roman" w:hAnsi="Times New Roman" w:eastAsia="仿宋"/>
          <w:bCs/>
          <w:color w:val="auto"/>
          <w:spacing w:val="-2"/>
          <w:lang w:val="en-US" w:eastAsia="zh-CN"/>
        </w:rPr>
        <w:t>39</w:t>
      </w:r>
      <w:r>
        <w:rPr>
          <w:rFonts w:ascii="Times New Roman" w:hAnsi="Times New Roman" w:eastAsia="仿宋"/>
          <w:bCs/>
          <w:color w:val="auto"/>
          <w:spacing w:val="-2"/>
        </w:rPr>
        <w:t>.1对采购人纪律要求</w:t>
      </w:r>
    </w:p>
    <w:p w14:paraId="689301CE">
      <w:pPr>
        <w:pStyle w:val="29"/>
        <w:snapToGrid w:val="0"/>
        <w:spacing w:line="360" w:lineRule="auto"/>
        <w:ind w:firstLine="472" w:firstLineChars="200"/>
        <w:rPr>
          <w:rFonts w:ascii="Times New Roman" w:hAnsi="Times New Roman" w:eastAsia="仿宋"/>
          <w:bCs/>
          <w:color w:val="auto"/>
          <w:spacing w:val="-2"/>
        </w:rPr>
      </w:pPr>
      <w:r>
        <w:rPr>
          <w:rFonts w:ascii="Times New Roman" w:hAnsi="Times New Roman" w:eastAsia="仿宋"/>
          <w:bCs/>
          <w:color w:val="auto"/>
          <w:spacing w:val="-2"/>
        </w:rPr>
        <w:t>采购人不得泄漏采购活动中应当保密的情况和资料，不得与供应商串通损害国家利益、社会公共利益或者他人合法权益。</w:t>
      </w:r>
    </w:p>
    <w:p w14:paraId="6AB9343E">
      <w:pPr>
        <w:pStyle w:val="29"/>
        <w:snapToGrid w:val="0"/>
        <w:spacing w:line="360" w:lineRule="auto"/>
        <w:ind w:firstLine="472" w:firstLineChars="200"/>
        <w:rPr>
          <w:rFonts w:ascii="Times New Roman" w:hAnsi="Times New Roman" w:eastAsia="仿宋"/>
          <w:bCs/>
          <w:color w:val="auto"/>
          <w:spacing w:val="-2"/>
        </w:rPr>
      </w:pPr>
      <w:r>
        <w:rPr>
          <w:rFonts w:hint="eastAsia" w:ascii="Times New Roman" w:hAnsi="Times New Roman" w:eastAsia="仿宋"/>
          <w:bCs/>
          <w:color w:val="auto"/>
          <w:spacing w:val="-2"/>
          <w:lang w:val="en-US" w:eastAsia="zh-CN"/>
        </w:rPr>
        <w:t>39</w:t>
      </w:r>
      <w:r>
        <w:rPr>
          <w:rFonts w:ascii="Times New Roman" w:hAnsi="Times New Roman" w:eastAsia="仿宋"/>
          <w:bCs/>
          <w:color w:val="auto"/>
          <w:spacing w:val="-2"/>
        </w:rPr>
        <w:t>.2对供应商的纪律要求</w:t>
      </w:r>
    </w:p>
    <w:p w14:paraId="5E162AC1">
      <w:pPr>
        <w:pStyle w:val="29"/>
        <w:snapToGrid w:val="0"/>
        <w:spacing w:line="360" w:lineRule="auto"/>
        <w:ind w:firstLine="472" w:firstLineChars="200"/>
        <w:rPr>
          <w:rFonts w:ascii="Times New Roman" w:hAnsi="Times New Roman" w:eastAsia="仿宋"/>
          <w:bCs/>
          <w:color w:val="auto"/>
          <w:spacing w:val="-2"/>
        </w:rPr>
      </w:pPr>
      <w:r>
        <w:rPr>
          <w:rFonts w:ascii="Times New Roman" w:hAnsi="Times New Roman" w:eastAsia="仿宋"/>
          <w:bCs/>
          <w:color w:val="auto"/>
          <w:spacing w:val="-2"/>
        </w:rPr>
        <w:t>供应商不得相互串通或者与采购人串通，不得向采购人或者磋商小组成员行贿谋取中标，不得以他人名义或者以其他方式弄虚作假骗取中标，供应商不得以任何方式干扰、影响评审工作。</w:t>
      </w:r>
    </w:p>
    <w:p w14:paraId="13730E19">
      <w:pPr>
        <w:pStyle w:val="29"/>
        <w:snapToGrid w:val="0"/>
        <w:spacing w:line="360" w:lineRule="auto"/>
        <w:ind w:firstLine="472" w:firstLineChars="200"/>
        <w:rPr>
          <w:rFonts w:ascii="Times New Roman" w:hAnsi="Times New Roman" w:eastAsia="仿宋"/>
          <w:bCs/>
          <w:color w:val="auto"/>
          <w:spacing w:val="-2"/>
        </w:rPr>
      </w:pPr>
      <w:r>
        <w:rPr>
          <w:rFonts w:hint="eastAsia" w:ascii="Times New Roman" w:hAnsi="Times New Roman" w:eastAsia="仿宋"/>
          <w:bCs/>
          <w:color w:val="auto"/>
          <w:spacing w:val="-2"/>
          <w:lang w:val="en-US" w:eastAsia="zh-CN"/>
        </w:rPr>
        <w:t>39</w:t>
      </w:r>
      <w:r>
        <w:rPr>
          <w:rFonts w:ascii="Times New Roman" w:hAnsi="Times New Roman" w:eastAsia="仿宋"/>
          <w:bCs/>
          <w:color w:val="auto"/>
          <w:spacing w:val="-2"/>
        </w:rPr>
        <w:t>.3对磋商小组成员的纪律要求</w:t>
      </w:r>
    </w:p>
    <w:p w14:paraId="3FF0A2B5">
      <w:pPr>
        <w:pStyle w:val="29"/>
        <w:snapToGrid w:val="0"/>
        <w:spacing w:line="360" w:lineRule="auto"/>
        <w:ind w:firstLine="472" w:firstLineChars="200"/>
        <w:rPr>
          <w:rFonts w:ascii="Times New Roman" w:hAnsi="Times New Roman" w:eastAsia="仿宋"/>
          <w:bCs/>
          <w:color w:val="auto"/>
          <w:spacing w:val="-2"/>
        </w:rPr>
      </w:pPr>
      <w:r>
        <w:rPr>
          <w:rFonts w:ascii="Times New Roman" w:hAnsi="Times New Roman" w:eastAsia="仿宋"/>
          <w:bCs/>
          <w:color w:val="auto"/>
          <w:spacing w:val="-2"/>
        </w:rPr>
        <w:t>磋商小组成员不得收受他人的财物或者其他好处，不得向他人透漏对响应文件的评审和比较、中标候选人的推荐情况以及评审有关的其他情况。在评审活动中，磋商小组成员不得擅离职守，影响评审程序正常进行，不得使用“评审办法”没有规定的评审因素和标准进行评审。</w:t>
      </w:r>
    </w:p>
    <w:p w14:paraId="0D9EDA7D">
      <w:pPr>
        <w:pStyle w:val="29"/>
        <w:snapToGrid w:val="0"/>
        <w:spacing w:line="360" w:lineRule="auto"/>
        <w:ind w:firstLine="472" w:firstLineChars="200"/>
        <w:rPr>
          <w:rFonts w:ascii="Times New Roman" w:hAnsi="Times New Roman" w:eastAsia="仿宋"/>
          <w:bCs/>
          <w:color w:val="auto"/>
          <w:spacing w:val="-2"/>
        </w:rPr>
      </w:pPr>
      <w:r>
        <w:rPr>
          <w:rFonts w:hint="eastAsia" w:ascii="Times New Roman" w:hAnsi="Times New Roman" w:eastAsia="仿宋"/>
          <w:bCs/>
          <w:color w:val="auto"/>
          <w:spacing w:val="-2"/>
          <w:lang w:val="en-US" w:eastAsia="zh-CN"/>
        </w:rPr>
        <w:t>39</w:t>
      </w:r>
      <w:r>
        <w:rPr>
          <w:rFonts w:ascii="Times New Roman" w:hAnsi="Times New Roman" w:eastAsia="仿宋"/>
          <w:bCs/>
          <w:color w:val="auto"/>
          <w:spacing w:val="-2"/>
        </w:rPr>
        <w:t>.4对与评审活动有关的工作人员的纪律要求</w:t>
      </w:r>
    </w:p>
    <w:p w14:paraId="2230B3FF">
      <w:pPr>
        <w:pStyle w:val="29"/>
        <w:snapToGrid w:val="0"/>
        <w:spacing w:line="360" w:lineRule="auto"/>
        <w:ind w:firstLine="472" w:firstLineChars="200"/>
        <w:rPr>
          <w:rFonts w:ascii="Times New Roman" w:hAnsi="Times New Roman" w:eastAsia="仿宋"/>
          <w:bCs/>
          <w:color w:val="auto"/>
          <w:spacing w:val="-2"/>
        </w:rPr>
      </w:pPr>
      <w:r>
        <w:rPr>
          <w:rFonts w:ascii="Times New Roman" w:hAnsi="Times New Roman" w:eastAsia="仿宋"/>
          <w:bCs/>
          <w:color w:val="auto"/>
          <w:spacing w:val="-2"/>
        </w:rPr>
        <w:t>与评审活动有关的工作人员不得收受他人的财物或者其他好处，不得向他人透漏对响应文件的评审和比较、中标候选人的推荐情况以及评审有关的其他情况。在评审活动中，与评审活动有关的工作人员不得擅离职守，影响评审程序正常进行。</w:t>
      </w:r>
    </w:p>
    <w:p w14:paraId="4175F529">
      <w:pPr>
        <w:pStyle w:val="29"/>
        <w:snapToGrid w:val="0"/>
        <w:spacing w:line="360" w:lineRule="auto"/>
        <w:ind w:firstLine="472" w:firstLineChars="200"/>
        <w:rPr>
          <w:rFonts w:ascii="Times New Roman" w:hAnsi="Times New Roman" w:eastAsia="仿宋"/>
          <w:bCs/>
          <w:color w:val="auto"/>
          <w:spacing w:val="-2"/>
        </w:rPr>
      </w:pPr>
      <w:r>
        <w:rPr>
          <w:rFonts w:hint="eastAsia" w:ascii="Times New Roman" w:hAnsi="Times New Roman" w:eastAsia="仿宋"/>
          <w:bCs/>
          <w:color w:val="auto"/>
          <w:spacing w:val="-2"/>
          <w:lang w:val="en-US" w:eastAsia="zh-CN"/>
        </w:rPr>
        <w:t>39</w:t>
      </w:r>
      <w:r>
        <w:rPr>
          <w:rFonts w:ascii="Times New Roman" w:hAnsi="Times New Roman" w:eastAsia="仿宋"/>
          <w:bCs/>
          <w:color w:val="auto"/>
          <w:spacing w:val="-2"/>
        </w:rPr>
        <w:t>.5监督</w:t>
      </w:r>
    </w:p>
    <w:p w14:paraId="654AF039">
      <w:pPr>
        <w:pStyle w:val="29"/>
        <w:snapToGrid w:val="0"/>
        <w:spacing w:line="360" w:lineRule="auto"/>
        <w:ind w:firstLine="472" w:firstLineChars="200"/>
        <w:rPr>
          <w:rFonts w:ascii="Times New Roman" w:hAnsi="Times New Roman" w:eastAsia="仿宋"/>
          <w:bCs/>
          <w:color w:val="auto"/>
          <w:spacing w:val="-2"/>
        </w:rPr>
      </w:pPr>
      <w:r>
        <w:rPr>
          <w:rFonts w:ascii="Times New Roman" w:hAnsi="Times New Roman" w:eastAsia="仿宋"/>
          <w:bCs/>
          <w:color w:val="auto"/>
          <w:spacing w:val="-2"/>
        </w:rPr>
        <w:t>供应商和其他利害关系人认为本次招标活动违反法律、法规和规章规定的，有权向有关行政监督部门反映（投诉）。</w:t>
      </w:r>
    </w:p>
    <w:p w14:paraId="06EE9BBE">
      <w:pPr>
        <w:pStyle w:val="29"/>
        <w:snapToGrid w:val="0"/>
        <w:spacing w:line="360" w:lineRule="auto"/>
        <w:ind w:firstLine="472" w:firstLineChars="200"/>
        <w:rPr>
          <w:rFonts w:ascii="Times New Roman" w:hAnsi="Times New Roman" w:eastAsia="仿宋"/>
          <w:bCs/>
          <w:color w:val="auto"/>
          <w:spacing w:val="-2"/>
        </w:rPr>
      </w:pPr>
      <w:bookmarkStart w:id="20" w:name="_Toc20348"/>
      <w:r>
        <w:rPr>
          <w:rFonts w:ascii="Times New Roman" w:hAnsi="Times New Roman" w:eastAsia="仿宋"/>
          <w:bCs/>
          <w:color w:val="auto"/>
          <w:spacing w:val="-2"/>
        </w:rPr>
        <w:t>4</w:t>
      </w:r>
      <w:r>
        <w:rPr>
          <w:rFonts w:hint="eastAsia" w:ascii="Times New Roman" w:hAnsi="Times New Roman" w:eastAsia="仿宋"/>
          <w:bCs/>
          <w:color w:val="auto"/>
          <w:spacing w:val="-2"/>
          <w:lang w:val="en-US" w:eastAsia="zh-CN"/>
        </w:rPr>
        <w:t>0</w:t>
      </w:r>
      <w:r>
        <w:rPr>
          <w:rFonts w:ascii="Times New Roman" w:hAnsi="Times New Roman" w:eastAsia="仿宋"/>
          <w:bCs/>
          <w:color w:val="auto"/>
          <w:spacing w:val="-2"/>
        </w:rPr>
        <w:t>.磋商</w:t>
      </w:r>
      <w:bookmarkEnd w:id="20"/>
      <w:r>
        <w:rPr>
          <w:rFonts w:ascii="Times New Roman" w:hAnsi="Times New Roman" w:eastAsia="仿宋"/>
          <w:bCs/>
          <w:color w:val="auto"/>
          <w:spacing w:val="-2"/>
        </w:rPr>
        <w:t>保证金</w:t>
      </w:r>
    </w:p>
    <w:p w14:paraId="0AD9841F">
      <w:pPr>
        <w:pStyle w:val="29"/>
        <w:snapToGrid w:val="0"/>
        <w:spacing w:line="360" w:lineRule="auto"/>
        <w:ind w:firstLine="472" w:firstLineChars="200"/>
        <w:rPr>
          <w:rFonts w:ascii="Times New Roman" w:hAnsi="Times New Roman" w:eastAsia="仿宋"/>
          <w:bCs/>
          <w:color w:val="auto"/>
          <w:spacing w:val="-2"/>
        </w:rPr>
      </w:pPr>
      <w:r>
        <w:rPr>
          <w:rFonts w:ascii="Times New Roman" w:hAnsi="Times New Roman" w:eastAsia="仿宋"/>
          <w:bCs/>
          <w:color w:val="auto"/>
          <w:spacing w:val="-2"/>
        </w:rPr>
        <w:t>4</w:t>
      </w:r>
      <w:r>
        <w:rPr>
          <w:rFonts w:hint="eastAsia" w:ascii="Times New Roman" w:hAnsi="Times New Roman" w:eastAsia="仿宋"/>
          <w:bCs/>
          <w:color w:val="auto"/>
          <w:spacing w:val="-2"/>
          <w:lang w:val="en-US" w:eastAsia="zh-CN"/>
        </w:rPr>
        <w:t>0</w:t>
      </w:r>
      <w:r>
        <w:rPr>
          <w:rFonts w:ascii="Times New Roman" w:hAnsi="Times New Roman" w:eastAsia="仿宋"/>
          <w:bCs/>
          <w:color w:val="auto"/>
          <w:spacing w:val="-2"/>
        </w:rPr>
        <w:t>.1磋商保证金用于保护采购人在本次采购免受因供应商的行为而蒙受损失。</w:t>
      </w:r>
    </w:p>
    <w:p w14:paraId="55AE404C">
      <w:pPr>
        <w:pStyle w:val="29"/>
        <w:snapToGrid w:val="0"/>
        <w:spacing w:line="360" w:lineRule="auto"/>
        <w:ind w:firstLine="472" w:firstLineChars="200"/>
        <w:rPr>
          <w:rFonts w:ascii="Times New Roman" w:hAnsi="Times New Roman" w:eastAsia="仿宋"/>
          <w:bCs/>
          <w:color w:val="auto"/>
          <w:spacing w:val="-2"/>
        </w:rPr>
      </w:pPr>
      <w:r>
        <w:rPr>
          <w:rFonts w:ascii="Times New Roman" w:hAnsi="Times New Roman" w:eastAsia="仿宋"/>
          <w:bCs/>
          <w:color w:val="auto"/>
          <w:spacing w:val="-2"/>
        </w:rPr>
        <w:t>4</w:t>
      </w:r>
      <w:r>
        <w:rPr>
          <w:rFonts w:hint="eastAsia" w:ascii="Times New Roman" w:hAnsi="Times New Roman" w:eastAsia="仿宋"/>
          <w:bCs/>
          <w:color w:val="auto"/>
          <w:spacing w:val="-2"/>
          <w:lang w:val="en-US" w:eastAsia="zh-CN"/>
        </w:rPr>
        <w:t>0</w:t>
      </w:r>
      <w:r>
        <w:rPr>
          <w:rFonts w:ascii="Times New Roman" w:hAnsi="Times New Roman" w:eastAsia="仿宋"/>
          <w:bCs/>
          <w:color w:val="auto"/>
          <w:spacing w:val="-2"/>
        </w:rPr>
        <w:t>.2供应商应向采购人提交本竞争性磋商文件第二部分规定数额的磋商保证金，并作为其响应的一部分。</w:t>
      </w:r>
    </w:p>
    <w:p w14:paraId="18E595CE">
      <w:pPr>
        <w:pStyle w:val="29"/>
        <w:snapToGrid w:val="0"/>
        <w:spacing w:line="360" w:lineRule="auto"/>
        <w:ind w:firstLine="472" w:firstLineChars="200"/>
        <w:rPr>
          <w:rFonts w:ascii="Times New Roman" w:hAnsi="Times New Roman" w:eastAsia="仿宋"/>
          <w:bCs/>
          <w:color w:val="auto"/>
          <w:spacing w:val="-2"/>
        </w:rPr>
      </w:pPr>
      <w:r>
        <w:rPr>
          <w:rFonts w:ascii="Times New Roman" w:hAnsi="Times New Roman" w:eastAsia="仿宋"/>
          <w:bCs/>
          <w:color w:val="auto"/>
          <w:spacing w:val="-2"/>
        </w:rPr>
        <w:t>4</w:t>
      </w:r>
      <w:r>
        <w:rPr>
          <w:rFonts w:hint="eastAsia" w:ascii="Times New Roman" w:hAnsi="Times New Roman" w:eastAsia="仿宋"/>
          <w:bCs/>
          <w:color w:val="auto"/>
          <w:spacing w:val="-2"/>
          <w:lang w:val="en-US" w:eastAsia="zh-CN"/>
        </w:rPr>
        <w:t>0</w:t>
      </w:r>
      <w:r>
        <w:rPr>
          <w:rFonts w:ascii="Times New Roman" w:hAnsi="Times New Roman" w:eastAsia="仿宋"/>
          <w:bCs/>
          <w:color w:val="auto"/>
          <w:spacing w:val="-2"/>
        </w:rPr>
        <w:t>.3供应商可以通过电汇金方式交纳磋商保证金。</w:t>
      </w:r>
    </w:p>
    <w:p w14:paraId="3AB0AC6B">
      <w:pPr>
        <w:pStyle w:val="29"/>
        <w:snapToGrid w:val="0"/>
        <w:spacing w:line="360" w:lineRule="auto"/>
        <w:ind w:firstLine="472" w:firstLineChars="200"/>
        <w:rPr>
          <w:rFonts w:ascii="Times New Roman" w:hAnsi="Times New Roman" w:eastAsia="仿宋"/>
          <w:bCs/>
          <w:color w:val="auto"/>
          <w:spacing w:val="-2"/>
        </w:rPr>
      </w:pPr>
      <w:r>
        <w:rPr>
          <w:rFonts w:ascii="Times New Roman" w:hAnsi="Times New Roman" w:eastAsia="仿宋"/>
          <w:bCs/>
          <w:color w:val="auto"/>
          <w:spacing w:val="-2"/>
        </w:rPr>
        <w:t>4</w:t>
      </w:r>
      <w:r>
        <w:rPr>
          <w:rFonts w:hint="eastAsia" w:ascii="Times New Roman" w:hAnsi="Times New Roman" w:eastAsia="仿宋"/>
          <w:bCs/>
          <w:color w:val="auto"/>
          <w:spacing w:val="-2"/>
          <w:lang w:val="en-US" w:eastAsia="zh-CN"/>
        </w:rPr>
        <w:t>0</w:t>
      </w:r>
      <w:r>
        <w:rPr>
          <w:rFonts w:ascii="Times New Roman" w:hAnsi="Times New Roman" w:eastAsia="仿宋"/>
          <w:bCs/>
          <w:color w:val="auto"/>
          <w:spacing w:val="-2"/>
        </w:rPr>
        <w:t>.4未按规定提交投磋商证金的响应，将被视为自动放弃予以拒绝。</w:t>
      </w:r>
    </w:p>
    <w:p w14:paraId="26D361A2">
      <w:pPr>
        <w:pStyle w:val="29"/>
        <w:snapToGrid w:val="0"/>
        <w:spacing w:line="360" w:lineRule="auto"/>
        <w:ind w:firstLine="472" w:firstLineChars="200"/>
        <w:rPr>
          <w:rFonts w:ascii="Times New Roman" w:hAnsi="Times New Roman" w:eastAsia="仿宋"/>
          <w:bCs/>
          <w:color w:val="auto"/>
          <w:spacing w:val="-2"/>
        </w:rPr>
      </w:pPr>
      <w:r>
        <w:rPr>
          <w:rFonts w:ascii="Times New Roman" w:hAnsi="Times New Roman" w:eastAsia="仿宋"/>
          <w:bCs/>
          <w:color w:val="auto"/>
          <w:spacing w:val="-2"/>
        </w:rPr>
        <w:t>4</w:t>
      </w:r>
      <w:r>
        <w:rPr>
          <w:rFonts w:hint="eastAsia" w:ascii="Times New Roman" w:hAnsi="Times New Roman" w:eastAsia="仿宋"/>
          <w:bCs/>
          <w:color w:val="auto"/>
          <w:spacing w:val="-2"/>
          <w:lang w:val="en-US" w:eastAsia="zh-CN"/>
        </w:rPr>
        <w:t>0</w:t>
      </w:r>
      <w:r>
        <w:rPr>
          <w:rFonts w:ascii="Times New Roman" w:hAnsi="Times New Roman" w:eastAsia="仿宋"/>
          <w:bCs/>
          <w:color w:val="auto"/>
          <w:spacing w:val="-2"/>
        </w:rPr>
        <w:t>.5成交供应商的磋商保证金将在成交供应商与采购人签订合同、提交履约磋商保证金后退还（由采购代理机构退还），未成交供商磋商保证金在成交合同公示后，同成交供应商磋商保证金一起退还（由采购代理机构退还）。</w:t>
      </w:r>
    </w:p>
    <w:p w14:paraId="165558C0">
      <w:pPr>
        <w:pStyle w:val="29"/>
        <w:snapToGrid w:val="0"/>
        <w:spacing w:line="360" w:lineRule="auto"/>
        <w:ind w:firstLine="472" w:firstLineChars="200"/>
        <w:rPr>
          <w:rFonts w:ascii="Times New Roman" w:hAnsi="Times New Roman" w:eastAsia="仿宋"/>
          <w:bCs/>
          <w:color w:val="auto"/>
          <w:spacing w:val="-2"/>
        </w:rPr>
      </w:pPr>
      <w:bookmarkStart w:id="21" w:name="_Toc9595"/>
      <w:r>
        <w:rPr>
          <w:rFonts w:ascii="Times New Roman" w:hAnsi="Times New Roman" w:eastAsia="仿宋"/>
          <w:bCs/>
          <w:color w:val="auto"/>
          <w:spacing w:val="-2"/>
        </w:rPr>
        <w:t>4</w:t>
      </w:r>
      <w:r>
        <w:rPr>
          <w:rFonts w:hint="eastAsia" w:ascii="Times New Roman" w:hAnsi="Times New Roman" w:eastAsia="仿宋"/>
          <w:bCs/>
          <w:color w:val="auto"/>
          <w:spacing w:val="-2"/>
          <w:lang w:val="en-US" w:eastAsia="zh-CN"/>
        </w:rPr>
        <w:t>1</w:t>
      </w:r>
      <w:r>
        <w:rPr>
          <w:rFonts w:ascii="Times New Roman" w:hAnsi="Times New Roman" w:eastAsia="仿宋"/>
          <w:bCs/>
          <w:color w:val="auto"/>
          <w:spacing w:val="-2"/>
        </w:rPr>
        <w:t>.履约磋商保证金（保函）</w:t>
      </w:r>
      <w:bookmarkEnd w:id="21"/>
    </w:p>
    <w:p w14:paraId="633A6982">
      <w:pPr>
        <w:pStyle w:val="29"/>
        <w:snapToGrid w:val="0"/>
        <w:spacing w:line="360" w:lineRule="auto"/>
        <w:ind w:firstLine="472" w:firstLineChars="200"/>
        <w:rPr>
          <w:rFonts w:ascii="Times New Roman" w:hAnsi="Times New Roman" w:eastAsia="仿宋"/>
          <w:bCs/>
          <w:color w:val="auto"/>
          <w:spacing w:val="-2"/>
        </w:rPr>
      </w:pPr>
      <w:r>
        <w:rPr>
          <w:rFonts w:ascii="Times New Roman" w:hAnsi="Times New Roman" w:eastAsia="仿宋"/>
          <w:bCs/>
          <w:color w:val="auto"/>
          <w:spacing w:val="-2"/>
        </w:rPr>
        <w:t>4</w:t>
      </w:r>
      <w:r>
        <w:rPr>
          <w:rFonts w:hint="eastAsia" w:ascii="Times New Roman" w:hAnsi="Times New Roman" w:eastAsia="仿宋"/>
          <w:bCs/>
          <w:color w:val="auto"/>
          <w:spacing w:val="-2"/>
          <w:lang w:val="en-US" w:eastAsia="zh-CN"/>
        </w:rPr>
        <w:t>1</w:t>
      </w:r>
      <w:r>
        <w:rPr>
          <w:rFonts w:ascii="Times New Roman" w:hAnsi="Times New Roman" w:eastAsia="仿宋"/>
          <w:bCs/>
          <w:color w:val="auto"/>
          <w:spacing w:val="-2"/>
        </w:rPr>
        <w:t>.1履约磋商保证金用于保护采购人在本次合同履约过程中免受因供应商的行为而蒙受损失；</w:t>
      </w:r>
    </w:p>
    <w:p w14:paraId="52EE7D10">
      <w:pPr>
        <w:pStyle w:val="29"/>
        <w:snapToGrid w:val="0"/>
        <w:spacing w:line="360" w:lineRule="auto"/>
        <w:ind w:firstLine="472" w:firstLineChars="200"/>
        <w:rPr>
          <w:rFonts w:ascii="Times New Roman" w:hAnsi="Times New Roman" w:eastAsia="仿宋"/>
          <w:bCs/>
          <w:color w:val="auto"/>
          <w:spacing w:val="-2"/>
        </w:rPr>
      </w:pPr>
      <w:r>
        <w:rPr>
          <w:rFonts w:ascii="Times New Roman" w:hAnsi="Times New Roman" w:eastAsia="仿宋"/>
          <w:bCs/>
          <w:color w:val="auto"/>
          <w:spacing w:val="-2"/>
        </w:rPr>
        <w:t>4</w:t>
      </w:r>
      <w:r>
        <w:rPr>
          <w:rFonts w:hint="eastAsia" w:ascii="Times New Roman" w:hAnsi="Times New Roman" w:eastAsia="仿宋"/>
          <w:bCs/>
          <w:color w:val="auto"/>
          <w:spacing w:val="-2"/>
          <w:lang w:val="en-US" w:eastAsia="zh-CN"/>
        </w:rPr>
        <w:t>1</w:t>
      </w:r>
      <w:r>
        <w:rPr>
          <w:rFonts w:ascii="Times New Roman" w:hAnsi="Times New Roman" w:eastAsia="仿宋"/>
          <w:bCs/>
          <w:color w:val="auto"/>
          <w:spacing w:val="-2"/>
        </w:rPr>
        <w:t>.2成交供应商收到《成交通知书》，正式签订合同后5个工作日内，须按竞争性磋商文件的规定提交合同履约磋商保证金（保函），履约磋商保证金（保函）金额不得超过合同总额的10%，由采购人和中标人协商执行。本项目无需缴纳履约保证金。</w:t>
      </w:r>
    </w:p>
    <w:p w14:paraId="2240AAAD">
      <w:pPr>
        <w:pStyle w:val="29"/>
        <w:snapToGrid w:val="0"/>
        <w:spacing w:line="360" w:lineRule="auto"/>
        <w:ind w:firstLine="472" w:firstLineChars="200"/>
        <w:rPr>
          <w:rFonts w:ascii="Times New Roman" w:hAnsi="Times New Roman" w:eastAsia="仿宋"/>
          <w:bCs/>
          <w:color w:val="auto"/>
          <w:spacing w:val="-2"/>
        </w:rPr>
      </w:pPr>
      <w:r>
        <w:rPr>
          <w:rFonts w:ascii="Times New Roman" w:hAnsi="Times New Roman" w:eastAsia="仿宋"/>
          <w:bCs/>
          <w:color w:val="auto"/>
          <w:spacing w:val="-2"/>
        </w:rPr>
        <w:t>4</w:t>
      </w:r>
      <w:r>
        <w:rPr>
          <w:rFonts w:hint="eastAsia" w:ascii="Times New Roman" w:hAnsi="Times New Roman" w:eastAsia="仿宋"/>
          <w:bCs/>
          <w:color w:val="auto"/>
          <w:spacing w:val="-2"/>
          <w:lang w:val="en-US" w:eastAsia="zh-CN"/>
        </w:rPr>
        <w:t>1</w:t>
      </w:r>
      <w:r>
        <w:rPr>
          <w:rFonts w:ascii="Times New Roman" w:hAnsi="Times New Roman" w:eastAsia="仿宋"/>
          <w:bCs/>
          <w:color w:val="auto"/>
          <w:spacing w:val="-2"/>
        </w:rPr>
        <w:t>.3供应商可以通过支票、电汇、银行保函等非现金方式交纳履约磋商保证金。</w:t>
      </w:r>
    </w:p>
    <w:p w14:paraId="25E07CDA">
      <w:pPr>
        <w:pStyle w:val="29"/>
        <w:snapToGrid w:val="0"/>
        <w:spacing w:line="360" w:lineRule="auto"/>
        <w:ind w:firstLine="472" w:firstLineChars="200"/>
        <w:rPr>
          <w:rFonts w:ascii="Times New Roman" w:hAnsi="Times New Roman" w:eastAsia="仿宋"/>
          <w:bCs/>
          <w:color w:val="auto"/>
          <w:spacing w:val="-2"/>
        </w:rPr>
      </w:pPr>
      <w:r>
        <w:rPr>
          <w:rFonts w:ascii="Times New Roman" w:hAnsi="Times New Roman" w:eastAsia="仿宋"/>
          <w:bCs/>
          <w:color w:val="auto"/>
          <w:spacing w:val="-2"/>
        </w:rPr>
        <w:t>4</w:t>
      </w:r>
      <w:r>
        <w:rPr>
          <w:rFonts w:hint="eastAsia" w:ascii="Times New Roman" w:hAnsi="Times New Roman" w:eastAsia="仿宋"/>
          <w:bCs/>
          <w:color w:val="auto"/>
          <w:spacing w:val="-2"/>
          <w:lang w:val="en-US" w:eastAsia="zh-CN"/>
        </w:rPr>
        <w:t>1</w:t>
      </w:r>
      <w:r>
        <w:rPr>
          <w:rFonts w:ascii="Times New Roman" w:hAnsi="Times New Roman" w:eastAsia="仿宋"/>
          <w:bCs/>
          <w:color w:val="auto"/>
          <w:spacing w:val="-2"/>
        </w:rPr>
        <w:t>.4成交供应商自行承担与按规定提供履约保证金（保函）有关的全部费用。</w:t>
      </w:r>
    </w:p>
    <w:p w14:paraId="30226E0B">
      <w:pPr>
        <w:pStyle w:val="29"/>
        <w:snapToGrid w:val="0"/>
        <w:spacing w:line="360" w:lineRule="auto"/>
        <w:ind w:firstLine="472" w:firstLineChars="200"/>
        <w:rPr>
          <w:rFonts w:ascii="Times New Roman" w:hAnsi="Times New Roman" w:eastAsia="仿宋"/>
          <w:bCs/>
          <w:color w:val="auto"/>
          <w:spacing w:val="-2"/>
        </w:rPr>
      </w:pPr>
      <w:r>
        <w:rPr>
          <w:rFonts w:ascii="Times New Roman" w:hAnsi="Times New Roman" w:eastAsia="仿宋"/>
          <w:bCs/>
          <w:color w:val="auto"/>
          <w:spacing w:val="-2"/>
        </w:rPr>
        <w:t>4</w:t>
      </w:r>
      <w:r>
        <w:rPr>
          <w:rFonts w:hint="eastAsia" w:ascii="Times New Roman" w:hAnsi="Times New Roman" w:eastAsia="仿宋"/>
          <w:bCs/>
          <w:color w:val="auto"/>
          <w:spacing w:val="-2"/>
          <w:lang w:val="en-US" w:eastAsia="zh-CN"/>
        </w:rPr>
        <w:t>1</w:t>
      </w:r>
      <w:r>
        <w:rPr>
          <w:rFonts w:ascii="Times New Roman" w:hAnsi="Times New Roman" w:eastAsia="仿宋"/>
          <w:bCs/>
          <w:color w:val="auto"/>
          <w:spacing w:val="-2"/>
        </w:rPr>
        <w:t>.5如果成交供应商未能按合同规定履行其义务，采购人有权没收履约磋商保证金。</w:t>
      </w:r>
    </w:p>
    <w:p w14:paraId="33E47456">
      <w:pPr>
        <w:pStyle w:val="29"/>
        <w:snapToGrid w:val="0"/>
        <w:spacing w:line="360" w:lineRule="auto"/>
        <w:ind w:firstLine="472" w:firstLineChars="200"/>
        <w:rPr>
          <w:rFonts w:ascii="Times New Roman" w:hAnsi="Times New Roman" w:eastAsia="仿宋"/>
          <w:bCs/>
          <w:color w:val="auto"/>
          <w:spacing w:val="-2"/>
        </w:rPr>
      </w:pPr>
      <w:r>
        <w:rPr>
          <w:rFonts w:ascii="Times New Roman" w:hAnsi="Times New Roman" w:eastAsia="仿宋"/>
          <w:bCs/>
          <w:color w:val="auto"/>
          <w:spacing w:val="-2"/>
        </w:rPr>
        <w:t>4</w:t>
      </w:r>
      <w:r>
        <w:rPr>
          <w:rFonts w:hint="eastAsia" w:ascii="Times New Roman" w:hAnsi="Times New Roman" w:eastAsia="仿宋"/>
          <w:bCs/>
          <w:color w:val="auto"/>
          <w:spacing w:val="-2"/>
          <w:lang w:val="en-US" w:eastAsia="zh-CN"/>
        </w:rPr>
        <w:t>1</w:t>
      </w:r>
      <w:r>
        <w:rPr>
          <w:rFonts w:ascii="Times New Roman" w:hAnsi="Times New Roman" w:eastAsia="仿宋"/>
          <w:bCs/>
          <w:color w:val="auto"/>
          <w:spacing w:val="-2"/>
        </w:rPr>
        <w:t>.6成交供应商提交的履约保证金（保函）在验收合格经采购人确认后以电汇方式退还。</w:t>
      </w:r>
    </w:p>
    <w:p w14:paraId="5E4FE700">
      <w:pPr>
        <w:pStyle w:val="29"/>
        <w:pageBreakBefore/>
        <w:spacing w:line="360" w:lineRule="auto"/>
        <w:ind w:firstLine="643" w:firstLineChars="200"/>
        <w:jc w:val="center"/>
        <w:outlineLvl w:val="0"/>
        <w:rPr>
          <w:rFonts w:ascii="Times New Roman" w:hAnsi="Times New Roman" w:eastAsia="仿宋"/>
          <w:b/>
          <w:color w:val="auto"/>
          <w:sz w:val="32"/>
          <w:szCs w:val="32"/>
        </w:rPr>
      </w:pPr>
      <w:bookmarkStart w:id="22" w:name="_Toc8573"/>
      <w:r>
        <w:rPr>
          <w:rFonts w:ascii="Times New Roman" w:hAnsi="Times New Roman" w:eastAsia="仿宋"/>
          <w:b/>
          <w:color w:val="auto"/>
          <w:sz w:val="32"/>
          <w:szCs w:val="32"/>
        </w:rPr>
        <w:t>第三部分 采购需求</w:t>
      </w:r>
      <w:bookmarkEnd w:id="22"/>
    </w:p>
    <w:p w14:paraId="4E466A1C">
      <w:pPr>
        <w:pStyle w:val="5"/>
        <w:numPr>
          <w:ilvl w:val="0"/>
          <w:numId w:val="0"/>
        </w:numPr>
        <w:ind w:leftChars="0"/>
        <w:jc w:val="both"/>
        <w:rPr>
          <w:rFonts w:hint="eastAsia" w:ascii="仿宋" w:hAnsi="仿宋" w:eastAsia="仿宋" w:cs="仿宋"/>
          <w:sz w:val="24"/>
          <w:szCs w:val="24"/>
        </w:rPr>
      </w:pPr>
      <w:bookmarkStart w:id="23" w:name="_Toc24690"/>
      <w:r>
        <w:rPr>
          <w:rFonts w:hint="eastAsia" w:ascii="仿宋" w:hAnsi="仿宋" w:eastAsia="仿宋" w:cs="仿宋"/>
          <w:bCs/>
          <w:sz w:val="24"/>
          <w:szCs w:val="24"/>
        </w:rPr>
        <w:t>2吨镁精炼电炉机械加工、装配及现场调试服务标准和要求</w:t>
      </w:r>
    </w:p>
    <w:p w14:paraId="7E61A217">
      <w:pPr>
        <w:spacing w:line="360" w:lineRule="auto"/>
        <w:ind w:firstLine="482" w:firstLineChars="200"/>
        <w:rPr>
          <w:rFonts w:hint="eastAsia" w:ascii="仿宋" w:hAnsi="仿宋" w:eastAsia="仿宋" w:cs="仿宋"/>
          <w:b/>
          <w:sz w:val="24"/>
          <w:szCs w:val="24"/>
        </w:rPr>
      </w:pPr>
      <w:r>
        <w:rPr>
          <w:rFonts w:hint="eastAsia" w:ascii="仿宋" w:hAnsi="仿宋" w:eastAsia="仿宋" w:cs="仿宋"/>
          <w:b/>
          <w:sz w:val="24"/>
          <w:szCs w:val="24"/>
        </w:rPr>
        <w:t>一、项目概述及范围</w:t>
      </w:r>
    </w:p>
    <w:p w14:paraId="6963DFF9">
      <w:pPr>
        <w:spacing w:line="360" w:lineRule="auto"/>
        <w:ind w:firstLine="480" w:firstLineChars="200"/>
        <w:rPr>
          <w:rFonts w:hint="eastAsia" w:ascii="仿宋" w:hAnsi="仿宋" w:eastAsia="仿宋" w:cs="仿宋"/>
          <w:bCs/>
          <w:sz w:val="24"/>
          <w:szCs w:val="24"/>
        </w:rPr>
      </w:pPr>
      <w:r>
        <w:rPr>
          <w:rFonts w:hint="eastAsia" w:ascii="仿宋" w:hAnsi="仿宋" w:eastAsia="仿宋" w:cs="仿宋"/>
          <w:bCs/>
          <w:sz w:val="24"/>
          <w:szCs w:val="24"/>
        </w:rPr>
        <w:t>针对新疆镁冶炼业的原镁纯净化（精炼）环节普遍采用开放型熔剂法间歇式人工操作模式、导致金属镁产品纯净度低、生产效率低、生产过程污染大的问题。自治区2023年12月批准了自治区重点研发厅地联动项目-原镁绿色智能连续纯净化装备研制与示范应用（2023B01020）。2吨镁精炼电炉是对通过3.5吨燃气熔炉溶化后的镁业进行精炼提纯的重要装备。目前，已完成前期设计和仓储部试验。现在需要按照设计要求加工、装配满足示范生产的装备。</w:t>
      </w:r>
    </w:p>
    <w:p w14:paraId="296A0FBF">
      <w:pPr>
        <w:spacing w:line="360" w:lineRule="auto"/>
        <w:ind w:firstLine="482" w:firstLineChars="200"/>
        <w:rPr>
          <w:rFonts w:hint="eastAsia" w:ascii="仿宋" w:hAnsi="仿宋" w:eastAsia="仿宋" w:cs="仿宋"/>
          <w:b/>
          <w:sz w:val="24"/>
          <w:szCs w:val="24"/>
        </w:rPr>
      </w:pPr>
      <w:r>
        <w:rPr>
          <w:rFonts w:hint="eastAsia" w:ascii="仿宋" w:hAnsi="仿宋" w:eastAsia="仿宋" w:cs="仿宋"/>
          <w:b/>
          <w:sz w:val="24"/>
          <w:szCs w:val="24"/>
        </w:rPr>
        <w:t>二、服务内容</w:t>
      </w:r>
    </w:p>
    <w:p w14:paraId="64EAD5D0">
      <w:pPr>
        <w:pStyle w:val="44"/>
        <w:numPr>
          <w:ilvl w:val="0"/>
          <w:numId w:val="3"/>
        </w:numPr>
        <w:tabs>
          <w:tab w:val="left" w:pos="0"/>
        </w:tabs>
        <w:spacing w:line="360" w:lineRule="auto"/>
        <w:ind w:left="0" w:firstLine="200" w:firstLineChars="0"/>
        <w:outlineLvl w:val="1"/>
        <w:rPr>
          <w:rFonts w:hint="eastAsia" w:ascii="仿宋" w:hAnsi="仿宋" w:eastAsia="仿宋" w:cs="仿宋"/>
          <w:sz w:val="24"/>
          <w:szCs w:val="24"/>
        </w:rPr>
      </w:pPr>
      <w:r>
        <w:rPr>
          <w:rFonts w:hint="eastAsia" w:ascii="仿宋" w:hAnsi="仿宋" w:eastAsia="仿宋" w:cs="仿宋"/>
          <w:sz w:val="24"/>
          <w:szCs w:val="24"/>
        </w:rPr>
        <w:t>总体要求</w:t>
      </w:r>
    </w:p>
    <w:p w14:paraId="3EC70BE2">
      <w:pPr>
        <w:snapToGrid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1.完成2吨镁精炼电炉全部零部件的机械加工，完成后经采购人确认，出具符合GB 50661-2011 《钢结构焊接规范》等对应加工要求的报告，具体加工可在乙方工厂内完成，也可在甲方试验基地（重庆）或者示范基地（哈密）完成，钢板、管材等主要原材料由甲方提供（部分材料在甲方实验基地，重约5吨，乙方根据需要可送至加工地点，运费乙方自行负责）加工期间，甲方需要到现场监督。根据项目进度实际需求，若甲方中途提出改变加工地点的，运费由甲方负责。</w:t>
      </w:r>
    </w:p>
    <w:p w14:paraId="5D9D9917">
      <w:pPr>
        <w:snapToGrid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2.对所有加工的零部件及甲方采购的用于熔炉的包括但不限于电加热系统、耐火砖等进行装配集成，形成完整的熔炉装置。装配工作原则上需要在甲方实验地-重庆沙坪坝区完成，根据项目进度需要，也可能在项目示范地新疆哈密市完成。</w:t>
      </w:r>
    </w:p>
    <w:p w14:paraId="5EB9B633">
      <w:pPr>
        <w:snapToGrid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3.配合甲方在项目示范应用地（哈密市）现场进行示范生产，对不完善或者试生产过程出现的问题进行现场整改，对设计不合理的地方提出整改意见协助甲方进行完善优化。现场调试服务工作需要在新疆哈密市完成，自治区对项目完成验收合格后服务终止。</w:t>
      </w:r>
    </w:p>
    <w:p w14:paraId="18012EE2">
      <w:pPr>
        <w:pStyle w:val="44"/>
        <w:numPr>
          <w:ilvl w:val="0"/>
          <w:numId w:val="3"/>
        </w:numPr>
        <w:tabs>
          <w:tab w:val="left" w:pos="0"/>
        </w:tabs>
        <w:spacing w:line="360" w:lineRule="auto"/>
        <w:ind w:left="0" w:firstLine="200" w:firstLineChars="0"/>
        <w:outlineLvl w:val="1"/>
        <w:rPr>
          <w:rFonts w:hint="eastAsia" w:ascii="仿宋" w:hAnsi="仿宋" w:eastAsia="仿宋" w:cs="仿宋"/>
          <w:b/>
          <w:bCs/>
          <w:kern w:val="44"/>
          <w:sz w:val="24"/>
          <w:szCs w:val="24"/>
        </w:rPr>
      </w:pPr>
      <w:r>
        <w:rPr>
          <w:rFonts w:hint="eastAsia" w:ascii="仿宋" w:hAnsi="仿宋" w:eastAsia="仿宋" w:cs="仿宋"/>
          <w:b/>
          <w:bCs/>
          <w:kern w:val="44"/>
          <w:sz w:val="24"/>
          <w:szCs w:val="24"/>
        </w:rPr>
        <w:t>机械加工要求及工程量</w:t>
      </w:r>
    </w:p>
    <w:p w14:paraId="25FA7155">
      <w:pPr>
        <w:spacing w:line="360" w:lineRule="auto"/>
        <w:ind w:firstLine="200"/>
        <w:jc w:val="center"/>
        <w:rPr>
          <w:rFonts w:hint="eastAsia" w:ascii="仿宋" w:hAnsi="仿宋" w:eastAsia="仿宋" w:cs="仿宋"/>
          <w:sz w:val="24"/>
          <w:szCs w:val="24"/>
        </w:rPr>
      </w:pPr>
      <w:r>
        <w:rPr>
          <w:rFonts w:hint="eastAsia" w:ascii="仿宋" w:hAnsi="仿宋" w:eastAsia="仿宋" w:cs="仿宋"/>
          <w:sz w:val="24"/>
          <w:szCs w:val="24"/>
        </w:rPr>
        <w:t>精炼炉外形</w:t>
      </w:r>
    </w:p>
    <w:p w14:paraId="00704423">
      <w:pPr>
        <w:pStyle w:val="44"/>
        <w:snapToGrid w:val="0"/>
        <w:spacing w:line="360" w:lineRule="auto"/>
        <w:ind w:firstLine="480"/>
        <w:rPr>
          <w:rFonts w:hint="eastAsia" w:ascii="仿宋" w:hAnsi="仿宋" w:eastAsia="仿宋" w:cs="仿宋"/>
          <w:sz w:val="24"/>
          <w:szCs w:val="24"/>
        </w:rPr>
      </w:pPr>
      <w:r>
        <w:rPr>
          <w:rFonts w:hint="eastAsia" w:ascii="仿宋" w:hAnsi="仿宋" w:eastAsia="仿宋" w:cs="仿宋"/>
          <w:sz w:val="24"/>
          <w:szCs w:val="24"/>
        </w:rPr>
        <w:t>1.精炼炉壳体</w:t>
      </w:r>
    </w:p>
    <w:p w14:paraId="1C444EF3">
      <w:pPr>
        <w:pStyle w:val="44"/>
        <w:snapToGrid w:val="0"/>
        <w:spacing w:line="360" w:lineRule="auto"/>
        <w:ind w:firstLine="200" w:firstLineChars="0"/>
        <w:jc w:val="center"/>
        <w:rPr>
          <w:rFonts w:hint="eastAsia" w:ascii="仿宋" w:hAnsi="仿宋" w:eastAsia="仿宋" w:cs="仿宋"/>
          <w:sz w:val="24"/>
          <w:szCs w:val="24"/>
        </w:rPr>
      </w:pPr>
      <w:r>
        <w:rPr>
          <w:rFonts w:hint="eastAsia" w:ascii="仿宋" w:hAnsi="仿宋" w:eastAsia="仿宋" w:cs="仿宋"/>
          <w:sz w:val="24"/>
          <w:szCs w:val="24"/>
        </w:rPr>
        <w:drawing>
          <wp:inline distT="0" distB="0" distL="0" distR="0">
            <wp:extent cx="2946400" cy="1869440"/>
            <wp:effectExtent l="0" t="0" r="6350" b="16510"/>
            <wp:docPr id="125824319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243194" name="图片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2956880" cy="1876084"/>
                    </a:xfrm>
                    <a:prstGeom prst="rect">
                      <a:avLst/>
                    </a:prstGeom>
                    <a:noFill/>
                    <a:ln>
                      <a:noFill/>
                    </a:ln>
                  </pic:spPr>
                </pic:pic>
              </a:graphicData>
            </a:graphic>
          </wp:inline>
        </w:drawing>
      </w:r>
    </w:p>
    <w:p w14:paraId="1AFBDCF5">
      <w:pPr>
        <w:pStyle w:val="44"/>
        <w:snapToGrid w:val="0"/>
        <w:spacing w:line="360" w:lineRule="auto"/>
        <w:ind w:firstLine="480"/>
        <w:jc w:val="center"/>
        <w:rPr>
          <w:rFonts w:hint="eastAsia" w:ascii="仿宋" w:hAnsi="仿宋" w:eastAsia="仿宋" w:cs="仿宋"/>
          <w:sz w:val="24"/>
          <w:szCs w:val="24"/>
        </w:rPr>
      </w:pPr>
      <w:r>
        <w:rPr>
          <w:rFonts w:hint="eastAsia" w:ascii="仿宋" w:hAnsi="仿宋" w:eastAsia="仿宋" w:cs="仿宋"/>
          <w:sz w:val="24"/>
          <w:szCs w:val="24"/>
        </w:rPr>
        <w:t>（1）罩壳1</w:t>
      </w:r>
    </w:p>
    <w:p w14:paraId="166AC4D3">
      <w:pPr>
        <w:pStyle w:val="44"/>
        <w:snapToGrid w:val="0"/>
        <w:spacing w:line="360" w:lineRule="auto"/>
        <w:ind w:firstLine="480"/>
        <w:jc w:val="center"/>
        <w:rPr>
          <w:rFonts w:hint="eastAsia" w:ascii="仿宋" w:hAnsi="仿宋" w:eastAsia="仿宋" w:cs="仿宋"/>
          <w:sz w:val="24"/>
          <w:szCs w:val="24"/>
        </w:rPr>
      </w:pPr>
      <w:r>
        <w:rPr>
          <w:rFonts w:hint="eastAsia" w:ascii="仿宋" w:hAnsi="仿宋" w:eastAsia="仿宋" w:cs="仿宋"/>
          <w:sz w:val="24"/>
          <w:szCs w:val="24"/>
        </w:rPr>
        <w:drawing>
          <wp:inline distT="0" distB="0" distL="0" distR="0">
            <wp:extent cx="3033395" cy="1837690"/>
            <wp:effectExtent l="0" t="0" r="14605" b="10160"/>
            <wp:docPr id="38184657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846572" name="图片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3042506" cy="1843232"/>
                    </a:xfrm>
                    <a:prstGeom prst="rect">
                      <a:avLst/>
                    </a:prstGeom>
                    <a:noFill/>
                    <a:ln>
                      <a:noFill/>
                    </a:ln>
                  </pic:spPr>
                </pic:pic>
              </a:graphicData>
            </a:graphic>
          </wp:inline>
        </w:drawing>
      </w:r>
    </w:p>
    <w:p w14:paraId="253E2B1A">
      <w:pPr>
        <w:pStyle w:val="44"/>
        <w:snapToGrid w:val="0"/>
        <w:spacing w:line="360" w:lineRule="auto"/>
        <w:ind w:firstLine="480"/>
        <w:jc w:val="center"/>
        <w:rPr>
          <w:rFonts w:hint="eastAsia" w:ascii="仿宋" w:hAnsi="仿宋" w:eastAsia="仿宋" w:cs="仿宋"/>
          <w:sz w:val="24"/>
          <w:szCs w:val="24"/>
        </w:rPr>
      </w:pPr>
      <w:r>
        <w:rPr>
          <w:rFonts w:hint="eastAsia" w:ascii="仿宋" w:hAnsi="仿宋" w:eastAsia="仿宋" w:cs="仿宋"/>
          <w:sz w:val="24"/>
          <w:szCs w:val="24"/>
        </w:rPr>
        <w:t>（2）罩壳2</w:t>
      </w:r>
    </w:p>
    <w:p w14:paraId="6A2072BA">
      <w:pPr>
        <w:pStyle w:val="44"/>
        <w:snapToGrid w:val="0"/>
        <w:spacing w:line="360" w:lineRule="auto"/>
        <w:ind w:firstLine="480"/>
        <w:jc w:val="center"/>
        <w:rPr>
          <w:rFonts w:hint="eastAsia" w:ascii="仿宋" w:hAnsi="仿宋" w:eastAsia="仿宋" w:cs="仿宋"/>
          <w:sz w:val="24"/>
          <w:szCs w:val="24"/>
        </w:rPr>
      </w:pPr>
      <w:r>
        <w:rPr>
          <w:rFonts w:hint="eastAsia" w:ascii="仿宋" w:hAnsi="仿宋" w:eastAsia="仿宋" w:cs="仿宋"/>
          <w:sz w:val="24"/>
          <w:szCs w:val="24"/>
        </w:rPr>
        <w:drawing>
          <wp:inline distT="0" distB="0" distL="0" distR="0">
            <wp:extent cx="3308985" cy="3503295"/>
            <wp:effectExtent l="0" t="0" r="5715" b="1905"/>
            <wp:docPr id="81578884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788842" name="图片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3312326" cy="3506934"/>
                    </a:xfrm>
                    <a:prstGeom prst="rect">
                      <a:avLst/>
                    </a:prstGeom>
                    <a:noFill/>
                    <a:ln>
                      <a:noFill/>
                    </a:ln>
                  </pic:spPr>
                </pic:pic>
              </a:graphicData>
            </a:graphic>
          </wp:inline>
        </w:drawing>
      </w:r>
    </w:p>
    <w:p w14:paraId="427025ED">
      <w:pPr>
        <w:pStyle w:val="44"/>
        <w:snapToGrid w:val="0"/>
        <w:spacing w:line="360" w:lineRule="auto"/>
        <w:ind w:firstLine="480"/>
        <w:jc w:val="center"/>
        <w:rPr>
          <w:rFonts w:hint="eastAsia" w:ascii="仿宋" w:hAnsi="仿宋" w:eastAsia="仿宋" w:cs="仿宋"/>
          <w:sz w:val="24"/>
          <w:szCs w:val="24"/>
        </w:rPr>
      </w:pPr>
      <w:r>
        <w:rPr>
          <w:rFonts w:hint="eastAsia" w:ascii="仿宋" w:hAnsi="仿宋" w:eastAsia="仿宋" w:cs="仿宋"/>
          <w:sz w:val="24"/>
          <w:szCs w:val="24"/>
        </w:rPr>
        <w:t>（3）尾罩</w:t>
      </w:r>
    </w:p>
    <w:p w14:paraId="38F059DD">
      <w:pPr>
        <w:pStyle w:val="44"/>
        <w:snapToGrid w:val="0"/>
        <w:spacing w:line="360" w:lineRule="auto"/>
        <w:ind w:firstLine="480"/>
        <w:jc w:val="center"/>
        <w:rPr>
          <w:rFonts w:hint="eastAsia" w:ascii="仿宋" w:hAnsi="仿宋" w:eastAsia="仿宋" w:cs="仿宋"/>
          <w:sz w:val="24"/>
          <w:szCs w:val="24"/>
        </w:rPr>
      </w:pPr>
      <w:r>
        <w:rPr>
          <w:rFonts w:hint="eastAsia" w:ascii="仿宋" w:hAnsi="仿宋" w:eastAsia="仿宋" w:cs="仿宋"/>
          <w:sz w:val="24"/>
          <w:szCs w:val="24"/>
        </w:rPr>
        <w:drawing>
          <wp:inline distT="0" distB="0" distL="0" distR="0">
            <wp:extent cx="4005580" cy="1757680"/>
            <wp:effectExtent l="0" t="0" r="13970" b="13970"/>
            <wp:docPr id="74207780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077808" name="图片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4009689" cy="1759609"/>
                    </a:xfrm>
                    <a:prstGeom prst="rect">
                      <a:avLst/>
                    </a:prstGeom>
                    <a:noFill/>
                    <a:ln>
                      <a:noFill/>
                    </a:ln>
                  </pic:spPr>
                </pic:pic>
              </a:graphicData>
            </a:graphic>
          </wp:inline>
        </w:drawing>
      </w:r>
    </w:p>
    <w:p w14:paraId="38FD8B11">
      <w:pPr>
        <w:pStyle w:val="44"/>
        <w:snapToGrid w:val="0"/>
        <w:spacing w:line="360" w:lineRule="auto"/>
        <w:ind w:firstLine="480"/>
        <w:jc w:val="center"/>
        <w:rPr>
          <w:rFonts w:hint="eastAsia" w:ascii="仿宋" w:hAnsi="仿宋" w:eastAsia="仿宋" w:cs="仿宋"/>
          <w:sz w:val="24"/>
          <w:szCs w:val="24"/>
        </w:rPr>
      </w:pPr>
      <w:r>
        <w:rPr>
          <w:rFonts w:hint="eastAsia" w:ascii="仿宋" w:hAnsi="仿宋" w:eastAsia="仿宋" w:cs="仿宋"/>
          <w:sz w:val="24"/>
          <w:szCs w:val="24"/>
        </w:rPr>
        <w:t>（4）炉盖</w:t>
      </w:r>
    </w:p>
    <w:p w14:paraId="085417C8">
      <w:pPr>
        <w:pStyle w:val="44"/>
        <w:snapToGrid w:val="0"/>
        <w:spacing w:line="360" w:lineRule="auto"/>
        <w:ind w:firstLine="480"/>
        <w:jc w:val="center"/>
        <w:rPr>
          <w:rFonts w:hint="eastAsia" w:ascii="仿宋" w:hAnsi="仿宋" w:eastAsia="仿宋" w:cs="仿宋"/>
          <w:sz w:val="24"/>
          <w:szCs w:val="24"/>
        </w:rPr>
      </w:pPr>
      <w:r>
        <w:rPr>
          <w:rFonts w:hint="eastAsia" w:ascii="仿宋" w:hAnsi="仿宋" w:eastAsia="仿宋" w:cs="仿宋"/>
          <w:sz w:val="24"/>
          <w:szCs w:val="24"/>
        </w:rPr>
        <w:drawing>
          <wp:inline distT="0" distB="0" distL="0" distR="0">
            <wp:extent cx="3707130" cy="1913890"/>
            <wp:effectExtent l="0" t="0" r="7620" b="10160"/>
            <wp:docPr id="14026823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68233" name="图片 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3714339" cy="1917540"/>
                    </a:xfrm>
                    <a:prstGeom prst="rect">
                      <a:avLst/>
                    </a:prstGeom>
                    <a:noFill/>
                    <a:ln>
                      <a:noFill/>
                    </a:ln>
                  </pic:spPr>
                </pic:pic>
              </a:graphicData>
            </a:graphic>
          </wp:inline>
        </w:drawing>
      </w:r>
    </w:p>
    <w:p w14:paraId="338C3F4C">
      <w:pPr>
        <w:pStyle w:val="44"/>
        <w:snapToGrid w:val="0"/>
        <w:spacing w:line="360" w:lineRule="auto"/>
        <w:ind w:firstLine="480"/>
        <w:jc w:val="center"/>
        <w:rPr>
          <w:rFonts w:hint="eastAsia" w:ascii="仿宋" w:hAnsi="仿宋" w:eastAsia="仿宋" w:cs="仿宋"/>
          <w:sz w:val="24"/>
          <w:szCs w:val="24"/>
        </w:rPr>
      </w:pPr>
      <w:r>
        <w:rPr>
          <w:rFonts w:hint="eastAsia" w:ascii="仿宋" w:hAnsi="仿宋" w:eastAsia="仿宋" w:cs="仿宋"/>
          <w:sz w:val="24"/>
          <w:szCs w:val="24"/>
        </w:rPr>
        <w:t>（5）搁板</w:t>
      </w:r>
    </w:p>
    <w:p w14:paraId="465498F2">
      <w:pPr>
        <w:pStyle w:val="44"/>
        <w:snapToGrid w:val="0"/>
        <w:spacing w:line="360" w:lineRule="auto"/>
        <w:ind w:firstLine="200" w:firstLineChars="0"/>
        <w:jc w:val="center"/>
        <w:rPr>
          <w:rFonts w:hint="eastAsia" w:ascii="仿宋" w:hAnsi="仿宋" w:eastAsia="仿宋" w:cs="仿宋"/>
          <w:sz w:val="24"/>
          <w:szCs w:val="24"/>
        </w:rPr>
      </w:pPr>
      <w:r>
        <w:rPr>
          <w:rFonts w:hint="eastAsia" w:ascii="仿宋" w:hAnsi="仿宋" w:eastAsia="仿宋" w:cs="仿宋"/>
          <w:sz w:val="24"/>
          <w:szCs w:val="24"/>
        </w:rPr>
        <w:drawing>
          <wp:inline distT="0" distB="0" distL="0" distR="0">
            <wp:extent cx="3978910" cy="2800350"/>
            <wp:effectExtent l="0" t="0" r="2540" b="0"/>
            <wp:docPr id="156496458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964585" name="图片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3984522" cy="2804420"/>
                    </a:xfrm>
                    <a:prstGeom prst="rect">
                      <a:avLst/>
                    </a:prstGeom>
                    <a:noFill/>
                    <a:ln>
                      <a:noFill/>
                    </a:ln>
                  </pic:spPr>
                </pic:pic>
              </a:graphicData>
            </a:graphic>
          </wp:inline>
        </w:drawing>
      </w:r>
    </w:p>
    <w:p w14:paraId="1D38AF59">
      <w:pPr>
        <w:pStyle w:val="44"/>
        <w:snapToGrid w:val="0"/>
        <w:spacing w:line="360" w:lineRule="auto"/>
        <w:ind w:firstLine="480"/>
        <w:jc w:val="center"/>
        <w:rPr>
          <w:rFonts w:hint="eastAsia" w:ascii="仿宋" w:hAnsi="仿宋" w:eastAsia="仿宋" w:cs="仿宋"/>
          <w:sz w:val="24"/>
          <w:szCs w:val="24"/>
        </w:rPr>
      </w:pPr>
      <w:r>
        <w:rPr>
          <w:rFonts w:hint="eastAsia" w:ascii="仿宋" w:hAnsi="仿宋" w:eastAsia="仿宋" w:cs="仿宋"/>
          <w:sz w:val="24"/>
          <w:szCs w:val="24"/>
        </w:rPr>
        <w:t>（6）内炉壳</w:t>
      </w:r>
    </w:p>
    <w:p w14:paraId="3331BC46">
      <w:pPr>
        <w:snapToGrid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工程量主要包括但不限于炉壳材料下料、钻孔及激光加工，壳体外形（3524*1552*1475），由100*6方管和8MMQ235B钢板焊接成型，方管用于壳体加固，钢板组焊采用双面焊接成型，要求立柱的平直度和炉壳表面的平整，型钢与炉壳的断续焊要求长度50mm，间隔小于150mm。焊接要求严格按GB 50661-2011《钢结构焊接规范》执行。</w:t>
      </w:r>
    </w:p>
    <w:p w14:paraId="292BF573">
      <w:pPr>
        <w:pStyle w:val="44"/>
        <w:snapToGrid w:val="0"/>
        <w:spacing w:line="360" w:lineRule="auto"/>
        <w:ind w:firstLine="480"/>
        <w:rPr>
          <w:rFonts w:hint="eastAsia" w:ascii="仿宋" w:hAnsi="仿宋" w:eastAsia="仿宋" w:cs="仿宋"/>
          <w:sz w:val="24"/>
          <w:szCs w:val="24"/>
        </w:rPr>
      </w:pPr>
      <w:r>
        <w:rPr>
          <w:rFonts w:hint="eastAsia" w:ascii="仿宋" w:hAnsi="仿宋" w:eastAsia="仿宋" w:cs="仿宋"/>
          <w:sz w:val="24"/>
          <w:szCs w:val="24"/>
        </w:rPr>
        <w:t>2.浇注泵、泵壳盖、轴套、转子</w:t>
      </w:r>
    </w:p>
    <w:p w14:paraId="2C9F5A25">
      <w:pPr>
        <w:snapToGrid w:val="0"/>
        <w:spacing w:line="360" w:lineRule="auto"/>
        <w:ind w:firstLine="200"/>
        <w:jc w:val="center"/>
        <w:rPr>
          <w:rFonts w:hint="eastAsia" w:ascii="仿宋" w:hAnsi="仿宋" w:eastAsia="仿宋" w:cs="仿宋"/>
          <w:sz w:val="24"/>
          <w:szCs w:val="24"/>
        </w:rPr>
      </w:pPr>
      <w:r>
        <w:rPr>
          <w:rFonts w:hint="eastAsia" w:ascii="仿宋" w:hAnsi="仿宋" w:eastAsia="仿宋" w:cs="仿宋"/>
          <w:sz w:val="24"/>
          <w:szCs w:val="24"/>
        </w:rPr>
        <w:drawing>
          <wp:inline distT="0" distB="0" distL="0" distR="0">
            <wp:extent cx="1416685" cy="4100830"/>
            <wp:effectExtent l="0" t="0" r="13970" b="12065"/>
            <wp:docPr id="109415279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152793" name="图片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rot="5400000">
                      <a:off x="0" y="0"/>
                      <a:ext cx="1420521" cy="4111912"/>
                    </a:xfrm>
                    <a:prstGeom prst="rect">
                      <a:avLst/>
                    </a:prstGeom>
                    <a:noFill/>
                    <a:ln>
                      <a:noFill/>
                    </a:ln>
                  </pic:spPr>
                </pic:pic>
              </a:graphicData>
            </a:graphic>
          </wp:inline>
        </w:drawing>
      </w:r>
      <w:r>
        <w:rPr>
          <w:rFonts w:hint="eastAsia" w:ascii="仿宋" w:hAnsi="仿宋" w:eastAsia="仿宋" w:cs="仿宋"/>
          <w:sz w:val="24"/>
          <w:szCs w:val="24"/>
        </w:rPr>
        <w:drawing>
          <wp:inline distT="0" distB="0" distL="0" distR="0">
            <wp:extent cx="610870" cy="1280795"/>
            <wp:effectExtent l="0" t="0" r="17780" b="14605"/>
            <wp:docPr id="200790227"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90227" name="图片 1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613878" cy="1286892"/>
                    </a:xfrm>
                    <a:prstGeom prst="rect">
                      <a:avLst/>
                    </a:prstGeom>
                    <a:noFill/>
                    <a:ln>
                      <a:noFill/>
                    </a:ln>
                  </pic:spPr>
                </pic:pic>
              </a:graphicData>
            </a:graphic>
          </wp:inline>
        </w:drawing>
      </w:r>
    </w:p>
    <w:p w14:paraId="7BF22689">
      <w:pPr>
        <w:pStyle w:val="2"/>
        <w:spacing w:after="0" w:line="360" w:lineRule="auto"/>
        <w:ind w:firstLine="200"/>
        <w:jc w:val="right"/>
        <w:rPr>
          <w:rFonts w:hint="eastAsia" w:ascii="仿宋" w:hAnsi="仿宋" w:eastAsia="仿宋" w:cs="仿宋"/>
          <w:sz w:val="24"/>
          <w:szCs w:val="24"/>
        </w:rPr>
      </w:pPr>
      <w:r>
        <w:rPr>
          <w:rFonts w:hint="eastAsia" w:ascii="仿宋" w:hAnsi="仿宋" w:eastAsia="仿宋" w:cs="仿宋"/>
          <w:sz w:val="24"/>
          <w:szCs w:val="24"/>
        </w:rPr>
        <w:t>（a）浇注泵                    （b）泵壳盖</w:t>
      </w:r>
    </w:p>
    <w:p w14:paraId="0D2F85CA">
      <w:pPr>
        <w:spacing w:line="360" w:lineRule="auto"/>
        <w:ind w:firstLine="200"/>
        <w:jc w:val="center"/>
        <w:rPr>
          <w:rFonts w:hint="eastAsia" w:ascii="仿宋" w:hAnsi="仿宋" w:eastAsia="仿宋" w:cs="仿宋"/>
          <w:sz w:val="24"/>
          <w:szCs w:val="24"/>
        </w:rPr>
      </w:pPr>
      <w:r>
        <w:rPr>
          <w:rFonts w:hint="eastAsia" w:ascii="仿宋" w:hAnsi="仿宋" w:eastAsia="仿宋" w:cs="仿宋"/>
          <w:sz w:val="24"/>
          <w:szCs w:val="24"/>
        </w:rPr>
        <w:drawing>
          <wp:inline distT="0" distB="0" distL="0" distR="0">
            <wp:extent cx="2524125" cy="1013460"/>
            <wp:effectExtent l="0" t="0" r="15240" b="9525"/>
            <wp:docPr id="1537395219"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395219" name="图片 1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rot="5400000">
                      <a:off x="0" y="0"/>
                      <a:ext cx="2551351" cy="1024719"/>
                    </a:xfrm>
                    <a:prstGeom prst="rect">
                      <a:avLst/>
                    </a:prstGeom>
                    <a:noFill/>
                    <a:ln>
                      <a:noFill/>
                    </a:ln>
                  </pic:spPr>
                </pic:pic>
              </a:graphicData>
            </a:graphic>
          </wp:inline>
        </w:drawing>
      </w:r>
      <w:r>
        <w:rPr>
          <w:rFonts w:hint="eastAsia" w:ascii="仿宋" w:hAnsi="仿宋" w:eastAsia="仿宋" w:cs="仿宋"/>
          <w:sz w:val="24"/>
          <w:szCs w:val="24"/>
        </w:rPr>
        <w:t xml:space="preserve">                </w:t>
      </w:r>
      <w:r>
        <w:rPr>
          <w:rFonts w:hint="eastAsia" w:ascii="仿宋" w:hAnsi="仿宋" w:eastAsia="仿宋" w:cs="仿宋"/>
          <w:sz w:val="24"/>
          <w:szCs w:val="24"/>
        </w:rPr>
        <w:drawing>
          <wp:inline distT="0" distB="0" distL="0" distR="0">
            <wp:extent cx="2186305" cy="1951355"/>
            <wp:effectExtent l="0" t="0" r="4445" b="10795"/>
            <wp:docPr id="452986096"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986096" name="图片 1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2192138" cy="1956719"/>
                    </a:xfrm>
                    <a:prstGeom prst="rect">
                      <a:avLst/>
                    </a:prstGeom>
                    <a:noFill/>
                    <a:ln>
                      <a:noFill/>
                    </a:ln>
                  </pic:spPr>
                </pic:pic>
              </a:graphicData>
            </a:graphic>
          </wp:inline>
        </w:drawing>
      </w:r>
    </w:p>
    <w:p w14:paraId="6E976643">
      <w:pPr>
        <w:pStyle w:val="2"/>
        <w:spacing w:after="0" w:line="360" w:lineRule="auto"/>
        <w:ind w:firstLine="200"/>
        <w:jc w:val="center"/>
        <w:rPr>
          <w:rFonts w:hint="eastAsia" w:ascii="仿宋" w:hAnsi="仿宋" w:eastAsia="仿宋" w:cs="仿宋"/>
          <w:sz w:val="24"/>
          <w:szCs w:val="24"/>
        </w:rPr>
      </w:pPr>
      <w:r>
        <w:rPr>
          <w:rFonts w:hint="eastAsia" w:ascii="仿宋" w:hAnsi="仿宋" w:eastAsia="仿宋" w:cs="仿宋"/>
          <w:sz w:val="24"/>
          <w:szCs w:val="24"/>
        </w:rPr>
        <w:t xml:space="preserve">（c）轴套                       （d）转子     </w:t>
      </w:r>
    </w:p>
    <w:p w14:paraId="2E96F9FE">
      <w:pPr>
        <w:spacing w:line="360" w:lineRule="auto"/>
        <w:ind w:firstLine="200"/>
        <w:rPr>
          <w:rFonts w:hint="eastAsia" w:ascii="仿宋" w:hAnsi="仿宋" w:eastAsia="仿宋" w:cs="仿宋"/>
          <w:sz w:val="24"/>
          <w:szCs w:val="24"/>
        </w:rPr>
      </w:pPr>
    </w:p>
    <w:p w14:paraId="081A80C7">
      <w:pPr>
        <w:pStyle w:val="44"/>
        <w:snapToGrid w:val="0"/>
        <w:spacing w:line="360" w:lineRule="auto"/>
        <w:ind w:firstLine="480"/>
        <w:rPr>
          <w:rFonts w:hint="eastAsia" w:ascii="仿宋" w:hAnsi="仿宋" w:eastAsia="仿宋" w:cs="仿宋"/>
          <w:sz w:val="24"/>
          <w:szCs w:val="24"/>
        </w:rPr>
      </w:pPr>
      <w:r>
        <w:rPr>
          <w:rFonts w:hint="eastAsia" w:ascii="仿宋" w:hAnsi="仿宋" w:eastAsia="仿宋" w:cs="仿宋"/>
          <w:sz w:val="24"/>
          <w:szCs w:val="24"/>
        </w:rPr>
        <w:t>材料为不锈钢，浇注泵的工程量主要包括但不限于壳体、泵筒、泵轴、底板、法兰、轴套、导杆、连接套、出水管等车铣加工、线切割，未标注公差按照GB/T 1804-2000(中等m)执行，按照GB 50733-2012 不锈钢管道工程施工及验收规范。</w:t>
      </w:r>
    </w:p>
    <w:p w14:paraId="1B2D5EEA">
      <w:pPr>
        <w:pStyle w:val="44"/>
        <w:snapToGrid w:val="0"/>
        <w:spacing w:line="360" w:lineRule="auto"/>
        <w:ind w:firstLine="480"/>
        <w:rPr>
          <w:rFonts w:hint="eastAsia" w:ascii="仿宋" w:hAnsi="仿宋" w:eastAsia="仿宋" w:cs="仿宋"/>
          <w:sz w:val="24"/>
          <w:szCs w:val="24"/>
        </w:rPr>
      </w:pPr>
      <w:r>
        <w:rPr>
          <w:rFonts w:hint="eastAsia" w:ascii="仿宋" w:hAnsi="仿宋" w:eastAsia="仿宋" w:cs="仿宋"/>
          <w:sz w:val="24"/>
          <w:szCs w:val="24"/>
        </w:rPr>
        <w:t>3.法兰、上泵筒</w:t>
      </w:r>
    </w:p>
    <w:p w14:paraId="638C5317">
      <w:pPr>
        <w:pStyle w:val="44"/>
        <w:snapToGrid w:val="0"/>
        <w:spacing w:line="360" w:lineRule="auto"/>
        <w:ind w:firstLine="480"/>
        <w:rPr>
          <w:rFonts w:hint="eastAsia" w:ascii="仿宋" w:hAnsi="仿宋" w:eastAsia="仿宋" w:cs="仿宋"/>
          <w:sz w:val="24"/>
          <w:szCs w:val="24"/>
        </w:rPr>
      </w:pPr>
      <w:r>
        <w:rPr>
          <w:rFonts w:hint="eastAsia" w:ascii="仿宋" w:hAnsi="仿宋" w:eastAsia="仿宋" w:cs="仿宋"/>
          <w:sz w:val="24"/>
          <w:szCs w:val="24"/>
        </w:rPr>
        <w:drawing>
          <wp:inline distT="0" distB="0" distL="0" distR="0">
            <wp:extent cx="2548255" cy="3031490"/>
            <wp:effectExtent l="0" t="0" r="4445" b="16510"/>
            <wp:docPr id="110109665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096656" name="图片 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2554802" cy="3039557"/>
                    </a:xfrm>
                    <a:prstGeom prst="rect">
                      <a:avLst/>
                    </a:prstGeom>
                    <a:noFill/>
                    <a:ln>
                      <a:noFill/>
                    </a:ln>
                  </pic:spPr>
                </pic:pic>
              </a:graphicData>
            </a:graphic>
          </wp:inline>
        </w:drawing>
      </w:r>
      <w:r>
        <w:rPr>
          <w:rFonts w:hint="eastAsia" w:ascii="仿宋" w:hAnsi="仿宋" w:eastAsia="仿宋" w:cs="仿宋"/>
          <w:sz w:val="24"/>
          <w:szCs w:val="24"/>
        </w:rPr>
        <w:drawing>
          <wp:inline distT="0" distB="0" distL="0" distR="0">
            <wp:extent cx="1620520" cy="2816860"/>
            <wp:effectExtent l="0" t="0" r="17780" b="2540"/>
            <wp:docPr id="141871935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8719352" name="图片 1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1630867" cy="2834826"/>
                    </a:xfrm>
                    <a:prstGeom prst="rect">
                      <a:avLst/>
                    </a:prstGeom>
                    <a:noFill/>
                    <a:ln>
                      <a:noFill/>
                    </a:ln>
                  </pic:spPr>
                </pic:pic>
              </a:graphicData>
            </a:graphic>
          </wp:inline>
        </w:drawing>
      </w:r>
    </w:p>
    <w:p w14:paraId="572D2C62">
      <w:pPr>
        <w:snapToGrid w:val="0"/>
        <w:spacing w:line="360" w:lineRule="auto"/>
        <w:ind w:firstLine="200"/>
        <w:jc w:val="center"/>
        <w:rPr>
          <w:rFonts w:hint="eastAsia" w:ascii="仿宋" w:hAnsi="仿宋" w:eastAsia="仿宋" w:cs="仿宋"/>
          <w:sz w:val="24"/>
          <w:szCs w:val="24"/>
        </w:rPr>
      </w:pPr>
      <w:r>
        <w:rPr>
          <w:rFonts w:hint="eastAsia" w:ascii="仿宋" w:hAnsi="仿宋" w:eastAsia="仿宋" w:cs="仿宋"/>
          <w:sz w:val="24"/>
          <w:szCs w:val="24"/>
        </w:rPr>
        <w:t>（a）法兰             （b）上泵筒</w:t>
      </w:r>
    </w:p>
    <w:p w14:paraId="767088F6">
      <w:pPr>
        <w:pStyle w:val="44"/>
        <w:snapToGrid w:val="0"/>
        <w:spacing w:line="360" w:lineRule="auto"/>
        <w:ind w:firstLine="480"/>
        <w:rPr>
          <w:rFonts w:hint="eastAsia" w:ascii="仿宋" w:hAnsi="仿宋" w:eastAsia="仿宋" w:cs="仿宋"/>
          <w:sz w:val="24"/>
          <w:szCs w:val="24"/>
        </w:rPr>
      </w:pPr>
      <w:r>
        <w:rPr>
          <w:rFonts w:hint="eastAsia" w:ascii="仿宋" w:hAnsi="仿宋" w:eastAsia="仿宋" w:cs="仿宋"/>
          <w:sz w:val="24"/>
          <w:szCs w:val="24"/>
        </w:rPr>
        <w:t>材料为不锈钢，长800，外径30MM，内孔直径8MM。数量6套，公差按照GB/T 1804-2000(中等m)执行，其他焊接工艺按GB 50661-2011 《钢结构焊接规范》执行。</w:t>
      </w:r>
    </w:p>
    <w:p w14:paraId="7FDD7774">
      <w:pPr>
        <w:pStyle w:val="44"/>
        <w:snapToGrid w:val="0"/>
        <w:spacing w:line="360" w:lineRule="auto"/>
        <w:ind w:firstLine="480"/>
        <w:rPr>
          <w:rFonts w:hint="eastAsia" w:ascii="仿宋" w:hAnsi="仿宋" w:eastAsia="仿宋" w:cs="仿宋"/>
          <w:sz w:val="24"/>
          <w:szCs w:val="24"/>
        </w:rPr>
      </w:pPr>
      <w:r>
        <w:rPr>
          <w:rFonts w:hint="eastAsia" w:ascii="仿宋" w:hAnsi="仿宋" w:eastAsia="仿宋" w:cs="仿宋"/>
          <w:sz w:val="24"/>
          <w:szCs w:val="24"/>
        </w:rPr>
        <w:t>4.轴加工</w:t>
      </w:r>
    </w:p>
    <w:p w14:paraId="30C6AE4C">
      <w:pPr>
        <w:pStyle w:val="44"/>
        <w:snapToGrid w:val="0"/>
        <w:spacing w:line="360" w:lineRule="auto"/>
        <w:ind w:firstLine="480"/>
        <w:rPr>
          <w:rFonts w:hint="eastAsia" w:ascii="仿宋" w:hAnsi="仿宋" w:eastAsia="仿宋" w:cs="仿宋"/>
          <w:sz w:val="24"/>
          <w:szCs w:val="24"/>
        </w:rPr>
      </w:pPr>
      <w:r>
        <w:rPr>
          <w:rFonts w:hint="eastAsia" w:ascii="仿宋" w:hAnsi="仿宋" w:eastAsia="仿宋" w:cs="仿宋"/>
          <w:sz w:val="24"/>
          <w:szCs w:val="24"/>
        </w:rPr>
        <w:drawing>
          <wp:inline distT="0" distB="0" distL="0" distR="0">
            <wp:extent cx="4961255" cy="1732915"/>
            <wp:effectExtent l="0" t="0" r="10795" b="635"/>
            <wp:docPr id="41336594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365944" name="图片 1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5030366" cy="1757540"/>
                    </a:xfrm>
                    <a:prstGeom prst="rect">
                      <a:avLst/>
                    </a:prstGeom>
                    <a:noFill/>
                    <a:ln>
                      <a:noFill/>
                    </a:ln>
                  </pic:spPr>
                </pic:pic>
              </a:graphicData>
            </a:graphic>
          </wp:inline>
        </w:drawing>
      </w:r>
    </w:p>
    <w:p w14:paraId="03F8D325">
      <w:pPr>
        <w:pStyle w:val="44"/>
        <w:snapToGrid w:val="0"/>
        <w:spacing w:line="360" w:lineRule="auto"/>
        <w:ind w:firstLine="480"/>
        <w:jc w:val="center"/>
        <w:rPr>
          <w:rFonts w:hint="eastAsia" w:ascii="仿宋" w:hAnsi="仿宋" w:eastAsia="仿宋" w:cs="仿宋"/>
          <w:sz w:val="24"/>
          <w:szCs w:val="24"/>
        </w:rPr>
      </w:pPr>
      <w:r>
        <w:rPr>
          <w:rFonts w:hint="eastAsia" w:ascii="仿宋" w:hAnsi="仿宋" w:eastAsia="仿宋" w:cs="仿宋"/>
          <w:sz w:val="24"/>
          <w:szCs w:val="24"/>
        </w:rPr>
        <w:t>（a）上轴加工</w:t>
      </w:r>
    </w:p>
    <w:p w14:paraId="0AE17599">
      <w:pPr>
        <w:pStyle w:val="44"/>
        <w:snapToGrid w:val="0"/>
        <w:spacing w:line="360" w:lineRule="auto"/>
        <w:ind w:firstLine="480"/>
        <w:rPr>
          <w:rFonts w:hint="eastAsia" w:ascii="仿宋" w:hAnsi="仿宋" w:eastAsia="仿宋" w:cs="仿宋"/>
          <w:sz w:val="24"/>
          <w:szCs w:val="24"/>
        </w:rPr>
      </w:pPr>
      <w:r>
        <w:rPr>
          <w:rFonts w:hint="eastAsia" w:ascii="仿宋" w:hAnsi="仿宋" w:eastAsia="仿宋" w:cs="仿宋"/>
          <w:sz w:val="24"/>
          <w:szCs w:val="24"/>
        </w:rPr>
        <w:drawing>
          <wp:inline distT="0" distB="0" distL="0" distR="0">
            <wp:extent cx="5274310" cy="1583690"/>
            <wp:effectExtent l="0" t="0" r="2540" b="16510"/>
            <wp:docPr id="154115183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151834" name="图片 1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5274310" cy="1583690"/>
                    </a:xfrm>
                    <a:prstGeom prst="rect">
                      <a:avLst/>
                    </a:prstGeom>
                    <a:noFill/>
                    <a:ln>
                      <a:noFill/>
                    </a:ln>
                  </pic:spPr>
                </pic:pic>
              </a:graphicData>
            </a:graphic>
          </wp:inline>
        </w:drawing>
      </w:r>
    </w:p>
    <w:p w14:paraId="71ABF9F1">
      <w:pPr>
        <w:pStyle w:val="44"/>
        <w:snapToGrid w:val="0"/>
        <w:spacing w:line="360" w:lineRule="auto"/>
        <w:ind w:firstLine="480"/>
        <w:jc w:val="center"/>
        <w:rPr>
          <w:rFonts w:hint="eastAsia" w:ascii="仿宋" w:hAnsi="仿宋" w:eastAsia="仿宋" w:cs="仿宋"/>
          <w:sz w:val="24"/>
          <w:szCs w:val="24"/>
        </w:rPr>
      </w:pPr>
      <w:r>
        <w:rPr>
          <w:rFonts w:hint="eastAsia" w:ascii="仿宋" w:hAnsi="仿宋" w:eastAsia="仿宋" w:cs="仿宋"/>
          <w:sz w:val="24"/>
          <w:szCs w:val="24"/>
        </w:rPr>
        <w:t>（b）下轴加工</w:t>
      </w:r>
    </w:p>
    <w:p w14:paraId="0C77322A">
      <w:pPr>
        <w:pStyle w:val="44"/>
        <w:snapToGrid w:val="0"/>
        <w:spacing w:line="360" w:lineRule="auto"/>
        <w:ind w:firstLine="480"/>
        <w:rPr>
          <w:rFonts w:hint="eastAsia" w:ascii="仿宋" w:hAnsi="仿宋" w:eastAsia="仿宋" w:cs="仿宋"/>
          <w:sz w:val="24"/>
          <w:szCs w:val="24"/>
        </w:rPr>
      </w:pPr>
    </w:p>
    <w:p w14:paraId="2CB3DC0E">
      <w:pPr>
        <w:pStyle w:val="44"/>
        <w:snapToGrid w:val="0"/>
        <w:spacing w:line="360" w:lineRule="auto"/>
        <w:ind w:firstLine="480"/>
        <w:rPr>
          <w:rFonts w:hint="eastAsia" w:ascii="仿宋" w:hAnsi="仿宋" w:eastAsia="仿宋" w:cs="仿宋"/>
          <w:sz w:val="24"/>
          <w:szCs w:val="24"/>
        </w:rPr>
      </w:pPr>
      <w:r>
        <w:rPr>
          <w:rFonts w:hint="eastAsia" w:ascii="仿宋" w:hAnsi="仿宋" w:eastAsia="仿宋" w:cs="仿宋"/>
          <w:sz w:val="24"/>
          <w:szCs w:val="24"/>
        </w:rPr>
        <w:t>5.电加热系统</w:t>
      </w:r>
    </w:p>
    <w:p w14:paraId="5065E4EA">
      <w:pPr>
        <w:pStyle w:val="2"/>
        <w:spacing w:after="0" w:line="360" w:lineRule="auto"/>
        <w:ind w:firstLine="200"/>
        <w:rPr>
          <w:rFonts w:hint="eastAsia" w:ascii="仿宋" w:hAnsi="仿宋" w:eastAsia="仿宋" w:cs="仿宋"/>
          <w:sz w:val="24"/>
          <w:szCs w:val="24"/>
        </w:rPr>
      </w:pPr>
      <w:r>
        <w:rPr>
          <w:rFonts w:hint="eastAsia" w:ascii="仿宋" w:hAnsi="仿宋" w:eastAsia="仿宋" w:cs="仿宋"/>
          <w:sz w:val="24"/>
          <w:szCs w:val="24"/>
        </w:rPr>
        <w:drawing>
          <wp:inline distT="0" distB="0" distL="0" distR="0">
            <wp:extent cx="2795270" cy="4592955"/>
            <wp:effectExtent l="0" t="0" r="17145" b="508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35"/>
                    <a:stretch>
                      <a:fillRect/>
                    </a:stretch>
                  </pic:blipFill>
                  <pic:spPr>
                    <a:xfrm rot="5400000">
                      <a:off x="0" y="0"/>
                      <a:ext cx="2802623" cy="4605449"/>
                    </a:xfrm>
                    <a:prstGeom prst="rect">
                      <a:avLst/>
                    </a:prstGeom>
                  </pic:spPr>
                </pic:pic>
              </a:graphicData>
            </a:graphic>
          </wp:inline>
        </w:drawing>
      </w:r>
    </w:p>
    <w:p w14:paraId="42654207">
      <w:pPr>
        <w:jc w:val="center"/>
        <w:rPr>
          <w:rFonts w:hint="eastAsia" w:ascii="仿宋" w:hAnsi="仿宋" w:eastAsia="仿宋" w:cs="仿宋"/>
          <w:sz w:val="24"/>
          <w:szCs w:val="24"/>
        </w:rPr>
      </w:pPr>
      <w:r>
        <w:rPr>
          <w:rFonts w:hint="eastAsia" w:ascii="仿宋" w:hAnsi="仿宋" w:eastAsia="仿宋" w:cs="仿宋"/>
          <w:sz w:val="24"/>
          <w:szCs w:val="24"/>
        </w:rPr>
        <w:t>电加热系统样图</w:t>
      </w:r>
    </w:p>
    <w:p w14:paraId="3CC4AF7D">
      <w:pPr>
        <w:ind w:firstLine="480" w:firstLineChars="200"/>
        <w:rPr>
          <w:rFonts w:hint="eastAsia" w:ascii="仿宋" w:hAnsi="仿宋" w:eastAsia="仿宋" w:cs="仿宋"/>
          <w:sz w:val="24"/>
          <w:szCs w:val="24"/>
        </w:rPr>
      </w:pPr>
      <w:r>
        <w:rPr>
          <w:rFonts w:hint="eastAsia" w:ascii="仿宋" w:hAnsi="仿宋" w:eastAsia="仿宋" w:cs="仿宋"/>
          <w:sz w:val="24"/>
          <w:szCs w:val="24"/>
        </w:rPr>
        <w:t>电阻加热系统符合 国内电阻丝（电热合金）现行核心标准为 GB/T 1234-2012《高电阻电热合金》</w:t>
      </w:r>
    </w:p>
    <w:p w14:paraId="160EAEF7">
      <w:pPr>
        <w:ind w:firstLine="480" w:firstLineChars="200"/>
        <w:rPr>
          <w:rFonts w:hint="eastAsia" w:ascii="仿宋" w:hAnsi="仿宋" w:eastAsia="仿宋" w:cs="仿宋"/>
          <w:sz w:val="24"/>
          <w:szCs w:val="24"/>
        </w:rPr>
      </w:pPr>
      <w:r>
        <w:rPr>
          <w:rFonts w:hint="eastAsia" w:ascii="仿宋" w:hAnsi="仿宋" w:eastAsia="仿宋" w:cs="仿宋"/>
          <w:sz w:val="24"/>
          <w:szCs w:val="24"/>
        </w:rPr>
        <w:t>（1）.材料要求:铁铬铝系0Cr27Al7Mo2：Cr26.5～27.8%，Al6～7%，Mo1.8～2.2%；耐温1350℃，高温强度高。</w:t>
      </w:r>
    </w:p>
    <w:p w14:paraId="6F36FE5F">
      <w:pPr>
        <w:ind w:firstLine="480" w:firstLineChars="200"/>
        <w:rPr>
          <w:rFonts w:hint="eastAsia" w:ascii="仿宋" w:hAnsi="仿宋" w:eastAsia="仿宋" w:cs="仿宋"/>
          <w:sz w:val="24"/>
          <w:szCs w:val="24"/>
        </w:rPr>
      </w:pPr>
      <w:r>
        <w:rPr>
          <w:rFonts w:hint="eastAsia" w:ascii="仿宋" w:hAnsi="仿宋" w:eastAsia="仿宋" w:cs="仿宋"/>
          <w:sz w:val="24"/>
          <w:szCs w:val="24"/>
        </w:rPr>
        <w:t>（</w:t>
      </w:r>
      <w:r>
        <w:rPr>
          <w:rFonts w:hint="eastAsia" w:ascii="仿宋" w:hAnsi="仿宋" w:eastAsia="仿宋" w:cs="仿宋"/>
          <w:sz w:val="24"/>
          <w:szCs w:val="24"/>
          <w:lang w:val="en-US" w:eastAsia="zh-CN"/>
        </w:rPr>
        <w:t>2</w:t>
      </w:r>
      <w:r>
        <w:rPr>
          <w:rFonts w:hint="eastAsia" w:ascii="仿宋" w:hAnsi="仿宋" w:eastAsia="仿宋" w:cs="仿宋"/>
          <w:sz w:val="24"/>
          <w:szCs w:val="24"/>
        </w:rPr>
        <w:t>）.品牌要求：HRE</w:t>
      </w:r>
    </w:p>
    <w:p w14:paraId="5BD7C9D7">
      <w:pPr>
        <w:ind w:firstLine="480" w:firstLineChars="200"/>
        <w:rPr>
          <w:rFonts w:hint="eastAsia" w:ascii="仿宋" w:hAnsi="仿宋" w:eastAsia="仿宋" w:cs="仿宋"/>
          <w:sz w:val="24"/>
          <w:szCs w:val="24"/>
        </w:rPr>
      </w:pPr>
      <w:r>
        <w:rPr>
          <w:rFonts w:hint="eastAsia" w:ascii="仿宋" w:hAnsi="仿宋" w:eastAsia="仿宋" w:cs="仿宋"/>
          <w:sz w:val="24"/>
          <w:szCs w:val="24"/>
        </w:rPr>
        <w:t>（</w:t>
      </w:r>
      <w:r>
        <w:rPr>
          <w:rFonts w:hint="eastAsia" w:ascii="仿宋" w:hAnsi="仿宋" w:eastAsia="仿宋" w:cs="仿宋"/>
          <w:sz w:val="24"/>
          <w:szCs w:val="24"/>
          <w:lang w:val="en-US" w:eastAsia="zh-CN"/>
        </w:rPr>
        <w:t>3</w:t>
      </w:r>
      <w:r>
        <w:rPr>
          <w:rFonts w:hint="eastAsia" w:ascii="仿宋" w:hAnsi="仿宋" w:eastAsia="仿宋" w:cs="仿宋"/>
          <w:sz w:val="24"/>
          <w:szCs w:val="24"/>
        </w:rPr>
        <w:t>）.有相关的采购证明：标准号、牌号、尺寸精度、交货状态。</w:t>
      </w:r>
    </w:p>
    <w:p w14:paraId="37F1C621">
      <w:pPr>
        <w:ind w:firstLine="480" w:firstLineChars="200"/>
        <w:rPr>
          <w:rFonts w:hint="eastAsia" w:ascii="仿宋" w:hAnsi="仿宋" w:eastAsia="仿宋" w:cs="仿宋"/>
          <w:sz w:val="24"/>
          <w:szCs w:val="24"/>
        </w:rPr>
      </w:pPr>
      <w:r>
        <w:rPr>
          <w:rFonts w:hint="eastAsia" w:ascii="仿宋" w:hAnsi="仿宋" w:eastAsia="仿宋" w:cs="仿宋"/>
          <w:sz w:val="24"/>
          <w:szCs w:val="24"/>
        </w:rPr>
        <w:t>电阻丝检验证明：化学成分、尺寸、电阻率、表面质量、缠绕/弯曲试验。</w:t>
      </w:r>
    </w:p>
    <w:p w14:paraId="582AA3CD">
      <w:pPr>
        <w:ind w:firstLine="480" w:firstLineChars="200"/>
        <w:rPr>
          <w:rFonts w:hint="eastAsia" w:ascii="仿宋" w:hAnsi="仿宋" w:eastAsia="仿宋" w:cs="仿宋"/>
          <w:sz w:val="24"/>
          <w:szCs w:val="24"/>
        </w:rPr>
      </w:pPr>
      <w:r>
        <w:rPr>
          <w:rFonts w:hint="eastAsia" w:ascii="仿宋" w:hAnsi="仿宋" w:eastAsia="仿宋" w:cs="仿宋"/>
          <w:sz w:val="24"/>
          <w:szCs w:val="24"/>
        </w:rPr>
        <w:t>包装要求：防潮防锈，附质量证明书（批号、成分、性能、检验日期）。</w:t>
      </w:r>
    </w:p>
    <w:p w14:paraId="290DC18E">
      <w:pPr>
        <w:rPr>
          <w:rFonts w:hint="eastAsia" w:ascii="仿宋" w:hAnsi="仿宋" w:eastAsia="仿宋" w:cs="仿宋"/>
          <w:sz w:val="24"/>
          <w:szCs w:val="24"/>
        </w:rPr>
      </w:pPr>
    </w:p>
    <w:p w14:paraId="0A7599DD">
      <w:pPr>
        <w:pStyle w:val="44"/>
        <w:snapToGrid w:val="0"/>
        <w:spacing w:line="360" w:lineRule="auto"/>
        <w:ind w:firstLine="480"/>
        <w:rPr>
          <w:rFonts w:hint="eastAsia" w:ascii="仿宋" w:hAnsi="仿宋" w:eastAsia="仿宋" w:cs="仿宋"/>
          <w:sz w:val="24"/>
          <w:szCs w:val="24"/>
        </w:rPr>
      </w:pPr>
      <w:r>
        <w:rPr>
          <w:rFonts w:hint="eastAsia" w:ascii="仿宋" w:hAnsi="仿宋" w:eastAsia="仿宋" w:cs="仿宋"/>
          <w:sz w:val="24"/>
          <w:szCs w:val="24"/>
        </w:rPr>
        <w:t>6.专业浇筑浇管</w:t>
      </w:r>
    </w:p>
    <w:p w14:paraId="53462F38">
      <w:pPr>
        <w:pStyle w:val="44"/>
        <w:snapToGrid w:val="0"/>
        <w:spacing w:line="360" w:lineRule="auto"/>
        <w:ind w:firstLine="200" w:firstLineChars="0"/>
        <w:jc w:val="center"/>
        <w:rPr>
          <w:rFonts w:hint="eastAsia" w:ascii="仿宋" w:hAnsi="仿宋" w:eastAsia="仿宋" w:cs="仿宋"/>
          <w:sz w:val="24"/>
          <w:szCs w:val="24"/>
        </w:rPr>
      </w:pPr>
      <w:r>
        <w:rPr>
          <w:rFonts w:hint="eastAsia" w:ascii="仿宋" w:hAnsi="仿宋" w:eastAsia="仿宋" w:cs="仿宋"/>
          <w:sz w:val="24"/>
          <w:szCs w:val="24"/>
        </w:rPr>
        <w:drawing>
          <wp:inline distT="0" distB="0" distL="0" distR="0">
            <wp:extent cx="4109720" cy="2301240"/>
            <wp:effectExtent l="0" t="0" r="5080" b="3810"/>
            <wp:docPr id="206178855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788557" name="图片 1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4115870" cy="2304708"/>
                    </a:xfrm>
                    <a:prstGeom prst="rect">
                      <a:avLst/>
                    </a:prstGeom>
                    <a:noFill/>
                    <a:ln>
                      <a:noFill/>
                    </a:ln>
                  </pic:spPr>
                </pic:pic>
              </a:graphicData>
            </a:graphic>
          </wp:inline>
        </w:drawing>
      </w:r>
    </w:p>
    <w:p w14:paraId="7BED2F75">
      <w:pPr>
        <w:pStyle w:val="44"/>
        <w:snapToGrid w:val="0"/>
        <w:spacing w:line="360" w:lineRule="auto"/>
        <w:ind w:firstLine="480"/>
        <w:rPr>
          <w:rFonts w:hint="eastAsia" w:ascii="仿宋" w:hAnsi="仿宋" w:eastAsia="仿宋" w:cs="仿宋"/>
          <w:sz w:val="24"/>
          <w:szCs w:val="24"/>
        </w:rPr>
      </w:pPr>
      <w:r>
        <w:rPr>
          <w:rFonts w:hint="eastAsia" w:ascii="仿宋" w:hAnsi="仿宋" w:eastAsia="仿宋" w:cs="仿宋"/>
          <w:sz w:val="24"/>
          <w:szCs w:val="24"/>
        </w:rPr>
        <w:t>浇管的内管下料、外壳下料及折弯、内管连接件车铣加工、连接法兰的车加工、加热套的车加工，未标注公差按照GB/T 1804-2000(中等m)执行，按照GB 50235-2010 工业金属管道工程施工规范、 GB 50236-2011 现场设备、工业管道焊接工程施工规范、GB 50733-2012 不锈钢管道工程施工及验收规范、GB/T 14976 流体输送用不锈钢无缝钢管（母材）、NB/T 47014/47015 焊接工艺评定要求执行。</w:t>
      </w:r>
    </w:p>
    <w:p w14:paraId="5F008F94">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因加工不当导致原材料的损失由乙方负责赔偿损失。</w:t>
      </w:r>
    </w:p>
    <w:p w14:paraId="6D1F38BC">
      <w:pPr>
        <w:pStyle w:val="44"/>
        <w:numPr>
          <w:ilvl w:val="0"/>
          <w:numId w:val="3"/>
        </w:numPr>
        <w:spacing w:line="360" w:lineRule="auto"/>
        <w:ind w:left="0" w:firstLine="200" w:firstLineChars="0"/>
        <w:rPr>
          <w:rFonts w:hint="eastAsia" w:ascii="仿宋" w:hAnsi="仿宋" w:eastAsia="仿宋" w:cs="仿宋"/>
          <w:b/>
          <w:bCs/>
          <w:kern w:val="44"/>
          <w:sz w:val="24"/>
          <w:szCs w:val="24"/>
        </w:rPr>
      </w:pPr>
      <w:r>
        <w:rPr>
          <w:rFonts w:hint="eastAsia" w:ascii="仿宋" w:hAnsi="仿宋" w:eastAsia="仿宋" w:cs="仿宋"/>
          <w:b/>
          <w:bCs/>
          <w:kern w:val="44"/>
          <w:sz w:val="24"/>
          <w:szCs w:val="24"/>
        </w:rPr>
        <w:t>装配要求及工程量</w:t>
      </w:r>
    </w:p>
    <w:p w14:paraId="1C25ACC5">
      <w:pPr>
        <w:snapToGrid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装备装配完成后，外形及外形尺寸如下图所示：</w:t>
      </w:r>
    </w:p>
    <w:p w14:paraId="1200F754">
      <w:pPr>
        <w:pStyle w:val="44"/>
        <w:spacing w:line="360" w:lineRule="auto"/>
        <w:ind w:firstLine="200" w:firstLineChars="0"/>
        <w:jc w:val="center"/>
        <w:rPr>
          <w:rFonts w:hint="eastAsia" w:ascii="仿宋" w:hAnsi="仿宋" w:eastAsia="仿宋" w:cs="仿宋"/>
          <w:b/>
          <w:bCs/>
          <w:kern w:val="44"/>
          <w:sz w:val="24"/>
          <w:szCs w:val="24"/>
        </w:rPr>
      </w:pPr>
      <w:r>
        <w:rPr>
          <w:rFonts w:hint="eastAsia" w:ascii="仿宋" w:hAnsi="仿宋" w:eastAsia="仿宋" w:cs="仿宋"/>
          <w:b/>
          <w:bCs/>
          <w:kern w:val="44"/>
          <w:sz w:val="24"/>
          <w:szCs w:val="24"/>
        </w:rPr>
        <w:drawing>
          <wp:inline distT="0" distB="0" distL="0" distR="0">
            <wp:extent cx="3860800" cy="2441575"/>
            <wp:effectExtent l="0" t="0" r="6350" b="15875"/>
            <wp:docPr id="128471902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719025" name="图片 1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3864315" cy="2443755"/>
                    </a:xfrm>
                    <a:prstGeom prst="rect">
                      <a:avLst/>
                    </a:prstGeom>
                    <a:noFill/>
                  </pic:spPr>
                </pic:pic>
              </a:graphicData>
            </a:graphic>
          </wp:inline>
        </w:drawing>
      </w:r>
    </w:p>
    <w:p w14:paraId="49378866">
      <w:pPr>
        <w:pStyle w:val="44"/>
        <w:numPr>
          <w:ilvl w:val="0"/>
          <w:numId w:val="4"/>
        </w:numPr>
        <w:spacing w:line="360" w:lineRule="auto"/>
        <w:ind w:left="0" w:firstLine="200" w:firstLineChars="0"/>
        <w:rPr>
          <w:rFonts w:hint="eastAsia" w:ascii="仿宋" w:hAnsi="仿宋" w:eastAsia="仿宋" w:cs="仿宋"/>
          <w:b/>
          <w:bCs/>
          <w:kern w:val="44"/>
          <w:sz w:val="24"/>
          <w:szCs w:val="24"/>
        </w:rPr>
      </w:pPr>
      <w:r>
        <w:rPr>
          <w:rFonts w:hint="eastAsia" w:ascii="仿宋" w:hAnsi="仿宋" w:eastAsia="仿宋" w:cs="仿宋"/>
          <w:b/>
          <w:bCs/>
          <w:kern w:val="44"/>
          <w:sz w:val="24"/>
          <w:szCs w:val="24"/>
        </w:rPr>
        <w:t>筑炉要求及工程量</w:t>
      </w:r>
    </w:p>
    <w:p w14:paraId="727886B2">
      <w:pPr>
        <w:snapToGrid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（1）炉衬的铺设（硅酸铝纤维棉），单层20平方米，共3层，接缝交错布置。</w:t>
      </w:r>
    </w:p>
    <w:p w14:paraId="14D44C1C">
      <w:pPr>
        <w:snapToGrid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2）耐火砖砌炉施工，砖缝间距小于1.5毫米，铺设2000-4000块砖（根据是生产效果进行调整）。要求：Ⅰ类（高温/侵蚀）：≤1mm，饱满度＞95%；Ⅱ类（一般工作层）：≤2mm，饱满度＞90%；Ⅲ类（隔热层）：≤3mm；Ⅳ类（保温层）：≤5mm；严禁干砌、通缝、重缝、瞎缝。拱顶：锁砖垂直打入、均匀、数量足够。反拱底：拱脚砖必须砌入墙内。吊挂/锚固砖：受力区严禁裂纹。清洁与湿砌：砌筑前砖洒水湿润；工作面干净、无油污、无杂物；隔热层与工作层错缝、紧贴。</w:t>
      </w:r>
    </w:p>
    <w:p w14:paraId="2F7881F3">
      <w:pPr>
        <w:pStyle w:val="2"/>
        <w:spacing w:after="0"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（3）质量验收标准（GB 50309-2017）</w:t>
      </w:r>
    </w:p>
    <w:p w14:paraId="3D1E0E76">
      <w:pPr>
        <w:snapToGrid w:val="0"/>
        <w:spacing w:line="360" w:lineRule="auto"/>
        <w:ind w:firstLine="600" w:firstLineChars="250"/>
        <w:rPr>
          <w:rFonts w:hint="eastAsia" w:ascii="仿宋" w:hAnsi="仿宋" w:eastAsia="仿宋" w:cs="仿宋"/>
          <w:sz w:val="24"/>
          <w:szCs w:val="24"/>
        </w:rPr>
      </w:pPr>
      <w:r>
        <w:rPr>
          <w:rFonts w:hint="eastAsia" w:ascii="仿宋" w:hAnsi="仿宋" w:eastAsia="仿宋" w:cs="仿宋"/>
          <w:sz w:val="24"/>
          <w:szCs w:val="24"/>
        </w:rPr>
        <w:t>砖缝厚度、泥浆饱满度达标；拱顶、吊挂、反拱结构合格；无裂纹、脱落、松动、空洞；一般项目（≥80%合格）；表面平整度：用2m靠尺≤3～5mm；中心线、标高、尺寸偏差符合规范；烧嘴砖、膨胀缝、测温孔位置准确</w:t>
      </w:r>
    </w:p>
    <w:p w14:paraId="19D4B4A8">
      <w:pPr>
        <w:pStyle w:val="44"/>
        <w:numPr>
          <w:ilvl w:val="0"/>
          <w:numId w:val="4"/>
        </w:numPr>
        <w:spacing w:line="360" w:lineRule="auto"/>
        <w:ind w:left="0" w:firstLine="200" w:firstLineChars="0"/>
        <w:rPr>
          <w:rFonts w:hint="eastAsia" w:ascii="仿宋" w:hAnsi="仿宋" w:eastAsia="仿宋" w:cs="仿宋"/>
          <w:b/>
          <w:bCs/>
          <w:kern w:val="44"/>
          <w:sz w:val="24"/>
          <w:szCs w:val="24"/>
        </w:rPr>
      </w:pPr>
      <w:r>
        <w:rPr>
          <w:rFonts w:hint="eastAsia" w:ascii="仿宋" w:hAnsi="仿宋" w:eastAsia="仿宋" w:cs="仿宋"/>
          <w:b/>
          <w:bCs/>
          <w:kern w:val="44"/>
          <w:sz w:val="24"/>
          <w:szCs w:val="24"/>
        </w:rPr>
        <w:t>电加热系统装配要求及工程量</w:t>
      </w:r>
    </w:p>
    <w:p w14:paraId="08E51C10">
      <w:pPr>
        <w:pStyle w:val="44"/>
        <w:numPr>
          <w:ilvl w:val="0"/>
          <w:numId w:val="5"/>
        </w:numPr>
        <w:spacing w:line="360" w:lineRule="auto"/>
        <w:ind w:firstLineChars="0"/>
        <w:rPr>
          <w:rFonts w:hint="eastAsia" w:ascii="仿宋" w:hAnsi="仿宋" w:eastAsia="仿宋" w:cs="仿宋"/>
          <w:b w:val="0"/>
          <w:bCs w:val="0"/>
          <w:kern w:val="44"/>
          <w:sz w:val="24"/>
          <w:szCs w:val="24"/>
        </w:rPr>
      </w:pPr>
      <w:r>
        <w:rPr>
          <w:rFonts w:hint="eastAsia" w:ascii="仿宋" w:hAnsi="仿宋" w:eastAsia="仿宋" w:cs="仿宋"/>
          <w:b w:val="0"/>
          <w:bCs w:val="0"/>
          <w:kern w:val="44"/>
          <w:sz w:val="24"/>
          <w:szCs w:val="24"/>
        </w:rPr>
        <w:t>材料状态确认：材质（铁铬铝）、线径、长度、冷态电阻（误差≤±5%），元件无裂纹、无变形、无破损；铁铬铝轻拿轻放，避免脆断。</w:t>
      </w:r>
    </w:p>
    <w:p w14:paraId="677298B8">
      <w:pPr>
        <w:pStyle w:val="44"/>
        <w:numPr>
          <w:ilvl w:val="0"/>
          <w:numId w:val="5"/>
        </w:numPr>
        <w:spacing w:line="360" w:lineRule="auto"/>
        <w:ind w:firstLineChars="0"/>
        <w:rPr>
          <w:rFonts w:hint="eastAsia" w:ascii="仿宋" w:hAnsi="仿宋" w:eastAsia="仿宋" w:cs="仿宋"/>
          <w:b w:val="0"/>
          <w:bCs w:val="0"/>
          <w:kern w:val="44"/>
          <w:sz w:val="24"/>
          <w:szCs w:val="24"/>
        </w:rPr>
      </w:pPr>
      <w:r>
        <w:rPr>
          <w:rFonts w:hint="eastAsia" w:ascii="仿宋" w:hAnsi="仿宋" w:eastAsia="仿宋" w:cs="仿宋"/>
          <w:b w:val="0"/>
          <w:bCs w:val="0"/>
          <w:kern w:val="44"/>
          <w:sz w:val="24"/>
          <w:szCs w:val="24"/>
        </w:rPr>
        <w:t>螺距及线径满足相关标准，锚固可靠稳定。</w:t>
      </w:r>
    </w:p>
    <w:p w14:paraId="027901AC">
      <w:pPr>
        <w:pStyle w:val="44"/>
        <w:numPr>
          <w:ilvl w:val="0"/>
          <w:numId w:val="5"/>
        </w:numPr>
        <w:spacing w:line="360" w:lineRule="auto"/>
        <w:ind w:firstLineChars="0"/>
        <w:rPr>
          <w:rFonts w:hint="eastAsia" w:ascii="仿宋" w:hAnsi="仿宋" w:eastAsia="仿宋" w:cs="仿宋"/>
          <w:b w:val="0"/>
          <w:bCs w:val="0"/>
          <w:kern w:val="44"/>
          <w:sz w:val="24"/>
          <w:szCs w:val="24"/>
        </w:rPr>
      </w:pPr>
      <w:r>
        <w:rPr>
          <w:rFonts w:hint="eastAsia" w:ascii="仿宋" w:hAnsi="仿宋" w:eastAsia="仿宋" w:cs="仿宋"/>
          <w:b w:val="0"/>
          <w:bCs w:val="0"/>
          <w:kern w:val="44"/>
          <w:sz w:val="24"/>
          <w:szCs w:val="24"/>
        </w:rPr>
        <w:t>引出材料为304.电热丝间的搭接可靠稳定（引出棒穿刚玉管，管口密封，避免与耐火砖直接接触。）。</w:t>
      </w:r>
    </w:p>
    <w:p w14:paraId="6BB7D7E3">
      <w:pPr>
        <w:pStyle w:val="44"/>
        <w:numPr>
          <w:ilvl w:val="0"/>
          <w:numId w:val="5"/>
        </w:numPr>
        <w:spacing w:line="360" w:lineRule="auto"/>
        <w:ind w:firstLineChars="0"/>
        <w:rPr>
          <w:rFonts w:hint="eastAsia" w:ascii="仿宋" w:hAnsi="仿宋" w:eastAsia="仿宋" w:cs="仿宋"/>
          <w:b w:val="0"/>
          <w:bCs w:val="0"/>
          <w:kern w:val="44"/>
          <w:sz w:val="24"/>
          <w:szCs w:val="24"/>
        </w:rPr>
      </w:pPr>
      <w:r>
        <w:rPr>
          <w:rFonts w:hint="eastAsia" w:ascii="仿宋" w:hAnsi="仿宋" w:eastAsia="仿宋" w:cs="仿宋"/>
          <w:b w:val="0"/>
          <w:bCs w:val="0"/>
          <w:kern w:val="44"/>
          <w:sz w:val="24"/>
          <w:szCs w:val="24"/>
        </w:rPr>
        <w:t>电阻丝的弯丝及端头焊接连接及组装到熔炉炉膛中，电阻丝端部的连接盘，连接螺丝装配。</w:t>
      </w:r>
    </w:p>
    <w:p w14:paraId="00BC74F4">
      <w:pPr>
        <w:pStyle w:val="44"/>
        <w:spacing w:line="360" w:lineRule="auto"/>
        <w:ind w:firstLine="480"/>
        <w:rPr>
          <w:rFonts w:hint="eastAsia" w:ascii="仿宋" w:hAnsi="仿宋" w:eastAsia="仿宋" w:cs="仿宋"/>
          <w:sz w:val="24"/>
          <w:szCs w:val="24"/>
        </w:rPr>
      </w:pPr>
      <w:r>
        <w:rPr>
          <w:rFonts w:hint="eastAsia" w:ascii="仿宋" w:hAnsi="仿宋" w:eastAsia="仿宋" w:cs="仿宋"/>
          <w:sz w:val="24"/>
          <w:szCs w:val="24"/>
        </w:rPr>
        <w:t>按照JB/T 10354-2002，GB 50254-2014 电气装置安装工程 低压电器施工及验收规范。</w:t>
      </w:r>
    </w:p>
    <w:p w14:paraId="41DD884F">
      <w:pPr>
        <w:pStyle w:val="44"/>
        <w:numPr>
          <w:ilvl w:val="0"/>
          <w:numId w:val="4"/>
        </w:numPr>
        <w:spacing w:line="360" w:lineRule="auto"/>
        <w:ind w:left="0" w:firstLine="200" w:firstLineChars="0"/>
        <w:rPr>
          <w:rFonts w:hint="eastAsia" w:ascii="仿宋" w:hAnsi="仿宋" w:eastAsia="仿宋" w:cs="仿宋"/>
          <w:b/>
          <w:bCs/>
          <w:kern w:val="44"/>
          <w:sz w:val="24"/>
          <w:szCs w:val="24"/>
        </w:rPr>
      </w:pPr>
      <w:r>
        <w:rPr>
          <w:rFonts w:hint="eastAsia" w:ascii="仿宋" w:hAnsi="仿宋" w:eastAsia="仿宋" w:cs="仿宋"/>
          <w:b/>
          <w:bCs/>
          <w:kern w:val="44"/>
          <w:sz w:val="24"/>
          <w:szCs w:val="24"/>
        </w:rPr>
        <w:t>浇注系统装配要求及工程量</w:t>
      </w:r>
    </w:p>
    <w:p w14:paraId="6AC3196F">
      <w:pPr>
        <w:pStyle w:val="44"/>
        <w:spacing w:line="360" w:lineRule="auto"/>
        <w:ind w:firstLine="480"/>
        <w:rPr>
          <w:rFonts w:hint="eastAsia" w:ascii="仿宋" w:hAnsi="仿宋" w:eastAsia="仿宋" w:cs="仿宋"/>
          <w:sz w:val="24"/>
          <w:szCs w:val="24"/>
        </w:rPr>
      </w:pPr>
      <w:r>
        <w:rPr>
          <w:rFonts w:hint="eastAsia" w:ascii="仿宋" w:hAnsi="仿宋" w:eastAsia="仿宋" w:cs="仿宋"/>
          <w:sz w:val="24"/>
          <w:szCs w:val="24"/>
        </w:rPr>
        <w:t>（1）阀门与管道的连接</w:t>
      </w:r>
    </w:p>
    <w:p w14:paraId="59B3B640">
      <w:pPr>
        <w:pStyle w:val="44"/>
        <w:spacing w:line="360" w:lineRule="auto"/>
        <w:ind w:firstLine="480"/>
        <w:rPr>
          <w:rFonts w:hint="eastAsia" w:ascii="仿宋" w:hAnsi="仿宋" w:eastAsia="仿宋" w:cs="仿宋"/>
          <w:sz w:val="24"/>
          <w:szCs w:val="24"/>
        </w:rPr>
      </w:pPr>
      <w:r>
        <w:rPr>
          <w:rFonts w:hint="eastAsia" w:ascii="仿宋" w:hAnsi="仿宋" w:eastAsia="仿宋" w:cs="仿宋"/>
          <w:sz w:val="24"/>
          <w:szCs w:val="24"/>
        </w:rPr>
        <w:t>阀门工程量约为50个，总管道长约50米，实际工程根据现场确定。按照GB 50235、GB 50184、SH/T 3517执行。</w:t>
      </w:r>
    </w:p>
    <w:p w14:paraId="5E63A9E9">
      <w:pPr>
        <w:pStyle w:val="44"/>
        <w:spacing w:line="360" w:lineRule="auto"/>
        <w:ind w:firstLine="480"/>
        <w:rPr>
          <w:rFonts w:hint="eastAsia" w:ascii="仿宋" w:hAnsi="仿宋" w:eastAsia="仿宋" w:cs="仿宋"/>
          <w:sz w:val="24"/>
          <w:szCs w:val="24"/>
        </w:rPr>
      </w:pPr>
      <w:r>
        <w:rPr>
          <w:rFonts w:hint="eastAsia" w:ascii="仿宋" w:hAnsi="仿宋" w:eastAsia="仿宋" w:cs="仿宋"/>
          <w:sz w:val="24"/>
          <w:szCs w:val="24"/>
        </w:rPr>
        <w:t>（2）连接支架安装固定</w:t>
      </w:r>
    </w:p>
    <w:p w14:paraId="1DFB8466">
      <w:pPr>
        <w:pStyle w:val="44"/>
        <w:numPr>
          <w:ilvl w:val="0"/>
          <w:numId w:val="4"/>
        </w:numPr>
        <w:spacing w:line="360" w:lineRule="auto"/>
        <w:ind w:left="0" w:firstLine="200" w:firstLineChars="0"/>
        <w:rPr>
          <w:rFonts w:hint="eastAsia" w:ascii="仿宋" w:hAnsi="仿宋" w:eastAsia="仿宋" w:cs="仿宋"/>
          <w:b/>
          <w:bCs/>
          <w:kern w:val="44"/>
          <w:sz w:val="24"/>
          <w:szCs w:val="24"/>
        </w:rPr>
      </w:pPr>
      <w:r>
        <w:rPr>
          <w:rFonts w:hint="eastAsia" w:ascii="仿宋" w:hAnsi="仿宋" w:eastAsia="仿宋" w:cs="仿宋"/>
          <w:b/>
          <w:bCs/>
          <w:kern w:val="44"/>
          <w:sz w:val="24"/>
          <w:szCs w:val="24"/>
        </w:rPr>
        <w:t>坩埚炉盖系统装配要求及工程量</w:t>
      </w:r>
    </w:p>
    <w:p w14:paraId="71045974">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（1）配合合作单位将坩埚系统吊装到熔炉炉体、铺棉定位、定位块装配，按照现场指挥人员具体要求执行。</w:t>
      </w:r>
    </w:p>
    <w:p w14:paraId="387D75BF">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（2）炉盖与坩埚的装配、螺母紧固，螺纹无滑丝，按照常规扭矩标准紧固。</w:t>
      </w:r>
    </w:p>
    <w:p w14:paraId="7EAE9536">
      <w:pPr>
        <w:pStyle w:val="44"/>
        <w:numPr>
          <w:ilvl w:val="0"/>
          <w:numId w:val="4"/>
        </w:numPr>
        <w:spacing w:line="360" w:lineRule="auto"/>
        <w:ind w:left="0" w:firstLine="200" w:firstLineChars="0"/>
        <w:rPr>
          <w:rFonts w:hint="eastAsia" w:ascii="仿宋" w:hAnsi="仿宋" w:eastAsia="仿宋" w:cs="仿宋"/>
          <w:b/>
          <w:bCs/>
          <w:kern w:val="44"/>
          <w:sz w:val="24"/>
          <w:szCs w:val="24"/>
        </w:rPr>
      </w:pPr>
      <w:r>
        <w:rPr>
          <w:rFonts w:hint="eastAsia" w:ascii="仿宋" w:hAnsi="仿宋" w:eastAsia="仿宋" w:cs="仿宋"/>
          <w:b/>
          <w:bCs/>
          <w:kern w:val="44"/>
          <w:sz w:val="24"/>
          <w:szCs w:val="24"/>
        </w:rPr>
        <w:t>保护气体系统装配要求及工程量</w:t>
      </w:r>
    </w:p>
    <w:p w14:paraId="1896DB0A">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（1）管道连接，按照常规扭矩标准紧固。</w:t>
      </w:r>
    </w:p>
    <w:p w14:paraId="30EA23C5">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（2）接头紧固，按照常规扭矩标准紧固。</w:t>
      </w:r>
    </w:p>
    <w:p w14:paraId="2E40500C">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因装配不当导致系统零部件损失的损失由乙方负责赔偿损失。</w:t>
      </w:r>
    </w:p>
    <w:p w14:paraId="24F55BBE">
      <w:pPr>
        <w:pStyle w:val="44"/>
        <w:numPr>
          <w:ilvl w:val="0"/>
          <w:numId w:val="3"/>
        </w:numPr>
        <w:spacing w:line="360" w:lineRule="auto"/>
        <w:ind w:left="0" w:firstLine="200" w:firstLineChars="0"/>
        <w:rPr>
          <w:rFonts w:hint="eastAsia" w:ascii="仿宋" w:hAnsi="仿宋" w:eastAsia="仿宋" w:cs="仿宋"/>
          <w:b/>
          <w:bCs/>
          <w:kern w:val="44"/>
          <w:sz w:val="24"/>
          <w:szCs w:val="24"/>
        </w:rPr>
      </w:pPr>
      <w:r>
        <w:rPr>
          <w:rFonts w:hint="eastAsia" w:ascii="仿宋" w:hAnsi="仿宋" w:eastAsia="仿宋" w:cs="仿宋"/>
          <w:b/>
          <w:bCs/>
          <w:kern w:val="44"/>
          <w:sz w:val="24"/>
          <w:szCs w:val="24"/>
        </w:rPr>
        <w:t>现场调试服务要求及工程量</w:t>
      </w:r>
    </w:p>
    <w:p w14:paraId="75AFA319">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1.人员配备及服务要求：熔炉到达现场后，人员随车到场。要求现场专职工人1人，精通焊接和机械装配，要求有特种作业资质及相关证书，要求人员24小时响应直到项目验收合格为止（2026年12月31日或自治区验收通过之日，以两者最晚时间为准），要求人员为乙方固定员工，考虑到现场的危险性，要求为驻场员工购买意外保险。驻场服务期间的食宿等由乙方自行解决。</w:t>
      </w:r>
    </w:p>
    <w:p w14:paraId="0877D082">
      <w:pPr>
        <w:pStyle w:val="44"/>
        <w:spacing w:line="360" w:lineRule="auto"/>
        <w:ind w:firstLine="480"/>
        <w:rPr>
          <w:rFonts w:hint="eastAsia" w:ascii="仿宋" w:hAnsi="仿宋" w:eastAsia="仿宋" w:cs="仿宋"/>
          <w:sz w:val="24"/>
          <w:szCs w:val="24"/>
        </w:rPr>
      </w:pPr>
      <w:r>
        <w:rPr>
          <w:rFonts w:hint="eastAsia" w:ascii="仿宋" w:hAnsi="仿宋" w:eastAsia="仿宋" w:cs="仿宋"/>
          <w:sz w:val="24"/>
          <w:szCs w:val="24"/>
        </w:rPr>
        <w:t>2.生产过程中出现质量隐患，需在不影响试生产前提下12小时之内解决。如未及时解决，按实际生产损失赔付。</w:t>
      </w:r>
    </w:p>
    <w:p w14:paraId="202D8DA0">
      <w:pPr>
        <w:pStyle w:val="44"/>
        <w:spacing w:line="360" w:lineRule="auto"/>
        <w:ind w:firstLine="480"/>
        <w:rPr>
          <w:rFonts w:hint="eastAsia" w:ascii="仿宋" w:hAnsi="仿宋" w:eastAsia="仿宋" w:cs="仿宋"/>
          <w:sz w:val="24"/>
          <w:szCs w:val="24"/>
        </w:rPr>
      </w:pPr>
      <w:r>
        <w:rPr>
          <w:rFonts w:hint="eastAsia" w:ascii="仿宋" w:hAnsi="仿宋" w:eastAsia="仿宋" w:cs="仿宋"/>
          <w:sz w:val="24"/>
          <w:szCs w:val="24"/>
        </w:rPr>
        <w:t>3.进场人员要服从项目示范生产企业的规章制度，参加安全等和项目有关的一切培训工作，乙方要赔付因不服从示范生产企业管理规范而导致的窝工损失。</w:t>
      </w:r>
    </w:p>
    <w:p w14:paraId="0C800657">
      <w:pPr>
        <w:tabs>
          <w:tab w:val="left" w:pos="0"/>
        </w:tabs>
        <w:spacing w:line="360" w:lineRule="auto"/>
        <w:ind w:firstLine="200"/>
        <w:outlineLvl w:val="1"/>
        <w:rPr>
          <w:rFonts w:hint="eastAsia" w:ascii="仿宋" w:hAnsi="仿宋" w:eastAsia="仿宋" w:cs="仿宋"/>
          <w:b/>
          <w:bCs/>
          <w:kern w:val="44"/>
          <w:sz w:val="24"/>
          <w:szCs w:val="24"/>
        </w:rPr>
      </w:pPr>
      <w:r>
        <w:rPr>
          <w:rFonts w:hint="eastAsia" w:ascii="仿宋" w:hAnsi="仿宋" w:eastAsia="仿宋" w:cs="仿宋"/>
          <w:b/>
          <w:sz w:val="24"/>
          <w:szCs w:val="24"/>
        </w:rPr>
        <w:t>三、</w:t>
      </w:r>
      <w:r>
        <w:rPr>
          <w:rFonts w:hint="eastAsia" w:ascii="仿宋" w:hAnsi="仿宋" w:eastAsia="仿宋" w:cs="仿宋"/>
          <w:b/>
          <w:bCs/>
          <w:kern w:val="44"/>
          <w:sz w:val="24"/>
          <w:szCs w:val="24"/>
        </w:rPr>
        <w:t>实施时间及地点</w:t>
      </w:r>
    </w:p>
    <w:p w14:paraId="1AD4B445">
      <w:pPr>
        <w:snapToGrid w:val="0"/>
        <w:spacing w:line="360" w:lineRule="auto"/>
        <w:ind w:firstLine="480" w:firstLineChars="200"/>
        <w:jc w:val="left"/>
        <w:rPr>
          <w:rFonts w:hint="eastAsia" w:ascii="仿宋" w:hAnsi="仿宋" w:eastAsia="仿宋" w:cs="仿宋"/>
          <w:sz w:val="24"/>
          <w:szCs w:val="24"/>
        </w:rPr>
      </w:pPr>
      <w:r>
        <w:rPr>
          <w:rFonts w:hint="eastAsia" w:ascii="仿宋" w:hAnsi="仿宋" w:eastAsia="仿宋" w:cs="仿宋"/>
          <w:sz w:val="24"/>
          <w:szCs w:val="24"/>
        </w:rPr>
        <w:t>交付时间：中标方应在合同签订后，甲方材料到场7个日历日内完成机械零部件的加工工作；在零部件及其他成套设备到场的14个日历日内完成装配工作；现场调试服务期限到2026年12月31日结束或自治区验收通过之日，以两者最晚时间为准。</w:t>
      </w:r>
    </w:p>
    <w:p w14:paraId="5DD93475">
      <w:pPr>
        <w:snapToGrid w:val="0"/>
        <w:spacing w:line="360" w:lineRule="auto"/>
        <w:ind w:firstLine="480" w:firstLineChars="200"/>
        <w:jc w:val="left"/>
        <w:rPr>
          <w:rFonts w:hint="eastAsia" w:ascii="仿宋" w:hAnsi="仿宋" w:eastAsia="仿宋" w:cs="仿宋"/>
          <w:sz w:val="24"/>
          <w:szCs w:val="24"/>
        </w:rPr>
      </w:pPr>
      <w:r>
        <w:rPr>
          <w:rFonts w:hint="eastAsia" w:ascii="仿宋" w:hAnsi="仿宋" w:eastAsia="仿宋" w:cs="仿宋"/>
          <w:sz w:val="24"/>
          <w:szCs w:val="24"/>
        </w:rPr>
        <w:t>交付地点：新疆农业大学指定地点。</w:t>
      </w:r>
    </w:p>
    <w:p w14:paraId="70BE4A3D">
      <w:pPr>
        <w:numPr>
          <w:ilvl w:val="1"/>
          <w:numId w:val="6"/>
        </w:numPr>
        <w:tabs>
          <w:tab w:val="left" w:pos="0"/>
        </w:tabs>
        <w:spacing w:line="360" w:lineRule="auto"/>
        <w:ind w:left="0" w:firstLine="482" w:firstLineChars="200"/>
        <w:outlineLvl w:val="1"/>
        <w:rPr>
          <w:rFonts w:hint="eastAsia" w:ascii="仿宋" w:hAnsi="仿宋" w:eastAsia="仿宋" w:cs="仿宋"/>
          <w:b/>
          <w:bCs/>
          <w:kern w:val="44"/>
          <w:sz w:val="24"/>
          <w:szCs w:val="24"/>
        </w:rPr>
      </w:pPr>
      <w:bookmarkStart w:id="24" w:name="_Toc42456035"/>
      <w:r>
        <w:rPr>
          <w:rFonts w:hint="eastAsia" w:ascii="仿宋" w:hAnsi="仿宋" w:eastAsia="仿宋" w:cs="仿宋"/>
          <w:b/>
          <w:bCs/>
          <w:kern w:val="44"/>
          <w:sz w:val="24"/>
          <w:szCs w:val="24"/>
        </w:rPr>
        <w:t>项目验收标准</w:t>
      </w:r>
      <w:bookmarkEnd w:id="24"/>
    </w:p>
    <w:tbl>
      <w:tblPr>
        <w:tblStyle w:val="21"/>
        <w:tblW w:w="93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6"/>
        <w:gridCol w:w="3118"/>
        <w:gridCol w:w="5392"/>
      </w:tblGrid>
      <w:tr w14:paraId="2631B7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46" w:type="dxa"/>
            <w:vAlign w:val="center"/>
          </w:tcPr>
          <w:p w14:paraId="4F32E8EA">
            <w:pPr>
              <w:snapToGrid w:val="0"/>
              <w:spacing w:line="360" w:lineRule="auto"/>
              <w:ind w:firstLine="200"/>
              <w:jc w:val="center"/>
              <w:rPr>
                <w:rFonts w:hint="eastAsia" w:ascii="仿宋" w:hAnsi="仿宋" w:eastAsia="仿宋" w:cs="仿宋"/>
                <w:b/>
                <w:bCs/>
                <w:sz w:val="21"/>
                <w:szCs w:val="21"/>
              </w:rPr>
            </w:pPr>
            <w:r>
              <w:rPr>
                <w:rFonts w:hint="eastAsia" w:ascii="仿宋" w:hAnsi="仿宋" w:eastAsia="仿宋" w:cs="仿宋"/>
                <w:b/>
                <w:bCs/>
                <w:sz w:val="21"/>
                <w:szCs w:val="21"/>
              </w:rPr>
              <w:t>序号</w:t>
            </w:r>
          </w:p>
        </w:tc>
        <w:tc>
          <w:tcPr>
            <w:tcW w:w="3118" w:type="dxa"/>
            <w:vAlign w:val="center"/>
          </w:tcPr>
          <w:p w14:paraId="6F1E426E">
            <w:pPr>
              <w:snapToGrid w:val="0"/>
              <w:spacing w:line="360" w:lineRule="auto"/>
              <w:ind w:firstLine="200"/>
              <w:jc w:val="center"/>
              <w:rPr>
                <w:rFonts w:hint="eastAsia" w:ascii="仿宋" w:hAnsi="仿宋" w:eastAsia="仿宋" w:cs="仿宋"/>
                <w:b/>
                <w:bCs/>
                <w:sz w:val="21"/>
                <w:szCs w:val="21"/>
              </w:rPr>
            </w:pPr>
            <w:r>
              <w:rPr>
                <w:rFonts w:hint="eastAsia" w:ascii="仿宋" w:hAnsi="仿宋" w:eastAsia="仿宋" w:cs="仿宋"/>
                <w:b/>
                <w:bCs/>
                <w:sz w:val="21"/>
                <w:szCs w:val="21"/>
              </w:rPr>
              <w:t>验收内容</w:t>
            </w:r>
          </w:p>
        </w:tc>
        <w:tc>
          <w:tcPr>
            <w:tcW w:w="5392" w:type="dxa"/>
            <w:vAlign w:val="center"/>
          </w:tcPr>
          <w:p w14:paraId="76E7659A">
            <w:pPr>
              <w:snapToGrid w:val="0"/>
              <w:spacing w:line="360" w:lineRule="auto"/>
              <w:ind w:firstLine="200"/>
              <w:jc w:val="center"/>
              <w:rPr>
                <w:rFonts w:hint="eastAsia" w:ascii="仿宋" w:hAnsi="仿宋" w:eastAsia="仿宋" w:cs="仿宋"/>
                <w:b/>
                <w:bCs/>
                <w:sz w:val="21"/>
                <w:szCs w:val="21"/>
              </w:rPr>
            </w:pPr>
            <w:r>
              <w:rPr>
                <w:rFonts w:hint="eastAsia" w:ascii="仿宋" w:hAnsi="仿宋" w:eastAsia="仿宋" w:cs="仿宋"/>
                <w:b/>
                <w:bCs/>
                <w:sz w:val="21"/>
                <w:szCs w:val="21"/>
              </w:rPr>
              <w:t>验收标准</w:t>
            </w:r>
          </w:p>
        </w:tc>
      </w:tr>
      <w:tr w14:paraId="773D6E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jc w:val="center"/>
        </w:trPr>
        <w:tc>
          <w:tcPr>
            <w:tcW w:w="846" w:type="dxa"/>
            <w:vAlign w:val="center"/>
          </w:tcPr>
          <w:p w14:paraId="5C5FABD4">
            <w:pPr>
              <w:snapToGrid w:val="0"/>
              <w:spacing w:line="360" w:lineRule="auto"/>
              <w:ind w:firstLine="200"/>
              <w:jc w:val="center"/>
              <w:rPr>
                <w:rFonts w:hint="eastAsia" w:ascii="仿宋" w:hAnsi="仿宋" w:eastAsia="仿宋" w:cs="仿宋"/>
                <w:sz w:val="21"/>
                <w:szCs w:val="21"/>
              </w:rPr>
            </w:pPr>
            <w:r>
              <w:rPr>
                <w:rFonts w:hint="eastAsia" w:ascii="仿宋" w:hAnsi="仿宋" w:eastAsia="仿宋" w:cs="仿宋"/>
                <w:sz w:val="21"/>
                <w:szCs w:val="21"/>
              </w:rPr>
              <w:t>1</w:t>
            </w:r>
          </w:p>
        </w:tc>
        <w:tc>
          <w:tcPr>
            <w:tcW w:w="3118" w:type="dxa"/>
            <w:vAlign w:val="center"/>
          </w:tcPr>
          <w:p w14:paraId="5D4FD142">
            <w:pPr>
              <w:snapToGrid w:val="0"/>
              <w:spacing w:line="360" w:lineRule="auto"/>
              <w:ind w:firstLine="200"/>
              <w:jc w:val="center"/>
              <w:rPr>
                <w:rFonts w:hint="eastAsia" w:ascii="仿宋" w:hAnsi="仿宋" w:eastAsia="仿宋" w:cs="仿宋"/>
                <w:sz w:val="21"/>
                <w:szCs w:val="21"/>
              </w:rPr>
            </w:pPr>
            <w:r>
              <w:rPr>
                <w:rFonts w:hint="eastAsia" w:ascii="仿宋" w:hAnsi="仿宋" w:eastAsia="仿宋" w:cs="仿宋"/>
                <w:sz w:val="21"/>
                <w:szCs w:val="21"/>
              </w:rPr>
              <w:t>机械加工工程</w:t>
            </w:r>
          </w:p>
        </w:tc>
        <w:tc>
          <w:tcPr>
            <w:tcW w:w="5392" w:type="dxa"/>
            <w:vAlign w:val="center"/>
          </w:tcPr>
          <w:p w14:paraId="5A1BCABC">
            <w:pPr>
              <w:snapToGrid w:val="0"/>
              <w:spacing w:line="360" w:lineRule="auto"/>
              <w:ind w:firstLine="200"/>
              <w:rPr>
                <w:rFonts w:hint="eastAsia" w:ascii="仿宋" w:hAnsi="仿宋" w:eastAsia="仿宋" w:cs="仿宋"/>
                <w:sz w:val="21"/>
                <w:szCs w:val="21"/>
              </w:rPr>
            </w:pPr>
            <w:r>
              <w:rPr>
                <w:rFonts w:hint="eastAsia" w:ascii="仿宋" w:hAnsi="仿宋" w:eastAsia="仿宋" w:cs="仿宋"/>
                <w:sz w:val="21"/>
                <w:szCs w:val="21"/>
              </w:rPr>
              <w:t>公司出具的《机械加工完成报告》原件、甲方现场验收实物通过。</w:t>
            </w:r>
          </w:p>
        </w:tc>
      </w:tr>
      <w:tr w14:paraId="2DEA54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46" w:type="dxa"/>
            <w:vAlign w:val="center"/>
          </w:tcPr>
          <w:p w14:paraId="0AC52D66">
            <w:pPr>
              <w:snapToGrid w:val="0"/>
              <w:spacing w:line="360" w:lineRule="auto"/>
              <w:ind w:firstLine="200"/>
              <w:jc w:val="center"/>
              <w:rPr>
                <w:rFonts w:hint="eastAsia" w:ascii="仿宋" w:hAnsi="仿宋" w:eastAsia="仿宋" w:cs="仿宋"/>
                <w:sz w:val="21"/>
                <w:szCs w:val="21"/>
              </w:rPr>
            </w:pPr>
            <w:r>
              <w:rPr>
                <w:rFonts w:hint="eastAsia" w:ascii="仿宋" w:hAnsi="仿宋" w:eastAsia="仿宋" w:cs="仿宋"/>
                <w:sz w:val="21"/>
                <w:szCs w:val="21"/>
              </w:rPr>
              <w:t>2</w:t>
            </w:r>
          </w:p>
        </w:tc>
        <w:tc>
          <w:tcPr>
            <w:tcW w:w="3118" w:type="dxa"/>
            <w:vAlign w:val="center"/>
          </w:tcPr>
          <w:p w14:paraId="496B5023">
            <w:pPr>
              <w:snapToGrid w:val="0"/>
              <w:spacing w:line="360" w:lineRule="auto"/>
              <w:ind w:firstLine="200"/>
              <w:jc w:val="center"/>
              <w:rPr>
                <w:rFonts w:hint="eastAsia" w:ascii="仿宋" w:hAnsi="仿宋" w:eastAsia="仿宋" w:cs="仿宋"/>
                <w:sz w:val="21"/>
                <w:szCs w:val="21"/>
              </w:rPr>
            </w:pPr>
            <w:r>
              <w:rPr>
                <w:rFonts w:hint="eastAsia" w:ascii="仿宋" w:hAnsi="仿宋" w:eastAsia="仿宋" w:cs="仿宋"/>
                <w:sz w:val="21"/>
                <w:szCs w:val="21"/>
              </w:rPr>
              <w:t>装配工程</w:t>
            </w:r>
          </w:p>
        </w:tc>
        <w:tc>
          <w:tcPr>
            <w:tcW w:w="5392" w:type="dxa"/>
            <w:vAlign w:val="center"/>
          </w:tcPr>
          <w:p w14:paraId="34EE1D64">
            <w:pPr>
              <w:snapToGrid w:val="0"/>
              <w:spacing w:line="360" w:lineRule="auto"/>
              <w:ind w:firstLine="200"/>
              <w:rPr>
                <w:rFonts w:hint="eastAsia" w:ascii="仿宋" w:hAnsi="仿宋" w:eastAsia="仿宋" w:cs="仿宋"/>
                <w:sz w:val="21"/>
                <w:szCs w:val="21"/>
              </w:rPr>
            </w:pPr>
            <w:r>
              <w:rPr>
                <w:rFonts w:hint="eastAsia" w:ascii="仿宋" w:hAnsi="仿宋" w:eastAsia="仿宋" w:cs="仿宋"/>
                <w:sz w:val="21"/>
                <w:szCs w:val="21"/>
              </w:rPr>
              <w:t>公司出具的《2吨精炼电熔炉装配完成报告书》原件，甲方现场验收实物通过。</w:t>
            </w:r>
          </w:p>
        </w:tc>
      </w:tr>
      <w:tr w14:paraId="3E9ED7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46" w:type="dxa"/>
            <w:vAlign w:val="center"/>
          </w:tcPr>
          <w:p w14:paraId="11B998A9">
            <w:pPr>
              <w:snapToGrid w:val="0"/>
              <w:spacing w:line="360" w:lineRule="auto"/>
              <w:ind w:firstLine="200"/>
              <w:jc w:val="center"/>
              <w:rPr>
                <w:rFonts w:hint="eastAsia" w:ascii="仿宋" w:hAnsi="仿宋" w:eastAsia="仿宋" w:cs="仿宋"/>
                <w:sz w:val="21"/>
                <w:szCs w:val="21"/>
              </w:rPr>
            </w:pPr>
            <w:r>
              <w:rPr>
                <w:rFonts w:hint="eastAsia" w:ascii="仿宋" w:hAnsi="仿宋" w:eastAsia="仿宋" w:cs="仿宋"/>
                <w:sz w:val="21"/>
                <w:szCs w:val="21"/>
              </w:rPr>
              <w:t>3</w:t>
            </w:r>
          </w:p>
        </w:tc>
        <w:tc>
          <w:tcPr>
            <w:tcW w:w="3118" w:type="dxa"/>
            <w:vAlign w:val="center"/>
          </w:tcPr>
          <w:p w14:paraId="1822482A">
            <w:pPr>
              <w:snapToGrid w:val="0"/>
              <w:spacing w:line="360" w:lineRule="auto"/>
              <w:ind w:firstLine="200"/>
              <w:jc w:val="center"/>
              <w:rPr>
                <w:rFonts w:hint="eastAsia" w:ascii="仿宋" w:hAnsi="仿宋" w:eastAsia="仿宋" w:cs="仿宋"/>
                <w:sz w:val="21"/>
                <w:szCs w:val="21"/>
              </w:rPr>
            </w:pPr>
            <w:r>
              <w:rPr>
                <w:rFonts w:hint="eastAsia" w:ascii="仿宋" w:hAnsi="仿宋" w:eastAsia="仿宋" w:cs="仿宋"/>
                <w:sz w:val="21"/>
                <w:szCs w:val="21"/>
              </w:rPr>
              <w:t>项目现场服务</w:t>
            </w:r>
          </w:p>
        </w:tc>
        <w:tc>
          <w:tcPr>
            <w:tcW w:w="5392" w:type="dxa"/>
            <w:vAlign w:val="center"/>
          </w:tcPr>
          <w:p w14:paraId="763732A5">
            <w:pPr>
              <w:snapToGrid w:val="0"/>
              <w:spacing w:line="360" w:lineRule="auto"/>
              <w:ind w:firstLine="200"/>
              <w:rPr>
                <w:rFonts w:hint="eastAsia" w:ascii="仿宋" w:hAnsi="仿宋" w:eastAsia="仿宋" w:cs="仿宋"/>
                <w:sz w:val="21"/>
                <w:szCs w:val="21"/>
              </w:rPr>
            </w:pPr>
            <w:r>
              <w:rPr>
                <w:rFonts w:hint="eastAsia" w:ascii="仿宋" w:hAnsi="仿宋" w:eastAsia="仿宋" w:cs="仿宋"/>
                <w:sz w:val="21"/>
                <w:szCs w:val="21"/>
              </w:rPr>
              <w:t>公司出具的《项目现场服务报告书》原件，自治区验收合格通知。</w:t>
            </w:r>
          </w:p>
        </w:tc>
      </w:tr>
    </w:tbl>
    <w:p w14:paraId="6F2623E8">
      <w:pPr>
        <w:numPr>
          <w:ilvl w:val="1"/>
          <w:numId w:val="6"/>
        </w:numPr>
        <w:tabs>
          <w:tab w:val="left" w:pos="0"/>
        </w:tabs>
        <w:spacing w:line="360" w:lineRule="auto"/>
        <w:ind w:left="0" w:firstLine="482" w:firstLineChars="200"/>
        <w:outlineLvl w:val="1"/>
        <w:rPr>
          <w:rFonts w:hint="eastAsia" w:ascii="仿宋" w:hAnsi="仿宋" w:eastAsia="仿宋" w:cs="仿宋"/>
          <w:b/>
          <w:bCs/>
          <w:kern w:val="44"/>
          <w:sz w:val="24"/>
          <w:szCs w:val="24"/>
        </w:rPr>
      </w:pPr>
      <w:r>
        <w:rPr>
          <w:rFonts w:hint="eastAsia" w:ascii="仿宋" w:hAnsi="仿宋" w:eastAsia="仿宋" w:cs="仿宋"/>
          <w:b/>
          <w:bCs/>
          <w:kern w:val="44"/>
          <w:sz w:val="24"/>
          <w:szCs w:val="24"/>
        </w:rPr>
        <w:t>商务要求</w:t>
      </w:r>
    </w:p>
    <w:p w14:paraId="253C5E57">
      <w:pPr>
        <w:numPr>
          <w:ilvl w:val="0"/>
          <w:numId w:val="7"/>
        </w:numPr>
        <w:snapToGrid w:val="0"/>
        <w:spacing w:line="360" w:lineRule="auto"/>
        <w:ind w:left="0" w:firstLine="480" w:firstLineChars="200"/>
        <w:jc w:val="left"/>
        <w:rPr>
          <w:rFonts w:hint="eastAsia" w:ascii="仿宋" w:hAnsi="仿宋" w:eastAsia="仿宋" w:cs="仿宋"/>
          <w:sz w:val="24"/>
          <w:szCs w:val="24"/>
        </w:rPr>
      </w:pPr>
      <w:r>
        <w:rPr>
          <w:rFonts w:hint="eastAsia" w:ascii="仿宋" w:hAnsi="仿宋" w:eastAsia="仿宋" w:cs="仿宋"/>
          <w:sz w:val="24"/>
          <w:szCs w:val="24"/>
        </w:rPr>
        <w:t>本项服务采购形式为一次服务，甲方只向乙方支付加工、装配和现场服务费用，不承担其他任何费用。</w:t>
      </w:r>
    </w:p>
    <w:p w14:paraId="033696B4">
      <w:pPr>
        <w:numPr>
          <w:ilvl w:val="0"/>
          <w:numId w:val="7"/>
        </w:numPr>
        <w:snapToGrid w:val="0"/>
        <w:spacing w:line="360" w:lineRule="auto"/>
        <w:ind w:left="0" w:firstLine="480" w:firstLineChars="200"/>
        <w:jc w:val="left"/>
        <w:rPr>
          <w:rFonts w:hint="eastAsia" w:ascii="仿宋" w:hAnsi="仿宋" w:eastAsia="仿宋" w:cs="仿宋"/>
          <w:sz w:val="24"/>
          <w:szCs w:val="24"/>
        </w:rPr>
      </w:pPr>
      <w:r>
        <w:rPr>
          <w:rFonts w:hint="eastAsia" w:ascii="仿宋" w:hAnsi="仿宋" w:eastAsia="仿宋" w:cs="仿宋"/>
          <w:sz w:val="24"/>
          <w:szCs w:val="24"/>
        </w:rPr>
        <w:t>本合同签订后，按要求开展工作，甲方分阶段支付费用，机械加工阶段完成并通过验收之日起5个工作日内支付合同价的30%，装配阶段完成并通过甲方验收之日起5个工作日内支付合同价30%，项目现场服务到2026年10月31日通过甲方验收之日起5个工作日内支付合同价35%，项目通过验收之日起5个工作日内结清余额。</w:t>
      </w:r>
    </w:p>
    <w:p w14:paraId="3606E582">
      <w:pPr>
        <w:numPr>
          <w:ilvl w:val="0"/>
          <w:numId w:val="7"/>
        </w:numPr>
        <w:snapToGrid w:val="0"/>
        <w:spacing w:line="360" w:lineRule="auto"/>
        <w:ind w:left="0" w:firstLine="480" w:firstLineChars="200"/>
        <w:jc w:val="left"/>
        <w:rPr>
          <w:rFonts w:hint="eastAsia" w:ascii="仿宋" w:hAnsi="仿宋" w:eastAsia="仿宋" w:cs="仿宋"/>
          <w:sz w:val="24"/>
          <w:szCs w:val="24"/>
        </w:rPr>
      </w:pPr>
      <w:r>
        <w:rPr>
          <w:rFonts w:hint="eastAsia" w:ascii="仿宋" w:hAnsi="仿宋" w:eastAsia="仿宋" w:cs="仿宋"/>
          <w:sz w:val="24"/>
          <w:szCs w:val="24"/>
        </w:rPr>
        <w:t>投标公司在报价时须明确“税率”和“含税单价”。</w:t>
      </w:r>
    </w:p>
    <w:p w14:paraId="1E1560CD">
      <w:pPr>
        <w:numPr>
          <w:ilvl w:val="0"/>
          <w:numId w:val="7"/>
        </w:numPr>
        <w:snapToGrid w:val="0"/>
        <w:spacing w:line="360" w:lineRule="auto"/>
        <w:ind w:left="0" w:firstLine="480" w:firstLineChars="200"/>
        <w:jc w:val="left"/>
        <w:rPr>
          <w:rFonts w:hint="eastAsia" w:ascii="仿宋" w:hAnsi="仿宋" w:eastAsia="仿宋" w:cs="仿宋"/>
          <w:sz w:val="24"/>
          <w:szCs w:val="24"/>
        </w:rPr>
      </w:pPr>
      <w:r>
        <w:rPr>
          <w:rFonts w:hint="eastAsia" w:ascii="仿宋" w:hAnsi="仿宋" w:eastAsia="仿宋" w:cs="仿宋"/>
          <w:sz w:val="24"/>
          <w:szCs w:val="24"/>
        </w:rPr>
        <w:t>投标公司需要向我单位提供正规增值税发票。</w:t>
      </w:r>
    </w:p>
    <w:p w14:paraId="36827A2E">
      <w:pPr>
        <w:adjustRightInd w:val="0"/>
        <w:snapToGrid w:val="0"/>
        <w:spacing w:before="120" w:beforeLines="50" w:line="360" w:lineRule="auto"/>
        <w:ind w:firstLine="643" w:firstLineChars="200"/>
        <w:jc w:val="center"/>
        <w:outlineLvl w:val="0"/>
        <w:rPr>
          <w:rStyle w:val="31"/>
          <w:rFonts w:ascii="Times New Roman" w:eastAsia="仿宋"/>
          <w:b/>
          <w:sz w:val="32"/>
          <w:szCs w:val="32"/>
        </w:rPr>
      </w:pPr>
    </w:p>
    <w:p w14:paraId="5B1321B8">
      <w:pPr>
        <w:adjustRightInd w:val="0"/>
        <w:snapToGrid w:val="0"/>
        <w:spacing w:before="120" w:beforeLines="50" w:line="360" w:lineRule="auto"/>
        <w:ind w:firstLine="643" w:firstLineChars="200"/>
        <w:jc w:val="center"/>
        <w:outlineLvl w:val="0"/>
        <w:rPr>
          <w:rStyle w:val="31"/>
          <w:rFonts w:ascii="Times New Roman" w:eastAsia="仿宋"/>
          <w:b/>
          <w:sz w:val="32"/>
          <w:szCs w:val="32"/>
        </w:rPr>
      </w:pPr>
      <w:r>
        <w:rPr>
          <w:rStyle w:val="31"/>
          <w:rFonts w:ascii="Times New Roman" w:eastAsia="仿宋"/>
          <w:b/>
          <w:sz w:val="32"/>
          <w:szCs w:val="32"/>
        </w:rPr>
        <w:t>第四部分 合同</w:t>
      </w:r>
      <w:bookmarkEnd w:id="23"/>
    </w:p>
    <w:p w14:paraId="080171DB">
      <w:pPr>
        <w:pStyle w:val="2"/>
        <w:spacing w:before="229" w:line="227" w:lineRule="auto"/>
        <w:ind w:left="3029"/>
        <w:rPr>
          <w:rFonts w:eastAsia="仿宋"/>
          <w:spacing w:val="7"/>
          <w:sz w:val="20"/>
        </w:rPr>
      </w:pPr>
      <w:r>
        <w:rPr>
          <w:rFonts w:eastAsia="仿宋"/>
          <w:spacing w:val="7"/>
          <w:sz w:val="20"/>
        </w:rPr>
        <w:t>（以最终签订合同模板为准）</w:t>
      </w:r>
    </w:p>
    <w:p w14:paraId="3A798226">
      <w:pPr>
        <w:rPr>
          <w:rFonts w:eastAsia="仿宋"/>
          <w:b/>
          <w:bCs/>
          <w:sz w:val="24"/>
          <w:u w:val="single"/>
        </w:rPr>
      </w:pPr>
      <w:r>
        <w:rPr>
          <w:rFonts w:eastAsia="仿宋"/>
          <w:b/>
          <w:bCs/>
          <w:sz w:val="24"/>
        </w:rPr>
        <w:t>合同编号：</w:t>
      </w:r>
      <w:r>
        <w:rPr>
          <w:rFonts w:eastAsia="仿宋"/>
          <w:b/>
          <w:bCs/>
          <w:sz w:val="24"/>
          <w:u w:val="single"/>
        </w:rPr>
        <w:t xml:space="preserve">           </w:t>
      </w:r>
    </w:p>
    <w:p w14:paraId="6282D05B">
      <w:pPr>
        <w:spacing w:line="480" w:lineRule="auto"/>
        <w:jc w:val="center"/>
        <w:rPr>
          <w:rFonts w:eastAsia="仿宋"/>
          <w:b/>
          <w:sz w:val="28"/>
          <w:szCs w:val="28"/>
        </w:rPr>
      </w:pPr>
    </w:p>
    <w:p w14:paraId="4F802A1E">
      <w:pPr>
        <w:spacing w:line="480" w:lineRule="auto"/>
        <w:jc w:val="center"/>
        <w:rPr>
          <w:rFonts w:eastAsia="仿宋"/>
          <w:b/>
          <w:sz w:val="28"/>
          <w:szCs w:val="28"/>
        </w:rPr>
      </w:pPr>
    </w:p>
    <w:p w14:paraId="02DCB2CB">
      <w:pPr>
        <w:pStyle w:val="19"/>
        <w:rPr>
          <w:rFonts w:ascii="Times New Roman" w:hAnsi="Times New Roman" w:cs="Times New Roman"/>
        </w:rPr>
      </w:pPr>
    </w:p>
    <w:p w14:paraId="67C3CCD1">
      <w:pPr>
        <w:spacing w:line="480" w:lineRule="auto"/>
        <w:jc w:val="center"/>
        <w:rPr>
          <w:rFonts w:eastAsia="仿宋"/>
          <w:b/>
          <w:sz w:val="28"/>
          <w:szCs w:val="28"/>
        </w:rPr>
      </w:pPr>
    </w:p>
    <w:p w14:paraId="5D955B2C">
      <w:pPr>
        <w:pStyle w:val="34"/>
        <w:ind w:firstLine="0" w:firstLineChars="0"/>
        <w:jc w:val="center"/>
        <w:rPr>
          <w:sz w:val="52"/>
          <w:szCs w:val="52"/>
        </w:rPr>
      </w:pPr>
      <w:r>
        <w:rPr>
          <w:sz w:val="52"/>
          <w:szCs w:val="52"/>
        </w:rPr>
        <w:t>政府采购合同参考范本</w:t>
      </w:r>
    </w:p>
    <w:p w14:paraId="45D79162">
      <w:pPr>
        <w:spacing w:line="480" w:lineRule="auto"/>
        <w:jc w:val="center"/>
        <w:rPr>
          <w:rFonts w:eastAsia="仿宋"/>
          <w:b/>
          <w:sz w:val="24"/>
        </w:rPr>
      </w:pPr>
      <w:r>
        <w:rPr>
          <w:rFonts w:eastAsia="仿宋"/>
          <w:b/>
          <w:sz w:val="24"/>
        </w:rPr>
        <w:t>（服务类）</w:t>
      </w:r>
    </w:p>
    <w:p w14:paraId="79F133BD">
      <w:pPr>
        <w:pStyle w:val="55"/>
        <w:ind w:firstLine="0"/>
        <w:rPr>
          <w:rFonts w:ascii="Times New Roman" w:eastAsia="仿宋"/>
          <w:szCs w:val="24"/>
        </w:rPr>
      </w:pPr>
    </w:p>
    <w:p w14:paraId="355AE361">
      <w:pPr>
        <w:pStyle w:val="55"/>
        <w:ind w:firstLine="0"/>
        <w:rPr>
          <w:rFonts w:ascii="Times New Roman" w:eastAsia="仿宋"/>
          <w:szCs w:val="24"/>
        </w:rPr>
      </w:pPr>
    </w:p>
    <w:p w14:paraId="7AD1D4AE">
      <w:pPr>
        <w:pStyle w:val="55"/>
        <w:ind w:firstLine="0"/>
        <w:rPr>
          <w:rFonts w:ascii="Times New Roman" w:eastAsia="仿宋"/>
          <w:szCs w:val="24"/>
        </w:rPr>
      </w:pPr>
    </w:p>
    <w:p w14:paraId="5ED90C3F">
      <w:pPr>
        <w:pStyle w:val="55"/>
        <w:ind w:firstLine="0"/>
        <w:rPr>
          <w:rFonts w:ascii="Times New Roman" w:eastAsia="仿宋"/>
          <w:szCs w:val="24"/>
        </w:rPr>
      </w:pPr>
    </w:p>
    <w:p w14:paraId="47B7C299">
      <w:pPr>
        <w:pStyle w:val="55"/>
        <w:ind w:firstLine="0"/>
        <w:rPr>
          <w:rFonts w:ascii="Times New Roman" w:eastAsia="仿宋"/>
          <w:szCs w:val="24"/>
        </w:rPr>
      </w:pPr>
    </w:p>
    <w:p w14:paraId="6FB14F21">
      <w:pPr>
        <w:pStyle w:val="55"/>
        <w:ind w:firstLine="0"/>
        <w:jc w:val="center"/>
        <w:outlineLvl w:val="1"/>
        <w:rPr>
          <w:rFonts w:ascii="Times New Roman" w:eastAsia="仿宋"/>
          <w:b/>
          <w:szCs w:val="24"/>
        </w:rPr>
      </w:pPr>
      <w:r>
        <w:rPr>
          <w:rFonts w:ascii="Times New Roman" w:eastAsia="仿宋"/>
          <w:b/>
          <w:szCs w:val="24"/>
        </w:rPr>
        <w:t>第一部分 合同书</w:t>
      </w:r>
    </w:p>
    <w:p w14:paraId="0035A63E">
      <w:pPr>
        <w:pStyle w:val="55"/>
        <w:ind w:firstLine="0"/>
        <w:rPr>
          <w:rFonts w:ascii="Times New Roman" w:eastAsia="仿宋"/>
          <w:szCs w:val="24"/>
        </w:rPr>
      </w:pPr>
    </w:p>
    <w:p w14:paraId="253758BD">
      <w:pPr>
        <w:pStyle w:val="55"/>
        <w:ind w:firstLine="0"/>
        <w:rPr>
          <w:rFonts w:ascii="Times New Roman" w:eastAsia="仿宋"/>
          <w:szCs w:val="24"/>
        </w:rPr>
      </w:pPr>
    </w:p>
    <w:p w14:paraId="575417B0">
      <w:pPr>
        <w:spacing w:before="120" w:line="22" w:lineRule="atLeast"/>
        <w:rPr>
          <w:rFonts w:eastAsia="仿宋"/>
          <w:sz w:val="24"/>
        </w:rPr>
      </w:pPr>
    </w:p>
    <w:p w14:paraId="501D98AC">
      <w:pPr>
        <w:spacing w:before="120" w:line="22" w:lineRule="atLeast"/>
        <w:ind w:left="960"/>
        <w:rPr>
          <w:rFonts w:eastAsia="仿宋"/>
          <w:sz w:val="24"/>
        </w:rPr>
      </w:pPr>
      <w:r>
        <w:rPr>
          <w:rFonts w:eastAsia="仿宋"/>
          <w:sz w:val="24"/>
        </w:rPr>
        <w:t>项目名称：</w:t>
      </w:r>
      <w:r>
        <w:rPr>
          <w:rFonts w:eastAsia="仿宋"/>
          <w:sz w:val="24"/>
          <w:u w:val="single"/>
        </w:rPr>
        <w:t xml:space="preserve">                                   </w:t>
      </w:r>
    </w:p>
    <w:p w14:paraId="1A76E13E">
      <w:pPr>
        <w:pStyle w:val="57"/>
        <w:spacing w:before="120" w:line="22" w:lineRule="atLeast"/>
        <w:rPr>
          <w:rFonts w:ascii="Times New Roman" w:eastAsia="仿宋"/>
          <w:szCs w:val="24"/>
        </w:rPr>
      </w:pPr>
    </w:p>
    <w:p w14:paraId="5DABCA6F">
      <w:pPr>
        <w:spacing w:before="120" w:line="22" w:lineRule="atLeast"/>
        <w:ind w:left="960"/>
        <w:rPr>
          <w:rFonts w:eastAsia="仿宋"/>
          <w:sz w:val="24"/>
          <w:u w:val="single"/>
        </w:rPr>
      </w:pPr>
      <w:r>
        <w:rPr>
          <w:rFonts w:eastAsia="仿宋"/>
          <w:sz w:val="24"/>
        </w:rPr>
        <w:t>甲方：</w:t>
      </w:r>
      <w:r>
        <w:rPr>
          <w:rFonts w:eastAsia="仿宋"/>
          <w:sz w:val="24"/>
          <w:u w:val="single"/>
        </w:rPr>
        <w:t xml:space="preserve">                                       </w:t>
      </w:r>
    </w:p>
    <w:p w14:paraId="2281E608">
      <w:pPr>
        <w:spacing w:before="120" w:line="22" w:lineRule="atLeast"/>
        <w:rPr>
          <w:rFonts w:eastAsia="仿宋"/>
          <w:sz w:val="24"/>
        </w:rPr>
      </w:pPr>
    </w:p>
    <w:p w14:paraId="6C629559">
      <w:pPr>
        <w:spacing w:before="120" w:line="22" w:lineRule="atLeast"/>
        <w:ind w:left="960"/>
        <w:rPr>
          <w:rFonts w:eastAsia="仿宋"/>
          <w:sz w:val="24"/>
          <w:u w:val="single"/>
        </w:rPr>
      </w:pPr>
      <w:r>
        <w:rPr>
          <w:rFonts w:eastAsia="仿宋"/>
          <w:sz w:val="24"/>
        </w:rPr>
        <w:t>乙方：</w:t>
      </w:r>
      <w:r>
        <w:rPr>
          <w:rFonts w:eastAsia="仿宋"/>
          <w:sz w:val="24"/>
          <w:u w:val="single"/>
        </w:rPr>
        <w:t xml:space="preserve">                                       </w:t>
      </w:r>
    </w:p>
    <w:p w14:paraId="1D086C5F">
      <w:pPr>
        <w:spacing w:before="120" w:line="22" w:lineRule="atLeast"/>
        <w:rPr>
          <w:rFonts w:eastAsia="仿宋"/>
          <w:sz w:val="24"/>
        </w:rPr>
      </w:pPr>
    </w:p>
    <w:p w14:paraId="673247DC">
      <w:pPr>
        <w:spacing w:before="120" w:line="22" w:lineRule="atLeast"/>
        <w:ind w:firstLine="960" w:firstLineChars="400"/>
        <w:rPr>
          <w:rFonts w:eastAsia="仿宋"/>
          <w:sz w:val="24"/>
          <w:u w:val="single"/>
        </w:rPr>
      </w:pPr>
      <w:r>
        <w:rPr>
          <w:rFonts w:eastAsia="仿宋"/>
          <w:sz w:val="24"/>
        </w:rPr>
        <w:t>签订地：</w:t>
      </w:r>
      <w:r>
        <w:rPr>
          <w:rFonts w:eastAsia="仿宋"/>
          <w:sz w:val="24"/>
          <w:u w:val="single"/>
        </w:rPr>
        <w:t xml:space="preserve">                                     </w:t>
      </w:r>
    </w:p>
    <w:p w14:paraId="0EFBAA7A">
      <w:pPr>
        <w:spacing w:before="120" w:line="22" w:lineRule="atLeast"/>
        <w:rPr>
          <w:rFonts w:eastAsia="仿宋"/>
          <w:sz w:val="24"/>
        </w:rPr>
      </w:pPr>
    </w:p>
    <w:p w14:paraId="67C7BED8">
      <w:pPr>
        <w:spacing w:before="120" w:line="22" w:lineRule="atLeast"/>
        <w:ind w:firstLine="960" w:firstLineChars="400"/>
        <w:rPr>
          <w:rFonts w:eastAsia="仿宋"/>
          <w:sz w:val="24"/>
          <w:u w:val="single"/>
        </w:rPr>
      </w:pPr>
      <w:r>
        <w:rPr>
          <w:rFonts w:eastAsia="仿宋"/>
          <w:sz w:val="24"/>
        </w:rPr>
        <w:t>签订日期：</w:t>
      </w:r>
      <w:r>
        <w:rPr>
          <w:rFonts w:eastAsia="仿宋"/>
          <w:sz w:val="24"/>
          <w:u w:val="single"/>
        </w:rPr>
        <w:t xml:space="preserve">               </w:t>
      </w:r>
      <w:r>
        <w:rPr>
          <w:rFonts w:eastAsia="仿宋"/>
          <w:sz w:val="24"/>
        </w:rPr>
        <w:t>年</w:t>
      </w:r>
      <w:r>
        <w:rPr>
          <w:rFonts w:eastAsia="仿宋"/>
          <w:sz w:val="24"/>
          <w:u w:val="single"/>
        </w:rPr>
        <w:t xml:space="preserve">       </w:t>
      </w:r>
      <w:r>
        <w:rPr>
          <w:rFonts w:eastAsia="仿宋"/>
          <w:sz w:val="24"/>
        </w:rPr>
        <w:t>月</w:t>
      </w:r>
      <w:r>
        <w:rPr>
          <w:rFonts w:eastAsia="仿宋"/>
          <w:sz w:val="24"/>
          <w:u w:val="single"/>
        </w:rPr>
        <w:t xml:space="preserve">       </w:t>
      </w:r>
      <w:r>
        <w:rPr>
          <w:rFonts w:eastAsia="仿宋"/>
          <w:sz w:val="24"/>
        </w:rPr>
        <w:t>日</w:t>
      </w:r>
    </w:p>
    <w:p w14:paraId="74F14AF8">
      <w:pPr>
        <w:autoSpaceDE w:val="0"/>
        <w:autoSpaceDN w:val="0"/>
        <w:adjustRightInd w:val="0"/>
        <w:spacing w:line="600" w:lineRule="exact"/>
        <w:ind w:firstLine="640"/>
        <w:jc w:val="center"/>
        <w:rPr>
          <w:rFonts w:eastAsia="仿宋"/>
          <w:sz w:val="24"/>
        </w:rPr>
        <w:sectPr>
          <w:pgSz w:w="11907" w:h="16840"/>
          <w:pgMar w:top="1474" w:right="1814" w:bottom="1474" w:left="1814" w:header="851" w:footer="851" w:gutter="0"/>
          <w:pgNumType w:fmt="numberInDash"/>
          <w:cols w:space="720" w:num="1"/>
          <w:docGrid w:linePitch="462" w:charSpace="0"/>
        </w:sectPr>
      </w:pPr>
    </w:p>
    <w:p w14:paraId="67D5F883">
      <w:pPr>
        <w:spacing w:line="560" w:lineRule="exact"/>
        <w:ind w:firstLine="480" w:firstLineChars="200"/>
        <w:rPr>
          <w:rFonts w:eastAsia="仿宋"/>
          <w:sz w:val="24"/>
        </w:rPr>
      </w:pPr>
      <w:r>
        <w:rPr>
          <w:rFonts w:eastAsia="仿宋"/>
          <w:sz w:val="24"/>
          <w:u w:val="single"/>
          <w:lang w:val="zh-CN"/>
        </w:rPr>
        <w:t xml:space="preserve">        </w:t>
      </w:r>
      <w:r>
        <w:rPr>
          <w:rFonts w:eastAsia="仿宋"/>
          <w:sz w:val="24"/>
          <w:lang w:val="zh-CN"/>
        </w:rPr>
        <w:t>年</w:t>
      </w:r>
      <w:r>
        <w:rPr>
          <w:rFonts w:eastAsia="仿宋"/>
          <w:sz w:val="24"/>
          <w:u w:val="single"/>
          <w:lang w:val="zh-CN"/>
        </w:rPr>
        <w:t xml:space="preserve">    </w:t>
      </w:r>
      <w:r>
        <w:rPr>
          <w:rFonts w:eastAsia="仿宋"/>
          <w:sz w:val="24"/>
          <w:lang w:val="zh-CN"/>
        </w:rPr>
        <w:t>月</w:t>
      </w:r>
      <w:r>
        <w:rPr>
          <w:rFonts w:eastAsia="仿宋"/>
          <w:sz w:val="24"/>
          <w:u w:val="single"/>
          <w:lang w:val="zh-CN"/>
        </w:rPr>
        <w:t xml:space="preserve">    </w:t>
      </w:r>
      <w:r>
        <w:rPr>
          <w:rFonts w:eastAsia="仿宋"/>
          <w:sz w:val="24"/>
          <w:lang w:val="zh-CN"/>
        </w:rPr>
        <w:t>日</w:t>
      </w:r>
      <w:r>
        <w:rPr>
          <w:rFonts w:eastAsia="仿宋"/>
          <w:sz w:val="24"/>
        </w:rPr>
        <w:t>，</w:t>
      </w:r>
      <w:r>
        <w:rPr>
          <w:rFonts w:eastAsia="仿宋"/>
          <w:sz w:val="24"/>
          <w:u w:val="single"/>
        </w:rPr>
        <w:t xml:space="preserve">   （采购人名称）   </w:t>
      </w:r>
      <w:r>
        <w:rPr>
          <w:rFonts w:eastAsia="仿宋"/>
          <w:sz w:val="24"/>
        </w:rPr>
        <w:t>以</w:t>
      </w:r>
      <w:r>
        <w:rPr>
          <w:rFonts w:eastAsia="仿宋"/>
          <w:sz w:val="24"/>
          <w:u w:val="single"/>
        </w:rPr>
        <w:t xml:space="preserve">   （政府采购方式）  </w:t>
      </w:r>
      <w:r>
        <w:rPr>
          <w:rFonts w:eastAsia="仿宋"/>
          <w:sz w:val="24"/>
        </w:rPr>
        <w:t>对</w:t>
      </w:r>
      <w:r>
        <w:rPr>
          <w:rFonts w:eastAsia="仿宋"/>
          <w:sz w:val="24"/>
          <w:u w:val="single"/>
        </w:rPr>
        <w:t xml:space="preserve">   （同前页项目名称）   </w:t>
      </w:r>
      <w:r>
        <w:rPr>
          <w:rFonts w:eastAsia="仿宋"/>
          <w:sz w:val="24"/>
        </w:rPr>
        <w:t>项目进行了采购。经</w:t>
      </w:r>
      <w:r>
        <w:rPr>
          <w:rFonts w:eastAsia="仿宋"/>
          <w:sz w:val="24"/>
          <w:u w:val="single"/>
        </w:rPr>
        <w:t xml:space="preserve">   （相关评定主体名称）   </w:t>
      </w:r>
      <w:r>
        <w:rPr>
          <w:rFonts w:eastAsia="仿宋"/>
          <w:sz w:val="24"/>
        </w:rPr>
        <w:t>评定，</w:t>
      </w:r>
      <w:r>
        <w:rPr>
          <w:rFonts w:eastAsia="仿宋"/>
          <w:sz w:val="24"/>
          <w:u w:val="single"/>
        </w:rPr>
        <w:t xml:space="preserve">   （成交供应商名称） </w:t>
      </w:r>
      <w:r>
        <w:rPr>
          <w:rFonts w:eastAsia="仿宋"/>
          <w:sz w:val="24"/>
        </w:rPr>
        <w:t>为该项目成交供应商。现于成交通知书发出之日起三十日内，按照采购文件确定的事项签订本合同。</w:t>
      </w:r>
    </w:p>
    <w:p w14:paraId="16ABB380">
      <w:pPr>
        <w:spacing w:line="560" w:lineRule="exact"/>
        <w:ind w:firstLine="480" w:firstLineChars="200"/>
        <w:rPr>
          <w:rFonts w:eastAsia="仿宋"/>
          <w:sz w:val="24"/>
        </w:rPr>
      </w:pPr>
      <w:r>
        <w:rPr>
          <w:rFonts w:eastAsia="仿宋"/>
          <w:sz w:val="24"/>
          <w:lang w:val="zh-CN"/>
        </w:rPr>
        <w:t>根据《中华人民共和国民法典》、《中华人民共和国政府采购法》等相关法律法规之规定，按照平等、自愿、公平和诚实信用的原则，经</w:t>
      </w:r>
      <w:r>
        <w:rPr>
          <w:rFonts w:eastAsia="仿宋"/>
          <w:sz w:val="24"/>
          <w:u w:val="single"/>
        </w:rPr>
        <w:t xml:space="preserve">   （采购人名称）   </w:t>
      </w:r>
      <w:r>
        <w:rPr>
          <w:rFonts w:eastAsia="仿宋"/>
          <w:sz w:val="24"/>
          <w:lang w:val="zh-CN"/>
        </w:rPr>
        <w:t>(以下简称：甲方)和</w:t>
      </w:r>
      <w:r>
        <w:rPr>
          <w:rFonts w:eastAsia="仿宋"/>
          <w:sz w:val="24"/>
          <w:u w:val="single"/>
        </w:rPr>
        <w:t xml:space="preserve">   （成交供应商名称）   </w:t>
      </w:r>
      <w:r>
        <w:rPr>
          <w:rFonts w:eastAsia="仿宋"/>
          <w:sz w:val="24"/>
          <w:lang w:val="zh-CN"/>
        </w:rPr>
        <w:t>(以下简称：乙方)协商一致，约定以下合同</w:t>
      </w:r>
      <w:r>
        <w:rPr>
          <w:rFonts w:eastAsia="仿宋"/>
          <w:sz w:val="24"/>
        </w:rPr>
        <w:t>条款，以兹共同遵守、全面履行。</w:t>
      </w:r>
    </w:p>
    <w:p w14:paraId="5411FD48">
      <w:pPr>
        <w:spacing w:line="560" w:lineRule="exact"/>
        <w:ind w:firstLine="482" w:firstLineChars="200"/>
        <w:outlineLvl w:val="2"/>
        <w:rPr>
          <w:rFonts w:eastAsia="仿宋"/>
          <w:sz w:val="24"/>
        </w:rPr>
      </w:pPr>
      <w:bookmarkStart w:id="25" w:name="_Toc20421"/>
      <w:bookmarkStart w:id="26" w:name="_Toc15367"/>
      <w:bookmarkStart w:id="27" w:name="_Toc22967"/>
      <w:bookmarkStart w:id="28" w:name="_Toc19273"/>
      <w:bookmarkStart w:id="29" w:name="_Toc28855"/>
      <w:r>
        <w:rPr>
          <w:rFonts w:eastAsia="仿宋"/>
          <w:b/>
          <w:sz w:val="24"/>
        </w:rPr>
        <w:t>1.1 合同组成部分</w:t>
      </w:r>
      <w:bookmarkEnd w:id="25"/>
      <w:bookmarkEnd w:id="26"/>
      <w:bookmarkEnd w:id="27"/>
      <w:bookmarkEnd w:id="28"/>
      <w:bookmarkEnd w:id="29"/>
    </w:p>
    <w:p w14:paraId="512E8D72">
      <w:pPr>
        <w:spacing w:line="560" w:lineRule="exact"/>
        <w:ind w:firstLine="480" w:firstLineChars="200"/>
        <w:rPr>
          <w:rFonts w:eastAsia="仿宋"/>
          <w:sz w:val="24"/>
        </w:rPr>
      </w:pPr>
      <w:r>
        <w:rPr>
          <w:rFonts w:eastAsia="仿宋"/>
          <w:sz w:val="24"/>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01F52389">
      <w:pPr>
        <w:spacing w:line="560" w:lineRule="exact"/>
        <w:ind w:firstLine="480" w:firstLineChars="200"/>
        <w:rPr>
          <w:rFonts w:eastAsia="仿宋"/>
          <w:sz w:val="24"/>
        </w:rPr>
      </w:pPr>
      <w:r>
        <w:rPr>
          <w:rFonts w:eastAsia="仿宋"/>
          <w:sz w:val="24"/>
        </w:rPr>
        <w:t>1.1.1 本合同及其补充合同、变更协议；</w:t>
      </w:r>
    </w:p>
    <w:p w14:paraId="3460FF6F">
      <w:pPr>
        <w:spacing w:line="560" w:lineRule="exact"/>
        <w:ind w:firstLine="480" w:firstLineChars="200"/>
        <w:rPr>
          <w:rFonts w:eastAsia="仿宋"/>
          <w:sz w:val="24"/>
        </w:rPr>
      </w:pPr>
      <w:r>
        <w:rPr>
          <w:rFonts w:eastAsia="仿宋"/>
          <w:sz w:val="24"/>
        </w:rPr>
        <w:t>1.1.2 成交通知书；</w:t>
      </w:r>
    </w:p>
    <w:p w14:paraId="083415CE">
      <w:pPr>
        <w:spacing w:line="560" w:lineRule="exact"/>
        <w:ind w:firstLine="480" w:firstLineChars="200"/>
        <w:rPr>
          <w:rFonts w:eastAsia="仿宋"/>
          <w:sz w:val="24"/>
        </w:rPr>
      </w:pPr>
      <w:r>
        <w:rPr>
          <w:rFonts w:eastAsia="仿宋"/>
          <w:sz w:val="24"/>
        </w:rPr>
        <w:t>1.1.3 响应文件（含澄清或者说明文件）；</w:t>
      </w:r>
    </w:p>
    <w:p w14:paraId="51352719">
      <w:pPr>
        <w:spacing w:line="560" w:lineRule="exact"/>
        <w:ind w:firstLine="480" w:firstLineChars="200"/>
        <w:rPr>
          <w:rFonts w:eastAsia="仿宋"/>
          <w:sz w:val="24"/>
        </w:rPr>
      </w:pPr>
      <w:r>
        <w:rPr>
          <w:rFonts w:eastAsia="仿宋"/>
          <w:sz w:val="24"/>
        </w:rPr>
        <w:t>1.1.4 采购文件（含澄清或者修改文件）；</w:t>
      </w:r>
    </w:p>
    <w:p w14:paraId="7F29CAD0">
      <w:pPr>
        <w:spacing w:line="560" w:lineRule="exact"/>
        <w:ind w:firstLine="480" w:firstLineChars="200"/>
        <w:rPr>
          <w:rFonts w:eastAsia="仿宋"/>
          <w:sz w:val="24"/>
        </w:rPr>
      </w:pPr>
      <w:r>
        <w:rPr>
          <w:rFonts w:eastAsia="仿宋"/>
          <w:sz w:val="24"/>
        </w:rPr>
        <w:t>1.1.5 其他相关采购文件。</w:t>
      </w:r>
    </w:p>
    <w:p w14:paraId="01567A83">
      <w:pPr>
        <w:spacing w:line="560" w:lineRule="exact"/>
        <w:ind w:firstLine="482" w:firstLineChars="200"/>
        <w:outlineLvl w:val="2"/>
        <w:rPr>
          <w:rFonts w:eastAsia="仿宋"/>
          <w:b/>
          <w:sz w:val="24"/>
        </w:rPr>
      </w:pPr>
      <w:bookmarkStart w:id="30" w:name="_Toc6773"/>
      <w:bookmarkStart w:id="31" w:name="_Toc22185"/>
      <w:bookmarkStart w:id="32" w:name="_Toc6311"/>
      <w:bookmarkStart w:id="33" w:name="_Toc18585"/>
      <w:bookmarkStart w:id="34" w:name="_Toc2918"/>
      <w:r>
        <w:rPr>
          <w:rFonts w:eastAsia="仿宋"/>
          <w:b/>
          <w:sz w:val="24"/>
        </w:rPr>
        <w:t>1.2 标的</w:t>
      </w:r>
      <w:bookmarkEnd w:id="30"/>
      <w:bookmarkEnd w:id="31"/>
      <w:bookmarkEnd w:id="32"/>
      <w:bookmarkEnd w:id="33"/>
      <w:bookmarkEnd w:id="34"/>
    </w:p>
    <w:p w14:paraId="6DA6AB42">
      <w:pPr>
        <w:spacing w:line="560" w:lineRule="exact"/>
        <w:ind w:firstLine="480" w:firstLineChars="200"/>
        <w:rPr>
          <w:rFonts w:eastAsia="仿宋"/>
          <w:sz w:val="24"/>
          <w:u w:val="single"/>
        </w:rPr>
      </w:pPr>
      <w:r>
        <w:rPr>
          <w:rFonts w:eastAsia="仿宋"/>
          <w:sz w:val="24"/>
        </w:rPr>
        <w:t>1.2.1 标的名称：</w:t>
      </w:r>
      <w:r>
        <w:rPr>
          <w:rFonts w:eastAsia="仿宋"/>
          <w:sz w:val="24"/>
          <w:u w:val="single"/>
        </w:rPr>
        <w:t xml:space="preserve">                                                </w:t>
      </w:r>
      <w:r>
        <w:rPr>
          <w:rFonts w:eastAsia="仿宋"/>
          <w:sz w:val="24"/>
        </w:rPr>
        <w:t>；</w:t>
      </w:r>
    </w:p>
    <w:p w14:paraId="2E05019C">
      <w:pPr>
        <w:spacing w:line="560" w:lineRule="exact"/>
        <w:ind w:firstLine="480" w:firstLineChars="200"/>
        <w:rPr>
          <w:rFonts w:eastAsia="仿宋"/>
          <w:sz w:val="24"/>
          <w:u w:val="single"/>
        </w:rPr>
      </w:pPr>
      <w:r>
        <w:rPr>
          <w:rFonts w:eastAsia="仿宋"/>
          <w:sz w:val="24"/>
        </w:rPr>
        <w:t>1.2.2 标的数量：</w:t>
      </w:r>
      <w:r>
        <w:rPr>
          <w:rFonts w:eastAsia="仿宋"/>
          <w:sz w:val="24"/>
          <w:u w:val="single"/>
        </w:rPr>
        <w:t xml:space="preserve">                                                </w:t>
      </w:r>
      <w:r>
        <w:rPr>
          <w:rFonts w:eastAsia="仿宋"/>
          <w:sz w:val="24"/>
        </w:rPr>
        <w:t>；</w:t>
      </w:r>
    </w:p>
    <w:p w14:paraId="111B7BA4">
      <w:pPr>
        <w:spacing w:line="560" w:lineRule="exact"/>
        <w:ind w:firstLine="480" w:firstLineChars="200"/>
        <w:rPr>
          <w:rFonts w:eastAsia="仿宋"/>
          <w:sz w:val="24"/>
        </w:rPr>
      </w:pPr>
      <w:r>
        <w:rPr>
          <w:rFonts w:eastAsia="仿宋"/>
          <w:sz w:val="24"/>
        </w:rPr>
        <w:t>1.2.3 标的质量：</w:t>
      </w:r>
      <w:r>
        <w:rPr>
          <w:rFonts w:eastAsia="仿宋"/>
          <w:sz w:val="24"/>
          <w:u w:val="single"/>
        </w:rPr>
        <w:t xml:space="preserve">　　　　　　　　　                      　      </w:t>
      </w:r>
      <w:r>
        <w:rPr>
          <w:rFonts w:eastAsia="仿宋"/>
          <w:sz w:val="24"/>
        </w:rPr>
        <w:t>。</w:t>
      </w:r>
    </w:p>
    <w:p w14:paraId="6662FE5E">
      <w:pPr>
        <w:spacing w:line="560" w:lineRule="exact"/>
        <w:ind w:firstLine="482" w:firstLineChars="200"/>
        <w:outlineLvl w:val="2"/>
        <w:rPr>
          <w:rFonts w:eastAsia="仿宋"/>
          <w:b/>
          <w:sz w:val="24"/>
        </w:rPr>
      </w:pPr>
      <w:bookmarkStart w:id="35" w:name="_Toc13918"/>
      <w:bookmarkStart w:id="36" w:name="_Toc4929"/>
      <w:bookmarkStart w:id="37" w:name="_Toc21124"/>
      <w:bookmarkStart w:id="38" w:name="_Toc1386"/>
      <w:bookmarkStart w:id="39" w:name="_Toc5635"/>
      <w:r>
        <w:rPr>
          <w:rFonts w:eastAsia="仿宋"/>
          <w:b/>
          <w:sz w:val="24"/>
        </w:rPr>
        <w:t>1.3 价款</w:t>
      </w:r>
      <w:bookmarkEnd w:id="35"/>
      <w:bookmarkEnd w:id="36"/>
      <w:bookmarkEnd w:id="37"/>
      <w:bookmarkEnd w:id="38"/>
      <w:bookmarkEnd w:id="39"/>
    </w:p>
    <w:p w14:paraId="7EC55A66">
      <w:pPr>
        <w:spacing w:line="560" w:lineRule="exact"/>
        <w:ind w:firstLine="480" w:firstLineChars="200"/>
        <w:rPr>
          <w:rFonts w:eastAsia="仿宋"/>
          <w:sz w:val="24"/>
        </w:rPr>
      </w:pPr>
      <w:r>
        <w:rPr>
          <w:rFonts w:eastAsia="仿宋"/>
          <w:sz w:val="24"/>
        </w:rPr>
        <w:t>本合同总价为：￥</w:t>
      </w:r>
      <w:r>
        <w:rPr>
          <w:rFonts w:eastAsia="仿宋"/>
          <w:sz w:val="24"/>
          <w:u w:val="single"/>
        </w:rPr>
        <w:t xml:space="preserve">           </w:t>
      </w:r>
      <w:r>
        <w:rPr>
          <w:rFonts w:eastAsia="仿宋"/>
          <w:sz w:val="24"/>
        </w:rPr>
        <w:t>元（大写：</w:t>
      </w:r>
      <w:r>
        <w:rPr>
          <w:rFonts w:eastAsia="仿宋"/>
          <w:sz w:val="24"/>
          <w:u w:val="single"/>
        </w:rPr>
        <w:t xml:space="preserve">                 </w:t>
      </w:r>
      <w:r>
        <w:rPr>
          <w:rFonts w:eastAsia="仿宋"/>
          <w:sz w:val="24"/>
        </w:rPr>
        <w:t>元人民币）。</w:t>
      </w:r>
    </w:p>
    <w:p w14:paraId="7429FDBA">
      <w:pPr>
        <w:spacing w:line="560" w:lineRule="exact"/>
        <w:ind w:firstLine="480" w:firstLineChars="200"/>
        <w:rPr>
          <w:rFonts w:eastAsia="仿宋"/>
          <w:sz w:val="24"/>
        </w:rPr>
      </w:pPr>
    </w:p>
    <w:p w14:paraId="09F7C062">
      <w:pPr>
        <w:spacing w:line="560" w:lineRule="exact"/>
        <w:ind w:firstLine="480" w:firstLineChars="200"/>
        <w:rPr>
          <w:rFonts w:eastAsia="仿宋"/>
          <w:sz w:val="24"/>
        </w:rPr>
      </w:pPr>
      <w:r>
        <w:rPr>
          <w:rFonts w:eastAsia="仿宋"/>
          <w:sz w:val="24"/>
        </w:rPr>
        <w:t>分项价格：</w:t>
      </w:r>
    </w:p>
    <w:p w14:paraId="009C342A">
      <w:pPr>
        <w:pStyle w:val="6"/>
        <w:ind w:firstLine="480"/>
        <w:rPr>
          <w:rFonts w:eastAsia="仿宋"/>
          <w:sz w:val="24"/>
        </w:rPr>
      </w:pPr>
    </w:p>
    <w:tbl>
      <w:tblPr>
        <w:tblStyle w:val="21"/>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2762DC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0389EA75">
            <w:pPr>
              <w:pStyle w:val="58"/>
              <w:spacing w:line="560" w:lineRule="exact"/>
              <w:jc w:val="center"/>
              <w:rPr>
                <w:rFonts w:ascii="Times New Roman" w:hAnsi="Times New Roman" w:eastAsia="仿宋"/>
                <w:sz w:val="24"/>
                <w:szCs w:val="24"/>
              </w:rPr>
            </w:pPr>
            <w:r>
              <w:rPr>
                <w:rFonts w:ascii="Times New Roman" w:hAnsi="Times New Roman" w:eastAsia="仿宋"/>
                <w:sz w:val="24"/>
                <w:szCs w:val="24"/>
              </w:rPr>
              <w:t>序号</w:t>
            </w:r>
          </w:p>
        </w:tc>
        <w:tc>
          <w:tcPr>
            <w:tcW w:w="3402" w:type="dxa"/>
            <w:vAlign w:val="center"/>
          </w:tcPr>
          <w:p w14:paraId="5CF42AA6">
            <w:pPr>
              <w:pStyle w:val="58"/>
              <w:spacing w:line="560" w:lineRule="exact"/>
              <w:ind w:firstLine="200"/>
              <w:jc w:val="center"/>
              <w:rPr>
                <w:rFonts w:ascii="Times New Roman" w:hAnsi="Times New Roman" w:eastAsia="仿宋"/>
                <w:sz w:val="24"/>
                <w:szCs w:val="24"/>
              </w:rPr>
            </w:pPr>
            <w:r>
              <w:rPr>
                <w:rFonts w:ascii="Times New Roman" w:hAnsi="Times New Roman" w:eastAsia="仿宋"/>
                <w:sz w:val="24"/>
                <w:szCs w:val="24"/>
              </w:rPr>
              <w:t>分项名称</w:t>
            </w:r>
          </w:p>
        </w:tc>
        <w:tc>
          <w:tcPr>
            <w:tcW w:w="2552" w:type="dxa"/>
            <w:vAlign w:val="center"/>
          </w:tcPr>
          <w:p w14:paraId="1E1504B9">
            <w:pPr>
              <w:pStyle w:val="58"/>
              <w:spacing w:line="560" w:lineRule="exact"/>
              <w:jc w:val="center"/>
              <w:rPr>
                <w:rFonts w:ascii="Times New Roman" w:hAnsi="Times New Roman" w:eastAsia="仿宋"/>
                <w:sz w:val="24"/>
                <w:szCs w:val="24"/>
              </w:rPr>
            </w:pPr>
            <w:r>
              <w:rPr>
                <w:rFonts w:ascii="Times New Roman" w:hAnsi="Times New Roman" w:eastAsia="仿宋"/>
                <w:sz w:val="24"/>
                <w:szCs w:val="24"/>
              </w:rPr>
              <w:t>分项价格</w:t>
            </w:r>
          </w:p>
        </w:tc>
      </w:tr>
      <w:tr w14:paraId="65635B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16ABB2C0">
            <w:pPr>
              <w:pStyle w:val="58"/>
              <w:spacing w:line="560" w:lineRule="exact"/>
              <w:ind w:firstLine="200"/>
              <w:jc w:val="center"/>
              <w:rPr>
                <w:rFonts w:ascii="Times New Roman" w:hAnsi="Times New Roman" w:eastAsia="仿宋"/>
                <w:sz w:val="24"/>
                <w:szCs w:val="24"/>
              </w:rPr>
            </w:pPr>
          </w:p>
        </w:tc>
        <w:tc>
          <w:tcPr>
            <w:tcW w:w="3402" w:type="dxa"/>
            <w:vAlign w:val="center"/>
          </w:tcPr>
          <w:p w14:paraId="53F52B9E">
            <w:pPr>
              <w:pStyle w:val="58"/>
              <w:spacing w:line="560" w:lineRule="exact"/>
              <w:ind w:firstLine="200"/>
              <w:jc w:val="center"/>
              <w:rPr>
                <w:rFonts w:ascii="Times New Roman" w:hAnsi="Times New Roman" w:eastAsia="仿宋"/>
                <w:sz w:val="24"/>
                <w:szCs w:val="24"/>
              </w:rPr>
            </w:pPr>
          </w:p>
        </w:tc>
        <w:tc>
          <w:tcPr>
            <w:tcW w:w="2552" w:type="dxa"/>
            <w:vAlign w:val="center"/>
          </w:tcPr>
          <w:p w14:paraId="7F972B41">
            <w:pPr>
              <w:pStyle w:val="58"/>
              <w:spacing w:line="560" w:lineRule="exact"/>
              <w:ind w:firstLine="200"/>
              <w:jc w:val="center"/>
              <w:rPr>
                <w:rFonts w:ascii="Times New Roman" w:hAnsi="Times New Roman" w:eastAsia="仿宋"/>
                <w:sz w:val="24"/>
                <w:szCs w:val="24"/>
              </w:rPr>
            </w:pPr>
          </w:p>
        </w:tc>
      </w:tr>
      <w:tr w14:paraId="6CE4FA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2FAD5285">
            <w:pPr>
              <w:pStyle w:val="58"/>
              <w:spacing w:line="560" w:lineRule="exact"/>
              <w:ind w:firstLine="200"/>
              <w:jc w:val="center"/>
              <w:rPr>
                <w:rFonts w:ascii="Times New Roman" w:hAnsi="Times New Roman" w:eastAsia="仿宋"/>
                <w:sz w:val="24"/>
                <w:szCs w:val="24"/>
              </w:rPr>
            </w:pPr>
          </w:p>
        </w:tc>
        <w:tc>
          <w:tcPr>
            <w:tcW w:w="3402" w:type="dxa"/>
            <w:vAlign w:val="center"/>
          </w:tcPr>
          <w:p w14:paraId="27438040">
            <w:pPr>
              <w:pStyle w:val="58"/>
              <w:spacing w:line="560" w:lineRule="exact"/>
              <w:ind w:firstLine="200"/>
              <w:jc w:val="center"/>
              <w:rPr>
                <w:rFonts w:ascii="Times New Roman" w:hAnsi="Times New Roman" w:eastAsia="仿宋"/>
                <w:sz w:val="24"/>
                <w:szCs w:val="24"/>
              </w:rPr>
            </w:pPr>
          </w:p>
        </w:tc>
        <w:tc>
          <w:tcPr>
            <w:tcW w:w="2552" w:type="dxa"/>
            <w:vAlign w:val="center"/>
          </w:tcPr>
          <w:p w14:paraId="639BD91C">
            <w:pPr>
              <w:pStyle w:val="58"/>
              <w:spacing w:line="560" w:lineRule="exact"/>
              <w:ind w:firstLine="200"/>
              <w:jc w:val="center"/>
              <w:rPr>
                <w:rFonts w:ascii="Times New Roman" w:hAnsi="Times New Roman" w:eastAsia="仿宋"/>
                <w:sz w:val="24"/>
                <w:szCs w:val="24"/>
              </w:rPr>
            </w:pPr>
          </w:p>
        </w:tc>
      </w:tr>
      <w:tr w14:paraId="3CDBD3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276775EC">
            <w:pPr>
              <w:pStyle w:val="58"/>
              <w:spacing w:line="560" w:lineRule="exact"/>
              <w:ind w:firstLine="200"/>
              <w:jc w:val="center"/>
              <w:rPr>
                <w:rFonts w:ascii="Times New Roman" w:hAnsi="Times New Roman" w:eastAsia="仿宋"/>
                <w:sz w:val="24"/>
                <w:szCs w:val="24"/>
              </w:rPr>
            </w:pPr>
          </w:p>
        </w:tc>
        <w:tc>
          <w:tcPr>
            <w:tcW w:w="3402" w:type="dxa"/>
            <w:vAlign w:val="center"/>
          </w:tcPr>
          <w:p w14:paraId="4723A83D">
            <w:pPr>
              <w:pStyle w:val="58"/>
              <w:spacing w:line="560" w:lineRule="exact"/>
              <w:ind w:firstLine="200"/>
              <w:jc w:val="center"/>
              <w:rPr>
                <w:rFonts w:ascii="Times New Roman" w:hAnsi="Times New Roman" w:eastAsia="仿宋"/>
                <w:sz w:val="24"/>
                <w:szCs w:val="24"/>
              </w:rPr>
            </w:pPr>
          </w:p>
        </w:tc>
        <w:tc>
          <w:tcPr>
            <w:tcW w:w="2552" w:type="dxa"/>
            <w:vAlign w:val="center"/>
          </w:tcPr>
          <w:p w14:paraId="3DFA0D45">
            <w:pPr>
              <w:pStyle w:val="58"/>
              <w:spacing w:line="560" w:lineRule="exact"/>
              <w:ind w:firstLine="200"/>
              <w:jc w:val="center"/>
              <w:rPr>
                <w:rFonts w:ascii="Times New Roman" w:hAnsi="Times New Roman" w:eastAsia="仿宋"/>
                <w:sz w:val="24"/>
                <w:szCs w:val="24"/>
              </w:rPr>
            </w:pPr>
          </w:p>
        </w:tc>
      </w:tr>
      <w:tr w14:paraId="5CFADC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583F6244">
            <w:pPr>
              <w:pStyle w:val="58"/>
              <w:spacing w:line="560" w:lineRule="exact"/>
              <w:ind w:firstLine="200"/>
              <w:jc w:val="center"/>
              <w:rPr>
                <w:rFonts w:ascii="Times New Roman" w:hAnsi="Times New Roman" w:eastAsia="仿宋"/>
                <w:sz w:val="24"/>
                <w:szCs w:val="24"/>
              </w:rPr>
            </w:pPr>
          </w:p>
        </w:tc>
        <w:tc>
          <w:tcPr>
            <w:tcW w:w="3402" w:type="dxa"/>
            <w:vAlign w:val="center"/>
          </w:tcPr>
          <w:p w14:paraId="12A9BD46">
            <w:pPr>
              <w:pStyle w:val="58"/>
              <w:spacing w:line="560" w:lineRule="exact"/>
              <w:ind w:firstLine="200"/>
              <w:jc w:val="center"/>
              <w:rPr>
                <w:rFonts w:ascii="Times New Roman" w:hAnsi="Times New Roman" w:eastAsia="仿宋"/>
                <w:sz w:val="24"/>
                <w:szCs w:val="24"/>
              </w:rPr>
            </w:pPr>
          </w:p>
        </w:tc>
        <w:tc>
          <w:tcPr>
            <w:tcW w:w="2552" w:type="dxa"/>
            <w:vAlign w:val="center"/>
          </w:tcPr>
          <w:p w14:paraId="14CECF7E">
            <w:pPr>
              <w:pStyle w:val="58"/>
              <w:spacing w:line="560" w:lineRule="exact"/>
              <w:ind w:firstLine="200"/>
              <w:jc w:val="center"/>
              <w:rPr>
                <w:rFonts w:ascii="Times New Roman" w:hAnsi="Times New Roman" w:eastAsia="仿宋"/>
                <w:sz w:val="24"/>
                <w:szCs w:val="24"/>
              </w:rPr>
            </w:pPr>
          </w:p>
        </w:tc>
      </w:tr>
      <w:tr w14:paraId="2E8B9C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vAlign w:val="center"/>
          </w:tcPr>
          <w:p w14:paraId="1EFA6D3B">
            <w:pPr>
              <w:pStyle w:val="58"/>
              <w:spacing w:line="560" w:lineRule="exact"/>
              <w:ind w:firstLine="200"/>
              <w:jc w:val="center"/>
              <w:rPr>
                <w:rFonts w:ascii="Times New Roman" w:hAnsi="Times New Roman" w:eastAsia="仿宋"/>
                <w:sz w:val="24"/>
                <w:szCs w:val="24"/>
              </w:rPr>
            </w:pPr>
            <w:r>
              <w:rPr>
                <w:rFonts w:ascii="Times New Roman" w:hAnsi="Times New Roman" w:eastAsia="仿宋"/>
                <w:sz w:val="24"/>
                <w:szCs w:val="24"/>
              </w:rPr>
              <w:t>总价</w:t>
            </w:r>
          </w:p>
        </w:tc>
        <w:tc>
          <w:tcPr>
            <w:tcW w:w="2552" w:type="dxa"/>
            <w:vAlign w:val="center"/>
          </w:tcPr>
          <w:p w14:paraId="083D30F3">
            <w:pPr>
              <w:pStyle w:val="58"/>
              <w:spacing w:line="560" w:lineRule="exact"/>
              <w:ind w:firstLine="200"/>
              <w:jc w:val="center"/>
              <w:rPr>
                <w:rFonts w:ascii="Times New Roman" w:hAnsi="Times New Roman" w:eastAsia="仿宋"/>
                <w:sz w:val="24"/>
                <w:szCs w:val="24"/>
              </w:rPr>
            </w:pPr>
          </w:p>
        </w:tc>
      </w:tr>
    </w:tbl>
    <w:p w14:paraId="3D0BBCCB">
      <w:pPr>
        <w:spacing w:line="560" w:lineRule="exact"/>
        <w:ind w:firstLine="482" w:firstLineChars="200"/>
        <w:outlineLvl w:val="2"/>
        <w:rPr>
          <w:rFonts w:eastAsia="仿宋"/>
          <w:b/>
          <w:sz w:val="24"/>
        </w:rPr>
      </w:pPr>
      <w:bookmarkStart w:id="40" w:name="_Toc26916"/>
      <w:bookmarkStart w:id="41" w:name="_Toc30158"/>
      <w:bookmarkStart w:id="42" w:name="_Toc14993"/>
      <w:bookmarkStart w:id="43" w:name="_Toc30506"/>
      <w:bookmarkStart w:id="44" w:name="_Toc3654"/>
      <w:r>
        <w:rPr>
          <w:rFonts w:eastAsia="仿宋"/>
          <w:b/>
          <w:sz w:val="24"/>
        </w:rPr>
        <w:t>1.4 付款方式和发票开具方式</w:t>
      </w:r>
      <w:bookmarkEnd w:id="40"/>
      <w:bookmarkEnd w:id="41"/>
      <w:bookmarkEnd w:id="42"/>
      <w:bookmarkEnd w:id="43"/>
      <w:bookmarkEnd w:id="44"/>
    </w:p>
    <w:p w14:paraId="06567A70">
      <w:pPr>
        <w:spacing w:line="560" w:lineRule="exact"/>
        <w:ind w:firstLine="480" w:firstLineChars="200"/>
        <w:rPr>
          <w:rFonts w:eastAsia="仿宋"/>
          <w:sz w:val="24"/>
        </w:rPr>
      </w:pPr>
      <w:r>
        <w:rPr>
          <w:rFonts w:eastAsia="仿宋"/>
          <w:sz w:val="24"/>
        </w:rPr>
        <w:t>1.4.1付款方式：</w:t>
      </w:r>
      <w:r>
        <w:rPr>
          <w:rFonts w:eastAsia="仿宋"/>
          <w:sz w:val="24"/>
          <w:u w:val="single"/>
        </w:rPr>
        <w:t xml:space="preserve">                                                </w:t>
      </w:r>
      <w:r>
        <w:rPr>
          <w:rFonts w:eastAsia="仿宋"/>
          <w:sz w:val="24"/>
        </w:rPr>
        <w:t>；</w:t>
      </w:r>
    </w:p>
    <w:p w14:paraId="3EA3C120">
      <w:pPr>
        <w:spacing w:line="560" w:lineRule="exact"/>
        <w:ind w:firstLine="480" w:firstLineChars="200"/>
        <w:rPr>
          <w:rFonts w:eastAsia="仿宋"/>
          <w:sz w:val="24"/>
        </w:rPr>
      </w:pPr>
      <w:r>
        <w:rPr>
          <w:rFonts w:eastAsia="仿宋"/>
          <w:sz w:val="24"/>
        </w:rPr>
        <w:t>1.4.2 发票开具方式：</w:t>
      </w:r>
      <w:r>
        <w:rPr>
          <w:rFonts w:eastAsia="仿宋"/>
          <w:sz w:val="24"/>
          <w:u w:val="single"/>
        </w:rPr>
        <w:t xml:space="preserve">                                            </w:t>
      </w:r>
      <w:r>
        <w:rPr>
          <w:rFonts w:eastAsia="仿宋"/>
          <w:sz w:val="24"/>
        </w:rPr>
        <w:t>。</w:t>
      </w:r>
    </w:p>
    <w:p w14:paraId="2B34C96F">
      <w:pPr>
        <w:spacing w:line="560" w:lineRule="exact"/>
        <w:ind w:firstLine="482" w:firstLineChars="200"/>
        <w:outlineLvl w:val="2"/>
        <w:rPr>
          <w:rFonts w:eastAsia="仿宋"/>
          <w:b/>
          <w:sz w:val="24"/>
        </w:rPr>
      </w:pPr>
      <w:bookmarkStart w:id="45" w:name="_Toc4760"/>
      <w:bookmarkStart w:id="46" w:name="_Toc31421"/>
      <w:bookmarkStart w:id="47" w:name="_Toc8772"/>
      <w:bookmarkStart w:id="48" w:name="_Toc3625"/>
      <w:bookmarkStart w:id="49" w:name="_Toc11108"/>
      <w:r>
        <w:rPr>
          <w:rFonts w:eastAsia="仿宋"/>
          <w:b/>
          <w:sz w:val="24"/>
        </w:rPr>
        <w:t>1.5 履行期限、地点和方式</w:t>
      </w:r>
      <w:bookmarkEnd w:id="45"/>
      <w:bookmarkEnd w:id="46"/>
      <w:bookmarkEnd w:id="47"/>
      <w:bookmarkEnd w:id="48"/>
      <w:bookmarkEnd w:id="49"/>
    </w:p>
    <w:p w14:paraId="232074E1">
      <w:pPr>
        <w:spacing w:line="560" w:lineRule="exact"/>
        <w:ind w:firstLine="480" w:firstLineChars="200"/>
        <w:rPr>
          <w:rFonts w:eastAsia="仿宋"/>
          <w:sz w:val="24"/>
          <w:u w:val="single"/>
        </w:rPr>
      </w:pPr>
      <w:r>
        <w:rPr>
          <w:rFonts w:eastAsia="仿宋"/>
          <w:sz w:val="24"/>
        </w:rPr>
        <w:t>1.5.1 履行期限：</w:t>
      </w:r>
      <w:r>
        <w:rPr>
          <w:rFonts w:eastAsia="仿宋"/>
          <w:sz w:val="24"/>
          <w:u w:val="single"/>
        </w:rPr>
        <w:t xml:space="preserve">                                                </w:t>
      </w:r>
      <w:r>
        <w:rPr>
          <w:rFonts w:eastAsia="仿宋"/>
          <w:sz w:val="24"/>
        </w:rPr>
        <w:t>；</w:t>
      </w:r>
    </w:p>
    <w:p w14:paraId="2F308F24">
      <w:pPr>
        <w:spacing w:line="560" w:lineRule="exact"/>
        <w:ind w:firstLine="480" w:firstLineChars="200"/>
        <w:rPr>
          <w:rFonts w:eastAsia="仿宋"/>
          <w:sz w:val="24"/>
        </w:rPr>
      </w:pPr>
      <w:r>
        <w:rPr>
          <w:rFonts w:eastAsia="仿宋"/>
          <w:sz w:val="24"/>
        </w:rPr>
        <w:t>1.5.2 履行地点：</w:t>
      </w:r>
      <w:r>
        <w:rPr>
          <w:rFonts w:eastAsia="仿宋"/>
          <w:sz w:val="24"/>
          <w:u w:val="single"/>
        </w:rPr>
        <w:t xml:space="preserve">                                                </w:t>
      </w:r>
      <w:r>
        <w:rPr>
          <w:rFonts w:eastAsia="仿宋"/>
          <w:sz w:val="24"/>
        </w:rPr>
        <w:t>；</w:t>
      </w:r>
    </w:p>
    <w:p w14:paraId="74F022C7">
      <w:pPr>
        <w:spacing w:line="560" w:lineRule="exact"/>
        <w:ind w:firstLine="480" w:firstLineChars="200"/>
        <w:rPr>
          <w:rFonts w:eastAsia="仿宋"/>
          <w:sz w:val="24"/>
        </w:rPr>
      </w:pPr>
      <w:r>
        <w:rPr>
          <w:rFonts w:eastAsia="仿宋"/>
          <w:sz w:val="24"/>
        </w:rPr>
        <w:t>1.5.3 履行方式：</w:t>
      </w:r>
      <w:r>
        <w:rPr>
          <w:rFonts w:eastAsia="仿宋"/>
          <w:sz w:val="24"/>
          <w:u w:val="single"/>
        </w:rPr>
        <w:t xml:space="preserve">　　　　　　　　　                      　      </w:t>
      </w:r>
      <w:r>
        <w:rPr>
          <w:rFonts w:eastAsia="仿宋"/>
          <w:sz w:val="24"/>
        </w:rPr>
        <w:t>。</w:t>
      </w:r>
    </w:p>
    <w:p w14:paraId="3B73302B">
      <w:pPr>
        <w:spacing w:line="560" w:lineRule="exact"/>
        <w:ind w:firstLine="482" w:firstLineChars="200"/>
        <w:outlineLvl w:val="2"/>
        <w:rPr>
          <w:rFonts w:eastAsia="仿宋"/>
          <w:sz w:val="24"/>
          <w:u w:val="single"/>
        </w:rPr>
      </w:pPr>
      <w:bookmarkStart w:id="50" w:name="_Toc5698"/>
      <w:bookmarkStart w:id="51" w:name="_Toc2375"/>
      <w:bookmarkStart w:id="52" w:name="_Toc8586"/>
      <w:bookmarkStart w:id="53" w:name="_Toc24662"/>
      <w:bookmarkStart w:id="54" w:name="_Toc3079"/>
      <w:r>
        <w:rPr>
          <w:rFonts w:eastAsia="仿宋"/>
          <w:b/>
          <w:sz w:val="24"/>
        </w:rPr>
        <w:t>1.6 违约责任</w:t>
      </w:r>
      <w:bookmarkEnd w:id="50"/>
      <w:bookmarkEnd w:id="51"/>
      <w:bookmarkEnd w:id="52"/>
      <w:bookmarkEnd w:id="53"/>
      <w:bookmarkEnd w:id="54"/>
    </w:p>
    <w:p w14:paraId="4D0BAF79">
      <w:pPr>
        <w:spacing w:line="560" w:lineRule="exact"/>
        <w:ind w:firstLine="480" w:firstLineChars="200"/>
        <w:rPr>
          <w:rFonts w:eastAsia="仿宋"/>
          <w:color w:val="auto"/>
          <w:sz w:val="24"/>
        </w:rPr>
      </w:pPr>
      <w:r>
        <w:rPr>
          <w:rFonts w:eastAsia="仿宋"/>
          <w:sz w:val="24"/>
        </w:rPr>
        <w:t>1.6.1 除不可抗力外，如果乙方没有按照本合同约定的期限、地点和方式履行，那么甲方可要求乙方支付违约金，违约金按每迟延履行一日的应提供而未提供服务价格的</w:t>
      </w:r>
      <w:r>
        <w:rPr>
          <w:rFonts w:eastAsia="仿宋"/>
          <w:sz w:val="24"/>
          <w:u w:val="single"/>
        </w:rPr>
        <w:t xml:space="preserve"> </w:t>
      </w:r>
      <w:r>
        <w:rPr>
          <w:rFonts w:hint="eastAsia" w:eastAsia="仿宋"/>
          <w:sz w:val="24"/>
          <w:u w:val="single"/>
        </w:rPr>
        <w:t>5</w:t>
      </w:r>
      <w:r>
        <w:rPr>
          <w:rFonts w:eastAsia="仿宋"/>
          <w:sz w:val="24"/>
          <w:u w:val="single"/>
        </w:rPr>
        <w:t xml:space="preserve"> </w:t>
      </w:r>
      <w:r>
        <w:rPr>
          <w:rFonts w:eastAsia="仿宋"/>
          <w:sz w:val="24"/>
        </w:rPr>
        <w:t>%计算</w:t>
      </w:r>
      <w:r>
        <w:rPr>
          <w:rFonts w:hint="eastAsia" w:eastAsia="仿宋"/>
          <w:sz w:val="24"/>
        </w:rPr>
        <w:t>，</w:t>
      </w:r>
      <w:r>
        <w:rPr>
          <w:rFonts w:hint="eastAsia" w:eastAsia="仿宋"/>
          <w:color w:val="auto"/>
          <w:sz w:val="24"/>
        </w:rPr>
        <w:t>未经甲方书面许可，每个阶段延迟履行超过3个日历日时</w:t>
      </w:r>
      <w:r>
        <w:rPr>
          <w:rFonts w:eastAsia="仿宋"/>
          <w:color w:val="auto"/>
          <w:sz w:val="24"/>
        </w:rPr>
        <w:t>甲方有权在要求乙方支付违约金的同时书面通知乙方解除本合同；</w:t>
      </w:r>
    </w:p>
    <w:p w14:paraId="5457843B">
      <w:pPr>
        <w:spacing w:line="560" w:lineRule="exact"/>
        <w:ind w:firstLine="480" w:firstLineChars="200"/>
        <w:rPr>
          <w:rFonts w:eastAsia="仿宋"/>
          <w:color w:val="auto"/>
          <w:sz w:val="24"/>
        </w:rPr>
      </w:pPr>
      <w:r>
        <w:rPr>
          <w:rFonts w:eastAsia="仿宋"/>
          <w:color w:val="auto"/>
          <w:sz w:val="24"/>
        </w:rPr>
        <w:t>1.6.2 除不可抗力外，如果甲方没有按照本合同约定的付款方式付款，那么乙方可要求甲方支付违约金，违约金按每迟延付款一日的应付而未付款的</w:t>
      </w:r>
      <w:r>
        <w:rPr>
          <w:rFonts w:eastAsia="仿宋"/>
          <w:color w:val="auto"/>
          <w:sz w:val="24"/>
          <w:u w:val="single"/>
        </w:rPr>
        <w:t xml:space="preserve"> </w:t>
      </w:r>
      <w:r>
        <w:rPr>
          <w:rFonts w:hint="eastAsia" w:eastAsia="仿宋"/>
          <w:color w:val="auto"/>
          <w:sz w:val="24"/>
          <w:u w:val="single"/>
        </w:rPr>
        <w:t>5</w:t>
      </w:r>
      <w:r>
        <w:rPr>
          <w:rFonts w:eastAsia="仿宋"/>
          <w:color w:val="auto"/>
          <w:sz w:val="24"/>
          <w:u w:val="single"/>
        </w:rPr>
        <w:t xml:space="preserve"> </w:t>
      </w:r>
      <w:r>
        <w:rPr>
          <w:rFonts w:eastAsia="仿宋"/>
          <w:color w:val="auto"/>
          <w:sz w:val="24"/>
        </w:rPr>
        <w:t>%计算</w:t>
      </w:r>
      <w:r>
        <w:rPr>
          <w:rFonts w:hint="eastAsia" w:eastAsia="仿宋"/>
          <w:color w:val="auto"/>
          <w:sz w:val="24"/>
        </w:rPr>
        <w:t>，未经乙方书面许可，每个阶段延迟履行超过3个日历日时乙</w:t>
      </w:r>
      <w:r>
        <w:rPr>
          <w:rFonts w:eastAsia="仿宋"/>
          <w:color w:val="auto"/>
          <w:sz w:val="24"/>
        </w:rPr>
        <w:t>方有权在要求</w:t>
      </w:r>
      <w:r>
        <w:rPr>
          <w:rFonts w:hint="eastAsia" w:eastAsia="仿宋"/>
          <w:color w:val="auto"/>
          <w:sz w:val="24"/>
        </w:rPr>
        <w:t>甲</w:t>
      </w:r>
      <w:r>
        <w:rPr>
          <w:rFonts w:eastAsia="仿宋"/>
          <w:color w:val="auto"/>
          <w:sz w:val="24"/>
        </w:rPr>
        <w:t>方支付违约金的同时书面通知</w:t>
      </w:r>
      <w:r>
        <w:rPr>
          <w:rFonts w:hint="eastAsia" w:eastAsia="仿宋"/>
          <w:color w:val="auto"/>
          <w:sz w:val="24"/>
        </w:rPr>
        <w:t>甲</w:t>
      </w:r>
      <w:r>
        <w:rPr>
          <w:rFonts w:eastAsia="仿宋"/>
          <w:color w:val="auto"/>
          <w:sz w:val="24"/>
        </w:rPr>
        <w:t>方解除本合同；</w:t>
      </w:r>
    </w:p>
    <w:p w14:paraId="3C78AC04">
      <w:pPr>
        <w:spacing w:line="560" w:lineRule="exact"/>
        <w:ind w:firstLine="480" w:firstLineChars="200"/>
        <w:rPr>
          <w:rFonts w:eastAsia="仿宋"/>
          <w:sz w:val="24"/>
        </w:rPr>
      </w:pPr>
      <w:r>
        <w:rPr>
          <w:rFonts w:eastAsia="仿宋"/>
          <w:sz w:val="24"/>
        </w:rPr>
        <w:t>1.6.3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来影响对方当事人在合同签订、履行过程中的行为）或者欺诈行为（即：以谎报事实或隐瞒真相的方法来影响对方当事人在合同签订、履行过程中的行为）的，对方当事人可以书面通知违约方解除本合同；</w:t>
      </w:r>
    </w:p>
    <w:p w14:paraId="7C6BF475">
      <w:pPr>
        <w:spacing w:line="560" w:lineRule="exact"/>
        <w:ind w:firstLine="480" w:firstLineChars="200"/>
        <w:rPr>
          <w:rFonts w:eastAsia="仿宋"/>
          <w:sz w:val="24"/>
        </w:rPr>
      </w:pPr>
      <w:r>
        <w:rPr>
          <w:rFonts w:eastAsia="仿宋"/>
          <w:sz w:val="24"/>
        </w:rPr>
        <w:t>1.6.4 任何一方按照前述约定要求违约方支付违约金的同时，仍有权要求违约方继续履行合同、采取补救措施，并有权按照己方实际损失情况要求违约方赔偿损失；任何一方按照前述约定要求解除本合同的同时，仍有权要求违约方支付违约金和按照己方实际损失情况要求违约方赔偿损失；且守约方行使的任何权利救济方式均不视为其放弃了其他法定或者约定的权利救济方式；</w:t>
      </w:r>
    </w:p>
    <w:p w14:paraId="548E38FE">
      <w:pPr>
        <w:spacing w:line="560" w:lineRule="exact"/>
        <w:ind w:firstLine="480" w:firstLineChars="200"/>
        <w:rPr>
          <w:rFonts w:eastAsia="仿宋"/>
          <w:sz w:val="24"/>
        </w:rPr>
      </w:pPr>
      <w:r>
        <w:rPr>
          <w:rFonts w:eastAsia="仿宋"/>
          <w:sz w:val="24"/>
        </w:rPr>
        <w:t>1.6.5 除前述约定外，除不可抗力外，任何一方未能履行本合同约定的义务，对方当事人均有权要求继续履行、采取补救措施或者赔偿损失等，且对方当事人行使的任何权利救济方式均不视为其放弃了其他法定或者约定的权利救济方式；</w:t>
      </w:r>
    </w:p>
    <w:p w14:paraId="6F2D584A">
      <w:pPr>
        <w:spacing w:line="560" w:lineRule="exact"/>
        <w:ind w:firstLine="480" w:firstLineChars="200"/>
        <w:rPr>
          <w:rFonts w:eastAsia="仿宋"/>
          <w:sz w:val="24"/>
        </w:rPr>
      </w:pPr>
      <w:r>
        <w:rPr>
          <w:rFonts w:eastAsia="仿宋"/>
          <w:sz w:val="24"/>
        </w:rPr>
        <w:t>1.6.6 如果出现政府采购监督管理部门在处理投诉事项期间，书面通知甲方暂停采购活动的情形，或者询问或质疑事项可能影响成交结果的，导致甲方中止履行合同的情形，均不视为甲方违约。</w:t>
      </w:r>
    </w:p>
    <w:p w14:paraId="39A0FDED">
      <w:pPr>
        <w:spacing w:line="560" w:lineRule="exact"/>
        <w:ind w:firstLine="482" w:firstLineChars="200"/>
        <w:outlineLvl w:val="2"/>
        <w:rPr>
          <w:rFonts w:eastAsia="仿宋"/>
          <w:b/>
          <w:sz w:val="24"/>
        </w:rPr>
      </w:pPr>
      <w:bookmarkStart w:id="55" w:name="_Toc9497"/>
      <w:bookmarkStart w:id="56" w:name="_Toc32454"/>
      <w:bookmarkStart w:id="57" w:name="_Toc30329"/>
      <w:bookmarkStart w:id="58" w:name="_Toc18683"/>
      <w:bookmarkStart w:id="59" w:name="_Toc26807"/>
      <w:r>
        <w:rPr>
          <w:rFonts w:eastAsia="仿宋"/>
          <w:b/>
          <w:sz w:val="24"/>
        </w:rPr>
        <w:t>1.7 合同争议的解决</w:t>
      </w:r>
      <w:bookmarkEnd w:id="55"/>
      <w:bookmarkEnd w:id="56"/>
      <w:bookmarkEnd w:id="57"/>
      <w:bookmarkEnd w:id="58"/>
      <w:bookmarkEnd w:id="59"/>
    </w:p>
    <w:p w14:paraId="703A4E6D">
      <w:pPr>
        <w:spacing w:line="560" w:lineRule="exact"/>
        <w:ind w:firstLine="480" w:firstLineChars="200"/>
        <w:rPr>
          <w:rFonts w:eastAsia="仿宋"/>
          <w:sz w:val="24"/>
        </w:rPr>
      </w:pPr>
      <w:r>
        <w:rPr>
          <w:rFonts w:eastAsia="仿宋"/>
          <w:sz w:val="24"/>
        </w:rPr>
        <w:t>本合同履行过程中发生的任何争议，双方当事人均可通过和解或者调解解决；不愿和解、调解或者和解、调解不成的，可以选择下列第</w:t>
      </w:r>
      <w:r>
        <w:rPr>
          <w:rFonts w:eastAsia="仿宋"/>
          <w:sz w:val="24"/>
          <w:u w:val="single"/>
        </w:rPr>
        <w:t xml:space="preserve"> 2 </w:t>
      </w:r>
      <w:r>
        <w:rPr>
          <w:rFonts w:eastAsia="仿宋"/>
          <w:sz w:val="24"/>
        </w:rPr>
        <w:t>种方式解决：</w:t>
      </w:r>
    </w:p>
    <w:p w14:paraId="07DFA9EE">
      <w:pPr>
        <w:spacing w:line="560" w:lineRule="exact"/>
        <w:ind w:firstLine="480" w:firstLineChars="200"/>
        <w:rPr>
          <w:rFonts w:eastAsia="仿宋"/>
          <w:sz w:val="24"/>
        </w:rPr>
      </w:pPr>
      <w:r>
        <w:rPr>
          <w:rFonts w:eastAsia="仿宋"/>
          <w:sz w:val="24"/>
        </w:rPr>
        <w:t>1.7.1 将争议提交</w:t>
      </w:r>
      <w:r>
        <w:rPr>
          <w:rFonts w:eastAsia="仿宋"/>
          <w:sz w:val="24"/>
          <w:u w:val="single"/>
        </w:rPr>
        <w:t xml:space="preserve">              </w:t>
      </w:r>
      <w:r>
        <w:rPr>
          <w:rFonts w:eastAsia="仿宋"/>
          <w:sz w:val="24"/>
        </w:rPr>
        <w:t>仲裁委员会依申请仲裁时其现行有效的仲裁规则裁决；</w:t>
      </w:r>
    </w:p>
    <w:p w14:paraId="2A86CC87">
      <w:pPr>
        <w:spacing w:line="560" w:lineRule="exact"/>
        <w:ind w:firstLine="480" w:firstLineChars="200"/>
        <w:outlineLvl w:val="3"/>
        <w:rPr>
          <w:rFonts w:eastAsia="仿宋"/>
          <w:sz w:val="24"/>
        </w:rPr>
      </w:pPr>
      <w:r>
        <w:rPr>
          <w:rFonts w:eastAsia="仿宋"/>
          <w:sz w:val="24"/>
        </w:rPr>
        <w:t>1.7.2 向</w:t>
      </w:r>
      <w:r>
        <w:rPr>
          <w:rFonts w:eastAsia="仿宋"/>
          <w:sz w:val="24"/>
          <w:u w:val="single"/>
        </w:rPr>
        <w:t xml:space="preserve">合同履行地 </w:t>
      </w:r>
      <w:r>
        <w:rPr>
          <w:rFonts w:eastAsia="仿宋"/>
          <w:sz w:val="24"/>
        </w:rPr>
        <w:t>人民法院起诉。</w:t>
      </w:r>
    </w:p>
    <w:p w14:paraId="1061324F">
      <w:pPr>
        <w:spacing w:line="560" w:lineRule="exact"/>
        <w:ind w:firstLine="482" w:firstLineChars="200"/>
        <w:outlineLvl w:val="2"/>
        <w:rPr>
          <w:rFonts w:eastAsia="仿宋"/>
          <w:b/>
          <w:sz w:val="24"/>
        </w:rPr>
      </w:pPr>
      <w:bookmarkStart w:id="60" w:name="_Toc23784"/>
      <w:bookmarkStart w:id="61" w:name="_Toc15827"/>
      <w:bookmarkStart w:id="62" w:name="_Toc16417"/>
      <w:bookmarkStart w:id="63" w:name="_Toc12273"/>
      <w:bookmarkStart w:id="64" w:name="_Toc26227"/>
      <w:r>
        <w:rPr>
          <w:rFonts w:eastAsia="仿宋"/>
          <w:b/>
          <w:sz w:val="24"/>
        </w:rPr>
        <w:t>1.8 合同生效</w:t>
      </w:r>
      <w:bookmarkEnd w:id="60"/>
      <w:bookmarkEnd w:id="61"/>
      <w:bookmarkEnd w:id="62"/>
      <w:bookmarkEnd w:id="63"/>
      <w:bookmarkEnd w:id="64"/>
    </w:p>
    <w:p w14:paraId="7BD3BD50">
      <w:pPr>
        <w:spacing w:line="560" w:lineRule="exact"/>
        <w:ind w:firstLine="480" w:firstLineChars="200"/>
        <w:rPr>
          <w:rFonts w:eastAsia="仿宋"/>
          <w:b/>
          <w:sz w:val="24"/>
        </w:rPr>
      </w:pPr>
      <w:r>
        <w:rPr>
          <w:rFonts w:eastAsia="仿宋"/>
          <w:sz w:val="24"/>
        </w:rPr>
        <w:t>本合同自双方当事人盖章或者签字时生效。</w:t>
      </w:r>
    </w:p>
    <w:p w14:paraId="0512A43F">
      <w:pPr>
        <w:autoSpaceDE w:val="0"/>
        <w:autoSpaceDN w:val="0"/>
        <w:adjustRightInd w:val="0"/>
        <w:spacing w:line="560" w:lineRule="exact"/>
        <w:rPr>
          <w:rFonts w:eastAsia="仿宋"/>
          <w:sz w:val="24"/>
          <w:lang w:val="zh-CN"/>
        </w:rPr>
      </w:pPr>
    </w:p>
    <w:p w14:paraId="3733B3DE">
      <w:pPr>
        <w:autoSpaceDE w:val="0"/>
        <w:autoSpaceDN w:val="0"/>
        <w:adjustRightInd w:val="0"/>
        <w:spacing w:line="560" w:lineRule="exact"/>
        <w:rPr>
          <w:rFonts w:eastAsia="仿宋"/>
          <w:sz w:val="24"/>
          <w:lang w:val="zh-CN"/>
        </w:rPr>
      </w:pPr>
      <w:r>
        <w:rPr>
          <w:rFonts w:eastAsia="仿宋"/>
          <w:b/>
          <w:sz w:val="24"/>
          <w:lang w:val="zh-CN"/>
        </w:rPr>
        <w:t>甲方</w:t>
      </w:r>
      <w:r>
        <w:rPr>
          <w:rFonts w:eastAsia="仿宋"/>
          <w:sz w:val="24"/>
          <w:lang w:val="zh-CN"/>
        </w:rPr>
        <w:t xml:space="preserve">：                             </w:t>
      </w:r>
      <w:r>
        <w:rPr>
          <w:rFonts w:eastAsia="仿宋"/>
          <w:b/>
          <w:sz w:val="24"/>
          <w:lang w:val="zh-CN"/>
        </w:rPr>
        <w:t xml:space="preserve">      乙方</w:t>
      </w:r>
      <w:r>
        <w:rPr>
          <w:rFonts w:eastAsia="仿宋"/>
          <w:sz w:val="24"/>
          <w:lang w:val="zh-CN"/>
        </w:rPr>
        <w:t>：</w:t>
      </w:r>
    </w:p>
    <w:p w14:paraId="55882137">
      <w:pPr>
        <w:autoSpaceDE w:val="0"/>
        <w:autoSpaceDN w:val="0"/>
        <w:adjustRightInd w:val="0"/>
        <w:spacing w:line="560" w:lineRule="exact"/>
        <w:rPr>
          <w:rFonts w:eastAsia="仿宋"/>
          <w:sz w:val="24"/>
          <w:lang w:val="zh-CN"/>
        </w:rPr>
      </w:pPr>
      <w:r>
        <w:rPr>
          <w:rFonts w:eastAsia="仿宋"/>
          <w:sz w:val="24"/>
          <w:lang w:val="zh-CN"/>
        </w:rPr>
        <w:t>统一社会信用代码：                        统一社会信用代码或身份证号码：</w:t>
      </w:r>
    </w:p>
    <w:p w14:paraId="626F2574">
      <w:pPr>
        <w:autoSpaceDE w:val="0"/>
        <w:autoSpaceDN w:val="0"/>
        <w:adjustRightInd w:val="0"/>
        <w:spacing w:line="560" w:lineRule="exact"/>
        <w:rPr>
          <w:rFonts w:eastAsia="仿宋"/>
          <w:sz w:val="24"/>
          <w:lang w:val="zh-CN"/>
        </w:rPr>
      </w:pPr>
    </w:p>
    <w:p w14:paraId="5CFCB140">
      <w:pPr>
        <w:autoSpaceDE w:val="0"/>
        <w:autoSpaceDN w:val="0"/>
        <w:adjustRightInd w:val="0"/>
        <w:spacing w:line="560" w:lineRule="exact"/>
        <w:rPr>
          <w:rFonts w:eastAsia="仿宋"/>
          <w:sz w:val="24"/>
          <w:lang w:val="zh-CN"/>
        </w:rPr>
      </w:pPr>
      <w:r>
        <w:rPr>
          <w:rFonts w:eastAsia="仿宋"/>
          <w:sz w:val="24"/>
          <w:lang w:val="zh-CN"/>
        </w:rPr>
        <w:t>住所：                                   住所：</w:t>
      </w:r>
    </w:p>
    <w:p w14:paraId="6528C37B">
      <w:pPr>
        <w:autoSpaceDE w:val="0"/>
        <w:autoSpaceDN w:val="0"/>
        <w:adjustRightInd w:val="0"/>
        <w:spacing w:line="560" w:lineRule="exact"/>
        <w:rPr>
          <w:rFonts w:eastAsia="仿宋"/>
          <w:sz w:val="24"/>
          <w:lang w:val="zh-CN"/>
        </w:rPr>
      </w:pPr>
      <w:r>
        <w:rPr>
          <w:rFonts w:eastAsia="仿宋"/>
          <w:sz w:val="24"/>
          <w:lang w:val="zh-CN"/>
        </w:rPr>
        <w:t>法定代表人或                             法定代表人</w:t>
      </w:r>
    </w:p>
    <w:p w14:paraId="67E040B7">
      <w:pPr>
        <w:autoSpaceDE w:val="0"/>
        <w:autoSpaceDN w:val="0"/>
        <w:adjustRightInd w:val="0"/>
        <w:spacing w:line="560" w:lineRule="exact"/>
        <w:rPr>
          <w:rFonts w:eastAsia="仿宋"/>
          <w:sz w:val="24"/>
          <w:lang w:val="zh-CN"/>
        </w:rPr>
      </w:pPr>
      <w:r>
        <w:rPr>
          <w:rFonts w:eastAsia="仿宋"/>
          <w:sz w:val="24"/>
          <w:lang w:val="zh-CN"/>
        </w:rPr>
        <w:t xml:space="preserve">授权代表（签字）：                        或授权代表（签字）: </w:t>
      </w:r>
    </w:p>
    <w:p w14:paraId="211F9010">
      <w:pPr>
        <w:autoSpaceDE w:val="0"/>
        <w:autoSpaceDN w:val="0"/>
        <w:adjustRightInd w:val="0"/>
        <w:spacing w:line="560" w:lineRule="exact"/>
        <w:rPr>
          <w:rFonts w:eastAsia="仿宋"/>
          <w:sz w:val="24"/>
          <w:lang w:val="zh-CN"/>
        </w:rPr>
      </w:pPr>
      <w:r>
        <w:rPr>
          <w:rFonts w:eastAsia="仿宋"/>
          <w:sz w:val="24"/>
          <w:lang w:val="zh-CN"/>
        </w:rPr>
        <w:t>联系人：                                 联系人：</w:t>
      </w:r>
    </w:p>
    <w:p w14:paraId="52E678A6">
      <w:pPr>
        <w:autoSpaceDE w:val="0"/>
        <w:autoSpaceDN w:val="0"/>
        <w:adjustRightInd w:val="0"/>
        <w:spacing w:line="560" w:lineRule="exact"/>
        <w:rPr>
          <w:rFonts w:eastAsia="仿宋"/>
          <w:sz w:val="24"/>
          <w:lang w:val="zh-CN"/>
        </w:rPr>
      </w:pPr>
      <w:r>
        <w:rPr>
          <w:rFonts w:eastAsia="仿宋"/>
          <w:sz w:val="24"/>
          <w:lang w:val="zh-CN"/>
        </w:rPr>
        <w:t>约定送达地址：                           约定送达地址：</w:t>
      </w:r>
    </w:p>
    <w:p w14:paraId="6EAF530A">
      <w:pPr>
        <w:autoSpaceDE w:val="0"/>
        <w:autoSpaceDN w:val="0"/>
        <w:adjustRightInd w:val="0"/>
        <w:spacing w:line="560" w:lineRule="exact"/>
        <w:rPr>
          <w:rFonts w:eastAsia="仿宋"/>
          <w:sz w:val="24"/>
          <w:lang w:val="zh-CN"/>
        </w:rPr>
      </w:pPr>
      <w:r>
        <w:rPr>
          <w:rFonts w:eastAsia="仿宋"/>
          <w:sz w:val="24"/>
          <w:lang w:val="zh-CN"/>
        </w:rPr>
        <w:t>邮政编码：                               邮政编码：</w:t>
      </w:r>
    </w:p>
    <w:p w14:paraId="5711A58F">
      <w:pPr>
        <w:autoSpaceDE w:val="0"/>
        <w:autoSpaceDN w:val="0"/>
        <w:adjustRightInd w:val="0"/>
        <w:spacing w:line="560" w:lineRule="exact"/>
        <w:rPr>
          <w:rFonts w:eastAsia="仿宋"/>
          <w:sz w:val="24"/>
          <w:lang w:val="zh-CN"/>
        </w:rPr>
      </w:pPr>
      <w:r>
        <w:rPr>
          <w:rFonts w:eastAsia="仿宋"/>
          <w:sz w:val="24"/>
          <w:lang w:val="zh-CN"/>
        </w:rPr>
        <w:t xml:space="preserve">电话:                                    电话: </w:t>
      </w:r>
    </w:p>
    <w:p w14:paraId="5B0953C3">
      <w:pPr>
        <w:autoSpaceDE w:val="0"/>
        <w:autoSpaceDN w:val="0"/>
        <w:adjustRightInd w:val="0"/>
        <w:spacing w:line="560" w:lineRule="exact"/>
        <w:rPr>
          <w:rFonts w:eastAsia="仿宋"/>
          <w:sz w:val="24"/>
          <w:lang w:val="zh-CN"/>
        </w:rPr>
      </w:pPr>
      <w:r>
        <w:rPr>
          <w:rFonts w:eastAsia="仿宋"/>
          <w:sz w:val="24"/>
          <w:lang w:val="zh-CN"/>
        </w:rPr>
        <w:t>传真:                                    传真:</w:t>
      </w:r>
    </w:p>
    <w:p w14:paraId="0FDF4080">
      <w:pPr>
        <w:autoSpaceDE w:val="0"/>
        <w:autoSpaceDN w:val="0"/>
        <w:adjustRightInd w:val="0"/>
        <w:spacing w:line="560" w:lineRule="exact"/>
        <w:rPr>
          <w:rFonts w:eastAsia="仿宋"/>
          <w:sz w:val="24"/>
        </w:rPr>
      </w:pPr>
      <w:r>
        <w:rPr>
          <w:rFonts w:eastAsia="仿宋"/>
          <w:sz w:val="24"/>
          <w:lang w:val="zh-CN"/>
        </w:rPr>
        <w:t>电子邮箱：                               电子邮箱：</w:t>
      </w:r>
    </w:p>
    <w:p w14:paraId="02BA2E1E">
      <w:pPr>
        <w:autoSpaceDE w:val="0"/>
        <w:autoSpaceDN w:val="0"/>
        <w:adjustRightInd w:val="0"/>
        <w:spacing w:line="560" w:lineRule="exact"/>
        <w:rPr>
          <w:rFonts w:eastAsia="仿宋"/>
          <w:sz w:val="24"/>
        </w:rPr>
      </w:pPr>
      <w:r>
        <w:rPr>
          <w:rFonts w:eastAsia="仿宋"/>
          <w:sz w:val="24"/>
        </w:rPr>
        <w:t xml:space="preserve">开户银行：                               开户银行： </w:t>
      </w:r>
    </w:p>
    <w:p w14:paraId="3B87F08B">
      <w:pPr>
        <w:autoSpaceDE w:val="0"/>
        <w:autoSpaceDN w:val="0"/>
        <w:adjustRightInd w:val="0"/>
        <w:spacing w:line="560" w:lineRule="exact"/>
        <w:rPr>
          <w:rFonts w:eastAsia="仿宋"/>
          <w:sz w:val="24"/>
        </w:rPr>
      </w:pPr>
      <w:r>
        <w:rPr>
          <w:rFonts w:eastAsia="仿宋"/>
          <w:sz w:val="24"/>
        </w:rPr>
        <w:t xml:space="preserve">开户名称：                               开户名称： </w:t>
      </w:r>
    </w:p>
    <w:p w14:paraId="6923CE73">
      <w:pPr>
        <w:autoSpaceDE w:val="0"/>
        <w:autoSpaceDN w:val="0"/>
        <w:adjustRightInd w:val="0"/>
        <w:spacing w:line="560" w:lineRule="exact"/>
        <w:rPr>
          <w:rFonts w:eastAsia="仿宋"/>
          <w:sz w:val="24"/>
        </w:rPr>
      </w:pPr>
      <w:r>
        <w:rPr>
          <w:rFonts w:eastAsia="仿宋"/>
          <w:sz w:val="24"/>
        </w:rPr>
        <w:t>开户账号：</w:t>
      </w:r>
      <w:r>
        <w:rPr>
          <w:rFonts w:eastAsia="仿宋"/>
          <w:sz w:val="24"/>
          <w:lang w:val="zh-CN"/>
        </w:rPr>
        <w:t xml:space="preserve">                               </w:t>
      </w:r>
      <w:r>
        <w:rPr>
          <w:rFonts w:eastAsia="仿宋"/>
          <w:sz w:val="24"/>
        </w:rPr>
        <w:t>开户账号：</w:t>
      </w:r>
    </w:p>
    <w:p w14:paraId="1DB40D56">
      <w:pPr>
        <w:widowControl/>
        <w:spacing w:line="560" w:lineRule="exact"/>
        <w:jc w:val="left"/>
        <w:rPr>
          <w:rFonts w:eastAsia="仿宋"/>
          <w:b/>
        </w:rPr>
      </w:pPr>
      <w:bookmarkStart w:id="65" w:name="_Toc331685783"/>
    </w:p>
    <w:p w14:paraId="1F7063E0">
      <w:pPr>
        <w:widowControl/>
        <w:spacing w:line="560" w:lineRule="exact"/>
        <w:jc w:val="left"/>
        <w:rPr>
          <w:rFonts w:eastAsia="仿宋"/>
          <w:b/>
        </w:rPr>
      </w:pPr>
    </w:p>
    <w:p w14:paraId="35B454BA">
      <w:pPr>
        <w:widowControl/>
        <w:spacing w:line="560" w:lineRule="exact"/>
        <w:jc w:val="left"/>
        <w:rPr>
          <w:rFonts w:eastAsia="仿宋"/>
          <w:b/>
          <w:kern w:val="0"/>
          <w:sz w:val="24"/>
        </w:rPr>
      </w:pPr>
    </w:p>
    <w:p w14:paraId="622340EE">
      <w:pPr>
        <w:widowControl/>
        <w:spacing w:line="560" w:lineRule="exact"/>
        <w:jc w:val="left"/>
        <w:rPr>
          <w:rFonts w:eastAsia="仿宋"/>
          <w:b/>
          <w:kern w:val="0"/>
          <w:sz w:val="24"/>
        </w:rPr>
      </w:pPr>
    </w:p>
    <w:p w14:paraId="7D7ED0BC">
      <w:pPr>
        <w:widowControl/>
        <w:spacing w:line="560" w:lineRule="exact"/>
        <w:jc w:val="left"/>
        <w:rPr>
          <w:rFonts w:eastAsia="仿宋"/>
          <w:b/>
          <w:kern w:val="0"/>
          <w:sz w:val="24"/>
        </w:rPr>
      </w:pPr>
    </w:p>
    <w:p w14:paraId="051ABA2E">
      <w:pPr>
        <w:pStyle w:val="19"/>
        <w:rPr>
          <w:rFonts w:ascii="Times New Roman" w:hAnsi="Times New Roman" w:eastAsia="仿宋" w:cs="Times New Roman"/>
          <w:b/>
          <w:kern w:val="0"/>
          <w:sz w:val="24"/>
        </w:rPr>
      </w:pPr>
    </w:p>
    <w:p w14:paraId="6D65302E">
      <w:pPr>
        <w:pStyle w:val="19"/>
        <w:rPr>
          <w:rFonts w:ascii="Times New Roman" w:hAnsi="Times New Roman" w:eastAsia="仿宋" w:cs="Times New Roman"/>
          <w:b/>
          <w:kern w:val="0"/>
          <w:sz w:val="24"/>
        </w:rPr>
      </w:pPr>
    </w:p>
    <w:p w14:paraId="5DF63AC3">
      <w:pPr>
        <w:pStyle w:val="19"/>
        <w:rPr>
          <w:rFonts w:ascii="Times New Roman" w:hAnsi="Times New Roman" w:eastAsia="仿宋" w:cs="Times New Roman"/>
          <w:b/>
          <w:kern w:val="0"/>
          <w:sz w:val="24"/>
        </w:rPr>
      </w:pPr>
    </w:p>
    <w:p w14:paraId="4A3933F7">
      <w:pPr>
        <w:pStyle w:val="19"/>
        <w:rPr>
          <w:rFonts w:ascii="Times New Roman" w:hAnsi="Times New Roman" w:eastAsia="仿宋" w:cs="Times New Roman"/>
          <w:b/>
          <w:kern w:val="0"/>
          <w:sz w:val="24"/>
        </w:rPr>
      </w:pPr>
    </w:p>
    <w:p w14:paraId="0F8B5E81">
      <w:pPr>
        <w:pStyle w:val="19"/>
        <w:rPr>
          <w:rFonts w:ascii="Times New Roman" w:hAnsi="Times New Roman" w:eastAsia="仿宋" w:cs="Times New Roman"/>
          <w:b/>
          <w:kern w:val="0"/>
          <w:sz w:val="24"/>
        </w:rPr>
      </w:pPr>
    </w:p>
    <w:p w14:paraId="70B5312F">
      <w:pPr>
        <w:pStyle w:val="19"/>
        <w:rPr>
          <w:rFonts w:ascii="Times New Roman" w:hAnsi="Times New Roman" w:eastAsia="仿宋" w:cs="Times New Roman"/>
          <w:b/>
          <w:kern w:val="0"/>
          <w:sz w:val="24"/>
        </w:rPr>
      </w:pPr>
    </w:p>
    <w:p w14:paraId="722CCC5C">
      <w:pPr>
        <w:pStyle w:val="19"/>
        <w:rPr>
          <w:rFonts w:ascii="Times New Roman" w:hAnsi="Times New Roman" w:eastAsia="仿宋" w:cs="Times New Roman"/>
          <w:b/>
          <w:kern w:val="0"/>
          <w:sz w:val="24"/>
        </w:rPr>
      </w:pPr>
    </w:p>
    <w:p w14:paraId="3BA8E207">
      <w:pPr>
        <w:pStyle w:val="6"/>
        <w:ind w:firstLine="482"/>
        <w:rPr>
          <w:rFonts w:eastAsia="仿宋"/>
          <w:b/>
          <w:kern w:val="0"/>
          <w:sz w:val="24"/>
        </w:rPr>
      </w:pPr>
    </w:p>
    <w:p w14:paraId="58F40314">
      <w:pPr>
        <w:pStyle w:val="55"/>
        <w:spacing w:line="560" w:lineRule="exact"/>
        <w:ind w:firstLine="0"/>
        <w:jc w:val="center"/>
        <w:outlineLvl w:val="1"/>
        <w:rPr>
          <w:rFonts w:ascii="Times New Roman" w:eastAsia="仿宋"/>
          <w:b/>
          <w:szCs w:val="24"/>
        </w:rPr>
      </w:pPr>
      <w:r>
        <w:rPr>
          <w:rFonts w:ascii="Times New Roman" w:eastAsia="仿宋"/>
          <w:b/>
          <w:szCs w:val="24"/>
        </w:rPr>
        <w:t>第二部分 合同一般条款</w:t>
      </w:r>
      <w:bookmarkEnd w:id="65"/>
    </w:p>
    <w:p w14:paraId="2426FC9F">
      <w:pPr>
        <w:spacing w:line="560" w:lineRule="exact"/>
        <w:ind w:firstLine="482" w:firstLineChars="200"/>
        <w:outlineLvl w:val="2"/>
        <w:rPr>
          <w:rFonts w:eastAsia="仿宋"/>
          <w:b/>
          <w:sz w:val="24"/>
        </w:rPr>
      </w:pPr>
      <w:bookmarkStart w:id="66" w:name="_Ref467379225"/>
      <w:bookmarkStart w:id="67" w:name="_Ref467379094"/>
      <w:bookmarkStart w:id="68" w:name="_Toc259093669"/>
      <w:bookmarkStart w:id="69" w:name="_Toc5228"/>
      <w:bookmarkStart w:id="70" w:name="_Ref467379101"/>
      <w:bookmarkStart w:id="71" w:name="_Toc14021"/>
      <w:bookmarkStart w:id="72" w:name="_Ref467379195"/>
      <w:bookmarkStart w:id="73" w:name="_Ref467379205"/>
      <w:bookmarkStart w:id="74" w:name="_Toc279701240"/>
      <w:bookmarkStart w:id="75" w:name="_Ref467379109"/>
      <w:bookmarkStart w:id="76" w:name="_Ref467378404"/>
      <w:bookmarkStart w:id="77" w:name="_Toc19680"/>
      <w:bookmarkStart w:id="78" w:name="_Ref467379214"/>
      <w:bookmarkStart w:id="79" w:name="_Toc31297"/>
      <w:bookmarkStart w:id="80" w:name="_Ref467378499"/>
      <w:bookmarkStart w:id="81" w:name="_Toc487900349"/>
      <w:bookmarkStart w:id="82" w:name="_Ref467378463"/>
      <w:bookmarkStart w:id="83" w:name="_Toc25079"/>
      <w:r>
        <w:rPr>
          <w:rFonts w:eastAsia="仿宋"/>
          <w:b/>
          <w:sz w:val="24"/>
        </w:rPr>
        <w:t>2.1 定义</w:t>
      </w:r>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p>
    <w:p w14:paraId="06B617E3">
      <w:pPr>
        <w:spacing w:line="560" w:lineRule="exact"/>
        <w:ind w:firstLine="480" w:firstLineChars="200"/>
        <w:rPr>
          <w:rFonts w:eastAsia="仿宋"/>
          <w:sz w:val="24"/>
        </w:rPr>
      </w:pPr>
      <w:r>
        <w:rPr>
          <w:rFonts w:eastAsia="仿宋"/>
          <w:sz w:val="24"/>
        </w:rPr>
        <w:t>本合同中的下列词语应按以下内容进行解释：</w:t>
      </w:r>
    </w:p>
    <w:p w14:paraId="12BF14D1">
      <w:pPr>
        <w:spacing w:line="560" w:lineRule="exact"/>
        <w:ind w:firstLine="480" w:firstLineChars="200"/>
        <w:rPr>
          <w:rFonts w:eastAsia="仿宋"/>
          <w:sz w:val="24"/>
        </w:rPr>
      </w:pPr>
      <w:r>
        <w:rPr>
          <w:rFonts w:eastAsia="仿宋"/>
          <w:sz w:val="24"/>
        </w:rPr>
        <w:t>2.1.1 “合同”系指采购人和成交供应商签订的载明双方当事人所达成的协议，并包括所有的附件、附录和构成合同的其他文件。</w:t>
      </w:r>
    </w:p>
    <w:p w14:paraId="478E55FD">
      <w:pPr>
        <w:spacing w:line="560" w:lineRule="exact"/>
        <w:ind w:firstLine="480" w:firstLineChars="200"/>
        <w:rPr>
          <w:rFonts w:eastAsia="仿宋"/>
          <w:sz w:val="24"/>
        </w:rPr>
      </w:pPr>
      <w:r>
        <w:rPr>
          <w:rFonts w:eastAsia="仿宋"/>
          <w:sz w:val="24"/>
        </w:rPr>
        <w:t>2.1.2 “合同价”系指根据合同约定，成交供应商在完全履行合同义务后，采购人应支付给成交供应商的价格。</w:t>
      </w:r>
    </w:p>
    <w:p w14:paraId="3A85B05D">
      <w:pPr>
        <w:spacing w:line="560" w:lineRule="exact"/>
        <w:ind w:firstLine="480" w:firstLineChars="200"/>
        <w:rPr>
          <w:rFonts w:eastAsia="仿宋"/>
          <w:sz w:val="24"/>
        </w:rPr>
      </w:pPr>
      <w:r>
        <w:rPr>
          <w:rFonts w:eastAsia="仿宋"/>
          <w:sz w:val="24"/>
        </w:rPr>
        <w:t>2.1.3 “服务”系指成交供应商根据合同约定应向采购人履行的除货物和工程以外的其他政府采购对象，包括采购人自身需要的服务和向社会公众提供的公共服务。</w:t>
      </w:r>
    </w:p>
    <w:p w14:paraId="35CBB761">
      <w:pPr>
        <w:spacing w:line="560" w:lineRule="exact"/>
        <w:ind w:firstLine="480" w:firstLineChars="200"/>
        <w:rPr>
          <w:rFonts w:eastAsia="仿宋"/>
          <w:sz w:val="24"/>
        </w:rPr>
      </w:pPr>
      <w:bookmarkStart w:id="84" w:name="_Ref467378840"/>
      <w:r>
        <w:rPr>
          <w:rFonts w:eastAsia="仿宋"/>
          <w:sz w:val="24"/>
        </w:rPr>
        <w:t>2.1.4 “甲方”系指与成交供应商签署合同的采购人</w:t>
      </w:r>
      <w:bookmarkEnd w:id="84"/>
      <w:r>
        <w:rPr>
          <w:rFonts w:eastAsia="仿宋"/>
          <w:sz w:val="24"/>
        </w:rPr>
        <w:t>；采购人委托采购代理机构代表其与乙方签订合同的，采购人的授权委托书作为合同附件。</w:t>
      </w:r>
    </w:p>
    <w:p w14:paraId="6346C4AD">
      <w:pPr>
        <w:spacing w:line="560" w:lineRule="exact"/>
        <w:ind w:firstLine="480" w:firstLineChars="200"/>
        <w:rPr>
          <w:rFonts w:eastAsia="仿宋"/>
          <w:sz w:val="24"/>
        </w:rPr>
      </w:pPr>
      <w:bookmarkStart w:id="85" w:name="_Ref467379400"/>
      <w:r>
        <w:rPr>
          <w:rFonts w:eastAsia="仿宋"/>
          <w:sz w:val="24"/>
        </w:rPr>
        <w:t>2.1.5 “乙方”系指根据合同约定提供服务的成交供应商</w:t>
      </w:r>
      <w:bookmarkEnd w:id="85"/>
      <w:r>
        <w:rPr>
          <w:rFonts w:eastAsia="仿宋"/>
          <w:sz w:val="24"/>
        </w:rPr>
        <w:t>；两个以上的自然人、法人或者其他组织组成一个联合体，以一个供应商的身份共同参加政府采购的，联合体各方均应为乙方或者与乙方相同地位的合同当事人，并就合同约定的事项对甲方承担连带责任。</w:t>
      </w:r>
    </w:p>
    <w:p w14:paraId="2CF402C8">
      <w:pPr>
        <w:spacing w:line="560" w:lineRule="exact"/>
        <w:ind w:firstLine="480" w:firstLineChars="200"/>
        <w:outlineLvl w:val="3"/>
        <w:rPr>
          <w:rFonts w:eastAsia="仿宋"/>
          <w:sz w:val="24"/>
        </w:rPr>
      </w:pPr>
      <w:bookmarkStart w:id="86" w:name="_Ref467379436"/>
      <w:r>
        <w:rPr>
          <w:rFonts w:eastAsia="仿宋"/>
          <w:sz w:val="24"/>
        </w:rPr>
        <w:t>2.1.6 “现场”系指合同约定提供服务的地点。</w:t>
      </w:r>
      <w:bookmarkEnd w:id="86"/>
    </w:p>
    <w:p w14:paraId="281B75A5">
      <w:pPr>
        <w:spacing w:line="560" w:lineRule="exact"/>
        <w:ind w:firstLine="482" w:firstLineChars="200"/>
        <w:outlineLvl w:val="2"/>
        <w:rPr>
          <w:rFonts w:eastAsia="仿宋"/>
          <w:b/>
          <w:sz w:val="24"/>
        </w:rPr>
      </w:pPr>
      <w:bookmarkStart w:id="87" w:name="_Toc487900350"/>
      <w:bookmarkStart w:id="88" w:name="_Toc31402"/>
      <w:bookmarkStart w:id="89" w:name="_Toc19539"/>
      <w:bookmarkStart w:id="90" w:name="_Toc259093670"/>
      <w:bookmarkStart w:id="91" w:name="_Toc23289"/>
      <w:bookmarkStart w:id="92" w:name="_Toc3769"/>
      <w:bookmarkStart w:id="93" w:name="_Toc279701241"/>
      <w:bookmarkStart w:id="94" w:name="_Toc16752"/>
      <w:r>
        <w:rPr>
          <w:rFonts w:eastAsia="仿宋"/>
          <w:b/>
          <w:sz w:val="24"/>
        </w:rPr>
        <w:t>2.2 技术规范</w:t>
      </w:r>
      <w:bookmarkEnd w:id="87"/>
      <w:bookmarkEnd w:id="88"/>
      <w:bookmarkEnd w:id="89"/>
      <w:bookmarkEnd w:id="90"/>
      <w:bookmarkEnd w:id="91"/>
      <w:bookmarkEnd w:id="92"/>
      <w:bookmarkEnd w:id="93"/>
      <w:bookmarkEnd w:id="94"/>
    </w:p>
    <w:p w14:paraId="407CFD41">
      <w:pPr>
        <w:spacing w:line="560" w:lineRule="exact"/>
        <w:ind w:firstLine="480" w:firstLineChars="200"/>
        <w:rPr>
          <w:rFonts w:eastAsia="仿宋"/>
          <w:sz w:val="24"/>
        </w:rPr>
      </w:pPr>
      <w:r>
        <w:rPr>
          <w:rFonts w:eastAsia="仿宋"/>
          <w:sz w:val="24"/>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14:paraId="160C76F0">
      <w:pPr>
        <w:spacing w:line="560" w:lineRule="exact"/>
        <w:ind w:firstLine="482" w:firstLineChars="200"/>
        <w:outlineLvl w:val="2"/>
        <w:rPr>
          <w:rFonts w:eastAsia="仿宋"/>
          <w:b/>
          <w:sz w:val="24"/>
        </w:rPr>
      </w:pPr>
      <w:bookmarkStart w:id="95" w:name="_Toc13673"/>
      <w:bookmarkStart w:id="96" w:name="_Toc259093671"/>
      <w:bookmarkStart w:id="97" w:name="_Toc487900351"/>
      <w:bookmarkStart w:id="98" w:name="_Toc12412"/>
      <w:bookmarkStart w:id="99" w:name="_Toc4133"/>
      <w:bookmarkStart w:id="100" w:name="_Toc27945"/>
      <w:bookmarkStart w:id="101" w:name="_Toc279701242"/>
      <w:bookmarkStart w:id="102" w:name="_Toc9161"/>
      <w:r>
        <w:rPr>
          <w:rFonts w:eastAsia="仿宋"/>
          <w:b/>
          <w:sz w:val="24"/>
        </w:rPr>
        <w:t>2.3 知识产权</w:t>
      </w:r>
      <w:bookmarkEnd w:id="95"/>
      <w:bookmarkEnd w:id="96"/>
      <w:bookmarkEnd w:id="97"/>
      <w:bookmarkEnd w:id="98"/>
      <w:bookmarkEnd w:id="99"/>
      <w:bookmarkEnd w:id="100"/>
      <w:bookmarkEnd w:id="101"/>
      <w:bookmarkEnd w:id="102"/>
    </w:p>
    <w:p w14:paraId="773BA43C">
      <w:pPr>
        <w:spacing w:line="560" w:lineRule="exact"/>
        <w:ind w:firstLine="480" w:firstLineChars="200"/>
        <w:rPr>
          <w:rFonts w:eastAsia="仿宋"/>
          <w:sz w:val="24"/>
        </w:rPr>
      </w:pPr>
      <w:r>
        <w:rPr>
          <w:rFonts w:eastAsia="仿宋"/>
          <w:sz w:val="24"/>
        </w:rPr>
        <w:t>2.3.1 乙方应保证其提供的服务不受任何第三方提出的侵犯其著作权、商标权、专利权等知识产权方面的起诉；如果任何第三方提出侵权指控，那么乙方须与该第三方交涉并承担由此发生的一切责任、费用和赔偿；</w:t>
      </w:r>
    </w:p>
    <w:p w14:paraId="461883D6">
      <w:pPr>
        <w:spacing w:line="560" w:lineRule="exact"/>
        <w:ind w:firstLine="480" w:firstLineChars="200"/>
        <w:rPr>
          <w:rFonts w:eastAsia="仿宋"/>
          <w:sz w:val="24"/>
        </w:rPr>
      </w:pPr>
      <w:r>
        <w:rPr>
          <w:rFonts w:eastAsia="仿宋"/>
          <w:sz w:val="24"/>
        </w:rPr>
        <w:t>2.3.2 合同涉及技术成果的归属和收益的分成办法的，详见</w:t>
      </w:r>
      <w:r>
        <w:rPr>
          <w:rFonts w:eastAsia="仿宋"/>
          <w:b/>
          <w:iCs/>
          <w:sz w:val="24"/>
          <w:u w:val="single"/>
        </w:rPr>
        <w:t>合同专用条款</w:t>
      </w:r>
      <w:r>
        <w:rPr>
          <w:rFonts w:eastAsia="仿宋"/>
          <w:sz w:val="24"/>
        </w:rPr>
        <w:t>。</w:t>
      </w:r>
    </w:p>
    <w:p w14:paraId="35869444">
      <w:pPr>
        <w:spacing w:line="560" w:lineRule="exact"/>
        <w:ind w:firstLine="482" w:firstLineChars="200"/>
        <w:outlineLvl w:val="2"/>
        <w:rPr>
          <w:rFonts w:eastAsia="仿宋"/>
          <w:b/>
          <w:sz w:val="24"/>
        </w:rPr>
      </w:pPr>
      <w:r>
        <w:rPr>
          <w:rFonts w:eastAsia="仿宋"/>
          <w:b/>
          <w:sz w:val="24"/>
        </w:rPr>
        <w:t>2.4 履约检查和问题反馈</w:t>
      </w:r>
    </w:p>
    <w:p w14:paraId="06F2C149">
      <w:pPr>
        <w:spacing w:line="560" w:lineRule="exact"/>
        <w:ind w:firstLine="480" w:firstLineChars="200"/>
        <w:rPr>
          <w:rFonts w:eastAsia="仿宋"/>
          <w:sz w:val="24"/>
        </w:rPr>
      </w:pPr>
      <w:bookmarkStart w:id="103" w:name="_Ref467379657"/>
      <w:r>
        <w:rPr>
          <w:rFonts w:eastAsia="仿宋"/>
          <w:sz w:val="24"/>
        </w:rPr>
        <w:t>2.4.1</w:t>
      </w:r>
      <w:bookmarkEnd w:id="103"/>
      <w:bookmarkStart w:id="104" w:name="_Toc186431854"/>
      <w:bookmarkStart w:id="105" w:name="_Toc487900357"/>
      <w:bookmarkStart w:id="106" w:name="_Toc279701247"/>
      <w:bookmarkStart w:id="107" w:name="_Ref467379807"/>
      <w:bookmarkStart w:id="108" w:name="_Ref467379793"/>
      <w:bookmarkStart w:id="109" w:name="_Toc259093676"/>
      <w:r>
        <w:rPr>
          <w:rFonts w:eastAsia="仿宋"/>
          <w:sz w:val="24"/>
        </w:rPr>
        <w:t>甲方有权在其认为必要时，对乙方是否能够按照合同约定提供服务进行履约检查，以确保乙方所提供的服务能够依约满足甲方之项目需求，但不得因履约检查妨碍乙方的正常工作，乙方应予积极配合；</w:t>
      </w:r>
    </w:p>
    <w:p w14:paraId="29EDB30F">
      <w:pPr>
        <w:spacing w:line="560" w:lineRule="exact"/>
        <w:ind w:firstLine="480" w:firstLineChars="200"/>
        <w:rPr>
          <w:rFonts w:eastAsia="仿宋"/>
          <w:sz w:val="24"/>
        </w:rPr>
      </w:pPr>
      <w:r>
        <w:rPr>
          <w:rFonts w:eastAsia="仿宋"/>
          <w:sz w:val="24"/>
        </w:rPr>
        <w:t>2.4.2 合同履行期间，甲方有权将履行过程中出现的问题反馈给乙方，双方当事人应以书面形式约定需要完善和改进的内容</w:t>
      </w:r>
      <w:bookmarkEnd w:id="104"/>
      <w:bookmarkStart w:id="110" w:name="_Toc186431855"/>
      <w:r>
        <w:rPr>
          <w:rFonts w:eastAsia="仿宋"/>
          <w:sz w:val="24"/>
        </w:rPr>
        <w:t>。</w:t>
      </w:r>
    </w:p>
    <w:bookmarkEnd w:id="110"/>
    <w:p w14:paraId="1EFB205E">
      <w:pPr>
        <w:spacing w:line="560" w:lineRule="exact"/>
        <w:ind w:firstLine="482" w:firstLineChars="200"/>
        <w:outlineLvl w:val="2"/>
        <w:rPr>
          <w:rFonts w:eastAsia="仿宋"/>
          <w:b/>
          <w:sz w:val="24"/>
        </w:rPr>
      </w:pPr>
      <w:bookmarkStart w:id="111" w:name="_Toc31233"/>
      <w:bookmarkStart w:id="112" w:name="_Toc26555"/>
      <w:bookmarkStart w:id="113" w:name="_Toc32670"/>
      <w:bookmarkStart w:id="114" w:name="_Toc22011"/>
      <w:r>
        <w:rPr>
          <w:rFonts w:eastAsia="仿宋"/>
          <w:b/>
          <w:sz w:val="24"/>
        </w:rPr>
        <w:t>2.5 结算方式和付款条件</w:t>
      </w:r>
      <w:bookmarkEnd w:id="105"/>
      <w:bookmarkEnd w:id="106"/>
      <w:bookmarkEnd w:id="107"/>
      <w:bookmarkEnd w:id="108"/>
      <w:bookmarkEnd w:id="109"/>
      <w:bookmarkEnd w:id="111"/>
      <w:bookmarkEnd w:id="112"/>
      <w:bookmarkEnd w:id="113"/>
      <w:bookmarkEnd w:id="114"/>
    </w:p>
    <w:p w14:paraId="2315686D">
      <w:pPr>
        <w:spacing w:line="560" w:lineRule="exact"/>
        <w:ind w:firstLine="480" w:firstLineChars="200"/>
        <w:rPr>
          <w:rFonts w:eastAsia="仿宋"/>
          <w:sz w:val="24"/>
        </w:rPr>
      </w:pPr>
      <w:r>
        <w:rPr>
          <w:rFonts w:eastAsia="仿宋"/>
          <w:sz w:val="24"/>
        </w:rPr>
        <w:t>详见</w:t>
      </w:r>
      <w:r>
        <w:rPr>
          <w:rFonts w:eastAsia="仿宋"/>
          <w:b/>
          <w:iCs/>
          <w:sz w:val="24"/>
          <w:u w:val="single"/>
        </w:rPr>
        <w:t>合同专用条款</w:t>
      </w:r>
      <w:r>
        <w:rPr>
          <w:rFonts w:eastAsia="仿宋"/>
          <w:sz w:val="24"/>
        </w:rPr>
        <w:t>。</w:t>
      </w:r>
    </w:p>
    <w:p w14:paraId="0753F2DF">
      <w:pPr>
        <w:spacing w:line="560" w:lineRule="exact"/>
        <w:ind w:firstLine="482" w:firstLineChars="200"/>
        <w:outlineLvl w:val="2"/>
        <w:rPr>
          <w:rFonts w:eastAsia="仿宋"/>
          <w:b/>
          <w:sz w:val="24"/>
        </w:rPr>
      </w:pPr>
      <w:bookmarkStart w:id="115" w:name="_Toc487900358"/>
      <w:bookmarkStart w:id="116" w:name="_Ref467379863"/>
      <w:bookmarkStart w:id="117" w:name="_Toc279701248"/>
      <w:bookmarkStart w:id="118" w:name="_Toc259093677"/>
      <w:bookmarkStart w:id="119" w:name="_Ref467379852"/>
      <w:bookmarkStart w:id="120" w:name="_Ref467379923"/>
      <w:bookmarkStart w:id="121" w:name="_Toc18990"/>
      <w:bookmarkStart w:id="122" w:name="_Toc16163"/>
      <w:bookmarkStart w:id="123" w:name="_Toc13154"/>
      <w:bookmarkStart w:id="124" w:name="_Toc13467"/>
      <w:bookmarkStart w:id="125" w:name="_Toc30507"/>
      <w:r>
        <w:rPr>
          <w:rFonts w:eastAsia="仿宋"/>
          <w:b/>
          <w:sz w:val="24"/>
        </w:rPr>
        <w:t>2.6 技术资料</w:t>
      </w:r>
      <w:bookmarkEnd w:id="115"/>
      <w:bookmarkEnd w:id="116"/>
      <w:bookmarkEnd w:id="117"/>
      <w:bookmarkEnd w:id="118"/>
      <w:bookmarkEnd w:id="119"/>
      <w:bookmarkEnd w:id="120"/>
      <w:r>
        <w:rPr>
          <w:rFonts w:eastAsia="仿宋"/>
          <w:b/>
          <w:sz w:val="24"/>
        </w:rPr>
        <w:t>和保密义务</w:t>
      </w:r>
      <w:bookmarkEnd w:id="121"/>
      <w:bookmarkEnd w:id="122"/>
      <w:bookmarkEnd w:id="123"/>
      <w:bookmarkEnd w:id="124"/>
      <w:bookmarkEnd w:id="125"/>
    </w:p>
    <w:p w14:paraId="3A98FD40">
      <w:pPr>
        <w:spacing w:line="560" w:lineRule="exact"/>
        <w:ind w:firstLine="480" w:firstLineChars="200"/>
        <w:rPr>
          <w:rFonts w:eastAsia="仿宋"/>
          <w:sz w:val="24"/>
        </w:rPr>
      </w:pPr>
      <w:r>
        <w:rPr>
          <w:rFonts w:eastAsia="仿宋"/>
          <w:sz w:val="24"/>
        </w:rPr>
        <w:t>2.6.1 乙方有权依据合同约定和项目需要，向甲方了解有关情况，调阅有关资料等，甲方应予积极</w:t>
      </w:r>
      <w:r>
        <w:rPr>
          <w:rFonts w:eastAsia="仿宋"/>
          <w:color w:val="auto"/>
          <w:sz w:val="24"/>
        </w:rPr>
        <w:t>配合</w:t>
      </w:r>
      <w:r>
        <w:rPr>
          <w:rFonts w:hint="eastAsia" w:eastAsia="仿宋"/>
          <w:color w:val="auto"/>
          <w:sz w:val="24"/>
        </w:rPr>
        <w:t>，乙方要对甲方提供的一切资料负有保密义务并需和甲方签订保密协议，未经甲方书面许可，不能将甲方提供的资料擅自提供给第三方</w:t>
      </w:r>
      <w:r>
        <w:rPr>
          <w:rFonts w:eastAsia="仿宋"/>
          <w:color w:val="auto"/>
          <w:sz w:val="24"/>
        </w:rPr>
        <w:t>；</w:t>
      </w:r>
    </w:p>
    <w:p w14:paraId="1A38487C">
      <w:pPr>
        <w:spacing w:line="560" w:lineRule="exact"/>
        <w:ind w:firstLine="480" w:firstLineChars="200"/>
        <w:rPr>
          <w:rFonts w:eastAsia="仿宋"/>
          <w:sz w:val="24"/>
        </w:rPr>
      </w:pPr>
      <w:r>
        <w:rPr>
          <w:rFonts w:eastAsia="仿宋"/>
          <w:sz w:val="24"/>
        </w:rPr>
        <w:t>2.6.2 乙方有义务妥善保管和保护由甲方提供的前款信息和资料等；</w:t>
      </w:r>
    </w:p>
    <w:p w14:paraId="7C41746A">
      <w:pPr>
        <w:spacing w:line="560" w:lineRule="exact"/>
        <w:ind w:firstLine="480" w:firstLineChars="200"/>
        <w:rPr>
          <w:rFonts w:eastAsia="仿宋"/>
          <w:sz w:val="24"/>
        </w:rPr>
      </w:pPr>
      <w:r>
        <w:rPr>
          <w:rFonts w:eastAsia="仿宋"/>
          <w:sz w:val="24"/>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r>
        <w:rPr>
          <w:rFonts w:hint="eastAsia" w:eastAsia="仿宋"/>
          <w:sz w:val="24"/>
        </w:rPr>
        <w:t>；</w:t>
      </w:r>
    </w:p>
    <w:p w14:paraId="761C0FA0">
      <w:pPr>
        <w:spacing w:line="560" w:lineRule="exact"/>
        <w:ind w:firstLine="482" w:firstLineChars="200"/>
        <w:outlineLvl w:val="2"/>
        <w:rPr>
          <w:rFonts w:eastAsia="仿宋"/>
          <w:b/>
          <w:sz w:val="24"/>
        </w:rPr>
      </w:pPr>
      <w:bookmarkStart w:id="126" w:name="_Toc19069"/>
      <w:bookmarkStart w:id="127" w:name="_Toc259093681"/>
      <w:bookmarkStart w:id="128" w:name="_Toc487900362"/>
      <w:bookmarkStart w:id="129" w:name="_Toc279701252"/>
      <w:r>
        <w:rPr>
          <w:rFonts w:eastAsia="仿宋"/>
          <w:b/>
          <w:sz w:val="24"/>
        </w:rPr>
        <w:t>2.7 质量保证</w:t>
      </w:r>
      <w:bookmarkEnd w:id="126"/>
    </w:p>
    <w:p w14:paraId="2D90568D">
      <w:pPr>
        <w:spacing w:line="560" w:lineRule="exact"/>
        <w:ind w:firstLine="480" w:firstLineChars="200"/>
        <w:rPr>
          <w:rFonts w:eastAsia="仿宋"/>
          <w:sz w:val="24"/>
        </w:rPr>
      </w:pPr>
      <w:r>
        <w:rPr>
          <w:rFonts w:eastAsia="仿宋"/>
          <w:sz w:val="24"/>
        </w:rPr>
        <w:t>2.7.1 乙方应建立和完善履行合同的内部质量保证体系，并提供相关内部规章制度给甲方，以便甲方进行监督检查；</w:t>
      </w:r>
    </w:p>
    <w:p w14:paraId="15552895">
      <w:pPr>
        <w:spacing w:line="560" w:lineRule="exact"/>
        <w:ind w:firstLine="480" w:firstLineChars="200"/>
        <w:rPr>
          <w:rFonts w:eastAsia="仿宋"/>
          <w:sz w:val="24"/>
        </w:rPr>
      </w:pPr>
      <w:r>
        <w:rPr>
          <w:rFonts w:eastAsia="仿宋"/>
          <w:sz w:val="24"/>
        </w:rPr>
        <w:t>2.7.2 乙方应保证履行合同的人员数量和素质、软件和硬件设备的配置、场地、环境和设施等满足全面履行合同的要求，并应接受甲方的监督检查。</w:t>
      </w:r>
    </w:p>
    <w:p w14:paraId="7F0288EF">
      <w:pPr>
        <w:spacing w:line="560" w:lineRule="exact"/>
        <w:ind w:firstLine="482" w:firstLineChars="200"/>
        <w:outlineLvl w:val="2"/>
        <w:rPr>
          <w:rFonts w:eastAsia="仿宋"/>
          <w:b/>
          <w:sz w:val="24"/>
        </w:rPr>
      </w:pPr>
      <w:bookmarkStart w:id="130" w:name="_Toc22267"/>
      <w:r>
        <w:rPr>
          <w:rFonts w:eastAsia="仿宋"/>
          <w:b/>
          <w:sz w:val="24"/>
        </w:rPr>
        <w:t>2.8 延迟</w:t>
      </w:r>
      <w:bookmarkEnd w:id="127"/>
      <w:bookmarkEnd w:id="128"/>
      <w:bookmarkEnd w:id="129"/>
      <w:r>
        <w:rPr>
          <w:rFonts w:eastAsia="仿宋"/>
          <w:b/>
          <w:sz w:val="24"/>
        </w:rPr>
        <w:t>履行</w:t>
      </w:r>
      <w:bookmarkEnd w:id="130"/>
    </w:p>
    <w:p w14:paraId="1F4C2A7E">
      <w:pPr>
        <w:spacing w:line="560" w:lineRule="exact"/>
        <w:ind w:firstLine="480" w:firstLineChars="200"/>
        <w:rPr>
          <w:rFonts w:eastAsia="仿宋"/>
          <w:sz w:val="24"/>
        </w:rPr>
      </w:pPr>
      <w:r>
        <w:rPr>
          <w:rFonts w:eastAsia="仿宋"/>
          <w:sz w:val="24"/>
        </w:rPr>
        <w:t>在合同履行过程中，如果乙方遇到不能按时提供服务的情况，应及时以书面形式将不能按时提供服务的理由、预期延误时间通知甲方；甲方收到乙方通知后，认为其理由正当的，可以书面形式酌情同意乙方可以延长履行的具体时间。</w:t>
      </w:r>
    </w:p>
    <w:p w14:paraId="4806EC61">
      <w:pPr>
        <w:spacing w:line="560" w:lineRule="exact"/>
        <w:ind w:firstLine="482" w:firstLineChars="200"/>
        <w:outlineLvl w:val="2"/>
        <w:rPr>
          <w:rFonts w:eastAsia="仿宋"/>
          <w:b/>
          <w:sz w:val="24"/>
        </w:rPr>
      </w:pPr>
      <w:bookmarkStart w:id="131" w:name="_Toc10611"/>
      <w:bookmarkStart w:id="132" w:name="_Ref467378121"/>
      <w:bookmarkStart w:id="133" w:name="_Toc487900364"/>
      <w:bookmarkStart w:id="134" w:name="_Toc279701254"/>
      <w:bookmarkStart w:id="135" w:name="_Toc259093683"/>
      <w:r>
        <w:rPr>
          <w:rFonts w:eastAsia="仿宋"/>
          <w:b/>
          <w:sz w:val="24"/>
        </w:rPr>
        <w:t>2.9 合同变更</w:t>
      </w:r>
      <w:bookmarkEnd w:id="131"/>
    </w:p>
    <w:p w14:paraId="4CA71F74">
      <w:pPr>
        <w:spacing w:line="560" w:lineRule="exact"/>
        <w:ind w:firstLine="480" w:firstLineChars="200"/>
        <w:rPr>
          <w:rFonts w:eastAsia="仿宋"/>
          <w:sz w:val="24"/>
        </w:rPr>
      </w:pPr>
      <w:r>
        <w:rPr>
          <w:rFonts w:eastAsia="仿宋"/>
          <w:sz w:val="24"/>
        </w:rPr>
        <w:t>2.9.1 双方当事人协商一致，可以签订书面补充合同的形式变更合同，但不得违背采购文件确定的事项，且如果系追加与合同标的相同的服务的，那么所有补充合同的采购金额不得超过原合同价的10%；</w:t>
      </w:r>
    </w:p>
    <w:p w14:paraId="426E734A">
      <w:pPr>
        <w:spacing w:line="560" w:lineRule="exact"/>
        <w:ind w:firstLine="480" w:firstLineChars="200"/>
        <w:rPr>
          <w:rFonts w:eastAsia="仿宋"/>
          <w:sz w:val="24"/>
        </w:rPr>
      </w:pPr>
      <w:r>
        <w:rPr>
          <w:rFonts w:eastAsia="仿宋"/>
          <w:sz w:val="24"/>
        </w:rPr>
        <w:t>2.9.2 合同继续履行将损害国家利益和社会公共利益的，双方当事人应当以书面形式变更合同。有过错的一方应当承担赔偿责任，双方当事人都有过错的，各自承担相应的责任。</w:t>
      </w:r>
      <w:bookmarkStart w:id="136" w:name="_Toc279701259"/>
      <w:bookmarkStart w:id="137" w:name="_Toc259093688"/>
      <w:bookmarkStart w:id="138" w:name="_Toc487900369"/>
    </w:p>
    <w:p w14:paraId="2249C908">
      <w:pPr>
        <w:spacing w:line="560" w:lineRule="exact"/>
        <w:ind w:firstLine="482" w:firstLineChars="200"/>
        <w:outlineLvl w:val="2"/>
        <w:rPr>
          <w:rFonts w:eastAsia="仿宋"/>
          <w:b/>
          <w:sz w:val="24"/>
        </w:rPr>
      </w:pPr>
      <w:bookmarkStart w:id="139" w:name="_Toc42"/>
      <w:bookmarkStart w:id="140" w:name="_Toc10663"/>
      <w:bookmarkStart w:id="141" w:name="_Toc21830"/>
      <w:bookmarkStart w:id="142" w:name="_Toc23368"/>
      <w:bookmarkStart w:id="143" w:name="_Toc26689"/>
      <w:r>
        <w:rPr>
          <w:rFonts w:eastAsia="仿宋"/>
          <w:b/>
          <w:sz w:val="24"/>
        </w:rPr>
        <w:t>2.10 合同转让</w:t>
      </w:r>
      <w:bookmarkEnd w:id="136"/>
      <w:bookmarkEnd w:id="137"/>
      <w:bookmarkEnd w:id="138"/>
      <w:r>
        <w:rPr>
          <w:rFonts w:eastAsia="仿宋"/>
          <w:b/>
          <w:sz w:val="24"/>
        </w:rPr>
        <w:t>和分包</w:t>
      </w:r>
      <w:bookmarkEnd w:id="139"/>
      <w:bookmarkEnd w:id="140"/>
      <w:bookmarkEnd w:id="141"/>
      <w:bookmarkEnd w:id="142"/>
      <w:bookmarkEnd w:id="143"/>
    </w:p>
    <w:p w14:paraId="03B20802">
      <w:pPr>
        <w:spacing w:line="560" w:lineRule="exact"/>
        <w:ind w:firstLine="480" w:firstLineChars="200"/>
        <w:rPr>
          <w:rFonts w:eastAsia="仿宋"/>
          <w:sz w:val="24"/>
        </w:rPr>
      </w:pPr>
      <w:r>
        <w:rPr>
          <w:rFonts w:eastAsia="仿宋"/>
          <w:sz w:val="24"/>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5FE9EEDF">
      <w:pPr>
        <w:spacing w:line="560" w:lineRule="exact"/>
        <w:ind w:firstLine="482" w:firstLineChars="200"/>
        <w:outlineLvl w:val="2"/>
        <w:rPr>
          <w:rFonts w:eastAsia="仿宋"/>
          <w:b/>
          <w:sz w:val="24"/>
        </w:rPr>
      </w:pPr>
      <w:bookmarkStart w:id="144" w:name="_Toc14371"/>
      <w:bookmarkStart w:id="145" w:name="_Toc25571"/>
      <w:bookmarkStart w:id="146" w:name="_Toc26633"/>
      <w:bookmarkStart w:id="147" w:name="_Toc4720"/>
      <w:bookmarkStart w:id="148" w:name="_Toc32494"/>
      <w:r>
        <w:rPr>
          <w:rFonts w:eastAsia="仿宋"/>
          <w:b/>
          <w:sz w:val="24"/>
        </w:rPr>
        <w:t>2.11 不可抗力</w:t>
      </w:r>
      <w:bookmarkEnd w:id="144"/>
      <w:bookmarkEnd w:id="145"/>
      <w:bookmarkEnd w:id="146"/>
      <w:bookmarkEnd w:id="147"/>
      <w:bookmarkEnd w:id="148"/>
    </w:p>
    <w:p w14:paraId="2C7DB90E">
      <w:pPr>
        <w:spacing w:line="560" w:lineRule="exact"/>
        <w:ind w:firstLine="480" w:firstLineChars="200"/>
        <w:rPr>
          <w:rFonts w:eastAsia="仿宋"/>
          <w:sz w:val="24"/>
        </w:rPr>
      </w:pPr>
      <w:r>
        <w:rPr>
          <w:rFonts w:eastAsia="仿宋"/>
          <w:sz w:val="24"/>
        </w:rPr>
        <w:t>2.11.1如果任何一方遭遇法律规定的不可抗力，致使合同履行受阻时，履行合同的期限应予延长，延长的期限应相当于不可抗力所影响的时间；</w:t>
      </w:r>
    </w:p>
    <w:p w14:paraId="6E3111F8">
      <w:pPr>
        <w:spacing w:line="560" w:lineRule="exact"/>
        <w:ind w:firstLine="480" w:firstLineChars="200"/>
        <w:rPr>
          <w:rFonts w:eastAsia="仿宋"/>
          <w:sz w:val="24"/>
        </w:rPr>
      </w:pPr>
      <w:r>
        <w:rPr>
          <w:rFonts w:eastAsia="仿宋"/>
          <w:sz w:val="24"/>
        </w:rPr>
        <w:t>2.11.2 因不可抗力致使不能实现合同目的的，当事人可以解除合同；</w:t>
      </w:r>
    </w:p>
    <w:p w14:paraId="6B8B46A9">
      <w:pPr>
        <w:spacing w:line="560" w:lineRule="exact"/>
        <w:ind w:firstLine="480" w:firstLineChars="200"/>
        <w:rPr>
          <w:rFonts w:eastAsia="仿宋"/>
          <w:sz w:val="24"/>
        </w:rPr>
      </w:pPr>
      <w:r>
        <w:rPr>
          <w:rFonts w:eastAsia="仿宋"/>
          <w:sz w:val="24"/>
        </w:rPr>
        <w:t>2.11.3 因不可抗力致使合同有变更必要的，双方当事人应在</w:t>
      </w:r>
      <w:r>
        <w:rPr>
          <w:rFonts w:eastAsia="仿宋"/>
          <w:b/>
          <w:iCs/>
          <w:sz w:val="24"/>
          <w:u w:val="single"/>
        </w:rPr>
        <w:t>合同专用条款</w:t>
      </w:r>
      <w:r>
        <w:rPr>
          <w:rFonts w:eastAsia="仿宋"/>
          <w:sz w:val="24"/>
        </w:rPr>
        <w:t>约定时间内以书面形式变更合同；</w:t>
      </w:r>
    </w:p>
    <w:p w14:paraId="5922AD11">
      <w:pPr>
        <w:spacing w:line="560" w:lineRule="exact"/>
        <w:ind w:firstLine="480" w:firstLineChars="200"/>
        <w:rPr>
          <w:rFonts w:eastAsia="仿宋"/>
          <w:sz w:val="24"/>
        </w:rPr>
      </w:pPr>
      <w:r>
        <w:rPr>
          <w:rFonts w:eastAsia="仿宋"/>
          <w:sz w:val="24"/>
        </w:rPr>
        <w:t>2.11.4受不可抗力影响的一方在不可抗力发生后，应在</w:t>
      </w:r>
      <w:r>
        <w:rPr>
          <w:rFonts w:eastAsia="仿宋"/>
          <w:b/>
          <w:iCs/>
          <w:sz w:val="24"/>
          <w:u w:val="single"/>
        </w:rPr>
        <w:t>合同专用条款</w:t>
      </w:r>
      <w:r>
        <w:rPr>
          <w:rFonts w:eastAsia="仿宋"/>
          <w:sz w:val="24"/>
        </w:rPr>
        <w:t>约定时间内以书面形式通知对方当事人，并在</w:t>
      </w:r>
      <w:r>
        <w:rPr>
          <w:rFonts w:eastAsia="仿宋"/>
          <w:b/>
          <w:iCs/>
          <w:sz w:val="24"/>
          <w:u w:val="single"/>
        </w:rPr>
        <w:t>合同专用条款</w:t>
      </w:r>
      <w:r>
        <w:rPr>
          <w:rFonts w:eastAsia="仿宋"/>
          <w:sz w:val="24"/>
        </w:rPr>
        <w:t>约定时间内，将有关部门出具的证明文件送达对方当事人。</w:t>
      </w:r>
    </w:p>
    <w:p w14:paraId="22563FC4">
      <w:pPr>
        <w:spacing w:line="560" w:lineRule="exact"/>
        <w:ind w:firstLine="482" w:firstLineChars="200"/>
        <w:outlineLvl w:val="2"/>
        <w:rPr>
          <w:rFonts w:eastAsia="仿宋"/>
          <w:b/>
          <w:sz w:val="24"/>
        </w:rPr>
      </w:pPr>
      <w:bookmarkStart w:id="149" w:name="_Toc14115"/>
      <w:bookmarkStart w:id="150" w:name="_Toc3638"/>
      <w:bookmarkStart w:id="151" w:name="_Toc23854"/>
      <w:bookmarkStart w:id="152" w:name="_Toc259093684"/>
      <w:bookmarkStart w:id="153" w:name="_Toc487900365"/>
      <w:bookmarkStart w:id="154" w:name="_Toc24465"/>
      <w:bookmarkStart w:id="155" w:name="_Toc25783"/>
      <w:bookmarkStart w:id="156" w:name="_Toc279701255"/>
      <w:r>
        <w:rPr>
          <w:rFonts w:eastAsia="仿宋"/>
          <w:b/>
          <w:sz w:val="24"/>
        </w:rPr>
        <w:t>2.12 税费</w:t>
      </w:r>
      <w:bookmarkEnd w:id="149"/>
      <w:bookmarkEnd w:id="150"/>
      <w:bookmarkEnd w:id="151"/>
      <w:bookmarkEnd w:id="152"/>
      <w:bookmarkEnd w:id="153"/>
      <w:bookmarkEnd w:id="154"/>
      <w:bookmarkEnd w:id="155"/>
      <w:bookmarkEnd w:id="156"/>
    </w:p>
    <w:p w14:paraId="61D90CD4">
      <w:pPr>
        <w:spacing w:line="560" w:lineRule="exact"/>
        <w:ind w:firstLine="480" w:firstLineChars="200"/>
        <w:rPr>
          <w:rFonts w:eastAsia="仿宋"/>
          <w:sz w:val="24"/>
        </w:rPr>
      </w:pPr>
      <w:r>
        <w:rPr>
          <w:rFonts w:eastAsia="仿宋"/>
          <w:sz w:val="24"/>
        </w:rPr>
        <w:t>与合同有关的一切税费，均按照中华人民共和国法律的相关规定缴纳。</w:t>
      </w:r>
    </w:p>
    <w:p w14:paraId="5ECE1DEB">
      <w:pPr>
        <w:spacing w:line="560" w:lineRule="exact"/>
        <w:ind w:firstLine="482" w:firstLineChars="200"/>
        <w:outlineLvl w:val="2"/>
        <w:rPr>
          <w:rFonts w:eastAsia="仿宋"/>
          <w:b/>
          <w:sz w:val="24"/>
        </w:rPr>
      </w:pPr>
      <w:bookmarkStart w:id="157" w:name="_Toc259093687"/>
      <w:bookmarkStart w:id="158" w:name="_Toc25525"/>
      <w:bookmarkStart w:id="159" w:name="_Toc7315"/>
      <w:bookmarkStart w:id="160" w:name="_Toc487900368"/>
      <w:bookmarkStart w:id="161" w:name="_Toc279701258"/>
      <w:bookmarkStart w:id="162" w:name="_Toc30105"/>
      <w:bookmarkStart w:id="163" w:name="_Toc26883"/>
      <w:bookmarkStart w:id="164" w:name="_Toc14814"/>
      <w:r>
        <w:rPr>
          <w:rFonts w:eastAsia="仿宋"/>
          <w:b/>
          <w:sz w:val="24"/>
        </w:rPr>
        <w:t>2.13 乙方破产</w:t>
      </w:r>
      <w:bookmarkEnd w:id="157"/>
      <w:bookmarkEnd w:id="158"/>
      <w:bookmarkEnd w:id="159"/>
      <w:bookmarkEnd w:id="160"/>
      <w:bookmarkEnd w:id="161"/>
      <w:bookmarkEnd w:id="162"/>
      <w:bookmarkEnd w:id="163"/>
      <w:bookmarkEnd w:id="164"/>
    </w:p>
    <w:p w14:paraId="245EB8B5">
      <w:pPr>
        <w:spacing w:line="560" w:lineRule="exact"/>
        <w:ind w:firstLine="480" w:firstLineChars="200"/>
        <w:rPr>
          <w:rFonts w:eastAsia="仿宋"/>
          <w:sz w:val="24"/>
        </w:rPr>
      </w:pPr>
      <w:r>
        <w:rPr>
          <w:rFonts w:eastAsia="仿宋"/>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60E0C6A7">
      <w:pPr>
        <w:spacing w:line="560" w:lineRule="exact"/>
        <w:ind w:firstLine="482" w:firstLineChars="200"/>
        <w:outlineLvl w:val="2"/>
        <w:rPr>
          <w:rFonts w:eastAsia="仿宋"/>
          <w:b/>
          <w:sz w:val="24"/>
        </w:rPr>
      </w:pPr>
      <w:bookmarkStart w:id="165" w:name="_Toc23323"/>
      <w:bookmarkStart w:id="166" w:name="_Toc2016"/>
      <w:bookmarkStart w:id="167" w:name="_Toc1123"/>
      <w:r>
        <w:rPr>
          <w:rFonts w:eastAsia="仿宋"/>
          <w:b/>
          <w:sz w:val="24"/>
        </w:rPr>
        <w:t>2.14 合同中止、终止</w:t>
      </w:r>
      <w:bookmarkEnd w:id="165"/>
      <w:bookmarkEnd w:id="166"/>
      <w:bookmarkEnd w:id="167"/>
    </w:p>
    <w:p w14:paraId="2A31D8C6">
      <w:pPr>
        <w:spacing w:line="560" w:lineRule="exact"/>
        <w:ind w:firstLine="480" w:firstLineChars="200"/>
        <w:outlineLvl w:val="3"/>
        <w:rPr>
          <w:rFonts w:eastAsia="仿宋"/>
          <w:sz w:val="24"/>
        </w:rPr>
      </w:pPr>
      <w:r>
        <w:rPr>
          <w:rFonts w:eastAsia="仿宋"/>
          <w:sz w:val="24"/>
        </w:rPr>
        <w:t>2.14.1 双方当事人不得擅自中止或者终止合同；</w:t>
      </w:r>
    </w:p>
    <w:p w14:paraId="5555F12E">
      <w:pPr>
        <w:spacing w:line="560" w:lineRule="exact"/>
        <w:ind w:firstLine="480" w:firstLineChars="200"/>
        <w:rPr>
          <w:rFonts w:eastAsia="仿宋"/>
          <w:sz w:val="24"/>
        </w:rPr>
      </w:pPr>
      <w:r>
        <w:rPr>
          <w:rFonts w:eastAsia="仿宋"/>
          <w:sz w:val="24"/>
        </w:rPr>
        <w:t>2.14.2合同继续履行将损害国家利益和社会公共利益的，双方当事人应当中止或者终止合同。有过错的一方应当承担赔偿责任，双方当事人都有过错的，各自承担相应的责任。</w:t>
      </w:r>
    </w:p>
    <w:p w14:paraId="5D1255F7">
      <w:pPr>
        <w:spacing w:line="560" w:lineRule="exact"/>
        <w:ind w:firstLine="482" w:firstLineChars="200"/>
        <w:outlineLvl w:val="2"/>
        <w:rPr>
          <w:rFonts w:eastAsia="仿宋"/>
          <w:b/>
          <w:sz w:val="24"/>
        </w:rPr>
      </w:pPr>
      <w:bookmarkStart w:id="168" w:name="_Toc17363"/>
      <w:bookmarkStart w:id="169" w:name="_Toc1969"/>
      <w:bookmarkStart w:id="170" w:name="_Toc14525"/>
      <w:r>
        <w:rPr>
          <w:rFonts w:eastAsia="仿宋"/>
          <w:b/>
          <w:sz w:val="24"/>
        </w:rPr>
        <w:t>2.15 检验和验收</w:t>
      </w:r>
      <w:bookmarkEnd w:id="168"/>
      <w:bookmarkEnd w:id="169"/>
      <w:bookmarkEnd w:id="170"/>
    </w:p>
    <w:p w14:paraId="2378BFEC">
      <w:pPr>
        <w:tabs>
          <w:tab w:val="left" w:pos="360"/>
          <w:tab w:val="left" w:pos="540"/>
          <w:tab w:val="left" w:pos="1080"/>
        </w:tabs>
        <w:spacing w:line="560" w:lineRule="exact"/>
        <w:ind w:firstLine="480" w:firstLineChars="200"/>
        <w:rPr>
          <w:rFonts w:eastAsia="仿宋"/>
          <w:sz w:val="24"/>
        </w:rPr>
      </w:pPr>
      <w:r>
        <w:rPr>
          <w:rFonts w:eastAsia="仿宋"/>
          <w:sz w:val="24"/>
        </w:rPr>
        <w:t>2.15.1 乙方按照</w:t>
      </w:r>
      <w:r>
        <w:rPr>
          <w:rFonts w:eastAsia="仿宋"/>
          <w:b/>
          <w:iCs/>
          <w:sz w:val="24"/>
          <w:u w:val="single"/>
        </w:rPr>
        <w:t>合同专用条款</w:t>
      </w:r>
      <w:r>
        <w:rPr>
          <w:rFonts w:eastAsia="仿宋"/>
          <w:sz w:val="24"/>
        </w:rPr>
        <w:t>的约定，定期提交服务报告，甲方按照</w:t>
      </w:r>
      <w:r>
        <w:rPr>
          <w:rFonts w:eastAsia="仿宋"/>
          <w:b/>
          <w:iCs/>
          <w:sz w:val="24"/>
          <w:u w:val="single"/>
        </w:rPr>
        <w:t>合同专用条款</w:t>
      </w:r>
      <w:r>
        <w:rPr>
          <w:rFonts w:eastAsia="仿宋"/>
          <w:sz w:val="24"/>
        </w:rPr>
        <w:t>的约定进行定期验收；</w:t>
      </w:r>
    </w:p>
    <w:p w14:paraId="6A677661">
      <w:pPr>
        <w:tabs>
          <w:tab w:val="left" w:pos="360"/>
          <w:tab w:val="left" w:pos="540"/>
          <w:tab w:val="left" w:pos="1080"/>
        </w:tabs>
        <w:spacing w:line="560" w:lineRule="exact"/>
        <w:ind w:firstLine="480" w:firstLineChars="200"/>
        <w:rPr>
          <w:rFonts w:eastAsia="仿宋"/>
          <w:sz w:val="24"/>
        </w:rPr>
      </w:pPr>
      <w:r>
        <w:rPr>
          <w:rFonts w:eastAsia="仿宋"/>
          <w:sz w:val="24"/>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14:paraId="1E35698A">
      <w:pPr>
        <w:tabs>
          <w:tab w:val="left" w:pos="360"/>
          <w:tab w:val="left" w:pos="540"/>
          <w:tab w:val="left" w:pos="1080"/>
        </w:tabs>
        <w:spacing w:line="560" w:lineRule="exact"/>
        <w:ind w:firstLine="480" w:firstLineChars="200"/>
        <w:rPr>
          <w:rFonts w:eastAsia="仿宋"/>
          <w:sz w:val="24"/>
        </w:rPr>
      </w:pPr>
      <w:r>
        <w:rPr>
          <w:rFonts w:eastAsia="仿宋"/>
          <w:sz w:val="24"/>
        </w:rPr>
        <w:t>2.15.3 检验和验收标准、程序等具体内容以及前述验收书的效力详见</w:t>
      </w:r>
      <w:r>
        <w:rPr>
          <w:rFonts w:eastAsia="仿宋"/>
          <w:b/>
          <w:iCs/>
          <w:sz w:val="24"/>
          <w:u w:val="single"/>
        </w:rPr>
        <w:t>合同专用条款</w:t>
      </w:r>
      <w:r>
        <w:rPr>
          <w:rFonts w:eastAsia="仿宋"/>
          <w:i/>
          <w:sz w:val="24"/>
        </w:rPr>
        <w:t>。</w:t>
      </w:r>
    </w:p>
    <w:bookmarkEnd w:id="132"/>
    <w:bookmarkEnd w:id="133"/>
    <w:bookmarkEnd w:id="134"/>
    <w:bookmarkEnd w:id="135"/>
    <w:p w14:paraId="021EA81B">
      <w:pPr>
        <w:spacing w:line="560" w:lineRule="exact"/>
        <w:ind w:firstLine="482" w:firstLineChars="200"/>
        <w:outlineLvl w:val="2"/>
        <w:rPr>
          <w:rFonts w:eastAsia="仿宋"/>
          <w:b/>
          <w:sz w:val="24"/>
        </w:rPr>
      </w:pPr>
      <w:bookmarkStart w:id="171" w:name="_Toc279701261"/>
      <w:bookmarkStart w:id="172" w:name="_Toc259093690"/>
      <w:bookmarkStart w:id="173" w:name="_Toc487900371"/>
      <w:bookmarkStart w:id="174" w:name="_Toc2308"/>
      <w:bookmarkStart w:id="175" w:name="_Toc31892"/>
      <w:bookmarkStart w:id="176" w:name="_Toc25198"/>
      <w:bookmarkStart w:id="177" w:name="_Toc12666"/>
      <w:bookmarkStart w:id="178" w:name="_Toc9808"/>
      <w:r>
        <w:rPr>
          <w:rFonts w:eastAsia="仿宋"/>
          <w:b/>
          <w:sz w:val="24"/>
        </w:rPr>
        <w:t>2.16 通知</w:t>
      </w:r>
      <w:bookmarkEnd w:id="171"/>
      <w:bookmarkEnd w:id="172"/>
      <w:bookmarkEnd w:id="173"/>
      <w:r>
        <w:rPr>
          <w:rFonts w:eastAsia="仿宋"/>
          <w:b/>
          <w:sz w:val="24"/>
        </w:rPr>
        <w:t>和送达</w:t>
      </w:r>
      <w:bookmarkEnd w:id="174"/>
      <w:bookmarkEnd w:id="175"/>
      <w:bookmarkEnd w:id="176"/>
      <w:bookmarkEnd w:id="177"/>
      <w:bookmarkEnd w:id="178"/>
    </w:p>
    <w:p w14:paraId="6D23C688">
      <w:pPr>
        <w:spacing w:line="560" w:lineRule="exact"/>
        <w:ind w:firstLine="480" w:firstLineChars="200"/>
        <w:rPr>
          <w:rFonts w:eastAsia="仿宋"/>
          <w:sz w:val="24"/>
        </w:rPr>
      </w:pPr>
      <w:bookmarkStart w:id="179" w:name="_Toc7073"/>
      <w:bookmarkStart w:id="180" w:name="_Toc29220"/>
      <w:bookmarkStart w:id="181" w:name="_Toc279701262"/>
      <w:bookmarkStart w:id="182" w:name="_Toc259093691"/>
      <w:bookmarkStart w:id="183" w:name="_Toc487900372"/>
      <w:r>
        <w:rPr>
          <w:rFonts w:eastAsia="仿宋"/>
          <w:sz w:val="24"/>
        </w:rPr>
        <w:t>2.16.1 任何一方因履行合同而以合同第一部分尾部所列明的</w:t>
      </w:r>
      <w:r>
        <w:rPr>
          <w:rFonts w:eastAsia="仿宋"/>
          <w:sz w:val="24"/>
          <w:u w:val="single"/>
        </w:rPr>
        <w:t>合同履行地</w:t>
      </w:r>
      <w:r>
        <w:rPr>
          <w:rFonts w:eastAsia="仿宋"/>
          <w:sz w:val="24"/>
        </w:rPr>
        <w:t>发出的所有通知、文件、材料，均视为已向对方当事人送达；任何一方变更上述送达方式或者地址的，应于</w:t>
      </w:r>
      <w:r>
        <w:rPr>
          <w:rFonts w:eastAsia="仿宋"/>
          <w:sz w:val="24"/>
          <w:u w:val="single"/>
        </w:rPr>
        <w:t xml:space="preserve"> 7 </w:t>
      </w:r>
      <w:r>
        <w:rPr>
          <w:rFonts w:eastAsia="仿宋"/>
          <w:sz w:val="24"/>
        </w:rPr>
        <w:t>个工作日内书面通知对方当事人，在对方当事人收到有关变更通知之前，变更前的约定送达方式或者地址仍视为有效。</w:t>
      </w:r>
      <w:bookmarkEnd w:id="179"/>
      <w:bookmarkEnd w:id="180"/>
    </w:p>
    <w:p w14:paraId="10844E7D">
      <w:pPr>
        <w:spacing w:line="560" w:lineRule="exact"/>
        <w:ind w:firstLine="480" w:firstLineChars="200"/>
        <w:rPr>
          <w:rFonts w:eastAsia="仿宋"/>
          <w:sz w:val="24"/>
        </w:rPr>
      </w:pPr>
      <w:bookmarkStart w:id="184" w:name="_Toc27674"/>
      <w:bookmarkStart w:id="185" w:name="_Toc18401"/>
      <w:r>
        <w:rPr>
          <w:rFonts w:eastAsia="仿宋"/>
          <w:sz w:val="24"/>
        </w:rPr>
        <w:t>2.16.2以当面交付方式送达的，交付之时视为送达；以电子邮件方式送达的，发出电子邮件之时视为送达；以传真方式送达的，发出传真之时视为送达；以邮寄方式送达的，邮件挂号寄出或者交邮之日之次日视为送达。</w:t>
      </w:r>
      <w:bookmarkEnd w:id="184"/>
      <w:bookmarkEnd w:id="185"/>
    </w:p>
    <w:bookmarkEnd w:id="181"/>
    <w:bookmarkEnd w:id="182"/>
    <w:bookmarkEnd w:id="183"/>
    <w:p w14:paraId="3EC3DE5D">
      <w:pPr>
        <w:spacing w:line="560" w:lineRule="exact"/>
        <w:ind w:firstLine="482" w:firstLineChars="200"/>
        <w:outlineLvl w:val="2"/>
        <w:rPr>
          <w:rFonts w:eastAsia="仿宋"/>
          <w:b/>
          <w:sz w:val="24"/>
        </w:rPr>
      </w:pPr>
      <w:bookmarkStart w:id="186" w:name="_Toc5063"/>
      <w:bookmarkStart w:id="187" w:name="_Toc259093692"/>
      <w:bookmarkStart w:id="188" w:name="_Toc27644"/>
      <w:bookmarkStart w:id="189" w:name="_Toc487900373"/>
      <w:bookmarkStart w:id="190" w:name="_Toc28906"/>
      <w:bookmarkStart w:id="191" w:name="_Toc279701263"/>
      <w:bookmarkStart w:id="192" w:name="_Toc20808"/>
      <w:bookmarkStart w:id="193" w:name="_Toc12254"/>
      <w:r>
        <w:rPr>
          <w:rFonts w:eastAsia="仿宋"/>
          <w:b/>
          <w:sz w:val="24"/>
        </w:rPr>
        <w:t>2.17 合同使用的文字和适用的法律</w:t>
      </w:r>
      <w:bookmarkEnd w:id="186"/>
      <w:bookmarkEnd w:id="187"/>
      <w:bookmarkEnd w:id="188"/>
      <w:bookmarkEnd w:id="189"/>
      <w:bookmarkEnd w:id="190"/>
      <w:bookmarkEnd w:id="191"/>
      <w:bookmarkEnd w:id="192"/>
      <w:bookmarkEnd w:id="193"/>
    </w:p>
    <w:p w14:paraId="7B365E2A">
      <w:pPr>
        <w:spacing w:line="560" w:lineRule="exact"/>
        <w:ind w:firstLine="480" w:firstLineChars="200"/>
        <w:rPr>
          <w:rFonts w:eastAsia="仿宋"/>
          <w:sz w:val="24"/>
        </w:rPr>
      </w:pPr>
      <w:r>
        <w:rPr>
          <w:rFonts w:eastAsia="仿宋"/>
          <w:sz w:val="24"/>
        </w:rPr>
        <w:t>2.17.1 合同使用汉语书就、变更和解释；</w:t>
      </w:r>
    </w:p>
    <w:p w14:paraId="6FC75CED">
      <w:pPr>
        <w:spacing w:line="560" w:lineRule="exact"/>
        <w:ind w:firstLine="480" w:firstLineChars="200"/>
        <w:rPr>
          <w:rFonts w:eastAsia="仿宋"/>
          <w:sz w:val="24"/>
        </w:rPr>
      </w:pPr>
      <w:r>
        <w:rPr>
          <w:rFonts w:eastAsia="仿宋"/>
          <w:sz w:val="24"/>
        </w:rPr>
        <w:t>2.17.2 合同适用中华人民共和国法律。</w:t>
      </w:r>
    </w:p>
    <w:p w14:paraId="4E44F10C">
      <w:pPr>
        <w:spacing w:line="560" w:lineRule="exact"/>
        <w:ind w:firstLine="482" w:firstLineChars="200"/>
        <w:outlineLvl w:val="2"/>
        <w:rPr>
          <w:rFonts w:eastAsia="仿宋"/>
          <w:b/>
          <w:sz w:val="24"/>
        </w:rPr>
      </w:pPr>
      <w:bookmarkStart w:id="194" w:name="_Toc279701264"/>
      <w:bookmarkStart w:id="195" w:name="_Toc259093693"/>
      <w:bookmarkStart w:id="196" w:name="_Toc1492"/>
      <w:bookmarkStart w:id="197" w:name="_Toc22266"/>
      <w:bookmarkStart w:id="198" w:name="_Toc30096"/>
      <w:bookmarkStart w:id="199" w:name="_Toc27127"/>
      <w:bookmarkStart w:id="200" w:name="_Toc27403"/>
      <w:bookmarkStart w:id="201" w:name="_Toc487900374"/>
      <w:r>
        <w:rPr>
          <w:rFonts w:eastAsia="仿宋"/>
          <w:b/>
          <w:sz w:val="24"/>
        </w:rPr>
        <w:t>2.18 履约保证金</w:t>
      </w:r>
      <w:bookmarkEnd w:id="194"/>
      <w:bookmarkEnd w:id="195"/>
      <w:bookmarkEnd w:id="196"/>
      <w:bookmarkEnd w:id="197"/>
      <w:bookmarkEnd w:id="198"/>
      <w:bookmarkEnd w:id="199"/>
      <w:bookmarkEnd w:id="200"/>
    </w:p>
    <w:p w14:paraId="45E04A6D">
      <w:pPr>
        <w:spacing w:line="560" w:lineRule="exact"/>
        <w:ind w:firstLine="480" w:firstLineChars="200"/>
        <w:rPr>
          <w:rFonts w:eastAsia="仿宋"/>
          <w:sz w:val="24"/>
        </w:rPr>
      </w:pPr>
      <w:r>
        <w:rPr>
          <w:rFonts w:eastAsia="仿宋"/>
          <w:sz w:val="24"/>
        </w:rPr>
        <w:t>2.18.1 采购文件要求乙方提交履约保证金的，乙方应按</w:t>
      </w:r>
      <w:r>
        <w:rPr>
          <w:rFonts w:eastAsia="仿宋"/>
          <w:b/>
          <w:iCs/>
          <w:sz w:val="24"/>
          <w:u w:val="single"/>
        </w:rPr>
        <w:t>合同专用条款</w:t>
      </w:r>
      <w:r>
        <w:rPr>
          <w:rFonts w:eastAsia="仿宋"/>
          <w:sz w:val="24"/>
        </w:rPr>
        <w:t>约定的方式，以支票、汇票、本票或者金融机构、担保机构出具的保函等非现金形式，提交不超过合同价10%的履约保证金；</w:t>
      </w:r>
    </w:p>
    <w:p w14:paraId="4894151C">
      <w:pPr>
        <w:spacing w:line="560" w:lineRule="exact"/>
        <w:ind w:firstLine="480" w:firstLineChars="200"/>
        <w:rPr>
          <w:rFonts w:eastAsia="仿宋"/>
          <w:sz w:val="24"/>
        </w:rPr>
      </w:pPr>
      <w:r>
        <w:rPr>
          <w:rFonts w:eastAsia="仿宋"/>
          <w:sz w:val="24"/>
        </w:rPr>
        <w:t>2.18.2 履约保证金在</w:t>
      </w:r>
      <w:r>
        <w:rPr>
          <w:rFonts w:eastAsia="仿宋"/>
          <w:b/>
          <w:iCs/>
          <w:sz w:val="24"/>
          <w:u w:val="single"/>
        </w:rPr>
        <w:t>合同专用条款</w:t>
      </w:r>
      <w:r>
        <w:rPr>
          <w:rFonts w:eastAsia="仿宋"/>
          <w:sz w:val="24"/>
        </w:rPr>
        <w:t>约定期间内不予退还或者应完全有效，前述约定期间届满之日起</w:t>
      </w:r>
      <w:r>
        <w:rPr>
          <w:rFonts w:eastAsia="仿宋"/>
          <w:sz w:val="24"/>
          <w:u w:val="single"/>
        </w:rPr>
        <w:t xml:space="preserve"> 30</w:t>
      </w:r>
      <w:r>
        <w:rPr>
          <w:rFonts w:eastAsia="仿宋"/>
          <w:sz w:val="24"/>
        </w:rPr>
        <w:t>个工作日内，甲方应将履约保证金退还乙方；</w:t>
      </w:r>
    </w:p>
    <w:p w14:paraId="73FAA105">
      <w:pPr>
        <w:spacing w:line="560" w:lineRule="exact"/>
        <w:ind w:firstLine="480" w:firstLineChars="200"/>
        <w:rPr>
          <w:rFonts w:eastAsia="仿宋"/>
          <w:sz w:val="24"/>
        </w:rPr>
      </w:pPr>
      <w:r>
        <w:rPr>
          <w:rFonts w:eastAsia="仿宋"/>
          <w:sz w:val="24"/>
        </w:rPr>
        <w:t>2.18.3 如果乙方不履行合同，履约保证金不予退还；如果乙方未能按合同约定全面履行义务，那么甲方有权从履约保证金中取得补偿或赔偿，同时不影响甲方要求乙方承担合同约定的超过履约保证金的违约责任的权利。</w:t>
      </w:r>
    </w:p>
    <w:bookmarkEnd w:id="201"/>
    <w:p w14:paraId="71003273">
      <w:pPr>
        <w:spacing w:line="560" w:lineRule="exact"/>
        <w:ind w:firstLine="482" w:firstLineChars="200"/>
        <w:outlineLvl w:val="2"/>
        <w:rPr>
          <w:rFonts w:eastAsia="仿宋"/>
          <w:b/>
          <w:sz w:val="24"/>
        </w:rPr>
      </w:pPr>
      <w:r>
        <w:rPr>
          <w:rFonts w:eastAsia="仿宋"/>
          <w:b/>
          <w:sz w:val="24"/>
        </w:rPr>
        <w:t>2.19 合同份数</w:t>
      </w:r>
    </w:p>
    <w:p w14:paraId="2F9C6CE0">
      <w:pPr>
        <w:spacing w:line="560" w:lineRule="exact"/>
        <w:ind w:firstLine="480" w:firstLineChars="200"/>
        <w:rPr>
          <w:rFonts w:eastAsia="仿宋"/>
          <w:sz w:val="24"/>
        </w:rPr>
      </w:pPr>
      <w:r>
        <w:rPr>
          <w:rFonts w:eastAsia="仿宋"/>
          <w:sz w:val="24"/>
        </w:rPr>
        <w:t>合同份数按</w:t>
      </w:r>
      <w:r>
        <w:rPr>
          <w:rFonts w:eastAsia="仿宋"/>
          <w:b/>
          <w:iCs/>
          <w:sz w:val="24"/>
          <w:u w:val="single"/>
        </w:rPr>
        <w:t>合同专用条款</w:t>
      </w:r>
      <w:r>
        <w:rPr>
          <w:rFonts w:eastAsia="仿宋"/>
          <w:sz w:val="24"/>
        </w:rPr>
        <w:t>规定，每份均具有同等法律效力。</w:t>
      </w:r>
    </w:p>
    <w:p w14:paraId="1F099409">
      <w:pPr>
        <w:pStyle w:val="55"/>
        <w:spacing w:line="560" w:lineRule="exact"/>
        <w:ind w:firstLine="0"/>
        <w:jc w:val="center"/>
        <w:outlineLvl w:val="1"/>
        <w:rPr>
          <w:rFonts w:ascii="Times New Roman" w:eastAsia="仿宋"/>
          <w:b/>
          <w:szCs w:val="24"/>
        </w:rPr>
      </w:pPr>
      <w:r>
        <w:rPr>
          <w:rFonts w:ascii="Times New Roman" w:eastAsia="仿宋"/>
          <w:szCs w:val="24"/>
        </w:rPr>
        <w:br w:type="page"/>
      </w:r>
      <w:bookmarkStart w:id="202" w:name="_Toc331685784"/>
      <w:r>
        <w:rPr>
          <w:rFonts w:ascii="Times New Roman" w:eastAsia="仿宋"/>
          <w:b/>
          <w:szCs w:val="24"/>
        </w:rPr>
        <w:t>第三部分  合同专用条款</w:t>
      </w:r>
      <w:bookmarkEnd w:id="202"/>
    </w:p>
    <w:p w14:paraId="4D80DBC2">
      <w:pPr>
        <w:spacing w:line="560" w:lineRule="exact"/>
        <w:ind w:firstLine="480" w:firstLineChars="200"/>
        <w:rPr>
          <w:rFonts w:eastAsia="仿宋"/>
          <w:sz w:val="24"/>
        </w:rPr>
      </w:pPr>
      <w:r>
        <w:rPr>
          <w:rFonts w:eastAsia="仿宋"/>
          <w:sz w:val="24"/>
        </w:rPr>
        <w:t>本部分是对前两部分的补充和修改，如果前两部分和本部分的约定不一致，应以本部分的约定为准。本部分的条款号应与前两部分的条款号保持对应；与前两部分无对应关系的内容可另行编制条款号。</w:t>
      </w:r>
    </w:p>
    <w:p w14:paraId="637B8E0C">
      <w:pPr>
        <w:spacing w:line="560" w:lineRule="exact"/>
        <w:ind w:firstLine="480" w:firstLineChars="200"/>
        <w:rPr>
          <w:rFonts w:eastAsia="仿宋"/>
          <w:sz w:val="24"/>
        </w:rPr>
      </w:pPr>
      <w:r>
        <w:rPr>
          <w:rFonts w:eastAsia="仿宋"/>
          <w:sz w:val="24"/>
        </w:rPr>
        <w:t>合同专用条款其未明确的内容与供应商须知前附表、第三章采购需求一致。此处不再赘述。</w:t>
      </w:r>
    </w:p>
    <w:p w14:paraId="160543C5">
      <w:pPr>
        <w:spacing w:line="360" w:lineRule="auto"/>
        <w:jc w:val="center"/>
        <w:rPr>
          <w:rStyle w:val="31"/>
          <w:rFonts w:ascii="Times New Roman" w:eastAsia="仿宋"/>
          <w:b/>
          <w:szCs w:val="28"/>
        </w:rPr>
      </w:pPr>
    </w:p>
    <w:p w14:paraId="63059523">
      <w:pPr>
        <w:spacing w:line="360" w:lineRule="auto"/>
        <w:jc w:val="center"/>
        <w:rPr>
          <w:rStyle w:val="31"/>
          <w:rFonts w:ascii="Times New Roman" w:eastAsia="仿宋"/>
          <w:b/>
          <w:szCs w:val="28"/>
        </w:rPr>
      </w:pPr>
    </w:p>
    <w:p w14:paraId="68373EDF">
      <w:pPr>
        <w:spacing w:line="360" w:lineRule="auto"/>
        <w:jc w:val="center"/>
        <w:rPr>
          <w:rStyle w:val="31"/>
          <w:rFonts w:ascii="Times New Roman" w:eastAsia="仿宋"/>
          <w:b/>
          <w:szCs w:val="28"/>
        </w:rPr>
      </w:pPr>
    </w:p>
    <w:p w14:paraId="2A73E514">
      <w:pPr>
        <w:spacing w:line="360" w:lineRule="auto"/>
        <w:jc w:val="center"/>
        <w:rPr>
          <w:rStyle w:val="31"/>
          <w:rFonts w:ascii="Times New Roman" w:eastAsia="仿宋"/>
          <w:b/>
          <w:szCs w:val="28"/>
        </w:rPr>
      </w:pPr>
    </w:p>
    <w:p w14:paraId="3B27F19B">
      <w:pPr>
        <w:spacing w:line="360" w:lineRule="auto"/>
        <w:jc w:val="center"/>
        <w:rPr>
          <w:rStyle w:val="31"/>
          <w:rFonts w:ascii="Times New Roman" w:eastAsia="仿宋"/>
          <w:b/>
          <w:szCs w:val="28"/>
        </w:rPr>
      </w:pPr>
    </w:p>
    <w:p w14:paraId="066C89C6">
      <w:pPr>
        <w:spacing w:line="360" w:lineRule="auto"/>
        <w:jc w:val="center"/>
        <w:rPr>
          <w:rStyle w:val="31"/>
          <w:rFonts w:ascii="Times New Roman" w:eastAsia="仿宋"/>
          <w:b/>
          <w:szCs w:val="28"/>
        </w:rPr>
      </w:pPr>
    </w:p>
    <w:p w14:paraId="0CEE28D4">
      <w:pPr>
        <w:rPr>
          <w:rStyle w:val="31"/>
          <w:rFonts w:ascii="Times New Roman" w:eastAsia="仿宋"/>
          <w:b/>
          <w:szCs w:val="28"/>
        </w:rPr>
      </w:pPr>
      <w:r>
        <w:rPr>
          <w:rStyle w:val="31"/>
          <w:rFonts w:ascii="Times New Roman" w:eastAsia="仿宋"/>
          <w:b/>
          <w:szCs w:val="28"/>
        </w:rPr>
        <w:br w:type="page"/>
      </w:r>
    </w:p>
    <w:p w14:paraId="27A113D3">
      <w:pPr>
        <w:spacing w:line="360" w:lineRule="auto"/>
        <w:ind w:firstLine="643" w:firstLineChars="200"/>
        <w:jc w:val="center"/>
        <w:outlineLvl w:val="0"/>
        <w:rPr>
          <w:rStyle w:val="31"/>
          <w:rFonts w:ascii="Times New Roman" w:eastAsia="仿宋"/>
          <w:b/>
          <w:sz w:val="32"/>
          <w:szCs w:val="32"/>
        </w:rPr>
      </w:pPr>
      <w:bookmarkStart w:id="203" w:name="_Toc21493"/>
      <w:r>
        <w:rPr>
          <w:rStyle w:val="31"/>
          <w:rFonts w:ascii="Times New Roman" w:eastAsia="仿宋"/>
          <w:b/>
          <w:sz w:val="32"/>
          <w:szCs w:val="32"/>
        </w:rPr>
        <w:t>第五部分 响应文件格式及附件</w:t>
      </w:r>
      <w:bookmarkEnd w:id="203"/>
    </w:p>
    <w:p w14:paraId="69825214">
      <w:pPr>
        <w:autoSpaceDE w:val="0"/>
        <w:autoSpaceDN w:val="0"/>
        <w:spacing w:before="197"/>
        <w:ind w:right="891"/>
        <w:jc w:val="center"/>
        <w:rPr>
          <w:rFonts w:eastAsia="仿宋"/>
          <w:kern w:val="0"/>
          <w:sz w:val="28"/>
          <w:szCs w:val="28"/>
        </w:rPr>
      </w:pPr>
      <w:r>
        <w:rPr>
          <w:rFonts w:eastAsia="仿宋"/>
          <w:spacing w:val="13"/>
          <w:kern w:val="0"/>
          <w:sz w:val="28"/>
          <w:szCs w:val="28"/>
        </w:rPr>
        <w:t>一、商务部分</w:t>
      </w:r>
    </w:p>
    <w:p w14:paraId="4793AD98">
      <w:pPr>
        <w:autoSpaceDE w:val="0"/>
        <w:autoSpaceDN w:val="0"/>
        <w:spacing w:before="1"/>
        <w:jc w:val="left"/>
        <w:rPr>
          <w:rFonts w:eastAsia="仿宋"/>
          <w:kern w:val="0"/>
          <w:sz w:val="28"/>
          <w:szCs w:val="28"/>
        </w:rPr>
      </w:pPr>
    </w:p>
    <w:p w14:paraId="07778261">
      <w:pPr>
        <w:autoSpaceDE w:val="0"/>
        <w:autoSpaceDN w:val="0"/>
        <w:snapToGrid w:val="0"/>
        <w:spacing w:line="360" w:lineRule="auto"/>
        <w:jc w:val="left"/>
        <w:rPr>
          <w:rFonts w:eastAsia="仿宋"/>
          <w:kern w:val="0"/>
          <w:sz w:val="24"/>
          <w:szCs w:val="24"/>
        </w:rPr>
      </w:pPr>
      <w:r>
        <w:rPr>
          <w:rFonts w:eastAsia="仿宋"/>
          <w:kern w:val="0"/>
          <w:sz w:val="24"/>
          <w:szCs w:val="24"/>
        </w:rPr>
        <w:t>1、磋商响应声明</w:t>
      </w:r>
    </w:p>
    <w:p w14:paraId="0ED174C5">
      <w:pPr>
        <w:tabs>
          <w:tab w:val="left" w:pos="2253"/>
        </w:tabs>
        <w:autoSpaceDE w:val="0"/>
        <w:autoSpaceDN w:val="0"/>
        <w:snapToGrid w:val="0"/>
        <w:spacing w:line="360" w:lineRule="auto"/>
        <w:jc w:val="left"/>
        <w:rPr>
          <w:rFonts w:eastAsia="仿宋"/>
          <w:spacing w:val="-57"/>
          <w:kern w:val="0"/>
          <w:sz w:val="24"/>
          <w:szCs w:val="24"/>
        </w:rPr>
      </w:pPr>
      <w:r>
        <w:rPr>
          <w:rFonts w:eastAsia="仿宋"/>
          <w:kern w:val="0"/>
          <w:sz w:val="24"/>
          <w:szCs w:val="24"/>
        </w:rPr>
        <w:t>附件</w:t>
      </w:r>
      <w:r>
        <w:rPr>
          <w:rFonts w:eastAsia="仿宋"/>
          <w:spacing w:val="-61"/>
          <w:kern w:val="0"/>
          <w:sz w:val="24"/>
          <w:szCs w:val="24"/>
        </w:rPr>
        <w:t xml:space="preserve"> </w:t>
      </w:r>
      <w:r>
        <w:rPr>
          <w:rFonts w:eastAsia="仿宋"/>
          <w:kern w:val="0"/>
          <w:sz w:val="24"/>
          <w:szCs w:val="24"/>
        </w:rPr>
        <w:t>1－1</w:t>
      </w:r>
      <w:r>
        <w:rPr>
          <w:rFonts w:eastAsia="仿宋"/>
          <w:spacing w:val="-1"/>
          <w:kern w:val="0"/>
          <w:sz w:val="24"/>
          <w:szCs w:val="24"/>
        </w:rPr>
        <w:t>法定</w:t>
      </w:r>
      <w:r>
        <w:rPr>
          <w:rFonts w:eastAsia="仿宋"/>
          <w:kern w:val="0"/>
          <w:sz w:val="24"/>
          <w:szCs w:val="24"/>
        </w:rPr>
        <w:t>代表人身份证明扫描件(法定代表人参加磋商)</w:t>
      </w:r>
      <w:r>
        <w:rPr>
          <w:rFonts w:eastAsia="仿宋"/>
          <w:spacing w:val="-57"/>
          <w:kern w:val="0"/>
          <w:sz w:val="24"/>
          <w:szCs w:val="24"/>
        </w:rPr>
        <w:t xml:space="preserve"> </w:t>
      </w:r>
    </w:p>
    <w:p w14:paraId="14795F85">
      <w:pPr>
        <w:tabs>
          <w:tab w:val="left" w:pos="2253"/>
        </w:tabs>
        <w:autoSpaceDE w:val="0"/>
        <w:autoSpaceDN w:val="0"/>
        <w:snapToGrid w:val="0"/>
        <w:spacing w:line="360" w:lineRule="auto"/>
        <w:ind w:right="3251"/>
        <w:jc w:val="left"/>
        <w:rPr>
          <w:rFonts w:eastAsia="仿宋"/>
          <w:kern w:val="0"/>
          <w:sz w:val="24"/>
          <w:szCs w:val="24"/>
        </w:rPr>
      </w:pPr>
      <w:r>
        <w:rPr>
          <w:rFonts w:eastAsia="仿宋"/>
          <w:kern w:val="0"/>
          <w:sz w:val="24"/>
          <w:szCs w:val="24"/>
        </w:rPr>
        <w:t>附件</w:t>
      </w:r>
      <w:r>
        <w:rPr>
          <w:rFonts w:eastAsia="仿宋"/>
          <w:spacing w:val="-61"/>
          <w:kern w:val="0"/>
          <w:sz w:val="24"/>
          <w:szCs w:val="24"/>
        </w:rPr>
        <w:t xml:space="preserve"> </w:t>
      </w:r>
      <w:r>
        <w:rPr>
          <w:rFonts w:eastAsia="仿宋"/>
          <w:kern w:val="0"/>
          <w:sz w:val="24"/>
          <w:szCs w:val="24"/>
        </w:rPr>
        <w:t>1－2法定代表人授权书(授权代表参加磋商)</w:t>
      </w:r>
    </w:p>
    <w:p w14:paraId="0F521C67">
      <w:pPr>
        <w:tabs>
          <w:tab w:val="left" w:pos="2253"/>
        </w:tabs>
        <w:autoSpaceDE w:val="0"/>
        <w:autoSpaceDN w:val="0"/>
        <w:snapToGrid w:val="0"/>
        <w:spacing w:line="360" w:lineRule="auto"/>
        <w:ind w:right="3810"/>
        <w:jc w:val="left"/>
        <w:rPr>
          <w:rFonts w:eastAsia="仿宋"/>
          <w:kern w:val="0"/>
          <w:sz w:val="24"/>
          <w:szCs w:val="24"/>
        </w:rPr>
      </w:pPr>
      <w:r>
        <w:rPr>
          <w:rFonts w:eastAsia="仿宋"/>
          <w:spacing w:val="-57"/>
          <w:kern w:val="0"/>
          <w:sz w:val="24"/>
          <w:szCs w:val="24"/>
        </w:rPr>
        <w:t xml:space="preserve"> </w:t>
      </w:r>
      <w:r>
        <w:rPr>
          <w:rFonts w:eastAsia="仿宋"/>
          <w:kern w:val="0"/>
          <w:sz w:val="24"/>
          <w:szCs w:val="24"/>
        </w:rPr>
        <w:t>2、报价一览表</w:t>
      </w:r>
    </w:p>
    <w:p w14:paraId="5C185FE7">
      <w:pPr>
        <w:tabs>
          <w:tab w:val="left" w:pos="3780"/>
          <w:tab w:val="left" w:pos="4420"/>
        </w:tabs>
        <w:autoSpaceDE w:val="0"/>
        <w:autoSpaceDN w:val="0"/>
        <w:snapToGrid w:val="0"/>
        <w:spacing w:line="360" w:lineRule="auto"/>
        <w:ind w:right="5330"/>
        <w:rPr>
          <w:rFonts w:eastAsia="仿宋"/>
          <w:spacing w:val="-58"/>
          <w:kern w:val="0"/>
          <w:sz w:val="24"/>
          <w:szCs w:val="24"/>
        </w:rPr>
      </w:pPr>
      <w:r>
        <w:rPr>
          <w:rFonts w:eastAsia="仿宋"/>
          <w:spacing w:val="-22"/>
          <w:kern w:val="0"/>
          <w:sz w:val="24"/>
          <w:szCs w:val="24"/>
        </w:rPr>
        <w:t xml:space="preserve">附件 </w:t>
      </w:r>
      <w:r>
        <w:rPr>
          <w:rFonts w:eastAsia="仿宋"/>
          <w:spacing w:val="-1"/>
          <w:kern w:val="0"/>
          <w:sz w:val="24"/>
          <w:szCs w:val="24"/>
        </w:rPr>
        <w:t>2－1</w:t>
      </w:r>
      <w:r>
        <w:rPr>
          <w:rFonts w:eastAsia="仿宋"/>
          <w:spacing w:val="4"/>
          <w:kern w:val="0"/>
          <w:sz w:val="24"/>
          <w:szCs w:val="24"/>
        </w:rPr>
        <w:t xml:space="preserve"> </w:t>
      </w:r>
      <w:r>
        <w:rPr>
          <w:rFonts w:eastAsia="仿宋"/>
          <w:spacing w:val="-1"/>
          <w:kern w:val="0"/>
          <w:sz w:val="24"/>
          <w:szCs w:val="24"/>
        </w:rPr>
        <w:t>报价一览表</w:t>
      </w:r>
    </w:p>
    <w:p w14:paraId="2E23FB82">
      <w:pPr>
        <w:autoSpaceDE w:val="0"/>
        <w:autoSpaceDN w:val="0"/>
        <w:snapToGrid w:val="0"/>
        <w:spacing w:line="360" w:lineRule="auto"/>
        <w:ind w:right="5130"/>
        <w:jc w:val="left"/>
        <w:rPr>
          <w:rFonts w:eastAsia="仿宋"/>
          <w:spacing w:val="-57"/>
          <w:kern w:val="0"/>
          <w:sz w:val="24"/>
          <w:szCs w:val="24"/>
        </w:rPr>
      </w:pPr>
      <w:r>
        <w:rPr>
          <w:rFonts w:eastAsia="仿宋"/>
          <w:spacing w:val="-1"/>
          <w:kern w:val="0"/>
          <w:sz w:val="24"/>
          <w:szCs w:val="24"/>
        </w:rPr>
        <w:t>3、商务条款偏离表</w:t>
      </w:r>
    </w:p>
    <w:p w14:paraId="357474DB">
      <w:pPr>
        <w:autoSpaceDE w:val="0"/>
        <w:autoSpaceDN w:val="0"/>
        <w:snapToGrid w:val="0"/>
        <w:spacing w:line="360" w:lineRule="auto"/>
        <w:ind w:right="6431"/>
        <w:jc w:val="left"/>
        <w:rPr>
          <w:rFonts w:eastAsia="仿宋"/>
          <w:kern w:val="0"/>
          <w:sz w:val="24"/>
          <w:szCs w:val="24"/>
        </w:rPr>
      </w:pPr>
      <w:r>
        <w:rPr>
          <w:rFonts w:eastAsia="仿宋"/>
          <w:kern w:val="0"/>
          <w:sz w:val="24"/>
          <w:szCs w:val="24"/>
        </w:rPr>
        <w:t>4、磋商保证金</w:t>
      </w:r>
    </w:p>
    <w:p w14:paraId="4FB3CC1A">
      <w:pPr>
        <w:autoSpaceDE w:val="0"/>
        <w:autoSpaceDN w:val="0"/>
        <w:snapToGrid w:val="0"/>
        <w:spacing w:line="360" w:lineRule="auto"/>
        <w:jc w:val="left"/>
        <w:rPr>
          <w:rFonts w:eastAsia="仿宋"/>
          <w:kern w:val="0"/>
          <w:sz w:val="24"/>
          <w:szCs w:val="24"/>
        </w:rPr>
      </w:pPr>
      <w:r>
        <w:rPr>
          <w:rFonts w:eastAsia="仿宋"/>
          <w:kern w:val="0"/>
          <w:sz w:val="24"/>
          <w:szCs w:val="24"/>
        </w:rPr>
        <w:t>5、供应商的资格证明材料</w:t>
      </w:r>
    </w:p>
    <w:p w14:paraId="3FA9D36B">
      <w:pPr>
        <w:tabs>
          <w:tab w:val="left" w:pos="2651"/>
        </w:tabs>
        <w:autoSpaceDE w:val="0"/>
        <w:autoSpaceDN w:val="0"/>
        <w:snapToGrid w:val="0"/>
        <w:spacing w:line="360" w:lineRule="auto"/>
        <w:jc w:val="left"/>
        <w:rPr>
          <w:rFonts w:eastAsia="仿宋"/>
          <w:kern w:val="0"/>
          <w:sz w:val="24"/>
          <w:szCs w:val="24"/>
        </w:rPr>
      </w:pPr>
      <w:r>
        <w:rPr>
          <w:rFonts w:eastAsia="仿宋"/>
          <w:kern w:val="0"/>
          <w:sz w:val="24"/>
          <w:szCs w:val="24"/>
        </w:rPr>
        <w:t>附件 5－1供应商基本情况表</w:t>
      </w:r>
    </w:p>
    <w:p w14:paraId="71207EC5">
      <w:pPr>
        <w:snapToGrid w:val="0"/>
        <w:spacing w:line="360" w:lineRule="auto"/>
        <w:rPr>
          <w:rFonts w:eastAsia="仿宋"/>
          <w:b/>
          <w:sz w:val="24"/>
          <w:szCs w:val="24"/>
        </w:rPr>
      </w:pPr>
      <w:r>
        <w:rPr>
          <w:rFonts w:eastAsia="仿宋"/>
          <w:kern w:val="0"/>
          <w:sz w:val="24"/>
          <w:szCs w:val="24"/>
        </w:rPr>
        <w:t>附件 5－2关于满足《中华人民共和国政府采购法》第二十二条的承诺</w:t>
      </w:r>
    </w:p>
    <w:p w14:paraId="06AC2FAD">
      <w:pPr>
        <w:autoSpaceDE w:val="0"/>
        <w:autoSpaceDN w:val="0"/>
        <w:snapToGrid w:val="0"/>
        <w:spacing w:line="360" w:lineRule="auto"/>
        <w:jc w:val="left"/>
        <w:rPr>
          <w:rFonts w:eastAsia="仿宋"/>
          <w:kern w:val="0"/>
          <w:sz w:val="24"/>
          <w:szCs w:val="24"/>
        </w:rPr>
      </w:pPr>
      <w:r>
        <w:rPr>
          <w:rFonts w:eastAsia="仿宋"/>
          <w:kern w:val="0"/>
          <w:sz w:val="24"/>
          <w:szCs w:val="24"/>
        </w:rPr>
        <w:t>6、提供符合政府采购政策的证明材料</w:t>
      </w:r>
    </w:p>
    <w:p w14:paraId="16ADA6BD">
      <w:pPr>
        <w:pStyle w:val="2"/>
        <w:snapToGrid w:val="0"/>
        <w:spacing w:after="0" w:line="360" w:lineRule="auto"/>
        <w:rPr>
          <w:rFonts w:eastAsia="仿宋"/>
          <w:sz w:val="24"/>
          <w:szCs w:val="24"/>
        </w:rPr>
      </w:pPr>
      <w:r>
        <w:rPr>
          <w:rFonts w:eastAsia="仿宋"/>
          <w:w w:val="95"/>
          <w:kern w:val="0"/>
          <w:sz w:val="24"/>
          <w:szCs w:val="24"/>
        </w:rPr>
        <w:t>附件</w:t>
      </w:r>
      <w:r>
        <w:rPr>
          <w:rFonts w:eastAsia="仿宋"/>
          <w:spacing w:val="-37"/>
          <w:w w:val="95"/>
          <w:kern w:val="0"/>
          <w:sz w:val="24"/>
          <w:szCs w:val="24"/>
        </w:rPr>
        <w:t xml:space="preserve"> </w:t>
      </w:r>
      <w:r>
        <w:rPr>
          <w:rFonts w:eastAsia="仿宋"/>
          <w:w w:val="95"/>
          <w:kern w:val="0"/>
          <w:sz w:val="24"/>
          <w:szCs w:val="24"/>
        </w:rPr>
        <w:t xml:space="preserve">6－1 </w:t>
      </w:r>
      <w:r>
        <w:rPr>
          <w:rFonts w:eastAsia="仿宋"/>
          <w:kern w:val="0"/>
          <w:sz w:val="24"/>
          <w:szCs w:val="24"/>
        </w:rPr>
        <w:t>中小企业声明函</w:t>
      </w:r>
    </w:p>
    <w:p w14:paraId="1EE25E8E">
      <w:pPr>
        <w:tabs>
          <w:tab w:val="left" w:pos="2651"/>
        </w:tabs>
        <w:autoSpaceDE w:val="0"/>
        <w:autoSpaceDN w:val="0"/>
        <w:snapToGrid w:val="0"/>
        <w:spacing w:line="360" w:lineRule="auto"/>
        <w:jc w:val="left"/>
        <w:rPr>
          <w:rFonts w:eastAsia="仿宋"/>
          <w:kern w:val="0"/>
          <w:sz w:val="24"/>
          <w:szCs w:val="24"/>
        </w:rPr>
      </w:pPr>
      <w:r>
        <w:rPr>
          <w:rFonts w:eastAsia="仿宋"/>
          <w:kern w:val="0"/>
          <w:sz w:val="24"/>
          <w:szCs w:val="24"/>
        </w:rPr>
        <w:t>7、供应商业绩证明材料</w:t>
      </w:r>
    </w:p>
    <w:p w14:paraId="6D522268">
      <w:pPr>
        <w:tabs>
          <w:tab w:val="left" w:pos="2651"/>
        </w:tabs>
        <w:autoSpaceDE w:val="0"/>
        <w:autoSpaceDN w:val="0"/>
        <w:snapToGrid w:val="0"/>
        <w:spacing w:line="360" w:lineRule="auto"/>
        <w:jc w:val="left"/>
        <w:rPr>
          <w:rFonts w:eastAsia="仿宋"/>
          <w:kern w:val="0"/>
          <w:sz w:val="24"/>
          <w:szCs w:val="24"/>
        </w:rPr>
      </w:pPr>
      <w:r>
        <w:rPr>
          <w:rFonts w:eastAsia="仿宋"/>
          <w:kern w:val="0"/>
          <w:sz w:val="24"/>
          <w:szCs w:val="24"/>
        </w:rPr>
        <w:t>8、供应商认为需提供的其他资料</w:t>
      </w:r>
    </w:p>
    <w:p w14:paraId="02FEF229">
      <w:pPr>
        <w:tabs>
          <w:tab w:val="left" w:pos="2651"/>
        </w:tabs>
        <w:autoSpaceDE w:val="0"/>
        <w:autoSpaceDN w:val="0"/>
        <w:spacing w:line="276" w:lineRule="auto"/>
        <w:jc w:val="left"/>
        <w:rPr>
          <w:rFonts w:eastAsia="仿宋"/>
          <w:kern w:val="0"/>
          <w:sz w:val="28"/>
          <w:szCs w:val="28"/>
        </w:rPr>
      </w:pPr>
    </w:p>
    <w:p w14:paraId="099CC479">
      <w:pPr>
        <w:autoSpaceDE w:val="0"/>
        <w:autoSpaceDN w:val="0"/>
        <w:spacing w:before="197" w:line="276" w:lineRule="auto"/>
        <w:ind w:right="891"/>
        <w:jc w:val="center"/>
        <w:rPr>
          <w:rFonts w:eastAsia="仿宋"/>
          <w:spacing w:val="13"/>
          <w:kern w:val="0"/>
          <w:sz w:val="28"/>
          <w:szCs w:val="28"/>
        </w:rPr>
      </w:pPr>
    </w:p>
    <w:p w14:paraId="5E2A0490">
      <w:pPr>
        <w:autoSpaceDE w:val="0"/>
        <w:autoSpaceDN w:val="0"/>
        <w:spacing w:before="197" w:line="276" w:lineRule="auto"/>
        <w:ind w:right="891"/>
        <w:rPr>
          <w:rFonts w:eastAsia="仿宋"/>
          <w:spacing w:val="13"/>
          <w:kern w:val="0"/>
          <w:sz w:val="28"/>
          <w:szCs w:val="28"/>
        </w:rPr>
      </w:pPr>
    </w:p>
    <w:p w14:paraId="0CFDF866">
      <w:pPr>
        <w:autoSpaceDE w:val="0"/>
        <w:autoSpaceDN w:val="0"/>
        <w:spacing w:before="197" w:line="276" w:lineRule="auto"/>
        <w:ind w:right="891"/>
        <w:rPr>
          <w:rFonts w:eastAsia="仿宋"/>
          <w:spacing w:val="13"/>
          <w:kern w:val="0"/>
          <w:sz w:val="28"/>
          <w:szCs w:val="28"/>
        </w:rPr>
      </w:pPr>
    </w:p>
    <w:p w14:paraId="062F216C">
      <w:pPr>
        <w:autoSpaceDE w:val="0"/>
        <w:autoSpaceDN w:val="0"/>
        <w:spacing w:before="197" w:line="276" w:lineRule="auto"/>
        <w:ind w:right="891"/>
        <w:rPr>
          <w:rFonts w:eastAsia="仿宋"/>
          <w:spacing w:val="13"/>
          <w:kern w:val="0"/>
          <w:sz w:val="28"/>
          <w:szCs w:val="28"/>
        </w:rPr>
      </w:pPr>
    </w:p>
    <w:p w14:paraId="5921E0D5">
      <w:pPr>
        <w:autoSpaceDE w:val="0"/>
        <w:autoSpaceDN w:val="0"/>
        <w:spacing w:before="197" w:line="276" w:lineRule="auto"/>
        <w:ind w:right="891"/>
        <w:rPr>
          <w:rFonts w:eastAsia="仿宋"/>
          <w:spacing w:val="13"/>
          <w:kern w:val="0"/>
          <w:sz w:val="28"/>
          <w:szCs w:val="28"/>
        </w:rPr>
      </w:pPr>
    </w:p>
    <w:p w14:paraId="03BB38DA">
      <w:pPr>
        <w:pStyle w:val="6"/>
        <w:ind w:firstLine="612"/>
        <w:rPr>
          <w:rFonts w:eastAsia="仿宋"/>
          <w:spacing w:val="13"/>
          <w:kern w:val="0"/>
          <w:sz w:val="28"/>
          <w:szCs w:val="28"/>
        </w:rPr>
      </w:pPr>
    </w:p>
    <w:p w14:paraId="4080C522"/>
    <w:p w14:paraId="27177D33">
      <w:pPr>
        <w:pStyle w:val="11"/>
        <w:ind w:firstLine="560"/>
        <w:rPr>
          <w:rFonts w:ascii="Times New Roman" w:eastAsia="仿宋"/>
        </w:rPr>
      </w:pPr>
    </w:p>
    <w:p w14:paraId="4B2ACAD1">
      <w:pPr>
        <w:pStyle w:val="12"/>
        <w:ind w:firstLine="210"/>
        <w:rPr>
          <w:rFonts w:eastAsia="仿宋"/>
        </w:rPr>
      </w:pPr>
    </w:p>
    <w:p w14:paraId="43B3A418">
      <w:pPr>
        <w:pStyle w:val="13"/>
      </w:pPr>
    </w:p>
    <w:p w14:paraId="5DAB0356">
      <w:pPr>
        <w:pStyle w:val="13"/>
        <w:rPr>
          <w:rFonts w:ascii="Times New Roman" w:hAnsi="Times New Roman"/>
        </w:rPr>
      </w:pPr>
    </w:p>
    <w:p w14:paraId="04ABD330">
      <w:pPr>
        <w:autoSpaceDE w:val="0"/>
        <w:autoSpaceDN w:val="0"/>
        <w:spacing w:before="197" w:line="276" w:lineRule="auto"/>
        <w:ind w:right="891"/>
        <w:jc w:val="center"/>
        <w:rPr>
          <w:rFonts w:eastAsia="仿宋"/>
          <w:spacing w:val="13"/>
          <w:kern w:val="0"/>
          <w:sz w:val="28"/>
          <w:szCs w:val="28"/>
        </w:rPr>
      </w:pPr>
      <w:r>
        <w:rPr>
          <w:rFonts w:eastAsia="仿宋"/>
          <w:spacing w:val="13"/>
          <w:kern w:val="0"/>
          <w:sz w:val="28"/>
          <w:szCs w:val="28"/>
        </w:rPr>
        <w:t>二、技术部分</w:t>
      </w:r>
    </w:p>
    <w:p w14:paraId="4ED17CDA">
      <w:pPr>
        <w:pStyle w:val="2"/>
        <w:rPr>
          <w:rFonts w:eastAsia="仿宋"/>
          <w:sz w:val="28"/>
          <w:szCs w:val="28"/>
        </w:rPr>
      </w:pPr>
    </w:p>
    <w:p w14:paraId="55AF9BAC">
      <w:pPr>
        <w:pStyle w:val="2"/>
        <w:spacing w:line="360" w:lineRule="auto"/>
        <w:rPr>
          <w:rFonts w:eastAsia="仿宋"/>
          <w:sz w:val="24"/>
          <w:szCs w:val="24"/>
        </w:rPr>
      </w:pPr>
      <w:r>
        <w:rPr>
          <w:rFonts w:eastAsia="仿宋"/>
          <w:sz w:val="24"/>
          <w:szCs w:val="24"/>
        </w:rPr>
        <w:t>1、技术响应与偏离表</w:t>
      </w:r>
    </w:p>
    <w:p w14:paraId="4CF40594">
      <w:pPr>
        <w:pStyle w:val="2"/>
        <w:spacing w:line="360" w:lineRule="auto"/>
        <w:rPr>
          <w:rFonts w:eastAsia="仿宋"/>
          <w:sz w:val="24"/>
          <w:szCs w:val="24"/>
        </w:rPr>
      </w:pPr>
      <w:r>
        <w:rPr>
          <w:rFonts w:eastAsia="仿宋"/>
          <w:sz w:val="24"/>
          <w:szCs w:val="24"/>
        </w:rPr>
        <w:t>2、供应商认为有必要提供的声明及其他资料</w:t>
      </w:r>
    </w:p>
    <w:p w14:paraId="4886CE6A">
      <w:pPr>
        <w:autoSpaceDE w:val="0"/>
        <w:autoSpaceDN w:val="0"/>
        <w:spacing w:before="115"/>
        <w:jc w:val="center"/>
        <w:rPr>
          <w:rFonts w:eastAsia="仿宋"/>
          <w:spacing w:val="13"/>
          <w:kern w:val="0"/>
          <w:sz w:val="28"/>
          <w:szCs w:val="28"/>
        </w:rPr>
      </w:pPr>
    </w:p>
    <w:p w14:paraId="76A99591">
      <w:pPr>
        <w:autoSpaceDE w:val="0"/>
        <w:autoSpaceDN w:val="0"/>
        <w:spacing w:before="115"/>
        <w:jc w:val="center"/>
        <w:rPr>
          <w:rFonts w:eastAsia="仿宋"/>
          <w:spacing w:val="13"/>
          <w:kern w:val="0"/>
          <w:sz w:val="28"/>
          <w:szCs w:val="28"/>
        </w:rPr>
      </w:pPr>
    </w:p>
    <w:p w14:paraId="62DBCC71">
      <w:pPr>
        <w:autoSpaceDE w:val="0"/>
        <w:autoSpaceDN w:val="0"/>
        <w:spacing w:before="115"/>
        <w:jc w:val="center"/>
        <w:rPr>
          <w:rFonts w:eastAsia="仿宋"/>
          <w:spacing w:val="13"/>
          <w:kern w:val="0"/>
          <w:sz w:val="28"/>
          <w:szCs w:val="28"/>
        </w:rPr>
      </w:pPr>
    </w:p>
    <w:p w14:paraId="253EF321">
      <w:pPr>
        <w:autoSpaceDE w:val="0"/>
        <w:autoSpaceDN w:val="0"/>
        <w:spacing w:before="115"/>
        <w:jc w:val="center"/>
        <w:rPr>
          <w:rFonts w:eastAsia="仿宋"/>
          <w:spacing w:val="13"/>
          <w:kern w:val="0"/>
          <w:sz w:val="28"/>
          <w:szCs w:val="28"/>
        </w:rPr>
      </w:pPr>
    </w:p>
    <w:p w14:paraId="7B01F7ED">
      <w:pPr>
        <w:autoSpaceDE w:val="0"/>
        <w:autoSpaceDN w:val="0"/>
        <w:spacing w:before="115"/>
        <w:jc w:val="center"/>
        <w:rPr>
          <w:rFonts w:eastAsia="仿宋"/>
          <w:spacing w:val="13"/>
          <w:kern w:val="0"/>
          <w:sz w:val="28"/>
          <w:szCs w:val="28"/>
        </w:rPr>
      </w:pPr>
    </w:p>
    <w:p w14:paraId="15912F1E">
      <w:pPr>
        <w:autoSpaceDE w:val="0"/>
        <w:autoSpaceDN w:val="0"/>
        <w:spacing w:before="115"/>
        <w:jc w:val="center"/>
        <w:rPr>
          <w:rFonts w:eastAsia="仿宋"/>
          <w:spacing w:val="13"/>
          <w:kern w:val="0"/>
          <w:sz w:val="28"/>
          <w:szCs w:val="28"/>
        </w:rPr>
      </w:pPr>
    </w:p>
    <w:p w14:paraId="7DC95AA6">
      <w:pPr>
        <w:autoSpaceDE w:val="0"/>
        <w:autoSpaceDN w:val="0"/>
        <w:spacing w:before="115"/>
        <w:jc w:val="center"/>
        <w:rPr>
          <w:rFonts w:eastAsia="仿宋"/>
          <w:spacing w:val="13"/>
          <w:kern w:val="0"/>
          <w:sz w:val="28"/>
          <w:szCs w:val="28"/>
        </w:rPr>
      </w:pPr>
    </w:p>
    <w:p w14:paraId="30A7A0D2">
      <w:pPr>
        <w:autoSpaceDE w:val="0"/>
        <w:autoSpaceDN w:val="0"/>
        <w:spacing w:before="115"/>
        <w:jc w:val="center"/>
        <w:rPr>
          <w:rFonts w:eastAsia="仿宋"/>
          <w:spacing w:val="13"/>
          <w:kern w:val="0"/>
          <w:sz w:val="28"/>
          <w:szCs w:val="28"/>
        </w:rPr>
      </w:pPr>
    </w:p>
    <w:p w14:paraId="29D15E59">
      <w:pPr>
        <w:autoSpaceDE w:val="0"/>
        <w:autoSpaceDN w:val="0"/>
        <w:spacing w:before="115"/>
        <w:jc w:val="center"/>
        <w:rPr>
          <w:rFonts w:eastAsia="仿宋"/>
          <w:spacing w:val="13"/>
          <w:kern w:val="0"/>
          <w:sz w:val="28"/>
          <w:szCs w:val="28"/>
        </w:rPr>
      </w:pPr>
    </w:p>
    <w:p w14:paraId="601D4FCD">
      <w:pPr>
        <w:autoSpaceDE w:val="0"/>
        <w:autoSpaceDN w:val="0"/>
        <w:spacing w:before="115"/>
        <w:jc w:val="center"/>
        <w:rPr>
          <w:rFonts w:eastAsia="仿宋"/>
          <w:spacing w:val="13"/>
          <w:kern w:val="0"/>
          <w:sz w:val="28"/>
          <w:szCs w:val="28"/>
        </w:rPr>
      </w:pPr>
    </w:p>
    <w:p w14:paraId="5F8B52A6">
      <w:pPr>
        <w:autoSpaceDE w:val="0"/>
        <w:autoSpaceDN w:val="0"/>
        <w:spacing w:before="115"/>
        <w:jc w:val="center"/>
        <w:rPr>
          <w:rFonts w:eastAsia="仿宋"/>
          <w:spacing w:val="13"/>
          <w:kern w:val="0"/>
          <w:sz w:val="28"/>
          <w:szCs w:val="28"/>
        </w:rPr>
      </w:pPr>
    </w:p>
    <w:p w14:paraId="7EEE88B6">
      <w:pPr>
        <w:autoSpaceDE w:val="0"/>
        <w:autoSpaceDN w:val="0"/>
        <w:spacing w:before="115"/>
        <w:jc w:val="center"/>
        <w:rPr>
          <w:rFonts w:eastAsia="仿宋"/>
          <w:spacing w:val="13"/>
          <w:kern w:val="0"/>
          <w:sz w:val="28"/>
          <w:szCs w:val="28"/>
        </w:rPr>
      </w:pPr>
    </w:p>
    <w:p w14:paraId="1FFFA93A">
      <w:pPr>
        <w:autoSpaceDE w:val="0"/>
        <w:autoSpaceDN w:val="0"/>
        <w:spacing w:before="115"/>
        <w:jc w:val="center"/>
        <w:rPr>
          <w:rFonts w:eastAsia="仿宋"/>
          <w:spacing w:val="13"/>
          <w:kern w:val="0"/>
          <w:sz w:val="28"/>
          <w:szCs w:val="28"/>
        </w:rPr>
      </w:pPr>
    </w:p>
    <w:p w14:paraId="2E0BDA55">
      <w:pPr>
        <w:autoSpaceDE w:val="0"/>
        <w:autoSpaceDN w:val="0"/>
        <w:spacing w:before="115"/>
        <w:jc w:val="center"/>
        <w:rPr>
          <w:rFonts w:eastAsia="仿宋"/>
          <w:spacing w:val="13"/>
          <w:kern w:val="0"/>
          <w:sz w:val="28"/>
          <w:szCs w:val="28"/>
        </w:rPr>
      </w:pPr>
    </w:p>
    <w:p w14:paraId="17C3B491">
      <w:pPr>
        <w:autoSpaceDE w:val="0"/>
        <w:autoSpaceDN w:val="0"/>
        <w:spacing w:before="115"/>
        <w:jc w:val="center"/>
        <w:rPr>
          <w:rFonts w:eastAsia="仿宋"/>
          <w:spacing w:val="13"/>
          <w:kern w:val="0"/>
          <w:sz w:val="28"/>
          <w:szCs w:val="28"/>
        </w:rPr>
      </w:pPr>
    </w:p>
    <w:p w14:paraId="369FB085">
      <w:pPr>
        <w:pStyle w:val="12"/>
        <w:ind w:firstLine="306"/>
        <w:jc w:val="right"/>
        <w:rPr>
          <w:rFonts w:eastAsia="仿宋"/>
          <w:spacing w:val="13"/>
          <w:kern w:val="0"/>
          <w:sz w:val="28"/>
          <w:szCs w:val="28"/>
        </w:rPr>
      </w:pPr>
    </w:p>
    <w:p w14:paraId="2743B0F7">
      <w:pPr>
        <w:autoSpaceDE w:val="0"/>
        <w:autoSpaceDN w:val="0"/>
        <w:spacing w:before="115"/>
        <w:jc w:val="center"/>
        <w:rPr>
          <w:rFonts w:eastAsia="仿宋"/>
          <w:spacing w:val="13"/>
          <w:kern w:val="0"/>
          <w:sz w:val="28"/>
          <w:szCs w:val="28"/>
        </w:rPr>
      </w:pPr>
    </w:p>
    <w:p w14:paraId="6AE8B49E">
      <w:pPr>
        <w:autoSpaceDE w:val="0"/>
        <w:autoSpaceDN w:val="0"/>
        <w:spacing w:before="115"/>
        <w:jc w:val="center"/>
        <w:rPr>
          <w:rFonts w:eastAsia="仿宋"/>
          <w:spacing w:val="13"/>
          <w:kern w:val="0"/>
          <w:sz w:val="28"/>
          <w:szCs w:val="28"/>
        </w:rPr>
      </w:pPr>
    </w:p>
    <w:p w14:paraId="7C65F6C6">
      <w:pPr>
        <w:autoSpaceDE w:val="0"/>
        <w:autoSpaceDN w:val="0"/>
        <w:spacing w:before="115"/>
        <w:jc w:val="center"/>
        <w:rPr>
          <w:rFonts w:eastAsia="仿宋"/>
          <w:spacing w:val="13"/>
          <w:kern w:val="0"/>
          <w:sz w:val="28"/>
          <w:szCs w:val="28"/>
        </w:rPr>
      </w:pPr>
    </w:p>
    <w:p w14:paraId="6EB900FD">
      <w:pPr>
        <w:rPr>
          <w:rFonts w:eastAsia="仿宋"/>
          <w:spacing w:val="13"/>
          <w:kern w:val="0"/>
          <w:sz w:val="28"/>
          <w:szCs w:val="28"/>
        </w:rPr>
      </w:pPr>
      <w:r>
        <w:rPr>
          <w:rFonts w:eastAsia="仿宋"/>
          <w:spacing w:val="13"/>
          <w:kern w:val="0"/>
          <w:sz w:val="28"/>
          <w:szCs w:val="28"/>
        </w:rPr>
        <w:br w:type="page"/>
      </w:r>
    </w:p>
    <w:p w14:paraId="4A67DBE0">
      <w:pPr>
        <w:autoSpaceDE w:val="0"/>
        <w:autoSpaceDN w:val="0"/>
        <w:spacing w:before="115"/>
        <w:jc w:val="center"/>
        <w:outlineLvl w:val="1"/>
        <w:rPr>
          <w:rFonts w:eastAsia="仿宋"/>
          <w:kern w:val="0"/>
          <w:sz w:val="28"/>
          <w:szCs w:val="28"/>
        </w:rPr>
      </w:pPr>
      <w:r>
        <w:rPr>
          <w:rFonts w:eastAsia="仿宋"/>
          <w:spacing w:val="13"/>
          <w:kern w:val="0"/>
          <w:sz w:val="28"/>
          <w:szCs w:val="28"/>
        </w:rPr>
        <w:t>一、商务部分</w:t>
      </w:r>
    </w:p>
    <w:p w14:paraId="0D6B04DB">
      <w:pPr>
        <w:autoSpaceDE w:val="0"/>
        <w:autoSpaceDN w:val="0"/>
        <w:spacing w:before="81"/>
        <w:jc w:val="left"/>
        <w:rPr>
          <w:rFonts w:eastAsia="仿宋"/>
          <w:kern w:val="0"/>
          <w:sz w:val="24"/>
          <w:szCs w:val="24"/>
        </w:rPr>
      </w:pPr>
      <w:r>
        <w:rPr>
          <w:rFonts w:eastAsia="仿宋"/>
          <w:kern w:val="0"/>
          <w:sz w:val="24"/>
          <w:szCs w:val="24"/>
        </w:rPr>
        <w:t>1、磋商响应声明</w:t>
      </w:r>
    </w:p>
    <w:p w14:paraId="5DA60F49">
      <w:pPr>
        <w:autoSpaceDE w:val="0"/>
        <w:autoSpaceDN w:val="0"/>
        <w:spacing w:before="12"/>
        <w:jc w:val="left"/>
        <w:rPr>
          <w:rFonts w:eastAsia="仿宋"/>
          <w:kern w:val="0"/>
          <w:sz w:val="24"/>
          <w:szCs w:val="24"/>
        </w:rPr>
      </w:pPr>
    </w:p>
    <w:p w14:paraId="46A55988">
      <w:pPr>
        <w:autoSpaceDE w:val="0"/>
        <w:autoSpaceDN w:val="0"/>
        <w:spacing w:before="67"/>
        <w:ind w:right="891"/>
        <w:jc w:val="center"/>
        <w:rPr>
          <w:rFonts w:eastAsia="仿宋"/>
          <w:b/>
          <w:bCs/>
          <w:w w:val="95"/>
          <w:kern w:val="0"/>
          <w:sz w:val="24"/>
          <w:szCs w:val="24"/>
        </w:rPr>
      </w:pPr>
      <w:r>
        <w:rPr>
          <w:rFonts w:eastAsia="仿宋"/>
          <w:b/>
          <w:bCs/>
          <w:w w:val="95"/>
          <w:kern w:val="0"/>
          <w:sz w:val="24"/>
          <w:szCs w:val="24"/>
        </w:rPr>
        <w:t>磋商响应声明</w:t>
      </w:r>
    </w:p>
    <w:p w14:paraId="50689377">
      <w:pPr>
        <w:pStyle w:val="2"/>
      </w:pPr>
    </w:p>
    <w:p w14:paraId="56EE2CFF">
      <w:pPr>
        <w:tabs>
          <w:tab w:val="left" w:pos="2193"/>
        </w:tabs>
        <w:autoSpaceDE w:val="0"/>
        <w:autoSpaceDN w:val="0"/>
        <w:snapToGrid w:val="0"/>
        <w:spacing w:before="199" w:line="360" w:lineRule="auto"/>
        <w:jc w:val="left"/>
        <w:rPr>
          <w:rFonts w:eastAsia="仿宋"/>
          <w:kern w:val="0"/>
          <w:sz w:val="24"/>
          <w:szCs w:val="24"/>
        </w:rPr>
      </w:pPr>
      <w:r>
        <w:rPr>
          <w:rFonts w:eastAsia="仿宋"/>
          <w:kern w:val="0"/>
          <w:sz w:val="24"/>
          <w:szCs w:val="24"/>
        </w:rPr>
        <w:t>致</w:t>
      </w:r>
      <w:r>
        <w:rPr>
          <w:rFonts w:eastAsia="仿宋"/>
          <w:kern w:val="0"/>
          <w:sz w:val="24"/>
          <w:szCs w:val="24"/>
          <w:u w:val="single"/>
        </w:rPr>
        <w:tab/>
      </w:r>
      <w:r>
        <w:rPr>
          <w:rFonts w:eastAsia="仿宋"/>
          <w:kern w:val="0"/>
          <w:sz w:val="24"/>
          <w:szCs w:val="24"/>
        </w:rPr>
        <w:t>(采购人或采购代理机构)：</w:t>
      </w:r>
    </w:p>
    <w:p w14:paraId="0A411AA4">
      <w:pPr>
        <w:tabs>
          <w:tab w:val="left" w:pos="4353"/>
          <w:tab w:val="left" w:pos="10203"/>
        </w:tabs>
        <w:autoSpaceDE w:val="0"/>
        <w:autoSpaceDN w:val="0"/>
        <w:snapToGrid w:val="0"/>
        <w:spacing w:before="182" w:line="360" w:lineRule="auto"/>
        <w:ind w:right="380" w:firstLine="480" w:firstLineChars="200"/>
        <w:jc w:val="left"/>
        <w:rPr>
          <w:rFonts w:eastAsia="仿宋"/>
          <w:kern w:val="0"/>
          <w:sz w:val="24"/>
          <w:szCs w:val="24"/>
        </w:rPr>
      </w:pPr>
      <w:r>
        <w:rPr>
          <w:rFonts w:eastAsia="仿宋"/>
          <w:kern w:val="0"/>
          <w:sz w:val="24"/>
          <w:szCs w:val="24"/>
        </w:rPr>
        <w:t>我方已仔细研究了</w:t>
      </w:r>
      <w:r>
        <w:rPr>
          <w:rFonts w:eastAsia="仿宋"/>
          <w:kern w:val="0"/>
          <w:sz w:val="24"/>
          <w:szCs w:val="24"/>
          <w:u w:val="single"/>
        </w:rPr>
        <w:tab/>
      </w:r>
      <w:r>
        <w:rPr>
          <w:rFonts w:eastAsia="仿宋"/>
          <w:kern w:val="0"/>
          <w:sz w:val="24"/>
          <w:szCs w:val="24"/>
        </w:rPr>
        <w:t>(项目名称)的竞争性采购文件(项目编号：</w:t>
      </w:r>
      <w:r>
        <w:rPr>
          <w:rFonts w:eastAsia="仿宋"/>
          <w:spacing w:val="-1"/>
          <w:kern w:val="0"/>
          <w:sz w:val="24"/>
          <w:szCs w:val="24"/>
        </w:rPr>
        <w:t>)</w:t>
      </w:r>
      <w:r>
        <w:rPr>
          <w:rFonts w:eastAsia="仿宋"/>
          <w:spacing w:val="-117"/>
          <w:kern w:val="0"/>
          <w:sz w:val="24"/>
          <w:szCs w:val="24"/>
        </w:rPr>
        <w:t xml:space="preserve"> </w:t>
      </w:r>
      <w:r>
        <w:rPr>
          <w:rFonts w:eastAsia="仿宋"/>
          <w:spacing w:val="-1"/>
          <w:kern w:val="0"/>
          <w:sz w:val="24"/>
          <w:szCs w:val="24"/>
        </w:rPr>
        <w:t>的全部内容，知悉参加竞争性磋商的风险，我方承诺接受采购文件的</w:t>
      </w:r>
      <w:r>
        <w:rPr>
          <w:rFonts w:eastAsia="仿宋"/>
          <w:kern w:val="0"/>
          <w:sz w:val="24"/>
          <w:szCs w:val="24"/>
        </w:rPr>
        <w:t>全部条款且无任何异议。</w:t>
      </w:r>
    </w:p>
    <w:p w14:paraId="7EA7BD8C">
      <w:pPr>
        <w:autoSpaceDE w:val="0"/>
        <w:autoSpaceDN w:val="0"/>
        <w:snapToGrid w:val="0"/>
        <w:spacing w:before="1" w:line="360" w:lineRule="auto"/>
        <w:ind w:right="499"/>
        <w:jc w:val="left"/>
        <w:rPr>
          <w:rFonts w:eastAsia="仿宋"/>
          <w:kern w:val="0"/>
          <w:sz w:val="24"/>
          <w:szCs w:val="24"/>
        </w:rPr>
      </w:pPr>
      <w:r>
        <w:rPr>
          <w:rFonts w:eastAsia="仿宋"/>
          <w:kern w:val="0"/>
          <w:sz w:val="24"/>
          <w:szCs w:val="24"/>
        </w:rPr>
        <w:t>一、我方同意在磋商响应有效期内遵守本响应文件中的承诺，且在此期限期满之前均具有法律约束力。</w:t>
      </w:r>
    </w:p>
    <w:p w14:paraId="041F9801">
      <w:pPr>
        <w:tabs>
          <w:tab w:val="left" w:pos="5112"/>
          <w:tab w:val="left" w:pos="6806"/>
          <w:tab w:val="left" w:pos="9238"/>
        </w:tabs>
        <w:autoSpaceDE w:val="0"/>
        <w:autoSpaceDN w:val="0"/>
        <w:snapToGrid w:val="0"/>
        <w:spacing w:before="3" w:line="360" w:lineRule="auto"/>
        <w:jc w:val="left"/>
        <w:rPr>
          <w:rFonts w:eastAsia="仿宋"/>
          <w:kern w:val="0"/>
          <w:sz w:val="24"/>
          <w:szCs w:val="24"/>
        </w:rPr>
      </w:pPr>
      <w:r>
        <w:rPr>
          <w:rFonts w:eastAsia="仿宋"/>
          <w:kern w:val="0"/>
          <w:sz w:val="24"/>
          <w:szCs w:val="24"/>
        </w:rPr>
        <w:t>二、我方提交纸质响应文件正本</w:t>
      </w:r>
      <w:r>
        <w:rPr>
          <w:rFonts w:eastAsia="仿宋"/>
          <w:kern w:val="0"/>
          <w:sz w:val="24"/>
          <w:szCs w:val="24"/>
          <w:u w:val="single"/>
        </w:rPr>
        <w:t>/</w:t>
      </w:r>
      <w:r>
        <w:rPr>
          <w:rFonts w:eastAsia="仿宋"/>
          <w:kern w:val="0"/>
          <w:sz w:val="24"/>
          <w:szCs w:val="24"/>
        </w:rPr>
        <w:t>份和副本</w:t>
      </w:r>
      <w:r>
        <w:rPr>
          <w:rFonts w:eastAsia="仿宋"/>
          <w:kern w:val="0"/>
          <w:sz w:val="24"/>
          <w:szCs w:val="24"/>
          <w:u w:val="single"/>
        </w:rPr>
        <w:t>/</w:t>
      </w:r>
      <w:r>
        <w:rPr>
          <w:rFonts w:eastAsia="仿宋"/>
          <w:kern w:val="0"/>
          <w:sz w:val="24"/>
          <w:szCs w:val="24"/>
        </w:rPr>
        <w:t>份，电子响应文件</w:t>
      </w:r>
      <w:r>
        <w:rPr>
          <w:rFonts w:eastAsia="仿宋"/>
          <w:kern w:val="0"/>
          <w:sz w:val="24"/>
          <w:szCs w:val="24"/>
          <w:u w:val="single"/>
        </w:rPr>
        <w:tab/>
      </w:r>
      <w:r>
        <w:rPr>
          <w:rFonts w:eastAsia="仿宋"/>
          <w:kern w:val="0"/>
          <w:sz w:val="24"/>
          <w:szCs w:val="24"/>
        </w:rPr>
        <w:t>套，并保证响应文件提供的数据和材料是真实、准确的。否则，愿承担《政府采购法》第七十七条规定的法律责任。</w:t>
      </w:r>
    </w:p>
    <w:p w14:paraId="4B170075">
      <w:pPr>
        <w:autoSpaceDE w:val="0"/>
        <w:autoSpaceDN w:val="0"/>
        <w:snapToGrid w:val="0"/>
        <w:spacing w:before="2" w:line="360" w:lineRule="auto"/>
        <w:ind w:right="499"/>
        <w:jc w:val="left"/>
        <w:rPr>
          <w:rFonts w:eastAsia="仿宋"/>
          <w:kern w:val="0"/>
          <w:sz w:val="24"/>
          <w:szCs w:val="24"/>
        </w:rPr>
      </w:pPr>
      <w:r>
        <w:rPr>
          <w:rFonts w:eastAsia="仿宋"/>
          <w:kern w:val="0"/>
          <w:sz w:val="24"/>
          <w:szCs w:val="24"/>
        </w:rPr>
        <w:t>三、我方愿意向贵方提供任何与本项采购有关的数据、情况和技术资料。若贵方需要，</w:t>
      </w:r>
      <w:r>
        <w:rPr>
          <w:rFonts w:eastAsia="仿宋"/>
          <w:spacing w:val="-117"/>
          <w:kern w:val="0"/>
          <w:sz w:val="24"/>
          <w:szCs w:val="24"/>
        </w:rPr>
        <w:t xml:space="preserve"> </w:t>
      </w:r>
      <w:r>
        <w:rPr>
          <w:rFonts w:eastAsia="仿宋"/>
          <w:kern w:val="0"/>
          <w:sz w:val="24"/>
          <w:szCs w:val="24"/>
        </w:rPr>
        <w:t>我方愿意提供我方作出的一切承诺的证明材料。</w:t>
      </w:r>
    </w:p>
    <w:p w14:paraId="4C7954C8">
      <w:pPr>
        <w:autoSpaceDE w:val="0"/>
        <w:autoSpaceDN w:val="0"/>
        <w:snapToGrid w:val="0"/>
        <w:spacing w:before="2" w:line="360" w:lineRule="auto"/>
        <w:jc w:val="left"/>
        <w:rPr>
          <w:rFonts w:eastAsia="仿宋"/>
          <w:kern w:val="0"/>
          <w:sz w:val="24"/>
          <w:szCs w:val="24"/>
        </w:rPr>
      </w:pPr>
      <w:r>
        <w:rPr>
          <w:rFonts w:eastAsia="仿宋"/>
          <w:kern w:val="0"/>
          <w:sz w:val="24"/>
          <w:szCs w:val="24"/>
        </w:rPr>
        <w:t>四、我方愿意按采购文件规定和磋商小组要求重新提交响应文件和最后报价。</w:t>
      </w:r>
    </w:p>
    <w:p w14:paraId="65B6530C">
      <w:pPr>
        <w:autoSpaceDE w:val="0"/>
        <w:autoSpaceDN w:val="0"/>
        <w:snapToGrid w:val="0"/>
        <w:spacing w:line="360" w:lineRule="auto"/>
        <w:ind w:right="499"/>
        <w:jc w:val="left"/>
        <w:rPr>
          <w:rFonts w:eastAsia="仿宋"/>
          <w:kern w:val="0"/>
          <w:sz w:val="24"/>
          <w:szCs w:val="24"/>
        </w:rPr>
      </w:pPr>
      <w:r>
        <w:rPr>
          <w:rFonts w:eastAsia="仿宋"/>
          <w:kern w:val="0"/>
          <w:sz w:val="24"/>
          <w:szCs w:val="24"/>
        </w:rPr>
        <w:t>五、我方承诺遵守《政府采购法》的有关规定，保证在获得成交资格后，按照采购文件确定的事项签订政府采购合同，履行双方所签订的合同，并承担合同规定的责任和义务。</w:t>
      </w:r>
    </w:p>
    <w:p w14:paraId="1E9CDDC3">
      <w:pPr>
        <w:tabs>
          <w:tab w:val="left" w:pos="4648"/>
        </w:tabs>
        <w:autoSpaceDE w:val="0"/>
        <w:autoSpaceDN w:val="0"/>
        <w:snapToGrid w:val="0"/>
        <w:spacing w:line="360" w:lineRule="auto"/>
        <w:ind w:right="5810"/>
        <w:jc w:val="left"/>
        <w:rPr>
          <w:rFonts w:eastAsia="仿宋"/>
          <w:spacing w:val="-117"/>
          <w:kern w:val="0"/>
          <w:sz w:val="24"/>
          <w:szCs w:val="24"/>
        </w:rPr>
      </w:pPr>
    </w:p>
    <w:p w14:paraId="02F4329F">
      <w:pPr>
        <w:tabs>
          <w:tab w:val="left" w:pos="4648"/>
        </w:tabs>
        <w:autoSpaceDE w:val="0"/>
        <w:autoSpaceDN w:val="0"/>
        <w:snapToGrid w:val="0"/>
        <w:spacing w:line="360" w:lineRule="auto"/>
        <w:ind w:right="5810"/>
        <w:jc w:val="left"/>
        <w:rPr>
          <w:rFonts w:eastAsia="仿宋"/>
          <w:spacing w:val="-117"/>
          <w:kern w:val="0"/>
          <w:sz w:val="24"/>
          <w:szCs w:val="24"/>
        </w:rPr>
      </w:pPr>
    </w:p>
    <w:p w14:paraId="6D46BAC0">
      <w:pPr>
        <w:tabs>
          <w:tab w:val="left" w:pos="4648"/>
        </w:tabs>
        <w:autoSpaceDE w:val="0"/>
        <w:autoSpaceDN w:val="0"/>
        <w:snapToGrid w:val="0"/>
        <w:spacing w:line="360" w:lineRule="auto"/>
        <w:ind w:right="5810"/>
        <w:jc w:val="left"/>
        <w:rPr>
          <w:rFonts w:eastAsia="仿宋"/>
          <w:spacing w:val="-117"/>
          <w:kern w:val="0"/>
          <w:sz w:val="24"/>
          <w:szCs w:val="24"/>
        </w:rPr>
      </w:pPr>
    </w:p>
    <w:p w14:paraId="4D775269">
      <w:pPr>
        <w:autoSpaceDE w:val="0"/>
        <w:autoSpaceDN w:val="0"/>
        <w:snapToGrid w:val="0"/>
        <w:spacing w:line="360" w:lineRule="auto"/>
        <w:ind w:right="499"/>
        <w:jc w:val="left"/>
        <w:rPr>
          <w:rFonts w:eastAsia="仿宋"/>
          <w:kern w:val="0"/>
          <w:sz w:val="24"/>
          <w:szCs w:val="24"/>
        </w:rPr>
      </w:pPr>
      <w:r>
        <w:rPr>
          <w:rFonts w:eastAsia="仿宋"/>
          <w:kern w:val="0"/>
          <w:sz w:val="24"/>
          <w:szCs w:val="24"/>
        </w:rPr>
        <w:t xml:space="preserve">供应商名称(公章)： </w:t>
      </w:r>
      <w:r>
        <w:rPr>
          <w:rFonts w:eastAsia="仿宋"/>
          <w:kern w:val="0"/>
          <w:sz w:val="24"/>
          <w:szCs w:val="24"/>
        </w:rPr>
        <w:tab/>
      </w:r>
    </w:p>
    <w:p w14:paraId="75A15DE2">
      <w:pPr>
        <w:autoSpaceDE w:val="0"/>
        <w:autoSpaceDN w:val="0"/>
        <w:snapToGrid w:val="0"/>
        <w:spacing w:line="360" w:lineRule="auto"/>
        <w:ind w:right="499"/>
        <w:jc w:val="left"/>
        <w:rPr>
          <w:rFonts w:eastAsia="仿宋"/>
          <w:kern w:val="0"/>
          <w:sz w:val="24"/>
          <w:szCs w:val="24"/>
        </w:rPr>
      </w:pPr>
      <w:r>
        <w:rPr>
          <w:rFonts w:eastAsia="仿宋"/>
          <w:kern w:val="0"/>
          <w:sz w:val="24"/>
          <w:szCs w:val="24"/>
        </w:rPr>
        <w:t xml:space="preserve">法定代表人或授权代表(签字或盖章)： </w:t>
      </w:r>
      <w:r>
        <w:rPr>
          <w:rFonts w:eastAsia="仿宋"/>
          <w:kern w:val="0"/>
          <w:sz w:val="24"/>
          <w:szCs w:val="24"/>
        </w:rPr>
        <w:tab/>
      </w:r>
    </w:p>
    <w:p w14:paraId="4A9B9BD7">
      <w:pPr>
        <w:autoSpaceDE w:val="0"/>
        <w:autoSpaceDN w:val="0"/>
        <w:snapToGrid w:val="0"/>
        <w:spacing w:line="360" w:lineRule="auto"/>
        <w:ind w:right="499"/>
        <w:jc w:val="left"/>
        <w:rPr>
          <w:rFonts w:eastAsia="仿宋"/>
          <w:kern w:val="0"/>
          <w:sz w:val="24"/>
          <w:szCs w:val="24"/>
        </w:rPr>
      </w:pPr>
      <w:r>
        <w:rPr>
          <w:rFonts w:eastAsia="仿宋"/>
          <w:kern w:val="0"/>
          <w:sz w:val="24"/>
          <w:szCs w:val="24"/>
        </w:rPr>
        <w:t>日期：</w:t>
      </w:r>
      <w:r>
        <w:rPr>
          <w:rFonts w:eastAsia="仿宋"/>
          <w:kern w:val="0"/>
          <w:sz w:val="24"/>
          <w:szCs w:val="24"/>
        </w:rPr>
        <w:tab/>
      </w:r>
      <w:r>
        <w:rPr>
          <w:rFonts w:eastAsia="仿宋"/>
          <w:kern w:val="0"/>
          <w:sz w:val="24"/>
          <w:szCs w:val="24"/>
        </w:rPr>
        <w:t>年</w:t>
      </w:r>
      <w:r>
        <w:rPr>
          <w:rFonts w:eastAsia="仿宋"/>
          <w:kern w:val="0"/>
          <w:sz w:val="24"/>
          <w:szCs w:val="24"/>
        </w:rPr>
        <w:tab/>
      </w:r>
      <w:r>
        <w:rPr>
          <w:rFonts w:eastAsia="仿宋"/>
          <w:kern w:val="0"/>
          <w:sz w:val="24"/>
          <w:szCs w:val="24"/>
        </w:rPr>
        <w:t>月</w:t>
      </w:r>
      <w:r>
        <w:rPr>
          <w:rFonts w:eastAsia="仿宋"/>
          <w:kern w:val="0"/>
          <w:sz w:val="24"/>
          <w:szCs w:val="24"/>
        </w:rPr>
        <w:tab/>
      </w:r>
      <w:r>
        <w:rPr>
          <w:rFonts w:eastAsia="仿宋"/>
          <w:kern w:val="0"/>
          <w:sz w:val="24"/>
          <w:szCs w:val="24"/>
        </w:rPr>
        <w:t>日</w:t>
      </w:r>
    </w:p>
    <w:p w14:paraId="4EB660F2">
      <w:pPr>
        <w:autoSpaceDE w:val="0"/>
        <w:autoSpaceDN w:val="0"/>
        <w:jc w:val="left"/>
        <w:rPr>
          <w:rFonts w:eastAsia="仿宋"/>
          <w:kern w:val="0"/>
          <w:sz w:val="24"/>
          <w:szCs w:val="24"/>
        </w:rPr>
        <w:sectPr>
          <w:headerReference r:id="rId8" w:type="default"/>
          <w:footerReference r:id="rId9" w:type="default"/>
          <w:pgSz w:w="11911" w:h="16838"/>
          <w:pgMar w:top="1440" w:right="1140" w:bottom="1440" w:left="1140" w:header="850" w:footer="1088" w:gutter="0"/>
          <w:cols w:space="0" w:num="1"/>
        </w:sectPr>
      </w:pPr>
    </w:p>
    <w:p w14:paraId="45B1F596">
      <w:pPr>
        <w:tabs>
          <w:tab w:val="left" w:pos="2733"/>
        </w:tabs>
        <w:autoSpaceDE w:val="0"/>
        <w:autoSpaceDN w:val="0"/>
        <w:spacing w:before="100"/>
        <w:rPr>
          <w:rFonts w:eastAsia="仿宋"/>
          <w:kern w:val="0"/>
          <w:sz w:val="24"/>
          <w:szCs w:val="24"/>
        </w:rPr>
      </w:pPr>
      <w:r>
        <w:rPr>
          <w:rFonts w:eastAsia="仿宋"/>
          <w:kern w:val="0"/>
          <w:sz w:val="24"/>
          <w:szCs w:val="24"/>
        </w:rPr>
        <w:t>附件</w:t>
      </w:r>
      <w:r>
        <w:rPr>
          <w:rFonts w:eastAsia="仿宋"/>
          <w:spacing w:val="-60"/>
          <w:kern w:val="0"/>
          <w:sz w:val="24"/>
          <w:szCs w:val="24"/>
        </w:rPr>
        <w:t xml:space="preserve"> </w:t>
      </w:r>
      <w:r>
        <w:rPr>
          <w:rFonts w:eastAsia="仿宋"/>
          <w:kern w:val="0"/>
          <w:sz w:val="24"/>
          <w:szCs w:val="24"/>
        </w:rPr>
        <w:t>1－1 法定代表人身份证明(法定代表人参加磋商)</w:t>
      </w:r>
    </w:p>
    <w:p w14:paraId="572754E1">
      <w:pPr>
        <w:autoSpaceDE w:val="0"/>
        <w:autoSpaceDN w:val="0"/>
        <w:adjustRightInd w:val="0"/>
        <w:spacing w:line="360" w:lineRule="auto"/>
        <w:jc w:val="center"/>
        <w:rPr>
          <w:rFonts w:eastAsia="仿宋"/>
          <w:b/>
          <w:kern w:val="0"/>
          <w:sz w:val="24"/>
          <w:szCs w:val="24"/>
        </w:rPr>
      </w:pPr>
    </w:p>
    <w:p w14:paraId="1AF03054">
      <w:pPr>
        <w:autoSpaceDE w:val="0"/>
        <w:autoSpaceDN w:val="0"/>
        <w:adjustRightInd w:val="0"/>
        <w:spacing w:line="360" w:lineRule="auto"/>
        <w:jc w:val="center"/>
        <w:rPr>
          <w:rFonts w:eastAsia="仿宋"/>
          <w:b/>
          <w:bCs/>
          <w:kern w:val="0"/>
          <w:sz w:val="24"/>
          <w:szCs w:val="24"/>
        </w:rPr>
      </w:pPr>
      <w:r>
        <w:rPr>
          <w:rFonts w:eastAsia="仿宋"/>
          <w:b/>
          <w:bCs/>
          <w:kern w:val="0"/>
          <w:sz w:val="24"/>
          <w:szCs w:val="24"/>
        </w:rPr>
        <w:t>1、法定代表人身份证明</w:t>
      </w:r>
    </w:p>
    <w:p w14:paraId="0B7AD246">
      <w:pPr>
        <w:autoSpaceDE w:val="0"/>
        <w:autoSpaceDN w:val="0"/>
        <w:adjustRightInd w:val="0"/>
        <w:snapToGrid w:val="0"/>
        <w:spacing w:line="360" w:lineRule="auto"/>
        <w:ind w:firstLine="360" w:firstLineChars="150"/>
        <w:rPr>
          <w:rFonts w:eastAsia="仿宋"/>
          <w:kern w:val="0"/>
          <w:sz w:val="24"/>
          <w:szCs w:val="24"/>
          <w:u w:val="single"/>
        </w:rPr>
      </w:pPr>
      <w:r>
        <w:rPr>
          <w:rFonts w:eastAsia="仿宋"/>
          <w:kern w:val="0"/>
          <w:sz w:val="24"/>
          <w:szCs w:val="24"/>
        </w:rPr>
        <w:t>采购人：</w:t>
      </w:r>
      <w:r>
        <w:rPr>
          <w:rFonts w:eastAsia="仿宋"/>
          <w:kern w:val="0"/>
          <w:sz w:val="24"/>
          <w:szCs w:val="24"/>
          <w:u w:val="single"/>
        </w:rPr>
        <w:t xml:space="preserve">                                            </w:t>
      </w:r>
    </w:p>
    <w:p w14:paraId="01E16D0C">
      <w:pPr>
        <w:autoSpaceDE w:val="0"/>
        <w:autoSpaceDN w:val="0"/>
        <w:adjustRightInd w:val="0"/>
        <w:snapToGrid w:val="0"/>
        <w:spacing w:line="360" w:lineRule="auto"/>
        <w:ind w:firstLine="360" w:firstLineChars="150"/>
        <w:jc w:val="left"/>
        <w:rPr>
          <w:rFonts w:eastAsia="仿宋"/>
          <w:kern w:val="0"/>
          <w:sz w:val="24"/>
          <w:szCs w:val="24"/>
        </w:rPr>
      </w:pPr>
      <w:r>
        <w:rPr>
          <w:rFonts w:eastAsia="仿宋"/>
          <w:kern w:val="0"/>
          <w:sz w:val="24"/>
          <w:szCs w:val="24"/>
        </w:rPr>
        <w:t>兹证明</w:t>
      </w:r>
      <w:r>
        <w:rPr>
          <w:rFonts w:eastAsia="仿宋"/>
          <w:kern w:val="0"/>
          <w:sz w:val="24"/>
          <w:szCs w:val="24"/>
          <w:u w:val="single"/>
        </w:rPr>
        <w:t xml:space="preserve">         </w:t>
      </w:r>
      <w:r>
        <w:rPr>
          <w:rFonts w:eastAsia="仿宋"/>
          <w:kern w:val="0"/>
          <w:sz w:val="24"/>
          <w:szCs w:val="24"/>
        </w:rPr>
        <w:t>同志在我单位任</w:t>
      </w:r>
      <w:r>
        <w:rPr>
          <w:rFonts w:eastAsia="仿宋"/>
          <w:kern w:val="0"/>
          <w:sz w:val="24"/>
          <w:szCs w:val="24"/>
          <w:u w:val="single"/>
        </w:rPr>
        <w:t>（职务）</w:t>
      </w:r>
      <w:r>
        <w:rPr>
          <w:rFonts w:eastAsia="仿宋"/>
          <w:kern w:val="0"/>
          <w:sz w:val="24"/>
          <w:szCs w:val="24"/>
        </w:rPr>
        <w:t>，是我单位的法定代表人。</w:t>
      </w:r>
    </w:p>
    <w:p w14:paraId="40211FE1">
      <w:pPr>
        <w:autoSpaceDE w:val="0"/>
        <w:autoSpaceDN w:val="0"/>
        <w:adjustRightInd w:val="0"/>
        <w:snapToGrid w:val="0"/>
        <w:spacing w:line="360" w:lineRule="auto"/>
        <w:ind w:firstLine="360" w:firstLineChars="150"/>
        <w:jc w:val="left"/>
        <w:rPr>
          <w:rFonts w:eastAsia="仿宋"/>
          <w:kern w:val="0"/>
          <w:sz w:val="24"/>
          <w:szCs w:val="24"/>
        </w:rPr>
      </w:pPr>
      <w:r>
        <w:rPr>
          <w:rFonts w:eastAsia="仿宋"/>
          <w:kern w:val="0"/>
          <w:sz w:val="24"/>
          <w:szCs w:val="24"/>
        </w:rPr>
        <w:t>附法定代表人基本情况：</w:t>
      </w:r>
    </w:p>
    <w:p w14:paraId="51D0CF42">
      <w:pPr>
        <w:autoSpaceDE w:val="0"/>
        <w:autoSpaceDN w:val="0"/>
        <w:adjustRightInd w:val="0"/>
        <w:snapToGrid w:val="0"/>
        <w:spacing w:line="360" w:lineRule="auto"/>
        <w:ind w:firstLine="360" w:firstLineChars="150"/>
        <w:jc w:val="left"/>
        <w:rPr>
          <w:rFonts w:eastAsia="仿宋"/>
          <w:kern w:val="0"/>
          <w:sz w:val="24"/>
          <w:szCs w:val="24"/>
          <w:u w:val="single"/>
        </w:rPr>
      </w:pPr>
      <w:r>
        <w:rPr>
          <w:rFonts w:eastAsia="仿宋"/>
          <w:kern w:val="0"/>
          <w:sz w:val="24"/>
          <w:szCs w:val="24"/>
        </w:rPr>
        <w:t>姓名</w:t>
      </w:r>
      <w:r>
        <w:rPr>
          <w:rFonts w:eastAsia="仿宋"/>
          <w:kern w:val="0"/>
          <w:sz w:val="24"/>
          <w:szCs w:val="24"/>
          <w:u w:val="single"/>
        </w:rPr>
        <w:t xml:space="preserve">      </w:t>
      </w:r>
      <w:r>
        <w:rPr>
          <w:rFonts w:eastAsia="仿宋"/>
          <w:kern w:val="0"/>
          <w:sz w:val="24"/>
          <w:szCs w:val="24"/>
        </w:rPr>
        <w:t>性别</w:t>
      </w:r>
      <w:r>
        <w:rPr>
          <w:rFonts w:eastAsia="仿宋"/>
          <w:kern w:val="0"/>
          <w:sz w:val="24"/>
          <w:szCs w:val="24"/>
          <w:u w:val="single"/>
        </w:rPr>
        <w:t xml:space="preserve">     </w:t>
      </w:r>
      <w:r>
        <w:rPr>
          <w:rFonts w:eastAsia="仿宋"/>
          <w:kern w:val="0"/>
          <w:sz w:val="24"/>
          <w:szCs w:val="24"/>
        </w:rPr>
        <w:t>年龄</w:t>
      </w:r>
      <w:r>
        <w:rPr>
          <w:rFonts w:eastAsia="仿宋"/>
          <w:kern w:val="0"/>
          <w:sz w:val="24"/>
          <w:szCs w:val="24"/>
          <w:u w:val="single"/>
        </w:rPr>
        <w:t xml:space="preserve">     </w:t>
      </w:r>
    </w:p>
    <w:p w14:paraId="52AC039F">
      <w:pPr>
        <w:autoSpaceDE w:val="0"/>
        <w:autoSpaceDN w:val="0"/>
        <w:adjustRightInd w:val="0"/>
        <w:snapToGrid w:val="0"/>
        <w:spacing w:line="360" w:lineRule="auto"/>
        <w:ind w:firstLine="360" w:firstLineChars="150"/>
        <w:jc w:val="left"/>
        <w:rPr>
          <w:rFonts w:eastAsia="仿宋"/>
          <w:kern w:val="0"/>
          <w:sz w:val="24"/>
          <w:szCs w:val="24"/>
          <w:u w:val="single"/>
        </w:rPr>
      </w:pPr>
      <w:r>
        <w:rPr>
          <w:rFonts w:eastAsia="仿宋"/>
          <w:kern w:val="0"/>
          <w:sz w:val="24"/>
          <w:szCs w:val="24"/>
        </w:rPr>
        <w:t>身份证号码：</w:t>
      </w:r>
      <w:r>
        <w:rPr>
          <w:rFonts w:eastAsia="仿宋"/>
          <w:kern w:val="0"/>
          <w:sz w:val="24"/>
          <w:szCs w:val="24"/>
          <w:u w:val="single"/>
        </w:rPr>
        <w:t xml:space="preserve">                </w:t>
      </w:r>
    </w:p>
    <w:p w14:paraId="2C13D323">
      <w:pPr>
        <w:autoSpaceDE w:val="0"/>
        <w:autoSpaceDN w:val="0"/>
        <w:adjustRightInd w:val="0"/>
        <w:snapToGrid w:val="0"/>
        <w:spacing w:line="360" w:lineRule="auto"/>
        <w:ind w:firstLine="360" w:firstLineChars="150"/>
        <w:jc w:val="left"/>
        <w:rPr>
          <w:rFonts w:eastAsia="仿宋"/>
          <w:kern w:val="0"/>
          <w:sz w:val="24"/>
          <w:szCs w:val="24"/>
          <w:u w:val="single"/>
        </w:rPr>
      </w:pPr>
      <w:r>
        <w:rPr>
          <w:rFonts w:eastAsia="仿宋"/>
          <w:kern w:val="0"/>
          <w:sz w:val="24"/>
          <w:szCs w:val="24"/>
        </w:rPr>
        <w:t>通讯地址：</w:t>
      </w:r>
      <w:r>
        <w:rPr>
          <w:rFonts w:eastAsia="仿宋"/>
          <w:kern w:val="0"/>
          <w:sz w:val="24"/>
          <w:szCs w:val="24"/>
          <w:u w:val="single"/>
        </w:rPr>
        <w:t xml:space="preserve">                  </w:t>
      </w:r>
    </w:p>
    <w:p w14:paraId="0F97C088">
      <w:pPr>
        <w:autoSpaceDE w:val="0"/>
        <w:autoSpaceDN w:val="0"/>
        <w:adjustRightInd w:val="0"/>
        <w:snapToGrid w:val="0"/>
        <w:spacing w:line="360" w:lineRule="auto"/>
        <w:ind w:firstLine="360" w:firstLineChars="150"/>
        <w:jc w:val="left"/>
        <w:rPr>
          <w:rFonts w:eastAsia="仿宋"/>
          <w:kern w:val="0"/>
          <w:sz w:val="24"/>
          <w:szCs w:val="24"/>
          <w:u w:val="single"/>
        </w:rPr>
      </w:pPr>
      <w:r>
        <w:rPr>
          <w:rFonts w:eastAsia="仿宋"/>
          <w:kern w:val="0"/>
          <w:sz w:val="24"/>
          <w:szCs w:val="24"/>
        </w:rPr>
        <w:t>电话号码：</w:t>
      </w:r>
      <w:r>
        <w:rPr>
          <w:rFonts w:eastAsia="仿宋"/>
          <w:kern w:val="0"/>
          <w:sz w:val="24"/>
          <w:szCs w:val="24"/>
          <w:u w:val="single"/>
        </w:rPr>
        <w:t xml:space="preserve">           </w:t>
      </w:r>
      <w:r>
        <w:rPr>
          <w:rFonts w:eastAsia="仿宋"/>
          <w:kern w:val="0"/>
          <w:sz w:val="24"/>
          <w:szCs w:val="24"/>
        </w:rPr>
        <w:t>邮编：</w:t>
      </w:r>
      <w:r>
        <w:rPr>
          <w:rFonts w:eastAsia="仿宋"/>
          <w:kern w:val="0"/>
          <w:sz w:val="24"/>
          <w:szCs w:val="24"/>
          <w:u w:val="single"/>
        </w:rPr>
        <w:t xml:space="preserve">           </w:t>
      </w:r>
    </w:p>
    <w:p w14:paraId="4BC1DA93">
      <w:pPr>
        <w:autoSpaceDE w:val="0"/>
        <w:autoSpaceDN w:val="0"/>
        <w:adjustRightInd w:val="0"/>
        <w:snapToGrid w:val="0"/>
        <w:spacing w:line="360" w:lineRule="auto"/>
        <w:jc w:val="left"/>
        <w:rPr>
          <w:rFonts w:eastAsia="仿宋"/>
          <w:kern w:val="0"/>
          <w:sz w:val="24"/>
          <w:szCs w:val="24"/>
        </w:rPr>
      </w:pPr>
    </w:p>
    <w:p w14:paraId="66EB29F1">
      <w:pPr>
        <w:autoSpaceDE w:val="0"/>
        <w:autoSpaceDN w:val="0"/>
        <w:adjustRightInd w:val="0"/>
        <w:snapToGrid w:val="0"/>
        <w:spacing w:line="360" w:lineRule="auto"/>
        <w:jc w:val="left"/>
        <w:rPr>
          <w:rFonts w:eastAsia="仿宋"/>
          <w:kern w:val="0"/>
          <w:sz w:val="24"/>
          <w:szCs w:val="24"/>
        </w:rPr>
      </w:pPr>
    </w:p>
    <w:p w14:paraId="66B4FC02">
      <w:pPr>
        <w:autoSpaceDE w:val="0"/>
        <w:autoSpaceDN w:val="0"/>
        <w:adjustRightInd w:val="0"/>
        <w:snapToGrid w:val="0"/>
        <w:spacing w:line="360" w:lineRule="auto"/>
        <w:jc w:val="left"/>
        <w:rPr>
          <w:rFonts w:eastAsia="仿宋"/>
          <w:kern w:val="0"/>
          <w:sz w:val="24"/>
          <w:szCs w:val="24"/>
        </w:rPr>
      </w:pPr>
      <w:r>
        <w:rPr>
          <w:rFonts w:eastAsia="仿宋"/>
          <w:kern w:val="0"/>
          <w:sz w:val="24"/>
          <w:szCs w:val="24"/>
        </w:rPr>
        <w:t>供应商：</w:t>
      </w:r>
      <w:r>
        <w:rPr>
          <w:rFonts w:eastAsia="仿宋"/>
          <w:kern w:val="0"/>
          <w:sz w:val="24"/>
          <w:szCs w:val="24"/>
          <w:u w:val="single"/>
        </w:rPr>
        <w:t>（全称）（盖章）</w:t>
      </w:r>
    </w:p>
    <w:p w14:paraId="4834C36D">
      <w:pPr>
        <w:autoSpaceDE w:val="0"/>
        <w:autoSpaceDN w:val="0"/>
        <w:adjustRightInd w:val="0"/>
        <w:snapToGrid w:val="0"/>
        <w:spacing w:line="360" w:lineRule="auto"/>
        <w:jc w:val="left"/>
        <w:rPr>
          <w:rFonts w:eastAsia="仿宋"/>
          <w:kern w:val="0"/>
          <w:sz w:val="24"/>
          <w:szCs w:val="24"/>
        </w:rPr>
      </w:pPr>
      <w:r>
        <w:rPr>
          <w:rFonts w:eastAsia="仿宋"/>
          <w:kern w:val="0"/>
          <w:sz w:val="24"/>
          <w:szCs w:val="24"/>
        </w:rPr>
        <w:t>法定代表人：</w:t>
      </w:r>
      <w:r>
        <w:rPr>
          <w:rFonts w:eastAsia="仿宋"/>
          <w:kern w:val="0"/>
          <w:sz w:val="24"/>
          <w:szCs w:val="24"/>
          <w:u w:val="single"/>
        </w:rPr>
        <w:t>（签字或盖章）</w:t>
      </w:r>
    </w:p>
    <w:p w14:paraId="2B39F940">
      <w:pPr>
        <w:autoSpaceDE w:val="0"/>
        <w:autoSpaceDN w:val="0"/>
        <w:adjustRightInd w:val="0"/>
        <w:snapToGrid w:val="0"/>
        <w:spacing w:line="360" w:lineRule="auto"/>
        <w:jc w:val="left"/>
        <w:rPr>
          <w:rFonts w:eastAsia="仿宋"/>
          <w:kern w:val="0"/>
          <w:sz w:val="24"/>
          <w:szCs w:val="24"/>
        </w:rPr>
      </w:pPr>
      <w:r>
        <w:rPr>
          <w:rFonts w:eastAsia="仿宋"/>
          <w:kern w:val="0"/>
          <w:sz w:val="24"/>
          <w:szCs w:val="24"/>
        </w:rPr>
        <w:t>日期：</w:t>
      </w:r>
      <w:r>
        <w:rPr>
          <w:rFonts w:eastAsia="仿宋"/>
          <w:sz w:val="24"/>
          <w:szCs w:val="24"/>
          <w:u w:val="single"/>
        </w:rPr>
        <w:t xml:space="preserve">    </w:t>
      </w:r>
      <w:r>
        <w:rPr>
          <w:rFonts w:eastAsia="仿宋"/>
          <w:sz w:val="24"/>
          <w:szCs w:val="24"/>
        </w:rPr>
        <w:t>年</w:t>
      </w:r>
      <w:r>
        <w:rPr>
          <w:rFonts w:eastAsia="仿宋"/>
          <w:sz w:val="24"/>
          <w:szCs w:val="24"/>
          <w:u w:val="single"/>
        </w:rPr>
        <w:t xml:space="preserve">    </w:t>
      </w:r>
      <w:r>
        <w:rPr>
          <w:rFonts w:eastAsia="仿宋"/>
          <w:sz w:val="24"/>
          <w:szCs w:val="24"/>
        </w:rPr>
        <w:t>月</w:t>
      </w:r>
      <w:r>
        <w:rPr>
          <w:rFonts w:eastAsia="仿宋"/>
          <w:sz w:val="24"/>
          <w:szCs w:val="24"/>
          <w:u w:val="single"/>
        </w:rPr>
        <w:t xml:space="preserve">    </w:t>
      </w:r>
      <w:r>
        <w:rPr>
          <w:rFonts w:eastAsia="仿宋"/>
          <w:sz w:val="24"/>
          <w:szCs w:val="24"/>
        </w:rPr>
        <w:t>日</w:t>
      </w:r>
    </w:p>
    <w:p w14:paraId="6A1BDF1E">
      <w:pPr>
        <w:autoSpaceDE w:val="0"/>
        <w:autoSpaceDN w:val="0"/>
        <w:adjustRightInd w:val="0"/>
        <w:snapToGrid w:val="0"/>
        <w:spacing w:line="360" w:lineRule="auto"/>
        <w:ind w:firstLine="361" w:firstLineChars="150"/>
        <w:jc w:val="left"/>
        <w:rPr>
          <w:rFonts w:eastAsia="仿宋"/>
          <w:b/>
          <w:kern w:val="0"/>
          <w:sz w:val="24"/>
          <w:szCs w:val="24"/>
        </w:rPr>
      </w:pPr>
      <w:r>
        <w:rPr>
          <w:rFonts w:eastAsia="仿宋"/>
          <w:b/>
          <w:kern w:val="0"/>
          <w:sz w:val="24"/>
          <w:szCs w:val="24"/>
        </w:rPr>
        <w:t>附：法定代表人《居民身份证》扫描件正反面</w:t>
      </w:r>
    </w:p>
    <w:p w14:paraId="4A4B7E0E">
      <w:pPr>
        <w:autoSpaceDE w:val="0"/>
        <w:autoSpaceDN w:val="0"/>
        <w:jc w:val="left"/>
        <w:rPr>
          <w:rFonts w:eastAsia="仿宋"/>
          <w:kern w:val="0"/>
          <w:sz w:val="24"/>
          <w:szCs w:val="24"/>
        </w:rPr>
      </w:pPr>
    </w:p>
    <w:p w14:paraId="4D2FB81A">
      <w:pPr>
        <w:autoSpaceDE w:val="0"/>
        <w:autoSpaceDN w:val="0"/>
        <w:spacing w:before="3"/>
        <w:jc w:val="left"/>
        <w:rPr>
          <w:rFonts w:eastAsia="仿宋"/>
          <w:kern w:val="0"/>
          <w:sz w:val="24"/>
          <w:szCs w:val="24"/>
        </w:rPr>
      </w:pPr>
    </w:p>
    <w:p w14:paraId="3AB68F31">
      <w:pPr>
        <w:autoSpaceDE w:val="0"/>
        <w:autoSpaceDN w:val="0"/>
        <w:spacing w:before="10"/>
        <w:jc w:val="left"/>
        <w:rPr>
          <w:rFonts w:eastAsia="仿宋"/>
          <w:kern w:val="0"/>
          <w:sz w:val="24"/>
          <w:szCs w:val="24"/>
        </w:rPr>
      </w:pPr>
    </w:p>
    <w:p w14:paraId="08A02B2A">
      <w:pPr>
        <w:autoSpaceDE w:val="0"/>
        <w:autoSpaceDN w:val="0"/>
        <w:spacing w:before="67"/>
        <w:jc w:val="left"/>
        <w:rPr>
          <w:rFonts w:eastAsia="仿宋"/>
          <w:spacing w:val="-3"/>
          <w:w w:val="95"/>
          <w:kern w:val="0"/>
          <w:sz w:val="24"/>
          <w:szCs w:val="24"/>
        </w:rPr>
      </w:pPr>
    </w:p>
    <w:p w14:paraId="03A48E01">
      <w:pPr>
        <w:autoSpaceDE w:val="0"/>
        <w:autoSpaceDN w:val="0"/>
        <w:spacing w:before="67"/>
        <w:jc w:val="left"/>
        <w:rPr>
          <w:rFonts w:eastAsia="仿宋"/>
          <w:spacing w:val="-3"/>
          <w:w w:val="95"/>
          <w:kern w:val="0"/>
          <w:sz w:val="24"/>
          <w:szCs w:val="24"/>
        </w:rPr>
      </w:pPr>
    </w:p>
    <w:p w14:paraId="5AE86220">
      <w:pPr>
        <w:autoSpaceDE w:val="0"/>
        <w:autoSpaceDN w:val="0"/>
        <w:spacing w:before="67"/>
        <w:jc w:val="left"/>
        <w:rPr>
          <w:rFonts w:eastAsia="仿宋"/>
          <w:spacing w:val="-3"/>
          <w:w w:val="95"/>
          <w:kern w:val="0"/>
          <w:sz w:val="24"/>
          <w:szCs w:val="24"/>
        </w:rPr>
      </w:pPr>
    </w:p>
    <w:p w14:paraId="20095472">
      <w:pPr>
        <w:autoSpaceDE w:val="0"/>
        <w:autoSpaceDN w:val="0"/>
        <w:spacing w:before="67"/>
        <w:jc w:val="left"/>
        <w:rPr>
          <w:rFonts w:eastAsia="仿宋"/>
          <w:spacing w:val="-3"/>
          <w:w w:val="95"/>
          <w:kern w:val="0"/>
          <w:sz w:val="24"/>
          <w:szCs w:val="24"/>
        </w:rPr>
      </w:pPr>
    </w:p>
    <w:p w14:paraId="20F965B1">
      <w:pPr>
        <w:autoSpaceDE w:val="0"/>
        <w:autoSpaceDN w:val="0"/>
        <w:spacing w:before="67"/>
        <w:jc w:val="left"/>
        <w:rPr>
          <w:rFonts w:eastAsia="仿宋"/>
          <w:spacing w:val="-3"/>
          <w:w w:val="95"/>
          <w:kern w:val="0"/>
          <w:sz w:val="24"/>
          <w:szCs w:val="24"/>
        </w:rPr>
      </w:pPr>
    </w:p>
    <w:p w14:paraId="1ABF0DB2">
      <w:pPr>
        <w:autoSpaceDE w:val="0"/>
        <w:autoSpaceDN w:val="0"/>
        <w:spacing w:before="67"/>
        <w:jc w:val="left"/>
        <w:rPr>
          <w:rFonts w:eastAsia="仿宋"/>
          <w:spacing w:val="-3"/>
          <w:w w:val="95"/>
          <w:kern w:val="0"/>
          <w:sz w:val="24"/>
          <w:szCs w:val="24"/>
        </w:rPr>
      </w:pPr>
    </w:p>
    <w:p w14:paraId="2E7D29B3">
      <w:pPr>
        <w:autoSpaceDE w:val="0"/>
        <w:autoSpaceDN w:val="0"/>
        <w:spacing w:before="67"/>
        <w:jc w:val="left"/>
        <w:rPr>
          <w:rFonts w:eastAsia="仿宋"/>
          <w:spacing w:val="-3"/>
          <w:w w:val="95"/>
          <w:kern w:val="0"/>
          <w:sz w:val="24"/>
          <w:szCs w:val="24"/>
        </w:rPr>
      </w:pPr>
    </w:p>
    <w:p w14:paraId="12B58F2C">
      <w:pPr>
        <w:autoSpaceDE w:val="0"/>
        <w:autoSpaceDN w:val="0"/>
        <w:spacing w:before="67"/>
        <w:jc w:val="left"/>
        <w:rPr>
          <w:rFonts w:eastAsia="仿宋"/>
          <w:spacing w:val="-3"/>
          <w:w w:val="95"/>
          <w:kern w:val="0"/>
          <w:sz w:val="24"/>
          <w:szCs w:val="24"/>
        </w:rPr>
      </w:pPr>
    </w:p>
    <w:p w14:paraId="5A4247FA">
      <w:pPr>
        <w:autoSpaceDE w:val="0"/>
        <w:autoSpaceDN w:val="0"/>
        <w:spacing w:before="67"/>
        <w:jc w:val="left"/>
        <w:rPr>
          <w:rFonts w:eastAsia="仿宋"/>
          <w:spacing w:val="-3"/>
          <w:w w:val="95"/>
          <w:kern w:val="0"/>
          <w:sz w:val="24"/>
          <w:szCs w:val="24"/>
        </w:rPr>
      </w:pPr>
    </w:p>
    <w:p w14:paraId="3BD0161D">
      <w:pPr>
        <w:autoSpaceDE w:val="0"/>
        <w:autoSpaceDN w:val="0"/>
        <w:spacing w:before="67"/>
        <w:jc w:val="left"/>
        <w:rPr>
          <w:rFonts w:eastAsia="仿宋"/>
          <w:spacing w:val="-3"/>
          <w:w w:val="95"/>
          <w:kern w:val="0"/>
          <w:sz w:val="24"/>
          <w:szCs w:val="24"/>
        </w:rPr>
      </w:pPr>
    </w:p>
    <w:p w14:paraId="38ED3DA3">
      <w:pPr>
        <w:autoSpaceDE w:val="0"/>
        <w:autoSpaceDN w:val="0"/>
        <w:spacing w:before="67"/>
        <w:jc w:val="left"/>
        <w:rPr>
          <w:rFonts w:eastAsia="仿宋"/>
          <w:spacing w:val="-3"/>
          <w:w w:val="95"/>
          <w:kern w:val="0"/>
          <w:sz w:val="24"/>
          <w:szCs w:val="24"/>
        </w:rPr>
      </w:pPr>
    </w:p>
    <w:p w14:paraId="00626DA9">
      <w:pPr>
        <w:rPr>
          <w:rFonts w:eastAsia="仿宋"/>
          <w:spacing w:val="-3"/>
          <w:w w:val="95"/>
          <w:kern w:val="0"/>
          <w:sz w:val="24"/>
          <w:szCs w:val="24"/>
        </w:rPr>
      </w:pPr>
      <w:r>
        <w:rPr>
          <w:rFonts w:eastAsia="仿宋"/>
          <w:spacing w:val="-3"/>
          <w:w w:val="95"/>
          <w:kern w:val="0"/>
          <w:sz w:val="24"/>
          <w:szCs w:val="24"/>
        </w:rPr>
        <w:br w:type="page"/>
      </w:r>
    </w:p>
    <w:p w14:paraId="5B159EE5">
      <w:pPr>
        <w:autoSpaceDE w:val="0"/>
        <w:autoSpaceDN w:val="0"/>
        <w:spacing w:before="67"/>
        <w:jc w:val="left"/>
        <w:rPr>
          <w:rFonts w:eastAsia="仿宋"/>
          <w:kern w:val="0"/>
          <w:sz w:val="24"/>
          <w:szCs w:val="24"/>
        </w:rPr>
      </w:pPr>
      <w:r>
        <w:rPr>
          <w:rFonts w:eastAsia="仿宋"/>
          <w:spacing w:val="-3"/>
          <w:w w:val="95"/>
          <w:kern w:val="0"/>
          <w:sz w:val="24"/>
          <w:szCs w:val="24"/>
        </w:rPr>
        <w:t xml:space="preserve">附件 </w:t>
      </w:r>
      <w:r>
        <w:rPr>
          <w:rFonts w:eastAsia="仿宋"/>
          <w:w w:val="95"/>
          <w:kern w:val="0"/>
          <w:sz w:val="24"/>
          <w:szCs w:val="24"/>
        </w:rPr>
        <w:t>1－2</w:t>
      </w:r>
    </w:p>
    <w:p w14:paraId="677DA15D">
      <w:pPr>
        <w:autoSpaceDE w:val="0"/>
        <w:autoSpaceDN w:val="0"/>
        <w:spacing w:before="2"/>
        <w:jc w:val="left"/>
        <w:rPr>
          <w:rFonts w:eastAsia="仿宋"/>
          <w:kern w:val="0"/>
          <w:sz w:val="24"/>
          <w:szCs w:val="24"/>
        </w:rPr>
      </w:pPr>
    </w:p>
    <w:p w14:paraId="59A463C5">
      <w:pPr>
        <w:autoSpaceDE w:val="0"/>
        <w:autoSpaceDN w:val="0"/>
        <w:spacing w:before="74"/>
        <w:ind w:right="891"/>
        <w:jc w:val="center"/>
        <w:rPr>
          <w:rFonts w:eastAsia="仿宋"/>
          <w:b/>
          <w:bCs/>
          <w:kern w:val="0"/>
          <w:sz w:val="24"/>
          <w:szCs w:val="24"/>
        </w:rPr>
      </w:pPr>
      <w:r>
        <w:rPr>
          <w:rFonts w:eastAsia="仿宋"/>
          <w:b/>
          <w:bCs/>
          <w:w w:val="95"/>
          <w:kern w:val="0"/>
          <w:sz w:val="24"/>
          <w:szCs w:val="24"/>
        </w:rPr>
        <w:t>法定代表人授权委托书(授权代表参加磋商)</w:t>
      </w:r>
    </w:p>
    <w:p w14:paraId="1294677E">
      <w:pPr>
        <w:autoSpaceDE w:val="0"/>
        <w:autoSpaceDN w:val="0"/>
        <w:snapToGrid w:val="0"/>
        <w:spacing w:before="5" w:line="360" w:lineRule="auto"/>
        <w:jc w:val="left"/>
        <w:rPr>
          <w:rFonts w:eastAsia="仿宋"/>
          <w:b/>
          <w:kern w:val="0"/>
          <w:sz w:val="24"/>
          <w:szCs w:val="24"/>
        </w:rPr>
      </w:pPr>
    </w:p>
    <w:p w14:paraId="625307F7">
      <w:pPr>
        <w:autoSpaceDE w:val="0"/>
        <w:autoSpaceDN w:val="0"/>
        <w:adjustRightInd w:val="0"/>
        <w:snapToGrid w:val="0"/>
        <w:spacing w:line="360" w:lineRule="auto"/>
        <w:ind w:firstLine="480" w:firstLineChars="200"/>
        <w:jc w:val="left"/>
        <w:rPr>
          <w:rFonts w:eastAsia="仿宋"/>
          <w:kern w:val="0"/>
          <w:sz w:val="24"/>
          <w:szCs w:val="24"/>
        </w:rPr>
      </w:pPr>
      <w:r>
        <w:rPr>
          <w:rFonts w:eastAsia="仿宋"/>
          <w:kern w:val="0"/>
          <w:sz w:val="24"/>
          <w:szCs w:val="24"/>
        </w:rPr>
        <w:t>本授权书声明：注册于</w:t>
      </w:r>
      <w:r>
        <w:rPr>
          <w:rFonts w:eastAsia="仿宋"/>
          <w:kern w:val="0"/>
          <w:sz w:val="24"/>
          <w:szCs w:val="24"/>
          <w:u w:val="single"/>
        </w:rPr>
        <w:t>（地区的名称）</w:t>
      </w:r>
      <w:r>
        <w:rPr>
          <w:rFonts w:eastAsia="仿宋"/>
          <w:kern w:val="0"/>
          <w:sz w:val="24"/>
          <w:szCs w:val="24"/>
        </w:rPr>
        <w:t>的</w:t>
      </w:r>
      <w:r>
        <w:rPr>
          <w:rFonts w:eastAsia="仿宋"/>
          <w:kern w:val="0"/>
          <w:sz w:val="24"/>
          <w:szCs w:val="24"/>
          <w:u w:val="single"/>
        </w:rPr>
        <w:t>（公司名称）</w:t>
      </w:r>
      <w:r>
        <w:rPr>
          <w:rFonts w:eastAsia="仿宋"/>
          <w:kern w:val="0"/>
          <w:sz w:val="24"/>
          <w:szCs w:val="24"/>
        </w:rPr>
        <w:t>，在下面盖章的法定代表人</w:t>
      </w:r>
      <w:r>
        <w:rPr>
          <w:rFonts w:eastAsia="仿宋"/>
          <w:kern w:val="0"/>
          <w:sz w:val="24"/>
          <w:szCs w:val="24"/>
          <w:u w:val="single"/>
        </w:rPr>
        <w:t>（姓名、职务）</w:t>
      </w:r>
      <w:r>
        <w:rPr>
          <w:rFonts w:eastAsia="仿宋"/>
          <w:kern w:val="0"/>
          <w:sz w:val="24"/>
          <w:szCs w:val="24"/>
        </w:rPr>
        <w:t>，代表本公司委托在下面签字的</w:t>
      </w:r>
      <w:r>
        <w:rPr>
          <w:rFonts w:eastAsia="仿宋"/>
          <w:kern w:val="0"/>
          <w:sz w:val="24"/>
          <w:szCs w:val="24"/>
          <w:u w:val="single"/>
        </w:rPr>
        <w:t>（被授权人的姓名、职务）</w:t>
      </w:r>
      <w:r>
        <w:rPr>
          <w:rFonts w:eastAsia="仿宋"/>
          <w:kern w:val="0"/>
          <w:sz w:val="24"/>
          <w:szCs w:val="24"/>
        </w:rPr>
        <w:t>为本公司的合法代理人，就</w:t>
      </w:r>
      <w:r>
        <w:rPr>
          <w:rFonts w:eastAsia="仿宋"/>
          <w:kern w:val="0"/>
          <w:sz w:val="24"/>
          <w:szCs w:val="24"/>
          <w:u w:val="single"/>
        </w:rPr>
        <w:t>（项目名称）</w:t>
      </w:r>
      <w:r>
        <w:rPr>
          <w:rFonts w:eastAsia="仿宋"/>
          <w:kern w:val="0"/>
          <w:sz w:val="24"/>
          <w:szCs w:val="24"/>
        </w:rPr>
        <w:t>的磋商，以本公司的名义处理一切与之有关的事务。</w:t>
      </w:r>
    </w:p>
    <w:p w14:paraId="26657B9A">
      <w:pPr>
        <w:autoSpaceDE w:val="0"/>
        <w:autoSpaceDN w:val="0"/>
        <w:adjustRightInd w:val="0"/>
        <w:snapToGrid w:val="0"/>
        <w:spacing w:line="360" w:lineRule="auto"/>
        <w:jc w:val="left"/>
        <w:rPr>
          <w:rFonts w:eastAsia="仿宋"/>
          <w:kern w:val="0"/>
          <w:sz w:val="24"/>
          <w:szCs w:val="24"/>
        </w:rPr>
      </w:pPr>
      <w:r>
        <w:rPr>
          <w:rFonts w:eastAsia="仿宋"/>
          <w:kern w:val="0"/>
          <w:sz w:val="24"/>
          <w:szCs w:val="24"/>
        </w:rPr>
        <w:t>本授权书于  年  月  日签字生效，代理人无转委托权，特此声明。</w:t>
      </w:r>
    </w:p>
    <w:p w14:paraId="1E4399DD">
      <w:pPr>
        <w:autoSpaceDE w:val="0"/>
        <w:autoSpaceDN w:val="0"/>
        <w:adjustRightInd w:val="0"/>
        <w:snapToGrid w:val="0"/>
        <w:spacing w:line="360" w:lineRule="auto"/>
        <w:jc w:val="left"/>
        <w:rPr>
          <w:rFonts w:eastAsia="仿宋"/>
          <w:kern w:val="0"/>
          <w:sz w:val="24"/>
          <w:szCs w:val="24"/>
        </w:rPr>
      </w:pPr>
      <w:r>
        <w:rPr>
          <w:rFonts w:eastAsia="仿宋"/>
          <w:b/>
          <w:bCs/>
          <w:kern w:val="0"/>
          <w:sz w:val="24"/>
          <w:szCs w:val="24"/>
        </w:rPr>
        <w:t>附：被授权人的身份证扫描件（加盖单位公章）</w:t>
      </w:r>
    </w:p>
    <w:p w14:paraId="227281BD">
      <w:pPr>
        <w:autoSpaceDE w:val="0"/>
        <w:autoSpaceDN w:val="0"/>
        <w:adjustRightInd w:val="0"/>
        <w:snapToGrid w:val="0"/>
        <w:spacing w:line="360" w:lineRule="auto"/>
        <w:jc w:val="left"/>
        <w:rPr>
          <w:rFonts w:eastAsia="仿宋"/>
          <w:kern w:val="0"/>
          <w:sz w:val="24"/>
          <w:szCs w:val="24"/>
        </w:rPr>
      </w:pPr>
    </w:p>
    <w:p w14:paraId="1DE7E9F5">
      <w:pPr>
        <w:autoSpaceDE w:val="0"/>
        <w:autoSpaceDN w:val="0"/>
        <w:adjustRightInd w:val="0"/>
        <w:snapToGrid w:val="0"/>
        <w:spacing w:line="360" w:lineRule="auto"/>
        <w:jc w:val="left"/>
        <w:rPr>
          <w:rFonts w:eastAsia="仿宋"/>
          <w:kern w:val="0"/>
          <w:sz w:val="24"/>
          <w:szCs w:val="24"/>
        </w:rPr>
      </w:pPr>
    </w:p>
    <w:p w14:paraId="65071B9E">
      <w:pPr>
        <w:autoSpaceDE w:val="0"/>
        <w:autoSpaceDN w:val="0"/>
        <w:adjustRightInd w:val="0"/>
        <w:snapToGrid w:val="0"/>
        <w:spacing w:line="360" w:lineRule="auto"/>
        <w:jc w:val="left"/>
        <w:rPr>
          <w:rFonts w:eastAsia="仿宋"/>
          <w:kern w:val="0"/>
          <w:sz w:val="24"/>
          <w:szCs w:val="24"/>
        </w:rPr>
      </w:pPr>
    </w:p>
    <w:p w14:paraId="5CBB5E67">
      <w:pPr>
        <w:autoSpaceDE w:val="0"/>
        <w:autoSpaceDN w:val="0"/>
        <w:adjustRightInd w:val="0"/>
        <w:snapToGrid w:val="0"/>
        <w:spacing w:line="360" w:lineRule="auto"/>
        <w:jc w:val="left"/>
        <w:rPr>
          <w:rFonts w:eastAsia="仿宋"/>
          <w:kern w:val="0"/>
          <w:sz w:val="24"/>
          <w:szCs w:val="24"/>
        </w:rPr>
      </w:pPr>
      <w:r>
        <w:rPr>
          <w:rFonts w:eastAsia="仿宋"/>
          <w:kern w:val="0"/>
          <w:sz w:val="24"/>
          <w:szCs w:val="24"/>
        </w:rPr>
        <w:t>供应商：</w:t>
      </w:r>
      <w:r>
        <w:rPr>
          <w:rFonts w:eastAsia="仿宋"/>
          <w:kern w:val="0"/>
          <w:sz w:val="24"/>
          <w:szCs w:val="24"/>
          <w:u w:val="single"/>
        </w:rPr>
        <w:t>（全称）（盖章）</w:t>
      </w:r>
    </w:p>
    <w:p w14:paraId="1B2185BD">
      <w:pPr>
        <w:autoSpaceDE w:val="0"/>
        <w:autoSpaceDN w:val="0"/>
        <w:adjustRightInd w:val="0"/>
        <w:snapToGrid w:val="0"/>
        <w:spacing w:line="360" w:lineRule="auto"/>
        <w:jc w:val="left"/>
        <w:rPr>
          <w:rFonts w:eastAsia="仿宋"/>
          <w:kern w:val="0"/>
          <w:sz w:val="24"/>
          <w:szCs w:val="24"/>
          <w:u w:val="single"/>
        </w:rPr>
      </w:pPr>
      <w:r>
        <w:rPr>
          <w:rFonts w:eastAsia="仿宋"/>
          <w:kern w:val="0"/>
          <w:sz w:val="24"/>
          <w:szCs w:val="24"/>
        </w:rPr>
        <w:t>法定代表人：</w:t>
      </w:r>
      <w:r>
        <w:rPr>
          <w:rFonts w:eastAsia="仿宋"/>
          <w:kern w:val="0"/>
          <w:sz w:val="24"/>
          <w:szCs w:val="24"/>
          <w:u w:val="single"/>
        </w:rPr>
        <w:t>（签字或盖章）</w:t>
      </w:r>
    </w:p>
    <w:p w14:paraId="701461D9">
      <w:pPr>
        <w:autoSpaceDE w:val="0"/>
        <w:autoSpaceDN w:val="0"/>
        <w:adjustRightInd w:val="0"/>
        <w:snapToGrid w:val="0"/>
        <w:spacing w:line="360" w:lineRule="auto"/>
        <w:jc w:val="left"/>
        <w:rPr>
          <w:rFonts w:eastAsia="仿宋"/>
          <w:kern w:val="0"/>
          <w:sz w:val="24"/>
          <w:szCs w:val="24"/>
          <w:u w:val="single"/>
        </w:rPr>
      </w:pPr>
      <w:r>
        <w:rPr>
          <w:rFonts w:eastAsia="仿宋"/>
          <w:kern w:val="0"/>
          <w:sz w:val="24"/>
          <w:szCs w:val="24"/>
        </w:rPr>
        <w:t>身份证号码：</w:t>
      </w:r>
      <w:r>
        <w:rPr>
          <w:rFonts w:eastAsia="仿宋"/>
          <w:kern w:val="0"/>
          <w:sz w:val="24"/>
          <w:szCs w:val="24"/>
          <w:u w:val="single"/>
        </w:rPr>
        <w:t xml:space="preserve">                 </w:t>
      </w:r>
    </w:p>
    <w:p w14:paraId="58FAB8E4">
      <w:pPr>
        <w:autoSpaceDE w:val="0"/>
        <w:autoSpaceDN w:val="0"/>
        <w:adjustRightInd w:val="0"/>
        <w:snapToGrid w:val="0"/>
        <w:spacing w:line="360" w:lineRule="auto"/>
        <w:jc w:val="left"/>
        <w:rPr>
          <w:rFonts w:eastAsia="仿宋"/>
          <w:kern w:val="0"/>
          <w:sz w:val="24"/>
          <w:szCs w:val="24"/>
          <w:u w:val="single"/>
        </w:rPr>
      </w:pPr>
      <w:r>
        <w:rPr>
          <w:rFonts w:eastAsia="仿宋"/>
          <w:kern w:val="0"/>
          <w:sz w:val="24"/>
          <w:szCs w:val="24"/>
        </w:rPr>
        <w:t>委托代理人签字：</w:t>
      </w:r>
      <w:r>
        <w:rPr>
          <w:rFonts w:eastAsia="仿宋"/>
          <w:kern w:val="0"/>
          <w:sz w:val="24"/>
          <w:szCs w:val="24"/>
          <w:u w:val="single"/>
        </w:rPr>
        <w:t xml:space="preserve">             </w:t>
      </w:r>
    </w:p>
    <w:p w14:paraId="2593F4CC">
      <w:pPr>
        <w:autoSpaceDE w:val="0"/>
        <w:autoSpaceDN w:val="0"/>
        <w:adjustRightInd w:val="0"/>
        <w:snapToGrid w:val="0"/>
        <w:spacing w:line="360" w:lineRule="auto"/>
        <w:jc w:val="left"/>
        <w:rPr>
          <w:rFonts w:eastAsia="仿宋"/>
          <w:kern w:val="0"/>
          <w:sz w:val="24"/>
          <w:szCs w:val="24"/>
          <w:u w:val="single"/>
        </w:rPr>
      </w:pPr>
      <w:r>
        <w:rPr>
          <w:rFonts w:eastAsia="仿宋"/>
          <w:kern w:val="0"/>
          <w:sz w:val="24"/>
          <w:szCs w:val="24"/>
        </w:rPr>
        <w:t>身份证号码：</w:t>
      </w:r>
      <w:r>
        <w:rPr>
          <w:rFonts w:eastAsia="仿宋"/>
          <w:kern w:val="0"/>
          <w:sz w:val="24"/>
          <w:szCs w:val="24"/>
          <w:u w:val="single"/>
        </w:rPr>
        <w:t xml:space="preserve">                 </w:t>
      </w:r>
    </w:p>
    <w:p w14:paraId="3822F427">
      <w:pPr>
        <w:autoSpaceDE w:val="0"/>
        <w:autoSpaceDN w:val="0"/>
        <w:adjustRightInd w:val="0"/>
        <w:snapToGrid w:val="0"/>
        <w:spacing w:line="360" w:lineRule="auto"/>
        <w:jc w:val="left"/>
        <w:rPr>
          <w:rFonts w:eastAsia="仿宋"/>
          <w:kern w:val="0"/>
          <w:sz w:val="24"/>
          <w:szCs w:val="24"/>
        </w:rPr>
      </w:pPr>
      <w:r>
        <w:rPr>
          <w:rFonts w:eastAsia="仿宋"/>
          <w:kern w:val="0"/>
          <w:sz w:val="24"/>
          <w:szCs w:val="24"/>
        </w:rPr>
        <w:t>授权日期：</w:t>
      </w:r>
      <w:r>
        <w:rPr>
          <w:rFonts w:eastAsia="仿宋"/>
          <w:sz w:val="24"/>
          <w:szCs w:val="24"/>
          <w:u w:val="single"/>
        </w:rPr>
        <w:t xml:space="preserve">    </w:t>
      </w:r>
      <w:r>
        <w:rPr>
          <w:rFonts w:eastAsia="仿宋"/>
          <w:sz w:val="24"/>
          <w:szCs w:val="24"/>
        </w:rPr>
        <w:t>年</w:t>
      </w:r>
      <w:r>
        <w:rPr>
          <w:rFonts w:eastAsia="仿宋"/>
          <w:sz w:val="24"/>
          <w:szCs w:val="24"/>
          <w:u w:val="single"/>
        </w:rPr>
        <w:t xml:space="preserve">    </w:t>
      </w:r>
      <w:r>
        <w:rPr>
          <w:rFonts w:eastAsia="仿宋"/>
          <w:sz w:val="24"/>
          <w:szCs w:val="24"/>
        </w:rPr>
        <w:t>月</w:t>
      </w:r>
      <w:r>
        <w:rPr>
          <w:rFonts w:eastAsia="仿宋"/>
          <w:sz w:val="24"/>
          <w:szCs w:val="24"/>
          <w:u w:val="single"/>
        </w:rPr>
        <w:t xml:space="preserve">    </w:t>
      </w:r>
      <w:r>
        <w:rPr>
          <w:rFonts w:eastAsia="仿宋"/>
          <w:sz w:val="24"/>
          <w:szCs w:val="24"/>
        </w:rPr>
        <w:t>日</w:t>
      </w:r>
    </w:p>
    <w:p w14:paraId="2FFD3EEE">
      <w:pPr>
        <w:autoSpaceDE w:val="0"/>
        <w:autoSpaceDN w:val="0"/>
        <w:adjustRightInd w:val="0"/>
        <w:snapToGrid w:val="0"/>
        <w:spacing w:line="360" w:lineRule="auto"/>
        <w:jc w:val="left"/>
        <w:rPr>
          <w:rFonts w:eastAsia="仿宋"/>
          <w:kern w:val="0"/>
          <w:sz w:val="24"/>
          <w:szCs w:val="24"/>
        </w:rPr>
      </w:pPr>
    </w:p>
    <w:p w14:paraId="2164043C">
      <w:pPr>
        <w:autoSpaceDE w:val="0"/>
        <w:autoSpaceDN w:val="0"/>
        <w:adjustRightInd w:val="0"/>
        <w:snapToGrid w:val="0"/>
        <w:spacing w:line="360" w:lineRule="auto"/>
        <w:jc w:val="left"/>
        <w:rPr>
          <w:rFonts w:eastAsia="仿宋"/>
          <w:kern w:val="0"/>
          <w:sz w:val="24"/>
          <w:szCs w:val="24"/>
        </w:rPr>
      </w:pPr>
    </w:p>
    <w:p w14:paraId="1503281F">
      <w:pPr>
        <w:autoSpaceDE w:val="0"/>
        <w:autoSpaceDN w:val="0"/>
        <w:adjustRightInd w:val="0"/>
        <w:snapToGrid w:val="0"/>
        <w:spacing w:line="360" w:lineRule="auto"/>
        <w:jc w:val="left"/>
        <w:rPr>
          <w:rFonts w:eastAsia="仿宋"/>
          <w:kern w:val="0"/>
          <w:sz w:val="24"/>
          <w:szCs w:val="24"/>
        </w:rPr>
      </w:pPr>
      <w:r>
        <w:rPr>
          <w:rFonts w:eastAsia="仿宋"/>
          <w:kern w:val="0"/>
          <w:sz w:val="24"/>
          <w:szCs w:val="24"/>
        </w:rPr>
        <w:t>注：1.法定代表人盖章必须是相关主管行政部门备案的法定代表人印章。不得使用其他印章或是电子版签名。</w:t>
      </w:r>
    </w:p>
    <w:p w14:paraId="3526FB30">
      <w:pPr>
        <w:autoSpaceDE w:val="0"/>
        <w:autoSpaceDN w:val="0"/>
        <w:adjustRightInd w:val="0"/>
        <w:snapToGrid w:val="0"/>
        <w:spacing w:line="360" w:lineRule="auto"/>
        <w:jc w:val="left"/>
        <w:rPr>
          <w:rFonts w:eastAsia="仿宋"/>
          <w:kern w:val="0"/>
          <w:sz w:val="24"/>
          <w:szCs w:val="24"/>
        </w:rPr>
      </w:pPr>
      <w:r>
        <w:rPr>
          <w:rFonts w:eastAsia="仿宋"/>
          <w:kern w:val="0"/>
          <w:sz w:val="24"/>
          <w:szCs w:val="24"/>
        </w:rPr>
        <w:t>2、供应商的委托代理人作为公司的代表前来参加磋商的供应商，须提供此项证明文件。</w:t>
      </w:r>
    </w:p>
    <w:p w14:paraId="337F36AE">
      <w:pPr>
        <w:widowControl/>
        <w:jc w:val="left"/>
        <w:rPr>
          <w:rFonts w:eastAsia="仿宋"/>
          <w:kern w:val="0"/>
          <w:sz w:val="24"/>
          <w:szCs w:val="24"/>
        </w:rPr>
      </w:pPr>
      <w:r>
        <w:rPr>
          <w:rFonts w:eastAsia="仿宋"/>
          <w:kern w:val="0"/>
          <w:sz w:val="24"/>
          <w:szCs w:val="24"/>
        </w:rPr>
        <w:br w:type="page"/>
      </w:r>
    </w:p>
    <w:p w14:paraId="32618DAC">
      <w:pPr>
        <w:autoSpaceDE w:val="0"/>
        <w:autoSpaceDN w:val="0"/>
        <w:spacing w:before="62"/>
        <w:jc w:val="left"/>
        <w:rPr>
          <w:rFonts w:eastAsia="仿宋"/>
          <w:b/>
          <w:bCs/>
          <w:kern w:val="0"/>
          <w:sz w:val="24"/>
          <w:szCs w:val="24"/>
        </w:rPr>
      </w:pPr>
      <w:r>
        <w:rPr>
          <w:rFonts w:eastAsia="仿宋"/>
          <w:b/>
          <w:bCs/>
          <w:kern w:val="0"/>
          <w:sz w:val="24"/>
          <w:szCs w:val="24"/>
        </w:rPr>
        <w:t>2、报价一览表及分项价格表</w:t>
      </w:r>
    </w:p>
    <w:p w14:paraId="6384DEDE">
      <w:pPr>
        <w:autoSpaceDE w:val="0"/>
        <w:autoSpaceDN w:val="0"/>
        <w:spacing w:before="3"/>
        <w:jc w:val="left"/>
        <w:rPr>
          <w:rFonts w:eastAsia="仿宋"/>
          <w:kern w:val="0"/>
          <w:sz w:val="24"/>
          <w:szCs w:val="24"/>
        </w:rPr>
      </w:pPr>
    </w:p>
    <w:p w14:paraId="7B66CD40">
      <w:pPr>
        <w:autoSpaceDE w:val="0"/>
        <w:autoSpaceDN w:val="0"/>
        <w:jc w:val="left"/>
        <w:rPr>
          <w:rFonts w:eastAsia="仿宋"/>
          <w:kern w:val="0"/>
          <w:sz w:val="24"/>
          <w:szCs w:val="24"/>
        </w:rPr>
      </w:pPr>
      <w:r>
        <w:rPr>
          <w:rFonts w:eastAsia="仿宋"/>
          <w:spacing w:val="-3"/>
          <w:w w:val="95"/>
          <w:kern w:val="0"/>
          <w:sz w:val="24"/>
          <w:szCs w:val="24"/>
        </w:rPr>
        <w:t xml:space="preserve">附件 </w:t>
      </w:r>
      <w:r>
        <w:rPr>
          <w:rFonts w:eastAsia="仿宋"/>
          <w:w w:val="95"/>
          <w:kern w:val="0"/>
          <w:sz w:val="24"/>
          <w:szCs w:val="24"/>
        </w:rPr>
        <w:t>2－1</w:t>
      </w:r>
    </w:p>
    <w:p w14:paraId="31DD11F4">
      <w:pPr>
        <w:autoSpaceDE w:val="0"/>
        <w:autoSpaceDN w:val="0"/>
        <w:jc w:val="left"/>
        <w:rPr>
          <w:rFonts w:eastAsia="仿宋"/>
          <w:kern w:val="0"/>
          <w:sz w:val="24"/>
          <w:szCs w:val="24"/>
        </w:rPr>
      </w:pPr>
    </w:p>
    <w:p w14:paraId="0906814E">
      <w:pPr>
        <w:autoSpaceDE w:val="0"/>
        <w:autoSpaceDN w:val="0"/>
        <w:spacing w:before="61"/>
        <w:ind w:right="891"/>
        <w:jc w:val="center"/>
        <w:rPr>
          <w:rFonts w:eastAsia="仿宋"/>
          <w:kern w:val="0"/>
          <w:sz w:val="24"/>
          <w:szCs w:val="24"/>
        </w:rPr>
      </w:pPr>
      <w:r>
        <w:rPr>
          <w:rFonts w:eastAsia="仿宋"/>
          <w:b/>
          <w:bCs/>
          <w:kern w:val="0"/>
          <w:sz w:val="24"/>
          <w:szCs w:val="24"/>
        </w:rPr>
        <w:t>报价一览表</w:t>
      </w:r>
    </w:p>
    <w:p w14:paraId="599B41A2">
      <w:pPr>
        <w:autoSpaceDE w:val="0"/>
        <w:autoSpaceDN w:val="0"/>
        <w:jc w:val="left"/>
        <w:rPr>
          <w:rFonts w:eastAsia="仿宋"/>
          <w:kern w:val="0"/>
          <w:sz w:val="24"/>
          <w:szCs w:val="24"/>
        </w:rPr>
      </w:pPr>
    </w:p>
    <w:p w14:paraId="3431DBD0">
      <w:pPr>
        <w:autoSpaceDE w:val="0"/>
        <w:autoSpaceDN w:val="0"/>
        <w:jc w:val="left"/>
        <w:rPr>
          <w:rFonts w:eastAsia="仿宋"/>
          <w:kern w:val="0"/>
          <w:sz w:val="24"/>
          <w:szCs w:val="24"/>
        </w:rPr>
      </w:pPr>
    </w:p>
    <w:p w14:paraId="77CA8CFB">
      <w:pPr>
        <w:autoSpaceDE w:val="0"/>
        <w:autoSpaceDN w:val="0"/>
        <w:jc w:val="left"/>
        <w:rPr>
          <w:rFonts w:eastAsia="仿宋"/>
          <w:kern w:val="0"/>
          <w:sz w:val="24"/>
          <w:szCs w:val="24"/>
        </w:rPr>
      </w:pPr>
    </w:p>
    <w:tbl>
      <w:tblPr>
        <w:tblStyle w:val="46"/>
        <w:tblW w:w="0" w:type="auto"/>
        <w:tblInd w:w="5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27"/>
        <w:gridCol w:w="2657"/>
        <w:gridCol w:w="2845"/>
        <w:gridCol w:w="1236"/>
        <w:gridCol w:w="1726"/>
      </w:tblGrid>
      <w:tr w14:paraId="124CBE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4" w:hRule="atLeast"/>
        </w:trPr>
        <w:tc>
          <w:tcPr>
            <w:tcW w:w="1227" w:type="dxa"/>
            <w:vAlign w:val="center"/>
          </w:tcPr>
          <w:p w14:paraId="308F71E5">
            <w:pPr>
              <w:autoSpaceDE w:val="0"/>
              <w:autoSpaceDN w:val="0"/>
              <w:snapToGrid w:val="0"/>
              <w:ind w:right="196"/>
              <w:jc w:val="center"/>
              <w:rPr>
                <w:rFonts w:ascii="Calibri" w:hAnsi="Calibri" w:eastAsia="仿宋"/>
                <w:kern w:val="0"/>
                <w:szCs w:val="21"/>
                <w:lang w:eastAsia="en-US"/>
              </w:rPr>
            </w:pPr>
            <w:r>
              <w:rPr>
                <w:rFonts w:ascii="Calibri" w:hAnsi="Calibri" w:eastAsia="仿宋"/>
                <w:kern w:val="0"/>
                <w:szCs w:val="21"/>
                <w:lang w:eastAsia="en-US"/>
              </w:rPr>
              <w:t>序号</w:t>
            </w:r>
          </w:p>
        </w:tc>
        <w:tc>
          <w:tcPr>
            <w:tcW w:w="2657" w:type="dxa"/>
            <w:vAlign w:val="center"/>
          </w:tcPr>
          <w:p w14:paraId="0A1129A6">
            <w:pPr>
              <w:autoSpaceDE w:val="0"/>
              <w:autoSpaceDN w:val="0"/>
              <w:snapToGrid w:val="0"/>
              <w:ind w:right="134"/>
              <w:jc w:val="center"/>
              <w:rPr>
                <w:rFonts w:ascii="Calibri" w:hAnsi="Calibri" w:eastAsia="仿宋"/>
                <w:kern w:val="0"/>
                <w:szCs w:val="21"/>
                <w:lang w:eastAsia="en-US"/>
              </w:rPr>
            </w:pPr>
            <w:r>
              <w:rPr>
                <w:rFonts w:ascii="Calibri" w:hAnsi="Calibri" w:eastAsia="仿宋"/>
                <w:kern w:val="0"/>
                <w:szCs w:val="21"/>
                <w:lang w:eastAsia="en-US"/>
              </w:rPr>
              <w:t>项目名称</w:t>
            </w:r>
          </w:p>
        </w:tc>
        <w:tc>
          <w:tcPr>
            <w:tcW w:w="2845" w:type="dxa"/>
            <w:vAlign w:val="center"/>
          </w:tcPr>
          <w:p w14:paraId="4F777568">
            <w:pPr>
              <w:autoSpaceDE w:val="0"/>
              <w:autoSpaceDN w:val="0"/>
              <w:snapToGrid w:val="0"/>
              <w:jc w:val="center"/>
              <w:rPr>
                <w:rFonts w:ascii="Calibri" w:hAnsi="Calibri" w:eastAsia="仿宋"/>
                <w:kern w:val="0"/>
                <w:szCs w:val="21"/>
                <w:lang w:eastAsia="en-US"/>
              </w:rPr>
            </w:pPr>
          </w:p>
        </w:tc>
        <w:tc>
          <w:tcPr>
            <w:tcW w:w="1236" w:type="dxa"/>
            <w:vAlign w:val="center"/>
          </w:tcPr>
          <w:p w14:paraId="34E00826">
            <w:pPr>
              <w:autoSpaceDE w:val="0"/>
              <w:autoSpaceDN w:val="0"/>
              <w:snapToGrid w:val="0"/>
              <w:jc w:val="center"/>
              <w:rPr>
                <w:rFonts w:ascii="Calibri" w:hAnsi="Calibri" w:eastAsia="仿宋"/>
                <w:kern w:val="0"/>
                <w:szCs w:val="21"/>
                <w:lang w:eastAsia="en-US"/>
              </w:rPr>
            </w:pPr>
            <w:r>
              <w:rPr>
                <w:rFonts w:ascii="Calibri" w:hAnsi="Calibri" w:eastAsia="仿宋"/>
                <w:kern w:val="0"/>
                <w:szCs w:val="21"/>
                <w:lang w:eastAsia="en-US"/>
              </w:rPr>
              <w:t>标项号</w:t>
            </w:r>
          </w:p>
        </w:tc>
        <w:tc>
          <w:tcPr>
            <w:tcW w:w="1726" w:type="dxa"/>
            <w:vAlign w:val="center"/>
          </w:tcPr>
          <w:p w14:paraId="11A56CD4">
            <w:pPr>
              <w:autoSpaceDE w:val="0"/>
              <w:autoSpaceDN w:val="0"/>
              <w:snapToGrid w:val="0"/>
              <w:jc w:val="center"/>
              <w:rPr>
                <w:rFonts w:ascii="Calibri" w:hAnsi="Calibri" w:eastAsia="仿宋"/>
                <w:kern w:val="0"/>
                <w:szCs w:val="21"/>
                <w:lang w:eastAsia="en-US"/>
              </w:rPr>
            </w:pPr>
          </w:p>
        </w:tc>
      </w:tr>
      <w:tr w14:paraId="154C51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44" w:hRule="atLeast"/>
        </w:trPr>
        <w:tc>
          <w:tcPr>
            <w:tcW w:w="1227" w:type="dxa"/>
            <w:vAlign w:val="center"/>
          </w:tcPr>
          <w:p w14:paraId="25308660">
            <w:pPr>
              <w:autoSpaceDE w:val="0"/>
              <w:autoSpaceDN w:val="0"/>
              <w:snapToGrid w:val="0"/>
              <w:spacing w:before="1"/>
              <w:jc w:val="center"/>
              <w:rPr>
                <w:rFonts w:ascii="Calibri" w:hAnsi="Calibri" w:eastAsia="仿宋"/>
                <w:kern w:val="0"/>
                <w:szCs w:val="21"/>
                <w:lang w:eastAsia="en-US"/>
              </w:rPr>
            </w:pPr>
          </w:p>
          <w:p w14:paraId="519FE35F">
            <w:pPr>
              <w:autoSpaceDE w:val="0"/>
              <w:autoSpaceDN w:val="0"/>
              <w:snapToGrid w:val="0"/>
              <w:spacing w:before="1"/>
              <w:jc w:val="center"/>
              <w:rPr>
                <w:rFonts w:ascii="Calibri" w:hAnsi="Calibri" w:eastAsia="仿宋"/>
                <w:kern w:val="0"/>
                <w:szCs w:val="21"/>
                <w:lang w:eastAsia="en-US"/>
              </w:rPr>
            </w:pPr>
            <w:r>
              <w:rPr>
                <w:rFonts w:ascii="Calibri" w:hAnsi="Calibri" w:eastAsia="仿宋"/>
                <w:kern w:val="0"/>
                <w:szCs w:val="21"/>
                <w:lang w:eastAsia="en-US"/>
              </w:rPr>
              <w:t>1</w:t>
            </w:r>
          </w:p>
        </w:tc>
        <w:tc>
          <w:tcPr>
            <w:tcW w:w="2657" w:type="dxa"/>
            <w:vAlign w:val="center"/>
          </w:tcPr>
          <w:p w14:paraId="7DE28CD3">
            <w:pPr>
              <w:autoSpaceDE w:val="0"/>
              <w:autoSpaceDN w:val="0"/>
              <w:snapToGrid w:val="0"/>
              <w:spacing w:before="1"/>
              <w:jc w:val="center"/>
              <w:rPr>
                <w:rFonts w:ascii="Calibri" w:hAnsi="Calibri" w:eastAsia="仿宋"/>
                <w:kern w:val="0"/>
                <w:szCs w:val="21"/>
                <w:lang w:eastAsia="en-US"/>
              </w:rPr>
            </w:pPr>
          </w:p>
          <w:p w14:paraId="77416845">
            <w:pPr>
              <w:autoSpaceDE w:val="0"/>
              <w:autoSpaceDN w:val="0"/>
              <w:snapToGrid w:val="0"/>
              <w:spacing w:before="1"/>
              <w:ind w:right="134"/>
              <w:jc w:val="center"/>
              <w:rPr>
                <w:rFonts w:ascii="Calibri" w:hAnsi="Calibri" w:eastAsia="仿宋"/>
                <w:kern w:val="0"/>
                <w:szCs w:val="21"/>
                <w:lang w:eastAsia="en-US"/>
              </w:rPr>
            </w:pPr>
            <w:r>
              <w:rPr>
                <w:rFonts w:ascii="Calibri" w:hAnsi="Calibri" w:eastAsia="仿宋"/>
                <w:kern w:val="0"/>
                <w:szCs w:val="21"/>
                <w:lang w:eastAsia="en-US"/>
              </w:rPr>
              <w:t>报价</w:t>
            </w:r>
          </w:p>
        </w:tc>
        <w:tc>
          <w:tcPr>
            <w:tcW w:w="5807" w:type="dxa"/>
            <w:gridSpan w:val="3"/>
            <w:vAlign w:val="center"/>
          </w:tcPr>
          <w:p w14:paraId="234A1561">
            <w:pPr>
              <w:tabs>
                <w:tab w:val="left" w:pos="2267"/>
              </w:tabs>
              <w:autoSpaceDE w:val="0"/>
              <w:autoSpaceDN w:val="0"/>
              <w:snapToGrid w:val="0"/>
              <w:jc w:val="center"/>
              <w:rPr>
                <w:rFonts w:ascii="Calibri" w:hAnsi="Calibri" w:eastAsia="仿宋"/>
                <w:kern w:val="0"/>
                <w:szCs w:val="21"/>
                <w:lang w:eastAsia="en-US"/>
              </w:rPr>
            </w:pPr>
            <w:r>
              <w:rPr>
                <w:rFonts w:ascii="Calibri" w:hAnsi="Calibri" w:eastAsia="仿宋"/>
                <w:kern w:val="0"/>
                <w:szCs w:val="21"/>
                <w:lang w:eastAsia="en-US"/>
              </w:rPr>
              <w:t>大写：人民币</w:t>
            </w:r>
            <w:r>
              <w:rPr>
                <w:rFonts w:ascii="Calibri" w:hAnsi="Calibri" w:eastAsia="仿宋"/>
                <w:kern w:val="0"/>
                <w:szCs w:val="21"/>
                <w:u w:val="single"/>
                <w:lang w:eastAsia="en-US"/>
              </w:rPr>
              <w:tab/>
            </w:r>
            <w:r>
              <w:rPr>
                <w:rFonts w:ascii="Calibri" w:hAnsi="Calibri" w:eastAsia="仿宋"/>
                <w:kern w:val="0"/>
                <w:szCs w:val="21"/>
                <w:lang w:eastAsia="en-US"/>
              </w:rPr>
              <w:t>元</w:t>
            </w:r>
          </w:p>
          <w:p w14:paraId="6C22FCE2">
            <w:pPr>
              <w:tabs>
                <w:tab w:val="left" w:pos="1842"/>
              </w:tabs>
              <w:autoSpaceDE w:val="0"/>
              <w:autoSpaceDN w:val="0"/>
              <w:snapToGrid w:val="0"/>
              <w:spacing w:before="161"/>
              <w:jc w:val="center"/>
              <w:rPr>
                <w:rFonts w:ascii="Calibri" w:hAnsi="Calibri" w:eastAsia="仿宋"/>
                <w:kern w:val="0"/>
                <w:szCs w:val="21"/>
                <w:lang w:eastAsia="en-US"/>
              </w:rPr>
            </w:pPr>
            <w:r>
              <w:rPr>
                <w:rFonts w:ascii="Calibri" w:hAnsi="Calibri" w:eastAsia="仿宋"/>
                <w:kern w:val="0"/>
                <w:szCs w:val="21"/>
                <w:lang w:eastAsia="en-US"/>
              </w:rPr>
              <w:t>小写：￥</w:t>
            </w:r>
          </w:p>
        </w:tc>
      </w:tr>
      <w:tr w14:paraId="6A9CF4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4" w:hRule="atLeast"/>
        </w:trPr>
        <w:tc>
          <w:tcPr>
            <w:tcW w:w="1227" w:type="dxa"/>
            <w:vAlign w:val="center"/>
          </w:tcPr>
          <w:p w14:paraId="2BD9CF3A">
            <w:pPr>
              <w:autoSpaceDE w:val="0"/>
              <w:autoSpaceDN w:val="0"/>
              <w:snapToGrid w:val="0"/>
              <w:jc w:val="center"/>
              <w:rPr>
                <w:rFonts w:ascii="Calibri" w:hAnsi="Calibri" w:eastAsia="仿宋"/>
                <w:kern w:val="0"/>
                <w:szCs w:val="21"/>
                <w:lang w:eastAsia="en-US"/>
              </w:rPr>
            </w:pPr>
            <w:r>
              <w:rPr>
                <w:rFonts w:ascii="Calibri" w:hAnsi="Calibri" w:eastAsia="仿宋"/>
                <w:kern w:val="0"/>
                <w:szCs w:val="21"/>
                <w:lang w:eastAsia="en-US"/>
              </w:rPr>
              <w:t>2</w:t>
            </w:r>
          </w:p>
        </w:tc>
        <w:tc>
          <w:tcPr>
            <w:tcW w:w="2657" w:type="dxa"/>
            <w:vAlign w:val="center"/>
          </w:tcPr>
          <w:p w14:paraId="5DEF9C44">
            <w:pPr>
              <w:autoSpaceDE w:val="0"/>
              <w:autoSpaceDN w:val="0"/>
              <w:snapToGrid w:val="0"/>
              <w:ind w:right="134"/>
              <w:jc w:val="center"/>
              <w:rPr>
                <w:rFonts w:ascii="Calibri" w:hAnsi="Calibri" w:eastAsia="仿宋"/>
                <w:kern w:val="0"/>
                <w:szCs w:val="21"/>
                <w:lang w:eastAsia="en-US"/>
              </w:rPr>
            </w:pPr>
            <w:r>
              <w:rPr>
                <w:rFonts w:ascii="Calibri" w:hAnsi="Calibri" w:eastAsia="仿宋"/>
                <w:kern w:val="0"/>
                <w:szCs w:val="21"/>
                <w:lang w:eastAsia="en-US"/>
              </w:rPr>
              <w:t>合同履约期限</w:t>
            </w:r>
          </w:p>
        </w:tc>
        <w:tc>
          <w:tcPr>
            <w:tcW w:w="5807" w:type="dxa"/>
            <w:gridSpan w:val="3"/>
            <w:vAlign w:val="center"/>
          </w:tcPr>
          <w:p w14:paraId="4C4ABF62">
            <w:pPr>
              <w:autoSpaceDE w:val="0"/>
              <w:autoSpaceDN w:val="0"/>
              <w:snapToGrid w:val="0"/>
              <w:jc w:val="center"/>
              <w:rPr>
                <w:rFonts w:ascii="Calibri" w:hAnsi="Calibri" w:eastAsia="仿宋"/>
                <w:kern w:val="0"/>
                <w:szCs w:val="21"/>
                <w:lang w:eastAsia="en-US"/>
              </w:rPr>
            </w:pPr>
          </w:p>
        </w:tc>
      </w:tr>
      <w:tr w14:paraId="1931DE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51" w:hRule="atLeast"/>
        </w:trPr>
        <w:tc>
          <w:tcPr>
            <w:tcW w:w="9691" w:type="dxa"/>
            <w:gridSpan w:val="5"/>
            <w:vAlign w:val="center"/>
          </w:tcPr>
          <w:p w14:paraId="226C4E1C">
            <w:pPr>
              <w:autoSpaceDE w:val="0"/>
              <w:autoSpaceDN w:val="0"/>
              <w:snapToGrid w:val="0"/>
              <w:jc w:val="center"/>
              <w:rPr>
                <w:rFonts w:ascii="Calibri" w:hAnsi="Calibri" w:eastAsia="仿宋"/>
                <w:spacing w:val="-1"/>
                <w:kern w:val="0"/>
                <w:szCs w:val="21"/>
                <w:lang w:eastAsia="en-US"/>
              </w:rPr>
            </w:pPr>
          </w:p>
          <w:p w14:paraId="2FFD5C3E">
            <w:pPr>
              <w:autoSpaceDE w:val="0"/>
              <w:autoSpaceDN w:val="0"/>
              <w:snapToGrid w:val="0"/>
              <w:jc w:val="center"/>
              <w:rPr>
                <w:rFonts w:ascii="Calibri" w:hAnsi="Calibri" w:eastAsia="仿宋"/>
                <w:spacing w:val="-1"/>
                <w:kern w:val="0"/>
                <w:szCs w:val="21"/>
                <w:lang w:eastAsia="en-US"/>
              </w:rPr>
            </w:pPr>
            <w:r>
              <w:rPr>
                <w:rFonts w:ascii="Calibri" w:hAnsi="Calibri" w:eastAsia="仿宋"/>
                <w:spacing w:val="-1"/>
                <w:kern w:val="0"/>
                <w:szCs w:val="21"/>
                <w:lang w:eastAsia="en-US"/>
              </w:rPr>
              <w:t>报价要求：报价需含调研费、设计费、运费、拆除费、搬运、人工、安装、辅材、税金等一切与本项目相关费用等。</w:t>
            </w:r>
          </w:p>
          <w:p w14:paraId="25C888B9">
            <w:pPr>
              <w:autoSpaceDE w:val="0"/>
              <w:autoSpaceDN w:val="0"/>
              <w:snapToGrid w:val="0"/>
              <w:jc w:val="center"/>
              <w:rPr>
                <w:rFonts w:ascii="Calibri" w:hAnsi="Calibri" w:eastAsia="仿宋"/>
                <w:kern w:val="0"/>
                <w:szCs w:val="21"/>
                <w:lang w:eastAsia="en-US"/>
              </w:rPr>
            </w:pPr>
          </w:p>
        </w:tc>
      </w:tr>
    </w:tbl>
    <w:p w14:paraId="29375E0C">
      <w:pPr>
        <w:autoSpaceDE w:val="0"/>
        <w:autoSpaceDN w:val="0"/>
        <w:jc w:val="left"/>
        <w:rPr>
          <w:rFonts w:eastAsia="仿宋"/>
          <w:kern w:val="0"/>
          <w:sz w:val="24"/>
          <w:szCs w:val="24"/>
        </w:rPr>
      </w:pPr>
    </w:p>
    <w:p w14:paraId="4C1FC0BC">
      <w:pPr>
        <w:autoSpaceDE w:val="0"/>
        <w:autoSpaceDN w:val="0"/>
        <w:jc w:val="left"/>
        <w:rPr>
          <w:rFonts w:eastAsia="仿宋"/>
          <w:kern w:val="0"/>
          <w:sz w:val="24"/>
          <w:szCs w:val="24"/>
        </w:rPr>
      </w:pPr>
    </w:p>
    <w:p w14:paraId="7931C5FC">
      <w:pPr>
        <w:autoSpaceDE w:val="0"/>
        <w:autoSpaceDN w:val="0"/>
        <w:spacing w:before="3"/>
        <w:jc w:val="left"/>
        <w:rPr>
          <w:rFonts w:eastAsia="仿宋"/>
          <w:kern w:val="0"/>
          <w:sz w:val="24"/>
          <w:szCs w:val="24"/>
        </w:rPr>
      </w:pPr>
    </w:p>
    <w:p w14:paraId="05853EA6">
      <w:pPr>
        <w:tabs>
          <w:tab w:val="left" w:pos="4648"/>
        </w:tabs>
        <w:autoSpaceDE w:val="0"/>
        <w:autoSpaceDN w:val="0"/>
        <w:spacing w:before="74"/>
        <w:jc w:val="left"/>
        <w:rPr>
          <w:rFonts w:eastAsia="仿宋"/>
          <w:kern w:val="0"/>
          <w:sz w:val="24"/>
          <w:szCs w:val="24"/>
        </w:rPr>
      </w:pPr>
      <w:r>
        <w:rPr>
          <w:rFonts w:eastAsia="仿宋"/>
          <w:spacing w:val="-1"/>
          <w:kern w:val="0"/>
          <w:sz w:val="24"/>
          <w:szCs w:val="24"/>
        </w:rPr>
        <w:t>供</w:t>
      </w:r>
      <w:r>
        <w:rPr>
          <w:rFonts w:eastAsia="仿宋"/>
          <w:kern w:val="0"/>
          <w:sz w:val="24"/>
          <w:szCs w:val="24"/>
        </w:rPr>
        <w:t>应商名称(公章)：</w:t>
      </w:r>
      <w:r>
        <w:rPr>
          <w:rFonts w:eastAsia="仿宋"/>
          <w:kern w:val="0"/>
          <w:sz w:val="24"/>
          <w:szCs w:val="24"/>
          <w:u w:val="single"/>
        </w:rPr>
        <w:t xml:space="preserve"> </w:t>
      </w:r>
      <w:r>
        <w:rPr>
          <w:rFonts w:eastAsia="仿宋"/>
          <w:kern w:val="0"/>
          <w:sz w:val="24"/>
          <w:szCs w:val="24"/>
          <w:u w:val="single"/>
        </w:rPr>
        <w:tab/>
      </w:r>
    </w:p>
    <w:p w14:paraId="63C12192">
      <w:pPr>
        <w:autoSpaceDE w:val="0"/>
        <w:autoSpaceDN w:val="0"/>
        <w:spacing w:before="8"/>
        <w:jc w:val="left"/>
        <w:rPr>
          <w:rFonts w:eastAsia="仿宋"/>
          <w:kern w:val="0"/>
          <w:sz w:val="24"/>
          <w:szCs w:val="24"/>
        </w:rPr>
      </w:pPr>
    </w:p>
    <w:p w14:paraId="0331D1E2">
      <w:pPr>
        <w:tabs>
          <w:tab w:val="left" w:pos="6808"/>
        </w:tabs>
        <w:autoSpaceDE w:val="0"/>
        <w:autoSpaceDN w:val="0"/>
        <w:spacing w:before="74"/>
        <w:jc w:val="left"/>
        <w:rPr>
          <w:rFonts w:eastAsia="仿宋"/>
          <w:kern w:val="0"/>
          <w:sz w:val="24"/>
          <w:szCs w:val="24"/>
        </w:rPr>
      </w:pPr>
      <w:r>
        <w:rPr>
          <w:rFonts w:eastAsia="仿宋"/>
          <w:kern w:val="0"/>
          <w:sz w:val="24"/>
          <w:szCs w:val="24"/>
        </w:rPr>
        <w:t>法定代表人或其授权代表(签字或盖章)：</w:t>
      </w:r>
      <w:r>
        <w:rPr>
          <w:rFonts w:eastAsia="仿宋"/>
          <w:kern w:val="0"/>
          <w:sz w:val="24"/>
          <w:szCs w:val="24"/>
          <w:u w:val="single"/>
        </w:rPr>
        <w:t xml:space="preserve"> </w:t>
      </w:r>
      <w:r>
        <w:rPr>
          <w:rFonts w:eastAsia="仿宋"/>
          <w:kern w:val="0"/>
          <w:sz w:val="24"/>
          <w:szCs w:val="24"/>
          <w:u w:val="single"/>
        </w:rPr>
        <w:tab/>
      </w:r>
    </w:p>
    <w:p w14:paraId="294D7789">
      <w:pPr>
        <w:autoSpaceDE w:val="0"/>
        <w:autoSpaceDN w:val="0"/>
        <w:spacing w:before="8"/>
        <w:jc w:val="left"/>
        <w:rPr>
          <w:rFonts w:eastAsia="仿宋"/>
          <w:kern w:val="0"/>
          <w:sz w:val="24"/>
          <w:szCs w:val="24"/>
        </w:rPr>
      </w:pPr>
    </w:p>
    <w:p w14:paraId="1BEF9199">
      <w:pPr>
        <w:tabs>
          <w:tab w:val="left" w:pos="2433"/>
          <w:tab w:val="left" w:pos="3153"/>
          <w:tab w:val="left" w:pos="3873"/>
        </w:tabs>
        <w:autoSpaceDE w:val="0"/>
        <w:autoSpaceDN w:val="0"/>
        <w:spacing w:before="74"/>
        <w:jc w:val="left"/>
        <w:rPr>
          <w:rFonts w:eastAsia="仿宋"/>
          <w:kern w:val="0"/>
          <w:sz w:val="24"/>
          <w:szCs w:val="24"/>
        </w:rPr>
      </w:pPr>
      <w:r>
        <w:rPr>
          <w:rFonts w:eastAsia="仿宋"/>
          <w:kern w:val="0"/>
          <w:sz w:val="24"/>
          <w:szCs w:val="24"/>
        </w:rPr>
        <w:t>日期：</w:t>
      </w:r>
      <w:r>
        <w:rPr>
          <w:rFonts w:eastAsia="仿宋"/>
          <w:kern w:val="0"/>
          <w:sz w:val="24"/>
          <w:szCs w:val="24"/>
          <w:u w:val="single"/>
        </w:rPr>
        <w:tab/>
      </w:r>
      <w:r>
        <w:rPr>
          <w:rFonts w:eastAsia="仿宋"/>
          <w:kern w:val="0"/>
          <w:sz w:val="24"/>
          <w:szCs w:val="24"/>
        </w:rPr>
        <w:t>年</w:t>
      </w:r>
      <w:r>
        <w:rPr>
          <w:rFonts w:eastAsia="仿宋"/>
          <w:kern w:val="0"/>
          <w:sz w:val="24"/>
          <w:szCs w:val="24"/>
          <w:u w:val="single"/>
        </w:rPr>
        <w:tab/>
      </w:r>
      <w:r>
        <w:rPr>
          <w:rFonts w:eastAsia="仿宋"/>
          <w:kern w:val="0"/>
          <w:sz w:val="24"/>
          <w:szCs w:val="24"/>
        </w:rPr>
        <w:t>月</w:t>
      </w:r>
      <w:r>
        <w:rPr>
          <w:rFonts w:eastAsia="仿宋"/>
          <w:kern w:val="0"/>
          <w:sz w:val="24"/>
          <w:szCs w:val="24"/>
          <w:u w:val="single"/>
        </w:rPr>
        <w:tab/>
      </w:r>
      <w:r>
        <w:rPr>
          <w:rFonts w:eastAsia="仿宋"/>
          <w:kern w:val="0"/>
          <w:sz w:val="24"/>
          <w:szCs w:val="24"/>
        </w:rPr>
        <w:t>日</w:t>
      </w:r>
    </w:p>
    <w:p w14:paraId="50B1685B">
      <w:pPr>
        <w:autoSpaceDE w:val="0"/>
        <w:autoSpaceDN w:val="0"/>
        <w:spacing w:before="6"/>
        <w:jc w:val="left"/>
        <w:rPr>
          <w:rFonts w:eastAsia="仿宋"/>
          <w:kern w:val="0"/>
          <w:sz w:val="24"/>
          <w:szCs w:val="24"/>
        </w:rPr>
      </w:pPr>
    </w:p>
    <w:p w14:paraId="40FD59BA">
      <w:pPr>
        <w:autoSpaceDE w:val="0"/>
        <w:autoSpaceDN w:val="0"/>
        <w:jc w:val="left"/>
        <w:rPr>
          <w:rFonts w:eastAsia="仿宋"/>
          <w:kern w:val="0"/>
          <w:sz w:val="24"/>
          <w:szCs w:val="24"/>
        </w:rPr>
      </w:pPr>
      <w:r>
        <w:rPr>
          <w:rFonts w:eastAsia="仿宋"/>
          <w:kern w:val="0"/>
          <w:sz w:val="24"/>
          <w:szCs w:val="24"/>
        </w:rPr>
        <w:t>说明：授权用投标专用章的，与公章具有相同法律效力。</w:t>
      </w:r>
    </w:p>
    <w:p w14:paraId="19C062F0">
      <w:pPr>
        <w:pStyle w:val="2"/>
        <w:rPr>
          <w:rFonts w:hint="eastAsia"/>
        </w:rPr>
      </w:pPr>
    </w:p>
    <w:p w14:paraId="52681946">
      <w:pPr>
        <w:autoSpaceDE w:val="0"/>
        <w:autoSpaceDN w:val="0"/>
        <w:jc w:val="left"/>
        <w:rPr>
          <w:rFonts w:eastAsia="仿宋"/>
          <w:kern w:val="0"/>
          <w:sz w:val="24"/>
          <w:szCs w:val="24"/>
        </w:rPr>
        <w:sectPr>
          <w:headerReference r:id="rId10" w:type="default"/>
          <w:footerReference r:id="rId11" w:type="default"/>
          <w:pgSz w:w="11911" w:h="16838"/>
          <w:pgMar w:top="1440" w:right="1140" w:bottom="1440" w:left="1140" w:header="850" w:footer="1088" w:gutter="0"/>
          <w:cols w:space="0" w:num="1"/>
        </w:sectPr>
      </w:pPr>
    </w:p>
    <w:p w14:paraId="7E9E7110">
      <w:pPr>
        <w:autoSpaceDE w:val="0"/>
        <w:autoSpaceDN w:val="0"/>
        <w:spacing w:before="62"/>
        <w:jc w:val="left"/>
        <w:rPr>
          <w:rFonts w:eastAsia="仿宋"/>
          <w:b/>
          <w:bCs/>
          <w:kern w:val="0"/>
          <w:sz w:val="24"/>
          <w:szCs w:val="24"/>
        </w:rPr>
      </w:pPr>
      <w:r>
        <w:rPr>
          <w:rFonts w:eastAsia="仿宋"/>
          <w:b/>
          <w:bCs/>
          <w:spacing w:val="-1"/>
          <w:kern w:val="0"/>
          <w:sz w:val="24"/>
          <w:szCs w:val="24"/>
        </w:rPr>
        <w:t>3、商务条款偏离表</w:t>
      </w:r>
    </w:p>
    <w:p w14:paraId="1F645C77">
      <w:pPr>
        <w:autoSpaceDE w:val="0"/>
        <w:autoSpaceDN w:val="0"/>
        <w:spacing w:before="4"/>
        <w:jc w:val="left"/>
        <w:rPr>
          <w:rFonts w:eastAsia="仿宋"/>
          <w:kern w:val="0"/>
          <w:sz w:val="24"/>
          <w:szCs w:val="24"/>
          <w:highlight w:val="yellow"/>
        </w:rPr>
      </w:pPr>
    </w:p>
    <w:p w14:paraId="683BF933">
      <w:pPr>
        <w:autoSpaceDE w:val="0"/>
        <w:autoSpaceDN w:val="0"/>
        <w:spacing w:before="67"/>
        <w:ind w:right="891"/>
        <w:jc w:val="center"/>
        <w:rPr>
          <w:rFonts w:eastAsia="仿宋"/>
          <w:b/>
          <w:bCs/>
          <w:kern w:val="0"/>
          <w:sz w:val="24"/>
          <w:szCs w:val="24"/>
        </w:rPr>
      </w:pPr>
      <w:r>
        <w:rPr>
          <w:rFonts w:eastAsia="仿宋"/>
          <w:b/>
          <w:bCs/>
          <w:kern w:val="0"/>
          <w:sz w:val="24"/>
          <w:szCs w:val="24"/>
        </w:rPr>
        <w:t>商务条款偏离表</w:t>
      </w:r>
    </w:p>
    <w:p w14:paraId="5FD40DAA">
      <w:pPr>
        <w:autoSpaceDE w:val="0"/>
        <w:autoSpaceDN w:val="0"/>
        <w:spacing w:before="3"/>
        <w:jc w:val="left"/>
        <w:rPr>
          <w:rFonts w:eastAsia="仿宋"/>
          <w:kern w:val="0"/>
          <w:sz w:val="24"/>
          <w:szCs w:val="24"/>
          <w:highlight w:val="yellow"/>
        </w:rPr>
      </w:pPr>
    </w:p>
    <w:p w14:paraId="651D216D">
      <w:pPr>
        <w:tabs>
          <w:tab w:val="left" w:pos="7234"/>
        </w:tabs>
        <w:autoSpaceDE w:val="0"/>
        <w:autoSpaceDN w:val="0"/>
        <w:spacing w:line="360" w:lineRule="auto"/>
        <w:jc w:val="left"/>
        <w:rPr>
          <w:rFonts w:eastAsia="仿宋"/>
          <w:kern w:val="0"/>
          <w:sz w:val="24"/>
          <w:szCs w:val="24"/>
        </w:rPr>
      </w:pPr>
      <w:r>
        <w:rPr>
          <w:rFonts w:eastAsia="仿宋"/>
          <w:kern w:val="0"/>
          <w:sz w:val="24"/>
          <w:szCs w:val="24"/>
        </w:rPr>
        <w:t>项目名称：</w:t>
      </w:r>
      <w:r>
        <w:rPr>
          <w:rFonts w:eastAsia="仿宋"/>
          <w:kern w:val="0"/>
          <w:sz w:val="24"/>
          <w:szCs w:val="24"/>
        </w:rPr>
        <w:tab/>
      </w:r>
    </w:p>
    <w:p w14:paraId="2998374E">
      <w:pPr>
        <w:tabs>
          <w:tab w:val="left" w:pos="7234"/>
        </w:tabs>
        <w:autoSpaceDE w:val="0"/>
        <w:autoSpaceDN w:val="0"/>
        <w:spacing w:line="360" w:lineRule="auto"/>
        <w:jc w:val="left"/>
        <w:rPr>
          <w:rFonts w:eastAsia="仿宋"/>
          <w:kern w:val="0"/>
          <w:sz w:val="24"/>
          <w:szCs w:val="24"/>
        </w:rPr>
      </w:pPr>
      <w:r>
        <w:rPr>
          <w:rFonts w:eastAsia="仿宋"/>
          <w:kern w:val="0"/>
          <w:sz w:val="24"/>
          <w:szCs w:val="24"/>
        </w:rPr>
        <w:t xml:space="preserve">标项号： </w:t>
      </w:r>
    </w:p>
    <w:tbl>
      <w:tblPr>
        <w:tblStyle w:val="46"/>
        <w:tblW w:w="0" w:type="auto"/>
        <w:tblInd w:w="1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72"/>
        <w:gridCol w:w="3567"/>
        <w:gridCol w:w="3066"/>
        <w:gridCol w:w="1000"/>
        <w:gridCol w:w="884"/>
      </w:tblGrid>
      <w:tr w14:paraId="4BCB5F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6" w:hRule="atLeast"/>
        </w:trPr>
        <w:tc>
          <w:tcPr>
            <w:tcW w:w="972" w:type="dxa"/>
            <w:vAlign w:val="center"/>
          </w:tcPr>
          <w:p w14:paraId="4F8E639B">
            <w:pPr>
              <w:autoSpaceDE w:val="0"/>
              <w:autoSpaceDN w:val="0"/>
              <w:spacing w:before="1"/>
              <w:jc w:val="center"/>
              <w:rPr>
                <w:rFonts w:ascii="Calibri" w:hAnsi="Calibri" w:eastAsia="仿宋"/>
                <w:kern w:val="0"/>
                <w:szCs w:val="21"/>
                <w:lang w:eastAsia="en-US"/>
              </w:rPr>
            </w:pPr>
            <w:r>
              <w:rPr>
                <w:rFonts w:ascii="Calibri" w:hAnsi="Calibri" w:eastAsia="仿宋"/>
                <w:kern w:val="0"/>
                <w:szCs w:val="21"/>
                <w:lang w:eastAsia="en-US"/>
              </w:rPr>
              <w:t>序号</w:t>
            </w:r>
          </w:p>
        </w:tc>
        <w:tc>
          <w:tcPr>
            <w:tcW w:w="3567" w:type="dxa"/>
            <w:vAlign w:val="center"/>
          </w:tcPr>
          <w:p w14:paraId="24901AF6">
            <w:pPr>
              <w:autoSpaceDE w:val="0"/>
              <w:autoSpaceDN w:val="0"/>
              <w:ind w:right="181"/>
              <w:jc w:val="center"/>
              <w:rPr>
                <w:rFonts w:ascii="Calibri" w:hAnsi="Calibri" w:eastAsia="仿宋"/>
                <w:kern w:val="0"/>
                <w:szCs w:val="21"/>
                <w:lang w:eastAsia="en-US"/>
              </w:rPr>
            </w:pPr>
            <w:r>
              <w:rPr>
                <w:rFonts w:ascii="Calibri" w:hAnsi="Calibri" w:eastAsia="仿宋"/>
                <w:kern w:val="0"/>
                <w:szCs w:val="21"/>
                <w:lang w:eastAsia="en-US"/>
              </w:rPr>
              <w:t>采购文件的商务条款</w:t>
            </w:r>
          </w:p>
        </w:tc>
        <w:tc>
          <w:tcPr>
            <w:tcW w:w="3066" w:type="dxa"/>
            <w:vAlign w:val="center"/>
          </w:tcPr>
          <w:p w14:paraId="47670730">
            <w:pPr>
              <w:autoSpaceDE w:val="0"/>
              <w:autoSpaceDN w:val="0"/>
              <w:ind w:right="180"/>
              <w:jc w:val="center"/>
              <w:rPr>
                <w:rFonts w:ascii="Calibri" w:hAnsi="Calibri" w:eastAsia="仿宋"/>
                <w:kern w:val="0"/>
                <w:szCs w:val="21"/>
                <w:lang w:eastAsia="en-US"/>
              </w:rPr>
            </w:pPr>
            <w:r>
              <w:rPr>
                <w:rFonts w:ascii="Calibri" w:hAnsi="Calibri" w:eastAsia="仿宋"/>
                <w:kern w:val="0"/>
                <w:szCs w:val="21"/>
                <w:lang w:eastAsia="en-US"/>
              </w:rPr>
              <w:t>响应文件的商务条款</w:t>
            </w:r>
          </w:p>
        </w:tc>
        <w:tc>
          <w:tcPr>
            <w:tcW w:w="1000" w:type="dxa"/>
            <w:vAlign w:val="center"/>
          </w:tcPr>
          <w:p w14:paraId="568BA2A3">
            <w:pPr>
              <w:autoSpaceDE w:val="0"/>
              <w:autoSpaceDN w:val="0"/>
              <w:spacing w:before="1"/>
              <w:jc w:val="center"/>
              <w:rPr>
                <w:rFonts w:ascii="Calibri" w:hAnsi="Calibri" w:eastAsia="仿宋"/>
                <w:kern w:val="0"/>
                <w:szCs w:val="21"/>
                <w:lang w:eastAsia="en-US"/>
              </w:rPr>
            </w:pPr>
          </w:p>
          <w:p w14:paraId="45EB3E20">
            <w:pPr>
              <w:autoSpaceDE w:val="0"/>
              <w:autoSpaceDN w:val="0"/>
              <w:spacing w:before="1"/>
              <w:jc w:val="center"/>
              <w:rPr>
                <w:rFonts w:ascii="Calibri" w:hAnsi="Calibri" w:eastAsia="仿宋"/>
                <w:kern w:val="0"/>
                <w:szCs w:val="21"/>
                <w:lang w:eastAsia="en-US"/>
              </w:rPr>
            </w:pPr>
            <w:r>
              <w:rPr>
                <w:rFonts w:ascii="Calibri" w:hAnsi="Calibri" w:eastAsia="仿宋"/>
                <w:kern w:val="0"/>
                <w:szCs w:val="21"/>
                <w:lang w:eastAsia="en-US"/>
              </w:rPr>
              <w:t>偏离</w:t>
            </w:r>
          </w:p>
        </w:tc>
        <w:tc>
          <w:tcPr>
            <w:tcW w:w="884" w:type="dxa"/>
            <w:vAlign w:val="center"/>
          </w:tcPr>
          <w:p w14:paraId="6CBB3594">
            <w:pPr>
              <w:autoSpaceDE w:val="0"/>
              <w:autoSpaceDN w:val="0"/>
              <w:spacing w:before="1"/>
              <w:jc w:val="center"/>
              <w:rPr>
                <w:rFonts w:ascii="Calibri" w:hAnsi="Calibri" w:eastAsia="仿宋"/>
                <w:kern w:val="0"/>
                <w:szCs w:val="21"/>
                <w:lang w:eastAsia="en-US"/>
              </w:rPr>
            </w:pPr>
          </w:p>
          <w:p w14:paraId="65035471">
            <w:pPr>
              <w:autoSpaceDE w:val="0"/>
              <w:autoSpaceDN w:val="0"/>
              <w:spacing w:before="1"/>
              <w:jc w:val="center"/>
              <w:rPr>
                <w:rFonts w:ascii="Calibri" w:hAnsi="Calibri" w:eastAsia="仿宋"/>
                <w:kern w:val="0"/>
                <w:szCs w:val="21"/>
                <w:lang w:eastAsia="en-US"/>
              </w:rPr>
            </w:pPr>
            <w:r>
              <w:rPr>
                <w:rFonts w:ascii="Calibri" w:hAnsi="Calibri" w:eastAsia="仿宋"/>
                <w:kern w:val="0"/>
                <w:szCs w:val="21"/>
                <w:lang w:eastAsia="en-US"/>
              </w:rPr>
              <w:t>说明</w:t>
            </w:r>
          </w:p>
        </w:tc>
      </w:tr>
      <w:tr w14:paraId="726E24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4" w:hRule="atLeast"/>
        </w:trPr>
        <w:tc>
          <w:tcPr>
            <w:tcW w:w="972" w:type="dxa"/>
            <w:vAlign w:val="center"/>
          </w:tcPr>
          <w:p w14:paraId="5420382B">
            <w:pPr>
              <w:autoSpaceDE w:val="0"/>
              <w:autoSpaceDN w:val="0"/>
              <w:jc w:val="center"/>
              <w:rPr>
                <w:rFonts w:ascii="Calibri" w:hAnsi="Calibri" w:eastAsia="仿宋"/>
                <w:kern w:val="0"/>
                <w:szCs w:val="21"/>
                <w:lang w:eastAsia="en-US"/>
              </w:rPr>
            </w:pPr>
            <w:r>
              <w:rPr>
                <w:rFonts w:ascii="Calibri" w:hAnsi="Calibri" w:eastAsia="仿宋"/>
                <w:kern w:val="0"/>
                <w:szCs w:val="21"/>
                <w:lang w:eastAsia="en-US"/>
              </w:rPr>
              <w:t>1</w:t>
            </w:r>
          </w:p>
        </w:tc>
        <w:tc>
          <w:tcPr>
            <w:tcW w:w="3567" w:type="dxa"/>
            <w:vAlign w:val="center"/>
          </w:tcPr>
          <w:p w14:paraId="7317A88D">
            <w:pPr>
              <w:autoSpaceDE w:val="0"/>
              <w:autoSpaceDN w:val="0"/>
              <w:rPr>
                <w:rFonts w:ascii="Calibri" w:hAnsi="Calibri" w:eastAsia="仿宋"/>
                <w:kern w:val="0"/>
                <w:szCs w:val="21"/>
                <w:lang w:eastAsia="en-US"/>
              </w:rPr>
            </w:pPr>
          </w:p>
        </w:tc>
        <w:tc>
          <w:tcPr>
            <w:tcW w:w="3066" w:type="dxa"/>
            <w:vAlign w:val="center"/>
          </w:tcPr>
          <w:p w14:paraId="6DAA2EBE">
            <w:pPr>
              <w:autoSpaceDE w:val="0"/>
              <w:autoSpaceDN w:val="0"/>
              <w:rPr>
                <w:rFonts w:ascii="Calibri" w:hAnsi="Calibri" w:eastAsia="仿宋"/>
                <w:kern w:val="0"/>
                <w:szCs w:val="21"/>
                <w:lang w:eastAsia="en-US"/>
              </w:rPr>
            </w:pPr>
          </w:p>
        </w:tc>
        <w:tc>
          <w:tcPr>
            <w:tcW w:w="1000" w:type="dxa"/>
            <w:vAlign w:val="center"/>
          </w:tcPr>
          <w:p w14:paraId="34D0233D">
            <w:pPr>
              <w:autoSpaceDE w:val="0"/>
              <w:autoSpaceDN w:val="0"/>
              <w:rPr>
                <w:rFonts w:ascii="Calibri" w:hAnsi="Calibri" w:eastAsia="仿宋"/>
                <w:kern w:val="0"/>
                <w:szCs w:val="21"/>
                <w:lang w:eastAsia="en-US"/>
              </w:rPr>
            </w:pPr>
          </w:p>
        </w:tc>
        <w:tc>
          <w:tcPr>
            <w:tcW w:w="884" w:type="dxa"/>
            <w:vAlign w:val="center"/>
          </w:tcPr>
          <w:p w14:paraId="2FE4AA83">
            <w:pPr>
              <w:autoSpaceDE w:val="0"/>
              <w:autoSpaceDN w:val="0"/>
              <w:rPr>
                <w:rFonts w:ascii="Calibri" w:hAnsi="Calibri" w:eastAsia="仿宋"/>
                <w:kern w:val="0"/>
                <w:szCs w:val="21"/>
                <w:lang w:eastAsia="en-US"/>
              </w:rPr>
            </w:pPr>
          </w:p>
        </w:tc>
      </w:tr>
      <w:tr w14:paraId="559C4C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3" w:hRule="atLeast"/>
        </w:trPr>
        <w:tc>
          <w:tcPr>
            <w:tcW w:w="972" w:type="dxa"/>
            <w:vAlign w:val="center"/>
          </w:tcPr>
          <w:p w14:paraId="0685C12F">
            <w:pPr>
              <w:autoSpaceDE w:val="0"/>
              <w:autoSpaceDN w:val="0"/>
              <w:jc w:val="center"/>
              <w:rPr>
                <w:rFonts w:ascii="Calibri" w:hAnsi="Calibri" w:eastAsia="仿宋"/>
                <w:kern w:val="0"/>
                <w:szCs w:val="21"/>
                <w:lang w:eastAsia="en-US"/>
              </w:rPr>
            </w:pPr>
            <w:r>
              <w:rPr>
                <w:rFonts w:ascii="Calibri" w:hAnsi="Calibri" w:eastAsia="仿宋"/>
                <w:kern w:val="0"/>
                <w:szCs w:val="21"/>
                <w:lang w:eastAsia="en-US"/>
              </w:rPr>
              <w:t>2</w:t>
            </w:r>
          </w:p>
        </w:tc>
        <w:tc>
          <w:tcPr>
            <w:tcW w:w="3567" w:type="dxa"/>
            <w:vAlign w:val="center"/>
          </w:tcPr>
          <w:p w14:paraId="5450E849">
            <w:pPr>
              <w:autoSpaceDE w:val="0"/>
              <w:autoSpaceDN w:val="0"/>
              <w:rPr>
                <w:rFonts w:ascii="Calibri" w:hAnsi="Calibri" w:eastAsia="仿宋"/>
                <w:kern w:val="0"/>
                <w:szCs w:val="21"/>
                <w:lang w:eastAsia="en-US"/>
              </w:rPr>
            </w:pPr>
          </w:p>
        </w:tc>
        <w:tc>
          <w:tcPr>
            <w:tcW w:w="3066" w:type="dxa"/>
            <w:vAlign w:val="center"/>
          </w:tcPr>
          <w:p w14:paraId="3EEC2BE9">
            <w:pPr>
              <w:autoSpaceDE w:val="0"/>
              <w:autoSpaceDN w:val="0"/>
              <w:rPr>
                <w:rFonts w:ascii="Calibri" w:hAnsi="Calibri" w:eastAsia="仿宋"/>
                <w:kern w:val="0"/>
                <w:szCs w:val="21"/>
                <w:lang w:eastAsia="en-US"/>
              </w:rPr>
            </w:pPr>
          </w:p>
        </w:tc>
        <w:tc>
          <w:tcPr>
            <w:tcW w:w="1000" w:type="dxa"/>
            <w:vAlign w:val="center"/>
          </w:tcPr>
          <w:p w14:paraId="055D58FF">
            <w:pPr>
              <w:autoSpaceDE w:val="0"/>
              <w:autoSpaceDN w:val="0"/>
              <w:rPr>
                <w:rFonts w:ascii="Calibri" w:hAnsi="Calibri" w:eastAsia="仿宋"/>
                <w:kern w:val="0"/>
                <w:szCs w:val="21"/>
                <w:lang w:eastAsia="en-US"/>
              </w:rPr>
            </w:pPr>
          </w:p>
        </w:tc>
        <w:tc>
          <w:tcPr>
            <w:tcW w:w="884" w:type="dxa"/>
            <w:vAlign w:val="center"/>
          </w:tcPr>
          <w:p w14:paraId="692BEFD2">
            <w:pPr>
              <w:autoSpaceDE w:val="0"/>
              <w:autoSpaceDN w:val="0"/>
              <w:rPr>
                <w:rFonts w:ascii="Calibri" w:hAnsi="Calibri" w:eastAsia="仿宋"/>
                <w:kern w:val="0"/>
                <w:szCs w:val="21"/>
                <w:lang w:eastAsia="en-US"/>
              </w:rPr>
            </w:pPr>
          </w:p>
        </w:tc>
      </w:tr>
      <w:tr w14:paraId="610829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3" w:hRule="atLeast"/>
        </w:trPr>
        <w:tc>
          <w:tcPr>
            <w:tcW w:w="972" w:type="dxa"/>
            <w:vAlign w:val="center"/>
          </w:tcPr>
          <w:p w14:paraId="683130A2">
            <w:pPr>
              <w:autoSpaceDE w:val="0"/>
              <w:autoSpaceDN w:val="0"/>
              <w:jc w:val="center"/>
              <w:rPr>
                <w:rFonts w:ascii="Calibri" w:hAnsi="Calibri" w:eastAsia="仿宋"/>
                <w:kern w:val="0"/>
                <w:szCs w:val="21"/>
                <w:lang w:eastAsia="en-US"/>
              </w:rPr>
            </w:pPr>
            <w:r>
              <w:rPr>
                <w:rFonts w:ascii="Calibri" w:hAnsi="Calibri" w:eastAsia="仿宋"/>
                <w:kern w:val="0"/>
                <w:szCs w:val="21"/>
                <w:lang w:eastAsia="en-US"/>
              </w:rPr>
              <w:t>3</w:t>
            </w:r>
          </w:p>
        </w:tc>
        <w:tc>
          <w:tcPr>
            <w:tcW w:w="3567" w:type="dxa"/>
            <w:vAlign w:val="center"/>
          </w:tcPr>
          <w:p w14:paraId="4223A346">
            <w:pPr>
              <w:autoSpaceDE w:val="0"/>
              <w:autoSpaceDN w:val="0"/>
              <w:rPr>
                <w:rFonts w:ascii="Calibri" w:hAnsi="Calibri" w:eastAsia="仿宋"/>
                <w:kern w:val="0"/>
                <w:szCs w:val="21"/>
                <w:lang w:eastAsia="en-US"/>
              </w:rPr>
            </w:pPr>
          </w:p>
        </w:tc>
        <w:tc>
          <w:tcPr>
            <w:tcW w:w="3066" w:type="dxa"/>
            <w:vAlign w:val="center"/>
          </w:tcPr>
          <w:p w14:paraId="6C3B87E6">
            <w:pPr>
              <w:autoSpaceDE w:val="0"/>
              <w:autoSpaceDN w:val="0"/>
              <w:rPr>
                <w:rFonts w:ascii="Calibri" w:hAnsi="Calibri" w:eastAsia="仿宋"/>
                <w:kern w:val="0"/>
                <w:szCs w:val="21"/>
                <w:lang w:eastAsia="en-US"/>
              </w:rPr>
            </w:pPr>
          </w:p>
        </w:tc>
        <w:tc>
          <w:tcPr>
            <w:tcW w:w="1000" w:type="dxa"/>
            <w:vAlign w:val="center"/>
          </w:tcPr>
          <w:p w14:paraId="42D969BB">
            <w:pPr>
              <w:autoSpaceDE w:val="0"/>
              <w:autoSpaceDN w:val="0"/>
              <w:rPr>
                <w:rFonts w:ascii="Calibri" w:hAnsi="Calibri" w:eastAsia="仿宋"/>
                <w:kern w:val="0"/>
                <w:szCs w:val="21"/>
                <w:lang w:eastAsia="en-US"/>
              </w:rPr>
            </w:pPr>
          </w:p>
        </w:tc>
        <w:tc>
          <w:tcPr>
            <w:tcW w:w="884" w:type="dxa"/>
            <w:vAlign w:val="center"/>
          </w:tcPr>
          <w:p w14:paraId="29BA096B">
            <w:pPr>
              <w:autoSpaceDE w:val="0"/>
              <w:autoSpaceDN w:val="0"/>
              <w:rPr>
                <w:rFonts w:ascii="Calibri" w:hAnsi="Calibri" w:eastAsia="仿宋"/>
                <w:kern w:val="0"/>
                <w:szCs w:val="21"/>
                <w:lang w:eastAsia="en-US"/>
              </w:rPr>
            </w:pPr>
          </w:p>
        </w:tc>
      </w:tr>
      <w:tr w14:paraId="62BDF6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73" w:hRule="atLeast"/>
        </w:trPr>
        <w:tc>
          <w:tcPr>
            <w:tcW w:w="972" w:type="dxa"/>
            <w:vAlign w:val="center"/>
          </w:tcPr>
          <w:p w14:paraId="11301F8F">
            <w:pPr>
              <w:autoSpaceDE w:val="0"/>
              <w:autoSpaceDN w:val="0"/>
              <w:jc w:val="center"/>
              <w:rPr>
                <w:rFonts w:ascii="Calibri" w:hAnsi="Calibri" w:eastAsia="仿宋"/>
                <w:kern w:val="0"/>
                <w:szCs w:val="21"/>
                <w:lang w:eastAsia="en-US"/>
              </w:rPr>
            </w:pPr>
            <w:r>
              <w:rPr>
                <w:rFonts w:ascii="Calibri" w:hAnsi="Calibri" w:eastAsia="仿宋"/>
                <w:kern w:val="0"/>
                <w:szCs w:val="21"/>
                <w:lang w:eastAsia="en-US"/>
              </w:rPr>
              <w:t>4</w:t>
            </w:r>
          </w:p>
        </w:tc>
        <w:tc>
          <w:tcPr>
            <w:tcW w:w="3567" w:type="dxa"/>
            <w:vAlign w:val="center"/>
          </w:tcPr>
          <w:p w14:paraId="7E377009">
            <w:pPr>
              <w:autoSpaceDE w:val="0"/>
              <w:autoSpaceDN w:val="0"/>
              <w:rPr>
                <w:rFonts w:ascii="Calibri" w:hAnsi="Calibri" w:eastAsia="仿宋"/>
                <w:kern w:val="0"/>
                <w:szCs w:val="21"/>
                <w:lang w:eastAsia="en-US"/>
              </w:rPr>
            </w:pPr>
          </w:p>
        </w:tc>
        <w:tc>
          <w:tcPr>
            <w:tcW w:w="3066" w:type="dxa"/>
            <w:vAlign w:val="center"/>
          </w:tcPr>
          <w:p w14:paraId="2FD2073A">
            <w:pPr>
              <w:autoSpaceDE w:val="0"/>
              <w:autoSpaceDN w:val="0"/>
              <w:rPr>
                <w:rFonts w:ascii="Calibri" w:hAnsi="Calibri" w:eastAsia="仿宋"/>
                <w:kern w:val="0"/>
                <w:szCs w:val="21"/>
                <w:lang w:eastAsia="en-US"/>
              </w:rPr>
            </w:pPr>
          </w:p>
        </w:tc>
        <w:tc>
          <w:tcPr>
            <w:tcW w:w="1000" w:type="dxa"/>
            <w:vAlign w:val="center"/>
          </w:tcPr>
          <w:p w14:paraId="276BFC96">
            <w:pPr>
              <w:autoSpaceDE w:val="0"/>
              <w:autoSpaceDN w:val="0"/>
              <w:rPr>
                <w:rFonts w:ascii="Calibri" w:hAnsi="Calibri" w:eastAsia="仿宋"/>
                <w:kern w:val="0"/>
                <w:szCs w:val="21"/>
                <w:lang w:eastAsia="en-US"/>
              </w:rPr>
            </w:pPr>
          </w:p>
        </w:tc>
        <w:tc>
          <w:tcPr>
            <w:tcW w:w="884" w:type="dxa"/>
            <w:vAlign w:val="center"/>
          </w:tcPr>
          <w:p w14:paraId="74C5C907">
            <w:pPr>
              <w:autoSpaceDE w:val="0"/>
              <w:autoSpaceDN w:val="0"/>
              <w:rPr>
                <w:rFonts w:ascii="Calibri" w:hAnsi="Calibri" w:eastAsia="仿宋"/>
                <w:kern w:val="0"/>
                <w:szCs w:val="21"/>
                <w:lang w:eastAsia="en-US"/>
              </w:rPr>
            </w:pPr>
          </w:p>
        </w:tc>
      </w:tr>
      <w:tr w14:paraId="5E40FF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6" w:hRule="atLeast"/>
        </w:trPr>
        <w:tc>
          <w:tcPr>
            <w:tcW w:w="972" w:type="dxa"/>
            <w:vAlign w:val="center"/>
          </w:tcPr>
          <w:p w14:paraId="2CB0CCB1">
            <w:pPr>
              <w:autoSpaceDE w:val="0"/>
              <w:autoSpaceDN w:val="0"/>
              <w:jc w:val="center"/>
              <w:rPr>
                <w:rFonts w:ascii="Calibri" w:hAnsi="Calibri" w:eastAsia="仿宋"/>
                <w:kern w:val="0"/>
                <w:szCs w:val="21"/>
                <w:lang w:eastAsia="en-US"/>
              </w:rPr>
            </w:pPr>
            <w:r>
              <w:rPr>
                <w:rFonts w:ascii="Calibri" w:hAnsi="Calibri" w:eastAsia="仿宋"/>
                <w:kern w:val="0"/>
                <w:szCs w:val="21"/>
                <w:lang w:eastAsia="en-US"/>
              </w:rPr>
              <w:t>5</w:t>
            </w:r>
          </w:p>
        </w:tc>
        <w:tc>
          <w:tcPr>
            <w:tcW w:w="3567" w:type="dxa"/>
            <w:vAlign w:val="center"/>
          </w:tcPr>
          <w:p w14:paraId="15A97613">
            <w:pPr>
              <w:autoSpaceDE w:val="0"/>
              <w:autoSpaceDN w:val="0"/>
              <w:spacing w:line="440" w:lineRule="exact"/>
              <w:rPr>
                <w:rFonts w:ascii="Calibri" w:hAnsi="Calibri" w:eastAsia="仿宋"/>
                <w:kern w:val="0"/>
                <w:szCs w:val="21"/>
                <w:lang w:eastAsia="en-US"/>
              </w:rPr>
            </w:pPr>
          </w:p>
        </w:tc>
        <w:tc>
          <w:tcPr>
            <w:tcW w:w="3066" w:type="dxa"/>
            <w:vAlign w:val="center"/>
          </w:tcPr>
          <w:p w14:paraId="21236D3A">
            <w:pPr>
              <w:autoSpaceDE w:val="0"/>
              <w:autoSpaceDN w:val="0"/>
              <w:rPr>
                <w:rFonts w:ascii="Calibri" w:hAnsi="Calibri" w:eastAsia="仿宋"/>
                <w:kern w:val="0"/>
                <w:szCs w:val="21"/>
                <w:lang w:eastAsia="en-US"/>
              </w:rPr>
            </w:pPr>
          </w:p>
        </w:tc>
        <w:tc>
          <w:tcPr>
            <w:tcW w:w="1000" w:type="dxa"/>
            <w:vAlign w:val="center"/>
          </w:tcPr>
          <w:p w14:paraId="672217FE">
            <w:pPr>
              <w:autoSpaceDE w:val="0"/>
              <w:autoSpaceDN w:val="0"/>
              <w:rPr>
                <w:rFonts w:ascii="Calibri" w:hAnsi="Calibri" w:eastAsia="仿宋"/>
                <w:kern w:val="0"/>
                <w:szCs w:val="21"/>
                <w:lang w:eastAsia="en-US"/>
              </w:rPr>
            </w:pPr>
          </w:p>
        </w:tc>
        <w:tc>
          <w:tcPr>
            <w:tcW w:w="884" w:type="dxa"/>
            <w:vAlign w:val="center"/>
          </w:tcPr>
          <w:p w14:paraId="21FF67E2">
            <w:pPr>
              <w:autoSpaceDE w:val="0"/>
              <w:autoSpaceDN w:val="0"/>
              <w:rPr>
                <w:rFonts w:ascii="Calibri" w:hAnsi="Calibri" w:eastAsia="仿宋"/>
                <w:kern w:val="0"/>
                <w:szCs w:val="21"/>
                <w:lang w:eastAsia="en-US"/>
              </w:rPr>
            </w:pPr>
          </w:p>
        </w:tc>
      </w:tr>
      <w:tr w14:paraId="2A1E38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6" w:hRule="atLeast"/>
        </w:trPr>
        <w:tc>
          <w:tcPr>
            <w:tcW w:w="972" w:type="dxa"/>
            <w:vAlign w:val="center"/>
          </w:tcPr>
          <w:p w14:paraId="7E8B26E8">
            <w:pPr>
              <w:autoSpaceDE w:val="0"/>
              <w:autoSpaceDN w:val="0"/>
              <w:jc w:val="center"/>
              <w:rPr>
                <w:rFonts w:ascii="Calibri" w:hAnsi="Calibri" w:eastAsia="仿宋"/>
                <w:kern w:val="0"/>
                <w:szCs w:val="21"/>
                <w:lang w:eastAsia="en-US"/>
              </w:rPr>
            </w:pPr>
            <w:r>
              <w:rPr>
                <w:rFonts w:ascii="Calibri" w:hAnsi="Calibri" w:eastAsia="仿宋"/>
                <w:kern w:val="0"/>
                <w:szCs w:val="21"/>
                <w:lang w:eastAsia="en-US"/>
              </w:rPr>
              <w:t>6</w:t>
            </w:r>
          </w:p>
        </w:tc>
        <w:tc>
          <w:tcPr>
            <w:tcW w:w="3567" w:type="dxa"/>
            <w:vAlign w:val="center"/>
          </w:tcPr>
          <w:p w14:paraId="3B609B40">
            <w:pPr>
              <w:pStyle w:val="47"/>
              <w:widowControl w:val="0"/>
              <w:ind w:firstLine="0" w:firstLineChars="0"/>
              <w:jc w:val="both"/>
              <w:rPr>
                <w:rFonts w:ascii="Times New Roman" w:hAnsi="Times New Roman" w:eastAsia="仿宋" w:cs="Times New Roman"/>
                <w:sz w:val="21"/>
                <w:lang w:eastAsia="en-US"/>
              </w:rPr>
            </w:pPr>
          </w:p>
        </w:tc>
        <w:tc>
          <w:tcPr>
            <w:tcW w:w="3066" w:type="dxa"/>
            <w:vAlign w:val="center"/>
          </w:tcPr>
          <w:p w14:paraId="0430C197">
            <w:pPr>
              <w:autoSpaceDE w:val="0"/>
              <w:autoSpaceDN w:val="0"/>
              <w:rPr>
                <w:rFonts w:ascii="Calibri" w:hAnsi="Calibri" w:eastAsia="仿宋"/>
                <w:kern w:val="0"/>
                <w:szCs w:val="21"/>
                <w:lang w:eastAsia="en-US"/>
              </w:rPr>
            </w:pPr>
          </w:p>
        </w:tc>
        <w:tc>
          <w:tcPr>
            <w:tcW w:w="1000" w:type="dxa"/>
            <w:vAlign w:val="center"/>
          </w:tcPr>
          <w:p w14:paraId="5D7F8170">
            <w:pPr>
              <w:autoSpaceDE w:val="0"/>
              <w:autoSpaceDN w:val="0"/>
              <w:rPr>
                <w:rFonts w:ascii="Calibri" w:hAnsi="Calibri" w:eastAsia="仿宋"/>
                <w:kern w:val="0"/>
                <w:szCs w:val="21"/>
                <w:lang w:eastAsia="en-US"/>
              </w:rPr>
            </w:pPr>
          </w:p>
        </w:tc>
        <w:tc>
          <w:tcPr>
            <w:tcW w:w="884" w:type="dxa"/>
            <w:vAlign w:val="center"/>
          </w:tcPr>
          <w:p w14:paraId="7F959FBE">
            <w:pPr>
              <w:autoSpaceDE w:val="0"/>
              <w:autoSpaceDN w:val="0"/>
              <w:rPr>
                <w:rFonts w:ascii="Calibri" w:hAnsi="Calibri" w:eastAsia="仿宋"/>
                <w:kern w:val="0"/>
                <w:szCs w:val="21"/>
                <w:lang w:eastAsia="en-US"/>
              </w:rPr>
            </w:pPr>
          </w:p>
        </w:tc>
      </w:tr>
    </w:tbl>
    <w:p w14:paraId="645B35DA">
      <w:pPr>
        <w:autoSpaceDE w:val="0"/>
        <w:autoSpaceDN w:val="0"/>
        <w:spacing w:before="163"/>
        <w:jc w:val="left"/>
        <w:rPr>
          <w:rFonts w:eastAsia="仿宋"/>
          <w:kern w:val="0"/>
          <w:sz w:val="24"/>
          <w:szCs w:val="24"/>
        </w:rPr>
      </w:pPr>
      <w:r>
        <w:rPr>
          <w:rFonts w:eastAsia="仿宋"/>
          <w:spacing w:val="-8"/>
          <w:kern w:val="0"/>
          <w:sz w:val="24"/>
          <w:szCs w:val="24"/>
        </w:rPr>
        <w:t>说明：如有偏离，则必须注明“偏离”；未注明偏离的，视为完全响应。</w:t>
      </w:r>
    </w:p>
    <w:p w14:paraId="1A2DE86E">
      <w:pPr>
        <w:autoSpaceDE w:val="0"/>
        <w:autoSpaceDN w:val="0"/>
        <w:jc w:val="left"/>
        <w:rPr>
          <w:rFonts w:eastAsia="仿宋"/>
          <w:kern w:val="0"/>
          <w:sz w:val="24"/>
          <w:szCs w:val="24"/>
        </w:rPr>
      </w:pPr>
    </w:p>
    <w:p w14:paraId="6E3A7D94">
      <w:pPr>
        <w:autoSpaceDE w:val="0"/>
        <w:autoSpaceDN w:val="0"/>
        <w:spacing w:before="7"/>
        <w:jc w:val="left"/>
        <w:rPr>
          <w:rFonts w:eastAsia="仿宋"/>
          <w:kern w:val="0"/>
          <w:sz w:val="24"/>
          <w:szCs w:val="24"/>
        </w:rPr>
      </w:pPr>
    </w:p>
    <w:p w14:paraId="54F08AC1">
      <w:pPr>
        <w:tabs>
          <w:tab w:val="left" w:pos="6088"/>
        </w:tabs>
        <w:autoSpaceDE w:val="0"/>
        <w:autoSpaceDN w:val="0"/>
        <w:jc w:val="left"/>
        <w:rPr>
          <w:rFonts w:eastAsia="仿宋"/>
          <w:kern w:val="0"/>
          <w:sz w:val="24"/>
          <w:szCs w:val="24"/>
        </w:rPr>
      </w:pPr>
      <w:r>
        <w:rPr>
          <w:rFonts w:eastAsia="仿宋"/>
          <w:spacing w:val="-1"/>
          <w:kern w:val="0"/>
          <w:sz w:val="24"/>
          <w:szCs w:val="24"/>
        </w:rPr>
        <w:t>供</w:t>
      </w:r>
      <w:r>
        <w:rPr>
          <w:rFonts w:eastAsia="仿宋"/>
          <w:kern w:val="0"/>
          <w:sz w:val="24"/>
          <w:szCs w:val="24"/>
        </w:rPr>
        <w:t>应商名称(公章)：</w:t>
      </w:r>
      <w:r>
        <w:rPr>
          <w:rFonts w:eastAsia="仿宋"/>
          <w:kern w:val="0"/>
          <w:sz w:val="24"/>
          <w:szCs w:val="24"/>
          <w:u w:val="single"/>
        </w:rPr>
        <w:t xml:space="preserve"> </w:t>
      </w:r>
      <w:r>
        <w:rPr>
          <w:rFonts w:eastAsia="仿宋"/>
          <w:kern w:val="0"/>
          <w:sz w:val="24"/>
          <w:szCs w:val="24"/>
          <w:u w:val="single"/>
        </w:rPr>
        <w:tab/>
      </w:r>
    </w:p>
    <w:p w14:paraId="2B07EED9">
      <w:pPr>
        <w:autoSpaceDE w:val="0"/>
        <w:autoSpaceDN w:val="0"/>
        <w:spacing w:before="8"/>
        <w:jc w:val="left"/>
        <w:rPr>
          <w:rFonts w:eastAsia="仿宋"/>
          <w:kern w:val="0"/>
          <w:sz w:val="24"/>
          <w:szCs w:val="24"/>
        </w:rPr>
      </w:pPr>
    </w:p>
    <w:p w14:paraId="6A62C16A">
      <w:pPr>
        <w:tabs>
          <w:tab w:val="left" w:pos="8008"/>
        </w:tabs>
        <w:autoSpaceDE w:val="0"/>
        <w:autoSpaceDN w:val="0"/>
        <w:spacing w:before="74"/>
        <w:jc w:val="left"/>
        <w:rPr>
          <w:rFonts w:eastAsia="仿宋"/>
          <w:kern w:val="0"/>
          <w:sz w:val="24"/>
          <w:szCs w:val="24"/>
        </w:rPr>
      </w:pPr>
      <w:r>
        <w:rPr>
          <w:rFonts w:eastAsia="仿宋"/>
          <w:kern w:val="0"/>
          <w:sz w:val="24"/>
          <w:szCs w:val="24"/>
        </w:rPr>
        <w:t>法定代表人或授权代表(签字或盖章)：</w:t>
      </w:r>
      <w:r>
        <w:rPr>
          <w:rFonts w:eastAsia="仿宋"/>
          <w:kern w:val="0"/>
          <w:sz w:val="24"/>
          <w:szCs w:val="24"/>
          <w:u w:val="single"/>
        </w:rPr>
        <w:t xml:space="preserve"> </w:t>
      </w:r>
      <w:r>
        <w:rPr>
          <w:rFonts w:eastAsia="仿宋"/>
          <w:kern w:val="0"/>
          <w:sz w:val="24"/>
          <w:szCs w:val="24"/>
          <w:u w:val="single"/>
        </w:rPr>
        <w:tab/>
      </w:r>
    </w:p>
    <w:p w14:paraId="69A2DD64">
      <w:pPr>
        <w:autoSpaceDE w:val="0"/>
        <w:autoSpaceDN w:val="0"/>
        <w:jc w:val="left"/>
        <w:rPr>
          <w:rFonts w:eastAsia="仿宋"/>
          <w:kern w:val="0"/>
          <w:sz w:val="24"/>
          <w:szCs w:val="24"/>
        </w:rPr>
      </w:pPr>
    </w:p>
    <w:p w14:paraId="28143606">
      <w:pPr>
        <w:autoSpaceDE w:val="0"/>
        <w:autoSpaceDN w:val="0"/>
        <w:jc w:val="left"/>
        <w:rPr>
          <w:rFonts w:eastAsia="仿宋"/>
          <w:kern w:val="0"/>
          <w:sz w:val="24"/>
          <w:szCs w:val="24"/>
        </w:rPr>
      </w:pPr>
    </w:p>
    <w:p w14:paraId="2A693EDA">
      <w:pPr>
        <w:autoSpaceDE w:val="0"/>
        <w:autoSpaceDN w:val="0"/>
        <w:spacing w:before="7"/>
        <w:jc w:val="left"/>
        <w:rPr>
          <w:rFonts w:eastAsia="仿宋"/>
          <w:kern w:val="0"/>
          <w:sz w:val="24"/>
          <w:szCs w:val="24"/>
        </w:rPr>
      </w:pPr>
    </w:p>
    <w:p w14:paraId="229CED4A">
      <w:pPr>
        <w:autoSpaceDE w:val="0"/>
        <w:autoSpaceDN w:val="0"/>
        <w:spacing w:before="7"/>
        <w:jc w:val="left"/>
        <w:rPr>
          <w:rFonts w:eastAsia="仿宋"/>
          <w:kern w:val="0"/>
          <w:sz w:val="24"/>
          <w:szCs w:val="24"/>
        </w:rPr>
      </w:pPr>
    </w:p>
    <w:p w14:paraId="7947FD48">
      <w:pPr>
        <w:tabs>
          <w:tab w:val="left" w:pos="720"/>
          <w:tab w:val="left" w:pos="1440"/>
          <w:tab w:val="left" w:pos="2160"/>
        </w:tabs>
        <w:autoSpaceDE w:val="0"/>
        <w:autoSpaceDN w:val="0"/>
        <w:spacing w:before="74"/>
        <w:ind w:right="500"/>
        <w:jc w:val="right"/>
        <w:rPr>
          <w:rFonts w:eastAsia="仿宋"/>
          <w:kern w:val="0"/>
          <w:sz w:val="24"/>
          <w:szCs w:val="24"/>
        </w:rPr>
      </w:pPr>
      <w:r>
        <w:rPr>
          <w:rFonts w:eastAsia="仿宋"/>
          <w:kern w:val="0"/>
          <w:sz w:val="24"/>
          <w:szCs w:val="24"/>
          <w:u w:val="single"/>
        </w:rPr>
        <w:t xml:space="preserve"> </w:t>
      </w:r>
      <w:r>
        <w:rPr>
          <w:rFonts w:eastAsia="仿宋"/>
          <w:kern w:val="0"/>
          <w:sz w:val="24"/>
          <w:szCs w:val="24"/>
          <w:u w:val="single"/>
        </w:rPr>
        <w:tab/>
      </w:r>
      <w:r>
        <w:rPr>
          <w:rFonts w:eastAsia="仿宋"/>
          <w:kern w:val="0"/>
          <w:sz w:val="24"/>
          <w:szCs w:val="24"/>
        </w:rPr>
        <w:t>年</w:t>
      </w:r>
      <w:r>
        <w:rPr>
          <w:rFonts w:eastAsia="仿宋"/>
          <w:kern w:val="0"/>
          <w:sz w:val="24"/>
          <w:szCs w:val="24"/>
          <w:u w:val="single"/>
        </w:rPr>
        <w:tab/>
      </w:r>
      <w:r>
        <w:rPr>
          <w:rFonts w:eastAsia="仿宋"/>
          <w:kern w:val="0"/>
          <w:sz w:val="24"/>
          <w:szCs w:val="24"/>
        </w:rPr>
        <w:t>月</w:t>
      </w:r>
      <w:r>
        <w:rPr>
          <w:rFonts w:eastAsia="仿宋"/>
          <w:kern w:val="0"/>
          <w:sz w:val="24"/>
          <w:szCs w:val="24"/>
          <w:u w:val="single"/>
        </w:rPr>
        <w:tab/>
      </w:r>
      <w:r>
        <w:rPr>
          <w:rFonts w:eastAsia="仿宋"/>
          <w:kern w:val="0"/>
          <w:sz w:val="24"/>
          <w:szCs w:val="24"/>
        </w:rPr>
        <w:t>日</w:t>
      </w:r>
    </w:p>
    <w:p w14:paraId="59CCA559">
      <w:pPr>
        <w:autoSpaceDE w:val="0"/>
        <w:autoSpaceDN w:val="0"/>
        <w:jc w:val="left"/>
        <w:rPr>
          <w:rFonts w:eastAsia="仿宋"/>
          <w:kern w:val="0"/>
          <w:sz w:val="24"/>
          <w:szCs w:val="24"/>
        </w:rPr>
      </w:pPr>
    </w:p>
    <w:p w14:paraId="1AF01A48">
      <w:pPr>
        <w:autoSpaceDE w:val="0"/>
        <w:autoSpaceDN w:val="0"/>
        <w:jc w:val="left"/>
        <w:rPr>
          <w:rFonts w:eastAsia="仿宋"/>
          <w:kern w:val="0"/>
          <w:sz w:val="24"/>
          <w:szCs w:val="24"/>
        </w:rPr>
      </w:pPr>
    </w:p>
    <w:p w14:paraId="082CF28F">
      <w:pPr>
        <w:autoSpaceDE w:val="0"/>
        <w:autoSpaceDN w:val="0"/>
        <w:jc w:val="left"/>
        <w:rPr>
          <w:rFonts w:eastAsia="仿宋"/>
          <w:kern w:val="0"/>
          <w:sz w:val="24"/>
          <w:szCs w:val="24"/>
        </w:rPr>
      </w:pPr>
    </w:p>
    <w:p w14:paraId="3F62067B">
      <w:pPr>
        <w:autoSpaceDE w:val="0"/>
        <w:autoSpaceDN w:val="0"/>
        <w:jc w:val="left"/>
        <w:rPr>
          <w:rFonts w:eastAsia="仿宋"/>
          <w:kern w:val="0"/>
          <w:sz w:val="24"/>
          <w:szCs w:val="24"/>
        </w:rPr>
      </w:pPr>
    </w:p>
    <w:p w14:paraId="2E9F6ECE">
      <w:pPr>
        <w:autoSpaceDE w:val="0"/>
        <w:autoSpaceDN w:val="0"/>
        <w:jc w:val="left"/>
        <w:rPr>
          <w:rFonts w:eastAsia="仿宋"/>
          <w:kern w:val="0"/>
          <w:sz w:val="24"/>
          <w:szCs w:val="24"/>
        </w:rPr>
      </w:pPr>
    </w:p>
    <w:p w14:paraId="356AB1AC">
      <w:pPr>
        <w:autoSpaceDE w:val="0"/>
        <w:autoSpaceDN w:val="0"/>
        <w:jc w:val="left"/>
        <w:rPr>
          <w:rFonts w:eastAsia="仿宋"/>
          <w:kern w:val="0"/>
          <w:sz w:val="24"/>
          <w:szCs w:val="24"/>
        </w:rPr>
      </w:pPr>
    </w:p>
    <w:p w14:paraId="592EEF58">
      <w:pPr>
        <w:autoSpaceDE w:val="0"/>
        <w:autoSpaceDN w:val="0"/>
        <w:jc w:val="left"/>
        <w:rPr>
          <w:rFonts w:eastAsia="仿宋"/>
          <w:kern w:val="0"/>
          <w:sz w:val="24"/>
          <w:szCs w:val="24"/>
        </w:rPr>
      </w:pPr>
    </w:p>
    <w:p w14:paraId="78A0F754">
      <w:pPr>
        <w:autoSpaceDE w:val="0"/>
        <w:autoSpaceDN w:val="0"/>
        <w:spacing w:before="7"/>
        <w:jc w:val="left"/>
        <w:rPr>
          <w:rFonts w:eastAsia="仿宋"/>
          <w:kern w:val="0"/>
          <w:sz w:val="24"/>
          <w:szCs w:val="24"/>
        </w:rPr>
      </w:pPr>
    </w:p>
    <w:p w14:paraId="523D5517">
      <w:pPr>
        <w:autoSpaceDE w:val="0"/>
        <w:autoSpaceDN w:val="0"/>
        <w:spacing w:before="3"/>
        <w:jc w:val="left"/>
        <w:rPr>
          <w:rFonts w:eastAsia="仿宋"/>
          <w:kern w:val="0"/>
          <w:sz w:val="24"/>
          <w:szCs w:val="24"/>
        </w:rPr>
      </w:pPr>
    </w:p>
    <w:p w14:paraId="15F62BB3">
      <w:pPr>
        <w:rPr>
          <w:rFonts w:eastAsia="仿宋"/>
          <w:b/>
          <w:bCs/>
          <w:kern w:val="0"/>
          <w:sz w:val="24"/>
          <w:szCs w:val="24"/>
        </w:rPr>
      </w:pPr>
      <w:r>
        <w:rPr>
          <w:rFonts w:eastAsia="仿宋"/>
          <w:b/>
          <w:bCs/>
          <w:kern w:val="0"/>
          <w:sz w:val="24"/>
          <w:szCs w:val="24"/>
        </w:rPr>
        <w:br w:type="page"/>
      </w:r>
    </w:p>
    <w:p w14:paraId="1FF72B6D">
      <w:pPr>
        <w:autoSpaceDE w:val="0"/>
        <w:autoSpaceDN w:val="0"/>
        <w:spacing w:before="62"/>
        <w:jc w:val="left"/>
        <w:rPr>
          <w:rFonts w:eastAsia="仿宋"/>
          <w:b/>
          <w:bCs/>
          <w:kern w:val="0"/>
          <w:sz w:val="24"/>
          <w:szCs w:val="24"/>
        </w:rPr>
      </w:pPr>
      <w:r>
        <w:rPr>
          <w:rFonts w:eastAsia="仿宋"/>
          <w:b/>
          <w:bCs/>
          <w:kern w:val="0"/>
          <w:sz w:val="24"/>
          <w:szCs w:val="24"/>
        </w:rPr>
        <w:t>4、磋商保证金</w:t>
      </w:r>
    </w:p>
    <w:p w14:paraId="6849AD51">
      <w:pPr>
        <w:autoSpaceDE w:val="0"/>
        <w:autoSpaceDN w:val="0"/>
        <w:spacing w:before="1"/>
        <w:jc w:val="left"/>
        <w:rPr>
          <w:rFonts w:eastAsia="仿宋"/>
          <w:kern w:val="0"/>
          <w:sz w:val="24"/>
          <w:szCs w:val="24"/>
        </w:rPr>
      </w:pPr>
    </w:p>
    <w:p w14:paraId="6D8AE985">
      <w:pPr>
        <w:autoSpaceDE w:val="0"/>
        <w:autoSpaceDN w:val="0"/>
        <w:spacing w:before="67"/>
        <w:ind w:right="891"/>
        <w:jc w:val="center"/>
        <w:rPr>
          <w:rFonts w:eastAsia="仿宋"/>
          <w:b/>
          <w:bCs/>
          <w:kern w:val="0"/>
          <w:sz w:val="24"/>
          <w:szCs w:val="24"/>
        </w:rPr>
      </w:pPr>
      <w:r>
        <w:rPr>
          <w:rFonts w:eastAsia="仿宋"/>
          <w:b/>
          <w:bCs/>
          <w:kern w:val="0"/>
          <w:sz w:val="24"/>
          <w:szCs w:val="24"/>
        </w:rPr>
        <w:t>保证金汇款声明函(适用银行转账)</w:t>
      </w:r>
    </w:p>
    <w:p w14:paraId="052D7F24">
      <w:pPr>
        <w:autoSpaceDE w:val="0"/>
        <w:autoSpaceDN w:val="0"/>
        <w:spacing w:before="1"/>
        <w:jc w:val="left"/>
        <w:rPr>
          <w:rFonts w:eastAsia="仿宋"/>
          <w:b/>
          <w:kern w:val="0"/>
          <w:sz w:val="24"/>
          <w:szCs w:val="24"/>
        </w:rPr>
      </w:pPr>
    </w:p>
    <w:p w14:paraId="3D734A3E">
      <w:pPr>
        <w:autoSpaceDE w:val="0"/>
        <w:autoSpaceDN w:val="0"/>
        <w:spacing w:before="66"/>
        <w:jc w:val="left"/>
        <w:rPr>
          <w:rFonts w:eastAsia="仿宋"/>
          <w:kern w:val="0"/>
          <w:sz w:val="24"/>
          <w:szCs w:val="24"/>
        </w:rPr>
      </w:pPr>
      <w:r>
        <w:rPr>
          <w:rFonts w:eastAsia="仿宋"/>
          <w:kern w:val="0"/>
          <w:sz w:val="24"/>
          <w:szCs w:val="24"/>
        </w:rPr>
        <w:t>致：</w:t>
      </w:r>
      <w:r>
        <w:rPr>
          <w:rFonts w:eastAsia="仿宋"/>
          <w:kern w:val="0"/>
          <w:sz w:val="24"/>
          <w:szCs w:val="24"/>
          <w:u w:val="single"/>
        </w:rPr>
        <w:t>采购人或采购代理机构</w:t>
      </w:r>
    </w:p>
    <w:p w14:paraId="0AF3EEEA">
      <w:pPr>
        <w:autoSpaceDE w:val="0"/>
        <w:autoSpaceDN w:val="0"/>
        <w:spacing w:before="6"/>
        <w:jc w:val="left"/>
        <w:rPr>
          <w:rFonts w:eastAsia="仿宋"/>
          <w:kern w:val="0"/>
          <w:sz w:val="24"/>
          <w:szCs w:val="24"/>
        </w:rPr>
      </w:pPr>
    </w:p>
    <w:p w14:paraId="4B2137F0">
      <w:pPr>
        <w:tabs>
          <w:tab w:val="left" w:pos="2193"/>
          <w:tab w:val="left" w:pos="3153"/>
          <w:tab w:val="left" w:pos="3753"/>
          <w:tab w:val="left" w:pos="4473"/>
          <w:tab w:val="left" w:pos="5193"/>
          <w:tab w:val="left" w:pos="6602"/>
          <w:tab w:val="left" w:pos="9603"/>
        </w:tabs>
        <w:autoSpaceDE w:val="0"/>
        <w:autoSpaceDN w:val="0"/>
        <w:spacing w:before="74" w:line="491" w:lineRule="auto"/>
        <w:ind w:right="500"/>
        <w:jc w:val="left"/>
        <w:rPr>
          <w:rFonts w:eastAsia="仿宋"/>
          <w:kern w:val="0"/>
          <w:sz w:val="24"/>
          <w:szCs w:val="24"/>
        </w:rPr>
      </w:pPr>
      <w:r>
        <w:rPr>
          <w:rFonts w:eastAsia="仿宋"/>
          <w:kern w:val="0"/>
          <w:sz w:val="24"/>
          <w:szCs w:val="24"/>
        </w:rPr>
        <w:t>我方为</w:t>
      </w:r>
      <w:r>
        <w:rPr>
          <w:rFonts w:eastAsia="仿宋"/>
          <w:kern w:val="0"/>
          <w:sz w:val="24"/>
          <w:szCs w:val="24"/>
          <w:u w:val="single"/>
        </w:rPr>
        <w:tab/>
      </w:r>
      <w:r>
        <w:rPr>
          <w:rFonts w:eastAsia="仿宋"/>
          <w:kern w:val="0"/>
          <w:sz w:val="24"/>
          <w:szCs w:val="24"/>
          <w:u w:val="single"/>
        </w:rPr>
        <w:tab/>
      </w:r>
      <w:r>
        <w:rPr>
          <w:rFonts w:eastAsia="仿宋"/>
          <w:kern w:val="0"/>
          <w:sz w:val="24"/>
          <w:szCs w:val="24"/>
        </w:rPr>
        <w:t>(项目名称)(标项号：</w:t>
      </w:r>
      <w:r>
        <w:rPr>
          <w:rFonts w:eastAsia="仿宋"/>
          <w:kern w:val="0"/>
          <w:sz w:val="24"/>
          <w:szCs w:val="24"/>
          <w:u w:val="single"/>
        </w:rPr>
        <w:t xml:space="preserve">  </w:t>
      </w:r>
      <w:r>
        <w:rPr>
          <w:rFonts w:eastAsia="仿宋"/>
          <w:kern w:val="0"/>
          <w:sz w:val="24"/>
          <w:szCs w:val="24"/>
        </w:rPr>
        <w:t>)递交保证金人民币</w:t>
      </w:r>
      <w:r>
        <w:rPr>
          <w:rFonts w:eastAsia="仿宋"/>
          <w:kern w:val="0"/>
          <w:sz w:val="24"/>
          <w:szCs w:val="24"/>
          <w:u w:val="single"/>
        </w:rPr>
        <w:t xml:space="preserve">  </w:t>
      </w:r>
      <w:r>
        <w:rPr>
          <w:rFonts w:eastAsia="仿宋"/>
          <w:spacing w:val="-1"/>
          <w:kern w:val="0"/>
          <w:sz w:val="24"/>
          <w:szCs w:val="24"/>
        </w:rPr>
        <w:t>元</w:t>
      </w:r>
      <w:r>
        <w:rPr>
          <w:rFonts w:eastAsia="仿宋"/>
          <w:kern w:val="0"/>
          <w:sz w:val="24"/>
          <w:szCs w:val="24"/>
        </w:rPr>
        <w:t>(大写人民币</w:t>
      </w:r>
      <w:r>
        <w:rPr>
          <w:rFonts w:eastAsia="仿宋"/>
          <w:kern w:val="0"/>
          <w:sz w:val="24"/>
          <w:szCs w:val="24"/>
          <w:u w:val="single"/>
        </w:rPr>
        <w:tab/>
      </w:r>
      <w:r>
        <w:rPr>
          <w:rFonts w:eastAsia="仿宋"/>
          <w:kern w:val="0"/>
          <w:sz w:val="24"/>
          <w:szCs w:val="24"/>
        </w:rPr>
        <w:t>元)已于</w:t>
      </w:r>
      <w:r>
        <w:rPr>
          <w:rFonts w:eastAsia="仿宋"/>
          <w:kern w:val="0"/>
          <w:sz w:val="24"/>
          <w:szCs w:val="24"/>
          <w:u w:val="single"/>
        </w:rPr>
        <w:tab/>
      </w:r>
      <w:r>
        <w:rPr>
          <w:rFonts w:eastAsia="仿宋"/>
          <w:kern w:val="0"/>
          <w:sz w:val="24"/>
          <w:szCs w:val="24"/>
          <w:u w:val="single"/>
        </w:rPr>
        <w:tab/>
      </w:r>
      <w:r>
        <w:rPr>
          <w:rFonts w:eastAsia="仿宋"/>
          <w:kern w:val="0"/>
          <w:sz w:val="24"/>
          <w:szCs w:val="24"/>
        </w:rPr>
        <w:t>年</w:t>
      </w:r>
      <w:r>
        <w:rPr>
          <w:rFonts w:eastAsia="仿宋"/>
          <w:kern w:val="0"/>
          <w:sz w:val="24"/>
          <w:szCs w:val="24"/>
          <w:u w:val="single"/>
        </w:rPr>
        <w:tab/>
      </w:r>
      <w:r>
        <w:rPr>
          <w:rFonts w:eastAsia="仿宋"/>
          <w:kern w:val="0"/>
          <w:sz w:val="24"/>
          <w:szCs w:val="24"/>
        </w:rPr>
        <w:t>月</w:t>
      </w:r>
      <w:r>
        <w:rPr>
          <w:rFonts w:eastAsia="仿宋"/>
          <w:kern w:val="0"/>
          <w:sz w:val="24"/>
          <w:szCs w:val="24"/>
          <w:u w:val="single"/>
        </w:rPr>
        <w:tab/>
      </w:r>
      <w:r>
        <w:rPr>
          <w:rFonts w:eastAsia="仿宋"/>
          <w:kern w:val="0"/>
          <w:sz w:val="24"/>
          <w:szCs w:val="24"/>
        </w:rPr>
        <w:t>日以银行主动划账方式划入你方账户。</w:t>
      </w:r>
    </w:p>
    <w:p w14:paraId="546BBD1D">
      <w:pPr>
        <w:autoSpaceDE w:val="0"/>
        <w:autoSpaceDN w:val="0"/>
        <w:spacing w:before="4"/>
        <w:jc w:val="left"/>
        <w:rPr>
          <w:rFonts w:eastAsia="仿宋"/>
          <w:kern w:val="0"/>
          <w:sz w:val="24"/>
          <w:szCs w:val="24"/>
        </w:rPr>
      </w:pPr>
      <w:r>
        <w:rPr>
          <w:rFonts w:eastAsia="仿宋"/>
          <w:kern w:val="0"/>
          <w:sz w:val="24"/>
          <w:szCs w:val="24"/>
        </w:rPr>
        <w:t>详见附件：银行出具的汇款单或转账凭证扫描件。</w:t>
      </w:r>
    </w:p>
    <w:p w14:paraId="4442F3F3">
      <w:pPr>
        <w:autoSpaceDE w:val="0"/>
        <w:autoSpaceDN w:val="0"/>
        <w:spacing w:before="3"/>
        <w:jc w:val="left"/>
        <w:rPr>
          <w:rFonts w:eastAsia="仿宋"/>
          <w:kern w:val="0"/>
          <w:sz w:val="24"/>
          <w:szCs w:val="24"/>
        </w:rPr>
      </w:pPr>
    </w:p>
    <w:p w14:paraId="57959920">
      <w:pPr>
        <w:autoSpaceDE w:val="0"/>
        <w:autoSpaceDN w:val="0"/>
        <w:spacing w:before="1" w:line="491" w:lineRule="auto"/>
        <w:ind w:right="499"/>
        <w:jc w:val="left"/>
        <w:rPr>
          <w:rFonts w:eastAsia="仿宋"/>
          <w:kern w:val="0"/>
          <w:sz w:val="24"/>
          <w:szCs w:val="24"/>
        </w:rPr>
      </w:pPr>
      <w:r>
        <w:rPr>
          <w:rFonts w:eastAsia="仿宋"/>
          <w:kern w:val="0"/>
          <w:sz w:val="24"/>
          <w:szCs w:val="24"/>
        </w:rPr>
        <mc:AlternateContent>
          <mc:Choice Requires="wps">
            <w:drawing>
              <wp:anchor distT="0" distB="0" distL="114300" distR="114300" simplePos="0" relativeHeight="251659264" behindDoc="1" locked="0" layoutInCell="1" allowOverlap="1">
                <wp:simplePos x="0" y="0"/>
                <wp:positionH relativeFrom="page">
                  <wp:posOffset>1283970</wp:posOffset>
                </wp:positionH>
                <wp:positionV relativeFrom="paragraph">
                  <wp:posOffset>1619250</wp:posOffset>
                </wp:positionV>
                <wp:extent cx="3623310" cy="1299210"/>
                <wp:effectExtent l="4445" t="4445" r="10795" b="10795"/>
                <wp:wrapTopAndBottom/>
                <wp:docPr id="34" name="文本框 34"/>
                <wp:cNvGraphicFramePr/>
                <a:graphic xmlns:a="http://schemas.openxmlformats.org/drawingml/2006/main">
                  <a:graphicData uri="http://schemas.microsoft.com/office/word/2010/wordprocessingShape">
                    <wps:wsp>
                      <wps:cNvSpPr txBox="1">
                        <a:spLocks noChangeArrowheads="1"/>
                      </wps:cNvSpPr>
                      <wps:spPr bwMode="auto">
                        <a:xfrm>
                          <a:off x="0" y="0"/>
                          <a:ext cx="3623310" cy="1299210"/>
                        </a:xfrm>
                        <a:prstGeom prst="rect">
                          <a:avLst/>
                        </a:prstGeom>
                        <a:noFill/>
                        <a:ln w="6096">
                          <a:solidFill>
                            <a:srgbClr val="000000"/>
                          </a:solidFill>
                          <a:miter lim="800000"/>
                        </a:ln>
                        <a:effectLst/>
                      </wps:spPr>
                      <wps:txbx>
                        <w:txbxContent>
                          <w:p w14:paraId="2834F1D4">
                            <w:pPr>
                              <w:pStyle w:val="2"/>
                            </w:pPr>
                          </w:p>
                          <w:p w14:paraId="122E1E25">
                            <w:pPr>
                              <w:pStyle w:val="2"/>
                              <w:rPr>
                                <w:rFonts w:hint="eastAsia" w:ascii="仿宋" w:hAnsi="仿宋" w:eastAsia="仿宋" w:cs="仿宋"/>
                                <w:szCs w:val="21"/>
                              </w:rPr>
                            </w:pPr>
                          </w:p>
                          <w:p w14:paraId="0E4739E7">
                            <w:pPr>
                              <w:pStyle w:val="2"/>
                              <w:spacing w:before="167"/>
                              <w:rPr>
                                <w:rFonts w:hint="eastAsia" w:ascii="仿宋" w:hAnsi="仿宋" w:eastAsia="仿宋" w:cs="仿宋"/>
                                <w:szCs w:val="21"/>
                              </w:rPr>
                            </w:pPr>
                            <w:r>
                              <w:rPr>
                                <w:rFonts w:hint="eastAsia" w:ascii="仿宋" w:hAnsi="仿宋" w:eastAsia="仿宋" w:cs="仿宋"/>
                                <w:szCs w:val="21"/>
                              </w:rPr>
                              <w:t>汇款单或转账凭证扫描件</w:t>
                            </w:r>
                          </w:p>
                        </w:txbxContent>
                      </wps:txbx>
                      <wps:bodyPr rot="0" vert="horz" wrap="square" lIns="0" tIns="0" rIns="0" bIns="0" anchor="t" anchorCtr="0" upright="1">
                        <a:noAutofit/>
                      </wps:bodyPr>
                    </wps:wsp>
                  </a:graphicData>
                </a:graphic>
              </wp:anchor>
            </w:drawing>
          </mc:Choice>
          <mc:Fallback>
            <w:pict>
              <v:shape id="_x0000_s1026" o:spid="_x0000_s1026" o:spt="202" type="#_x0000_t202" style="position:absolute;left:0pt;margin-left:101.1pt;margin-top:127.5pt;height:102.3pt;width:285.3pt;mso-position-horizontal-relative:page;mso-wrap-distance-bottom:0pt;mso-wrap-distance-top:0pt;z-index:-251657216;mso-width-relative:page;mso-height-relative:page;" filled="f" stroked="t" coordsize="21600,21600" o:gfxdata="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BaSld71wAAAAsBAAAPAAAAAAAAAAEAIAAAACIAAABkcnMvZG93&#10;bnJldi54bWxQSwECFAAUAAAACACHTuJA+qkIXjoCAABfBAAADgAAAAAAAAABACAAAAAmAQAAZHJz&#10;L2Uyb0RvYy54bWxQSwUGAAAAAAYABgBZAQAA0gUAAAAA&#10;">
                <v:fill on="f" focussize="0,0"/>
                <v:stroke weight="0.48pt" color="#000000" miterlimit="8" joinstyle="miter"/>
                <v:imagedata o:title=""/>
                <o:lock v:ext="edit" aspectratio="f"/>
                <v:textbox inset="0mm,0mm,0mm,0mm">
                  <w:txbxContent>
                    <w:p w14:paraId="2834F1D4">
                      <w:pPr>
                        <w:pStyle w:val="2"/>
                      </w:pPr>
                    </w:p>
                    <w:p w14:paraId="122E1E25">
                      <w:pPr>
                        <w:pStyle w:val="2"/>
                        <w:rPr>
                          <w:rFonts w:hint="eastAsia" w:ascii="仿宋" w:hAnsi="仿宋" w:eastAsia="仿宋" w:cs="仿宋"/>
                          <w:szCs w:val="21"/>
                        </w:rPr>
                      </w:pPr>
                    </w:p>
                    <w:p w14:paraId="0E4739E7">
                      <w:pPr>
                        <w:pStyle w:val="2"/>
                        <w:spacing w:before="167"/>
                        <w:rPr>
                          <w:rFonts w:hint="eastAsia" w:ascii="仿宋" w:hAnsi="仿宋" w:eastAsia="仿宋" w:cs="仿宋"/>
                          <w:szCs w:val="21"/>
                        </w:rPr>
                      </w:pPr>
                      <w:r>
                        <w:rPr>
                          <w:rFonts w:hint="eastAsia" w:ascii="仿宋" w:hAnsi="仿宋" w:eastAsia="仿宋" w:cs="仿宋"/>
                          <w:szCs w:val="21"/>
                        </w:rPr>
                        <w:t>汇款单或转账凭证扫描件</w:t>
                      </w:r>
                    </w:p>
                  </w:txbxContent>
                </v:textbox>
                <w10:wrap type="topAndBottom"/>
              </v:shape>
            </w:pict>
          </mc:Fallback>
        </mc:AlternateContent>
      </w:r>
      <w:r>
        <w:rPr>
          <w:rFonts w:eastAsia="仿宋"/>
          <w:kern w:val="0"/>
          <w:sz w:val="24"/>
          <w:szCs w:val="24"/>
        </w:rPr>
        <w:t>退还保证金时请按以下内容划入我方账户。若因内容不全、错误、字迹潦草模糊导致该项目保证金未能及时退还或退还过程中发生错误，我方将承担全部责任和损失。</w:t>
      </w:r>
    </w:p>
    <w:p w14:paraId="21205763">
      <w:pPr>
        <w:autoSpaceDE w:val="0"/>
        <w:autoSpaceDN w:val="0"/>
        <w:spacing w:before="2" w:line="491" w:lineRule="auto"/>
        <w:ind w:right="8511"/>
        <w:rPr>
          <w:rFonts w:eastAsia="仿宋"/>
          <w:spacing w:val="-118"/>
          <w:kern w:val="0"/>
          <w:sz w:val="24"/>
          <w:szCs w:val="24"/>
        </w:rPr>
      </w:pPr>
      <w:r>
        <w:rPr>
          <w:rFonts w:eastAsia="仿宋"/>
          <w:spacing w:val="-1"/>
          <w:kern w:val="0"/>
          <w:sz w:val="24"/>
          <w:szCs w:val="24"/>
        </w:rPr>
        <w:t>单位全称：</w:t>
      </w:r>
      <w:r>
        <w:rPr>
          <w:rFonts w:eastAsia="仿宋"/>
          <w:spacing w:val="-118"/>
          <w:kern w:val="0"/>
          <w:sz w:val="24"/>
          <w:szCs w:val="24"/>
        </w:rPr>
        <w:t xml:space="preserve"> </w:t>
      </w:r>
    </w:p>
    <w:p w14:paraId="70C546FB">
      <w:pPr>
        <w:autoSpaceDE w:val="0"/>
        <w:autoSpaceDN w:val="0"/>
        <w:spacing w:before="2" w:line="491" w:lineRule="auto"/>
        <w:ind w:right="8511"/>
        <w:rPr>
          <w:rFonts w:eastAsia="仿宋"/>
          <w:spacing w:val="-118"/>
          <w:kern w:val="0"/>
          <w:sz w:val="24"/>
          <w:szCs w:val="24"/>
        </w:rPr>
      </w:pPr>
    </w:p>
    <w:p w14:paraId="5B40F91A">
      <w:pPr>
        <w:autoSpaceDE w:val="0"/>
        <w:autoSpaceDN w:val="0"/>
        <w:spacing w:before="2" w:line="491" w:lineRule="auto"/>
        <w:ind w:right="8511"/>
        <w:rPr>
          <w:rFonts w:eastAsia="仿宋"/>
          <w:kern w:val="0"/>
          <w:sz w:val="24"/>
          <w:szCs w:val="24"/>
        </w:rPr>
      </w:pPr>
      <w:r>
        <w:rPr>
          <w:rFonts w:eastAsia="仿宋"/>
          <w:spacing w:val="-1"/>
          <w:kern w:val="0"/>
          <w:sz w:val="24"/>
          <w:szCs w:val="24"/>
        </w:rPr>
        <w:t>开户银行：</w:t>
      </w:r>
      <w:r>
        <w:rPr>
          <w:rFonts w:eastAsia="仿宋"/>
          <w:spacing w:val="-118"/>
          <w:kern w:val="0"/>
          <w:sz w:val="24"/>
          <w:szCs w:val="24"/>
        </w:rPr>
        <w:t xml:space="preserve"> </w:t>
      </w:r>
      <w:r>
        <w:rPr>
          <w:rFonts w:eastAsia="仿宋"/>
          <w:spacing w:val="-1"/>
          <w:kern w:val="0"/>
          <w:sz w:val="24"/>
          <w:szCs w:val="24"/>
        </w:rPr>
        <w:t>开户账号：</w:t>
      </w:r>
    </w:p>
    <w:p w14:paraId="66A14644">
      <w:pPr>
        <w:autoSpaceDE w:val="0"/>
        <w:autoSpaceDN w:val="0"/>
        <w:spacing w:before="2" w:line="491" w:lineRule="auto"/>
        <w:ind w:right="1280"/>
        <w:rPr>
          <w:rFonts w:eastAsia="仿宋"/>
          <w:kern w:val="0"/>
          <w:sz w:val="24"/>
          <w:szCs w:val="24"/>
        </w:rPr>
      </w:pPr>
      <w:r>
        <w:rPr>
          <w:rFonts w:eastAsia="仿宋"/>
          <w:spacing w:val="-1"/>
          <w:kern w:val="0"/>
          <w:sz w:val="24"/>
          <w:szCs w:val="24"/>
        </w:rPr>
        <w:t>供应商(公章)：</w:t>
      </w:r>
      <w:r>
        <w:rPr>
          <w:rFonts w:eastAsia="仿宋"/>
          <w:spacing w:val="-117"/>
          <w:kern w:val="0"/>
          <w:sz w:val="24"/>
          <w:szCs w:val="24"/>
        </w:rPr>
        <w:t xml:space="preserve"> </w:t>
      </w:r>
      <w:r>
        <w:rPr>
          <w:rFonts w:eastAsia="仿宋"/>
          <w:kern w:val="0"/>
          <w:sz w:val="24"/>
          <w:szCs w:val="24"/>
        </w:rPr>
        <w:t>地址：</w:t>
      </w:r>
    </w:p>
    <w:p w14:paraId="54118727">
      <w:pPr>
        <w:autoSpaceDE w:val="0"/>
        <w:autoSpaceDN w:val="0"/>
        <w:spacing w:before="5" w:line="491" w:lineRule="auto"/>
        <w:ind w:right="1520"/>
        <w:jc w:val="left"/>
        <w:rPr>
          <w:rFonts w:eastAsia="仿宋"/>
          <w:kern w:val="0"/>
          <w:sz w:val="24"/>
          <w:szCs w:val="24"/>
        </w:rPr>
      </w:pPr>
      <w:r>
        <w:rPr>
          <w:rFonts w:eastAsia="仿宋"/>
          <w:spacing w:val="-1"/>
          <w:kern w:val="0"/>
          <w:sz w:val="24"/>
          <w:szCs w:val="24"/>
        </w:rPr>
        <w:t>项目联系人：</w:t>
      </w:r>
      <w:r>
        <w:rPr>
          <w:rFonts w:eastAsia="仿宋"/>
          <w:spacing w:val="-117"/>
          <w:kern w:val="0"/>
          <w:sz w:val="24"/>
          <w:szCs w:val="24"/>
        </w:rPr>
        <w:t xml:space="preserve"> </w:t>
      </w:r>
      <w:r>
        <w:rPr>
          <w:rFonts w:eastAsia="仿宋"/>
          <w:spacing w:val="-1"/>
          <w:kern w:val="0"/>
          <w:sz w:val="24"/>
          <w:szCs w:val="24"/>
        </w:rPr>
        <w:t>电话(手机)：</w:t>
      </w:r>
    </w:p>
    <w:p w14:paraId="3F7AC4F3">
      <w:pPr>
        <w:autoSpaceDE w:val="0"/>
        <w:autoSpaceDN w:val="0"/>
        <w:spacing w:before="3"/>
        <w:jc w:val="left"/>
        <w:rPr>
          <w:rFonts w:eastAsia="仿宋"/>
          <w:kern w:val="0"/>
          <w:sz w:val="24"/>
          <w:szCs w:val="24"/>
        </w:rPr>
      </w:pPr>
    </w:p>
    <w:p w14:paraId="63E279B0">
      <w:pPr>
        <w:autoSpaceDE w:val="0"/>
        <w:autoSpaceDN w:val="0"/>
        <w:spacing w:before="3"/>
        <w:jc w:val="left"/>
        <w:rPr>
          <w:rFonts w:eastAsia="仿宋"/>
          <w:kern w:val="0"/>
          <w:sz w:val="24"/>
          <w:szCs w:val="24"/>
        </w:rPr>
      </w:pPr>
    </w:p>
    <w:p w14:paraId="026345DC">
      <w:pPr>
        <w:autoSpaceDE w:val="0"/>
        <w:autoSpaceDN w:val="0"/>
        <w:spacing w:before="3"/>
        <w:jc w:val="left"/>
        <w:rPr>
          <w:rFonts w:eastAsia="仿宋"/>
          <w:kern w:val="0"/>
          <w:sz w:val="24"/>
          <w:szCs w:val="24"/>
        </w:rPr>
      </w:pPr>
    </w:p>
    <w:p w14:paraId="357BB222">
      <w:pPr>
        <w:autoSpaceDE w:val="0"/>
        <w:autoSpaceDN w:val="0"/>
        <w:spacing w:before="3"/>
        <w:jc w:val="left"/>
        <w:rPr>
          <w:rFonts w:eastAsia="仿宋"/>
          <w:kern w:val="0"/>
          <w:sz w:val="24"/>
          <w:szCs w:val="24"/>
        </w:rPr>
      </w:pPr>
    </w:p>
    <w:p w14:paraId="656D9872">
      <w:pPr>
        <w:rPr>
          <w:rFonts w:eastAsia="仿宋"/>
          <w:b/>
          <w:bCs/>
          <w:kern w:val="0"/>
          <w:sz w:val="24"/>
          <w:szCs w:val="24"/>
        </w:rPr>
      </w:pPr>
      <w:r>
        <w:rPr>
          <w:rFonts w:eastAsia="仿宋"/>
          <w:b/>
          <w:bCs/>
          <w:kern w:val="0"/>
          <w:sz w:val="24"/>
          <w:szCs w:val="24"/>
        </w:rPr>
        <w:br w:type="page"/>
      </w:r>
    </w:p>
    <w:p w14:paraId="387E32F1">
      <w:pPr>
        <w:autoSpaceDE w:val="0"/>
        <w:autoSpaceDN w:val="0"/>
        <w:spacing w:before="62"/>
        <w:jc w:val="left"/>
        <w:rPr>
          <w:rFonts w:eastAsia="仿宋"/>
          <w:b/>
          <w:bCs/>
          <w:kern w:val="0"/>
          <w:sz w:val="24"/>
          <w:szCs w:val="24"/>
        </w:rPr>
      </w:pPr>
      <w:r>
        <w:rPr>
          <w:rFonts w:eastAsia="仿宋"/>
          <w:b/>
          <w:bCs/>
          <w:kern w:val="0"/>
          <w:sz w:val="24"/>
          <w:szCs w:val="24"/>
        </w:rPr>
        <w:t>5、供应商的资格证明材料</w:t>
      </w:r>
    </w:p>
    <w:p w14:paraId="5C75261C">
      <w:pPr>
        <w:autoSpaceDE w:val="0"/>
        <w:autoSpaceDN w:val="0"/>
        <w:spacing w:before="3"/>
        <w:jc w:val="left"/>
        <w:rPr>
          <w:rFonts w:eastAsia="仿宋"/>
          <w:kern w:val="0"/>
          <w:sz w:val="28"/>
          <w:szCs w:val="28"/>
        </w:rPr>
      </w:pPr>
    </w:p>
    <w:p w14:paraId="1543E2DB">
      <w:pPr>
        <w:pStyle w:val="29"/>
        <w:spacing w:line="540" w:lineRule="exact"/>
        <w:ind w:firstLine="560"/>
        <w:rPr>
          <w:rFonts w:ascii="Times New Roman" w:hAnsi="Times New Roman" w:eastAsia="仿宋"/>
          <w:color w:val="auto"/>
          <w:szCs w:val="22"/>
        </w:rPr>
      </w:pPr>
      <w:r>
        <w:rPr>
          <w:rFonts w:ascii="Times New Roman" w:hAnsi="Times New Roman" w:eastAsia="仿宋"/>
          <w:b/>
          <w:szCs w:val="22"/>
        </w:rPr>
        <w:t>资格证明文件内容：</w:t>
      </w:r>
      <w:r>
        <w:rPr>
          <w:rFonts w:ascii="Times New Roman" w:hAnsi="Times New Roman" w:eastAsia="仿宋"/>
          <w:color w:val="auto"/>
          <w:szCs w:val="22"/>
        </w:rPr>
        <w:t>(以下文件必须在有效期内)</w:t>
      </w:r>
    </w:p>
    <w:p w14:paraId="6862A780">
      <w:pPr>
        <w:widowControl/>
        <w:shd w:val="clear" w:color="auto" w:fill="FFFFFF"/>
        <w:snapToGrid w:val="0"/>
        <w:spacing w:line="360" w:lineRule="auto"/>
        <w:ind w:firstLine="480" w:firstLineChars="200"/>
        <w:jc w:val="left"/>
        <w:rPr>
          <w:rFonts w:eastAsia="仿宋"/>
          <w:bCs/>
          <w:color w:val="000000"/>
          <w:kern w:val="0"/>
          <w:sz w:val="24"/>
          <w:szCs w:val="22"/>
        </w:rPr>
      </w:pPr>
      <w:r>
        <w:rPr>
          <w:rFonts w:eastAsia="仿宋"/>
          <w:bCs/>
          <w:color w:val="000000"/>
          <w:kern w:val="0"/>
          <w:sz w:val="24"/>
          <w:szCs w:val="22"/>
        </w:rPr>
        <w:t>一、满足《中华人民共和国政府采购法》第二十二条规定；</w:t>
      </w:r>
    </w:p>
    <w:p w14:paraId="2BC0BF54">
      <w:pPr>
        <w:snapToGrid w:val="0"/>
        <w:spacing w:line="360" w:lineRule="auto"/>
        <w:ind w:firstLine="480" w:firstLineChars="200"/>
        <w:rPr>
          <w:rFonts w:eastAsia="仿宋"/>
          <w:kern w:val="0"/>
          <w:sz w:val="24"/>
          <w:szCs w:val="24"/>
        </w:rPr>
      </w:pPr>
      <w:r>
        <w:rPr>
          <w:rFonts w:eastAsia="仿宋"/>
          <w:kern w:val="0"/>
          <w:sz w:val="24"/>
          <w:szCs w:val="24"/>
        </w:rPr>
        <w:t>1、具有独立承担民事责任的能力；（供应商为企业（包括合伙企业）的，应提供有效的“营业执照”；供应商是非企业机构的，应提供有效的“执业许可证”、“登记证书”等证明文件;供应商是个体工商户的，应提供有效的“个体工商户营业执照”；供应商是自然人的，应提供有效的自然人身份证明。”（上述资料须复印件加盖印章）</w:t>
      </w:r>
    </w:p>
    <w:p w14:paraId="1C78CD96">
      <w:pPr>
        <w:snapToGrid w:val="0"/>
        <w:spacing w:line="360" w:lineRule="auto"/>
        <w:ind w:firstLine="480" w:firstLineChars="200"/>
        <w:rPr>
          <w:rFonts w:eastAsia="仿宋"/>
          <w:kern w:val="0"/>
          <w:sz w:val="24"/>
          <w:szCs w:val="24"/>
        </w:rPr>
      </w:pPr>
      <w:r>
        <w:rPr>
          <w:rFonts w:eastAsia="仿宋"/>
          <w:kern w:val="0"/>
          <w:sz w:val="24"/>
          <w:szCs w:val="24"/>
        </w:rPr>
        <w:t>分支机构参加投标的，应提供该分支机构或其所属法人/其他组织的相应证明文件；同时还应提供其所属法人/其他组织出具的授权其参与本项目的授权书（格式自拟，须加盖其所属法人/其他组织的印章）；对于银行、保险、石油石化、电力、电信等行业的分支机构，可以提供上述授权，也可以提供其所属法人/其他组织的有关文件或制度等能够证明授权其独立开展业务的证明材料。）；</w:t>
      </w:r>
    </w:p>
    <w:p w14:paraId="6173C5B0">
      <w:pPr>
        <w:pStyle w:val="29"/>
        <w:snapToGrid w:val="0"/>
        <w:spacing w:line="360" w:lineRule="auto"/>
        <w:ind w:firstLine="480" w:firstLineChars="200"/>
        <w:rPr>
          <w:rFonts w:ascii="Times New Roman" w:hAnsi="Times New Roman" w:eastAsia="仿宋"/>
          <w:bCs/>
        </w:rPr>
      </w:pPr>
      <w:r>
        <w:rPr>
          <w:rFonts w:ascii="Times New Roman" w:hAnsi="Times New Roman" w:eastAsia="仿宋"/>
          <w:kern w:val="0"/>
        </w:rPr>
        <w:t>2、具有良好的商业信誉和健全的财务会计制度；（</w:t>
      </w:r>
      <w:r>
        <w:rPr>
          <w:rFonts w:hint="eastAsia" w:ascii="Times New Roman" w:hAnsi="Times New Roman" w:eastAsia="仿宋"/>
          <w:kern w:val="0"/>
        </w:rPr>
        <w:t>须提供本单位上一年度（2024年度或2025年度）的财务审计报告或财务报表或提供开标日前三个月内银行出具的资信证明；（供应商成立不足一年的提供截止开标前近3个月任意一个月的财务报表和截止开标前近1个月基本开户银行出具的资信证明；</w:t>
      </w:r>
      <w:r>
        <w:rPr>
          <w:rFonts w:ascii="Times New Roman" w:hAnsi="Times New Roman" w:eastAsia="仿宋"/>
          <w:kern w:val="0"/>
        </w:rPr>
        <w:t>)</w:t>
      </w:r>
    </w:p>
    <w:p w14:paraId="3173D4BE">
      <w:pPr>
        <w:snapToGrid w:val="0"/>
        <w:spacing w:line="360" w:lineRule="auto"/>
        <w:ind w:firstLine="480" w:firstLineChars="200"/>
        <w:rPr>
          <w:rFonts w:eastAsia="仿宋"/>
          <w:color w:val="000000"/>
          <w:kern w:val="0"/>
          <w:sz w:val="24"/>
          <w:szCs w:val="24"/>
        </w:rPr>
      </w:pPr>
      <w:r>
        <w:rPr>
          <w:rFonts w:eastAsia="仿宋"/>
          <w:kern w:val="0"/>
          <w:sz w:val="24"/>
          <w:szCs w:val="24"/>
        </w:rPr>
        <w:t>3、具有履行合同所</w:t>
      </w:r>
      <w:r>
        <w:rPr>
          <w:rFonts w:eastAsia="仿宋"/>
          <w:color w:val="000000"/>
          <w:kern w:val="0"/>
          <w:sz w:val="24"/>
          <w:szCs w:val="24"/>
        </w:rPr>
        <w:t>必需的设备和专业技术能力；（须提供具备履行合同所必需的设备和专业技术能力的证明材料或承诺书）</w:t>
      </w:r>
    </w:p>
    <w:p w14:paraId="43B554C4">
      <w:pPr>
        <w:snapToGrid w:val="0"/>
        <w:spacing w:line="360" w:lineRule="auto"/>
        <w:ind w:firstLine="480" w:firstLineChars="200"/>
        <w:rPr>
          <w:rFonts w:eastAsia="仿宋"/>
          <w:color w:val="000000"/>
          <w:kern w:val="0"/>
          <w:sz w:val="24"/>
          <w:szCs w:val="24"/>
        </w:rPr>
      </w:pPr>
      <w:r>
        <w:rPr>
          <w:rFonts w:eastAsia="仿宋"/>
          <w:color w:val="000000"/>
          <w:kern w:val="0"/>
          <w:sz w:val="24"/>
          <w:szCs w:val="24"/>
        </w:rPr>
        <w:t>4、有依法缴纳税收和社会保障资金的良好记录（</w:t>
      </w:r>
      <w:r>
        <w:rPr>
          <w:rFonts w:eastAsia="仿宋"/>
          <w:bCs/>
          <w:sz w:val="24"/>
          <w:szCs w:val="22"/>
        </w:rPr>
        <w:t>须提供响应文件递交截止日期之前6个月内任意一个月</w:t>
      </w:r>
      <w:r>
        <w:rPr>
          <w:rFonts w:eastAsia="仿宋"/>
          <w:color w:val="000000"/>
          <w:kern w:val="0"/>
          <w:sz w:val="24"/>
          <w:szCs w:val="24"/>
        </w:rPr>
        <w:t>的完税证明及缴纳社保记录；【</w:t>
      </w:r>
      <w:r>
        <w:rPr>
          <w:rFonts w:eastAsia="仿宋"/>
          <w:bCs/>
          <w:sz w:val="24"/>
          <w:szCs w:val="22"/>
        </w:rPr>
        <w:t>依法免税、依法不需要缴纳社会保障资金的应提供相应文件说明</w:t>
      </w:r>
      <w:r>
        <w:rPr>
          <w:rFonts w:eastAsia="仿宋"/>
          <w:color w:val="000000"/>
          <w:kern w:val="0"/>
          <w:sz w:val="24"/>
          <w:szCs w:val="24"/>
        </w:rPr>
        <w:t>】）</w:t>
      </w:r>
    </w:p>
    <w:p w14:paraId="1E81B195">
      <w:pPr>
        <w:snapToGrid w:val="0"/>
        <w:spacing w:line="360" w:lineRule="auto"/>
        <w:ind w:firstLine="480" w:firstLineChars="200"/>
        <w:rPr>
          <w:rFonts w:eastAsia="仿宋"/>
          <w:color w:val="000000"/>
          <w:kern w:val="0"/>
          <w:sz w:val="24"/>
          <w:szCs w:val="24"/>
        </w:rPr>
      </w:pPr>
      <w:r>
        <w:rPr>
          <w:rFonts w:eastAsia="仿宋"/>
          <w:color w:val="000000"/>
          <w:kern w:val="0"/>
          <w:sz w:val="24"/>
          <w:szCs w:val="24"/>
        </w:rPr>
        <w:t>5、参加政府采购活动前三年内，‌在经营活动中没有重大违法记录；（</w:t>
      </w:r>
      <w:r>
        <w:rPr>
          <w:rFonts w:eastAsia="仿宋"/>
          <w:bCs/>
          <w:sz w:val="24"/>
          <w:szCs w:val="22"/>
        </w:rPr>
        <w:t>须提供供应商声明函原件扫描件</w:t>
      </w:r>
      <w:r>
        <w:rPr>
          <w:rFonts w:eastAsia="仿宋"/>
          <w:color w:val="000000"/>
          <w:kern w:val="0"/>
          <w:sz w:val="24"/>
          <w:szCs w:val="24"/>
        </w:rPr>
        <w:t>）</w:t>
      </w:r>
    </w:p>
    <w:p w14:paraId="70865474">
      <w:pPr>
        <w:snapToGrid w:val="0"/>
        <w:spacing w:line="360" w:lineRule="auto"/>
        <w:ind w:firstLine="480" w:firstLineChars="200"/>
        <w:rPr>
          <w:rFonts w:eastAsia="仿宋"/>
          <w:color w:val="000000"/>
          <w:kern w:val="0"/>
          <w:sz w:val="24"/>
          <w:szCs w:val="24"/>
        </w:rPr>
      </w:pPr>
      <w:r>
        <w:rPr>
          <w:rFonts w:eastAsia="仿宋"/>
          <w:color w:val="000000"/>
          <w:kern w:val="0"/>
          <w:sz w:val="24"/>
          <w:szCs w:val="24"/>
        </w:rPr>
        <w:t>6、法律、行政法规规定的其他条件。（提供承诺函）</w:t>
      </w:r>
    </w:p>
    <w:p w14:paraId="6C62D03D">
      <w:pPr>
        <w:pStyle w:val="29"/>
        <w:snapToGrid w:val="0"/>
        <w:spacing w:line="360" w:lineRule="auto"/>
        <w:ind w:firstLine="480" w:firstLineChars="200"/>
        <w:rPr>
          <w:rFonts w:ascii="Times New Roman" w:hAnsi="Times New Roman" w:eastAsia="仿宋"/>
          <w:bCs/>
          <w:szCs w:val="22"/>
        </w:rPr>
      </w:pPr>
      <w:r>
        <w:rPr>
          <w:rFonts w:ascii="Times New Roman" w:hAnsi="Times New Roman" w:eastAsia="仿宋"/>
          <w:bCs/>
          <w:kern w:val="0"/>
          <w:szCs w:val="22"/>
        </w:rPr>
        <w:t>二、</w:t>
      </w:r>
      <w:r>
        <w:rPr>
          <w:rFonts w:ascii="Times New Roman" w:hAnsi="Times New Roman" w:eastAsia="仿宋"/>
          <w:bCs/>
          <w:szCs w:val="22"/>
        </w:rPr>
        <w:t>磋商保证金缴纳凭证；（磋商保证金磋商保证金以电汇、网银等转账方式缴纳的，上传汇款凭证；投标保证金以保函形式缴纳的，须上传保函扫描件，保函的有效期少于投标有效期90日历天的，其保函无效。）</w:t>
      </w:r>
    </w:p>
    <w:p w14:paraId="25DB95CB">
      <w:pPr>
        <w:pStyle w:val="29"/>
        <w:snapToGrid w:val="0"/>
        <w:spacing w:line="360" w:lineRule="auto"/>
        <w:ind w:firstLine="480" w:firstLineChars="200"/>
        <w:rPr>
          <w:rFonts w:ascii="Times New Roman" w:hAnsi="Times New Roman" w:eastAsia="仿宋"/>
          <w:bCs/>
          <w:szCs w:val="22"/>
        </w:rPr>
      </w:pPr>
      <w:r>
        <w:rPr>
          <w:rFonts w:ascii="Times New Roman" w:hAnsi="Times New Roman" w:eastAsia="仿宋"/>
          <w:bCs/>
          <w:szCs w:val="22"/>
        </w:rPr>
        <w:t>三、供应商须在“信用中国”（www.creditchina.gov.cn）和中国政府采购网（www.ccgp.gov.cn）网站上未被列入失信被执行人、重大税收违法案件当事人名单以及政府采购严重违法失信行为记录名单（查询时间为自公告发布之日后）；（提供查询结果的网页打印页作为查询记录和证据，与其他采购文件一并保存。查询结果以采购人或采购代理机构查询结果为准）</w:t>
      </w:r>
    </w:p>
    <w:p w14:paraId="740E5A4B">
      <w:pPr>
        <w:pStyle w:val="29"/>
        <w:snapToGrid w:val="0"/>
        <w:spacing w:line="360" w:lineRule="auto"/>
        <w:ind w:firstLine="480" w:firstLineChars="200"/>
        <w:rPr>
          <w:rFonts w:ascii="Times New Roman" w:hAnsi="Times New Roman" w:eastAsia="仿宋"/>
          <w:bCs/>
          <w:szCs w:val="22"/>
        </w:rPr>
      </w:pPr>
      <w:r>
        <w:rPr>
          <w:rFonts w:ascii="Times New Roman" w:hAnsi="Times New Roman" w:eastAsia="仿宋"/>
          <w:bCs/>
          <w:szCs w:val="22"/>
        </w:rPr>
        <w:t>四、其他说明：（A）与采购人存在利害关系可能影响采购公正性的法人、其他组织或者个人，不得参加本次采购活动。（B）单位负责人为同一人或者存在直接控股、管理关系的不同供应商，不得参加同一合同项下的政府采购活动。除单一来源采购项目外，为采购项目提供整体设计、规范编制或者项目管理、监理、检测等服务的供应商，不得再参加该采购项目的其他采购活动；（须提供供应商声明函原件扫描件）</w:t>
      </w:r>
    </w:p>
    <w:p w14:paraId="65AAEF5F">
      <w:pPr>
        <w:pStyle w:val="29"/>
        <w:snapToGrid w:val="0"/>
        <w:spacing w:line="360" w:lineRule="auto"/>
        <w:ind w:firstLine="480" w:firstLineChars="200"/>
        <w:rPr>
          <w:rFonts w:ascii="Times New Roman" w:hAnsi="Times New Roman" w:eastAsia="仿宋"/>
          <w:bCs/>
          <w:szCs w:val="22"/>
        </w:rPr>
      </w:pPr>
      <w:r>
        <w:rPr>
          <w:rFonts w:ascii="Times New Roman" w:hAnsi="Times New Roman" w:eastAsia="仿宋"/>
          <w:bCs/>
          <w:szCs w:val="22"/>
        </w:rPr>
        <w:t>五、供应商认为有必要提供的声明及其他资料。</w:t>
      </w:r>
    </w:p>
    <w:p w14:paraId="69AE00BA">
      <w:pPr>
        <w:pStyle w:val="29"/>
        <w:snapToGrid w:val="0"/>
        <w:spacing w:line="360" w:lineRule="auto"/>
        <w:ind w:firstLine="480" w:firstLineChars="200"/>
        <w:rPr>
          <w:rFonts w:ascii="Times New Roman" w:hAnsi="Times New Roman" w:eastAsia="仿宋"/>
          <w:bCs/>
          <w:szCs w:val="22"/>
        </w:rPr>
      </w:pPr>
      <w:r>
        <w:rPr>
          <w:rFonts w:ascii="Times New Roman" w:hAnsi="Times New Roman" w:eastAsia="仿宋"/>
          <w:bCs/>
          <w:szCs w:val="22"/>
        </w:rPr>
        <w:t>落实政府采购政策需满足的资格要求；（提供《中小企业声明函》原件扫描件）</w:t>
      </w:r>
    </w:p>
    <w:p w14:paraId="535ECB04">
      <w:pPr>
        <w:rPr>
          <w:rFonts w:eastAsia="仿宋"/>
          <w:kern w:val="0"/>
          <w:sz w:val="32"/>
          <w:szCs w:val="32"/>
        </w:rPr>
      </w:pPr>
    </w:p>
    <w:p w14:paraId="769F446C">
      <w:pPr>
        <w:rPr>
          <w:rFonts w:eastAsia="仿宋"/>
          <w:kern w:val="0"/>
          <w:sz w:val="32"/>
          <w:szCs w:val="32"/>
        </w:rPr>
      </w:pPr>
    </w:p>
    <w:p w14:paraId="5710D99F">
      <w:pPr>
        <w:pStyle w:val="2"/>
        <w:rPr>
          <w:rFonts w:eastAsia="仿宋"/>
          <w:kern w:val="0"/>
          <w:sz w:val="32"/>
          <w:szCs w:val="32"/>
        </w:rPr>
      </w:pPr>
    </w:p>
    <w:p w14:paraId="3C79824D">
      <w:pPr>
        <w:pStyle w:val="12"/>
        <w:ind w:firstLine="210"/>
        <w:rPr>
          <w:rFonts w:eastAsia="仿宋"/>
        </w:rPr>
      </w:pPr>
    </w:p>
    <w:p w14:paraId="1C88A023">
      <w:pPr>
        <w:rPr>
          <w:rFonts w:eastAsia="仿宋"/>
          <w:b/>
          <w:bCs/>
          <w:kern w:val="0"/>
          <w:sz w:val="28"/>
          <w:szCs w:val="28"/>
        </w:rPr>
      </w:pPr>
      <w:r>
        <w:rPr>
          <w:rFonts w:eastAsia="仿宋"/>
          <w:b/>
          <w:bCs/>
          <w:kern w:val="0"/>
          <w:sz w:val="28"/>
          <w:szCs w:val="28"/>
        </w:rPr>
        <w:br w:type="page"/>
      </w:r>
    </w:p>
    <w:p w14:paraId="4074223A">
      <w:pPr>
        <w:autoSpaceDE w:val="0"/>
        <w:autoSpaceDN w:val="0"/>
        <w:jc w:val="left"/>
        <w:rPr>
          <w:rFonts w:eastAsia="仿宋"/>
          <w:kern w:val="0"/>
          <w:sz w:val="24"/>
          <w:szCs w:val="24"/>
        </w:rPr>
      </w:pPr>
      <w:r>
        <w:rPr>
          <w:rFonts w:eastAsia="仿宋"/>
          <w:spacing w:val="-3"/>
          <w:w w:val="95"/>
          <w:kern w:val="0"/>
          <w:sz w:val="24"/>
          <w:szCs w:val="24"/>
        </w:rPr>
        <w:t xml:space="preserve">附件 </w:t>
      </w:r>
      <w:r>
        <w:rPr>
          <w:rFonts w:eastAsia="仿宋"/>
          <w:w w:val="95"/>
          <w:kern w:val="0"/>
          <w:sz w:val="24"/>
          <w:szCs w:val="24"/>
        </w:rPr>
        <w:t>5－1</w:t>
      </w:r>
    </w:p>
    <w:p w14:paraId="4251D7CC">
      <w:pPr>
        <w:autoSpaceDE w:val="0"/>
        <w:autoSpaceDN w:val="0"/>
        <w:jc w:val="left"/>
        <w:rPr>
          <w:rFonts w:eastAsia="仿宋"/>
          <w:kern w:val="0"/>
          <w:sz w:val="24"/>
          <w:szCs w:val="24"/>
        </w:rPr>
      </w:pPr>
    </w:p>
    <w:p w14:paraId="58D086F2">
      <w:pPr>
        <w:autoSpaceDE w:val="0"/>
        <w:autoSpaceDN w:val="0"/>
        <w:spacing w:before="66"/>
        <w:ind w:right="891"/>
        <w:jc w:val="center"/>
        <w:rPr>
          <w:rFonts w:eastAsia="仿宋"/>
          <w:kern w:val="0"/>
          <w:sz w:val="24"/>
          <w:szCs w:val="24"/>
        </w:rPr>
      </w:pPr>
      <w:r>
        <w:rPr>
          <w:rFonts w:eastAsia="仿宋"/>
          <w:b/>
          <w:bCs/>
          <w:kern w:val="0"/>
          <w:sz w:val="24"/>
          <w:szCs w:val="24"/>
        </w:rPr>
        <w:t>供应商基本情况表</w:t>
      </w:r>
    </w:p>
    <w:p w14:paraId="52D5E9F3">
      <w:pPr>
        <w:autoSpaceDE w:val="0"/>
        <w:autoSpaceDN w:val="0"/>
        <w:spacing w:before="1"/>
        <w:jc w:val="left"/>
        <w:rPr>
          <w:rFonts w:eastAsia="仿宋"/>
          <w:kern w:val="0"/>
          <w:sz w:val="28"/>
          <w:szCs w:val="28"/>
        </w:rPr>
      </w:pPr>
    </w:p>
    <w:p w14:paraId="737CE8AA">
      <w:pPr>
        <w:autoSpaceDE w:val="0"/>
        <w:autoSpaceDN w:val="0"/>
        <w:spacing w:before="67"/>
        <w:jc w:val="left"/>
        <w:rPr>
          <w:rFonts w:eastAsia="仿宋"/>
          <w:kern w:val="0"/>
          <w:sz w:val="24"/>
          <w:szCs w:val="24"/>
        </w:rPr>
      </w:pPr>
      <w:r>
        <w:rPr>
          <w:rFonts w:eastAsia="仿宋"/>
          <w:spacing w:val="-1"/>
          <w:kern w:val="0"/>
          <w:sz w:val="24"/>
          <w:szCs w:val="24"/>
        </w:rPr>
        <w:t>供应商：(公章)</w:t>
      </w:r>
    </w:p>
    <w:tbl>
      <w:tblPr>
        <w:tblStyle w:val="2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79"/>
        <w:gridCol w:w="3921"/>
        <w:gridCol w:w="1981"/>
        <w:gridCol w:w="1966"/>
      </w:tblGrid>
      <w:tr w14:paraId="25AD57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05" w:type="pct"/>
            <w:vAlign w:val="center"/>
          </w:tcPr>
          <w:p w14:paraId="19F6B659">
            <w:pPr>
              <w:autoSpaceDE w:val="0"/>
              <w:autoSpaceDN w:val="0"/>
              <w:adjustRightInd w:val="0"/>
              <w:jc w:val="center"/>
              <w:rPr>
                <w:rFonts w:eastAsia="仿宋"/>
                <w:kern w:val="0"/>
                <w:szCs w:val="21"/>
              </w:rPr>
            </w:pPr>
            <w:r>
              <w:rPr>
                <w:rFonts w:eastAsia="仿宋"/>
                <w:kern w:val="0"/>
                <w:szCs w:val="21"/>
              </w:rPr>
              <w:t>名称</w:t>
            </w:r>
          </w:p>
        </w:tc>
        <w:tc>
          <w:tcPr>
            <w:tcW w:w="3995" w:type="pct"/>
            <w:gridSpan w:val="3"/>
            <w:vAlign w:val="center"/>
          </w:tcPr>
          <w:p w14:paraId="28BE4016">
            <w:pPr>
              <w:autoSpaceDE w:val="0"/>
              <w:autoSpaceDN w:val="0"/>
              <w:adjustRightInd w:val="0"/>
              <w:jc w:val="center"/>
              <w:rPr>
                <w:rFonts w:eastAsia="仿宋"/>
                <w:kern w:val="0"/>
                <w:szCs w:val="21"/>
              </w:rPr>
            </w:pPr>
          </w:p>
        </w:tc>
      </w:tr>
      <w:tr w14:paraId="1287AB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05" w:type="pct"/>
            <w:vAlign w:val="center"/>
          </w:tcPr>
          <w:p w14:paraId="0614A5FB">
            <w:pPr>
              <w:autoSpaceDE w:val="0"/>
              <w:autoSpaceDN w:val="0"/>
              <w:adjustRightInd w:val="0"/>
              <w:jc w:val="center"/>
              <w:rPr>
                <w:rFonts w:eastAsia="仿宋"/>
                <w:kern w:val="0"/>
                <w:szCs w:val="21"/>
              </w:rPr>
            </w:pPr>
            <w:r>
              <w:rPr>
                <w:rFonts w:eastAsia="仿宋"/>
                <w:kern w:val="0"/>
                <w:szCs w:val="21"/>
              </w:rPr>
              <w:t>注册地址</w:t>
            </w:r>
          </w:p>
        </w:tc>
        <w:tc>
          <w:tcPr>
            <w:tcW w:w="3995" w:type="pct"/>
            <w:gridSpan w:val="3"/>
            <w:vAlign w:val="center"/>
          </w:tcPr>
          <w:p w14:paraId="61303C56">
            <w:pPr>
              <w:autoSpaceDE w:val="0"/>
              <w:autoSpaceDN w:val="0"/>
              <w:adjustRightInd w:val="0"/>
              <w:jc w:val="center"/>
              <w:rPr>
                <w:rFonts w:eastAsia="仿宋"/>
                <w:kern w:val="0"/>
                <w:szCs w:val="21"/>
              </w:rPr>
            </w:pPr>
          </w:p>
        </w:tc>
      </w:tr>
      <w:tr w14:paraId="6E292D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05" w:type="pct"/>
            <w:vAlign w:val="center"/>
          </w:tcPr>
          <w:p w14:paraId="79C18153">
            <w:pPr>
              <w:autoSpaceDE w:val="0"/>
              <w:autoSpaceDN w:val="0"/>
              <w:adjustRightInd w:val="0"/>
              <w:jc w:val="center"/>
              <w:rPr>
                <w:rFonts w:eastAsia="仿宋"/>
                <w:kern w:val="0"/>
                <w:szCs w:val="21"/>
              </w:rPr>
            </w:pPr>
            <w:r>
              <w:rPr>
                <w:rFonts w:eastAsia="仿宋"/>
                <w:kern w:val="0"/>
                <w:szCs w:val="21"/>
              </w:rPr>
              <w:t>办公地址</w:t>
            </w:r>
          </w:p>
        </w:tc>
        <w:tc>
          <w:tcPr>
            <w:tcW w:w="3995" w:type="pct"/>
            <w:gridSpan w:val="3"/>
            <w:vAlign w:val="center"/>
          </w:tcPr>
          <w:p w14:paraId="0F8B4D82">
            <w:pPr>
              <w:autoSpaceDE w:val="0"/>
              <w:autoSpaceDN w:val="0"/>
              <w:adjustRightInd w:val="0"/>
              <w:jc w:val="center"/>
              <w:rPr>
                <w:rFonts w:eastAsia="仿宋"/>
                <w:kern w:val="0"/>
                <w:szCs w:val="21"/>
              </w:rPr>
            </w:pPr>
          </w:p>
        </w:tc>
      </w:tr>
      <w:tr w14:paraId="522409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05" w:type="pct"/>
            <w:vAlign w:val="center"/>
          </w:tcPr>
          <w:p w14:paraId="3CC52BFA">
            <w:pPr>
              <w:autoSpaceDE w:val="0"/>
              <w:autoSpaceDN w:val="0"/>
              <w:adjustRightInd w:val="0"/>
              <w:jc w:val="center"/>
              <w:rPr>
                <w:rFonts w:eastAsia="仿宋"/>
                <w:kern w:val="0"/>
                <w:szCs w:val="21"/>
              </w:rPr>
            </w:pPr>
            <w:r>
              <w:rPr>
                <w:rFonts w:eastAsia="仿宋"/>
                <w:kern w:val="0"/>
                <w:szCs w:val="21"/>
              </w:rPr>
              <w:t>法定代表人</w:t>
            </w:r>
          </w:p>
        </w:tc>
        <w:tc>
          <w:tcPr>
            <w:tcW w:w="1991" w:type="pct"/>
            <w:vAlign w:val="center"/>
          </w:tcPr>
          <w:p w14:paraId="7334E0AC">
            <w:pPr>
              <w:autoSpaceDE w:val="0"/>
              <w:autoSpaceDN w:val="0"/>
              <w:adjustRightInd w:val="0"/>
              <w:jc w:val="center"/>
              <w:rPr>
                <w:rFonts w:eastAsia="仿宋"/>
                <w:kern w:val="0"/>
                <w:szCs w:val="21"/>
              </w:rPr>
            </w:pPr>
          </w:p>
        </w:tc>
        <w:tc>
          <w:tcPr>
            <w:tcW w:w="1006" w:type="pct"/>
            <w:vAlign w:val="center"/>
          </w:tcPr>
          <w:p w14:paraId="4E9C11EE">
            <w:pPr>
              <w:autoSpaceDE w:val="0"/>
              <w:autoSpaceDN w:val="0"/>
              <w:adjustRightInd w:val="0"/>
              <w:jc w:val="center"/>
              <w:rPr>
                <w:rFonts w:eastAsia="仿宋"/>
                <w:kern w:val="0"/>
                <w:szCs w:val="21"/>
              </w:rPr>
            </w:pPr>
            <w:r>
              <w:rPr>
                <w:rFonts w:eastAsia="仿宋"/>
                <w:kern w:val="0"/>
                <w:szCs w:val="21"/>
              </w:rPr>
              <w:t>联系人</w:t>
            </w:r>
          </w:p>
        </w:tc>
        <w:tc>
          <w:tcPr>
            <w:tcW w:w="998" w:type="pct"/>
            <w:vAlign w:val="center"/>
          </w:tcPr>
          <w:p w14:paraId="5468C395">
            <w:pPr>
              <w:autoSpaceDE w:val="0"/>
              <w:autoSpaceDN w:val="0"/>
              <w:adjustRightInd w:val="0"/>
              <w:jc w:val="center"/>
              <w:rPr>
                <w:rFonts w:eastAsia="仿宋"/>
                <w:kern w:val="0"/>
                <w:szCs w:val="21"/>
              </w:rPr>
            </w:pPr>
          </w:p>
        </w:tc>
      </w:tr>
      <w:tr w14:paraId="42E30E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05" w:type="pct"/>
            <w:vAlign w:val="center"/>
          </w:tcPr>
          <w:p w14:paraId="4B7D88A7">
            <w:pPr>
              <w:autoSpaceDE w:val="0"/>
              <w:autoSpaceDN w:val="0"/>
              <w:adjustRightInd w:val="0"/>
              <w:jc w:val="center"/>
              <w:rPr>
                <w:rFonts w:eastAsia="仿宋"/>
                <w:kern w:val="0"/>
                <w:szCs w:val="21"/>
              </w:rPr>
            </w:pPr>
            <w:r>
              <w:rPr>
                <w:rFonts w:eastAsia="仿宋"/>
                <w:kern w:val="0"/>
                <w:szCs w:val="21"/>
              </w:rPr>
              <w:t>电话</w:t>
            </w:r>
          </w:p>
        </w:tc>
        <w:tc>
          <w:tcPr>
            <w:tcW w:w="1991" w:type="pct"/>
            <w:vAlign w:val="center"/>
          </w:tcPr>
          <w:p w14:paraId="29F04B95">
            <w:pPr>
              <w:autoSpaceDE w:val="0"/>
              <w:autoSpaceDN w:val="0"/>
              <w:adjustRightInd w:val="0"/>
              <w:jc w:val="center"/>
              <w:rPr>
                <w:rFonts w:eastAsia="仿宋"/>
                <w:kern w:val="0"/>
                <w:szCs w:val="21"/>
              </w:rPr>
            </w:pPr>
          </w:p>
        </w:tc>
        <w:tc>
          <w:tcPr>
            <w:tcW w:w="1006" w:type="pct"/>
            <w:vAlign w:val="center"/>
          </w:tcPr>
          <w:p w14:paraId="02904F9A">
            <w:pPr>
              <w:autoSpaceDE w:val="0"/>
              <w:autoSpaceDN w:val="0"/>
              <w:adjustRightInd w:val="0"/>
              <w:jc w:val="center"/>
              <w:rPr>
                <w:rFonts w:eastAsia="仿宋"/>
                <w:kern w:val="0"/>
                <w:szCs w:val="21"/>
              </w:rPr>
            </w:pPr>
            <w:r>
              <w:rPr>
                <w:rFonts w:eastAsia="仿宋"/>
                <w:kern w:val="0"/>
                <w:szCs w:val="21"/>
              </w:rPr>
              <w:t>传真</w:t>
            </w:r>
          </w:p>
        </w:tc>
        <w:tc>
          <w:tcPr>
            <w:tcW w:w="998" w:type="pct"/>
            <w:vAlign w:val="center"/>
          </w:tcPr>
          <w:p w14:paraId="754A6A75">
            <w:pPr>
              <w:autoSpaceDE w:val="0"/>
              <w:autoSpaceDN w:val="0"/>
              <w:adjustRightInd w:val="0"/>
              <w:jc w:val="center"/>
              <w:rPr>
                <w:rFonts w:eastAsia="仿宋"/>
                <w:kern w:val="0"/>
                <w:szCs w:val="21"/>
              </w:rPr>
            </w:pPr>
          </w:p>
        </w:tc>
      </w:tr>
      <w:tr w14:paraId="584B2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05" w:type="pct"/>
            <w:vAlign w:val="center"/>
          </w:tcPr>
          <w:p w14:paraId="1BAE63F7">
            <w:pPr>
              <w:autoSpaceDE w:val="0"/>
              <w:autoSpaceDN w:val="0"/>
              <w:adjustRightInd w:val="0"/>
              <w:jc w:val="center"/>
              <w:rPr>
                <w:rFonts w:eastAsia="仿宋"/>
                <w:kern w:val="0"/>
                <w:szCs w:val="21"/>
              </w:rPr>
            </w:pPr>
            <w:r>
              <w:rPr>
                <w:rFonts w:eastAsia="仿宋"/>
                <w:kern w:val="0"/>
                <w:szCs w:val="21"/>
              </w:rPr>
              <w:t>邮政编码</w:t>
            </w:r>
          </w:p>
        </w:tc>
        <w:tc>
          <w:tcPr>
            <w:tcW w:w="1991" w:type="pct"/>
            <w:vAlign w:val="center"/>
          </w:tcPr>
          <w:p w14:paraId="0C3DBCD2">
            <w:pPr>
              <w:autoSpaceDE w:val="0"/>
              <w:autoSpaceDN w:val="0"/>
              <w:adjustRightInd w:val="0"/>
              <w:jc w:val="center"/>
              <w:rPr>
                <w:rFonts w:eastAsia="仿宋"/>
                <w:kern w:val="0"/>
                <w:szCs w:val="21"/>
              </w:rPr>
            </w:pPr>
          </w:p>
        </w:tc>
        <w:tc>
          <w:tcPr>
            <w:tcW w:w="1006" w:type="pct"/>
            <w:vAlign w:val="center"/>
          </w:tcPr>
          <w:p w14:paraId="37817FB5">
            <w:pPr>
              <w:autoSpaceDE w:val="0"/>
              <w:autoSpaceDN w:val="0"/>
              <w:adjustRightInd w:val="0"/>
              <w:jc w:val="center"/>
              <w:rPr>
                <w:rFonts w:eastAsia="仿宋"/>
                <w:kern w:val="0"/>
                <w:szCs w:val="21"/>
              </w:rPr>
            </w:pPr>
            <w:r>
              <w:rPr>
                <w:rFonts w:eastAsia="仿宋"/>
                <w:kern w:val="0"/>
                <w:szCs w:val="21"/>
              </w:rPr>
              <w:t>E-Mail</w:t>
            </w:r>
          </w:p>
        </w:tc>
        <w:tc>
          <w:tcPr>
            <w:tcW w:w="998" w:type="pct"/>
            <w:vAlign w:val="center"/>
          </w:tcPr>
          <w:p w14:paraId="7E0D1E2A">
            <w:pPr>
              <w:autoSpaceDE w:val="0"/>
              <w:autoSpaceDN w:val="0"/>
              <w:adjustRightInd w:val="0"/>
              <w:jc w:val="center"/>
              <w:rPr>
                <w:rFonts w:eastAsia="仿宋"/>
                <w:kern w:val="0"/>
                <w:szCs w:val="21"/>
              </w:rPr>
            </w:pPr>
          </w:p>
        </w:tc>
      </w:tr>
      <w:tr w14:paraId="6801E3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05" w:type="pct"/>
            <w:vAlign w:val="center"/>
          </w:tcPr>
          <w:p w14:paraId="556AE7FF">
            <w:pPr>
              <w:autoSpaceDE w:val="0"/>
              <w:autoSpaceDN w:val="0"/>
              <w:adjustRightInd w:val="0"/>
              <w:jc w:val="center"/>
              <w:rPr>
                <w:rFonts w:eastAsia="仿宋"/>
                <w:kern w:val="0"/>
                <w:szCs w:val="21"/>
              </w:rPr>
            </w:pPr>
            <w:r>
              <w:rPr>
                <w:rFonts w:eastAsia="仿宋"/>
                <w:kern w:val="0"/>
                <w:szCs w:val="21"/>
              </w:rPr>
              <w:t>社会统一信用代码</w:t>
            </w:r>
          </w:p>
        </w:tc>
        <w:tc>
          <w:tcPr>
            <w:tcW w:w="3995" w:type="pct"/>
            <w:gridSpan w:val="3"/>
            <w:vAlign w:val="center"/>
          </w:tcPr>
          <w:p w14:paraId="0152FEB4">
            <w:pPr>
              <w:autoSpaceDE w:val="0"/>
              <w:autoSpaceDN w:val="0"/>
              <w:adjustRightInd w:val="0"/>
              <w:jc w:val="center"/>
              <w:rPr>
                <w:rFonts w:eastAsia="仿宋"/>
                <w:kern w:val="0"/>
                <w:szCs w:val="21"/>
              </w:rPr>
            </w:pPr>
          </w:p>
        </w:tc>
      </w:tr>
      <w:tr w14:paraId="533DAC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05" w:type="pct"/>
            <w:vAlign w:val="center"/>
          </w:tcPr>
          <w:p w14:paraId="2B7EDAF7">
            <w:pPr>
              <w:autoSpaceDE w:val="0"/>
              <w:autoSpaceDN w:val="0"/>
              <w:adjustRightInd w:val="0"/>
              <w:jc w:val="center"/>
              <w:rPr>
                <w:rFonts w:eastAsia="仿宋"/>
                <w:kern w:val="0"/>
                <w:szCs w:val="21"/>
              </w:rPr>
            </w:pPr>
            <w:r>
              <w:rPr>
                <w:rFonts w:eastAsia="仿宋"/>
                <w:kern w:val="0"/>
                <w:szCs w:val="21"/>
              </w:rPr>
              <w:t>资质等级</w:t>
            </w:r>
          </w:p>
        </w:tc>
        <w:tc>
          <w:tcPr>
            <w:tcW w:w="3995" w:type="pct"/>
            <w:gridSpan w:val="3"/>
            <w:vAlign w:val="center"/>
          </w:tcPr>
          <w:p w14:paraId="3CA2F92B">
            <w:pPr>
              <w:autoSpaceDE w:val="0"/>
              <w:autoSpaceDN w:val="0"/>
              <w:adjustRightInd w:val="0"/>
              <w:jc w:val="center"/>
              <w:rPr>
                <w:rFonts w:eastAsia="仿宋"/>
                <w:kern w:val="0"/>
                <w:szCs w:val="21"/>
              </w:rPr>
            </w:pPr>
          </w:p>
        </w:tc>
      </w:tr>
      <w:tr w14:paraId="440EE7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05" w:type="pct"/>
            <w:vAlign w:val="center"/>
          </w:tcPr>
          <w:p w14:paraId="000AE334">
            <w:pPr>
              <w:autoSpaceDE w:val="0"/>
              <w:autoSpaceDN w:val="0"/>
              <w:adjustRightInd w:val="0"/>
              <w:jc w:val="center"/>
              <w:rPr>
                <w:rFonts w:eastAsia="仿宋"/>
                <w:kern w:val="0"/>
                <w:szCs w:val="21"/>
              </w:rPr>
            </w:pPr>
            <w:r>
              <w:rPr>
                <w:rFonts w:eastAsia="仿宋"/>
                <w:kern w:val="0"/>
                <w:szCs w:val="21"/>
              </w:rPr>
              <w:t>注册资金（万元）</w:t>
            </w:r>
          </w:p>
        </w:tc>
        <w:tc>
          <w:tcPr>
            <w:tcW w:w="1991" w:type="pct"/>
            <w:vAlign w:val="center"/>
          </w:tcPr>
          <w:p w14:paraId="3CBAECD3">
            <w:pPr>
              <w:autoSpaceDE w:val="0"/>
              <w:autoSpaceDN w:val="0"/>
              <w:adjustRightInd w:val="0"/>
              <w:jc w:val="center"/>
              <w:rPr>
                <w:rFonts w:eastAsia="仿宋"/>
                <w:kern w:val="0"/>
                <w:szCs w:val="21"/>
              </w:rPr>
            </w:pPr>
          </w:p>
        </w:tc>
        <w:tc>
          <w:tcPr>
            <w:tcW w:w="1006" w:type="pct"/>
            <w:vAlign w:val="center"/>
          </w:tcPr>
          <w:p w14:paraId="6A1C3790">
            <w:pPr>
              <w:autoSpaceDE w:val="0"/>
              <w:autoSpaceDN w:val="0"/>
              <w:adjustRightInd w:val="0"/>
              <w:jc w:val="center"/>
              <w:rPr>
                <w:rFonts w:eastAsia="仿宋"/>
                <w:kern w:val="0"/>
                <w:szCs w:val="21"/>
              </w:rPr>
            </w:pPr>
            <w:r>
              <w:rPr>
                <w:rFonts w:eastAsia="仿宋"/>
                <w:kern w:val="0"/>
                <w:szCs w:val="21"/>
              </w:rPr>
              <w:t>专业人员数量</w:t>
            </w:r>
          </w:p>
        </w:tc>
        <w:tc>
          <w:tcPr>
            <w:tcW w:w="998" w:type="pct"/>
            <w:vAlign w:val="center"/>
          </w:tcPr>
          <w:p w14:paraId="578C7FC7">
            <w:pPr>
              <w:autoSpaceDE w:val="0"/>
              <w:autoSpaceDN w:val="0"/>
              <w:adjustRightInd w:val="0"/>
              <w:jc w:val="center"/>
              <w:rPr>
                <w:rFonts w:eastAsia="仿宋"/>
                <w:kern w:val="0"/>
                <w:szCs w:val="21"/>
              </w:rPr>
            </w:pPr>
          </w:p>
        </w:tc>
      </w:tr>
      <w:tr w14:paraId="4A62E9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05" w:type="pct"/>
            <w:vAlign w:val="center"/>
          </w:tcPr>
          <w:p w14:paraId="0ADED27B">
            <w:pPr>
              <w:autoSpaceDE w:val="0"/>
              <w:autoSpaceDN w:val="0"/>
              <w:adjustRightInd w:val="0"/>
              <w:jc w:val="center"/>
              <w:rPr>
                <w:rFonts w:eastAsia="仿宋"/>
                <w:kern w:val="0"/>
                <w:szCs w:val="21"/>
              </w:rPr>
            </w:pPr>
            <w:r>
              <w:rPr>
                <w:rFonts w:eastAsia="仿宋"/>
                <w:kern w:val="0"/>
                <w:szCs w:val="21"/>
              </w:rPr>
              <w:t>经营范围</w:t>
            </w:r>
          </w:p>
        </w:tc>
        <w:tc>
          <w:tcPr>
            <w:tcW w:w="3995" w:type="pct"/>
            <w:gridSpan w:val="3"/>
            <w:vAlign w:val="center"/>
          </w:tcPr>
          <w:p w14:paraId="213D5E99">
            <w:pPr>
              <w:autoSpaceDE w:val="0"/>
              <w:autoSpaceDN w:val="0"/>
              <w:adjustRightInd w:val="0"/>
              <w:jc w:val="center"/>
              <w:rPr>
                <w:rFonts w:eastAsia="仿宋"/>
                <w:kern w:val="0"/>
                <w:szCs w:val="21"/>
              </w:rPr>
            </w:pPr>
          </w:p>
        </w:tc>
      </w:tr>
      <w:tr w14:paraId="677A3D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000" w:type="pct"/>
            <w:gridSpan w:val="4"/>
          </w:tcPr>
          <w:p w14:paraId="4FB6DFDB">
            <w:pPr>
              <w:autoSpaceDE w:val="0"/>
              <w:autoSpaceDN w:val="0"/>
              <w:adjustRightInd w:val="0"/>
              <w:rPr>
                <w:rFonts w:eastAsia="仿宋"/>
                <w:kern w:val="0"/>
                <w:szCs w:val="21"/>
              </w:rPr>
            </w:pPr>
            <w:r>
              <w:rPr>
                <w:rFonts w:eastAsia="仿宋"/>
                <w:kern w:val="0"/>
                <w:szCs w:val="21"/>
              </w:rPr>
              <w:t>机构简况：</w:t>
            </w:r>
          </w:p>
          <w:p w14:paraId="35B6ABB3">
            <w:pPr>
              <w:pStyle w:val="2"/>
              <w:rPr>
                <w:rFonts w:eastAsia="仿宋"/>
                <w:kern w:val="0"/>
                <w:szCs w:val="21"/>
              </w:rPr>
            </w:pPr>
          </w:p>
          <w:p w14:paraId="3BE5D562">
            <w:pPr>
              <w:pStyle w:val="12"/>
              <w:ind w:firstLine="210"/>
              <w:rPr>
                <w:rFonts w:eastAsia="仿宋"/>
                <w:kern w:val="0"/>
                <w:szCs w:val="21"/>
              </w:rPr>
            </w:pPr>
          </w:p>
          <w:p w14:paraId="7B37E4E5">
            <w:pPr>
              <w:pStyle w:val="13"/>
              <w:rPr>
                <w:rFonts w:ascii="Times New Roman" w:hAnsi="Times New Roman" w:eastAsia="仿宋"/>
                <w:kern w:val="0"/>
                <w:szCs w:val="21"/>
              </w:rPr>
            </w:pPr>
          </w:p>
          <w:p w14:paraId="2A550C4B">
            <w:pPr>
              <w:rPr>
                <w:rFonts w:eastAsia="仿宋"/>
                <w:kern w:val="0"/>
                <w:szCs w:val="21"/>
              </w:rPr>
            </w:pPr>
          </w:p>
          <w:p w14:paraId="1BC570B1">
            <w:pPr>
              <w:pStyle w:val="2"/>
              <w:rPr>
                <w:rFonts w:eastAsia="仿宋"/>
                <w:kern w:val="0"/>
                <w:szCs w:val="21"/>
              </w:rPr>
            </w:pPr>
          </w:p>
          <w:p w14:paraId="0080E8CF">
            <w:pPr>
              <w:pStyle w:val="12"/>
              <w:ind w:firstLine="210"/>
              <w:rPr>
                <w:rFonts w:eastAsia="仿宋"/>
                <w:kern w:val="0"/>
                <w:szCs w:val="21"/>
              </w:rPr>
            </w:pPr>
          </w:p>
          <w:p w14:paraId="6C6FEAA5">
            <w:pPr>
              <w:pStyle w:val="13"/>
              <w:rPr>
                <w:rFonts w:ascii="Times New Roman" w:hAnsi="Times New Roman" w:eastAsia="仿宋"/>
                <w:kern w:val="0"/>
                <w:szCs w:val="21"/>
              </w:rPr>
            </w:pPr>
          </w:p>
          <w:p w14:paraId="1C89A48C"/>
        </w:tc>
      </w:tr>
    </w:tbl>
    <w:p w14:paraId="5791F773">
      <w:pPr>
        <w:autoSpaceDE w:val="0"/>
        <w:autoSpaceDN w:val="0"/>
        <w:jc w:val="left"/>
        <w:rPr>
          <w:rFonts w:eastAsia="仿宋"/>
          <w:kern w:val="0"/>
          <w:sz w:val="28"/>
          <w:szCs w:val="28"/>
        </w:rPr>
      </w:pPr>
    </w:p>
    <w:p w14:paraId="15CED39E">
      <w:pPr>
        <w:autoSpaceDE w:val="0"/>
        <w:autoSpaceDN w:val="0"/>
        <w:jc w:val="left"/>
        <w:rPr>
          <w:rFonts w:eastAsia="仿宋"/>
          <w:kern w:val="0"/>
          <w:sz w:val="28"/>
          <w:szCs w:val="28"/>
        </w:rPr>
      </w:pPr>
    </w:p>
    <w:p w14:paraId="3A9909E6">
      <w:pPr>
        <w:autoSpaceDE w:val="0"/>
        <w:autoSpaceDN w:val="0"/>
        <w:jc w:val="left"/>
        <w:rPr>
          <w:rFonts w:eastAsia="仿宋"/>
          <w:kern w:val="0"/>
          <w:sz w:val="28"/>
          <w:szCs w:val="28"/>
        </w:rPr>
      </w:pPr>
    </w:p>
    <w:p w14:paraId="1C1D8A8F">
      <w:pPr>
        <w:autoSpaceDE w:val="0"/>
        <w:autoSpaceDN w:val="0"/>
        <w:jc w:val="left"/>
        <w:rPr>
          <w:rFonts w:eastAsia="仿宋"/>
          <w:kern w:val="0"/>
          <w:sz w:val="28"/>
          <w:szCs w:val="28"/>
        </w:rPr>
      </w:pPr>
    </w:p>
    <w:p w14:paraId="345946CC">
      <w:pPr>
        <w:rPr>
          <w:rFonts w:eastAsia="仿宋"/>
          <w:spacing w:val="-3"/>
          <w:w w:val="95"/>
          <w:kern w:val="0"/>
          <w:sz w:val="24"/>
          <w:szCs w:val="24"/>
        </w:rPr>
      </w:pPr>
      <w:r>
        <w:rPr>
          <w:rFonts w:eastAsia="仿宋"/>
          <w:spacing w:val="-3"/>
          <w:w w:val="95"/>
          <w:kern w:val="0"/>
          <w:sz w:val="24"/>
          <w:szCs w:val="24"/>
        </w:rPr>
        <w:br w:type="page"/>
      </w:r>
    </w:p>
    <w:p w14:paraId="5FFDD873">
      <w:pPr>
        <w:autoSpaceDE w:val="0"/>
        <w:autoSpaceDN w:val="0"/>
        <w:jc w:val="left"/>
        <w:rPr>
          <w:rFonts w:eastAsia="仿宋"/>
          <w:kern w:val="0"/>
          <w:sz w:val="24"/>
          <w:szCs w:val="24"/>
        </w:rPr>
      </w:pPr>
      <w:r>
        <w:rPr>
          <w:rFonts w:eastAsia="仿宋"/>
          <w:spacing w:val="-3"/>
          <w:w w:val="95"/>
          <w:kern w:val="0"/>
          <w:sz w:val="24"/>
          <w:szCs w:val="24"/>
        </w:rPr>
        <w:t xml:space="preserve">附件 </w:t>
      </w:r>
      <w:r>
        <w:rPr>
          <w:rFonts w:eastAsia="仿宋"/>
          <w:w w:val="95"/>
          <w:kern w:val="0"/>
          <w:sz w:val="24"/>
          <w:szCs w:val="24"/>
        </w:rPr>
        <w:t>5－2</w:t>
      </w:r>
    </w:p>
    <w:p w14:paraId="2865938A">
      <w:pPr>
        <w:autoSpaceDE w:val="0"/>
        <w:autoSpaceDN w:val="0"/>
        <w:jc w:val="left"/>
        <w:rPr>
          <w:rFonts w:eastAsia="仿宋"/>
          <w:kern w:val="0"/>
          <w:sz w:val="28"/>
          <w:szCs w:val="28"/>
        </w:rPr>
      </w:pPr>
    </w:p>
    <w:p w14:paraId="5BD9CDDA">
      <w:pPr>
        <w:jc w:val="center"/>
        <w:rPr>
          <w:rFonts w:eastAsia="仿宋"/>
          <w:b/>
          <w:bCs/>
          <w:kern w:val="0"/>
          <w:sz w:val="24"/>
          <w:szCs w:val="24"/>
        </w:rPr>
      </w:pPr>
      <w:r>
        <w:rPr>
          <w:rFonts w:eastAsia="仿宋"/>
          <w:b/>
          <w:bCs/>
          <w:kern w:val="0"/>
          <w:sz w:val="24"/>
          <w:szCs w:val="24"/>
        </w:rPr>
        <w:t>关于满足《中华人民共和国政府采购法》第二十二条的承诺</w:t>
      </w:r>
    </w:p>
    <w:p w14:paraId="4DBB114A">
      <w:pPr>
        <w:spacing w:line="360" w:lineRule="auto"/>
        <w:ind w:firstLine="480" w:firstLineChars="200"/>
        <w:rPr>
          <w:rFonts w:eastAsia="仿宋"/>
          <w:kern w:val="0"/>
          <w:sz w:val="24"/>
          <w:szCs w:val="24"/>
        </w:rPr>
      </w:pPr>
    </w:p>
    <w:p w14:paraId="1C932FB5">
      <w:pPr>
        <w:snapToGrid w:val="0"/>
        <w:spacing w:line="360" w:lineRule="auto"/>
        <w:rPr>
          <w:rFonts w:eastAsia="仿宋"/>
          <w:kern w:val="0"/>
          <w:sz w:val="24"/>
          <w:szCs w:val="24"/>
        </w:rPr>
      </w:pPr>
      <w:r>
        <w:rPr>
          <w:rFonts w:eastAsia="仿宋"/>
          <w:kern w:val="0"/>
          <w:sz w:val="24"/>
          <w:szCs w:val="24"/>
        </w:rPr>
        <w:t>我公司作为本次采购项目的供应商，根据磋商文件要求，现郑重承诺如下：</w:t>
      </w:r>
    </w:p>
    <w:p w14:paraId="5599F4D7">
      <w:pPr>
        <w:snapToGrid w:val="0"/>
        <w:spacing w:line="360" w:lineRule="auto"/>
        <w:ind w:firstLine="480" w:firstLineChars="200"/>
        <w:rPr>
          <w:rFonts w:eastAsia="仿宋"/>
          <w:kern w:val="0"/>
          <w:sz w:val="24"/>
          <w:szCs w:val="24"/>
        </w:rPr>
      </w:pPr>
      <w:r>
        <w:rPr>
          <w:rFonts w:eastAsia="仿宋"/>
          <w:kern w:val="0"/>
          <w:sz w:val="24"/>
          <w:szCs w:val="24"/>
        </w:rPr>
        <w:t>一、具备《中华人民共和国政府采购法》第二十二条的条件：</w:t>
      </w:r>
    </w:p>
    <w:p w14:paraId="0E52BDE4">
      <w:pPr>
        <w:snapToGrid w:val="0"/>
        <w:spacing w:line="360" w:lineRule="auto"/>
        <w:ind w:firstLine="480" w:firstLineChars="200"/>
        <w:rPr>
          <w:rFonts w:eastAsia="仿宋"/>
          <w:kern w:val="0"/>
          <w:sz w:val="24"/>
          <w:szCs w:val="24"/>
        </w:rPr>
      </w:pPr>
      <w:r>
        <w:rPr>
          <w:rFonts w:eastAsia="仿宋"/>
          <w:kern w:val="0"/>
          <w:sz w:val="24"/>
          <w:szCs w:val="24"/>
        </w:rPr>
        <w:t xml:space="preserve">（一）具有独立承担民事责任的能力； </w:t>
      </w:r>
    </w:p>
    <w:p w14:paraId="174B88E1">
      <w:pPr>
        <w:snapToGrid w:val="0"/>
        <w:spacing w:line="360" w:lineRule="auto"/>
        <w:ind w:firstLine="480" w:firstLineChars="200"/>
        <w:rPr>
          <w:rFonts w:eastAsia="仿宋"/>
          <w:kern w:val="0"/>
          <w:sz w:val="24"/>
          <w:szCs w:val="24"/>
        </w:rPr>
      </w:pPr>
      <w:r>
        <w:rPr>
          <w:rFonts w:eastAsia="仿宋"/>
          <w:kern w:val="0"/>
          <w:sz w:val="24"/>
          <w:szCs w:val="24"/>
        </w:rPr>
        <w:t xml:space="preserve">（二）具有良好的商业信誉和健全的财务会计制度； </w:t>
      </w:r>
    </w:p>
    <w:p w14:paraId="47CEEA4B">
      <w:pPr>
        <w:snapToGrid w:val="0"/>
        <w:spacing w:line="360" w:lineRule="auto"/>
        <w:ind w:firstLine="480" w:firstLineChars="200"/>
        <w:rPr>
          <w:rFonts w:eastAsia="仿宋"/>
          <w:kern w:val="0"/>
          <w:sz w:val="24"/>
          <w:szCs w:val="24"/>
        </w:rPr>
      </w:pPr>
      <w:r>
        <w:rPr>
          <w:rFonts w:eastAsia="仿宋"/>
          <w:kern w:val="0"/>
          <w:sz w:val="24"/>
          <w:szCs w:val="24"/>
        </w:rPr>
        <w:t xml:space="preserve">（三）具有履行合同所必需的设备和专业技术能力； </w:t>
      </w:r>
    </w:p>
    <w:p w14:paraId="67FF0ED1">
      <w:pPr>
        <w:snapToGrid w:val="0"/>
        <w:spacing w:line="360" w:lineRule="auto"/>
        <w:ind w:firstLine="480" w:firstLineChars="200"/>
        <w:rPr>
          <w:rFonts w:eastAsia="仿宋"/>
          <w:kern w:val="0"/>
          <w:sz w:val="24"/>
          <w:szCs w:val="24"/>
        </w:rPr>
      </w:pPr>
      <w:r>
        <w:rPr>
          <w:rFonts w:eastAsia="仿宋"/>
          <w:kern w:val="0"/>
          <w:sz w:val="24"/>
          <w:szCs w:val="24"/>
        </w:rPr>
        <w:t xml:space="preserve">（四）有依法缴纳税收和社会保障资金的良好记录； </w:t>
      </w:r>
    </w:p>
    <w:p w14:paraId="3EE86462">
      <w:pPr>
        <w:snapToGrid w:val="0"/>
        <w:spacing w:line="360" w:lineRule="auto"/>
        <w:ind w:firstLine="480" w:firstLineChars="200"/>
        <w:rPr>
          <w:rFonts w:eastAsia="仿宋"/>
          <w:kern w:val="0"/>
          <w:sz w:val="24"/>
          <w:szCs w:val="24"/>
        </w:rPr>
      </w:pPr>
      <w:r>
        <w:rPr>
          <w:rFonts w:eastAsia="仿宋"/>
          <w:kern w:val="0"/>
          <w:sz w:val="24"/>
          <w:szCs w:val="24"/>
        </w:rPr>
        <w:t>（五）在经营活动中没有重大违法记录；</w:t>
      </w:r>
    </w:p>
    <w:p w14:paraId="745FD220">
      <w:pPr>
        <w:snapToGrid w:val="0"/>
        <w:spacing w:line="360" w:lineRule="auto"/>
        <w:ind w:firstLine="480" w:firstLineChars="200"/>
        <w:rPr>
          <w:rFonts w:eastAsia="仿宋"/>
          <w:kern w:val="0"/>
          <w:sz w:val="24"/>
          <w:szCs w:val="24"/>
        </w:rPr>
      </w:pPr>
      <w:r>
        <w:rPr>
          <w:rFonts w:eastAsia="仿宋"/>
          <w:kern w:val="0"/>
          <w:sz w:val="24"/>
          <w:szCs w:val="24"/>
        </w:rPr>
        <w:t>（六）法律、行政法规规定的其他条件；</w:t>
      </w:r>
    </w:p>
    <w:p w14:paraId="1B0CFD41">
      <w:pPr>
        <w:snapToGrid w:val="0"/>
        <w:spacing w:line="360" w:lineRule="auto"/>
        <w:ind w:firstLine="480" w:firstLineChars="200"/>
        <w:rPr>
          <w:rFonts w:eastAsia="仿宋"/>
          <w:kern w:val="0"/>
          <w:sz w:val="24"/>
          <w:szCs w:val="24"/>
        </w:rPr>
      </w:pPr>
      <w:r>
        <w:rPr>
          <w:rFonts w:eastAsia="仿宋"/>
          <w:kern w:val="0"/>
          <w:sz w:val="24"/>
          <w:szCs w:val="24"/>
        </w:rPr>
        <w:t>本公司对上述承诺的内容事项真实性负责。如经查实上述承诺的内容事项存在虚假，我公司愿意接受以提供虚假材料谋取中标追究法律责任。</w:t>
      </w:r>
    </w:p>
    <w:p w14:paraId="5C5C622E">
      <w:pPr>
        <w:snapToGrid w:val="0"/>
        <w:spacing w:line="360" w:lineRule="auto"/>
        <w:ind w:firstLine="480" w:firstLineChars="200"/>
        <w:rPr>
          <w:rFonts w:eastAsia="仿宋"/>
          <w:kern w:val="0"/>
          <w:sz w:val="24"/>
          <w:szCs w:val="24"/>
        </w:rPr>
      </w:pPr>
      <w:r>
        <w:rPr>
          <w:rFonts w:eastAsia="仿宋"/>
          <w:kern w:val="0"/>
          <w:sz w:val="24"/>
          <w:szCs w:val="24"/>
        </w:rPr>
        <w:t xml:space="preserve">       </w:t>
      </w:r>
    </w:p>
    <w:p w14:paraId="5F2F680F">
      <w:pPr>
        <w:snapToGrid w:val="0"/>
        <w:spacing w:line="360" w:lineRule="auto"/>
        <w:ind w:firstLine="480" w:firstLineChars="200"/>
        <w:rPr>
          <w:rFonts w:eastAsia="仿宋"/>
          <w:kern w:val="0"/>
          <w:sz w:val="24"/>
          <w:szCs w:val="24"/>
        </w:rPr>
      </w:pPr>
      <w:r>
        <w:rPr>
          <w:rFonts w:eastAsia="仿宋"/>
          <w:kern w:val="0"/>
          <w:sz w:val="24"/>
          <w:szCs w:val="24"/>
        </w:rPr>
        <w:t>企业名称(盖公章):</w:t>
      </w:r>
    </w:p>
    <w:p w14:paraId="38B7F020">
      <w:pPr>
        <w:snapToGrid w:val="0"/>
        <w:spacing w:line="360" w:lineRule="auto"/>
        <w:ind w:firstLine="480" w:firstLineChars="200"/>
        <w:rPr>
          <w:rFonts w:eastAsia="仿宋"/>
          <w:kern w:val="0"/>
          <w:sz w:val="24"/>
          <w:szCs w:val="24"/>
        </w:rPr>
      </w:pPr>
      <w:r>
        <w:rPr>
          <w:rFonts w:eastAsia="仿宋"/>
          <w:kern w:val="0"/>
          <w:sz w:val="24"/>
          <w:szCs w:val="24"/>
        </w:rPr>
        <w:t>法定代表人(负责人)或其授权代表(签字或盖章):</w:t>
      </w:r>
    </w:p>
    <w:p w14:paraId="0383CBF4">
      <w:pPr>
        <w:snapToGrid w:val="0"/>
        <w:spacing w:line="360" w:lineRule="auto"/>
        <w:ind w:firstLine="480" w:firstLineChars="200"/>
        <w:rPr>
          <w:rFonts w:eastAsia="仿宋"/>
          <w:kern w:val="0"/>
          <w:sz w:val="24"/>
          <w:szCs w:val="24"/>
        </w:rPr>
      </w:pPr>
      <w:r>
        <w:rPr>
          <w:rFonts w:eastAsia="仿宋"/>
          <w:kern w:val="0"/>
          <w:sz w:val="24"/>
          <w:szCs w:val="24"/>
        </w:rPr>
        <w:t>日期:</w:t>
      </w:r>
    </w:p>
    <w:p w14:paraId="7233F853">
      <w:pPr>
        <w:jc w:val="center"/>
        <w:rPr>
          <w:rFonts w:eastAsia="仿宋"/>
          <w:b/>
          <w:bCs/>
          <w:kern w:val="0"/>
          <w:sz w:val="32"/>
          <w:szCs w:val="32"/>
        </w:rPr>
      </w:pPr>
    </w:p>
    <w:p w14:paraId="4ECA7A31">
      <w:pPr>
        <w:spacing w:line="360" w:lineRule="auto"/>
        <w:rPr>
          <w:rFonts w:eastAsia="仿宋"/>
        </w:rPr>
      </w:pPr>
    </w:p>
    <w:p w14:paraId="48BE9553">
      <w:pPr>
        <w:autoSpaceDE w:val="0"/>
        <w:autoSpaceDN w:val="0"/>
        <w:jc w:val="left"/>
        <w:rPr>
          <w:rFonts w:eastAsia="仿宋"/>
          <w:spacing w:val="-3"/>
          <w:w w:val="95"/>
          <w:kern w:val="0"/>
          <w:sz w:val="24"/>
          <w:szCs w:val="24"/>
        </w:rPr>
      </w:pPr>
    </w:p>
    <w:p w14:paraId="52735DBA">
      <w:pPr>
        <w:autoSpaceDE w:val="0"/>
        <w:autoSpaceDN w:val="0"/>
        <w:jc w:val="left"/>
        <w:rPr>
          <w:rFonts w:eastAsia="仿宋"/>
          <w:kern w:val="0"/>
          <w:sz w:val="28"/>
          <w:szCs w:val="28"/>
        </w:rPr>
      </w:pPr>
    </w:p>
    <w:p w14:paraId="2EDF9AD6">
      <w:pPr>
        <w:rPr>
          <w:rFonts w:eastAsia="仿宋"/>
          <w:b/>
          <w:bCs/>
          <w:kern w:val="0"/>
          <w:sz w:val="24"/>
          <w:szCs w:val="24"/>
        </w:rPr>
      </w:pPr>
      <w:r>
        <w:rPr>
          <w:rFonts w:eastAsia="仿宋"/>
          <w:b/>
          <w:bCs/>
          <w:kern w:val="0"/>
          <w:sz w:val="24"/>
          <w:szCs w:val="24"/>
        </w:rPr>
        <w:br w:type="page"/>
      </w:r>
    </w:p>
    <w:p w14:paraId="5343DDA8">
      <w:pPr>
        <w:autoSpaceDE w:val="0"/>
        <w:autoSpaceDN w:val="0"/>
        <w:spacing w:before="139"/>
        <w:jc w:val="left"/>
        <w:rPr>
          <w:rFonts w:eastAsia="仿宋"/>
          <w:b/>
          <w:bCs/>
          <w:kern w:val="0"/>
          <w:sz w:val="24"/>
          <w:szCs w:val="24"/>
        </w:rPr>
      </w:pPr>
      <w:r>
        <w:rPr>
          <w:rFonts w:eastAsia="仿宋"/>
          <w:b/>
          <w:bCs/>
          <w:kern w:val="0"/>
          <w:sz w:val="24"/>
          <w:szCs w:val="24"/>
        </w:rPr>
        <w:t>6、提供符合采购政策的证明材料</w:t>
      </w:r>
    </w:p>
    <w:p w14:paraId="6D9B4EAB">
      <w:pPr>
        <w:autoSpaceDE w:val="0"/>
        <w:autoSpaceDN w:val="0"/>
        <w:spacing w:before="12"/>
        <w:jc w:val="left"/>
        <w:rPr>
          <w:rFonts w:eastAsia="仿宋"/>
          <w:kern w:val="0"/>
          <w:sz w:val="28"/>
          <w:szCs w:val="28"/>
        </w:rPr>
      </w:pPr>
    </w:p>
    <w:p w14:paraId="7A25F1C0">
      <w:pPr>
        <w:autoSpaceDE w:val="0"/>
        <w:autoSpaceDN w:val="0"/>
        <w:snapToGrid w:val="0"/>
        <w:spacing w:line="360" w:lineRule="auto"/>
        <w:jc w:val="left"/>
        <w:rPr>
          <w:rFonts w:eastAsia="仿宋"/>
          <w:kern w:val="0"/>
          <w:sz w:val="24"/>
          <w:szCs w:val="24"/>
        </w:rPr>
      </w:pPr>
      <w:r>
        <w:rPr>
          <w:rFonts w:eastAsia="仿宋"/>
          <w:spacing w:val="-3"/>
          <w:w w:val="95"/>
          <w:kern w:val="0"/>
          <w:sz w:val="24"/>
          <w:szCs w:val="24"/>
        </w:rPr>
        <w:t xml:space="preserve">附件 </w:t>
      </w:r>
      <w:r>
        <w:rPr>
          <w:rFonts w:eastAsia="仿宋"/>
          <w:w w:val="95"/>
          <w:kern w:val="0"/>
          <w:sz w:val="24"/>
          <w:szCs w:val="24"/>
        </w:rPr>
        <w:t>6－1</w:t>
      </w:r>
    </w:p>
    <w:p w14:paraId="1CB847DE">
      <w:pPr>
        <w:snapToGrid w:val="0"/>
        <w:spacing w:before="191" w:line="360" w:lineRule="auto"/>
        <w:jc w:val="center"/>
        <w:rPr>
          <w:rFonts w:eastAsia="仿宋"/>
          <w:sz w:val="24"/>
          <w:szCs w:val="24"/>
        </w:rPr>
      </w:pPr>
      <w:r>
        <w:rPr>
          <w:rFonts w:eastAsia="仿宋"/>
          <w:spacing w:val="5"/>
          <w:sz w:val="24"/>
          <w:szCs w:val="24"/>
          <w14:textOutline w14:w="6540" w14:cap="sq" w14:cmpd="sng" w14:algn="ctr">
            <w14:solidFill>
              <w14:srgbClr w14:val="000000"/>
            </w14:solidFill>
            <w14:prstDash w14:val="solid"/>
            <w14:bevel/>
          </w14:textOutline>
        </w:rPr>
        <w:t>中小企业声明函（工程、服务）</w:t>
      </w:r>
    </w:p>
    <w:p w14:paraId="64A9BF87">
      <w:pPr>
        <w:pStyle w:val="2"/>
        <w:spacing w:before="75" w:line="306" w:lineRule="auto"/>
        <w:ind w:left="36" w:right="115" w:firstLine="640"/>
        <w:rPr>
          <w:rFonts w:eastAsia="仿宋"/>
          <w:sz w:val="24"/>
          <w:szCs w:val="24"/>
        </w:rPr>
      </w:pPr>
      <w:r>
        <w:rPr>
          <w:rFonts w:eastAsia="仿宋"/>
          <w:spacing w:val="19"/>
          <w:sz w:val="24"/>
          <w:szCs w:val="24"/>
        </w:rPr>
        <w:t>本公司（联合体）</w:t>
      </w:r>
      <w:r>
        <w:rPr>
          <w:rFonts w:eastAsia="仿宋"/>
          <w:spacing w:val="-58"/>
          <w:sz w:val="24"/>
          <w:szCs w:val="24"/>
        </w:rPr>
        <w:t xml:space="preserve"> </w:t>
      </w:r>
      <w:r>
        <w:rPr>
          <w:rFonts w:eastAsia="仿宋"/>
          <w:spacing w:val="19"/>
          <w:sz w:val="24"/>
          <w:szCs w:val="24"/>
        </w:rPr>
        <w:t>郑重声明，根据《政府采购促进中小</w:t>
      </w:r>
      <w:r>
        <w:rPr>
          <w:rFonts w:eastAsia="仿宋"/>
          <w:spacing w:val="59"/>
          <w:sz w:val="24"/>
          <w:szCs w:val="24"/>
        </w:rPr>
        <w:t xml:space="preserve"> </w:t>
      </w:r>
      <w:r>
        <w:rPr>
          <w:rFonts w:eastAsia="仿宋"/>
          <w:spacing w:val="19"/>
          <w:sz w:val="24"/>
          <w:szCs w:val="24"/>
        </w:rPr>
        <w:t>企业发展管理办法》</w:t>
      </w:r>
      <w:r>
        <w:rPr>
          <w:rFonts w:eastAsia="仿宋"/>
          <w:spacing w:val="-92"/>
          <w:sz w:val="24"/>
          <w:szCs w:val="24"/>
        </w:rPr>
        <w:t xml:space="preserve"> </w:t>
      </w:r>
      <w:r>
        <w:rPr>
          <w:rFonts w:eastAsia="仿宋"/>
          <w:spacing w:val="19"/>
          <w:sz w:val="24"/>
          <w:szCs w:val="24"/>
        </w:rPr>
        <w:t>（财</w:t>
      </w:r>
      <w:r>
        <w:rPr>
          <w:rFonts w:eastAsia="仿宋"/>
          <w:sz w:val="24"/>
          <w:szCs w:val="24"/>
        </w:rPr>
        <w:t xml:space="preserve">  </w:t>
      </w:r>
      <w:r>
        <w:rPr>
          <w:rFonts w:eastAsia="仿宋"/>
          <w:spacing w:val="3"/>
          <w:sz w:val="24"/>
          <w:szCs w:val="24"/>
        </w:rPr>
        <w:t>库﹝</w:t>
      </w:r>
      <w:r>
        <w:rPr>
          <w:rFonts w:eastAsia="仿宋"/>
          <w:spacing w:val="-76"/>
          <w:sz w:val="24"/>
          <w:szCs w:val="24"/>
        </w:rPr>
        <w:t xml:space="preserve"> </w:t>
      </w:r>
      <w:r>
        <w:rPr>
          <w:rFonts w:eastAsia="仿宋"/>
          <w:spacing w:val="3"/>
          <w:sz w:val="24"/>
          <w:szCs w:val="24"/>
        </w:rPr>
        <w:t>2020)46号）的规定，本公司（联合体）参加</w:t>
      </w:r>
      <w:r>
        <w:rPr>
          <w:rFonts w:eastAsia="仿宋"/>
          <w:spacing w:val="3"/>
          <w:sz w:val="24"/>
          <w:szCs w:val="24"/>
          <w:u w:val="single"/>
        </w:rPr>
        <w:t>（单位名称）</w:t>
      </w:r>
      <w:r>
        <w:rPr>
          <w:rFonts w:eastAsia="仿宋"/>
          <w:spacing w:val="3"/>
          <w:sz w:val="24"/>
          <w:szCs w:val="24"/>
        </w:rPr>
        <w:t>的</w:t>
      </w:r>
      <w:r>
        <w:rPr>
          <w:rFonts w:eastAsia="仿宋"/>
          <w:spacing w:val="3"/>
          <w:sz w:val="24"/>
          <w:szCs w:val="24"/>
          <w:u w:val="single"/>
        </w:rPr>
        <w:t>（项目名称）</w:t>
      </w:r>
      <w:r>
        <w:rPr>
          <w:rFonts w:eastAsia="仿宋"/>
          <w:spacing w:val="3"/>
          <w:sz w:val="24"/>
          <w:szCs w:val="24"/>
        </w:rPr>
        <w:t>采购活</w:t>
      </w:r>
      <w:r>
        <w:rPr>
          <w:rFonts w:eastAsia="仿宋"/>
          <w:spacing w:val="2"/>
          <w:sz w:val="24"/>
          <w:szCs w:val="24"/>
        </w:rPr>
        <w:t>动，</w:t>
      </w:r>
      <w:r>
        <w:rPr>
          <w:rFonts w:eastAsia="仿宋"/>
          <w:spacing w:val="21"/>
          <w:sz w:val="24"/>
          <w:szCs w:val="24"/>
        </w:rPr>
        <w:t>工程的施工单位全部为符合政策要求的中小企业（或者：服务全部由符合政策要求的中小企业承接）。相关企业（含联合体中的中小企业、签订分包意向协议的中小企</w:t>
      </w:r>
      <w:r>
        <w:rPr>
          <w:rFonts w:eastAsia="仿宋"/>
          <w:spacing w:val="20"/>
          <w:sz w:val="24"/>
          <w:szCs w:val="24"/>
        </w:rPr>
        <w:t>业）</w:t>
      </w:r>
      <w:r>
        <w:rPr>
          <w:rFonts w:eastAsia="仿宋"/>
          <w:spacing w:val="8"/>
          <w:sz w:val="24"/>
          <w:szCs w:val="24"/>
        </w:rPr>
        <w:t>的具体情况如下：</w:t>
      </w:r>
    </w:p>
    <w:p w14:paraId="5F257A81">
      <w:pPr>
        <w:pStyle w:val="2"/>
        <w:spacing w:before="91" w:line="360" w:lineRule="auto"/>
        <w:jc w:val="right"/>
        <w:rPr>
          <w:rFonts w:eastAsia="仿宋"/>
          <w:sz w:val="24"/>
          <w:szCs w:val="24"/>
        </w:rPr>
      </w:pPr>
      <w:r>
        <w:rPr>
          <w:rFonts w:eastAsia="仿宋"/>
          <w:spacing w:val="12"/>
          <w:sz w:val="24"/>
          <w:szCs w:val="24"/>
        </w:rPr>
        <w:t>1.</w:t>
      </w:r>
      <w:r>
        <w:rPr>
          <w:rFonts w:eastAsia="仿宋"/>
          <w:spacing w:val="12"/>
          <w:sz w:val="24"/>
          <w:szCs w:val="24"/>
          <w:u w:val="single"/>
        </w:rPr>
        <w:t>（标的名称</w:t>
      </w:r>
      <w:r>
        <w:rPr>
          <w:rFonts w:eastAsia="仿宋"/>
          <w:spacing w:val="-36"/>
          <w:w w:val="59"/>
          <w:sz w:val="24"/>
          <w:szCs w:val="24"/>
        </w:rPr>
        <w:t>），</w:t>
      </w:r>
      <w:r>
        <w:rPr>
          <w:rFonts w:eastAsia="仿宋"/>
          <w:spacing w:val="12"/>
          <w:sz w:val="24"/>
          <w:szCs w:val="24"/>
        </w:rPr>
        <w:t>属于</w:t>
      </w:r>
      <w:r>
        <w:rPr>
          <w:rFonts w:eastAsia="仿宋"/>
          <w:spacing w:val="12"/>
          <w:sz w:val="24"/>
          <w:szCs w:val="24"/>
          <w:u w:val="single"/>
        </w:rPr>
        <w:t>（采购文件中明确的所属行业</w:t>
      </w:r>
      <w:r>
        <w:rPr>
          <w:rFonts w:eastAsia="仿宋"/>
          <w:spacing w:val="-36"/>
          <w:w w:val="59"/>
          <w:sz w:val="24"/>
          <w:szCs w:val="24"/>
        </w:rPr>
        <w:t>）；</w:t>
      </w:r>
      <w:r>
        <w:rPr>
          <w:rFonts w:eastAsia="仿宋"/>
          <w:spacing w:val="12"/>
          <w:sz w:val="24"/>
          <w:szCs w:val="24"/>
        </w:rPr>
        <w:t>承建（承接</w:t>
      </w:r>
      <w:r>
        <w:rPr>
          <w:rFonts w:eastAsia="仿宋"/>
          <w:spacing w:val="-44"/>
          <w:sz w:val="24"/>
          <w:szCs w:val="24"/>
        </w:rPr>
        <w:t xml:space="preserve"> </w:t>
      </w:r>
      <w:r>
        <w:rPr>
          <w:rFonts w:eastAsia="仿宋"/>
          <w:spacing w:val="11"/>
          <w:sz w:val="24"/>
          <w:szCs w:val="24"/>
        </w:rPr>
        <w:t>）企业为</w:t>
      </w:r>
      <w:r>
        <w:rPr>
          <w:rFonts w:eastAsia="仿宋"/>
          <w:spacing w:val="11"/>
          <w:sz w:val="24"/>
          <w:szCs w:val="24"/>
          <w:u w:val="single"/>
        </w:rPr>
        <w:t>（企业名称</w:t>
      </w:r>
      <w:r>
        <w:rPr>
          <w:rFonts w:eastAsia="仿宋"/>
          <w:spacing w:val="-36"/>
          <w:w w:val="59"/>
          <w:sz w:val="24"/>
          <w:szCs w:val="24"/>
        </w:rPr>
        <w:t>），</w:t>
      </w:r>
    </w:p>
    <w:p w14:paraId="3BD9863F">
      <w:pPr>
        <w:pStyle w:val="2"/>
        <w:spacing w:line="360" w:lineRule="auto"/>
        <w:ind w:left="19"/>
        <w:rPr>
          <w:rFonts w:eastAsia="仿宋"/>
          <w:sz w:val="24"/>
          <w:szCs w:val="24"/>
        </w:rPr>
      </w:pPr>
      <w:r>
        <w:rPr>
          <w:rFonts w:eastAsia="仿宋"/>
          <w:spacing w:val="7"/>
          <w:sz w:val="24"/>
          <w:szCs w:val="24"/>
        </w:rPr>
        <w:t>从业人员</w:t>
      </w:r>
      <w:r>
        <w:rPr>
          <w:rFonts w:eastAsia="仿宋"/>
          <w:spacing w:val="-90"/>
          <w:sz w:val="24"/>
          <w:szCs w:val="24"/>
        </w:rPr>
        <w:t xml:space="preserve"> </w:t>
      </w:r>
      <w:r>
        <w:rPr>
          <w:rFonts w:eastAsia="仿宋"/>
          <w:spacing w:val="26"/>
          <w:sz w:val="24"/>
          <w:szCs w:val="24"/>
          <w:u w:val="single"/>
        </w:rPr>
        <w:t xml:space="preserve">    </w:t>
      </w:r>
      <w:r>
        <w:rPr>
          <w:rFonts w:eastAsia="仿宋"/>
          <w:spacing w:val="-99"/>
          <w:sz w:val="24"/>
          <w:szCs w:val="24"/>
        </w:rPr>
        <w:t xml:space="preserve"> </w:t>
      </w:r>
      <w:r>
        <w:rPr>
          <w:rFonts w:eastAsia="仿宋"/>
          <w:spacing w:val="7"/>
          <w:sz w:val="24"/>
          <w:szCs w:val="24"/>
        </w:rPr>
        <w:t>人</w:t>
      </w:r>
      <w:r>
        <w:rPr>
          <w:rFonts w:eastAsia="仿宋"/>
          <w:spacing w:val="-61"/>
          <w:sz w:val="24"/>
          <w:szCs w:val="24"/>
        </w:rPr>
        <w:t xml:space="preserve"> </w:t>
      </w:r>
      <w:r>
        <w:rPr>
          <w:rFonts w:eastAsia="仿宋"/>
          <w:spacing w:val="7"/>
          <w:sz w:val="24"/>
          <w:szCs w:val="24"/>
        </w:rPr>
        <w:t>，</w:t>
      </w:r>
      <w:r>
        <w:rPr>
          <w:rFonts w:eastAsia="仿宋"/>
          <w:spacing w:val="-67"/>
          <w:sz w:val="24"/>
          <w:szCs w:val="24"/>
        </w:rPr>
        <w:t xml:space="preserve"> </w:t>
      </w:r>
      <w:r>
        <w:rPr>
          <w:rFonts w:eastAsia="仿宋"/>
          <w:spacing w:val="7"/>
          <w:sz w:val="24"/>
          <w:szCs w:val="24"/>
        </w:rPr>
        <w:t>营业收入为</w:t>
      </w:r>
      <w:r>
        <w:rPr>
          <w:rFonts w:eastAsia="仿宋"/>
          <w:spacing w:val="-113"/>
          <w:sz w:val="24"/>
          <w:szCs w:val="24"/>
        </w:rPr>
        <w:t xml:space="preserve"> </w:t>
      </w:r>
      <w:r>
        <w:rPr>
          <w:rFonts w:eastAsia="仿宋"/>
          <w:spacing w:val="17"/>
          <w:sz w:val="24"/>
          <w:szCs w:val="24"/>
          <w:u w:val="single"/>
        </w:rPr>
        <w:t xml:space="preserve">    </w:t>
      </w:r>
      <w:r>
        <w:rPr>
          <w:rFonts w:eastAsia="仿宋"/>
          <w:spacing w:val="-97"/>
          <w:sz w:val="24"/>
          <w:szCs w:val="24"/>
        </w:rPr>
        <w:t xml:space="preserve"> </w:t>
      </w:r>
      <w:r>
        <w:rPr>
          <w:rFonts w:eastAsia="仿宋"/>
          <w:spacing w:val="7"/>
          <w:sz w:val="24"/>
          <w:szCs w:val="24"/>
        </w:rPr>
        <w:t>万元，资产总额为</w:t>
      </w:r>
      <w:r>
        <w:rPr>
          <w:rFonts w:eastAsia="仿宋"/>
          <w:spacing w:val="7"/>
          <w:sz w:val="24"/>
          <w:szCs w:val="24"/>
          <w:u w:val="single"/>
        </w:rPr>
        <w:t xml:space="preserve">    </w:t>
      </w:r>
      <w:r>
        <w:rPr>
          <w:rFonts w:eastAsia="仿宋"/>
          <w:spacing w:val="-99"/>
          <w:sz w:val="24"/>
          <w:szCs w:val="24"/>
        </w:rPr>
        <w:t xml:space="preserve"> </w:t>
      </w:r>
      <w:r>
        <w:rPr>
          <w:rFonts w:eastAsia="仿宋"/>
          <w:spacing w:val="7"/>
          <w:sz w:val="24"/>
          <w:szCs w:val="24"/>
        </w:rPr>
        <w:t>万元</w:t>
      </w:r>
      <w:r>
        <w:rPr>
          <w:rFonts w:eastAsia="仿宋"/>
          <w:spacing w:val="13"/>
          <w:sz w:val="24"/>
          <w:szCs w:val="24"/>
        </w:rPr>
        <w:t xml:space="preserve">  </w:t>
      </w:r>
      <w:r>
        <w:rPr>
          <w:rFonts w:eastAsia="仿宋"/>
          <w:spacing w:val="6"/>
          <w:sz w:val="24"/>
          <w:szCs w:val="24"/>
        </w:rPr>
        <w:t>，属于</w:t>
      </w:r>
      <w:r>
        <w:rPr>
          <w:rFonts w:eastAsia="仿宋"/>
          <w:spacing w:val="6"/>
          <w:sz w:val="24"/>
          <w:szCs w:val="24"/>
          <w:u w:val="single"/>
        </w:rPr>
        <w:t>（中型企业、小型企业、微型企业</w:t>
      </w:r>
      <w:r>
        <w:rPr>
          <w:rFonts w:eastAsia="仿宋"/>
          <w:spacing w:val="-61"/>
          <w:w w:val="98"/>
          <w:sz w:val="24"/>
          <w:szCs w:val="24"/>
        </w:rPr>
        <w:t>）；</w:t>
      </w:r>
    </w:p>
    <w:p w14:paraId="2300017F">
      <w:pPr>
        <w:pStyle w:val="2"/>
        <w:spacing w:before="204" w:line="360" w:lineRule="auto"/>
        <w:rPr>
          <w:rFonts w:eastAsia="仿宋"/>
          <w:sz w:val="24"/>
          <w:szCs w:val="24"/>
        </w:rPr>
      </w:pPr>
      <w:r>
        <w:rPr>
          <w:rFonts w:eastAsia="仿宋"/>
          <w:spacing w:val="13"/>
          <w:sz w:val="24"/>
          <w:szCs w:val="24"/>
        </w:rPr>
        <w:t>2.</w:t>
      </w:r>
      <w:r>
        <w:rPr>
          <w:rFonts w:eastAsia="仿宋"/>
          <w:spacing w:val="13"/>
          <w:sz w:val="24"/>
          <w:szCs w:val="24"/>
          <w:u w:val="single"/>
        </w:rPr>
        <w:t>（标的名称</w:t>
      </w:r>
      <w:r>
        <w:rPr>
          <w:rFonts w:eastAsia="仿宋"/>
          <w:spacing w:val="-36"/>
          <w:w w:val="59"/>
          <w:sz w:val="24"/>
          <w:szCs w:val="24"/>
        </w:rPr>
        <w:t>），</w:t>
      </w:r>
      <w:r>
        <w:rPr>
          <w:rFonts w:eastAsia="仿宋"/>
          <w:spacing w:val="13"/>
          <w:sz w:val="24"/>
          <w:szCs w:val="24"/>
        </w:rPr>
        <w:t>属于</w:t>
      </w:r>
      <w:r>
        <w:rPr>
          <w:rFonts w:eastAsia="仿宋"/>
          <w:spacing w:val="13"/>
          <w:sz w:val="24"/>
          <w:szCs w:val="24"/>
          <w:u w:val="single"/>
        </w:rPr>
        <w:t>（采购文件中明确的所属行业</w:t>
      </w:r>
      <w:r>
        <w:rPr>
          <w:rFonts w:eastAsia="仿宋"/>
          <w:spacing w:val="-36"/>
          <w:w w:val="59"/>
          <w:sz w:val="24"/>
          <w:szCs w:val="24"/>
        </w:rPr>
        <w:t>）；</w:t>
      </w:r>
      <w:r>
        <w:rPr>
          <w:rFonts w:eastAsia="仿宋"/>
          <w:spacing w:val="13"/>
          <w:sz w:val="24"/>
          <w:szCs w:val="24"/>
        </w:rPr>
        <w:t>承建（承接）企业为</w:t>
      </w:r>
      <w:r>
        <w:rPr>
          <w:rFonts w:eastAsia="仿宋"/>
          <w:spacing w:val="13"/>
          <w:sz w:val="24"/>
          <w:szCs w:val="24"/>
          <w:u w:val="single"/>
        </w:rPr>
        <w:t>（企业名称</w:t>
      </w:r>
      <w:r>
        <w:rPr>
          <w:rFonts w:eastAsia="仿宋"/>
          <w:spacing w:val="-36"/>
          <w:w w:val="59"/>
          <w:sz w:val="24"/>
          <w:szCs w:val="24"/>
        </w:rPr>
        <w:t>），</w:t>
      </w:r>
      <w:r>
        <w:rPr>
          <w:rFonts w:eastAsia="仿宋"/>
          <w:sz w:val="24"/>
          <w:szCs w:val="24"/>
        </w:rPr>
        <w:t xml:space="preserve"> </w:t>
      </w:r>
      <w:r>
        <w:rPr>
          <w:rFonts w:eastAsia="仿宋"/>
          <w:spacing w:val="11"/>
          <w:sz w:val="24"/>
          <w:szCs w:val="24"/>
        </w:rPr>
        <w:t>从业人员</w:t>
      </w:r>
      <w:r>
        <w:rPr>
          <w:rFonts w:eastAsia="仿宋"/>
          <w:spacing w:val="-95"/>
          <w:sz w:val="24"/>
          <w:szCs w:val="24"/>
        </w:rPr>
        <w:t xml:space="preserve"> </w:t>
      </w:r>
      <w:r>
        <w:rPr>
          <w:rFonts w:eastAsia="仿宋"/>
          <w:spacing w:val="24"/>
          <w:sz w:val="24"/>
          <w:szCs w:val="24"/>
          <w:u w:val="single"/>
        </w:rPr>
        <w:t xml:space="preserve">    </w:t>
      </w:r>
      <w:r>
        <w:rPr>
          <w:rFonts w:eastAsia="仿宋"/>
          <w:spacing w:val="-100"/>
          <w:sz w:val="24"/>
          <w:szCs w:val="24"/>
        </w:rPr>
        <w:t xml:space="preserve"> </w:t>
      </w:r>
      <w:r>
        <w:rPr>
          <w:rFonts w:eastAsia="仿宋"/>
          <w:spacing w:val="11"/>
          <w:sz w:val="24"/>
          <w:szCs w:val="24"/>
        </w:rPr>
        <w:t>人</w:t>
      </w:r>
      <w:r>
        <w:rPr>
          <w:rFonts w:eastAsia="仿宋"/>
          <w:spacing w:val="-62"/>
          <w:sz w:val="24"/>
          <w:szCs w:val="24"/>
        </w:rPr>
        <w:t xml:space="preserve"> </w:t>
      </w:r>
      <w:r>
        <w:rPr>
          <w:rFonts w:eastAsia="仿宋"/>
          <w:spacing w:val="11"/>
          <w:sz w:val="24"/>
          <w:szCs w:val="24"/>
        </w:rPr>
        <w:t>，营业收入为</w:t>
      </w:r>
      <w:r>
        <w:rPr>
          <w:rFonts w:eastAsia="仿宋"/>
          <w:spacing w:val="-113"/>
          <w:sz w:val="24"/>
          <w:szCs w:val="24"/>
        </w:rPr>
        <w:t xml:space="preserve"> </w:t>
      </w:r>
      <w:r>
        <w:rPr>
          <w:rFonts w:eastAsia="仿宋"/>
          <w:spacing w:val="15"/>
          <w:sz w:val="24"/>
          <w:szCs w:val="24"/>
          <w:u w:val="single"/>
        </w:rPr>
        <w:t xml:space="preserve">    </w:t>
      </w:r>
      <w:r>
        <w:rPr>
          <w:rFonts w:eastAsia="仿宋"/>
          <w:spacing w:val="-98"/>
          <w:sz w:val="24"/>
          <w:szCs w:val="24"/>
        </w:rPr>
        <w:t xml:space="preserve"> </w:t>
      </w:r>
      <w:r>
        <w:rPr>
          <w:rFonts w:eastAsia="仿宋"/>
          <w:spacing w:val="11"/>
          <w:sz w:val="24"/>
          <w:szCs w:val="24"/>
        </w:rPr>
        <w:t>万元，资产总额为</w:t>
      </w:r>
      <w:r>
        <w:rPr>
          <w:rFonts w:eastAsia="仿宋"/>
          <w:spacing w:val="-113"/>
          <w:sz w:val="24"/>
          <w:szCs w:val="24"/>
        </w:rPr>
        <w:t xml:space="preserve"> </w:t>
      </w:r>
      <w:r>
        <w:rPr>
          <w:rFonts w:eastAsia="仿宋"/>
          <w:spacing w:val="15"/>
          <w:sz w:val="24"/>
          <w:szCs w:val="24"/>
          <w:u w:val="single"/>
        </w:rPr>
        <w:t xml:space="preserve">    </w:t>
      </w:r>
      <w:r>
        <w:rPr>
          <w:rFonts w:eastAsia="仿宋"/>
          <w:spacing w:val="-99"/>
          <w:sz w:val="24"/>
          <w:szCs w:val="24"/>
        </w:rPr>
        <w:t xml:space="preserve"> </w:t>
      </w:r>
      <w:r>
        <w:rPr>
          <w:rFonts w:eastAsia="仿宋"/>
          <w:spacing w:val="11"/>
          <w:sz w:val="24"/>
          <w:szCs w:val="24"/>
        </w:rPr>
        <w:t>万元，属于</w:t>
      </w:r>
      <w:r>
        <w:rPr>
          <w:rFonts w:eastAsia="仿宋"/>
          <w:spacing w:val="11"/>
          <w:sz w:val="24"/>
          <w:szCs w:val="24"/>
          <w:u w:val="single"/>
        </w:rPr>
        <w:t>（中型企业、小型</w:t>
      </w:r>
      <w:r>
        <w:rPr>
          <w:rFonts w:eastAsia="仿宋"/>
          <w:sz w:val="24"/>
          <w:szCs w:val="24"/>
        </w:rPr>
        <w:t xml:space="preserve">  </w:t>
      </w:r>
      <w:r>
        <w:rPr>
          <w:rFonts w:eastAsia="仿宋"/>
          <w:spacing w:val="6"/>
          <w:sz w:val="24"/>
          <w:szCs w:val="24"/>
          <w:u w:val="single"/>
        </w:rPr>
        <w:t>企业、微型企业</w:t>
      </w:r>
      <w:r>
        <w:rPr>
          <w:rFonts w:eastAsia="仿宋"/>
          <w:spacing w:val="-61"/>
          <w:w w:val="99"/>
          <w:sz w:val="24"/>
          <w:szCs w:val="24"/>
        </w:rPr>
        <w:t>）；</w:t>
      </w:r>
    </w:p>
    <w:p w14:paraId="52461A1C">
      <w:pPr>
        <w:pStyle w:val="2"/>
        <w:spacing w:before="205" w:line="372" w:lineRule="exact"/>
        <w:ind w:left="703"/>
        <w:rPr>
          <w:rFonts w:eastAsia="仿宋"/>
          <w:sz w:val="24"/>
          <w:szCs w:val="24"/>
        </w:rPr>
      </w:pPr>
      <w:r>
        <w:rPr>
          <w:rFonts w:eastAsia="仿宋"/>
          <w:spacing w:val="-8"/>
          <w:position w:val="3"/>
          <w:sz w:val="24"/>
          <w:szCs w:val="24"/>
        </w:rPr>
        <w:t>……</w:t>
      </w:r>
    </w:p>
    <w:p w14:paraId="66648E1E">
      <w:pPr>
        <w:pStyle w:val="2"/>
        <w:spacing w:before="25" w:line="297" w:lineRule="auto"/>
        <w:ind w:left="35" w:right="-18" w:firstLine="704"/>
        <w:rPr>
          <w:rFonts w:eastAsia="仿宋"/>
          <w:sz w:val="24"/>
          <w:szCs w:val="24"/>
        </w:rPr>
      </w:pPr>
      <w:r>
        <w:rPr>
          <w:rFonts w:eastAsia="仿宋"/>
          <w:spacing w:val="20"/>
          <w:sz w:val="24"/>
          <w:szCs w:val="24"/>
        </w:rPr>
        <w:t>以上企业，不属于大企业的分支机构，不存在控股股东为大企业的情形，也不存</w:t>
      </w:r>
      <w:r>
        <w:rPr>
          <w:rFonts w:eastAsia="仿宋"/>
          <w:spacing w:val="21"/>
          <w:sz w:val="24"/>
          <w:szCs w:val="24"/>
        </w:rPr>
        <w:t>在与大企业的负责人为同一人的情形。</w:t>
      </w:r>
    </w:p>
    <w:p w14:paraId="3AAD0EF5">
      <w:pPr>
        <w:pStyle w:val="2"/>
        <w:spacing w:before="36" w:line="227" w:lineRule="auto"/>
        <w:ind w:left="512"/>
        <w:rPr>
          <w:sz w:val="23"/>
          <w:szCs w:val="23"/>
        </w:rPr>
      </w:pPr>
      <w:r>
        <w:rPr>
          <w:rFonts w:eastAsia="仿宋"/>
          <w:spacing w:val="20"/>
          <w:sz w:val="24"/>
          <w:szCs w:val="24"/>
        </w:rPr>
        <w:t>本企业对上述声明内容的真实性负责。如有虚假，</w:t>
      </w:r>
      <w:r>
        <w:rPr>
          <w:rFonts w:eastAsia="仿宋"/>
          <w:spacing w:val="-52"/>
          <w:sz w:val="24"/>
          <w:szCs w:val="24"/>
        </w:rPr>
        <w:t xml:space="preserve"> </w:t>
      </w:r>
      <w:r>
        <w:rPr>
          <w:rFonts w:eastAsia="仿宋"/>
          <w:spacing w:val="20"/>
          <w:sz w:val="24"/>
          <w:szCs w:val="24"/>
        </w:rPr>
        <w:t>将依法承担相应责任。</w:t>
      </w:r>
    </w:p>
    <w:p w14:paraId="1C23A2B9">
      <w:pPr>
        <w:spacing w:line="287" w:lineRule="auto"/>
      </w:pPr>
    </w:p>
    <w:p w14:paraId="1E266542">
      <w:pPr>
        <w:pStyle w:val="2"/>
        <w:spacing w:before="76" w:line="361" w:lineRule="auto"/>
        <w:ind w:left="40" w:right="7589" w:hanging="37"/>
        <w:rPr>
          <w:sz w:val="23"/>
          <w:szCs w:val="23"/>
        </w:rPr>
      </w:pPr>
      <w:r>
        <w:rPr>
          <w:sz w:val="23"/>
          <w:szCs w:val="23"/>
        </w:rPr>
        <w:t xml:space="preserve">企业名称(盖章): </w:t>
      </w:r>
    </w:p>
    <w:p w14:paraId="4207447B">
      <w:pPr>
        <w:pStyle w:val="2"/>
        <w:spacing w:before="76" w:line="361" w:lineRule="auto"/>
        <w:ind w:left="40" w:right="7589" w:hanging="37"/>
        <w:rPr>
          <w:sz w:val="23"/>
          <w:szCs w:val="23"/>
        </w:rPr>
      </w:pPr>
      <w:r>
        <w:rPr>
          <w:spacing w:val="4"/>
          <w:sz w:val="23"/>
          <w:szCs w:val="23"/>
        </w:rPr>
        <w:t>日期:</w:t>
      </w:r>
    </w:p>
    <w:p w14:paraId="2BDB02AB">
      <w:pPr>
        <w:spacing w:line="296" w:lineRule="auto"/>
      </w:pPr>
    </w:p>
    <w:p w14:paraId="0C0227C0">
      <w:pPr>
        <w:pStyle w:val="2"/>
        <w:spacing w:before="75" w:line="232" w:lineRule="auto"/>
        <w:rPr>
          <w:sz w:val="23"/>
          <w:szCs w:val="23"/>
        </w:rPr>
      </w:pPr>
      <w:r>
        <w:rPr>
          <w:spacing w:val="-13"/>
          <w:sz w:val="23"/>
          <w:szCs w:val="23"/>
        </w:rPr>
        <w:t>注：</w:t>
      </w:r>
    </w:p>
    <w:p w14:paraId="49BBAB1E">
      <w:pPr>
        <w:pStyle w:val="2"/>
        <w:spacing w:before="181" w:line="367" w:lineRule="auto"/>
        <w:ind w:right="43" w:firstLine="17"/>
        <w:rPr>
          <w:sz w:val="23"/>
          <w:szCs w:val="23"/>
        </w:rPr>
      </w:pPr>
      <w:r>
        <w:rPr>
          <w:spacing w:val="6"/>
          <w:sz w:val="23"/>
          <w:szCs w:val="23"/>
        </w:rPr>
        <w:t>1.从业人员、营业收入，资产总额填报上一年度数据，无上一年数据的新成立企业可不填报。</w:t>
      </w:r>
      <w:r>
        <w:rPr>
          <w:spacing w:val="10"/>
          <w:sz w:val="23"/>
          <w:szCs w:val="23"/>
        </w:rPr>
        <w:t>2.供应商符合《工业和信息化部、国家统计局、国家发展和改革委员会、财政部关于印发中</w:t>
      </w:r>
      <w:r>
        <w:rPr>
          <w:spacing w:val="8"/>
          <w:sz w:val="23"/>
          <w:szCs w:val="23"/>
        </w:rPr>
        <w:t>小企业划型标准规定的通知》（工信部联企业〔2011〕300号）规定的划</w:t>
      </w:r>
      <w:r>
        <w:rPr>
          <w:spacing w:val="7"/>
          <w:sz w:val="23"/>
          <w:szCs w:val="23"/>
        </w:rPr>
        <w:t>分标准为中小型企业</w:t>
      </w:r>
      <w:r>
        <w:rPr>
          <w:spacing w:val="-5"/>
          <w:sz w:val="23"/>
          <w:szCs w:val="23"/>
        </w:rPr>
        <w:t>适用。</w:t>
      </w:r>
    </w:p>
    <w:p w14:paraId="3FA08AD8">
      <w:pPr>
        <w:pStyle w:val="9"/>
        <w:snapToGrid w:val="0"/>
        <w:spacing w:line="360" w:lineRule="auto"/>
        <w:ind w:left="0"/>
        <w:rPr>
          <w:rFonts w:eastAsia="仿宋"/>
          <w:kern w:val="0"/>
          <w:sz w:val="24"/>
          <w:szCs w:val="24"/>
        </w:rPr>
      </w:pPr>
      <w:r>
        <w:rPr>
          <w:b/>
          <w:bCs/>
          <w:spacing w:val="8"/>
          <w:sz w:val="23"/>
          <w:szCs w:val="23"/>
        </w:rPr>
        <w:t>3.标的名称：填写标项名称；采购文件中明确的</w:t>
      </w:r>
      <w:r>
        <w:rPr>
          <w:b/>
          <w:bCs/>
          <w:spacing w:val="7"/>
          <w:sz w:val="23"/>
          <w:szCs w:val="23"/>
        </w:rPr>
        <w:t>所属行业：填写其他未列明行业。</w:t>
      </w:r>
    </w:p>
    <w:p w14:paraId="0CFB5E5B">
      <w:pPr>
        <w:widowControl/>
        <w:snapToGrid w:val="0"/>
        <w:spacing w:line="360" w:lineRule="auto"/>
        <w:jc w:val="center"/>
        <w:rPr>
          <w:rFonts w:eastAsia="仿宋"/>
          <w:b/>
          <w:bCs/>
          <w:kern w:val="0"/>
          <w:sz w:val="24"/>
          <w:szCs w:val="24"/>
        </w:rPr>
      </w:pPr>
      <w:r>
        <w:rPr>
          <w:rFonts w:eastAsia="仿宋"/>
          <w:b/>
          <w:bCs/>
          <w:kern w:val="0"/>
          <w:sz w:val="24"/>
          <w:szCs w:val="24"/>
        </w:rPr>
        <w:t>（2）监狱企业声明函（如有）</w:t>
      </w:r>
    </w:p>
    <w:p w14:paraId="225F9364">
      <w:pPr>
        <w:widowControl/>
        <w:snapToGrid w:val="0"/>
        <w:spacing w:line="360" w:lineRule="auto"/>
        <w:ind w:firstLine="480" w:firstLineChars="200"/>
        <w:jc w:val="center"/>
        <w:rPr>
          <w:rFonts w:eastAsia="仿宋"/>
          <w:sz w:val="24"/>
          <w:szCs w:val="24"/>
        </w:rPr>
      </w:pPr>
      <w:r>
        <w:rPr>
          <w:rFonts w:eastAsia="仿宋"/>
          <w:sz w:val="24"/>
          <w:szCs w:val="24"/>
        </w:rPr>
        <w:t>(监狱企业适用)</w:t>
      </w:r>
    </w:p>
    <w:p w14:paraId="47A61DFF">
      <w:pPr>
        <w:pStyle w:val="11"/>
        <w:tabs>
          <w:tab w:val="left" w:pos="720"/>
          <w:tab w:val="left" w:pos="900"/>
          <w:tab w:val="left" w:pos="1260"/>
          <w:tab w:val="left" w:pos="2160"/>
          <w:tab w:val="left" w:pos="2880"/>
          <w:tab w:val="left" w:pos="3600"/>
          <w:tab w:val="left" w:pos="4320"/>
          <w:tab w:val="left" w:pos="5040"/>
          <w:tab w:val="left" w:pos="5760"/>
        </w:tabs>
        <w:snapToGrid w:val="0"/>
        <w:spacing w:line="360" w:lineRule="auto"/>
        <w:ind w:firstLine="480"/>
        <w:rPr>
          <w:rFonts w:ascii="Times New Roman" w:eastAsia="仿宋"/>
          <w:kern w:val="0"/>
          <w:sz w:val="24"/>
          <w:szCs w:val="24"/>
        </w:rPr>
      </w:pPr>
    </w:p>
    <w:p w14:paraId="4AD9A218">
      <w:pPr>
        <w:snapToGrid w:val="0"/>
        <w:spacing w:line="360" w:lineRule="auto"/>
        <w:ind w:firstLine="480" w:firstLineChars="200"/>
        <w:rPr>
          <w:rFonts w:eastAsia="仿宋"/>
          <w:kern w:val="0"/>
          <w:sz w:val="24"/>
          <w:szCs w:val="24"/>
        </w:rPr>
      </w:pPr>
      <w:r>
        <w:rPr>
          <w:rFonts w:eastAsia="仿宋"/>
          <w:kern w:val="0"/>
          <w:sz w:val="24"/>
          <w:szCs w:val="24"/>
        </w:rPr>
        <w:t>监狱企业声明函【服务类，监狱企业如需享受优惠政策，还须另行提供省级以上监狱管理局、戒毒管理局（含新疆生产建设兵团）出具的监狱企业证明文件】</w:t>
      </w:r>
    </w:p>
    <w:p w14:paraId="1A2C401F">
      <w:pPr>
        <w:snapToGrid w:val="0"/>
        <w:spacing w:line="360" w:lineRule="auto"/>
        <w:rPr>
          <w:rFonts w:eastAsia="仿宋"/>
          <w:kern w:val="0"/>
          <w:sz w:val="24"/>
          <w:szCs w:val="24"/>
        </w:rPr>
      </w:pPr>
    </w:p>
    <w:p w14:paraId="2EA4B117">
      <w:pPr>
        <w:snapToGrid w:val="0"/>
        <w:spacing w:line="360" w:lineRule="auto"/>
        <w:ind w:firstLine="480" w:firstLineChars="200"/>
        <w:rPr>
          <w:rFonts w:eastAsia="仿宋"/>
          <w:kern w:val="0"/>
          <w:sz w:val="24"/>
          <w:szCs w:val="24"/>
        </w:rPr>
      </w:pPr>
      <w:r>
        <w:rPr>
          <w:rFonts w:eastAsia="仿宋"/>
          <w:kern w:val="0"/>
          <w:sz w:val="24"/>
          <w:szCs w:val="24"/>
        </w:rPr>
        <w:t>本供应商郑重声明，根据《财政部司法部关于政府采购支持监狱企业发展有关问题的通知》（财库〔2014〕68号）的规定，本供应商参加（采购人名称）的（项目名称）采购活动，服务全部由符合政策要求的监狱企业承接。相关监狱企业的具体情况如下：</w:t>
      </w:r>
    </w:p>
    <w:p w14:paraId="7F2A924C">
      <w:pPr>
        <w:snapToGrid w:val="0"/>
        <w:spacing w:line="360" w:lineRule="auto"/>
        <w:ind w:firstLine="480" w:firstLineChars="200"/>
        <w:rPr>
          <w:rFonts w:eastAsia="仿宋"/>
          <w:kern w:val="0"/>
          <w:sz w:val="24"/>
          <w:szCs w:val="24"/>
        </w:rPr>
      </w:pPr>
      <w:r>
        <w:rPr>
          <w:rFonts w:eastAsia="仿宋"/>
          <w:kern w:val="0"/>
          <w:sz w:val="24"/>
          <w:szCs w:val="24"/>
        </w:rPr>
        <w:t>1. （标的名称） ，承接单位为（企业名称），属于监狱企业；</w:t>
      </w:r>
    </w:p>
    <w:p w14:paraId="1F3B70BC">
      <w:pPr>
        <w:snapToGrid w:val="0"/>
        <w:spacing w:line="360" w:lineRule="auto"/>
        <w:ind w:firstLine="480" w:firstLineChars="200"/>
        <w:rPr>
          <w:rFonts w:eastAsia="仿宋"/>
          <w:kern w:val="0"/>
          <w:sz w:val="24"/>
          <w:szCs w:val="24"/>
        </w:rPr>
      </w:pPr>
      <w:r>
        <w:rPr>
          <w:rFonts w:eastAsia="仿宋"/>
          <w:kern w:val="0"/>
          <w:sz w:val="24"/>
          <w:szCs w:val="24"/>
        </w:rPr>
        <w:t>2. （标的名称） ，承接单位为（企业名称），属于监狱企业。</w:t>
      </w:r>
    </w:p>
    <w:p w14:paraId="4660B157">
      <w:pPr>
        <w:snapToGrid w:val="0"/>
        <w:spacing w:line="360" w:lineRule="auto"/>
        <w:ind w:firstLine="480" w:firstLineChars="200"/>
        <w:rPr>
          <w:rFonts w:eastAsia="仿宋"/>
          <w:kern w:val="0"/>
          <w:sz w:val="24"/>
          <w:szCs w:val="24"/>
        </w:rPr>
      </w:pPr>
      <w:r>
        <w:rPr>
          <w:rFonts w:eastAsia="仿宋"/>
          <w:kern w:val="0"/>
          <w:sz w:val="24"/>
          <w:szCs w:val="24"/>
        </w:rPr>
        <w:t xml:space="preserve">…… </w:t>
      </w:r>
    </w:p>
    <w:p w14:paraId="068036AB">
      <w:pPr>
        <w:snapToGrid w:val="0"/>
        <w:spacing w:line="360" w:lineRule="auto"/>
        <w:ind w:firstLine="480" w:firstLineChars="200"/>
        <w:rPr>
          <w:rFonts w:eastAsia="仿宋"/>
          <w:kern w:val="0"/>
          <w:sz w:val="24"/>
          <w:szCs w:val="24"/>
        </w:rPr>
      </w:pPr>
      <w:r>
        <w:rPr>
          <w:rFonts w:eastAsia="仿宋"/>
          <w:kern w:val="0"/>
          <w:sz w:val="24"/>
          <w:szCs w:val="24"/>
        </w:rPr>
        <w:t>本供应商对上述声明内容的真实性负责。如有虚假，将依法承担相应责任。</w:t>
      </w:r>
    </w:p>
    <w:p w14:paraId="7FBDEC59">
      <w:pPr>
        <w:snapToGrid w:val="0"/>
        <w:spacing w:line="360" w:lineRule="auto"/>
        <w:ind w:firstLine="480" w:firstLineChars="200"/>
        <w:rPr>
          <w:rFonts w:eastAsia="仿宋"/>
          <w:kern w:val="0"/>
          <w:sz w:val="24"/>
          <w:szCs w:val="24"/>
        </w:rPr>
      </w:pPr>
      <w:r>
        <w:rPr>
          <w:rFonts w:eastAsia="仿宋"/>
          <w:kern w:val="0"/>
          <w:sz w:val="24"/>
          <w:szCs w:val="24"/>
        </w:rPr>
        <w:t>附：省级以上监狱管理局、戒毒管理局（含新疆生产建设兵团）出具的监狱企业证明文件。</w:t>
      </w:r>
    </w:p>
    <w:p w14:paraId="3421154F">
      <w:pPr>
        <w:widowControl/>
        <w:snapToGrid w:val="0"/>
        <w:spacing w:line="360" w:lineRule="auto"/>
        <w:ind w:firstLine="480" w:firstLineChars="200"/>
        <w:rPr>
          <w:rFonts w:eastAsia="仿宋"/>
          <w:kern w:val="0"/>
          <w:sz w:val="24"/>
          <w:szCs w:val="24"/>
        </w:rPr>
      </w:pPr>
    </w:p>
    <w:p w14:paraId="743B3EA7">
      <w:pPr>
        <w:widowControl/>
        <w:snapToGrid w:val="0"/>
        <w:spacing w:line="360" w:lineRule="auto"/>
        <w:rPr>
          <w:rFonts w:eastAsia="仿宋"/>
          <w:kern w:val="0"/>
          <w:sz w:val="24"/>
          <w:szCs w:val="24"/>
        </w:rPr>
      </w:pPr>
    </w:p>
    <w:p w14:paraId="1FDF8D66">
      <w:pPr>
        <w:widowControl/>
        <w:snapToGrid w:val="0"/>
        <w:spacing w:line="360" w:lineRule="auto"/>
        <w:ind w:firstLine="3840" w:firstLineChars="1600"/>
        <w:rPr>
          <w:rFonts w:eastAsia="仿宋"/>
          <w:kern w:val="0"/>
          <w:sz w:val="24"/>
          <w:szCs w:val="24"/>
        </w:rPr>
      </w:pPr>
      <w:r>
        <w:rPr>
          <w:rFonts w:eastAsia="仿宋"/>
          <w:kern w:val="0"/>
          <w:sz w:val="24"/>
          <w:szCs w:val="24"/>
        </w:rPr>
        <w:t>企业名称(盖公章):</w:t>
      </w:r>
    </w:p>
    <w:p w14:paraId="5E4037ED">
      <w:pPr>
        <w:widowControl/>
        <w:snapToGrid w:val="0"/>
        <w:spacing w:line="360" w:lineRule="auto"/>
        <w:ind w:firstLine="3120" w:firstLineChars="1300"/>
        <w:rPr>
          <w:rFonts w:eastAsia="仿宋"/>
          <w:kern w:val="0"/>
          <w:sz w:val="24"/>
          <w:szCs w:val="24"/>
        </w:rPr>
      </w:pPr>
      <w:r>
        <w:rPr>
          <w:rFonts w:eastAsia="仿宋"/>
          <w:kern w:val="0"/>
          <w:sz w:val="24"/>
          <w:szCs w:val="24"/>
        </w:rPr>
        <w:t>法定代表人(负责人)或其授权代表(签字):</w:t>
      </w:r>
    </w:p>
    <w:p w14:paraId="60AE6FF0">
      <w:pPr>
        <w:widowControl/>
        <w:snapToGrid w:val="0"/>
        <w:spacing w:line="360" w:lineRule="auto"/>
        <w:ind w:firstLine="4800" w:firstLineChars="2000"/>
        <w:rPr>
          <w:rFonts w:eastAsia="仿宋"/>
          <w:kern w:val="0"/>
          <w:sz w:val="24"/>
          <w:szCs w:val="24"/>
        </w:rPr>
      </w:pPr>
      <w:r>
        <w:rPr>
          <w:rFonts w:eastAsia="仿宋"/>
          <w:kern w:val="0"/>
          <w:sz w:val="24"/>
          <w:szCs w:val="24"/>
        </w:rPr>
        <w:t>日期:</w:t>
      </w:r>
    </w:p>
    <w:p w14:paraId="1F093929">
      <w:pPr>
        <w:pStyle w:val="2"/>
        <w:rPr>
          <w:rFonts w:eastAsia="仿宋"/>
          <w:sz w:val="28"/>
          <w:szCs w:val="28"/>
        </w:rPr>
      </w:pPr>
    </w:p>
    <w:p w14:paraId="3FE28DBF">
      <w:pPr>
        <w:pStyle w:val="2"/>
        <w:rPr>
          <w:rFonts w:eastAsia="仿宋"/>
          <w:sz w:val="28"/>
          <w:szCs w:val="28"/>
        </w:rPr>
      </w:pPr>
    </w:p>
    <w:p w14:paraId="7164A689">
      <w:pPr>
        <w:pStyle w:val="2"/>
        <w:rPr>
          <w:rFonts w:eastAsia="仿宋"/>
          <w:sz w:val="28"/>
          <w:szCs w:val="28"/>
        </w:rPr>
      </w:pPr>
    </w:p>
    <w:p w14:paraId="3D55C0EB">
      <w:pPr>
        <w:pStyle w:val="2"/>
        <w:rPr>
          <w:rFonts w:eastAsia="仿宋"/>
          <w:sz w:val="28"/>
          <w:szCs w:val="28"/>
        </w:rPr>
      </w:pPr>
    </w:p>
    <w:p w14:paraId="1DD6C79F">
      <w:pPr>
        <w:pStyle w:val="2"/>
        <w:rPr>
          <w:rFonts w:eastAsia="仿宋"/>
          <w:sz w:val="28"/>
          <w:szCs w:val="28"/>
        </w:rPr>
      </w:pPr>
    </w:p>
    <w:p w14:paraId="53B4E6D8">
      <w:pPr>
        <w:pStyle w:val="2"/>
        <w:rPr>
          <w:rFonts w:eastAsia="仿宋"/>
          <w:sz w:val="28"/>
          <w:szCs w:val="28"/>
        </w:rPr>
      </w:pPr>
    </w:p>
    <w:p w14:paraId="5E08BC44">
      <w:pPr>
        <w:rPr>
          <w:rFonts w:eastAsia="仿宋"/>
        </w:rPr>
      </w:pPr>
    </w:p>
    <w:p w14:paraId="102B67B4">
      <w:pPr>
        <w:pStyle w:val="2"/>
        <w:rPr>
          <w:rFonts w:eastAsia="仿宋"/>
          <w:sz w:val="28"/>
          <w:szCs w:val="28"/>
        </w:rPr>
      </w:pPr>
    </w:p>
    <w:p w14:paraId="6C36268D">
      <w:pPr>
        <w:rPr>
          <w:rFonts w:eastAsia="仿宋"/>
          <w:sz w:val="28"/>
          <w:szCs w:val="28"/>
        </w:rPr>
      </w:pPr>
    </w:p>
    <w:p w14:paraId="7471D7F8">
      <w:pPr>
        <w:rPr>
          <w:rFonts w:eastAsia="仿宋"/>
          <w:b/>
          <w:bCs/>
          <w:kern w:val="0"/>
          <w:sz w:val="24"/>
          <w:szCs w:val="24"/>
        </w:rPr>
      </w:pPr>
      <w:r>
        <w:rPr>
          <w:rFonts w:eastAsia="仿宋"/>
          <w:b/>
          <w:bCs/>
          <w:kern w:val="0"/>
          <w:sz w:val="24"/>
          <w:szCs w:val="24"/>
        </w:rPr>
        <w:br w:type="page"/>
      </w:r>
    </w:p>
    <w:p w14:paraId="4E7742E6">
      <w:pPr>
        <w:widowControl/>
        <w:spacing w:line="360" w:lineRule="auto"/>
        <w:jc w:val="center"/>
        <w:rPr>
          <w:rFonts w:eastAsia="仿宋"/>
          <w:b/>
          <w:bCs/>
          <w:kern w:val="0"/>
          <w:sz w:val="24"/>
          <w:szCs w:val="24"/>
        </w:rPr>
      </w:pPr>
      <w:r>
        <w:rPr>
          <w:rFonts w:eastAsia="仿宋"/>
          <w:b/>
          <w:bCs/>
          <w:kern w:val="0"/>
          <w:sz w:val="24"/>
          <w:szCs w:val="24"/>
        </w:rPr>
        <w:t>（3）残疾人福利性单位声明函（如有）</w:t>
      </w:r>
    </w:p>
    <w:p w14:paraId="504E4A7E">
      <w:pPr>
        <w:widowControl/>
        <w:spacing w:line="360" w:lineRule="auto"/>
        <w:jc w:val="center"/>
        <w:rPr>
          <w:rFonts w:eastAsia="仿宋"/>
          <w:kern w:val="0"/>
          <w:sz w:val="28"/>
          <w:szCs w:val="28"/>
        </w:rPr>
      </w:pPr>
    </w:p>
    <w:p w14:paraId="668CB4EA">
      <w:pPr>
        <w:widowControl/>
        <w:spacing w:line="360" w:lineRule="auto"/>
        <w:jc w:val="center"/>
        <w:rPr>
          <w:rFonts w:eastAsia="仿宋"/>
          <w:kern w:val="0"/>
          <w:sz w:val="24"/>
          <w:szCs w:val="24"/>
        </w:rPr>
      </w:pPr>
      <w:r>
        <w:rPr>
          <w:rFonts w:eastAsia="仿宋"/>
          <w:kern w:val="0"/>
          <w:sz w:val="24"/>
          <w:szCs w:val="24"/>
        </w:rPr>
        <w:t>残疾人福利性单位声明函</w:t>
      </w:r>
    </w:p>
    <w:p w14:paraId="3F05597D">
      <w:pPr>
        <w:spacing w:line="360" w:lineRule="auto"/>
        <w:rPr>
          <w:rFonts w:eastAsia="仿宋"/>
          <w:b/>
          <w:bCs/>
          <w:sz w:val="24"/>
          <w:szCs w:val="24"/>
        </w:rPr>
      </w:pPr>
    </w:p>
    <w:p w14:paraId="4B46DA24">
      <w:pPr>
        <w:spacing w:line="360" w:lineRule="auto"/>
        <w:ind w:firstLine="480" w:firstLineChars="200"/>
        <w:rPr>
          <w:rFonts w:eastAsia="仿宋"/>
          <w:kern w:val="0"/>
          <w:sz w:val="24"/>
          <w:szCs w:val="24"/>
        </w:rPr>
      </w:pPr>
    </w:p>
    <w:p w14:paraId="782B66B9">
      <w:pPr>
        <w:spacing w:line="360" w:lineRule="auto"/>
        <w:ind w:firstLine="480" w:firstLineChars="200"/>
        <w:rPr>
          <w:rFonts w:eastAsia="仿宋"/>
          <w:kern w:val="0"/>
          <w:sz w:val="24"/>
          <w:szCs w:val="24"/>
        </w:rPr>
      </w:pPr>
      <w:r>
        <w:rPr>
          <w:rFonts w:eastAsia="仿宋"/>
          <w:kern w:val="0"/>
          <w:sz w:val="24"/>
          <w:szCs w:val="24"/>
        </w:rPr>
        <w:t>本供应商郑重声明，根据《财政部民政部中国残疾人联合会关于促进残疾人就业政府采购政策的通知》（财库〔2017〕141 号）的规定，本供应商参加（采购人名称）的（项目名称）采购活动，服务全部由符合政策要求的残疾人福利性单位承接。相关残疾人福利性单位的具体情况如下：</w:t>
      </w:r>
    </w:p>
    <w:p w14:paraId="3410CAA2">
      <w:pPr>
        <w:spacing w:line="360" w:lineRule="auto"/>
        <w:ind w:firstLine="480" w:firstLineChars="200"/>
        <w:rPr>
          <w:rFonts w:eastAsia="仿宋"/>
          <w:kern w:val="0"/>
          <w:sz w:val="24"/>
          <w:szCs w:val="24"/>
        </w:rPr>
      </w:pPr>
      <w:r>
        <w:rPr>
          <w:rFonts w:eastAsia="仿宋"/>
          <w:kern w:val="0"/>
          <w:sz w:val="24"/>
          <w:szCs w:val="24"/>
        </w:rPr>
        <w:t>1. （标的名称） ，承接企业为（单位名称），属于残疾人福利性单位；</w:t>
      </w:r>
    </w:p>
    <w:p w14:paraId="033A7369">
      <w:pPr>
        <w:spacing w:line="360" w:lineRule="auto"/>
        <w:ind w:firstLine="480" w:firstLineChars="200"/>
        <w:rPr>
          <w:rFonts w:eastAsia="仿宋"/>
          <w:kern w:val="0"/>
          <w:sz w:val="24"/>
          <w:szCs w:val="24"/>
        </w:rPr>
      </w:pPr>
      <w:r>
        <w:rPr>
          <w:rFonts w:eastAsia="仿宋"/>
          <w:kern w:val="0"/>
          <w:sz w:val="24"/>
          <w:szCs w:val="24"/>
        </w:rPr>
        <w:t>2. （标的名称） ，承接企业为（单位名称），属于残疾人福利性单位。</w:t>
      </w:r>
    </w:p>
    <w:p w14:paraId="746A2C5A">
      <w:pPr>
        <w:spacing w:line="360" w:lineRule="auto"/>
        <w:ind w:firstLine="480" w:firstLineChars="200"/>
        <w:rPr>
          <w:rFonts w:eastAsia="仿宋"/>
          <w:kern w:val="0"/>
          <w:sz w:val="24"/>
          <w:szCs w:val="24"/>
        </w:rPr>
      </w:pPr>
      <w:r>
        <w:rPr>
          <w:rFonts w:eastAsia="仿宋"/>
          <w:kern w:val="0"/>
          <w:sz w:val="24"/>
          <w:szCs w:val="24"/>
        </w:rPr>
        <w:t xml:space="preserve">…… </w:t>
      </w:r>
    </w:p>
    <w:p w14:paraId="28347528">
      <w:pPr>
        <w:spacing w:line="360" w:lineRule="auto"/>
        <w:ind w:firstLine="480" w:firstLineChars="200"/>
        <w:rPr>
          <w:rFonts w:eastAsia="仿宋"/>
          <w:kern w:val="0"/>
          <w:sz w:val="24"/>
          <w:szCs w:val="24"/>
        </w:rPr>
      </w:pPr>
      <w:r>
        <w:rPr>
          <w:rFonts w:eastAsia="仿宋"/>
          <w:kern w:val="0"/>
          <w:sz w:val="24"/>
          <w:szCs w:val="24"/>
        </w:rPr>
        <w:t>本供应商已知悉《财政部民政部中国残疾人联合会关于促进残疾人就业政府采购政策的通知》（财库〔2017〕141 号）的规定，承诺提供的声明函内容是真实的，如提供声明函内容不实，则依法追究相关法律责任。</w:t>
      </w:r>
    </w:p>
    <w:p w14:paraId="7F7F3EB1">
      <w:pPr>
        <w:spacing w:line="360" w:lineRule="auto"/>
        <w:ind w:firstLine="480" w:firstLineChars="200"/>
        <w:rPr>
          <w:rFonts w:eastAsia="仿宋"/>
          <w:kern w:val="0"/>
          <w:sz w:val="24"/>
          <w:szCs w:val="24"/>
        </w:rPr>
      </w:pPr>
    </w:p>
    <w:p w14:paraId="4F951139">
      <w:pPr>
        <w:spacing w:line="360" w:lineRule="auto"/>
        <w:ind w:firstLine="480" w:firstLineChars="200"/>
        <w:rPr>
          <w:rFonts w:eastAsia="仿宋"/>
          <w:kern w:val="0"/>
          <w:sz w:val="24"/>
          <w:szCs w:val="24"/>
        </w:rPr>
      </w:pPr>
      <w:r>
        <w:rPr>
          <w:rFonts w:eastAsia="仿宋"/>
          <w:kern w:val="0"/>
          <w:sz w:val="24"/>
          <w:szCs w:val="24"/>
        </w:rPr>
        <w:t>企业名称(盖公章):</w:t>
      </w:r>
    </w:p>
    <w:p w14:paraId="24C29A8A">
      <w:pPr>
        <w:spacing w:line="360" w:lineRule="auto"/>
        <w:ind w:firstLine="480" w:firstLineChars="200"/>
        <w:rPr>
          <w:rFonts w:eastAsia="仿宋"/>
          <w:kern w:val="0"/>
          <w:sz w:val="24"/>
          <w:szCs w:val="24"/>
        </w:rPr>
      </w:pPr>
      <w:r>
        <w:rPr>
          <w:rFonts w:eastAsia="仿宋"/>
          <w:kern w:val="0"/>
          <w:sz w:val="24"/>
          <w:szCs w:val="24"/>
        </w:rPr>
        <w:t>法定代表人(负责人)或其授权代表(签字):</w:t>
      </w:r>
    </w:p>
    <w:p w14:paraId="58AF6A03">
      <w:pPr>
        <w:spacing w:line="360" w:lineRule="auto"/>
        <w:ind w:firstLine="480" w:firstLineChars="200"/>
        <w:rPr>
          <w:rFonts w:eastAsia="仿宋"/>
          <w:kern w:val="0"/>
          <w:sz w:val="24"/>
          <w:szCs w:val="24"/>
        </w:rPr>
      </w:pPr>
      <w:r>
        <w:rPr>
          <w:rFonts w:eastAsia="仿宋"/>
          <w:kern w:val="0"/>
          <w:sz w:val="24"/>
          <w:szCs w:val="24"/>
        </w:rPr>
        <w:t>日期:</w:t>
      </w:r>
    </w:p>
    <w:p w14:paraId="5C82D2AD">
      <w:pPr>
        <w:pStyle w:val="2"/>
        <w:rPr>
          <w:rFonts w:eastAsia="仿宋"/>
          <w:sz w:val="28"/>
          <w:szCs w:val="28"/>
        </w:rPr>
      </w:pPr>
    </w:p>
    <w:p w14:paraId="21D90BAB">
      <w:pPr>
        <w:pStyle w:val="2"/>
        <w:rPr>
          <w:rFonts w:eastAsia="仿宋"/>
          <w:sz w:val="28"/>
          <w:szCs w:val="28"/>
        </w:rPr>
      </w:pPr>
    </w:p>
    <w:p w14:paraId="1EA16A47">
      <w:pPr>
        <w:spacing w:line="600" w:lineRule="exact"/>
        <w:jc w:val="center"/>
        <w:rPr>
          <w:rFonts w:eastAsia="仿宋"/>
          <w:b/>
          <w:bCs/>
          <w:sz w:val="28"/>
          <w:szCs w:val="28"/>
        </w:rPr>
      </w:pPr>
    </w:p>
    <w:p w14:paraId="3176E063">
      <w:pPr>
        <w:spacing w:line="600" w:lineRule="exact"/>
        <w:jc w:val="center"/>
        <w:rPr>
          <w:rFonts w:eastAsia="仿宋"/>
          <w:b/>
          <w:bCs/>
          <w:sz w:val="36"/>
          <w:szCs w:val="24"/>
        </w:rPr>
      </w:pPr>
    </w:p>
    <w:p w14:paraId="388B1174">
      <w:pPr>
        <w:spacing w:line="600" w:lineRule="exact"/>
        <w:jc w:val="center"/>
        <w:rPr>
          <w:rFonts w:eastAsia="仿宋"/>
          <w:b/>
          <w:bCs/>
          <w:sz w:val="36"/>
          <w:szCs w:val="24"/>
        </w:rPr>
      </w:pPr>
    </w:p>
    <w:p w14:paraId="4A2960AA">
      <w:pPr>
        <w:spacing w:line="600" w:lineRule="exact"/>
        <w:jc w:val="center"/>
        <w:rPr>
          <w:rFonts w:eastAsia="仿宋"/>
          <w:b/>
          <w:bCs/>
          <w:sz w:val="36"/>
          <w:szCs w:val="24"/>
        </w:rPr>
      </w:pPr>
    </w:p>
    <w:p w14:paraId="306E2536">
      <w:pPr>
        <w:spacing w:line="600" w:lineRule="exact"/>
        <w:jc w:val="center"/>
        <w:rPr>
          <w:rFonts w:eastAsia="仿宋"/>
          <w:b/>
          <w:bCs/>
          <w:sz w:val="36"/>
          <w:szCs w:val="24"/>
        </w:rPr>
      </w:pPr>
    </w:p>
    <w:p w14:paraId="0C965F17">
      <w:pPr>
        <w:pStyle w:val="2"/>
        <w:rPr>
          <w:rFonts w:eastAsia="仿宋"/>
          <w:b/>
          <w:bCs/>
          <w:sz w:val="36"/>
          <w:szCs w:val="24"/>
        </w:rPr>
      </w:pPr>
    </w:p>
    <w:p w14:paraId="7FCA99FE"/>
    <w:p w14:paraId="1A829EA9">
      <w:pPr>
        <w:spacing w:line="600" w:lineRule="exact"/>
        <w:jc w:val="center"/>
        <w:rPr>
          <w:rFonts w:eastAsia="仿宋"/>
          <w:b/>
          <w:bCs/>
          <w:sz w:val="36"/>
          <w:szCs w:val="24"/>
        </w:rPr>
      </w:pPr>
    </w:p>
    <w:p w14:paraId="200D76C3">
      <w:pPr>
        <w:autoSpaceDE w:val="0"/>
        <w:autoSpaceDN w:val="0"/>
        <w:spacing w:before="11"/>
        <w:jc w:val="left"/>
        <w:rPr>
          <w:rFonts w:eastAsia="仿宋"/>
          <w:kern w:val="0"/>
          <w:sz w:val="10"/>
        </w:rPr>
      </w:pPr>
    </w:p>
    <w:p w14:paraId="3F91E79D">
      <w:pPr>
        <w:widowControl/>
        <w:spacing w:line="360" w:lineRule="auto"/>
        <w:jc w:val="center"/>
        <w:rPr>
          <w:rFonts w:eastAsia="仿宋"/>
          <w:b/>
          <w:bCs/>
          <w:kern w:val="0"/>
          <w:sz w:val="24"/>
          <w:szCs w:val="24"/>
        </w:rPr>
      </w:pPr>
      <w:r>
        <w:rPr>
          <w:rFonts w:eastAsia="仿宋"/>
          <w:b/>
          <w:bCs/>
          <w:kern w:val="0"/>
          <w:sz w:val="24"/>
          <w:szCs w:val="24"/>
        </w:rPr>
        <w:t>7、供应商业绩证明材料</w:t>
      </w:r>
    </w:p>
    <w:p w14:paraId="5B6F4488">
      <w:pPr>
        <w:autoSpaceDE w:val="0"/>
        <w:autoSpaceDN w:val="0"/>
        <w:adjustRightInd w:val="0"/>
        <w:snapToGrid w:val="0"/>
        <w:spacing w:line="360" w:lineRule="auto"/>
        <w:jc w:val="left"/>
        <w:rPr>
          <w:rFonts w:eastAsia="仿宋"/>
          <w:kern w:val="0"/>
          <w:sz w:val="24"/>
          <w:szCs w:val="24"/>
          <w:u w:val="single"/>
        </w:rPr>
      </w:pPr>
      <w:r>
        <w:rPr>
          <w:rFonts w:eastAsia="仿宋"/>
          <w:kern w:val="0"/>
          <w:sz w:val="24"/>
          <w:szCs w:val="24"/>
        </w:rPr>
        <w:t>供应商名称（公章）：                                  项目编号/标项号：</w:t>
      </w: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48"/>
        <w:gridCol w:w="1548"/>
        <w:gridCol w:w="1548"/>
        <w:gridCol w:w="1548"/>
        <w:gridCol w:w="1548"/>
        <w:gridCol w:w="1548"/>
      </w:tblGrid>
      <w:tr w14:paraId="467B54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8" w:type="dxa"/>
          </w:tcPr>
          <w:p w14:paraId="56A4EEB8">
            <w:pPr>
              <w:autoSpaceDE w:val="0"/>
              <w:autoSpaceDN w:val="0"/>
              <w:adjustRightInd w:val="0"/>
              <w:snapToGrid w:val="0"/>
              <w:spacing w:line="360" w:lineRule="auto"/>
              <w:jc w:val="left"/>
              <w:rPr>
                <w:rFonts w:eastAsia="仿宋"/>
                <w:kern w:val="0"/>
                <w:szCs w:val="21"/>
                <w:u w:val="single"/>
              </w:rPr>
            </w:pPr>
            <w:r>
              <w:rPr>
                <w:rFonts w:eastAsia="仿宋"/>
                <w:kern w:val="0"/>
                <w:szCs w:val="21"/>
              </w:rPr>
              <w:t>序号</w:t>
            </w:r>
          </w:p>
        </w:tc>
        <w:tc>
          <w:tcPr>
            <w:tcW w:w="1548" w:type="dxa"/>
          </w:tcPr>
          <w:p w14:paraId="1066F678">
            <w:pPr>
              <w:autoSpaceDE w:val="0"/>
              <w:autoSpaceDN w:val="0"/>
              <w:adjustRightInd w:val="0"/>
              <w:snapToGrid w:val="0"/>
              <w:spacing w:line="360" w:lineRule="auto"/>
              <w:jc w:val="left"/>
              <w:rPr>
                <w:rFonts w:eastAsia="仿宋"/>
                <w:kern w:val="0"/>
                <w:szCs w:val="21"/>
                <w:u w:val="single"/>
              </w:rPr>
            </w:pPr>
            <w:r>
              <w:rPr>
                <w:rFonts w:eastAsia="仿宋"/>
                <w:kern w:val="0"/>
                <w:szCs w:val="21"/>
              </w:rPr>
              <w:t>项目名称</w:t>
            </w:r>
          </w:p>
        </w:tc>
        <w:tc>
          <w:tcPr>
            <w:tcW w:w="1548" w:type="dxa"/>
          </w:tcPr>
          <w:p w14:paraId="590A031A">
            <w:pPr>
              <w:autoSpaceDE w:val="0"/>
              <w:autoSpaceDN w:val="0"/>
              <w:adjustRightInd w:val="0"/>
              <w:snapToGrid w:val="0"/>
              <w:spacing w:line="360" w:lineRule="auto"/>
              <w:jc w:val="left"/>
              <w:rPr>
                <w:rFonts w:eastAsia="仿宋"/>
                <w:kern w:val="0"/>
                <w:szCs w:val="21"/>
                <w:u w:val="single"/>
              </w:rPr>
            </w:pPr>
            <w:r>
              <w:rPr>
                <w:rFonts w:eastAsia="仿宋"/>
                <w:kern w:val="0"/>
                <w:szCs w:val="21"/>
              </w:rPr>
              <w:t>发包人</w:t>
            </w:r>
          </w:p>
        </w:tc>
        <w:tc>
          <w:tcPr>
            <w:tcW w:w="1548" w:type="dxa"/>
          </w:tcPr>
          <w:p w14:paraId="7025EE69">
            <w:pPr>
              <w:autoSpaceDE w:val="0"/>
              <w:autoSpaceDN w:val="0"/>
              <w:adjustRightInd w:val="0"/>
              <w:snapToGrid w:val="0"/>
              <w:spacing w:line="360" w:lineRule="auto"/>
              <w:jc w:val="left"/>
              <w:rPr>
                <w:rFonts w:eastAsia="仿宋"/>
                <w:kern w:val="0"/>
                <w:szCs w:val="21"/>
                <w:u w:val="single"/>
              </w:rPr>
            </w:pPr>
            <w:r>
              <w:rPr>
                <w:rFonts w:eastAsia="仿宋"/>
                <w:kern w:val="0"/>
                <w:szCs w:val="21"/>
              </w:rPr>
              <w:t>主要内容</w:t>
            </w:r>
          </w:p>
        </w:tc>
        <w:tc>
          <w:tcPr>
            <w:tcW w:w="1548" w:type="dxa"/>
          </w:tcPr>
          <w:p w14:paraId="7A38168C">
            <w:pPr>
              <w:autoSpaceDE w:val="0"/>
              <w:autoSpaceDN w:val="0"/>
              <w:adjustRightInd w:val="0"/>
              <w:snapToGrid w:val="0"/>
              <w:spacing w:line="360" w:lineRule="auto"/>
              <w:jc w:val="left"/>
              <w:rPr>
                <w:rFonts w:eastAsia="仿宋"/>
                <w:kern w:val="0"/>
                <w:szCs w:val="21"/>
                <w:u w:val="single"/>
              </w:rPr>
            </w:pPr>
            <w:r>
              <w:rPr>
                <w:rFonts w:eastAsia="仿宋"/>
                <w:kern w:val="0"/>
                <w:szCs w:val="21"/>
              </w:rPr>
              <w:t>完工时间</w:t>
            </w:r>
          </w:p>
        </w:tc>
        <w:tc>
          <w:tcPr>
            <w:tcW w:w="1548" w:type="dxa"/>
          </w:tcPr>
          <w:p w14:paraId="54C5E1FC">
            <w:pPr>
              <w:autoSpaceDE w:val="0"/>
              <w:autoSpaceDN w:val="0"/>
              <w:adjustRightInd w:val="0"/>
              <w:snapToGrid w:val="0"/>
              <w:spacing w:line="360" w:lineRule="auto"/>
              <w:jc w:val="left"/>
              <w:rPr>
                <w:rFonts w:eastAsia="仿宋"/>
                <w:kern w:val="0"/>
                <w:szCs w:val="21"/>
                <w:u w:val="single"/>
              </w:rPr>
            </w:pPr>
            <w:r>
              <w:rPr>
                <w:rFonts w:eastAsia="仿宋"/>
                <w:kern w:val="0"/>
                <w:szCs w:val="21"/>
              </w:rPr>
              <w:t>备注</w:t>
            </w:r>
          </w:p>
        </w:tc>
      </w:tr>
      <w:tr w14:paraId="4A8D28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8" w:type="dxa"/>
          </w:tcPr>
          <w:p w14:paraId="046163FD">
            <w:pPr>
              <w:autoSpaceDE w:val="0"/>
              <w:autoSpaceDN w:val="0"/>
              <w:adjustRightInd w:val="0"/>
              <w:snapToGrid w:val="0"/>
              <w:spacing w:line="360" w:lineRule="auto"/>
              <w:jc w:val="left"/>
              <w:rPr>
                <w:rFonts w:eastAsia="仿宋"/>
                <w:kern w:val="0"/>
                <w:szCs w:val="21"/>
                <w:u w:val="single"/>
              </w:rPr>
            </w:pPr>
          </w:p>
        </w:tc>
        <w:tc>
          <w:tcPr>
            <w:tcW w:w="1548" w:type="dxa"/>
          </w:tcPr>
          <w:p w14:paraId="2745845A">
            <w:pPr>
              <w:autoSpaceDE w:val="0"/>
              <w:autoSpaceDN w:val="0"/>
              <w:adjustRightInd w:val="0"/>
              <w:snapToGrid w:val="0"/>
              <w:spacing w:line="360" w:lineRule="auto"/>
              <w:jc w:val="left"/>
              <w:rPr>
                <w:rFonts w:eastAsia="仿宋"/>
                <w:kern w:val="0"/>
                <w:szCs w:val="21"/>
                <w:u w:val="single"/>
              </w:rPr>
            </w:pPr>
          </w:p>
        </w:tc>
        <w:tc>
          <w:tcPr>
            <w:tcW w:w="1548" w:type="dxa"/>
          </w:tcPr>
          <w:p w14:paraId="30F34750">
            <w:pPr>
              <w:autoSpaceDE w:val="0"/>
              <w:autoSpaceDN w:val="0"/>
              <w:adjustRightInd w:val="0"/>
              <w:snapToGrid w:val="0"/>
              <w:spacing w:line="360" w:lineRule="auto"/>
              <w:jc w:val="left"/>
              <w:rPr>
                <w:rFonts w:eastAsia="仿宋"/>
                <w:kern w:val="0"/>
                <w:szCs w:val="21"/>
                <w:u w:val="single"/>
              </w:rPr>
            </w:pPr>
          </w:p>
        </w:tc>
        <w:tc>
          <w:tcPr>
            <w:tcW w:w="1548" w:type="dxa"/>
          </w:tcPr>
          <w:p w14:paraId="0003A102">
            <w:pPr>
              <w:autoSpaceDE w:val="0"/>
              <w:autoSpaceDN w:val="0"/>
              <w:adjustRightInd w:val="0"/>
              <w:snapToGrid w:val="0"/>
              <w:spacing w:line="360" w:lineRule="auto"/>
              <w:jc w:val="left"/>
              <w:rPr>
                <w:rFonts w:eastAsia="仿宋"/>
                <w:kern w:val="0"/>
                <w:szCs w:val="21"/>
                <w:u w:val="single"/>
              </w:rPr>
            </w:pPr>
          </w:p>
        </w:tc>
        <w:tc>
          <w:tcPr>
            <w:tcW w:w="1548" w:type="dxa"/>
          </w:tcPr>
          <w:p w14:paraId="26446E25">
            <w:pPr>
              <w:autoSpaceDE w:val="0"/>
              <w:autoSpaceDN w:val="0"/>
              <w:adjustRightInd w:val="0"/>
              <w:snapToGrid w:val="0"/>
              <w:spacing w:line="360" w:lineRule="auto"/>
              <w:jc w:val="left"/>
              <w:rPr>
                <w:rFonts w:eastAsia="仿宋"/>
                <w:kern w:val="0"/>
                <w:szCs w:val="21"/>
                <w:u w:val="single"/>
              </w:rPr>
            </w:pPr>
          </w:p>
        </w:tc>
        <w:tc>
          <w:tcPr>
            <w:tcW w:w="1548" w:type="dxa"/>
          </w:tcPr>
          <w:p w14:paraId="2A423F8F">
            <w:pPr>
              <w:autoSpaceDE w:val="0"/>
              <w:autoSpaceDN w:val="0"/>
              <w:adjustRightInd w:val="0"/>
              <w:snapToGrid w:val="0"/>
              <w:spacing w:line="360" w:lineRule="auto"/>
              <w:jc w:val="left"/>
              <w:rPr>
                <w:rFonts w:eastAsia="仿宋"/>
                <w:kern w:val="0"/>
                <w:szCs w:val="21"/>
                <w:u w:val="single"/>
              </w:rPr>
            </w:pPr>
          </w:p>
        </w:tc>
      </w:tr>
      <w:tr w14:paraId="712AAA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8" w:type="dxa"/>
          </w:tcPr>
          <w:p w14:paraId="2457AD00">
            <w:pPr>
              <w:autoSpaceDE w:val="0"/>
              <w:autoSpaceDN w:val="0"/>
              <w:adjustRightInd w:val="0"/>
              <w:snapToGrid w:val="0"/>
              <w:spacing w:line="360" w:lineRule="auto"/>
              <w:jc w:val="left"/>
              <w:rPr>
                <w:rFonts w:eastAsia="仿宋"/>
                <w:kern w:val="0"/>
                <w:szCs w:val="21"/>
                <w:u w:val="single"/>
              </w:rPr>
            </w:pPr>
          </w:p>
        </w:tc>
        <w:tc>
          <w:tcPr>
            <w:tcW w:w="1548" w:type="dxa"/>
          </w:tcPr>
          <w:p w14:paraId="5294A9C6">
            <w:pPr>
              <w:autoSpaceDE w:val="0"/>
              <w:autoSpaceDN w:val="0"/>
              <w:adjustRightInd w:val="0"/>
              <w:snapToGrid w:val="0"/>
              <w:spacing w:line="360" w:lineRule="auto"/>
              <w:jc w:val="left"/>
              <w:rPr>
                <w:rFonts w:eastAsia="仿宋"/>
                <w:kern w:val="0"/>
                <w:szCs w:val="21"/>
                <w:u w:val="single"/>
              </w:rPr>
            </w:pPr>
          </w:p>
        </w:tc>
        <w:tc>
          <w:tcPr>
            <w:tcW w:w="1548" w:type="dxa"/>
          </w:tcPr>
          <w:p w14:paraId="2C41E36D">
            <w:pPr>
              <w:autoSpaceDE w:val="0"/>
              <w:autoSpaceDN w:val="0"/>
              <w:adjustRightInd w:val="0"/>
              <w:snapToGrid w:val="0"/>
              <w:spacing w:line="360" w:lineRule="auto"/>
              <w:jc w:val="left"/>
              <w:rPr>
                <w:rFonts w:eastAsia="仿宋"/>
                <w:kern w:val="0"/>
                <w:szCs w:val="21"/>
                <w:u w:val="single"/>
              </w:rPr>
            </w:pPr>
          </w:p>
        </w:tc>
        <w:tc>
          <w:tcPr>
            <w:tcW w:w="1548" w:type="dxa"/>
          </w:tcPr>
          <w:p w14:paraId="76BEA5E9">
            <w:pPr>
              <w:autoSpaceDE w:val="0"/>
              <w:autoSpaceDN w:val="0"/>
              <w:adjustRightInd w:val="0"/>
              <w:snapToGrid w:val="0"/>
              <w:spacing w:line="360" w:lineRule="auto"/>
              <w:jc w:val="left"/>
              <w:rPr>
                <w:rFonts w:eastAsia="仿宋"/>
                <w:kern w:val="0"/>
                <w:szCs w:val="21"/>
                <w:u w:val="single"/>
              </w:rPr>
            </w:pPr>
          </w:p>
        </w:tc>
        <w:tc>
          <w:tcPr>
            <w:tcW w:w="1548" w:type="dxa"/>
          </w:tcPr>
          <w:p w14:paraId="0AEFC945">
            <w:pPr>
              <w:autoSpaceDE w:val="0"/>
              <w:autoSpaceDN w:val="0"/>
              <w:adjustRightInd w:val="0"/>
              <w:snapToGrid w:val="0"/>
              <w:spacing w:line="360" w:lineRule="auto"/>
              <w:jc w:val="left"/>
              <w:rPr>
                <w:rFonts w:eastAsia="仿宋"/>
                <w:kern w:val="0"/>
                <w:szCs w:val="21"/>
                <w:u w:val="single"/>
              </w:rPr>
            </w:pPr>
          </w:p>
        </w:tc>
        <w:tc>
          <w:tcPr>
            <w:tcW w:w="1548" w:type="dxa"/>
          </w:tcPr>
          <w:p w14:paraId="2C0905A7">
            <w:pPr>
              <w:autoSpaceDE w:val="0"/>
              <w:autoSpaceDN w:val="0"/>
              <w:adjustRightInd w:val="0"/>
              <w:snapToGrid w:val="0"/>
              <w:spacing w:line="360" w:lineRule="auto"/>
              <w:jc w:val="left"/>
              <w:rPr>
                <w:rFonts w:eastAsia="仿宋"/>
                <w:kern w:val="0"/>
                <w:szCs w:val="21"/>
                <w:u w:val="single"/>
              </w:rPr>
            </w:pPr>
          </w:p>
        </w:tc>
      </w:tr>
      <w:tr w14:paraId="39AD98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8" w:type="dxa"/>
          </w:tcPr>
          <w:p w14:paraId="0CD1C672">
            <w:pPr>
              <w:autoSpaceDE w:val="0"/>
              <w:autoSpaceDN w:val="0"/>
              <w:adjustRightInd w:val="0"/>
              <w:snapToGrid w:val="0"/>
              <w:spacing w:line="360" w:lineRule="auto"/>
              <w:jc w:val="left"/>
              <w:rPr>
                <w:rFonts w:eastAsia="仿宋"/>
                <w:kern w:val="0"/>
                <w:szCs w:val="21"/>
                <w:u w:val="single"/>
              </w:rPr>
            </w:pPr>
          </w:p>
        </w:tc>
        <w:tc>
          <w:tcPr>
            <w:tcW w:w="1548" w:type="dxa"/>
          </w:tcPr>
          <w:p w14:paraId="66B6C69F">
            <w:pPr>
              <w:autoSpaceDE w:val="0"/>
              <w:autoSpaceDN w:val="0"/>
              <w:adjustRightInd w:val="0"/>
              <w:snapToGrid w:val="0"/>
              <w:spacing w:line="360" w:lineRule="auto"/>
              <w:jc w:val="left"/>
              <w:rPr>
                <w:rFonts w:eastAsia="仿宋"/>
                <w:kern w:val="0"/>
                <w:szCs w:val="21"/>
                <w:u w:val="single"/>
              </w:rPr>
            </w:pPr>
          </w:p>
        </w:tc>
        <w:tc>
          <w:tcPr>
            <w:tcW w:w="1548" w:type="dxa"/>
          </w:tcPr>
          <w:p w14:paraId="0CEEBF58">
            <w:pPr>
              <w:autoSpaceDE w:val="0"/>
              <w:autoSpaceDN w:val="0"/>
              <w:adjustRightInd w:val="0"/>
              <w:snapToGrid w:val="0"/>
              <w:spacing w:line="360" w:lineRule="auto"/>
              <w:jc w:val="left"/>
              <w:rPr>
                <w:rFonts w:eastAsia="仿宋"/>
                <w:kern w:val="0"/>
                <w:szCs w:val="21"/>
                <w:u w:val="single"/>
              </w:rPr>
            </w:pPr>
          </w:p>
        </w:tc>
        <w:tc>
          <w:tcPr>
            <w:tcW w:w="1548" w:type="dxa"/>
          </w:tcPr>
          <w:p w14:paraId="3E2F56EE">
            <w:pPr>
              <w:autoSpaceDE w:val="0"/>
              <w:autoSpaceDN w:val="0"/>
              <w:adjustRightInd w:val="0"/>
              <w:snapToGrid w:val="0"/>
              <w:spacing w:line="360" w:lineRule="auto"/>
              <w:jc w:val="left"/>
              <w:rPr>
                <w:rFonts w:eastAsia="仿宋"/>
                <w:kern w:val="0"/>
                <w:szCs w:val="21"/>
                <w:u w:val="single"/>
              </w:rPr>
            </w:pPr>
          </w:p>
        </w:tc>
        <w:tc>
          <w:tcPr>
            <w:tcW w:w="1548" w:type="dxa"/>
          </w:tcPr>
          <w:p w14:paraId="3926B8A3">
            <w:pPr>
              <w:autoSpaceDE w:val="0"/>
              <w:autoSpaceDN w:val="0"/>
              <w:adjustRightInd w:val="0"/>
              <w:snapToGrid w:val="0"/>
              <w:spacing w:line="360" w:lineRule="auto"/>
              <w:jc w:val="left"/>
              <w:rPr>
                <w:rFonts w:eastAsia="仿宋"/>
                <w:kern w:val="0"/>
                <w:szCs w:val="21"/>
                <w:u w:val="single"/>
              </w:rPr>
            </w:pPr>
          </w:p>
        </w:tc>
        <w:tc>
          <w:tcPr>
            <w:tcW w:w="1548" w:type="dxa"/>
          </w:tcPr>
          <w:p w14:paraId="1D860654">
            <w:pPr>
              <w:autoSpaceDE w:val="0"/>
              <w:autoSpaceDN w:val="0"/>
              <w:adjustRightInd w:val="0"/>
              <w:snapToGrid w:val="0"/>
              <w:spacing w:line="360" w:lineRule="auto"/>
              <w:jc w:val="left"/>
              <w:rPr>
                <w:rFonts w:eastAsia="仿宋"/>
                <w:kern w:val="0"/>
                <w:szCs w:val="21"/>
                <w:u w:val="single"/>
              </w:rPr>
            </w:pPr>
          </w:p>
        </w:tc>
      </w:tr>
      <w:tr w14:paraId="3FB5E2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8" w:type="dxa"/>
          </w:tcPr>
          <w:p w14:paraId="53BDC4F2">
            <w:pPr>
              <w:autoSpaceDE w:val="0"/>
              <w:autoSpaceDN w:val="0"/>
              <w:adjustRightInd w:val="0"/>
              <w:snapToGrid w:val="0"/>
              <w:spacing w:line="360" w:lineRule="auto"/>
              <w:jc w:val="left"/>
              <w:rPr>
                <w:rFonts w:eastAsia="仿宋"/>
                <w:kern w:val="0"/>
                <w:szCs w:val="21"/>
                <w:u w:val="single"/>
              </w:rPr>
            </w:pPr>
          </w:p>
        </w:tc>
        <w:tc>
          <w:tcPr>
            <w:tcW w:w="1548" w:type="dxa"/>
          </w:tcPr>
          <w:p w14:paraId="323963F6">
            <w:pPr>
              <w:autoSpaceDE w:val="0"/>
              <w:autoSpaceDN w:val="0"/>
              <w:adjustRightInd w:val="0"/>
              <w:snapToGrid w:val="0"/>
              <w:spacing w:line="360" w:lineRule="auto"/>
              <w:jc w:val="left"/>
              <w:rPr>
                <w:rFonts w:eastAsia="仿宋"/>
                <w:kern w:val="0"/>
                <w:szCs w:val="21"/>
                <w:u w:val="single"/>
              </w:rPr>
            </w:pPr>
          </w:p>
        </w:tc>
        <w:tc>
          <w:tcPr>
            <w:tcW w:w="1548" w:type="dxa"/>
          </w:tcPr>
          <w:p w14:paraId="5EBCAB5B">
            <w:pPr>
              <w:autoSpaceDE w:val="0"/>
              <w:autoSpaceDN w:val="0"/>
              <w:adjustRightInd w:val="0"/>
              <w:snapToGrid w:val="0"/>
              <w:spacing w:line="360" w:lineRule="auto"/>
              <w:jc w:val="left"/>
              <w:rPr>
                <w:rFonts w:eastAsia="仿宋"/>
                <w:kern w:val="0"/>
                <w:szCs w:val="21"/>
                <w:u w:val="single"/>
              </w:rPr>
            </w:pPr>
          </w:p>
        </w:tc>
        <w:tc>
          <w:tcPr>
            <w:tcW w:w="1548" w:type="dxa"/>
          </w:tcPr>
          <w:p w14:paraId="0706BDD8">
            <w:pPr>
              <w:autoSpaceDE w:val="0"/>
              <w:autoSpaceDN w:val="0"/>
              <w:adjustRightInd w:val="0"/>
              <w:snapToGrid w:val="0"/>
              <w:spacing w:line="360" w:lineRule="auto"/>
              <w:jc w:val="left"/>
              <w:rPr>
                <w:rFonts w:eastAsia="仿宋"/>
                <w:kern w:val="0"/>
                <w:szCs w:val="21"/>
                <w:u w:val="single"/>
              </w:rPr>
            </w:pPr>
          </w:p>
        </w:tc>
        <w:tc>
          <w:tcPr>
            <w:tcW w:w="1548" w:type="dxa"/>
          </w:tcPr>
          <w:p w14:paraId="28ADBDA5">
            <w:pPr>
              <w:autoSpaceDE w:val="0"/>
              <w:autoSpaceDN w:val="0"/>
              <w:adjustRightInd w:val="0"/>
              <w:snapToGrid w:val="0"/>
              <w:spacing w:line="360" w:lineRule="auto"/>
              <w:jc w:val="left"/>
              <w:rPr>
                <w:rFonts w:eastAsia="仿宋"/>
                <w:kern w:val="0"/>
                <w:szCs w:val="21"/>
                <w:u w:val="single"/>
              </w:rPr>
            </w:pPr>
          </w:p>
        </w:tc>
        <w:tc>
          <w:tcPr>
            <w:tcW w:w="1548" w:type="dxa"/>
          </w:tcPr>
          <w:p w14:paraId="2C5122EF">
            <w:pPr>
              <w:autoSpaceDE w:val="0"/>
              <w:autoSpaceDN w:val="0"/>
              <w:adjustRightInd w:val="0"/>
              <w:snapToGrid w:val="0"/>
              <w:spacing w:line="360" w:lineRule="auto"/>
              <w:jc w:val="left"/>
              <w:rPr>
                <w:rFonts w:eastAsia="仿宋"/>
                <w:kern w:val="0"/>
                <w:szCs w:val="21"/>
                <w:u w:val="single"/>
              </w:rPr>
            </w:pPr>
          </w:p>
        </w:tc>
      </w:tr>
      <w:tr w14:paraId="5CC10D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8" w:type="dxa"/>
          </w:tcPr>
          <w:p w14:paraId="3FD039A0">
            <w:pPr>
              <w:autoSpaceDE w:val="0"/>
              <w:autoSpaceDN w:val="0"/>
              <w:adjustRightInd w:val="0"/>
              <w:snapToGrid w:val="0"/>
              <w:spacing w:line="360" w:lineRule="auto"/>
              <w:jc w:val="left"/>
              <w:rPr>
                <w:rFonts w:eastAsia="仿宋"/>
                <w:kern w:val="0"/>
                <w:szCs w:val="21"/>
                <w:u w:val="single"/>
              </w:rPr>
            </w:pPr>
          </w:p>
        </w:tc>
        <w:tc>
          <w:tcPr>
            <w:tcW w:w="1548" w:type="dxa"/>
          </w:tcPr>
          <w:p w14:paraId="323F958E">
            <w:pPr>
              <w:autoSpaceDE w:val="0"/>
              <w:autoSpaceDN w:val="0"/>
              <w:adjustRightInd w:val="0"/>
              <w:snapToGrid w:val="0"/>
              <w:spacing w:line="360" w:lineRule="auto"/>
              <w:jc w:val="left"/>
              <w:rPr>
                <w:rFonts w:eastAsia="仿宋"/>
                <w:kern w:val="0"/>
                <w:szCs w:val="21"/>
                <w:u w:val="single"/>
              </w:rPr>
            </w:pPr>
          </w:p>
        </w:tc>
        <w:tc>
          <w:tcPr>
            <w:tcW w:w="1548" w:type="dxa"/>
          </w:tcPr>
          <w:p w14:paraId="4C5927AD">
            <w:pPr>
              <w:autoSpaceDE w:val="0"/>
              <w:autoSpaceDN w:val="0"/>
              <w:adjustRightInd w:val="0"/>
              <w:snapToGrid w:val="0"/>
              <w:spacing w:line="360" w:lineRule="auto"/>
              <w:jc w:val="left"/>
              <w:rPr>
                <w:rFonts w:eastAsia="仿宋"/>
                <w:kern w:val="0"/>
                <w:szCs w:val="21"/>
                <w:u w:val="single"/>
              </w:rPr>
            </w:pPr>
          </w:p>
        </w:tc>
        <w:tc>
          <w:tcPr>
            <w:tcW w:w="1548" w:type="dxa"/>
          </w:tcPr>
          <w:p w14:paraId="1353EF71">
            <w:pPr>
              <w:autoSpaceDE w:val="0"/>
              <w:autoSpaceDN w:val="0"/>
              <w:adjustRightInd w:val="0"/>
              <w:snapToGrid w:val="0"/>
              <w:spacing w:line="360" w:lineRule="auto"/>
              <w:jc w:val="left"/>
              <w:rPr>
                <w:rFonts w:eastAsia="仿宋"/>
                <w:kern w:val="0"/>
                <w:szCs w:val="21"/>
                <w:u w:val="single"/>
              </w:rPr>
            </w:pPr>
          </w:p>
        </w:tc>
        <w:tc>
          <w:tcPr>
            <w:tcW w:w="1548" w:type="dxa"/>
          </w:tcPr>
          <w:p w14:paraId="1615827E">
            <w:pPr>
              <w:autoSpaceDE w:val="0"/>
              <w:autoSpaceDN w:val="0"/>
              <w:adjustRightInd w:val="0"/>
              <w:snapToGrid w:val="0"/>
              <w:spacing w:line="360" w:lineRule="auto"/>
              <w:jc w:val="left"/>
              <w:rPr>
                <w:rFonts w:eastAsia="仿宋"/>
                <w:kern w:val="0"/>
                <w:szCs w:val="21"/>
                <w:u w:val="single"/>
              </w:rPr>
            </w:pPr>
          </w:p>
        </w:tc>
        <w:tc>
          <w:tcPr>
            <w:tcW w:w="1548" w:type="dxa"/>
          </w:tcPr>
          <w:p w14:paraId="523BD757">
            <w:pPr>
              <w:autoSpaceDE w:val="0"/>
              <w:autoSpaceDN w:val="0"/>
              <w:adjustRightInd w:val="0"/>
              <w:snapToGrid w:val="0"/>
              <w:spacing w:line="360" w:lineRule="auto"/>
              <w:jc w:val="left"/>
              <w:rPr>
                <w:rFonts w:eastAsia="仿宋"/>
                <w:kern w:val="0"/>
                <w:szCs w:val="21"/>
                <w:u w:val="single"/>
              </w:rPr>
            </w:pPr>
          </w:p>
        </w:tc>
      </w:tr>
      <w:tr w14:paraId="30F70D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8" w:type="dxa"/>
          </w:tcPr>
          <w:p w14:paraId="75413250">
            <w:pPr>
              <w:autoSpaceDE w:val="0"/>
              <w:autoSpaceDN w:val="0"/>
              <w:adjustRightInd w:val="0"/>
              <w:snapToGrid w:val="0"/>
              <w:spacing w:line="360" w:lineRule="auto"/>
              <w:jc w:val="left"/>
              <w:rPr>
                <w:rFonts w:eastAsia="仿宋"/>
                <w:kern w:val="0"/>
                <w:szCs w:val="21"/>
                <w:u w:val="single"/>
              </w:rPr>
            </w:pPr>
          </w:p>
        </w:tc>
        <w:tc>
          <w:tcPr>
            <w:tcW w:w="1548" w:type="dxa"/>
          </w:tcPr>
          <w:p w14:paraId="61341DBF">
            <w:pPr>
              <w:autoSpaceDE w:val="0"/>
              <w:autoSpaceDN w:val="0"/>
              <w:adjustRightInd w:val="0"/>
              <w:snapToGrid w:val="0"/>
              <w:spacing w:line="360" w:lineRule="auto"/>
              <w:jc w:val="left"/>
              <w:rPr>
                <w:rFonts w:eastAsia="仿宋"/>
                <w:kern w:val="0"/>
                <w:szCs w:val="21"/>
                <w:u w:val="single"/>
              </w:rPr>
            </w:pPr>
          </w:p>
        </w:tc>
        <w:tc>
          <w:tcPr>
            <w:tcW w:w="1548" w:type="dxa"/>
          </w:tcPr>
          <w:p w14:paraId="27661DCD">
            <w:pPr>
              <w:autoSpaceDE w:val="0"/>
              <w:autoSpaceDN w:val="0"/>
              <w:adjustRightInd w:val="0"/>
              <w:snapToGrid w:val="0"/>
              <w:spacing w:line="360" w:lineRule="auto"/>
              <w:jc w:val="left"/>
              <w:rPr>
                <w:rFonts w:eastAsia="仿宋"/>
                <w:kern w:val="0"/>
                <w:szCs w:val="21"/>
                <w:u w:val="single"/>
              </w:rPr>
            </w:pPr>
          </w:p>
        </w:tc>
        <w:tc>
          <w:tcPr>
            <w:tcW w:w="1548" w:type="dxa"/>
          </w:tcPr>
          <w:p w14:paraId="13920D27">
            <w:pPr>
              <w:autoSpaceDE w:val="0"/>
              <w:autoSpaceDN w:val="0"/>
              <w:adjustRightInd w:val="0"/>
              <w:snapToGrid w:val="0"/>
              <w:spacing w:line="360" w:lineRule="auto"/>
              <w:jc w:val="left"/>
              <w:rPr>
                <w:rFonts w:eastAsia="仿宋"/>
                <w:kern w:val="0"/>
                <w:szCs w:val="21"/>
                <w:u w:val="single"/>
              </w:rPr>
            </w:pPr>
          </w:p>
        </w:tc>
        <w:tc>
          <w:tcPr>
            <w:tcW w:w="1548" w:type="dxa"/>
          </w:tcPr>
          <w:p w14:paraId="650F562D">
            <w:pPr>
              <w:autoSpaceDE w:val="0"/>
              <w:autoSpaceDN w:val="0"/>
              <w:adjustRightInd w:val="0"/>
              <w:snapToGrid w:val="0"/>
              <w:spacing w:line="360" w:lineRule="auto"/>
              <w:jc w:val="left"/>
              <w:rPr>
                <w:rFonts w:eastAsia="仿宋"/>
                <w:kern w:val="0"/>
                <w:szCs w:val="21"/>
                <w:u w:val="single"/>
              </w:rPr>
            </w:pPr>
          </w:p>
        </w:tc>
        <w:tc>
          <w:tcPr>
            <w:tcW w:w="1548" w:type="dxa"/>
          </w:tcPr>
          <w:p w14:paraId="1869E15B">
            <w:pPr>
              <w:autoSpaceDE w:val="0"/>
              <w:autoSpaceDN w:val="0"/>
              <w:adjustRightInd w:val="0"/>
              <w:snapToGrid w:val="0"/>
              <w:spacing w:line="360" w:lineRule="auto"/>
              <w:jc w:val="left"/>
              <w:rPr>
                <w:rFonts w:eastAsia="仿宋"/>
                <w:kern w:val="0"/>
                <w:szCs w:val="21"/>
                <w:u w:val="single"/>
              </w:rPr>
            </w:pPr>
          </w:p>
        </w:tc>
      </w:tr>
      <w:tr w14:paraId="0A14B8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8" w:type="dxa"/>
          </w:tcPr>
          <w:p w14:paraId="10DACA46">
            <w:pPr>
              <w:autoSpaceDE w:val="0"/>
              <w:autoSpaceDN w:val="0"/>
              <w:adjustRightInd w:val="0"/>
              <w:snapToGrid w:val="0"/>
              <w:spacing w:line="360" w:lineRule="auto"/>
              <w:jc w:val="left"/>
              <w:rPr>
                <w:rFonts w:eastAsia="仿宋"/>
                <w:kern w:val="0"/>
                <w:szCs w:val="21"/>
                <w:u w:val="single"/>
              </w:rPr>
            </w:pPr>
            <w:r>
              <w:rPr>
                <w:rFonts w:eastAsia="仿宋"/>
                <w:kern w:val="0"/>
                <w:szCs w:val="21"/>
                <w:u w:val="single"/>
              </w:rPr>
              <w:t>…</w:t>
            </w:r>
          </w:p>
        </w:tc>
        <w:tc>
          <w:tcPr>
            <w:tcW w:w="1548" w:type="dxa"/>
          </w:tcPr>
          <w:p w14:paraId="348E98C0">
            <w:pPr>
              <w:autoSpaceDE w:val="0"/>
              <w:autoSpaceDN w:val="0"/>
              <w:adjustRightInd w:val="0"/>
              <w:snapToGrid w:val="0"/>
              <w:spacing w:line="360" w:lineRule="auto"/>
              <w:jc w:val="left"/>
              <w:rPr>
                <w:rFonts w:eastAsia="仿宋"/>
                <w:kern w:val="0"/>
                <w:szCs w:val="21"/>
                <w:u w:val="single"/>
              </w:rPr>
            </w:pPr>
          </w:p>
        </w:tc>
        <w:tc>
          <w:tcPr>
            <w:tcW w:w="1548" w:type="dxa"/>
          </w:tcPr>
          <w:p w14:paraId="5D86D5DD">
            <w:pPr>
              <w:autoSpaceDE w:val="0"/>
              <w:autoSpaceDN w:val="0"/>
              <w:adjustRightInd w:val="0"/>
              <w:snapToGrid w:val="0"/>
              <w:spacing w:line="360" w:lineRule="auto"/>
              <w:jc w:val="left"/>
              <w:rPr>
                <w:rFonts w:eastAsia="仿宋"/>
                <w:kern w:val="0"/>
                <w:szCs w:val="21"/>
                <w:u w:val="single"/>
              </w:rPr>
            </w:pPr>
            <w:r>
              <w:rPr>
                <w:rFonts w:eastAsia="仿宋"/>
                <w:kern w:val="0"/>
                <w:szCs w:val="21"/>
                <w:u w:val="single"/>
              </w:rPr>
              <w:t>…</w:t>
            </w:r>
          </w:p>
        </w:tc>
        <w:tc>
          <w:tcPr>
            <w:tcW w:w="1548" w:type="dxa"/>
          </w:tcPr>
          <w:p w14:paraId="18C77081">
            <w:pPr>
              <w:autoSpaceDE w:val="0"/>
              <w:autoSpaceDN w:val="0"/>
              <w:adjustRightInd w:val="0"/>
              <w:snapToGrid w:val="0"/>
              <w:spacing w:line="360" w:lineRule="auto"/>
              <w:jc w:val="left"/>
              <w:rPr>
                <w:rFonts w:eastAsia="仿宋"/>
                <w:kern w:val="0"/>
                <w:szCs w:val="21"/>
                <w:u w:val="single"/>
              </w:rPr>
            </w:pPr>
            <w:r>
              <w:rPr>
                <w:rFonts w:eastAsia="仿宋"/>
                <w:kern w:val="0"/>
                <w:szCs w:val="21"/>
                <w:u w:val="single"/>
              </w:rPr>
              <w:t>…</w:t>
            </w:r>
          </w:p>
        </w:tc>
        <w:tc>
          <w:tcPr>
            <w:tcW w:w="1548" w:type="dxa"/>
          </w:tcPr>
          <w:p w14:paraId="3633C9F3">
            <w:pPr>
              <w:autoSpaceDE w:val="0"/>
              <w:autoSpaceDN w:val="0"/>
              <w:adjustRightInd w:val="0"/>
              <w:snapToGrid w:val="0"/>
              <w:spacing w:line="360" w:lineRule="auto"/>
              <w:jc w:val="left"/>
              <w:rPr>
                <w:rFonts w:eastAsia="仿宋"/>
                <w:kern w:val="0"/>
                <w:szCs w:val="21"/>
                <w:u w:val="single"/>
              </w:rPr>
            </w:pPr>
            <w:r>
              <w:rPr>
                <w:rFonts w:eastAsia="仿宋"/>
                <w:kern w:val="0"/>
                <w:szCs w:val="21"/>
                <w:u w:val="single"/>
              </w:rPr>
              <w:t>…</w:t>
            </w:r>
          </w:p>
        </w:tc>
        <w:tc>
          <w:tcPr>
            <w:tcW w:w="1548" w:type="dxa"/>
          </w:tcPr>
          <w:p w14:paraId="7BD734E2">
            <w:pPr>
              <w:autoSpaceDE w:val="0"/>
              <w:autoSpaceDN w:val="0"/>
              <w:adjustRightInd w:val="0"/>
              <w:snapToGrid w:val="0"/>
              <w:spacing w:line="360" w:lineRule="auto"/>
              <w:jc w:val="left"/>
              <w:rPr>
                <w:rFonts w:eastAsia="仿宋"/>
                <w:kern w:val="0"/>
                <w:szCs w:val="21"/>
                <w:u w:val="single"/>
              </w:rPr>
            </w:pPr>
          </w:p>
        </w:tc>
      </w:tr>
    </w:tbl>
    <w:p w14:paraId="57F66CF3">
      <w:pPr>
        <w:autoSpaceDE w:val="0"/>
        <w:autoSpaceDN w:val="0"/>
        <w:adjustRightInd w:val="0"/>
        <w:snapToGrid w:val="0"/>
        <w:spacing w:line="360" w:lineRule="auto"/>
        <w:jc w:val="left"/>
        <w:rPr>
          <w:rFonts w:eastAsia="仿宋"/>
          <w:b/>
          <w:bCs/>
          <w:spacing w:val="-5"/>
          <w:sz w:val="24"/>
          <w:szCs w:val="24"/>
        </w:rPr>
      </w:pPr>
      <w:r>
        <w:rPr>
          <w:rFonts w:eastAsia="仿宋"/>
          <w:b/>
          <w:bCs/>
          <w:spacing w:val="-5"/>
          <w:sz w:val="24"/>
          <w:szCs w:val="24"/>
        </w:rPr>
        <w:t>注：需提供清晰的中标（成交）通知书或合同扫描件并加盖供应商公章，否则不予计算业绩。</w:t>
      </w:r>
    </w:p>
    <w:p w14:paraId="23BE8271">
      <w:pPr>
        <w:autoSpaceDE w:val="0"/>
        <w:autoSpaceDN w:val="0"/>
        <w:adjustRightInd w:val="0"/>
        <w:snapToGrid w:val="0"/>
        <w:spacing w:line="360" w:lineRule="auto"/>
        <w:ind w:firstLine="480" w:firstLineChars="200"/>
        <w:jc w:val="left"/>
        <w:rPr>
          <w:rFonts w:eastAsia="仿宋"/>
          <w:kern w:val="0"/>
          <w:sz w:val="24"/>
          <w:szCs w:val="24"/>
        </w:rPr>
      </w:pPr>
      <w:r>
        <w:rPr>
          <w:rFonts w:eastAsia="仿宋"/>
          <w:kern w:val="0"/>
          <w:sz w:val="24"/>
          <w:szCs w:val="24"/>
        </w:rPr>
        <w:t>我单位承诺以上填报内容真实。如不真实，将按照有关规定接受处理。</w:t>
      </w:r>
    </w:p>
    <w:p w14:paraId="5E9EEC8F">
      <w:pPr>
        <w:autoSpaceDE w:val="0"/>
        <w:autoSpaceDN w:val="0"/>
        <w:adjustRightInd w:val="0"/>
        <w:snapToGrid w:val="0"/>
        <w:spacing w:line="360" w:lineRule="auto"/>
        <w:jc w:val="left"/>
        <w:rPr>
          <w:rFonts w:eastAsia="仿宋"/>
          <w:kern w:val="0"/>
          <w:sz w:val="24"/>
          <w:szCs w:val="24"/>
        </w:rPr>
      </w:pPr>
      <w:r>
        <w:rPr>
          <w:rFonts w:eastAsia="仿宋"/>
          <w:kern w:val="0"/>
          <w:sz w:val="24"/>
          <w:szCs w:val="24"/>
        </w:rPr>
        <w:t>注：1.按采购人要求的内容及范围提供相关类型的业绩。</w:t>
      </w:r>
    </w:p>
    <w:p w14:paraId="11E61D0B">
      <w:pPr>
        <w:autoSpaceDE w:val="0"/>
        <w:autoSpaceDN w:val="0"/>
        <w:adjustRightInd w:val="0"/>
        <w:snapToGrid w:val="0"/>
        <w:spacing w:line="360" w:lineRule="auto"/>
        <w:ind w:firstLine="480" w:firstLineChars="200"/>
        <w:jc w:val="left"/>
        <w:rPr>
          <w:rFonts w:eastAsia="仿宋"/>
          <w:kern w:val="0"/>
          <w:sz w:val="24"/>
          <w:szCs w:val="24"/>
        </w:rPr>
      </w:pPr>
      <w:r>
        <w:rPr>
          <w:rFonts w:eastAsia="仿宋"/>
          <w:kern w:val="0"/>
          <w:sz w:val="24"/>
          <w:szCs w:val="24"/>
        </w:rPr>
        <w:t>2.本表后须附清晰可辨的、真实的合同或中标（成交）通知书相关的证明材料。如未附证明材料或工作内容模糊不清的，其业绩将不予认定。有效业绩的认定详见供应商须知前附表。</w:t>
      </w:r>
    </w:p>
    <w:p w14:paraId="43F4E279">
      <w:pPr>
        <w:autoSpaceDE w:val="0"/>
        <w:autoSpaceDN w:val="0"/>
        <w:adjustRightInd w:val="0"/>
        <w:snapToGrid w:val="0"/>
        <w:spacing w:line="360" w:lineRule="auto"/>
        <w:ind w:firstLine="480" w:firstLineChars="200"/>
        <w:jc w:val="left"/>
        <w:rPr>
          <w:rFonts w:eastAsia="仿宋"/>
          <w:kern w:val="0"/>
          <w:sz w:val="24"/>
          <w:szCs w:val="24"/>
        </w:rPr>
      </w:pPr>
      <w:r>
        <w:rPr>
          <w:rFonts w:eastAsia="仿宋"/>
          <w:kern w:val="0"/>
          <w:sz w:val="24"/>
          <w:szCs w:val="24"/>
        </w:rPr>
        <w:t>3.如近年来，供应商法人机构发生合法变更或重组或法人名称变更时，应提供相关部门的合法批件或其他相关证明材料来证明其所附业绩的继承性。</w:t>
      </w:r>
    </w:p>
    <w:p w14:paraId="24A10DA2">
      <w:pPr>
        <w:autoSpaceDE w:val="0"/>
        <w:autoSpaceDN w:val="0"/>
        <w:spacing w:line="491" w:lineRule="auto"/>
        <w:ind w:right="6111"/>
        <w:jc w:val="left"/>
        <w:rPr>
          <w:rFonts w:eastAsia="仿宋"/>
          <w:spacing w:val="-1"/>
          <w:kern w:val="0"/>
          <w:sz w:val="24"/>
        </w:rPr>
      </w:pPr>
      <w:r>
        <w:rPr>
          <w:rFonts w:eastAsia="仿宋"/>
          <w:b/>
          <w:sz w:val="28"/>
          <w:szCs w:val="28"/>
        </w:rPr>
        <w:br w:type="page"/>
      </w:r>
    </w:p>
    <w:p w14:paraId="5194B2E1">
      <w:pPr>
        <w:widowControl/>
        <w:numPr>
          <w:ilvl w:val="0"/>
          <w:numId w:val="8"/>
        </w:numPr>
        <w:spacing w:line="360" w:lineRule="auto"/>
        <w:jc w:val="center"/>
        <w:rPr>
          <w:rFonts w:eastAsia="仿宋"/>
          <w:b/>
          <w:bCs/>
          <w:kern w:val="0"/>
          <w:sz w:val="24"/>
          <w:szCs w:val="24"/>
        </w:rPr>
      </w:pPr>
      <w:r>
        <w:rPr>
          <w:rFonts w:eastAsia="仿宋"/>
          <w:b/>
          <w:bCs/>
          <w:kern w:val="0"/>
          <w:sz w:val="24"/>
          <w:szCs w:val="24"/>
        </w:rPr>
        <w:t>供应商认为需提供的其他资料</w:t>
      </w:r>
    </w:p>
    <w:p w14:paraId="509F2FF6">
      <w:pPr>
        <w:pStyle w:val="2"/>
      </w:pPr>
    </w:p>
    <w:p w14:paraId="05FFE27D">
      <w:pPr>
        <w:widowControl/>
        <w:spacing w:line="360" w:lineRule="auto"/>
        <w:jc w:val="center"/>
        <w:outlineLvl w:val="1"/>
        <w:rPr>
          <w:rFonts w:eastAsia="仿宋"/>
          <w:b/>
          <w:bCs/>
          <w:kern w:val="0"/>
          <w:sz w:val="28"/>
          <w:szCs w:val="28"/>
        </w:rPr>
      </w:pPr>
    </w:p>
    <w:p w14:paraId="44A07B06">
      <w:pPr>
        <w:widowControl/>
        <w:spacing w:line="360" w:lineRule="auto"/>
        <w:jc w:val="center"/>
        <w:outlineLvl w:val="1"/>
        <w:rPr>
          <w:rFonts w:eastAsia="仿宋"/>
          <w:b/>
          <w:bCs/>
          <w:kern w:val="0"/>
          <w:sz w:val="28"/>
          <w:szCs w:val="28"/>
        </w:rPr>
      </w:pPr>
    </w:p>
    <w:p w14:paraId="5B9C7610">
      <w:pPr>
        <w:widowControl/>
        <w:spacing w:line="360" w:lineRule="auto"/>
        <w:jc w:val="center"/>
        <w:outlineLvl w:val="1"/>
        <w:rPr>
          <w:rFonts w:eastAsia="仿宋"/>
          <w:b/>
          <w:bCs/>
          <w:kern w:val="0"/>
          <w:sz w:val="28"/>
          <w:szCs w:val="28"/>
        </w:rPr>
      </w:pPr>
    </w:p>
    <w:p w14:paraId="1C6A1856">
      <w:pPr>
        <w:widowControl/>
        <w:spacing w:line="360" w:lineRule="auto"/>
        <w:jc w:val="center"/>
        <w:outlineLvl w:val="1"/>
        <w:rPr>
          <w:rFonts w:eastAsia="仿宋"/>
          <w:b/>
          <w:bCs/>
          <w:kern w:val="0"/>
          <w:sz w:val="28"/>
          <w:szCs w:val="28"/>
        </w:rPr>
      </w:pPr>
    </w:p>
    <w:p w14:paraId="2D344A86">
      <w:pPr>
        <w:widowControl/>
        <w:spacing w:line="360" w:lineRule="auto"/>
        <w:jc w:val="center"/>
        <w:outlineLvl w:val="1"/>
        <w:rPr>
          <w:rFonts w:eastAsia="仿宋"/>
          <w:b/>
          <w:bCs/>
          <w:kern w:val="0"/>
          <w:sz w:val="28"/>
          <w:szCs w:val="28"/>
        </w:rPr>
      </w:pPr>
    </w:p>
    <w:p w14:paraId="4A1BC1C2">
      <w:pPr>
        <w:widowControl/>
        <w:spacing w:line="360" w:lineRule="auto"/>
        <w:jc w:val="center"/>
        <w:outlineLvl w:val="1"/>
        <w:rPr>
          <w:rFonts w:eastAsia="仿宋"/>
          <w:b/>
          <w:bCs/>
          <w:kern w:val="0"/>
          <w:sz w:val="28"/>
          <w:szCs w:val="28"/>
        </w:rPr>
      </w:pPr>
    </w:p>
    <w:p w14:paraId="25E50978">
      <w:pPr>
        <w:widowControl/>
        <w:spacing w:line="360" w:lineRule="auto"/>
        <w:jc w:val="center"/>
        <w:outlineLvl w:val="1"/>
        <w:rPr>
          <w:rFonts w:eastAsia="仿宋"/>
          <w:b/>
          <w:bCs/>
          <w:kern w:val="0"/>
          <w:sz w:val="28"/>
          <w:szCs w:val="28"/>
        </w:rPr>
      </w:pPr>
    </w:p>
    <w:p w14:paraId="5EA8F9D6">
      <w:pPr>
        <w:widowControl/>
        <w:spacing w:line="360" w:lineRule="auto"/>
        <w:jc w:val="center"/>
        <w:outlineLvl w:val="1"/>
        <w:rPr>
          <w:rFonts w:eastAsia="仿宋"/>
          <w:b/>
          <w:bCs/>
          <w:kern w:val="0"/>
          <w:sz w:val="28"/>
          <w:szCs w:val="28"/>
        </w:rPr>
      </w:pPr>
    </w:p>
    <w:p w14:paraId="13857E41">
      <w:pPr>
        <w:widowControl/>
        <w:spacing w:line="360" w:lineRule="auto"/>
        <w:jc w:val="center"/>
        <w:outlineLvl w:val="1"/>
        <w:rPr>
          <w:rFonts w:eastAsia="仿宋"/>
          <w:b/>
          <w:bCs/>
          <w:kern w:val="0"/>
          <w:sz w:val="28"/>
          <w:szCs w:val="28"/>
        </w:rPr>
      </w:pPr>
    </w:p>
    <w:p w14:paraId="03495297">
      <w:pPr>
        <w:widowControl/>
        <w:spacing w:line="360" w:lineRule="auto"/>
        <w:jc w:val="center"/>
        <w:outlineLvl w:val="1"/>
        <w:rPr>
          <w:rFonts w:eastAsia="仿宋"/>
          <w:b/>
          <w:bCs/>
          <w:kern w:val="0"/>
          <w:sz w:val="28"/>
          <w:szCs w:val="28"/>
        </w:rPr>
      </w:pPr>
    </w:p>
    <w:p w14:paraId="2EF22F91">
      <w:pPr>
        <w:widowControl/>
        <w:spacing w:line="360" w:lineRule="auto"/>
        <w:jc w:val="center"/>
        <w:outlineLvl w:val="1"/>
        <w:rPr>
          <w:rFonts w:eastAsia="仿宋"/>
          <w:b/>
          <w:bCs/>
          <w:kern w:val="0"/>
          <w:sz w:val="28"/>
          <w:szCs w:val="28"/>
        </w:rPr>
      </w:pPr>
    </w:p>
    <w:p w14:paraId="1C1796D0">
      <w:pPr>
        <w:widowControl/>
        <w:spacing w:line="360" w:lineRule="auto"/>
        <w:jc w:val="center"/>
        <w:outlineLvl w:val="1"/>
        <w:rPr>
          <w:rFonts w:eastAsia="仿宋"/>
          <w:b/>
          <w:bCs/>
          <w:kern w:val="0"/>
          <w:sz w:val="28"/>
          <w:szCs w:val="28"/>
        </w:rPr>
      </w:pPr>
    </w:p>
    <w:p w14:paraId="50015878">
      <w:pPr>
        <w:widowControl/>
        <w:spacing w:line="360" w:lineRule="auto"/>
        <w:jc w:val="center"/>
        <w:outlineLvl w:val="1"/>
        <w:rPr>
          <w:rFonts w:eastAsia="仿宋"/>
          <w:b/>
          <w:bCs/>
          <w:kern w:val="0"/>
          <w:sz w:val="28"/>
          <w:szCs w:val="28"/>
        </w:rPr>
      </w:pPr>
    </w:p>
    <w:p w14:paraId="5EABC231">
      <w:pPr>
        <w:widowControl/>
        <w:spacing w:line="360" w:lineRule="auto"/>
        <w:jc w:val="center"/>
        <w:outlineLvl w:val="1"/>
        <w:rPr>
          <w:rFonts w:eastAsia="仿宋"/>
          <w:b/>
          <w:bCs/>
          <w:kern w:val="0"/>
          <w:sz w:val="28"/>
          <w:szCs w:val="28"/>
        </w:rPr>
      </w:pPr>
    </w:p>
    <w:p w14:paraId="7E45C064">
      <w:pPr>
        <w:widowControl/>
        <w:spacing w:line="360" w:lineRule="auto"/>
        <w:jc w:val="center"/>
        <w:outlineLvl w:val="1"/>
        <w:rPr>
          <w:rFonts w:eastAsia="仿宋"/>
          <w:b/>
          <w:bCs/>
          <w:kern w:val="0"/>
          <w:sz w:val="28"/>
          <w:szCs w:val="28"/>
        </w:rPr>
      </w:pPr>
    </w:p>
    <w:p w14:paraId="54F2C06D">
      <w:pPr>
        <w:widowControl/>
        <w:spacing w:line="360" w:lineRule="auto"/>
        <w:jc w:val="center"/>
        <w:outlineLvl w:val="1"/>
        <w:rPr>
          <w:rFonts w:eastAsia="仿宋"/>
          <w:b/>
          <w:bCs/>
          <w:kern w:val="0"/>
          <w:sz w:val="28"/>
          <w:szCs w:val="28"/>
        </w:rPr>
      </w:pPr>
    </w:p>
    <w:p w14:paraId="7FCCF86D">
      <w:pPr>
        <w:widowControl/>
        <w:spacing w:line="360" w:lineRule="auto"/>
        <w:jc w:val="center"/>
        <w:outlineLvl w:val="1"/>
        <w:rPr>
          <w:rFonts w:eastAsia="仿宋"/>
          <w:b/>
          <w:bCs/>
          <w:kern w:val="0"/>
          <w:sz w:val="28"/>
          <w:szCs w:val="28"/>
        </w:rPr>
      </w:pPr>
    </w:p>
    <w:p w14:paraId="75635DD6">
      <w:pPr>
        <w:widowControl/>
        <w:spacing w:line="360" w:lineRule="auto"/>
        <w:jc w:val="center"/>
        <w:outlineLvl w:val="1"/>
        <w:rPr>
          <w:rFonts w:eastAsia="仿宋"/>
          <w:b/>
          <w:bCs/>
          <w:kern w:val="0"/>
          <w:sz w:val="28"/>
          <w:szCs w:val="28"/>
        </w:rPr>
      </w:pPr>
    </w:p>
    <w:p w14:paraId="0013DED8">
      <w:pPr>
        <w:widowControl/>
        <w:spacing w:line="360" w:lineRule="auto"/>
        <w:jc w:val="center"/>
        <w:outlineLvl w:val="1"/>
        <w:rPr>
          <w:rFonts w:eastAsia="仿宋"/>
          <w:b/>
          <w:bCs/>
          <w:kern w:val="0"/>
          <w:sz w:val="28"/>
          <w:szCs w:val="28"/>
        </w:rPr>
      </w:pPr>
    </w:p>
    <w:p w14:paraId="1558C0F0">
      <w:pPr>
        <w:widowControl/>
        <w:spacing w:line="360" w:lineRule="auto"/>
        <w:jc w:val="center"/>
        <w:outlineLvl w:val="1"/>
        <w:rPr>
          <w:rFonts w:eastAsia="仿宋"/>
          <w:b/>
          <w:bCs/>
          <w:kern w:val="0"/>
          <w:sz w:val="28"/>
          <w:szCs w:val="28"/>
        </w:rPr>
      </w:pPr>
    </w:p>
    <w:p w14:paraId="08EE8112">
      <w:pPr>
        <w:widowControl/>
        <w:spacing w:line="360" w:lineRule="auto"/>
        <w:jc w:val="center"/>
        <w:outlineLvl w:val="1"/>
        <w:rPr>
          <w:rFonts w:eastAsia="仿宋"/>
          <w:b/>
          <w:bCs/>
          <w:kern w:val="0"/>
          <w:sz w:val="28"/>
          <w:szCs w:val="28"/>
        </w:rPr>
      </w:pPr>
    </w:p>
    <w:p w14:paraId="40DA546B">
      <w:pPr>
        <w:widowControl/>
        <w:spacing w:line="360" w:lineRule="auto"/>
        <w:jc w:val="center"/>
        <w:outlineLvl w:val="1"/>
        <w:rPr>
          <w:rFonts w:eastAsia="仿宋"/>
          <w:b/>
          <w:bCs/>
          <w:kern w:val="0"/>
          <w:sz w:val="28"/>
          <w:szCs w:val="28"/>
        </w:rPr>
      </w:pPr>
    </w:p>
    <w:p w14:paraId="12E55C18">
      <w:pPr>
        <w:widowControl/>
        <w:spacing w:line="360" w:lineRule="auto"/>
        <w:jc w:val="center"/>
        <w:outlineLvl w:val="1"/>
        <w:rPr>
          <w:rFonts w:eastAsia="仿宋"/>
          <w:b/>
          <w:bCs/>
          <w:kern w:val="0"/>
          <w:sz w:val="28"/>
          <w:szCs w:val="28"/>
        </w:rPr>
        <w:sectPr>
          <w:headerReference r:id="rId12" w:type="default"/>
          <w:footerReference r:id="rId13" w:type="default"/>
          <w:pgSz w:w="11911" w:h="16838"/>
          <w:pgMar w:top="1440" w:right="1140" w:bottom="1440" w:left="1140" w:header="850" w:footer="1088" w:gutter="0"/>
          <w:cols w:space="0" w:num="1"/>
        </w:sectPr>
      </w:pPr>
    </w:p>
    <w:p w14:paraId="040AB01B">
      <w:pPr>
        <w:widowControl/>
        <w:spacing w:line="360" w:lineRule="auto"/>
        <w:jc w:val="center"/>
        <w:outlineLvl w:val="1"/>
        <w:rPr>
          <w:rFonts w:eastAsia="仿宋"/>
          <w:b/>
          <w:bCs/>
          <w:kern w:val="0"/>
          <w:sz w:val="28"/>
          <w:szCs w:val="28"/>
        </w:rPr>
      </w:pPr>
      <w:r>
        <w:rPr>
          <w:rFonts w:eastAsia="仿宋"/>
          <w:b/>
          <w:bCs/>
          <w:kern w:val="0"/>
          <w:sz w:val="28"/>
          <w:szCs w:val="28"/>
        </w:rPr>
        <w:t>二、技术部分</w:t>
      </w:r>
    </w:p>
    <w:p w14:paraId="2912B5CE">
      <w:pPr>
        <w:adjustRightInd w:val="0"/>
        <w:snapToGrid w:val="0"/>
        <w:spacing w:line="360" w:lineRule="auto"/>
        <w:ind w:firstLine="964" w:firstLineChars="400"/>
        <w:rPr>
          <w:rFonts w:eastAsia="仿宋"/>
          <w:b/>
          <w:bCs/>
          <w:sz w:val="24"/>
          <w:szCs w:val="24"/>
        </w:rPr>
      </w:pPr>
      <w:r>
        <w:rPr>
          <w:rFonts w:eastAsia="仿宋"/>
          <w:b/>
          <w:bCs/>
          <w:sz w:val="24"/>
          <w:szCs w:val="24"/>
        </w:rPr>
        <w:t>1、技术响应与偏离表</w:t>
      </w:r>
    </w:p>
    <w:p w14:paraId="4DD569F1">
      <w:pPr>
        <w:adjustRightInd w:val="0"/>
        <w:snapToGrid w:val="0"/>
        <w:spacing w:line="360" w:lineRule="auto"/>
        <w:ind w:firstLine="964" w:firstLineChars="400"/>
        <w:rPr>
          <w:rFonts w:eastAsia="仿宋"/>
          <w:b/>
          <w:bCs/>
          <w:w w:val="95"/>
          <w:kern w:val="0"/>
          <w:sz w:val="24"/>
          <w:szCs w:val="24"/>
        </w:rPr>
        <w:sectPr>
          <w:pgSz w:w="11911" w:h="16838"/>
          <w:pgMar w:top="1440" w:right="1140" w:bottom="1440" w:left="1140" w:header="850" w:footer="1088" w:gutter="0"/>
          <w:cols w:space="0" w:num="1"/>
        </w:sectPr>
      </w:pPr>
      <w:r>
        <w:rPr>
          <w:rFonts w:eastAsia="仿宋"/>
          <w:b/>
          <w:bCs/>
          <w:sz w:val="24"/>
          <w:szCs w:val="24"/>
        </w:rPr>
        <w:t>2、供应商认为有必要提供的声明及其他资料</w:t>
      </w:r>
    </w:p>
    <w:p w14:paraId="0F4E0EAE">
      <w:pPr>
        <w:adjustRightInd w:val="0"/>
        <w:snapToGrid w:val="0"/>
        <w:spacing w:line="360" w:lineRule="auto"/>
        <w:rPr>
          <w:rFonts w:eastAsia="仿宋"/>
          <w:b/>
          <w:bCs/>
          <w:sz w:val="28"/>
          <w:szCs w:val="28"/>
        </w:rPr>
      </w:pPr>
      <w:r>
        <w:rPr>
          <w:rFonts w:eastAsia="仿宋"/>
          <w:b/>
          <w:bCs/>
          <w:sz w:val="28"/>
          <w:szCs w:val="28"/>
        </w:rPr>
        <w:t>1、技术响应与偏离表</w:t>
      </w:r>
    </w:p>
    <w:p w14:paraId="4095F1AB">
      <w:pPr>
        <w:autoSpaceDE w:val="0"/>
        <w:autoSpaceDN w:val="0"/>
        <w:jc w:val="left"/>
        <w:rPr>
          <w:rFonts w:eastAsia="仿宋"/>
          <w:b/>
          <w:kern w:val="0"/>
          <w:sz w:val="20"/>
        </w:rPr>
      </w:pPr>
    </w:p>
    <w:p w14:paraId="5364F966">
      <w:pPr>
        <w:spacing w:line="360" w:lineRule="atLeast"/>
        <w:ind w:firstLine="723"/>
        <w:jc w:val="center"/>
        <w:rPr>
          <w:rFonts w:eastAsia="仿宋"/>
          <w:color w:val="000000"/>
          <w:sz w:val="28"/>
          <w:szCs w:val="16"/>
        </w:rPr>
      </w:pPr>
      <w:r>
        <w:rPr>
          <w:rFonts w:eastAsia="仿宋"/>
          <w:color w:val="000000"/>
          <w:sz w:val="28"/>
          <w:szCs w:val="16"/>
        </w:rPr>
        <w:t>技 术 条 款 偏 离 表</w:t>
      </w:r>
    </w:p>
    <w:p w14:paraId="63C09472">
      <w:pPr>
        <w:spacing w:line="360" w:lineRule="atLeast"/>
        <w:ind w:right="352"/>
        <w:jc w:val="left"/>
        <w:rPr>
          <w:rFonts w:eastAsia="仿宋"/>
          <w:color w:val="000000"/>
          <w:sz w:val="28"/>
        </w:rPr>
      </w:pPr>
      <w:r>
        <w:rPr>
          <w:rFonts w:eastAsia="仿宋"/>
          <w:color w:val="000000"/>
          <w:sz w:val="24"/>
          <w:szCs w:val="18"/>
        </w:rPr>
        <w:t xml:space="preserve">项目编号：    </w:t>
      </w:r>
      <w:r>
        <w:rPr>
          <w:rFonts w:eastAsia="仿宋"/>
          <w:kern w:val="0"/>
          <w:sz w:val="24"/>
          <w:szCs w:val="24"/>
        </w:rPr>
        <w:t>标项号：</w:t>
      </w:r>
      <w:r>
        <w:rPr>
          <w:rFonts w:eastAsia="仿宋"/>
          <w:color w:val="000000"/>
          <w:sz w:val="24"/>
          <w:szCs w:val="18"/>
        </w:rPr>
        <w:t xml:space="preserve"> </w:t>
      </w:r>
      <w:r>
        <w:rPr>
          <w:rFonts w:eastAsia="仿宋"/>
          <w:color w:val="000000"/>
          <w:sz w:val="28"/>
        </w:rPr>
        <w:t xml:space="preserve">                                             </w:t>
      </w:r>
    </w:p>
    <w:tbl>
      <w:tblPr>
        <w:tblStyle w:val="21"/>
        <w:tblW w:w="10473" w:type="dxa"/>
        <w:jc w:val="center"/>
        <w:tblLayout w:type="fixed"/>
        <w:tblCellMar>
          <w:top w:w="0" w:type="dxa"/>
          <w:left w:w="108" w:type="dxa"/>
          <w:bottom w:w="0" w:type="dxa"/>
          <w:right w:w="108" w:type="dxa"/>
        </w:tblCellMar>
      </w:tblPr>
      <w:tblGrid>
        <w:gridCol w:w="575"/>
        <w:gridCol w:w="3570"/>
        <w:gridCol w:w="2482"/>
        <w:gridCol w:w="2278"/>
        <w:gridCol w:w="1568"/>
      </w:tblGrid>
      <w:tr w14:paraId="3096B6B5">
        <w:trPr>
          <w:trHeight w:val="626" w:hRule="atLeast"/>
          <w:jc w:val="center"/>
        </w:trPr>
        <w:tc>
          <w:tcPr>
            <w:tcW w:w="575" w:type="dxa"/>
            <w:tcBorders>
              <w:top w:val="single" w:color="auto" w:sz="6" w:space="0"/>
              <w:left w:val="single" w:color="auto" w:sz="6" w:space="0"/>
              <w:bottom w:val="single" w:color="auto" w:sz="6" w:space="0"/>
              <w:right w:val="single" w:color="auto" w:sz="6" w:space="0"/>
            </w:tcBorders>
            <w:vAlign w:val="center"/>
          </w:tcPr>
          <w:p w14:paraId="6E0BC3CF">
            <w:pPr>
              <w:snapToGrid w:val="0"/>
              <w:spacing w:line="360" w:lineRule="auto"/>
              <w:jc w:val="center"/>
              <w:rPr>
                <w:rFonts w:eastAsia="仿宋"/>
                <w:szCs w:val="21"/>
              </w:rPr>
            </w:pPr>
            <w:r>
              <w:rPr>
                <w:rFonts w:eastAsia="仿宋"/>
                <w:szCs w:val="21"/>
              </w:rPr>
              <w:t>序号</w:t>
            </w:r>
          </w:p>
        </w:tc>
        <w:tc>
          <w:tcPr>
            <w:tcW w:w="3570" w:type="dxa"/>
            <w:tcBorders>
              <w:top w:val="single" w:color="auto" w:sz="6" w:space="0"/>
              <w:left w:val="single" w:color="auto" w:sz="6" w:space="0"/>
              <w:bottom w:val="single" w:color="auto" w:sz="6" w:space="0"/>
              <w:right w:val="single" w:color="auto" w:sz="6" w:space="0"/>
            </w:tcBorders>
            <w:vAlign w:val="center"/>
          </w:tcPr>
          <w:p w14:paraId="5463D9B4">
            <w:pPr>
              <w:snapToGrid w:val="0"/>
              <w:spacing w:line="360" w:lineRule="auto"/>
              <w:jc w:val="center"/>
              <w:rPr>
                <w:rFonts w:eastAsia="仿宋"/>
                <w:szCs w:val="21"/>
              </w:rPr>
            </w:pPr>
            <w:r>
              <w:rPr>
                <w:rFonts w:eastAsia="仿宋"/>
                <w:szCs w:val="21"/>
              </w:rPr>
              <w:t>技术条款</w:t>
            </w:r>
          </w:p>
        </w:tc>
        <w:tc>
          <w:tcPr>
            <w:tcW w:w="2482" w:type="dxa"/>
            <w:tcBorders>
              <w:top w:val="single" w:color="auto" w:sz="6" w:space="0"/>
              <w:left w:val="single" w:color="auto" w:sz="6" w:space="0"/>
              <w:bottom w:val="single" w:color="auto" w:sz="6" w:space="0"/>
              <w:right w:val="single" w:color="auto" w:sz="6" w:space="0"/>
            </w:tcBorders>
            <w:vAlign w:val="center"/>
          </w:tcPr>
          <w:p w14:paraId="15A3B1D3">
            <w:pPr>
              <w:snapToGrid w:val="0"/>
              <w:spacing w:line="360" w:lineRule="auto"/>
              <w:jc w:val="center"/>
              <w:rPr>
                <w:rFonts w:eastAsia="仿宋"/>
                <w:szCs w:val="21"/>
              </w:rPr>
            </w:pPr>
            <w:r>
              <w:rPr>
                <w:rFonts w:eastAsia="仿宋"/>
                <w:szCs w:val="21"/>
              </w:rPr>
              <w:t>响应条款</w:t>
            </w:r>
          </w:p>
        </w:tc>
        <w:tc>
          <w:tcPr>
            <w:tcW w:w="2278" w:type="dxa"/>
            <w:tcBorders>
              <w:top w:val="single" w:color="auto" w:sz="6" w:space="0"/>
              <w:left w:val="single" w:color="auto" w:sz="6" w:space="0"/>
              <w:bottom w:val="single" w:color="auto" w:sz="6" w:space="0"/>
              <w:right w:val="single" w:color="auto" w:sz="6" w:space="0"/>
            </w:tcBorders>
            <w:vAlign w:val="center"/>
          </w:tcPr>
          <w:p w14:paraId="43E9A08D">
            <w:pPr>
              <w:snapToGrid w:val="0"/>
              <w:spacing w:line="360" w:lineRule="auto"/>
              <w:jc w:val="center"/>
              <w:rPr>
                <w:rFonts w:eastAsia="仿宋"/>
                <w:szCs w:val="21"/>
              </w:rPr>
            </w:pPr>
            <w:r>
              <w:rPr>
                <w:rFonts w:eastAsia="仿宋"/>
                <w:szCs w:val="21"/>
              </w:rPr>
              <w:t>响应/偏离</w:t>
            </w:r>
          </w:p>
        </w:tc>
        <w:tc>
          <w:tcPr>
            <w:tcW w:w="1568" w:type="dxa"/>
            <w:tcBorders>
              <w:top w:val="single" w:color="auto" w:sz="6" w:space="0"/>
              <w:left w:val="single" w:color="auto" w:sz="6" w:space="0"/>
              <w:bottom w:val="single" w:color="auto" w:sz="6" w:space="0"/>
              <w:right w:val="single" w:color="auto" w:sz="6" w:space="0"/>
            </w:tcBorders>
            <w:vAlign w:val="center"/>
          </w:tcPr>
          <w:p w14:paraId="74C12433">
            <w:pPr>
              <w:snapToGrid w:val="0"/>
              <w:spacing w:line="360" w:lineRule="auto"/>
              <w:jc w:val="center"/>
              <w:rPr>
                <w:rFonts w:eastAsia="仿宋"/>
                <w:szCs w:val="21"/>
              </w:rPr>
            </w:pPr>
            <w:r>
              <w:rPr>
                <w:rFonts w:eastAsia="仿宋"/>
                <w:szCs w:val="21"/>
              </w:rPr>
              <w:t>相关证明材料对应页码</w:t>
            </w:r>
          </w:p>
        </w:tc>
      </w:tr>
      <w:tr w14:paraId="6299BE56">
        <w:tblPrEx>
          <w:tblCellMar>
            <w:top w:w="0" w:type="dxa"/>
            <w:left w:w="108" w:type="dxa"/>
            <w:bottom w:w="0" w:type="dxa"/>
            <w:right w:w="108" w:type="dxa"/>
          </w:tblCellMar>
        </w:tblPrEx>
        <w:trPr>
          <w:trHeight w:val="891" w:hRule="atLeast"/>
          <w:jc w:val="center"/>
        </w:trPr>
        <w:tc>
          <w:tcPr>
            <w:tcW w:w="575" w:type="dxa"/>
            <w:tcBorders>
              <w:top w:val="single" w:color="auto" w:sz="6" w:space="0"/>
              <w:left w:val="single" w:color="auto" w:sz="6" w:space="0"/>
              <w:bottom w:val="single" w:color="auto" w:sz="6" w:space="0"/>
              <w:right w:val="single" w:color="auto" w:sz="6" w:space="0"/>
            </w:tcBorders>
            <w:vAlign w:val="center"/>
          </w:tcPr>
          <w:p w14:paraId="20EC1319">
            <w:pPr>
              <w:snapToGrid w:val="0"/>
              <w:spacing w:line="360" w:lineRule="auto"/>
              <w:rPr>
                <w:rFonts w:eastAsia="仿宋"/>
                <w:szCs w:val="21"/>
              </w:rPr>
            </w:pPr>
            <w:r>
              <w:rPr>
                <w:rFonts w:eastAsia="仿宋"/>
                <w:szCs w:val="21"/>
              </w:rPr>
              <w:t>1</w:t>
            </w:r>
          </w:p>
        </w:tc>
        <w:tc>
          <w:tcPr>
            <w:tcW w:w="3570" w:type="dxa"/>
            <w:tcBorders>
              <w:top w:val="single" w:color="auto" w:sz="6" w:space="0"/>
              <w:left w:val="single" w:color="auto" w:sz="6" w:space="0"/>
              <w:bottom w:val="single" w:color="auto" w:sz="6" w:space="0"/>
              <w:right w:val="single" w:color="auto" w:sz="6" w:space="0"/>
            </w:tcBorders>
            <w:vAlign w:val="center"/>
          </w:tcPr>
          <w:p w14:paraId="1BA57BA7">
            <w:pPr>
              <w:snapToGrid w:val="0"/>
              <w:spacing w:line="360" w:lineRule="auto"/>
              <w:rPr>
                <w:rFonts w:eastAsia="仿宋"/>
                <w:color w:val="000000"/>
                <w:szCs w:val="21"/>
              </w:rPr>
            </w:pPr>
          </w:p>
        </w:tc>
        <w:tc>
          <w:tcPr>
            <w:tcW w:w="2482" w:type="dxa"/>
            <w:tcBorders>
              <w:top w:val="single" w:color="auto" w:sz="6" w:space="0"/>
              <w:left w:val="single" w:color="auto" w:sz="6" w:space="0"/>
              <w:bottom w:val="single" w:color="auto" w:sz="6" w:space="0"/>
              <w:right w:val="single" w:color="auto" w:sz="6" w:space="0"/>
            </w:tcBorders>
            <w:vAlign w:val="center"/>
          </w:tcPr>
          <w:p w14:paraId="368579C7">
            <w:pPr>
              <w:snapToGrid w:val="0"/>
              <w:spacing w:line="360" w:lineRule="auto"/>
              <w:ind w:firstLine="420"/>
              <w:rPr>
                <w:rFonts w:eastAsia="仿宋"/>
                <w:color w:val="000000"/>
                <w:szCs w:val="21"/>
              </w:rPr>
            </w:pPr>
          </w:p>
        </w:tc>
        <w:tc>
          <w:tcPr>
            <w:tcW w:w="2278" w:type="dxa"/>
            <w:tcBorders>
              <w:top w:val="single" w:color="auto" w:sz="6" w:space="0"/>
              <w:left w:val="single" w:color="auto" w:sz="6" w:space="0"/>
              <w:bottom w:val="single" w:color="auto" w:sz="6" w:space="0"/>
              <w:right w:val="single" w:color="auto" w:sz="6" w:space="0"/>
            </w:tcBorders>
            <w:vAlign w:val="center"/>
          </w:tcPr>
          <w:p w14:paraId="399DA567">
            <w:pPr>
              <w:snapToGrid w:val="0"/>
              <w:spacing w:line="360" w:lineRule="auto"/>
              <w:rPr>
                <w:rFonts w:eastAsia="仿宋"/>
                <w:color w:val="000000"/>
                <w:szCs w:val="21"/>
              </w:rPr>
            </w:pPr>
          </w:p>
        </w:tc>
        <w:tc>
          <w:tcPr>
            <w:tcW w:w="1568" w:type="dxa"/>
            <w:tcBorders>
              <w:top w:val="single" w:color="auto" w:sz="6" w:space="0"/>
              <w:left w:val="single" w:color="auto" w:sz="6" w:space="0"/>
              <w:bottom w:val="single" w:color="auto" w:sz="6" w:space="0"/>
              <w:right w:val="single" w:color="auto" w:sz="6" w:space="0"/>
            </w:tcBorders>
            <w:vAlign w:val="center"/>
          </w:tcPr>
          <w:p w14:paraId="6FDF3FA6">
            <w:pPr>
              <w:snapToGrid w:val="0"/>
              <w:spacing w:line="360" w:lineRule="auto"/>
              <w:rPr>
                <w:rFonts w:eastAsia="仿宋"/>
                <w:color w:val="000000"/>
                <w:szCs w:val="21"/>
              </w:rPr>
            </w:pPr>
          </w:p>
        </w:tc>
      </w:tr>
      <w:tr w14:paraId="38B5E4FD">
        <w:tblPrEx>
          <w:tblCellMar>
            <w:top w:w="0" w:type="dxa"/>
            <w:left w:w="108" w:type="dxa"/>
            <w:bottom w:w="0" w:type="dxa"/>
            <w:right w:w="108" w:type="dxa"/>
          </w:tblCellMar>
        </w:tblPrEx>
        <w:trPr>
          <w:trHeight w:val="839" w:hRule="atLeast"/>
          <w:jc w:val="center"/>
        </w:trPr>
        <w:tc>
          <w:tcPr>
            <w:tcW w:w="575" w:type="dxa"/>
            <w:tcBorders>
              <w:top w:val="single" w:color="auto" w:sz="6" w:space="0"/>
              <w:left w:val="single" w:color="auto" w:sz="6" w:space="0"/>
              <w:bottom w:val="single" w:color="auto" w:sz="6" w:space="0"/>
              <w:right w:val="single" w:color="auto" w:sz="6" w:space="0"/>
            </w:tcBorders>
            <w:vAlign w:val="center"/>
          </w:tcPr>
          <w:p w14:paraId="3F27CCF9">
            <w:pPr>
              <w:snapToGrid w:val="0"/>
              <w:spacing w:line="360" w:lineRule="auto"/>
              <w:rPr>
                <w:rFonts w:eastAsia="仿宋"/>
                <w:szCs w:val="21"/>
              </w:rPr>
            </w:pPr>
            <w:r>
              <w:rPr>
                <w:rFonts w:eastAsia="仿宋"/>
                <w:szCs w:val="21"/>
              </w:rPr>
              <w:t>2</w:t>
            </w:r>
          </w:p>
        </w:tc>
        <w:tc>
          <w:tcPr>
            <w:tcW w:w="3570" w:type="dxa"/>
            <w:tcBorders>
              <w:top w:val="single" w:color="auto" w:sz="6" w:space="0"/>
              <w:left w:val="single" w:color="auto" w:sz="6" w:space="0"/>
              <w:bottom w:val="single" w:color="auto" w:sz="6" w:space="0"/>
              <w:right w:val="single" w:color="auto" w:sz="6" w:space="0"/>
            </w:tcBorders>
            <w:vAlign w:val="center"/>
          </w:tcPr>
          <w:p w14:paraId="74EF3D3A">
            <w:pPr>
              <w:snapToGrid w:val="0"/>
              <w:spacing w:line="360" w:lineRule="auto"/>
              <w:rPr>
                <w:rFonts w:eastAsia="仿宋"/>
                <w:color w:val="000000"/>
                <w:szCs w:val="21"/>
              </w:rPr>
            </w:pPr>
          </w:p>
        </w:tc>
        <w:tc>
          <w:tcPr>
            <w:tcW w:w="2482" w:type="dxa"/>
            <w:tcBorders>
              <w:top w:val="single" w:color="auto" w:sz="6" w:space="0"/>
              <w:left w:val="single" w:color="auto" w:sz="6" w:space="0"/>
              <w:bottom w:val="single" w:color="auto" w:sz="6" w:space="0"/>
              <w:right w:val="single" w:color="auto" w:sz="6" w:space="0"/>
            </w:tcBorders>
            <w:vAlign w:val="center"/>
          </w:tcPr>
          <w:p w14:paraId="190CD2EF">
            <w:pPr>
              <w:snapToGrid w:val="0"/>
              <w:spacing w:line="360" w:lineRule="auto"/>
              <w:ind w:firstLine="420"/>
              <w:rPr>
                <w:rFonts w:eastAsia="仿宋"/>
                <w:color w:val="000000"/>
                <w:szCs w:val="21"/>
              </w:rPr>
            </w:pPr>
          </w:p>
        </w:tc>
        <w:tc>
          <w:tcPr>
            <w:tcW w:w="2278" w:type="dxa"/>
            <w:tcBorders>
              <w:top w:val="single" w:color="auto" w:sz="6" w:space="0"/>
              <w:left w:val="single" w:color="auto" w:sz="6" w:space="0"/>
              <w:bottom w:val="single" w:color="auto" w:sz="6" w:space="0"/>
              <w:right w:val="single" w:color="auto" w:sz="6" w:space="0"/>
            </w:tcBorders>
            <w:vAlign w:val="center"/>
          </w:tcPr>
          <w:p w14:paraId="1C04CDDA">
            <w:pPr>
              <w:snapToGrid w:val="0"/>
              <w:spacing w:line="360" w:lineRule="auto"/>
              <w:rPr>
                <w:rFonts w:eastAsia="仿宋"/>
                <w:color w:val="000000"/>
                <w:szCs w:val="21"/>
              </w:rPr>
            </w:pPr>
          </w:p>
        </w:tc>
        <w:tc>
          <w:tcPr>
            <w:tcW w:w="1568" w:type="dxa"/>
            <w:tcBorders>
              <w:top w:val="single" w:color="auto" w:sz="6" w:space="0"/>
              <w:left w:val="single" w:color="auto" w:sz="6" w:space="0"/>
              <w:bottom w:val="single" w:color="auto" w:sz="6" w:space="0"/>
              <w:right w:val="single" w:color="auto" w:sz="6" w:space="0"/>
            </w:tcBorders>
            <w:vAlign w:val="center"/>
          </w:tcPr>
          <w:p w14:paraId="7F59F26B">
            <w:pPr>
              <w:snapToGrid w:val="0"/>
              <w:spacing w:line="360" w:lineRule="auto"/>
              <w:rPr>
                <w:rFonts w:eastAsia="仿宋"/>
                <w:color w:val="000000"/>
                <w:szCs w:val="21"/>
              </w:rPr>
            </w:pPr>
          </w:p>
        </w:tc>
      </w:tr>
      <w:tr w14:paraId="4B65C4DC">
        <w:tblPrEx>
          <w:tblCellMar>
            <w:top w:w="0" w:type="dxa"/>
            <w:left w:w="108" w:type="dxa"/>
            <w:bottom w:w="0" w:type="dxa"/>
            <w:right w:w="108" w:type="dxa"/>
          </w:tblCellMar>
        </w:tblPrEx>
        <w:trPr>
          <w:trHeight w:val="923" w:hRule="atLeast"/>
          <w:jc w:val="center"/>
        </w:trPr>
        <w:tc>
          <w:tcPr>
            <w:tcW w:w="575" w:type="dxa"/>
            <w:tcBorders>
              <w:top w:val="single" w:color="auto" w:sz="6" w:space="0"/>
              <w:left w:val="single" w:color="auto" w:sz="6" w:space="0"/>
              <w:bottom w:val="single" w:color="auto" w:sz="6" w:space="0"/>
              <w:right w:val="single" w:color="auto" w:sz="6" w:space="0"/>
            </w:tcBorders>
            <w:vAlign w:val="center"/>
          </w:tcPr>
          <w:p w14:paraId="351E89F7">
            <w:pPr>
              <w:snapToGrid w:val="0"/>
              <w:spacing w:line="360" w:lineRule="auto"/>
              <w:rPr>
                <w:rFonts w:eastAsia="仿宋"/>
                <w:szCs w:val="21"/>
              </w:rPr>
            </w:pPr>
            <w:r>
              <w:rPr>
                <w:rFonts w:eastAsia="仿宋"/>
                <w:szCs w:val="21"/>
              </w:rPr>
              <w:t>3</w:t>
            </w:r>
          </w:p>
        </w:tc>
        <w:tc>
          <w:tcPr>
            <w:tcW w:w="3570" w:type="dxa"/>
            <w:tcBorders>
              <w:top w:val="single" w:color="auto" w:sz="6" w:space="0"/>
              <w:left w:val="single" w:color="auto" w:sz="6" w:space="0"/>
              <w:bottom w:val="single" w:color="auto" w:sz="6" w:space="0"/>
              <w:right w:val="single" w:color="auto" w:sz="6" w:space="0"/>
            </w:tcBorders>
            <w:vAlign w:val="center"/>
          </w:tcPr>
          <w:p w14:paraId="6F9F8A37">
            <w:pPr>
              <w:snapToGrid w:val="0"/>
              <w:spacing w:line="360" w:lineRule="auto"/>
              <w:rPr>
                <w:rFonts w:eastAsia="仿宋"/>
                <w:szCs w:val="21"/>
              </w:rPr>
            </w:pPr>
          </w:p>
        </w:tc>
        <w:tc>
          <w:tcPr>
            <w:tcW w:w="2482" w:type="dxa"/>
            <w:tcBorders>
              <w:top w:val="single" w:color="auto" w:sz="6" w:space="0"/>
              <w:left w:val="single" w:color="auto" w:sz="6" w:space="0"/>
              <w:bottom w:val="single" w:color="auto" w:sz="6" w:space="0"/>
              <w:right w:val="single" w:color="auto" w:sz="6" w:space="0"/>
            </w:tcBorders>
            <w:vAlign w:val="center"/>
          </w:tcPr>
          <w:p w14:paraId="568656BE">
            <w:pPr>
              <w:snapToGrid w:val="0"/>
              <w:spacing w:line="360" w:lineRule="auto"/>
              <w:ind w:firstLine="420"/>
              <w:rPr>
                <w:rFonts w:eastAsia="仿宋"/>
                <w:color w:val="000000"/>
                <w:szCs w:val="21"/>
              </w:rPr>
            </w:pPr>
          </w:p>
        </w:tc>
        <w:tc>
          <w:tcPr>
            <w:tcW w:w="2278" w:type="dxa"/>
            <w:tcBorders>
              <w:top w:val="single" w:color="auto" w:sz="6" w:space="0"/>
              <w:left w:val="single" w:color="auto" w:sz="6" w:space="0"/>
              <w:bottom w:val="single" w:color="auto" w:sz="6" w:space="0"/>
              <w:right w:val="single" w:color="auto" w:sz="6" w:space="0"/>
            </w:tcBorders>
            <w:vAlign w:val="center"/>
          </w:tcPr>
          <w:p w14:paraId="7ABA8D1D">
            <w:pPr>
              <w:snapToGrid w:val="0"/>
              <w:spacing w:line="360" w:lineRule="auto"/>
              <w:rPr>
                <w:rFonts w:eastAsia="仿宋"/>
                <w:color w:val="000000"/>
                <w:szCs w:val="21"/>
              </w:rPr>
            </w:pPr>
          </w:p>
        </w:tc>
        <w:tc>
          <w:tcPr>
            <w:tcW w:w="1568" w:type="dxa"/>
            <w:tcBorders>
              <w:top w:val="single" w:color="auto" w:sz="6" w:space="0"/>
              <w:left w:val="single" w:color="auto" w:sz="6" w:space="0"/>
              <w:bottom w:val="single" w:color="auto" w:sz="6" w:space="0"/>
              <w:right w:val="single" w:color="auto" w:sz="6" w:space="0"/>
            </w:tcBorders>
            <w:vAlign w:val="center"/>
          </w:tcPr>
          <w:p w14:paraId="61C4866C">
            <w:pPr>
              <w:snapToGrid w:val="0"/>
              <w:spacing w:line="360" w:lineRule="auto"/>
              <w:rPr>
                <w:rFonts w:eastAsia="仿宋"/>
                <w:color w:val="000000"/>
                <w:szCs w:val="21"/>
              </w:rPr>
            </w:pPr>
          </w:p>
        </w:tc>
      </w:tr>
      <w:tr w14:paraId="59A36DAC">
        <w:tblPrEx>
          <w:tblCellMar>
            <w:top w:w="0" w:type="dxa"/>
            <w:left w:w="108" w:type="dxa"/>
            <w:bottom w:w="0" w:type="dxa"/>
            <w:right w:w="108" w:type="dxa"/>
          </w:tblCellMar>
        </w:tblPrEx>
        <w:trPr>
          <w:trHeight w:val="804" w:hRule="atLeast"/>
          <w:jc w:val="center"/>
        </w:trPr>
        <w:tc>
          <w:tcPr>
            <w:tcW w:w="10473" w:type="dxa"/>
            <w:gridSpan w:val="5"/>
            <w:tcBorders>
              <w:top w:val="single" w:color="auto" w:sz="6" w:space="0"/>
              <w:left w:val="single" w:color="auto" w:sz="6" w:space="0"/>
              <w:bottom w:val="single" w:color="auto" w:sz="6" w:space="0"/>
              <w:right w:val="single" w:color="auto" w:sz="6" w:space="0"/>
            </w:tcBorders>
            <w:vAlign w:val="center"/>
          </w:tcPr>
          <w:p w14:paraId="1A3E0DC8">
            <w:pPr>
              <w:snapToGrid w:val="0"/>
              <w:spacing w:line="360" w:lineRule="auto"/>
              <w:rPr>
                <w:rFonts w:eastAsia="仿宋"/>
                <w:color w:val="000000"/>
                <w:szCs w:val="21"/>
              </w:rPr>
            </w:pPr>
            <w:r>
              <w:rPr>
                <w:rFonts w:eastAsia="仿宋"/>
                <w:b/>
                <w:bCs/>
                <w:szCs w:val="21"/>
                <w:lang w:bidi="ar"/>
              </w:rPr>
              <w:t>（备注：所有技术指标按本表响应内容为准，不接受负偏离，否则视为未实质性响应采购文件要求，将被否决磋商）</w:t>
            </w:r>
          </w:p>
        </w:tc>
      </w:tr>
    </w:tbl>
    <w:p w14:paraId="6DB34C47">
      <w:pPr>
        <w:snapToGrid w:val="0"/>
        <w:spacing w:line="360" w:lineRule="auto"/>
        <w:ind w:firstLine="620"/>
        <w:rPr>
          <w:rFonts w:eastAsia="仿宋"/>
          <w:color w:val="000000"/>
          <w:sz w:val="24"/>
          <w:szCs w:val="24"/>
        </w:rPr>
      </w:pPr>
      <w:r>
        <w:rPr>
          <w:rFonts w:eastAsia="仿宋"/>
          <w:color w:val="000000"/>
          <w:sz w:val="24"/>
          <w:szCs w:val="24"/>
        </w:rPr>
        <w:t>说明：</w:t>
      </w:r>
      <w:r>
        <w:rPr>
          <w:rFonts w:eastAsia="仿宋"/>
          <w:b/>
          <w:bCs/>
          <w:color w:val="000000"/>
          <w:sz w:val="24"/>
          <w:szCs w:val="24"/>
        </w:rPr>
        <w:t>按照磋商文件第五部分采购需求中的技术条款逐条响应</w:t>
      </w:r>
      <w:r>
        <w:rPr>
          <w:rFonts w:eastAsia="仿宋"/>
          <w:color w:val="000000"/>
          <w:sz w:val="24"/>
          <w:szCs w:val="24"/>
        </w:rPr>
        <w:t>，如有偏离，则必须注明“偏离”；未注明偏离的，视为完全响应。</w:t>
      </w:r>
    </w:p>
    <w:p w14:paraId="1282361C">
      <w:pPr>
        <w:snapToGrid w:val="0"/>
        <w:spacing w:line="360" w:lineRule="auto"/>
        <w:ind w:firstLine="620"/>
        <w:rPr>
          <w:rFonts w:eastAsia="仿宋"/>
          <w:color w:val="000000"/>
          <w:sz w:val="24"/>
          <w:szCs w:val="24"/>
        </w:rPr>
      </w:pPr>
    </w:p>
    <w:p w14:paraId="28627C75">
      <w:pPr>
        <w:snapToGrid w:val="0"/>
        <w:spacing w:line="360" w:lineRule="auto"/>
        <w:ind w:right="10" w:firstLine="560"/>
        <w:rPr>
          <w:rFonts w:eastAsia="仿宋"/>
          <w:color w:val="000000"/>
          <w:sz w:val="24"/>
          <w:szCs w:val="24"/>
        </w:rPr>
      </w:pPr>
      <w:r>
        <w:rPr>
          <w:rFonts w:eastAsia="仿宋"/>
          <w:color w:val="000000"/>
          <w:sz w:val="24"/>
          <w:szCs w:val="24"/>
        </w:rPr>
        <w:t xml:space="preserve">供应商法定代表人签字或盖章：                                          </w:t>
      </w:r>
    </w:p>
    <w:p w14:paraId="654D5564">
      <w:pPr>
        <w:snapToGrid w:val="0"/>
        <w:spacing w:line="360" w:lineRule="auto"/>
        <w:ind w:right="10" w:firstLine="560"/>
        <w:rPr>
          <w:rFonts w:eastAsia="仿宋"/>
          <w:color w:val="000000"/>
          <w:sz w:val="24"/>
          <w:szCs w:val="24"/>
        </w:rPr>
        <w:sectPr>
          <w:footerReference r:id="rId16" w:type="first"/>
          <w:headerReference r:id="rId14" w:type="default"/>
          <w:footerReference r:id="rId15" w:type="default"/>
          <w:pgSz w:w="11911" w:h="16838"/>
          <w:pgMar w:top="1440" w:right="1140" w:bottom="1440" w:left="1140" w:header="850" w:footer="1088" w:gutter="0"/>
          <w:cols w:space="0" w:num="1"/>
          <w:docGrid w:linePitch="312" w:charSpace="0"/>
        </w:sectPr>
      </w:pPr>
      <w:r>
        <w:rPr>
          <w:rFonts w:eastAsia="仿宋"/>
          <w:color w:val="000000"/>
          <w:sz w:val="24"/>
          <w:szCs w:val="24"/>
        </w:rPr>
        <w:t>供应商公章：</w:t>
      </w:r>
    </w:p>
    <w:p w14:paraId="62D1C2B4">
      <w:pPr>
        <w:adjustRightInd w:val="0"/>
        <w:snapToGrid w:val="0"/>
        <w:spacing w:line="360" w:lineRule="auto"/>
        <w:rPr>
          <w:rFonts w:eastAsia="仿宋"/>
          <w:b/>
          <w:bCs/>
          <w:sz w:val="24"/>
          <w:szCs w:val="24"/>
        </w:rPr>
      </w:pPr>
      <w:r>
        <w:rPr>
          <w:rFonts w:eastAsia="仿宋"/>
          <w:b/>
          <w:bCs/>
          <w:sz w:val="24"/>
          <w:szCs w:val="24"/>
        </w:rPr>
        <w:t>2、供应商认为有必要提供的声明及其他资料</w:t>
      </w:r>
    </w:p>
    <w:p w14:paraId="24276A61">
      <w:pPr>
        <w:autoSpaceDE w:val="0"/>
        <w:autoSpaceDN w:val="0"/>
        <w:snapToGrid w:val="0"/>
        <w:spacing w:line="360" w:lineRule="auto"/>
        <w:ind w:left="420" w:leftChars="200"/>
        <w:jc w:val="left"/>
        <w:rPr>
          <w:rFonts w:eastAsia="仿宋"/>
          <w:b/>
          <w:bCs/>
          <w:w w:val="95"/>
          <w:kern w:val="0"/>
          <w:sz w:val="24"/>
          <w:szCs w:val="24"/>
        </w:rPr>
      </w:pPr>
    </w:p>
    <w:p w14:paraId="1728CFCD">
      <w:pPr>
        <w:autoSpaceDE w:val="0"/>
        <w:autoSpaceDN w:val="0"/>
        <w:snapToGrid w:val="0"/>
        <w:spacing w:line="360" w:lineRule="auto"/>
        <w:ind w:left="420" w:leftChars="200"/>
        <w:jc w:val="left"/>
        <w:rPr>
          <w:rFonts w:eastAsia="仿宋"/>
          <w:b/>
          <w:bCs/>
          <w:w w:val="95"/>
          <w:kern w:val="0"/>
          <w:sz w:val="24"/>
          <w:szCs w:val="24"/>
        </w:rPr>
      </w:pPr>
    </w:p>
    <w:p w14:paraId="13B8A6AB">
      <w:pPr>
        <w:autoSpaceDE w:val="0"/>
        <w:autoSpaceDN w:val="0"/>
        <w:snapToGrid w:val="0"/>
        <w:spacing w:line="360" w:lineRule="auto"/>
        <w:ind w:left="420" w:leftChars="200"/>
        <w:jc w:val="left"/>
        <w:rPr>
          <w:rFonts w:eastAsia="仿宋"/>
          <w:b/>
          <w:bCs/>
          <w:w w:val="95"/>
          <w:kern w:val="0"/>
          <w:sz w:val="24"/>
          <w:szCs w:val="24"/>
        </w:rPr>
      </w:pPr>
      <w:r>
        <w:rPr>
          <w:rFonts w:eastAsia="仿宋"/>
          <w:b/>
          <w:bCs/>
          <w:w w:val="95"/>
          <w:kern w:val="0"/>
          <w:sz w:val="24"/>
          <w:szCs w:val="24"/>
        </w:rPr>
        <w:t>特别注意：</w:t>
      </w:r>
    </w:p>
    <w:p w14:paraId="2DDEB4A1">
      <w:pPr>
        <w:autoSpaceDE w:val="0"/>
        <w:autoSpaceDN w:val="0"/>
        <w:snapToGrid w:val="0"/>
        <w:spacing w:line="360" w:lineRule="auto"/>
        <w:ind w:left="420" w:leftChars="200"/>
        <w:jc w:val="left"/>
        <w:rPr>
          <w:rFonts w:eastAsia="仿宋"/>
          <w:b/>
          <w:bCs/>
          <w:w w:val="95"/>
          <w:kern w:val="0"/>
          <w:sz w:val="24"/>
          <w:szCs w:val="24"/>
        </w:rPr>
      </w:pPr>
      <w:r>
        <w:rPr>
          <w:rFonts w:eastAsia="仿宋"/>
          <w:b/>
          <w:bCs/>
          <w:w w:val="95"/>
          <w:kern w:val="0"/>
          <w:sz w:val="24"/>
          <w:szCs w:val="24"/>
        </w:rPr>
        <w:t>请各供应商仔细阅读并理解磋商文件的相关说明，严格按照磋商文件要求制作响应文件，如未按要求提供相关材料及承诺，视为不响应竞争性磋商文件，做无效磋商处理，</w:t>
      </w:r>
    </w:p>
    <w:p w14:paraId="53C45B67">
      <w:pPr>
        <w:autoSpaceDE w:val="0"/>
        <w:autoSpaceDN w:val="0"/>
        <w:snapToGrid w:val="0"/>
        <w:spacing w:line="360" w:lineRule="auto"/>
        <w:ind w:left="420" w:leftChars="200"/>
        <w:jc w:val="left"/>
        <w:rPr>
          <w:rFonts w:eastAsia="仿宋"/>
          <w:b/>
          <w:bCs/>
          <w:w w:val="95"/>
          <w:kern w:val="0"/>
          <w:sz w:val="24"/>
          <w:szCs w:val="24"/>
        </w:rPr>
      </w:pPr>
      <w:r>
        <w:rPr>
          <w:rFonts w:eastAsia="仿宋"/>
          <w:b/>
          <w:bCs/>
          <w:w w:val="95"/>
          <w:kern w:val="0"/>
          <w:sz w:val="24"/>
          <w:szCs w:val="24"/>
        </w:rPr>
        <w:t>1、供应商对所附表格中要求的资料和询问应做出肯定的回答。</w:t>
      </w:r>
    </w:p>
    <w:p w14:paraId="2EF3733C">
      <w:pPr>
        <w:autoSpaceDE w:val="0"/>
        <w:autoSpaceDN w:val="0"/>
        <w:snapToGrid w:val="0"/>
        <w:spacing w:line="360" w:lineRule="auto"/>
        <w:ind w:left="420" w:leftChars="200"/>
        <w:jc w:val="left"/>
        <w:rPr>
          <w:rFonts w:eastAsia="仿宋"/>
          <w:b/>
          <w:bCs/>
          <w:w w:val="95"/>
          <w:kern w:val="0"/>
          <w:sz w:val="24"/>
          <w:szCs w:val="24"/>
        </w:rPr>
      </w:pPr>
      <w:r>
        <w:rPr>
          <w:rFonts w:eastAsia="仿宋"/>
          <w:b/>
          <w:bCs/>
          <w:w w:val="95"/>
          <w:kern w:val="0"/>
          <w:sz w:val="24"/>
          <w:szCs w:val="24"/>
        </w:rPr>
        <w:t>2、响应文件的签字人应保证他所做的声明及对一切问题的回答的真实性和准确性。</w:t>
      </w:r>
    </w:p>
    <w:p w14:paraId="4C987F17">
      <w:pPr>
        <w:autoSpaceDE w:val="0"/>
        <w:autoSpaceDN w:val="0"/>
        <w:snapToGrid w:val="0"/>
        <w:spacing w:line="360" w:lineRule="auto"/>
        <w:ind w:left="420" w:leftChars="200"/>
        <w:jc w:val="left"/>
        <w:rPr>
          <w:rFonts w:eastAsia="仿宋"/>
          <w:b/>
          <w:bCs/>
          <w:w w:val="95"/>
          <w:kern w:val="0"/>
          <w:sz w:val="24"/>
          <w:szCs w:val="24"/>
        </w:rPr>
      </w:pPr>
      <w:r>
        <w:rPr>
          <w:rFonts w:eastAsia="仿宋"/>
          <w:b/>
          <w:bCs/>
          <w:w w:val="95"/>
          <w:kern w:val="0"/>
          <w:sz w:val="24"/>
          <w:szCs w:val="24"/>
        </w:rPr>
        <w:t>3、供应商提供的响应文件将由采购人使用，并据此进行评价和判断，确定供应商的能力。</w:t>
      </w:r>
    </w:p>
    <w:p w14:paraId="11507B56">
      <w:pPr>
        <w:autoSpaceDE w:val="0"/>
        <w:autoSpaceDN w:val="0"/>
        <w:snapToGrid w:val="0"/>
        <w:spacing w:line="360" w:lineRule="auto"/>
        <w:ind w:left="420" w:leftChars="200"/>
        <w:jc w:val="left"/>
        <w:rPr>
          <w:rFonts w:eastAsia="仿宋"/>
          <w:b/>
          <w:bCs/>
          <w:w w:val="95"/>
          <w:kern w:val="0"/>
          <w:sz w:val="24"/>
          <w:szCs w:val="24"/>
        </w:rPr>
      </w:pPr>
      <w:r>
        <w:rPr>
          <w:rFonts w:eastAsia="仿宋"/>
          <w:b/>
          <w:bCs/>
          <w:w w:val="95"/>
          <w:kern w:val="0"/>
          <w:sz w:val="24"/>
          <w:szCs w:val="24"/>
        </w:rPr>
        <w:t>4、供应商提交的文件将给予保密，但不退还。</w:t>
      </w:r>
    </w:p>
    <w:p w14:paraId="57984DE2">
      <w:pPr>
        <w:autoSpaceDE w:val="0"/>
        <w:autoSpaceDN w:val="0"/>
        <w:spacing w:line="440" w:lineRule="exact"/>
        <w:ind w:left="420" w:leftChars="200"/>
        <w:jc w:val="left"/>
        <w:rPr>
          <w:rFonts w:eastAsia="仿宋"/>
          <w:b/>
          <w:bCs/>
          <w:w w:val="95"/>
          <w:kern w:val="0"/>
          <w:sz w:val="28"/>
          <w:szCs w:val="28"/>
        </w:rPr>
      </w:pPr>
    </w:p>
    <w:p w14:paraId="08F0C76C">
      <w:pPr>
        <w:spacing w:line="360" w:lineRule="auto"/>
        <w:rPr>
          <w:rFonts w:eastAsia="仿宋"/>
        </w:rPr>
      </w:pPr>
    </w:p>
    <w:p w14:paraId="181F386D">
      <w:pPr>
        <w:spacing w:line="360" w:lineRule="auto"/>
        <w:rPr>
          <w:rFonts w:eastAsia="仿宋"/>
        </w:rPr>
      </w:pPr>
    </w:p>
    <w:p w14:paraId="00C47E4D">
      <w:pPr>
        <w:spacing w:line="360" w:lineRule="auto"/>
        <w:rPr>
          <w:rFonts w:eastAsia="仿宋"/>
        </w:rPr>
      </w:pPr>
    </w:p>
    <w:p w14:paraId="0D2DF524">
      <w:pPr>
        <w:spacing w:line="360" w:lineRule="auto"/>
        <w:rPr>
          <w:rFonts w:eastAsia="仿宋"/>
        </w:rPr>
      </w:pPr>
    </w:p>
    <w:p w14:paraId="37221D27">
      <w:pPr>
        <w:spacing w:line="360" w:lineRule="auto"/>
        <w:rPr>
          <w:rFonts w:eastAsia="仿宋"/>
        </w:rPr>
      </w:pPr>
    </w:p>
    <w:p w14:paraId="32C5338E">
      <w:pPr>
        <w:spacing w:line="360" w:lineRule="auto"/>
        <w:rPr>
          <w:rFonts w:eastAsia="仿宋"/>
        </w:rPr>
      </w:pPr>
    </w:p>
    <w:p w14:paraId="52578A3A">
      <w:pPr>
        <w:spacing w:line="360" w:lineRule="auto"/>
        <w:rPr>
          <w:rFonts w:eastAsia="仿宋"/>
        </w:rPr>
      </w:pPr>
    </w:p>
    <w:p w14:paraId="035EC364">
      <w:pPr>
        <w:spacing w:line="360" w:lineRule="auto"/>
        <w:rPr>
          <w:rFonts w:eastAsia="仿宋"/>
        </w:rPr>
      </w:pPr>
    </w:p>
    <w:p w14:paraId="657A9184">
      <w:pPr>
        <w:spacing w:line="360" w:lineRule="auto"/>
        <w:rPr>
          <w:rFonts w:eastAsia="仿宋"/>
        </w:rPr>
      </w:pPr>
    </w:p>
    <w:p w14:paraId="2A2D6C04">
      <w:pPr>
        <w:pStyle w:val="2"/>
        <w:rPr>
          <w:rFonts w:eastAsia="仿宋"/>
        </w:rPr>
      </w:pPr>
    </w:p>
    <w:p w14:paraId="2B95A0FB">
      <w:pPr>
        <w:pStyle w:val="12"/>
        <w:ind w:firstLine="210"/>
        <w:rPr>
          <w:rFonts w:eastAsia="仿宋"/>
        </w:rPr>
      </w:pPr>
    </w:p>
    <w:p w14:paraId="264D9A9F">
      <w:pPr>
        <w:pStyle w:val="12"/>
        <w:ind w:firstLine="210"/>
        <w:rPr>
          <w:rFonts w:eastAsia="仿宋"/>
        </w:rPr>
      </w:pPr>
    </w:p>
    <w:p w14:paraId="0A318CA6">
      <w:pPr>
        <w:pStyle w:val="12"/>
        <w:ind w:firstLine="210"/>
        <w:rPr>
          <w:rFonts w:eastAsia="仿宋"/>
        </w:rPr>
      </w:pPr>
    </w:p>
    <w:p w14:paraId="29ED6957">
      <w:pPr>
        <w:pStyle w:val="12"/>
        <w:ind w:firstLine="210"/>
        <w:rPr>
          <w:rFonts w:eastAsia="仿宋"/>
        </w:rPr>
      </w:pPr>
    </w:p>
    <w:p w14:paraId="13EEE874">
      <w:pPr>
        <w:spacing w:line="360" w:lineRule="auto"/>
        <w:rPr>
          <w:rFonts w:eastAsia="仿宋"/>
        </w:rPr>
      </w:pPr>
    </w:p>
    <w:p w14:paraId="4F58664F">
      <w:pPr>
        <w:spacing w:line="360" w:lineRule="auto"/>
        <w:rPr>
          <w:rFonts w:eastAsia="仿宋"/>
        </w:rPr>
      </w:pPr>
    </w:p>
    <w:p w14:paraId="0D59B912">
      <w:pPr>
        <w:rPr>
          <w:rFonts w:eastAsia="仿宋"/>
          <w:b/>
          <w:sz w:val="28"/>
        </w:rPr>
      </w:pPr>
    </w:p>
    <w:sectPr>
      <w:headerReference r:id="rId18" w:type="first"/>
      <w:headerReference r:id="rId17" w:type="default"/>
      <w:pgSz w:w="11911" w:h="16838"/>
      <w:pgMar w:top="1440" w:right="1140" w:bottom="1440" w:left="1140" w:header="850" w:footer="1088" w:gutter="0"/>
      <w:cols w:space="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微软雅黑">
    <w:panose1 w:val="020B0503020204020204"/>
    <w:charset w:val="86"/>
    <w:family w:val="auto"/>
    <w:pitch w:val="default"/>
    <w:sig w:usb0="80000287" w:usb1="2ACF3C50" w:usb2="00000016" w:usb3="00000000" w:csb0="0004001F" w:csb1="00000000"/>
  </w:font>
  <w:font w:name="华文楷体">
    <w:altName w:val="宋体"/>
    <w:panose1 w:val="02010600040101010101"/>
    <w:charset w:val="86"/>
    <w:family w:val="auto"/>
    <w:pitch w:val="default"/>
    <w:sig w:usb0="00000000" w:usb1="00000000" w:usb2="00000010" w:usb3="00000000" w:csb0="0004009F" w:csb1="00000000"/>
  </w:font>
  <w:font w:name="CG Times">
    <w:altName w:val="Times New Roman"/>
    <w:panose1 w:val="00000000000000000000"/>
    <w:charset w:val="00"/>
    <w:family w:val="roman"/>
    <w:pitch w:val="default"/>
    <w:sig w:usb0="00000000" w:usb1="00000000" w:usb2="00000000" w:usb3="00000000" w:csb0="00000093" w:csb1="00000000"/>
  </w:font>
  <w:font w:name="Segoe UI Symbol">
    <w:panose1 w:val="020B0502040204020203"/>
    <w:charset w:val="00"/>
    <w:family w:val="swiss"/>
    <w:pitch w:val="default"/>
    <w:sig w:usb0="800001E3" w:usb1="1200FFEF" w:usb2="00040000" w:usb3="04000000" w:csb0="00000001" w:csb1="40000000"/>
  </w:font>
  <w:font w:name="Wingdings 2">
    <w:panose1 w:val="05020102010507070707"/>
    <w:charset w:val="02"/>
    <w:family w:val="roman"/>
    <w:pitch w:val="default"/>
    <w:sig w:usb0="00000000" w:usb1="00000000" w:usb2="00000000" w:usb3="00000000" w:csb0="80000000" w:csb1="00000000"/>
  </w:font>
  <w:font w:name="Cambria Math">
    <w:panose1 w:val="02040503050406030204"/>
    <w:charset w:val="00"/>
    <w:family w:val="roman"/>
    <w:pitch w:val="default"/>
    <w:sig w:usb0="E00006FF" w:usb1="420024FF" w:usb2="02000000" w:usb3="00000000" w:csb0="2000019F" w:csb1="00000000"/>
  </w:font>
  <w:font w:name="KSOFE4500885">
    <w:panose1 w:val="02010609060101010101"/>
    <w:charset w:val="86"/>
    <w:family w:val="auto"/>
    <w:pitch w:val="default"/>
    <w:sig w:usb0="00000001" w:usb1="00000000" w:usb2="00000000" w:usb3="00000000" w:csb0="00040001" w:csb1="00000000"/>
  </w:font>
  <w:font w:name="KSOFE44F9426">
    <w:panose1 w:val="02010609060101010101"/>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70723E">
    <w:pPr>
      <w:pStyle w:val="15"/>
    </w:pPr>
    <w: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6E8E45E">
                          <w:pPr>
                            <w:pStyle w:val="1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8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rd1wwq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Mrd1wwqAgAAVwQAAA4AAAAAAAAAAQAgAAAAHwEAAGRycy9lMm9Eb2MueG1sUEsFBgAAAAAGAAYA&#10;WQEAALsFAAAAAA==&#10;">
              <v:fill on="f" focussize="0,0"/>
              <v:stroke on="f" weight="0.5pt"/>
              <v:imagedata o:title=""/>
              <o:lock v:ext="edit" aspectratio="f"/>
              <v:textbox inset="0mm,0mm,0mm,0mm" style="mso-fit-shape-to-text:t;">
                <w:txbxContent>
                  <w:p w14:paraId="46E8E45E">
                    <w:pPr>
                      <w:pStyle w:val="15"/>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FD50A7">
    <w:pPr>
      <w:pStyle w:val="15"/>
    </w:pPr>
    <w:r>
      <mc:AlternateContent>
        <mc:Choice Requires="wps">
          <w:drawing>
            <wp:anchor distT="0" distB="0" distL="114300" distR="114300" simplePos="0" relativeHeight="251679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F9144F7">
                          <w:pPr>
                            <w:pStyle w:val="1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97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KQhEw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xq5IgkumKjFdp92zPbm+IM&#10;Ys50s+Et39RIvmU+PDCHYUDBeC7hHkspDZKY3qKkMu7Lv85jPHoELyUNhiunGm+JEvleo3cADIPh&#10;BmM/GPqo7gymFe1ALcnEBRfkYJbOqM94Q6uYAy6mOTLlNAzmXegGHG+Qi9UqBWHaLAtbvbM8Qkfx&#10;vF0dAwRMukZROiV6rTBvqTP924gD/ec+RT3+D5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ikIRMKwIAAFcEAAAOAAAAAAAAAAEAIAAAAB8BAABkcnMvZTJvRG9jLnhtbFBLBQYAAAAABgAG&#10;AFkBAAC8BQAAAAA=&#10;">
              <v:fill on="f" focussize="0,0"/>
              <v:stroke on="f" weight="0.5pt"/>
              <v:imagedata o:title=""/>
              <o:lock v:ext="edit" aspectratio="f"/>
              <v:textbox inset="0mm,0mm,0mm,0mm" style="mso-fit-shape-to-text:t;">
                <w:txbxContent>
                  <w:p w14:paraId="3F9144F7">
                    <w:pPr>
                      <w:pStyle w:val="15"/>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4C6FA6">
    <w:pPr>
      <w:pStyle w:val="15"/>
      <w:ind w:right="360"/>
      <w:jc w:val="center"/>
    </w:pPr>
    <w:r>
      <mc:AlternateContent>
        <mc:Choice Requires="wps">
          <w:drawing>
            <wp:anchor distT="0" distB="0" distL="114300" distR="114300" simplePos="0" relativeHeight="251680768"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BCFDC27">
                          <w:pPr>
                            <w:pStyle w:val="1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07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pGcYw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RnGMKwIAAFcEAAAOAAAAAAAAAAEAIAAAAB8BAABkcnMvZTJvRG9jLnhtbFBLBQYAAAAABgAG&#10;AFkBAAC8BQAAAAA=&#10;">
              <v:fill on="f" focussize="0,0"/>
              <v:stroke on="f" weight="0.5pt"/>
              <v:imagedata o:title=""/>
              <o:lock v:ext="edit" aspectratio="f"/>
              <v:textbox inset="0mm,0mm,0mm,0mm" style="mso-fit-shape-to-text:t;">
                <w:txbxContent>
                  <w:p w14:paraId="2BCFDC27">
                    <w:pPr>
                      <w:pStyle w:val="15"/>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70273E">
    <w:pPr>
      <w:pStyle w:val="2"/>
      <w:spacing w:line="14" w:lineRule="auto"/>
      <w:rPr>
        <w:sz w:val="20"/>
      </w:rPr>
    </w:pPr>
    <w: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10457DA">
                          <w:pPr>
                            <w:pStyle w:val="15"/>
                          </w:pPr>
                          <w:r>
                            <w:fldChar w:fldCharType="begin"/>
                          </w:r>
                          <w:r>
                            <w:instrText xml:space="preserve"> PAGE  \* MERGEFORMAT </w:instrText>
                          </w:r>
                          <w:r>
                            <w:fldChar w:fldCharType="separate"/>
                          </w:r>
                          <w:r>
                            <w:t>51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14:paraId="110457DA">
                    <w:pPr>
                      <w:pStyle w:val="15"/>
                    </w:pPr>
                    <w:r>
                      <w:fldChar w:fldCharType="begin"/>
                    </w:r>
                    <w:r>
                      <w:instrText xml:space="preserve"> PAGE  \* MERGEFORMAT </w:instrText>
                    </w:r>
                    <w:r>
                      <w:fldChar w:fldCharType="separate"/>
                    </w:r>
                    <w:r>
                      <w:t>51</w:t>
                    </w:r>
                    <w:r>
                      <w:fldChar w:fldCharType="end"/>
                    </w:r>
                  </w:p>
                </w:txbxContent>
              </v:textbox>
            </v:shape>
          </w:pict>
        </mc:Fallback>
      </mc:AlternateContent>
    </w:r>
    <w:r>
      <w:drawing>
        <wp:anchor distT="0" distB="0" distL="114300" distR="114300" simplePos="0" relativeHeight="251664384" behindDoc="1" locked="0" layoutInCell="1" allowOverlap="1">
          <wp:simplePos x="0" y="0"/>
          <wp:positionH relativeFrom="page">
            <wp:posOffset>6846570</wp:posOffset>
          </wp:positionH>
          <wp:positionV relativeFrom="page">
            <wp:posOffset>10003155</wp:posOffset>
          </wp:positionV>
          <wp:extent cx="44450" cy="38100"/>
          <wp:effectExtent l="0" t="0" r="12700" b="0"/>
          <wp:wrapNone/>
          <wp:docPr id="26"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4"/>
                  <pic:cNvPicPr>
                    <a:picLocks noChangeAspect="1"/>
                  </pic:cNvPicPr>
                </pic:nvPicPr>
                <pic:blipFill>
                  <a:blip r:embed="rId1"/>
                  <a:stretch>
                    <a:fillRect/>
                  </a:stretch>
                </pic:blipFill>
                <pic:spPr>
                  <a:xfrm>
                    <a:off x="0" y="0"/>
                    <a:ext cx="44450" cy="38100"/>
                  </a:xfrm>
                  <a:prstGeom prst="rect">
                    <a:avLst/>
                  </a:prstGeom>
                  <a:noFill/>
                  <a:ln>
                    <a:noFill/>
                  </a:ln>
                </pic:spPr>
              </pic:pic>
            </a:graphicData>
          </a:graphic>
        </wp:anchor>
      </w:drawing>
    </w:r>
    <w:r>
      <mc:AlternateContent>
        <mc:Choice Requires="wps">
          <w:drawing>
            <wp:anchor distT="0" distB="0" distL="114300" distR="114300" simplePos="0" relativeHeight="251665408" behindDoc="1" locked="0" layoutInCell="1" allowOverlap="1">
              <wp:simplePos x="0" y="0"/>
              <wp:positionH relativeFrom="page">
                <wp:posOffset>1011555</wp:posOffset>
              </wp:positionH>
              <wp:positionV relativeFrom="page">
                <wp:posOffset>9556115</wp:posOffset>
              </wp:positionV>
              <wp:extent cx="3835400" cy="177800"/>
              <wp:effectExtent l="0" t="0" r="0" b="0"/>
              <wp:wrapNone/>
              <wp:docPr id="46" name="文本框 46"/>
              <wp:cNvGraphicFramePr/>
              <a:graphic xmlns:a="http://schemas.openxmlformats.org/drawingml/2006/main">
                <a:graphicData uri="http://schemas.microsoft.com/office/word/2010/wordprocessingShape">
                  <wps:wsp>
                    <wps:cNvSpPr txBox="1">
                      <a:spLocks noChangeArrowheads="1"/>
                    </wps:cNvSpPr>
                    <wps:spPr bwMode="auto">
                      <a:xfrm>
                        <a:off x="0" y="0"/>
                        <a:ext cx="3835400" cy="177800"/>
                      </a:xfrm>
                      <a:prstGeom prst="rect">
                        <a:avLst/>
                      </a:prstGeom>
                      <a:noFill/>
                      <a:ln>
                        <a:noFill/>
                      </a:ln>
                      <a:effectLst/>
                    </wps:spPr>
                    <wps:txbx>
                      <w:txbxContent>
                        <w:p w14:paraId="33CB2408">
                          <w:pPr>
                            <w:pStyle w:val="2"/>
                            <w:spacing w:line="280" w:lineRule="exact"/>
                          </w:pPr>
                        </w:p>
                      </w:txbxContent>
                    </wps:txbx>
                    <wps:bodyPr rot="0" vert="horz" wrap="square" lIns="0" tIns="0" rIns="0" bIns="0" anchor="t" anchorCtr="0" upright="1">
                      <a:noAutofit/>
                    </wps:bodyPr>
                  </wps:wsp>
                </a:graphicData>
              </a:graphic>
            </wp:anchor>
          </w:drawing>
        </mc:Choice>
        <mc:Fallback>
          <w:pict>
            <v:shape id="_x0000_s1026" o:spid="_x0000_s1026" o:spt="202" type="#_x0000_t202" style="position:absolute;left:0pt;margin-left:79.65pt;margin-top:752.45pt;height:14pt;width:302pt;mso-position-horizontal-relative:page;mso-position-vertical-relative:page;z-index:-251651072;mso-width-relative:page;mso-height-relative:page;" filled="f" stroked="f" coordsize="21600,21600" o:gfxdata="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EkyhOtkAAAANAQAADwAAAAAA&#10;AAABACAAAAAiAAAAZHJzL2Rvd25yZXYueG1sUEsBAhQAFAAAAAgAh07iQNqrpv8SAgAAFQQAAA4A&#10;AAAAAAAAAQAgAAAAKAEAAGRycy9lMm9Eb2MueG1sUEsFBgAAAAAGAAYAWQEAAKwFAAAAAA==&#10;">
              <v:fill on="f" focussize="0,0"/>
              <v:stroke on="f"/>
              <v:imagedata o:title=""/>
              <o:lock v:ext="edit" aspectratio="f"/>
              <v:textbox inset="0mm,0mm,0mm,0mm">
                <w:txbxContent>
                  <w:p w14:paraId="33CB2408">
                    <w:pPr>
                      <w:pStyle w:val="2"/>
                      <w:spacing w:line="280" w:lineRule="exact"/>
                    </w:pP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25ADE9">
    <w:pPr>
      <w:pStyle w:val="2"/>
      <w:spacing w:line="14" w:lineRule="auto"/>
      <w:rPr>
        <w:sz w:val="20"/>
      </w:rPr>
    </w:pPr>
    <w: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4221C71">
                          <w:pPr>
                            <w:pStyle w:val="15"/>
                          </w:pPr>
                          <w:r>
                            <w:fldChar w:fldCharType="begin"/>
                          </w:r>
                          <w:r>
                            <w:instrText xml:space="preserve"> PAGE  \* MERGEFORMAT </w:instrText>
                          </w:r>
                          <w:r>
                            <w:fldChar w:fldCharType="separate"/>
                          </w:r>
                          <w:r>
                            <w:t>68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14:paraId="04221C71">
                    <w:pPr>
                      <w:pStyle w:val="15"/>
                    </w:pPr>
                    <w:r>
                      <w:fldChar w:fldCharType="begin"/>
                    </w:r>
                    <w:r>
                      <w:instrText xml:space="preserve"> PAGE  \* MERGEFORMAT </w:instrText>
                    </w:r>
                    <w:r>
                      <w:fldChar w:fldCharType="separate"/>
                    </w:r>
                    <w:r>
                      <w:t>68</w:t>
                    </w:r>
                    <w:r>
                      <w:fldChar w:fldCharType="end"/>
                    </w:r>
                  </w:p>
                </w:txbxContent>
              </v:textbox>
            </v:shape>
          </w:pict>
        </mc:Fallback>
      </mc:AlternateContent>
    </w:r>
    <w:r>
      <w:drawing>
        <wp:anchor distT="0" distB="0" distL="114300" distR="114300" simplePos="0" relativeHeight="251666432" behindDoc="1" locked="0" layoutInCell="1" allowOverlap="1">
          <wp:simplePos x="0" y="0"/>
          <wp:positionH relativeFrom="page">
            <wp:posOffset>6846570</wp:posOffset>
          </wp:positionH>
          <wp:positionV relativeFrom="page">
            <wp:posOffset>10003155</wp:posOffset>
          </wp:positionV>
          <wp:extent cx="44450" cy="38100"/>
          <wp:effectExtent l="0" t="0" r="12700" b="0"/>
          <wp:wrapNone/>
          <wp:docPr id="18"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7"/>
                  <pic:cNvPicPr>
                    <a:picLocks noChangeAspect="1"/>
                  </pic:cNvPicPr>
                </pic:nvPicPr>
                <pic:blipFill>
                  <a:blip r:embed="rId1"/>
                  <a:stretch>
                    <a:fillRect/>
                  </a:stretch>
                </pic:blipFill>
                <pic:spPr>
                  <a:xfrm>
                    <a:off x="0" y="0"/>
                    <a:ext cx="44450" cy="38100"/>
                  </a:xfrm>
                  <a:prstGeom prst="rect">
                    <a:avLst/>
                  </a:prstGeom>
                  <a:noFill/>
                  <a:ln>
                    <a:noFill/>
                  </a:ln>
                </pic:spPr>
              </pic:pic>
            </a:graphicData>
          </a:graphic>
        </wp:anchor>
      </w:drawing>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EA28FE">
    <w:pPr>
      <w:pStyle w:val="2"/>
      <w:spacing w:line="14" w:lineRule="auto"/>
      <w:rPr>
        <w:sz w:val="20"/>
      </w:rPr>
    </w:pPr>
    <w: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E445CD8">
                          <w:pPr>
                            <w:pStyle w:val="15"/>
                          </w:pPr>
                          <w:r>
                            <w:fldChar w:fldCharType="begin"/>
                          </w:r>
                          <w:r>
                            <w:instrText xml:space="preserve"> PAGE  \* MERGEFORMAT </w:instrText>
                          </w:r>
                          <w:r>
                            <w:fldChar w:fldCharType="separate"/>
                          </w:r>
                          <w:r>
                            <w:t>80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bVWnMqAgAAV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CbVWnMqAgAAVQQAAA4AAAAAAAAAAQAgAAAAHwEAAGRycy9lMm9Eb2MueG1sUEsFBgAAAAAGAAYA&#10;WQEAALsFAAAAAA==&#10;">
              <v:fill on="f" focussize="0,0"/>
              <v:stroke on="f" weight="0.5pt"/>
              <v:imagedata o:title=""/>
              <o:lock v:ext="edit" aspectratio="f"/>
              <v:textbox inset="0mm,0mm,0mm,0mm" style="mso-fit-shape-to-text:t;">
                <w:txbxContent>
                  <w:p w14:paraId="0E445CD8">
                    <w:pPr>
                      <w:pStyle w:val="15"/>
                    </w:pPr>
                    <w:r>
                      <w:fldChar w:fldCharType="begin"/>
                    </w:r>
                    <w:r>
                      <w:instrText xml:space="preserve"> PAGE  \* MERGEFORMAT </w:instrText>
                    </w:r>
                    <w:r>
                      <w:fldChar w:fldCharType="separate"/>
                    </w:r>
                    <w:r>
                      <w:t>80</w:t>
                    </w:r>
                    <w:r>
                      <w:fldChar w:fldCharType="end"/>
                    </w:r>
                  </w:p>
                </w:txbxContent>
              </v:textbox>
            </v:shape>
          </w:pict>
        </mc:Fallback>
      </mc:AlternateContent>
    </w:r>
    <w:r>
      <w:drawing>
        <wp:anchor distT="0" distB="0" distL="114300" distR="114300" simplePos="0" relativeHeight="251670528" behindDoc="1" locked="0" layoutInCell="1" allowOverlap="1">
          <wp:simplePos x="0" y="0"/>
          <wp:positionH relativeFrom="page">
            <wp:posOffset>701040</wp:posOffset>
          </wp:positionH>
          <wp:positionV relativeFrom="page">
            <wp:posOffset>10003155</wp:posOffset>
          </wp:positionV>
          <wp:extent cx="73025" cy="38100"/>
          <wp:effectExtent l="0" t="0" r="3175" b="0"/>
          <wp:wrapNone/>
          <wp:docPr id="21"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32"/>
                  <pic:cNvPicPr>
                    <a:picLocks noChangeAspect="1"/>
                  </pic:cNvPicPr>
                </pic:nvPicPr>
                <pic:blipFill>
                  <a:blip r:embed="rId1"/>
                  <a:stretch>
                    <a:fillRect/>
                  </a:stretch>
                </pic:blipFill>
                <pic:spPr>
                  <a:xfrm>
                    <a:off x="0" y="0"/>
                    <a:ext cx="73025" cy="38100"/>
                  </a:xfrm>
                  <a:prstGeom prst="rect">
                    <a:avLst/>
                  </a:prstGeom>
                  <a:noFill/>
                  <a:ln>
                    <a:noFill/>
                  </a:ln>
                </pic:spPr>
              </pic:pic>
            </a:graphicData>
          </a:graphic>
        </wp:anchor>
      </w:drawing>
    </w:r>
    <w:r>
      <w:drawing>
        <wp:anchor distT="0" distB="0" distL="114300" distR="114300" simplePos="0" relativeHeight="251671552" behindDoc="1" locked="0" layoutInCell="1" allowOverlap="1">
          <wp:simplePos x="0" y="0"/>
          <wp:positionH relativeFrom="page">
            <wp:posOffset>6846570</wp:posOffset>
          </wp:positionH>
          <wp:positionV relativeFrom="page">
            <wp:posOffset>10003155</wp:posOffset>
          </wp:positionV>
          <wp:extent cx="44450" cy="38100"/>
          <wp:effectExtent l="0" t="0" r="12700" b="0"/>
          <wp:wrapNone/>
          <wp:docPr id="2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33"/>
                  <pic:cNvPicPr>
                    <a:picLocks noChangeAspect="1"/>
                  </pic:cNvPicPr>
                </pic:nvPicPr>
                <pic:blipFill>
                  <a:blip r:embed="rId2"/>
                  <a:stretch>
                    <a:fillRect/>
                  </a:stretch>
                </pic:blipFill>
                <pic:spPr>
                  <a:xfrm>
                    <a:off x="0" y="0"/>
                    <a:ext cx="44450" cy="38100"/>
                  </a:xfrm>
                  <a:prstGeom prst="rect">
                    <a:avLst/>
                  </a:prstGeom>
                  <a:noFill/>
                  <a:ln>
                    <a:noFill/>
                  </a:ln>
                </pic:spPr>
              </pic:pic>
            </a:graphicData>
          </a:graphic>
        </wp:anchor>
      </w:drawing>
    </w:r>
    <w:r>
      <mc:AlternateContent>
        <mc:Choice Requires="wps">
          <w:drawing>
            <wp:anchor distT="0" distB="0" distL="114300" distR="114300" simplePos="0" relativeHeight="251672576" behindDoc="1" locked="0" layoutInCell="1" allowOverlap="1">
              <wp:simplePos x="0" y="0"/>
              <wp:positionH relativeFrom="page">
                <wp:posOffset>1011555</wp:posOffset>
              </wp:positionH>
              <wp:positionV relativeFrom="page">
                <wp:posOffset>9556115</wp:posOffset>
              </wp:positionV>
              <wp:extent cx="3835400" cy="177800"/>
              <wp:effectExtent l="0" t="0" r="0" b="0"/>
              <wp:wrapNone/>
              <wp:docPr id="8" name="文本框 8"/>
              <wp:cNvGraphicFramePr/>
              <a:graphic xmlns:a="http://schemas.openxmlformats.org/drawingml/2006/main">
                <a:graphicData uri="http://schemas.microsoft.com/office/word/2010/wordprocessingShape">
                  <wps:wsp>
                    <wps:cNvSpPr txBox="1">
                      <a:spLocks noChangeArrowheads="1"/>
                    </wps:cNvSpPr>
                    <wps:spPr bwMode="auto">
                      <a:xfrm>
                        <a:off x="0" y="0"/>
                        <a:ext cx="3835400" cy="177800"/>
                      </a:xfrm>
                      <a:prstGeom prst="rect">
                        <a:avLst/>
                      </a:prstGeom>
                      <a:noFill/>
                      <a:ln>
                        <a:noFill/>
                      </a:ln>
                      <a:effectLst/>
                    </wps:spPr>
                    <wps:txbx>
                      <w:txbxContent>
                        <w:p w14:paraId="7BF07019">
                          <w:pPr>
                            <w:pStyle w:val="2"/>
                            <w:spacing w:line="280" w:lineRule="exact"/>
                          </w:pPr>
                        </w:p>
                      </w:txbxContent>
                    </wps:txbx>
                    <wps:bodyPr rot="0" vert="horz" wrap="square" lIns="0" tIns="0" rIns="0" bIns="0" anchor="t" anchorCtr="0" upright="1">
                      <a:noAutofit/>
                    </wps:bodyPr>
                  </wps:wsp>
                </a:graphicData>
              </a:graphic>
            </wp:anchor>
          </w:drawing>
        </mc:Choice>
        <mc:Fallback>
          <w:pict>
            <v:shape id="_x0000_s1026" o:spid="_x0000_s1026" o:spt="202" type="#_x0000_t202" style="position:absolute;left:0pt;margin-left:79.65pt;margin-top:752.45pt;height:14pt;width:302pt;mso-position-horizontal-relative:page;mso-position-vertical-relative:page;z-index:-251643904;mso-width-relative:page;mso-height-relative:page;" filled="f" stroked="f" coordsize="21600,21600" o:gfxdata="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BJMoTrZAAAADQEAAA8AAAAAAAAA&#10;AQAgAAAAIgAAAGRycy9kb3ducmV2LnhtbFBLAQIUABQAAAAIAIdO4kDSfvI6EAIAABMEAAAOAAAA&#10;AAAAAAEAIAAAACgBAABkcnMvZTJvRG9jLnhtbFBLBQYAAAAABgAGAFkBAACqBQAAAAA=&#10;">
              <v:fill on="f" focussize="0,0"/>
              <v:stroke on="f"/>
              <v:imagedata o:title=""/>
              <o:lock v:ext="edit" aspectratio="f"/>
              <v:textbox inset="0mm,0mm,0mm,0mm">
                <w:txbxContent>
                  <w:p w14:paraId="7BF07019">
                    <w:pPr>
                      <w:pStyle w:val="2"/>
                      <w:spacing w:line="280" w:lineRule="exact"/>
                    </w:pP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99C1E5">
    <w:pPr>
      <w:pStyle w:val="15"/>
    </w:pPr>
    <w: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0C895DD">
                          <w:pPr>
                            <w:pStyle w:val="1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6C/ssAgAAV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roL+ywCAABVBAAADgAAAAAAAAABACAAAAAfAQAAZHJzL2Uyb0RvYy54bWxQSwUGAAAAAAYA&#10;BgBZAQAAvQUAAAAA&#10;">
              <v:fill on="f" focussize="0,0"/>
              <v:stroke on="f" weight="0.5pt"/>
              <v:imagedata o:title=""/>
              <o:lock v:ext="edit" aspectratio="f"/>
              <v:textbox inset="0mm,0mm,0mm,0mm" style="mso-fit-shape-to-text:t;">
                <w:txbxContent>
                  <w:p w14:paraId="20C895DD">
                    <w:pPr>
                      <w:pStyle w:val="15"/>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F70410">
    <w:pPr>
      <w:snapToGrid w:val="0"/>
    </w:pPr>
    <w: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EC597DA">
                          <w:pPr>
                            <w:pStyle w:val="15"/>
                          </w:pPr>
                          <w:r>
                            <w:fldChar w:fldCharType="begin"/>
                          </w:r>
                          <w:r>
                            <w:instrText xml:space="preserve"> PAGE  \* MERGEFORMAT </w:instrText>
                          </w:r>
                          <w:r>
                            <w:fldChar w:fldCharType="separate"/>
                          </w:r>
                          <w:r>
                            <w:t>81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o+UsAgAAV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yr+j5SwCAABVBAAADgAAAAAAAAABACAAAAAfAQAAZHJzL2Uyb0RvYy54bWxQSwUGAAAAAAYA&#10;BgBZAQAAvQUAAAAA&#10;">
              <v:fill on="f" focussize="0,0"/>
              <v:stroke on="f" weight="0.5pt"/>
              <v:imagedata o:title=""/>
              <o:lock v:ext="edit" aspectratio="f"/>
              <v:textbox inset="0mm,0mm,0mm,0mm" style="mso-fit-shape-to-text:t;">
                <w:txbxContent>
                  <w:p w14:paraId="4EC597DA">
                    <w:pPr>
                      <w:pStyle w:val="15"/>
                    </w:pPr>
                    <w:r>
                      <w:fldChar w:fldCharType="begin"/>
                    </w:r>
                    <w:r>
                      <w:instrText xml:space="preserve"> PAGE  \* MERGEFORMAT </w:instrText>
                    </w:r>
                    <w:r>
                      <w:fldChar w:fldCharType="separate"/>
                    </w:r>
                    <w:r>
                      <w:t>81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75E887">
    <w:pPr>
      <w:pStyle w:val="16"/>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A68D74">
    <w:pPr>
      <w:pStyle w:val="16"/>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58EA9A">
    <w:pPr>
      <w:pStyle w:val="2"/>
      <w:spacing w:line="14" w:lineRule="auto"/>
      <w:rPr>
        <w:sz w:val="20"/>
      </w:rPr>
    </w:pPr>
    <w:r>
      <w:drawing>
        <wp:anchor distT="0" distB="0" distL="114300" distR="114300" simplePos="0" relativeHeight="251661312" behindDoc="1" locked="0" layoutInCell="1" allowOverlap="1">
          <wp:simplePos x="0" y="0"/>
          <wp:positionH relativeFrom="page">
            <wp:posOffset>6846570</wp:posOffset>
          </wp:positionH>
          <wp:positionV relativeFrom="page">
            <wp:posOffset>540385</wp:posOffset>
          </wp:positionV>
          <wp:extent cx="44450" cy="38100"/>
          <wp:effectExtent l="0" t="0" r="12700" b="0"/>
          <wp:wrapNone/>
          <wp:docPr id="24"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png"/>
                  <pic:cNvPicPr>
                    <a:picLocks noChangeAspect="1"/>
                  </pic:cNvPicPr>
                </pic:nvPicPr>
                <pic:blipFill>
                  <a:blip r:embed="rId1"/>
                  <a:stretch>
                    <a:fillRect/>
                  </a:stretch>
                </pic:blipFill>
                <pic:spPr>
                  <a:xfrm>
                    <a:off x="0" y="0"/>
                    <a:ext cx="44450" cy="38100"/>
                  </a:xfrm>
                  <a:prstGeom prst="rect">
                    <a:avLst/>
                  </a:prstGeom>
                  <a:noFill/>
                  <a:ln>
                    <a:noFill/>
                  </a:ln>
                </pic:spPr>
              </pic:pic>
            </a:graphicData>
          </a:graphic>
        </wp:anchor>
      </w:drawing>
    </w:r>
    <w:r>
      <mc:AlternateContent>
        <mc:Choice Requires="wps">
          <w:drawing>
            <wp:anchor distT="0" distB="0" distL="114300" distR="114300" simplePos="0" relativeHeight="251662336" behindDoc="1" locked="0" layoutInCell="1" allowOverlap="1">
              <wp:simplePos x="0" y="0"/>
              <wp:positionH relativeFrom="page">
                <wp:posOffset>706755</wp:posOffset>
              </wp:positionH>
              <wp:positionV relativeFrom="page">
                <wp:posOffset>584835</wp:posOffset>
              </wp:positionV>
              <wp:extent cx="2082800" cy="174625"/>
              <wp:effectExtent l="0" t="0" r="0" b="0"/>
              <wp:wrapNone/>
              <wp:docPr id="48" name="文本框 48"/>
              <wp:cNvGraphicFramePr/>
              <a:graphic xmlns:a="http://schemas.openxmlformats.org/drawingml/2006/main">
                <a:graphicData uri="http://schemas.microsoft.com/office/word/2010/wordprocessingShape">
                  <wps:wsp>
                    <wps:cNvSpPr txBox="1">
                      <a:spLocks noChangeArrowheads="1"/>
                    </wps:cNvSpPr>
                    <wps:spPr bwMode="auto">
                      <a:xfrm>
                        <a:off x="0" y="0"/>
                        <a:ext cx="2082800" cy="174625"/>
                      </a:xfrm>
                      <a:prstGeom prst="rect">
                        <a:avLst/>
                      </a:prstGeom>
                      <a:noFill/>
                      <a:ln>
                        <a:noFill/>
                      </a:ln>
                      <a:effectLst/>
                    </wps:spPr>
                    <wps:txbx>
                      <w:txbxContent>
                        <w:p w14:paraId="3687888A">
                          <w:pPr>
                            <w:spacing w:line="274" w:lineRule="exact"/>
                            <w:rPr>
                              <w:rFonts w:ascii="华文楷体" w:eastAsia="华文楷体"/>
                              <w:sz w:val="18"/>
                            </w:rPr>
                          </w:pPr>
                        </w:p>
                      </w:txbxContent>
                    </wps:txbx>
                    <wps:bodyPr rot="0" vert="horz" wrap="square" lIns="0" tIns="0" rIns="0" bIns="0" anchor="t" anchorCtr="0" upright="1">
                      <a:noAutofit/>
                    </wps:bodyPr>
                  </wps:wsp>
                </a:graphicData>
              </a:graphic>
            </wp:anchor>
          </w:drawing>
        </mc:Choice>
        <mc:Fallback>
          <w:pict>
            <v:shape id="_x0000_s1026" o:spid="_x0000_s1026" o:spt="202" type="#_x0000_t202" style="position:absolute;left:0pt;margin-left:55.65pt;margin-top:46.05pt;height:13.75pt;width:164pt;mso-position-horizontal-relative:page;mso-position-vertical-relative:page;z-index:-251654144;mso-width-relative:page;mso-height-relative:page;" filled="f" stroked="f" coordsize="21600,21600" o:gfxdata="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kq3mL1wAAAAoBAAAPAAAAAAAA&#10;AAEAIAAAACIAAABkcnMvZG93bnJldi54bWxQSwECFAAUAAAACACHTuJAsi1SxRMCAAAVBAAADgAA&#10;AAAAAAABACAAAAAmAQAAZHJzL2Uyb0RvYy54bWxQSwUGAAAAAAYABgBZAQAAqwUAAAAA&#10;">
              <v:fill on="f" focussize="0,0"/>
              <v:stroke on="f"/>
              <v:imagedata o:title=""/>
              <o:lock v:ext="edit" aspectratio="f"/>
              <v:textbox inset="0mm,0mm,0mm,0mm">
                <w:txbxContent>
                  <w:p w14:paraId="3687888A">
                    <w:pPr>
                      <w:spacing w:line="274" w:lineRule="exact"/>
                      <w:rPr>
                        <w:rFonts w:ascii="华文楷体" w:eastAsia="华文楷体"/>
                        <w:sz w:val="18"/>
                      </w:rPr>
                    </w:pPr>
                  </w:p>
                </w:txbxContent>
              </v:textbox>
            </v:shape>
          </w:pict>
        </mc:Fallback>
      </mc:AlternateContent>
    </w:r>
    <w:r>
      <mc:AlternateContent>
        <mc:Choice Requires="wps">
          <w:drawing>
            <wp:anchor distT="0" distB="0" distL="114300" distR="114300" simplePos="0" relativeHeight="251663360" behindDoc="1" locked="0" layoutInCell="1" allowOverlap="1">
              <wp:simplePos x="0" y="0"/>
              <wp:positionH relativeFrom="page">
                <wp:posOffset>5396865</wp:posOffset>
              </wp:positionH>
              <wp:positionV relativeFrom="page">
                <wp:posOffset>584835</wp:posOffset>
              </wp:positionV>
              <wp:extent cx="1431290" cy="174625"/>
              <wp:effectExtent l="0" t="0" r="0" b="0"/>
              <wp:wrapNone/>
              <wp:docPr id="47" name="文本框 47"/>
              <wp:cNvGraphicFramePr/>
              <a:graphic xmlns:a="http://schemas.openxmlformats.org/drawingml/2006/main">
                <a:graphicData uri="http://schemas.microsoft.com/office/word/2010/wordprocessingShape">
                  <wps:wsp>
                    <wps:cNvSpPr txBox="1">
                      <a:spLocks noChangeArrowheads="1"/>
                    </wps:cNvSpPr>
                    <wps:spPr bwMode="auto">
                      <a:xfrm>
                        <a:off x="0" y="0"/>
                        <a:ext cx="1431290" cy="174625"/>
                      </a:xfrm>
                      <a:prstGeom prst="rect">
                        <a:avLst/>
                      </a:prstGeom>
                      <a:noFill/>
                      <a:ln>
                        <a:noFill/>
                      </a:ln>
                      <a:effectLst/>
                    </wps:spPr>
                    <wps:txbx>
                      <w:txbxContent>
                        <w:p w14:paraId="44EEDB27">
                          <w:pPr>
                            <w:spacing w:line="274" w:lineRule="exact"/>
                            <w:rPr>
                              <w:rFonts w:ascii="华文楷体" w:eastAsia="华文楷体"/>
                              <w:sz w:val="18"/>
                            </w:rPr>
                          </w:pPr>
                        </w:p>
                      </w:txbxContent>
                    </wps:txbx>
                    <wps:bodyPr rot="0" vert="horz" wrap="square" lIns="0" tIns="0" rIns="0" bIns="0" anchor="t" anchorCtr="0" upright="1">
                      <a:noAutofit/>
                    </wps:bodyPr>
                  </wps:wsp>
                </a:graphicData>
              </a:graphic>
            </wp:anchor>
          </w:drawing>
        </mc:Choice>
        <mc:Fallback>
          <w:pict>
            <v:shape id="_x0000_s1026" o:spid="_x0000_s1026" o:spt="202" type="#_x0000_t202" style="position:absolute;left:0pt;margin-left:424.95pt;margin-top:46.05pt;height:13.75pt;width:112.7pt;mso-position-horizontal-relative:page;mso-position-vertical-relative:page;z-index:-251653120;mso-width-relative:page;mso-height-relative:page;" filled="f" stroked="f" coordsize="21600,21600" o:gfxdata="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u/hub2gAAAAsBAAAPAAAA&#10;AAAAAAEAIAAAACIAAABkcnMvZG93bnJldi54bWxQSwECFAAUAAAACACHTuJAnkBUchMCAAAVBAAA&#10;DgAAAAAAAAABACAAAAApAQAAZHJzL2Uyb0RvYy54bWxQSwUGAAAAAAYABgBZAQAArgUAAAAA&#10;">
              <v:fill on="f" focussize="0,0"/>
              <v:stroke on="f"/>
              <v:imagedata o:title=""/>
              <o:lock v:ext="edit" aspectratio="f"/>
              <v:textbox inset="0mm,0mm,0mm,0mm">
                <w:txbxContent>
                  <w:p w14:paraId="44EEDB27">
                    <w:pPr>
                      <w:spacing w:line="274" w:lineRule="exact"/>
                      <w:rPr>
                        <w:rFonts w:ascii="华文楷体" w:eastAsia="华文楷体"/>
                        <w:sz w:val="18"/>
                      </w:rPr>
                    </w:pPr>
                  </w:p>
                </w:txbxContent>
              </v:textbox>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A89EE1">
    <w:pPr>
      <w:pStyle w:val="16"/>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640C41">
    <w:pPr>
      <w:pStyle w:val="2"/>
      <w:spacing w:line="14" w:lineRule="auto"/>
      <w:rPr>
        <w:sz w:val="20"/>
      </w:rPr>
    </w:pPr>
    <w:r>
      <w:drawing>
        <wp:anchor distT="0" distB="0" distL="114300" distR="114300" simplePos="0" relativeHeight="251667456" behindDoc="1" locked="0" layoutInCell="1" allowOverlap="1">
          <wp:simplePos x="0" y="0"/>
          <wp:positionH relativeFrom="page">
            <wp:posOffset>6846570</wp:posOffset>
          </wp:positionH>
          <wp:positionV relativeFrom="page">
            <wp:posOffset>540385</wp:posOffset>
          </wp:positionV>
          <wp:extent cx="44450" cy="38100"/>
          <wp:effectExtent l="0" t="0" r="12700" b="0"/>
          <wp:wrapNone/>
          <wp:docPr id="22"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8"/>
                  <pic:cNvPicPr>
                    <a:picLocks noChangeAspect="1"/>
                  </pic:cNvPicPr>
                </pic:nvPicPr>
                <pic:blipFill>
                  <a:blip r:embed="rId1"/>
                  <a:stretch>
                    <a:fillRect/>
                  </a:stretch>
                </pic:blipFill>
                <pic:spPr>
                  <a:xfrm>
                    <a:off x="0" y="0"/>
                    <a:ext cx="44450" cy="38100"/>
                  </a:xfrm>
                  <a:prstGeom prst="rect">
                    <a:avLst/>
                  </a:prstGeom>
                  <a:noFill/>
                  <a:ln>
                    <a:noFill/>
                  </a:ln>
                </pic:spPr>
              </pic:pic>
            </a:graphicData>
          </a:graphic>
        </wp:anchor>
      </w:drawing>
    </w:r>
    <w:r>
      <mc:AlternateContent>
        <mc:Choice Requires="wps">
          <w:drawing>
            <wp:anchor distT="0" distB="0" distL="114300" distR="114300" simplePos="0" relativeHeight="251668480" behindDoc="1" locked="0" layoutInCell="1" allowOverlap="1">
              <wp:simplePos x="0" y="0"/>
              <wp:positionH relativeFrom="page">
                <wp:posOffset>706755</wp:posOffset>
              </wp:positionH>
              <wp:positionV relativeFrom="page">
                <wp:posOffset>584835</wp:posOffset>
              </wp:positionV>
              <wp:extent cx="2082800" cy="174625"/>
              <wp:effectExtent l="0" t="0" r="0" b="0"/>
              <wp:wrapNone/>
              <wp:docPr id="4" name="文本框 4"/>
              <wp:cNvGraphicFramePr/>
              <a:graphic xmlns:a="http://schemas.openxmlformats.org/drawingml/2006/main">
                <a:graphicData uri="http://schemas.microsoft.com/office/word/2010/wordprocessingShape">
                  <wps:wsp>
                    <wps:cNvSpPr txBox="1">
                      <a:spLocks noChangeArrowheads="1"/>
                    </wps:cNvSpPr>
                    <wps:spPr bwMode="auto">
                      <a:xfrm>
                        <a:off x="0" y="0"/>
                        <a:ext cx="2082800" cy="174625"/>
                      </a:xfrm>
                      <a:prstGeom prst="rect">
                        <a:avLst/>
                      </a:prstGeom>
                      <a:noFill/>
                      <a:ln>
                        <a:noFill/>
                      </a:ln>
                      <a:effectLst/>
                    </wps:spPr>
                    <wps:txbx>
                      <w:txbxContent>
                        <w:p w14:paraId="2EEE857D">
                          <w:pPr>
                            <w:spacing w:line="274" w:lineRule="exact"/>
                            <w:rPr>
                              <w:rFonts w:ascii="华文楷体" w:eastAsia="华文楷体"/>
                              <w:sz w:val="18"/>
                            </w:rPr>
                          </w:pPr>
                        </w:p>
                      </w:txbxContent>
                    </wps:txbx>
                    <wps:bodyPr rot="0" vert="horz" wrap="square" lIns="0" tIns="0" rIns="0" bIns="0" anchor="t" anchorCtr="0" upright="1">
                      <a:noAutofit/>
                    </wps:bodyPr>
                  </wps:wsp>
                </a:graphicData>
              </a:graphic>
            </wp:anchor>
          </w:drawing>
        </mc:Choice>
        <mc:Fallback>
          <w:pict>
            <v:shape id="_x0000_s1026" o:spid="_x0000_s1026" o:spt="202" type="#_x0000_t202" style="position:absolute;left:0pt;margin-left:55.65pt;margin-top:46.05pt;height:13.75pt;width:164pt;mso-position-horizontal-relative:page;mso-position-vertical-relative:page;z-index:-251648000;mso-width-relative:page;mso-height-relative:page;" filled="f" stroked="f" coordsize="21600,21600" o:gfxdata="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OSreYvXAAAACgEAAA8AAAAAAAAA&#10;AQAgAAAAIgAAAGRycy9kb3ducmV2LnhtbFBLAQIUABQAAAAIAIdO4kCHvfidEgIAABMEAAAOAAAA&#10;AAAAAAEAIAAAACYBAABkcnMvZTJvRG9jLnhtbFBLBQYAAAAABgAGAFkBAACqBQAAAAA=&#10;">
              <v:fill on="f" focussize="0,0"/>
              <v:stroke on="f"/>
              <v:imagedata o:title=""/>
              <o:lock v:ext="edit" aspectratio="f"/>
              <v:textbox inset="0mm,0mm,0mm,0mm">
                <w:txbxContent>
                  <w:p w14:paraId="2EEE857D">
                    <w:pPr>
                      <w:spacing w:line="274" w:lineRule="exact"/>
                      <w:rPr>
                        <w:rFonts w:ascii="华文楷体" w:eastAsia="华文楷体"/>
                        <w:sz w:val="18"/>
                      </w:rPr>
                    </w:pPr>
                  </w:p>
                </w:txbxContent>
              </v:textbox>
            </v:shape>
          </w:pict>
        </mc:Fallback>
      </mc:AlternateContent>
    </w:r>
    <w:r>
      <mc:AlternateContent>
        <mc:Choice Requires="wps">
          <w:drawing>
            <wp:anchor distT="0" distB="0" distL="114300" distR="114300" simplePos="0" relativeHeight="251669504" behindDoc="1" locked="0" layoutInCell="1" allowOverlap="1">
              <wp:simplePos x="0" y="0"/>
              <wp:positionH relativeFrom="page">
                <wp:posOffset>5396865</wp:posOffset>
              </wp:positionH>
              <wp:positionV relativeFrom="page">
                <wp:posOffset>584835</wp:posOffset>
              </wp:positionV>
              <wp:extent cx="1431290" cy="174625"/>
              <wp:effectExtent l="0" t="0" r="0" b="0"/>
              <wp:wrapNone/>
              <wp:docPr id="5" name="文本框 5"/>
              <wp:cNvGraphicFramePr/>
              <a:graphic xmlns:a="http://schemas.openxmlformats.org/drawingml/2006/main">
                <a:graphicData uri="http://schemas.microsoft.com/office/word/2010/wordprocessingShape">
                  <wps:wsp>
                    <wps:cNvSpPr txBox="1">
                      <a:spLocks noChangeArrowheads="1"/>
                    </wps:cNvSpPr>
                    <wps:spPr bwMode="auto">
                      <a:xfrm>
                        <a:off x="0" y="0"/>
                        <a:ext cx="1431290" cy="174625"/>
                      </a:xfrm>
                      <a:prstGeom prst="rect">
                        <a:avLst/>
                      </a:prstGeom>
                      <a:noFill/>
                      <a:ln>
                        <a:noFill/>
                      </a:ln>
                      <a:effectLst/>
                    </wps:spPr>
                    <wps:txbx>
                      <w:txbxContent>
                        <w:p w14:paraId="507B8A10">
                          <w:pPr>
                            <w:spacing w:line="274" w:lineRule="exact"/>
                            <w:rPr>
                              <w:rFonts w:ascii="华文楷体" w:eastAsia="华文楷体"/>
                              <w:sz w:val="18"/>
                            </w:rPr>
                          </w:pPr>
                        </w:p>
                      </w:txbxContent>
                    </wps:txbx>
                    <wps:bodyPr rot="0" vert="horz" wrap="square" lIns="0" tIns="0" rIns="0" bIns="0" anchor="t" anchorCtr="0" upright="1">
                      <a:noAutofit/>
                    </wps:bodyPr>
                  </wps:wsp>
                </a:graphicData>
              </a:graphic>
            </wp:anchor>
          </w:drawing>
        </mc:Choice>
        <mc:Fallback>
          <w:pict>
            <v:shape id="_x0000_s1026" o:spid="_x0000_s1026" o:spt="202" type="#_x0000_t202" style="position:absolute;left:0pt;margin-left:424.95pt;margin-top:46.05pt;height:13.75pt;width:112.7pt;mso-position-horizontal-relative:page;mso-position-vertical-relative:page;z-index:-251646976;mso-width-relative:page;mso-height-relative:page;" filled="f" stroked="f" coordsize="21600,21600" o:gfxdata="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G7+G5vaAAAACwEAAA8AAAAA&#10;AAAAAQAgAAAAIgAAAGRycy9kb3ducmV2LnhtbFBLAQIUABQAAAAIAIdO4kAF+xgdEgIAABMEAAAO&#10;AAAAAAAAAAEAIAAAACkBAABkcnMvZTJvRG9jLnhtbFBLBQYAAAAABgAGAFkBAACtBQAAAAA=&#10;">
              <v:fill on="f" focussize="0,0"/>
              <v:stroke on="f"/>
              <v:imagedata o:title=""/>
              <o:lock v:ext="edit" aspectratio="f"/>
              <v:textbox inset="0mm,0mm,0mm,0mm">
                <w:txbxContent>
                  <w:p w14:paraId="507B8A10">
                    <w:pPr>
                      <w:spacing w:line="274" w:lineRule="exact"/>
                      <w:rPr>
                        <w:rFonts w:ascii="华文楷体" w:eastAsia="华文楷体"/>
                        <w:sz w:val="18"/>
                      </w:rPr>
                    </w:pPr>
                  </w:p>
                </w:txbxContent>
              </v:textbox>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E151E0">
    <w:pPr>
      <w:pStyle w:val="16"/>
      <w:pBdr>
        <w:bottom w:val="none" w:color="auto" w:sz="0" w:space="1"/>
      </w:pBdr>
      <w:jc w:val="right"/>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9A7CC5">
    <w:pPr>
      <w:pStyle w:val="16"/>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86658C">
    <w:pPr>
      <w:pStyle w:val="1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462CDF3"/>
    <w:multiLevelType w:val="multilevel"/>
    <w:tmpl w:val="9462CDF3"/>
    <w:lvl w:ilvl="0" w:tentative="0">
      <w:start w:val="1"/>
      <w:numFmt w:val="chineseCounting"/>
      <w:suff w:val="nothing"/>
      <w:lvlText w:val="%1、"/>
      <w:lvlJc w:val="left"/>
      <w:pPr>
        <w:tabs>
          <w:tab w:val="left" w:pos="0"/>
        </w:tabs>
        <w:ind w:left="0" w:firstLine="0"/>
      </w:pPr>
      <w:rPr>
        <w:rFonts w:hint="eastAsia"/>
      </w:rPr>
    </w:lvl>
    <w:lvl w:ilvl="1" w:tentative="0">
      <w:start w:val="1"/>
      <w:numFmt w:val="decimal"/>
      <w:suff w:val="nothing"/>
      <w:lvlText w:val="%2．"/>
      <w:lvlJc w:val="left"/>
      <w:pPr>
        <w:ind w:left="452" w:firstLine="400"/>
      </w:pPr>
      <w:rPr>
        <w:rFonts w:hint="eastAsia"/>
      </w:rPr>
    </w:lvl>
    <w:lvl w:ilvl="2" w:tentative="0">
      <w:start w:val="1"/>
      <w:numFmt w:val="decimal"/>
      <w:suff w:val="nothing"/>
      <w:lvlText w:val="（%3）"/>
      <w:lvlJc w:val="left"/>
      <w:pPr>
        <w:ind w:left="0" w:firstLine="402"/>
      </w:pPr>
      <w:rPr>
        <w:rFonts w:hint="eastAsia"/>
      </w:rPr>
    </w:lvl>
    <w:lvl w:ilvl="3" w:tentative="0">
      <w:start w:val="1"/>
      <w:numFmt w:val="decimalEnclosedCircleChinese"/>
      <w:suff w:val="nothing"/>
      <w:lvlText w:val="%4 "/>
      <w:lvlJc w:val="left"/>
      <w:pPr>
        <w:ind w:left="0" w:firstLine="402"/>
      </w:pPr>
      <w:rPr>
        <w:rFonts w:hint="eastAsia"/>
      </w:rPr>
    </w:lvl>
    <w:lvl w:ilvl="4" w:tentative="0">
      <w:start w:val="1"/>
      <w:numFmt w:val="decimal"/>
      <w:suff w:val="nothing"/>
      <w:lvlText w:val="%5）"/>
      <w:lvlJc w:val="left"/>
      <w:pPr>
        <w:ind w:left="0" w:firstLine="402"/>
      </w:pPr>
      <w:rPr>
        <w:rFonts w:hint="eastAsia"/>
      </w:rPr>
    </w:lvl>
    <w:lvl w:ilvl="5" w:tentative="0">
      <w:start w:val="1"/>
      <w:numFmt w:val="lowerLetter"/>
      <w:suff w:val="nothing"/>
      <w:lvlText w:val="%6．"/>
      <w:lvlJc w:val="left"/>
      <w:pPr>
        <w:ind w:left="0" w:firstLine="402"/>
      </w:pPr>
      <w:rPr>
        <w:rFonts w:hint="eastAsia"/>
      </w:rPr>
    </w:lvl>
    <w:lvl w:ilvl="6" w:tentative="0">
      <w:start w:val="1"/>
      <w:numFmt w:val="lowerLetter"/>
      <w:suff w:val="nothing"/>
      <w:lvlText w:val="%7）"/>
      <w:lvlJc w:val="left"/>
      <w:pPr>
        <w:ind w:left="0" w:firstLine="402"/>
      </w:pPr>
      <w:rPr>
        <w:rFonts w:hint="eastAsia"/>
      </w:rPr>
    </w:lvl>
    <w:lvl w:ilvl="7" w:tentative="0">
      <w:start w:val="1"/>
      <w:numFmt w:val="lowerRoman"/>
      <w:suff w:val="nothing"/>
      <w:lvlText w:val="%8. "/>
      <w:lvlJc w:val="left"/>
      <w:pPr>
        <w:ind w:left="0" w:firstLine="402"/>
      </w:pPr>
      <w:rPr>
        <w:rFonts w:hint="eastAsia"/>
      </w:rPr>
    </w:lvl>
    <w:lvl w:ilvl="8" w:tentative="0">
      <w:start w:val="1"/>
      <w:numFmt w:val="lowerRoman"/>
      <w:suff w:val="nothing"/>
      <w:lvlText w:val="%9）"/>
      <w:lvlJc w:val="left"/>
      <w:pPr>
        <w:ind w:left="0" w:firstLine="402"/>
      </w:pPr>
      <w:rPr>
        <w:rFonts w:hint="eastAsia"/>
      </w:rPr>
    </w:lvl>
  </w:abstractNum>
  <w:abstractNum w:abstractNumId="1">
    <w:nsid w:val="00000002"/>
    <w:multiLevelType w:val="singleLevel"/>
    <w:tmpl w:val="00000002"/>
    <w:lvl w:ilvl="0" w:tentative="0">
      <w:start w:val="1"/>
      <w:numFmt w:val="upperLetter"/>
      <w:pStyle w:val="4"/>
      <w:lvlText w:val="%1."/>
      <w:lvlJc w:val="left"/>
      <w:pPr>
        <w:tabs>
          <w:tab w:val="left" w:pos="330"/>
        </w:tabs>
        <w:ind w:left="330" w:hanging="330"/>
      </w:pPr>
    </w:lvl>
  </w:abstractNum>
  <w:abstractNum w:abstractNumId="2">
    <w:nsid w:val="0053208E"/>
    <w:multiLevelType w:val="multilevel"/>
    <w:tmpl w:val="0053208E"/>
    <w:lvl w:ilvl="0" w:tentative="0">
      <w:start w:val="1"/>
      <w:numFmt w:val="upperLetter"/>
      <w:pStyle w:val="5"/>
      <w:lvlText w:val="%1."/>
      <w:lvlJc w:val="left"/>
      <w:pPr>
        <w:tabs>
          <w:tab w:val="left" w:pos="468"/>
        </w:tabs>
        <w:ind w:left="468" w:hanging="468"/>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360"/>
        </w:tabs>
        <w:ind w:left="3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3">
    <w:nsid w:val="21DC2577"/>
    <w:multiLevelType w:val="multilevel"/>
    <w:tmpl w:val="21DC2577"/>
    <w:lvl w:ilvl="0" w:tentative="0">
      <w:start w:val="1"/>
      <w:numFmt w:val="decimal"/>
      <w:lvlText w:val="（%1）"/>
      <w:lvlJc w:val="left"/>
      <w:pPr>
        <w:ind w:left="1402" w:hanging="720"/>
      </w:pPr>
      <w:rPr>
        <w:rFonts w:hint="default"/>
      </w:rPr>
    </w:lvl>
    <w:lvl w:ilvl="1" w:tentative="0">
      <w:start w:val="1"/>
      <w:numFmt w:val="lowerLetter"/>
      <w:lvlText w:val="%2)"/>
      <w:lvlJc w:val="left"/>
      <w:pPr>
        <w:ind w:left="1522" w:hanging="420"/>
      </w:pPr>
    </w:lvl>
    <w:lvl w:ilvl="2" w:tentative="0">
      <w:start w:val="1"/>
      <w:numFmt w:val="lowerRoman"/>
      <w:lvlText w:val="%3."/>
      <w:lvlJc w:val="right"/>
      <w:pPr>
        <w:ind w:left="1942" w:hanging="420"/>
      </w:pPr>
    </w:lvl>
    <w:lvl w:ilvl="3" w:tentative="0">
      <w:start w:val="1"/>
      <w:numFmt w:val="decimal"/>
      <w:lvlText w:val="%4."/>
      <w:lvlJc w:val="left"/>
      <w:pPr>
        <w:ind w:left="2362" w:hanging="420"/>
      </w:pPr>
    </w:lvl>
    <w:lvl w:ilvl="4" w:tentative="0">
      <w:start w:val="1"/>
      <w:numFmt w:val="lowerLetter"/>
      <w:lvlText w:val="%5)"/>
      <w:lvlJc w:val="left"/>
      <w:pPr>
        <w:ind w:left="2782" w:hanging="420"/>
      </w:pPr>
    </w:lvl>
    <w:lvl w:ilvl="5" w:tentative="0">
      <w:start w:val="1"/>
      <w:numFmt w:val="lowerRoman"/>
      <w:lvlText w:val="%6."/>
      <w:lvlJc w:val="right"/>
      <w:pPr>
        <w:ind w:left="3202" w:hanging="420"/>
      </w:pPr>
    </w:lvl>
    <w:lvl w:ilvl="6" w:tentative="0">
      <w:start w:val="1"/>
      <w:numFmt w:val="decimal"/>
      <w:lvlText w:val="%7."/>
      <w:lvlJc w:val="left"/>
      <w:pPr>
        <w:ind w:left="3622" w:hanging="420"/>
      </w:pPr>
    </w:lvl>
    <w:lvl w:ilvl="7" w:tentative="0">
      <w:start w:val="1"/>
      <w:numFmt w:val="lowerLetter"/>
      <w:lvlText w:val="%8)"/>
      <w:lvlJc w:val="left"/>
      <w:pPr>
        <w:ind w:left="4042" w:hanging="420"/>
      </w:pPr>
    </w:lvl>
    <w:lvl w:ilvl="8" w:tentative="0">
      <w:start w:val="1"/>
      <w:numFmt w:val="lowerRoman"/>
      <w:lvlText w:val="%9."/>
      <w:lvlJc w:val="right"/>
      <w:pPr>
        <w:ind w:left="4462" w:hanging="420"/>
      </w:pPr>
    </w:lvl>
  </w:abstractNum>
  <w:abstractNum w:abstractNumId="4">
    <w:nsid w:val="242C5E60"/>
    <w:multiLevelType w:val="singleLevel"/>
    <w:tmpl w:val="242C5E60"/>
    <w:lvl w:ilvl="0" w:tentative="0">
      <w:start w:val="8"/>
      <w:numFmt w:val="decimal"/>
      <w:suff w:val="nothing"/>
      <w:lvlText w:val="%1、"/>
      <w:lvlJc w:val="left"/>
    </w:lvl>
  </w:abstractNum>
  <w:abstractNum w:abstractNumId="5">
    <w:nsid w:val="2960518C"/>
    <w:multiLevelType w:val="singleLevel"/>
    <w:tmpl w:val="2960518C"/>
    <w:lvl w:ilvl="0" w:tentative="0">
      <w:start w:val="1"/>
      <w:numFmt w:val="decimal"/>
      <w:suff w:val="nothing"/>
      <w:lvlText w:val="(%1)"/>
      <w:lvlJc w:val="left"/>
      <w:pPr>
        <w:ind w:left="425" w:hanging="425"/>
      </w:pPr>
      <w:rPr>
        <w:rFonts w:hint="default"/>
      </w:rPr>
    </w:lvl>
  </w:abstractNum>
  <w:abstractNum w:abstractNumId="6">
    <w:nsid w:val="31A53C86"/>
    <w:multiLevelType w:val="multilevel"/>
    <w:tmpl w:val="31A53C86"/>
    <w:lvl w:ilvl="0" w:tentative="0">
      <w:start w:val="1"/>
      <w:numFmt w:val="decimal"/>
      <w:suff w:val="nothing"/>
      <w:lvlText w:val="%1."/>
      <w:lvlJc w:val="left"/>
      <w:pPr>
        <w:ind w:left="1130" w:hanging="420"/>
      </w:pPr>
      <w:rPr>
        <w:rFonts w:hint="eastAsia"/>
      </w:rPr>
    </w:lvl>
    <w:lvl w:ilvl="1" w:tentative="0">
      <w:start w:val="1"/>
      <w:numFmt w:val="lowerLetter"/>
      <w:lvlText w:val="%2)"/>
      <w:lvlJc w:val="left"/>
      <w:pPr>
        <w:ind w:left="1402" w:hanging="420"/>
      </w:pPr>
    </w:lvl>
    <w:lvl w:ilvl="2" w:tentative="0">
      <w:start w:val="1"/>
      <w:numFmt w:val="lowerRoman"/>
      <w:lvlText w:val="%3."/>
      <w:lvlJc w:val="right"/>
      <w:pPr>
        <w:ind w:left="1822" w:hanging="420"/>
      </w:pPr>
    </w:lvl>
    <w:lvl w:ilvl="3" w:tentative="0">
      <w:start w:val="1"/>
      <w:numFmt w:val="decimal"/>
      <w:lvlText w:val="%4."/>
      <w:lvlJc w:val="left"/>
      <w:pPr>
        <w:ind w:left="2242" w:hanging="420"/>
      </w:pPr>
    </w:lvl>
    <w:lvl w:ilvl="4" w:tentative="0">
      <w:start w:val="1"/>
      <w:numFmt w:val="lowerLetter"/>
      <w:lvlText w:val="%5)"/>
      <w:lvlJc w:val="left"/>
      <w:pPr>
        <w:ind w:left="2662" w:hanging="420"/>
      </w:pPr>
    </w:lvl>
    <w:lvl w:ilvl="5" w:tentative="0">
      <w:start w:val="1"/>
      <w:numFmt w:val="lowerRoman"/>
      <w:lvlText w:val="%6."/>
      <w:lvlJc w:val="right"/>
      <w:pPr>
        <w:ind w:left="3082" w:hanging="420"/>
      </w:pPr>
    </w:lvl>
    <w:lvl w:ilvl="6" w:tentative="0">
      <w:start w:val="1"/>
      <w:numFmt w:val="decimal"/>
      <w:lvlText w:val="%7."/>
      <w:lvlJc w:val="left"/>
      <w:pPr>
        <w:ind w:left="3502" w:hanging="420"/>
      </w:pPr>
    </w:lvl>
    <w:lvl w:ilvl="7" w:tentative="0">
      <w:start w:val="1"/>
      <w:numFmt w:val="lowerLetter"/>
      <w:lvlText w:val="%8)"/>
      <w:lvlJc w:val="left"/>
      <w:pPr>
        <w:ind w:left="3922" w:hanging="420"/>
      </w:pPr>
    </w:lvl>
    <w:lvl w:ilvl="8" w:tentative="0">
      <w:start w:val="1"/>
      <w:numFmt w:val="lowerRoman"/>
      <w:lvlText w:val="%9."/>
      <w:lvlJc w:val="right"/>
      <w:pPr>
        <w:ind w:left="4342" w:hanging="420"/>
      </w:pPr>
    </w:lvl>
  </w:abstractNum>
  <w:abstractNum w:abstractNumId="7">
    <w:nsid w:val="45B62463"/>
    <w:multiLevelType w:val="multilevel"/>
    <w:tmpl w:val="45B62463"/>
    <w:lvl w:ilvl="0" w:tentative="0">
      <w:start w:val="1"/>
      <w:numFmt w:val="japaneseCounting"/>
      <w:lvlText w:val="（%1）"/>
      <w:lvlJc w:val="left"/>
      <w:pPr>
        <w:ind w:left="1580" w:hanging="870"/>
      </w:pPr>
      <w:rPr>
        <w:rFonts w:hint="default"/>
      </w:rPr>
    </w:lvl>
    <w:lvl w:ilvl="1" w:tentative="0">
      <w:start w:val="1"/>
      <w:numFmt w:val="lowerLetter"/>
      <w:lvlText w:val="%2)"/>
      <w:lvlJc w:val="left"/>
      <w:pPr>
        <w:ind w:left="1590" w:hanging="440"/>
      </w:pPr>
    </w:lvl>
    <w:lvl w:ilvl="2" w:tentative="0">
      <w:start w:val="1"/>
      <w:numFmt w:val="lowerRoman"/>
      <w:lvlText w:val="%3."/>
      <w:lvlJc w:val="right"/>
      <w:pPr>
        <w:ind w:left="2030" w:hanging="440"/>
      </w:pPr>
    </w:lvl>
    <w:lvl w:ilvl="3" w:tentative="0">
      <w:start w:val="1"/>
      <w:numFmt w:val="decimal"/>
      <w:lvlText w:val="%4."/>
      <w:lvlJc w:val="left"/>
      <w:pPr>
        <w:ind w:left="2470" w:hanging="440"/>
      </w:pPr>
    </w:lvl>
    <w:lvl w:ilvl="4" w:tentative="0">
      <w:start w:val="1"/>
      <w:numFmt w:val="lowerLetter"/>
      <w:lvlText w:val="%5)"/>
      <w:lvlJc w:val="left"/>
      <w:pPr>
        <w:ind w:left="2910" w:hanging="440"/>
      </w:pPr>
    </w:lvl>
    <w:lvl w:ilvl="5" w:tentative="0">
      <w:start w:val="1"/>
      <w:numFmt w:val="lowerRoman"/>
      <w:lvlText w:val="%6."/>
      <w:lvlJc w:val="right"/>
      <w:pPr>
        <w:ind w:left="3350" w:hanging="440"/>
      </w:pPr>
    </w:lvl>
    <w:lvl w:ilvl="6" w:tentative="0">
      <w:start w:val="1"/>
      <w:numFmt w:val="decimal"/>
      <w:lvlText w:val="%7."/>
      <w:lvlJc w:val="left"/>
      <w:pPr>
        <w:ind w:left="3790" w:hanging="440"/>
      </w:pPr>
    </w:lvl>
    <w:lvl w:ilvl="7" w:tentative="0">
      <w:start w:val="1"/>
      <w:numFmt w:val="lowerLetter"/>
      <w:lvlText w:val="%8)"/>
      <w:lvlJc w:val="left"/>
      <w:pPr>
        <w:ind w:left="4230" w:hanging="440"/>
      </w:pPr>
    </w:lvl>
    <w:lvl w:ilvl="8" w:tentative="0">
      <w:start w:val="1"/>
      <w:numFmt w:val="lowerRoman"/>
      <w:lvlText w:val="%9."/>
      <w:lvlJc w:val="right"/>
      <w:pPr>
        <w:ind w:left="4670" w:hanging="440"/>
      </w:pPr>
    </w:lvl>
  </w:abstractNum>
  <w:num w:numId="1">
    <w:abstractNumId w:val="1"/>
  </w:num>
  <w:num w:numId="2">
    <w:abstractNumId w:val="2"/>
  </w:num>
  <w:num w:numId="3">
    <w:abstractNumId w:val="7"/>
  </w:num>
  <w:num w:numId="4">
    <w:abstractNumId w:val="6"/>
  </w:num>
  <w:num w:numId="5">
    <w:abstractNumId w:val="3"/>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1"/>
  <w:embedSystemFonts/>
  <w:bordersDoNotSurroundHeader w:val="1"/>
  <w:bordersDoNotSurroundFooter w:val="1"/>
  <w:documentProtection w:edit="readOnly" w:enforcement="1" w:cryptProviderType="rsaFull" w:cryptAlgorithmClass="hash" w:cryptAlgorithmType="typeAny" w:cryptAlgorithmSid="4" w:cryptSpinCount="0" w:hash="u3EorWQtvvLehtPdJhBaVkpVKS4=" w:salt="V3ML4jdhX3g1eNk2SWFbWg=="/>
  <w:defaultTabStop w:val="420"/>
  <w:drawingGridHorizontalSpacing w:val="210"/>
  <w:drawingGridVerticalSpacing w:val="-794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dkZDdiODk5YmY4ZGI2ZTliZWMzZTAzZTU2MWVmODEifQ=="/>
  </w:docVars>
  <w:rsids>
    <w:rsidRoot w:val="00E74A13"/>
    <w:rsid w:val="00010625"/>
    <w:rsid w:val="00011274"/>
    <w:rsid w:val="000C2D80"/>
    <w:rsid w:val="000E258B"/>
    <w:rsid w:val="000F33C2"/>
    <w:rsid w:val="001104EF"/>
    <w:rsid w:val="00121584"/>
    <w:rsid w:val="00130AD2"/>
    <w:rsid w:val="00254D2C"/>
    <w:rsid w:val="002F44CE"/>
    <w:rsid w:val="00380D19"/>
    <w:rsid w:val="003874B9"/>
    <w:rsid w:val="00397D3E"/>
    <w:rsid w:val="003B5DAF"/>
    <w:rsid w:val="003E0E68"/>
    <w:rsid w:val="004E638A"/>
    <w:rsid w:val="005304B9"/>
    <w:rsid w:val="00596A5F"/>
    <w:rsid w:val="006333AB"/>
    <w:rsid w:val="00692036"/>
    <w:rsid w:val="006A4E16"/>
    <w:rsid w:val="006F5F1F"/>
    <w:rsid w:val="007131BB"/>
    <w:rsid w:val="0071544C"/>
    <w:rsid w:val="007F0D3F"/>
    <w:rsid w:val="0082648C"/>
    <w:rsid w:val="008601BE"/>
    <w:rsid w:val="008C6408"/>
    <w:rsid w:val="00AA067D"/>
    <w:rsid w:val="00AB1073"/>
    <w:rsid w:val="00B00776"/>
    <w:rsid w:val="00B24F2C"/>
    <w:rsid w:val="00C573C7"/>
    <w:rsid w:val="00C87A7C"/>
    <w:rsid w:val="00D21DF6"/>
    <w:rsid w:val="00D70859"/>
    <w:rsid w:val="00D9012D"/>
    <w:rsid w:val="00DF0E48"/>
    <w:rsid w:val="00E25B4C"/>
    <w:rsid w:val="00E74A13"/>
    <w:rsid w:val="00FE3E47"/>
    <w:rsid w:val="031E451D"/>
    <w:rsid w:val="03265180"/>
    <w:rsid w:val="03B629A7"/>
    <w:rsid w:val="051C4A8C"/>
    <w:rsid w:val="062B1CFE"/>
    <w:rsid w:val="06304C93"/>
    <w:rsid w:val="0790163A"/>
    <w:rsid w:val="07951FE7"/>
    <w:rsid w:val="08430582"/>
    <w:rsid w:val="08774BDA"/>
    <w:rsid w:val="08F875BE"/>
    <w:rsid w:val="09566CCB"/>
    <w:rsid w:val="0A324BF0"/>
    <w:rsid w:val="0ACB4F8A"/>
    <w:rsid w:val="0B3568A8"/>
    <w:rsid w:val="0B6149B5"/>
    <w:rsid w:val="0BF978D5"/>
    <w:rsid w:val="0C1864E7"/>
    <w:rsid w:val="0C436DA2"/>
    <w:rsid w:val="0CFA522B"/>
    <w:rsid w:val="0D042A38"/>
    <w:rsid w:val="0E037770"/>
    <w:rsid w:val="0E1704E7"/>
    <w:rsid w:val="0E7E7932"/>
    <w:rsid w:val="0FC24482"/>
    <w:rsid w:val="10501A8E"/>
    <w:rsid w:val="124B69B1"/>
    <w:rsid w:val="12676B1C"/>
    <w:rsid w:val="128E0F2A"/>
    <w:rsid w:val="13086650"/>
    <w:rsid w:val="131E2317"/>
    <w:rsid w:val="13F50CB0"/>
    <w:rsid w:val="15612E9D"/>
    <w:rsid w:val="16761C0B"/>
    <w:rsid w:val="16CD208A"/>
    <w:rsid w:val="171C5F5E"/>
    <w:rsid w:val="18100480"/>
    <w:rsid w:val="18DC65B5"/>
    <w:rsid w:val="19324427"/>
    <w:rsid w:val="19371A3D"/>
    <w:rsid w:val="1AE602DC"/>
    <w:rsid w:val="1B0B3C0E"/>
    <w:rsid w:val="1C297D63"/>
    <w:rsid w:val="1CFD2F9D"/>
    <w:rsid w:val="1DB47B00"/>
    <w:rsid w:val="1EC45B21"/>
    <w:rsid w:val="20656E27"/>
    <w:rsid w:val="20CC6F0F"/>
    <w:rsid w:val="20CC7DDC"/>
    <w:rsid w:val="21601A4E"/>
    <w:rsid w:val="22244B28"/>
    <w:rsid w:val="22716E90"/>
    <w:rsid w:val="22845011"/>
    <w:rsid w:val="22AB7EB5"/>
    <w:rsid w:val="23604669"/>
    <w:rsid w:val="23E97DD8"/>
    <w:rsid w:val="2406377F"/>
    <w:rsid w:val="240A4E83"/>
    <w:rsid w:val="24637B8A"/>
    <w:rsid w:val="24C41239"/>
    <w:rsid w:val="24C9636D"/>
    <w:rsid w:val="24D5148C"/>
    <w:rsid w:val="253024AD"/>
    <w:rsid w:val="25F85588"/>
    <w:rsid w:val="25F93EA6"/>
    <w:rsid w:val="276A001E"/>
    <w:rsid w:val="27BD7C90"/>
    <w:rsid w:val="28101DD7"/>
    <w:rsid w:val="284D4924"/>
    <w:rsid w:val="289B3D96"/>
    <w:rsid w:val="28AB00FE"/>
    <w:rsid w:val="28B879F7"/>
    <w:rsid w:val="29183639"/>
    <w:rsid w:val="2973261D"/>
    <w:rsid w:val="29AE7AF9"/>
    <w:rsid w:val="29CF181E"/>
    <w:rsid w:val="2AC23E4E"/>
    <w:rsid w:val="2BBE4084"/>
    <w:rsid w:val="2D4D226C"/>
    <w:rsid w:val="2D607AB3"/>
    <w:rsid w:val="2DA01E4F"/>
    <w:rsid w:val="2F736678"/>
    <w:rsid w:val="2FA31782"/>
    <w:rsid w:val="3041586B"/>
    <w:rsid w:val="314D6F7A"/>
    <w:rsid w:val="317038E6"/>
    <w:rsid w:val="31E2086A"/>
    <w:rsid w:val="31FD7870"/>
    <w:rsid w:val="331C6AE0"/>
    <w:rsid w:val="33DB6B53"/>
    <w:rsid w:val="34B34C66"/>
    <w:rsid w:val="35506CFF"/>
    <w:rsid w:val="360D479A"/>
    <w:rsid w:val="364D77DE"/>
    <w:rsid w:val="36E52680"/>
    <w:rsid w:val="3847742F"/>
    <w:rsid w:val="38536B21"/>
    <w:rsid w:val="385F449D"/>
    <w:rsid w:val="391B05DB"/>
    <w:rsid w:val="3ABE56C2"/>
    <w:rsid w:val="3B0A4DAB"/>
    <w:rsid w:val="3B6F738F"/>
    <w:rsid w:val="3C355E58"/>
    <w:rsid w:val="3CEA3F3E"/>
    <w:rsid w:val="3D7521C3"/>
    <w:rsid w:val="3D7D6EF6"/>
    <w:rsid w:val="3DA602E4"/>
    <w:rsid w:val="3E5B2B00"/>
    <w:rsid w:val="3F650B29"/>
    <w:rsid w:val="3F6525B0"/>
    <w:rsid w:val="3FF91CB6"/>
    <w:rsid w:val="40C5233E"/>
    <w:rsid w:val="41452699"/>
    <w:rsid w:val="41BA22E4"/>
    <w:rsid w:val="44A1052F"/>
    <w:rsid w:val="44CE6E4A"/>
    <w:rsid w:val="44E623E5"/>
    <w:rsid w:val="455C6B0D"/>
    <w:rsid w:val="462C02CC"/>
    <w:rsid w:val="46E53D45"/>
    <w:rsid w:val="483B0352"/>
    <w:rsid w:val="48735D3E"/>
    <w:rsid w:val="49ED4E6D"/>
    <w:rsid w:val="4A764942"/>
    <w:rsid w:val="4AC76815"/>
    <w:rsid w:val="4B6A19AB"/>
    <w:rsid w:val="4C481290"/>
    <w:rsid w:val="4C520360"/>
    <w:rsid w:val="4C5E75E1"/>
    <w:rsid w:val="4CAA1F4A"/>
    <w:rsid w:val="4CC80356"/>
    <w:rsid w:val="4CEC2563"/>
    <w:rsid w:val="4DC81F0C"/>
    <w:rsid w:val="5151508A"/>
    <w:rsid w:val="517321A0"/>
    <w:rsid w:val="51746C3D"/>
    <w:rsid w:val="51A96C75"/>
    <w:rsid w:val="530103EA"/>
    <w:rsid w:val="54233F54"/>
    <w:rsid w:val="54A20958"/>
    <w:rsid w:val="556D43E3"/>
    <w:rsid w:val="5741772B"/>
    <w:rsid w:val="574772B7"/>
    <w:rsid w:val="58CC5A31"/>
    <w:rsid w:val="59D32AE1"/>
    <w:rsid w:val="5A110BE4"/>
    <w:rsid w:val="5AA93ED3"/>
    <w:rsid w:val="5BA06E2C"/>
    <w:rsid w:val="5BD01CC8"/>
    <w:rsid w:val="5C551101"/>
    <w:rsid w:val="5C5619C5"/>
    <w:rsid w:val="5C6118BB"/>
    <w:rsid w:val="5E8A7865"/>
    <w:rsid w:val="5E930A90"/>
    <w:rsid w:val="5EAC3900"/>
    <w:rsid w:val="60784F38"/>
    <w:rsid w:val="62755D04"/>
    <w:rsid w:val="627D7A0F"/>
    <w:rsid w:val="63400ABB"/>
    <w:rsid w:val="63B0096C"/>
    <w:rsid w:val="64BE61B5"/>
    <w:rsid w:val="64CF20F6"/>
    <w:rsid w:val="6574630C"/>
    <w:rsid w:val="65DE4480"/>
    <w:rsid w:val="675F3C06"/>
    <w:rsid w:val="68E819D9"/>
    <w:rsid w:val="699822C8"/>
    <w:rsid w:val="6AB951E2"/>
    <w:rsid w:val="6B9B0F84"/>
    <w:rsid w:val="6CE46821"/>
    <w:rsid w:val="6D97577B"/>
    <w:rsid w:val="6EF56BFD"/>
    <w:rsid w:val="6FF60E7F"/>
    <w:rsid w:val="70A71B01"/>
    <w:rsid w:val="70B15687"/>
    <w:rsid w:val="71BF65F1"/>
    <w:rsid w:val="73BA21C4"/>
    <w:rsid w:val="73E23AB5"/>
    <w:rsid w:val="740C5E91"/>
    <w:rsid w:val="743E1546"/>
    <w:rsid w:val="747405C4"/>
    <w:rsid w:val="748E5B2A"/>
    <w:rsid w:val="78FB12B4"/>
    <w:rsid w:val="793B3DA7"/>
    <w:rsid w:val="79444A09"/>
    <w:rsid w:val="7B3049AD"/>
    <w:rsid w:val="7BC17119"/>
    <w:rsid w:val="7C633AF0"/>
    <w:rsid w:val="7D6D21BF"/>
    <w:rsid w:val="7EBD2AC8"/>
    <w:rsid w:val="7F0A4E0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qFormat="1" w:unhideWhenUsed="0" w:uiPriority="99"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qFormat="1"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iPriority="99" w:semiHidden="0" w:name="HTML Preformatted"/>
    <w:lsdException w:qFormat="1"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3">
    <w:name w:val="heading 1"/>
    <w:basedOn w:val="1"/>
    <w:next w:val="1"/>
    <w:link w:val="31"/>
    <w:qFormat/>
    <w:uiPriority w:val="0"/>
    <w:pPr>
      <w:keepNext/>
      <w:jc w:val="center"/>
      <w:outlineLvl w:val="0"/>
    </w:pPr>
    <w:rPr>
      <w:rFonts w:ascii="仿宋_GB2312" w:eastAsia="仿宋_GB2312"/>
      <w:kern w:val="0"/>
      <w:sz w:val="28"/>
    </w:rPr>
  </w:style>
  <w:style w:type="paragraph" w:styleId="4">
    <w:name w:val="heading 2"/>
    <w:basedOn w:val="1"/>
    <w:next w:val="1"/>
    <w:qFormat/>
    <w:uiPriority w:val="0"/>
    <w:pPr>
      <w:keepNext/>
      <w:numPr>
        <w:ilvl w:val="0"/>
        <w:numId w:val="1"/>
      </w:numPr>
      <w:tabs>
        <w:tab w:val="left" w:pos="420"/>
        <w:tab w:val="clear" w:pos="330"/>
      </w:tabs>
      <w:spacing w:line="360" w:lineRule="auto"/>
      <w:outlineLvl w:val="1"/>
    </w:pPr>
    <w:rPr>
      <w:b/>
      <w:kern w:val="0"/>
      <w:sz w:val="24"/>
      <w:szCs w:val="24"/>
    </w:rPr>
  </w:style>
  <w:style w:type="paragraph" w:styleId="5">
    <w:name w:val="heading 3"/>
    <w:basedOn w:val="1"/>
    <w:next w:val="1"/>
    <w:link w:val="49"/>
    <w:qFormat/>
    <w:uiPriority w:val="0"/>
    <w:pPr>
      <w:numPr>
        <w:ilvl w:val="0"/>
        <w:numId w:val="2"/>
      </w:numPr>
      <w:outlineLvl w:val="2"/>
    </w:pPr>
    <w:rPr>
      <w:bCs/>
      <w:sz w:val="28"/>
    </w:rPr>
  </w:style>
  <w:style w:type="character" w:default="1" w:styleId="23">
    <w:name w:val="Default Paragraph Font"/>
    <w:semiHidden/>
    <w:unhideWhenUsed/>
    <w:qFormat/>
    <w:uiPriority w:val="1"/>
  </w:style>
  <w:style w:type="table" w:default="1" w:styleId="21">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1"/>
    <w:qFormat/>
    <w:uiPriority w:val="0"/>
    <w:pPr>
      <w:spacing w:after="120"/>
    </w:pPr>
  </w:style>
  <w:style w:type="paragraph" w:styleId="6">
    <w:name w:val="Normal Indent"/>
    <w:basedOn w:val="1"/>
    <w:next w:val="1"/>
    <w:qFormat/>
    <w:uiPriority w:val="0"/>
    <w:pPr>
      <w:ind w:firstLine="420" w:firstLineChars="200"/>
    </w:pPr>
  </w:style>
  <w:style w:type="paragraph" w:styleId="7">
    <w:name w:val="toa heading"/>
    <w:basedOn w:val="1"/>
    <w:next w:val="1"/>
    <w:qFormat/>
    <w:uiPriority w:val="0"/>
    <w:pPr>
      <w:spacing w:before="120"/>
    </w:pPr>
    <w:rPr>
      <w:rFonts w:ascii="Cambria" w:hAnsi="Cambria"/>
      <w:sz w:val="24"/>
    </w:rPr>
  </w:style>
  <w:style w:type="paragraph" w:styleId="8">
    <w:name w:val="annotation text"/>
    <w:basedOn w:val="1"/>
    <w:qFormat/>
    <w:uiPriority w:val="0"/>
    <w:pPr>
      <w:jc w:val="left"/>
    </w:pPr>
  </w:style>
  <w:style w:type="paragraph" w:styleId="9">
    <w:name w:val="index 6"/>
    <w:basedOn w:val="1"/>
    <w:next w:val="1"/>
    <w:qFormat/>
    <w:uiPriority w:val="99"/>
    <w:pPr>
      <w:ind w:left="2100"/>
    </w:pPr>
  </w:style>
  <w:style w:type="paragraph" w:styleId="10">
    <w:name w:val="Body Text Indent"/>
    <w:basedOn w:val="1"/>
    <w:next w:val="11"/>
    <w:qFormat/>
    <w:uiPriority w:val="0"/>
    <w:pPr>
      <w:spacing w:line="800" w:lineRule="exact"/>
      <w:ind w:left="315" w:leftChars="150" w:firstLine="664" w:firstLineChars="237"/>
    </w:pPr>
    <w:rPr>
      <w:rFonts w:ascii="仿宋_GB2312" w:eastAsia="仿宋_GB2312"/>
      <w:sz w:val="28"/>
    </w:rPr>
  </w:style>
  <w:style w:type="paragraph" w:styleId="11">
    <w:name w:val="Body Text First Indent 2"/>
    <w:basedOn w:val="10"/>
    <w:next w:val="12"/>
    <w:qFormat/>
    <w:uiPriority w:val="0"/>
    <w:pPr>
      <w:spacing w:after="120"/>
      <w:ind w:left="420" w:leftChars="200" w:firstLine="420" w:firstLineChars="200"/>
    </w:pPr>
  </w:style>
  <w:style w:type="paragraph" w:styleId="12">
    <w:name w:val="Body Text First Indent"/>
    <w:basedOn w:val="2"/>
    <w:next w:val="13"/>
    <w:qFormat/>
    <w:uiPriority w:val="0"/>
    <w:pPr>
      <w:ind w:firstLine="420" w:firstLineChars="100"/>
    </w:pPr>
  </w:style>
  <w:style w:type="paragraph" w:styleId="13">
    <w:name w:val="toc 6"/>
    <w:basedOn w:val="1"/>
    <w:next w:val="1"/>
    <w:qFormat/>
    <w:uiPriority w:val="0"/>
    <w:pPr>
      <w:ind w:left="2100" w:leftChars="1000"/>
    </w:pPr>
    <w:rPr>
      <w:rFonts w:ascii="Calibri" w:hAnsi="Calibri"/>
    </w:rPr>
  </w:style>
  <w:style w:type="paragraph" w:styleId="14">
    <w:name w:val="Plain Text"/>
    <w:basedOn w:val="1"/>
    <w:qFormat/>
    <w:uiPriority w:val="0"/>
    <w:rPr>
      <w:rFonts w:ascii="宋体" w:hAnsi="宋体"/>
    </w:rPr>
  </w:style>
  <w:style w:type="paragraph" w:styleId="15">
    <w:name w:val="footer"/>
    <w:basedOn w:val="1"/>
    <w:qFormat/>
    <w:uiPriority w:val="0"/>
    <w:pPr>
      <w:tabs>
        <w:tab w:val="center" w:pos="4153"/>
        <w:tab w:val="right" w:pos="8306"/>
      </w:tabs>
      <w:snapToGrid w:val="0"/>
      <w:jc w:val="left"/>
    </w:pPr>
    <w:rPr>
      <w:sz w:val="18"/>
      <w:szCs w:val="18"/>
    </w:rPr>
  </w:style>
  <w:style w:type="paragraph" w:styleId="16">
    <w:name w:val="header"/>
    <w:basedOn w:val="1"/>
    <w:qFormat/>
    <w:uiPriority w:val="0"/>
    <w:pPr>
      <w:pBdr>
        <w:bottom w:val="single" w:color="auto" w:sz="6" w:space="1"/>
      </w:pBdr>
      <w:tabs>
        <w:tab w:val="center" w:pos="4153"/>
        <w:tab w:val="right" w:pos="8306"/>
      </w:tabs>
      <w:snapToGrid w:val="0"/>
      <w:jc w:val="center"/>
    </w:pPr>
    <w:rPr>
      <w:sz w:val="18"/>
    </w:rPr>
  </w:style>
  <w:style w:type="paragraph" w:styleId="17">
    <w:name w:val="toc 1"/>
    <w:basedOn w:val="1"/>
    <w:next w:val="1"/>
    <w:qFormat/>
    <w:uiPriority w:val="0"/>
  </w:style>
  <w:style w:type="paragraph" w:styleId="18">
    <w:name w:val="footnote text"/>
    <w:basedOn w:val="1"/>
    <w:qFormat/>
    <w:uiPriority w:val="0"/>
    <w:pPr>
      <w:snapToGrid w:val="0"/>
      <w:spacing w:line="312" w:lineRule="atLeast"/>
    </w:pPr>
    <w:rPr>
      <w:sz w:val="18"/>
      <w:szCs w:val="18"/>
    </w:rPr>
  </w:style>
  <w:style w:type="paragraph" w:styleId="19">
    <w:name w:val="HTML Preformatted"/>
    <w:basedOn w:val="1"/>
    <w:unhideWhenUsed/>
    <w:qFormat/>
    <w:uiPriority w:val="99"/>
    <w:rPr>
      <w:rFonts w:ascii="Courier New" w:hAnsi="Courier New" w:cs="Courier New"/>
      <w:sz w:val="20"/>
    </w:rPr>
  </w:style>
  <w:style w:type="paragraph" w:styleId="20">
    <w:name w:val="Normal (Web)"/>
    <w:basedOn w:val="1"/>
    <w:qFormat/>
    <w:uiPriority w:val="0"/>
    <w:pPr>
      <w:widowControl/>
      <w:jc w:val="left"/>
    </w:pPr>
    <w:rPr>
      <w:rFonts w:ascii="宋体" w:hAnsi="宋体" w:cs="宋体"/>
      <w:kern w:val="0"/>
      <w:sz w:val="24"/>
      <w:szCs w:val="24"/>
    </w:rPr>
  </w:style>
  <w:style w:type="table" w:styleId="22">
    <w:name w:val="Table Grid"/>
    <w:basedOn w:val="21"/>
    <w:qFormat/>
    <w:uiPriority w:val="0"/>
    <w:rPr>
      <w:rFonts w:ascii="Calibri" w:hAnsi="Calibri"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4">
    <w:name w:val="Strong"/>
    <w:basedOn w:val="23"/>
    <w:qFormat/>
    <w:uiPriority w:val="0"/>
    <w:rPr>
      <w:b/>
      <w:bCs/>
    </w:rPr>
  </w:style>
  <w:style w:type="character" w:styleId="25">
    <w:name w:val="Emphasis"/>
    <w:basedOn w:val="23"/>
    <w:qFormat/>
    <w:uiPriority w:val="0"/>
    <w:rPr>
      <w:i/>
    </w:rPr>
  </w:style>
  <w:style w:type="character" w:styleId="26">
    <w:name w:val="Hyperlink"/>
    <w:qFormat/>
    <w:uiPriority w:val="0"/>
    <w:rPr>
      <w:color w:val="0000FF"/>
      <w:u w:val="single"/>
    </w:rPr>
  </w:style>
  <w:style w:type="character" w:styleId="27">
    <w:name w:val="HTML Sample"/>
    <w:basedOn w:val="23"/>
    <w:qFormat/>
    <w:uiPriority w:val="0"/>
    <w:rPr>
      <w:rFonts w:ascii="Courier New" w:hAnsi="Courier New"/>
    </w:rPr>
  </w:style>
  <w:style w:type="paragraph" w:customStyle="1" w:styleId="28">
    <w:name w:val="表格文字"/>
    <w:basedOn w:val="1"/>
    <w:next w:val="2"/>
    <w:qFormat/>
    <w:uiPriority w:val="0"/>
    <w:pPr>
      <w:spacing w:before="25" w:after="25"/>
      <w:jc w:val="left"/>
    </w:pPr>
    <w:rPr>
      <w:bCs/>
      <w:spacing w:val="10"/>
      <w:kern w:val="0"/>
      <w:sz w:val="24"/>
    </w:rPr>
  </w:style>
  <w:style w:type="paragraph" w:customStyle="1" w:styleId="29">
    <w:name w:val="Default Text"/>
    <w:basedOn w:val="30"/>
    <w:qFormat/>
    <w:uiPriority w:val="0"/>
    <w:pPr>
      <w:autoSpaceDE w:val="0"/>
      <w:autoSpaceDN w:val="0"/>
      <w:adjustRightInd w:val="0"/>
    </w:pPr>
    <w:rPr>
      <w:color w:val="000000"/>
      <w:sz w:val="24"/>
    </w:rPr>
  </w:style>
  <w:style w:type="paragraph" w:customStyle="1" w:styleId="30">
    <w:name w:val="正文_0"/>
    <w:qFormat/>
    <w:uiPriority w:val="0"/>
    <w:pPr>
      <w:widowControl w:val="0"/>
      <w:jc w:val="both"/>
    </w:pPr>
    <w:rPr>
      <w:rFonts w:ascii="Calibri" w:hAnsi="Calibri" w:eastAsia="宋体" w:cs="Times New Roman"/>
      <w:kern w:val="2"/>
      <w:sz w:val="21"/>
      <w:szCs w:val="24"/>
      <w:lang w:val="en-US" w:eastAsia="zh-CN" w:bidi="ar-SA"/>
    </w:rPr>
  </w:style>
  <w:style w:type="character" w:customStyle="1" w:styleId="31">
    <w:name w:val="标题 1 字符"/>
    <w:link w:val="3"/>
    <w:qFormat/>
    <w:uiPriority w:val="0"/>
    <w:rPr>
      <w:rFonts w:ascii="仿宋_GB2312" w:eastAsia="仿宋_GB2312"/>
      <w:kern w:val="0"/>
      <w:sz w:val="28"/>
    </w:rPr>
  </w:style>
  <w:style w:type="paragraph" w:customStyle="1" w:styleId="32">
    <w:name w:val="Table Paragraph"/>
    <w:basedOn w:val="1"/>
    <w:qFormat/>
    <w:uiPriority w:val="1"/>
    <w:pPr>
      <w:autoSpaceDE w:val="0"/>
      <w:autoSpaceDN w:val="0"/>
      <w:jc w:val="left"/>
    </w:pPr>
    <w:rPr>
      <w:rFonts w:ascii="仿宋" w:hAnsi="仿宋" w:eastAsia="仿宋" w:cs="仿宋"/>
      <w:kern w:val="0"/>
      <w:sz w:val="22"/>
      <w:lang w:val="zh-CN" w:bidi="zh-CN"/>
    </w:rPr>
  </w:style>
  <w:style w:type="character" w:customStyle="1" w:styleId="33">
    <w:name w:val="case31"/>
    <w:qFormat/>
    <w:uiPriority w:val="0"/>
    <w:rPr>
      <w:rFonts w:ascii="ˎ̥" w:hAnsi="ˎ̥"/>
      <w:sz w:val="21"/>
      <w:szCs w:val="21"/>
    </w:rPr>
  </w:style>
  <w:style w:type="paragraph" w:customStyle="1" w:styleId="34">
    <w:name w:val="【正文】"/>
    <w:basedOn w:val="1"/>
    <w:qFormat/>
    <w:uiPriority w:val="0"/>
    <w:pPr>
      <w:spacing w:line="360" w:lineRule="auto"/>
      <w:ind w:firstLine="200" w:firstLineChars="200"/>
    </w:pPr>
    <w:rPr>
      <w:rFonts w:cs="黑体"/>
      <w:sz w:val="24"/>
    </w:rPr>
  </w:style>
  <w:style w:type="paragraph" w:customStyle="1" w:styleId="35">
    <w:name w:val="正文缩进_0"/>
    <w:basedOn w:val="30"/>
    <w:unhideWhenUsed/>
    <w:qFormat/>
    <w:uiPriority w:val="0"/>
    <w:pPr>
      <w:ind w:firstLine="420" w:firstLineChars="200"/>
    </w:pPr>
    <w:rPr>
      <w:szCs w:val="22"/>
    </w:rPr>
  </w:style>
  <w:style w:type="paragraph" w:customStyle="1" w:styleId="36">
    <w:name w:val="标题 3_0_0"/>
    <w:basedOn w:val="37"/>
    <w:next w:val="37"/>
    <w:qFormat/>
    <w:uiPriority w:val="0"/>
    <w:pPr>
      <w:widowControl w:val="0"/>
      <w:autoSpaceDE w:val="0"/>
      <w:autoSpaceDN w:val="0"/>
      <w:adjustRightInd w:val="0"/>
      <w:spacing w:before="0" w:after="0" w:line="500" w:lineRule="exact"/>
      <w:ind w:left="0" w:firstLine="0"/>
      <w:jc w:val="center"/>
      <w:outlineLvl w:val="2"/>
    </w:pPr>
    <w:rPr>
      <w:rFonts w:ascii="宋体" w:hAnsi="宋体"/>
      <w:b/>
      <w:kern w:val="0"/>
      <w:sz w:val="28"/>
      <w:szCs w:val="28"/>
    </w:rPr>
  </w:style>
  <w:style w:type="paragraph" w:customStyle="1" w:styleId="37">
    <w:name w:val="正文_1_0"/>
    <w:qFormat/>
    <w:uiPriority w:val="0"/>
    <w:pPr>
      <w:spacing w:before="120" w:after="120" w:line="360" w:lineRule="auto"/>
      <w:ind w:left="1639" w:hanging="1072"/>
      <w:jc w:val="both"/>
    </w:pPr>
    <w:rPr>
      <w:rFonts w:ascii="Calibri" w:hAnsi="Calibri" w:eastAsia="宋体" w:cs="Times New Roman"/>
      <w:kern w:val="2"/>
      <w:sz w:val="21"/>
      <w:szCs w:val="22"/>
      <w:lang w:val="en-US" w:eastAsia="zh-CN" w:bidi="ar-SA"/>
    </w:rPr>
  </w:style>
  <w:style w:type="paragraph" w:customStyle="1" w:styleId="38">
    <w:name w:val="È±Ê¡ÎÄ±¾"/>
    <w:basedOn w:val="1"/>
    <w:qFormat/>
    <w:uiPriority w:val="0"/>
    <w:pPr>
      <w:widowControl/>
      <w:overflowPunct w:val="0"/>
      <w:autoSpaceDE w:val="0"/>
      <w:autoSpaceDN w:val="0"/>
      <w:adjustRightInd w:val="0"/>
      <w:jc w:val="left"/>
    </w:pPr>
    <w:rPr>
      <w:kern w:val="0"/>
      <w:sz w:val="24"/>
    </w:rPr>
  </w:style>
  <w:style w:type="paragraph" w:customStyle="1" w:styleId="39">
    <w:name w:val="正文1"/>
    <w:basedOn w:val="40"/>
    <w:qFormat/>
    <w:uiPriority w:val="0"/>
    <w:pPr>
      <w:tabs>
        <w:tab w:val="left" w:pos="425"/>
      </w:tabs>
    </w:pPr>
    <w:rPr>
      <w:rFonts w:ascii="Times New Roman" w:eastAsia="Times New Roman"/>
    </w:rPr>
  </w:style>
  <w:style w:type="paragraph" w:customStyle="1" w:styleId="40">
    <w:name w:val="样式1"/>
    <w:basedOn w:val="1"/>
    <w:qFormat/>
    <w:uiPriority w:val="0"/>
    <w:pPr>
      <w:tabs>
        <w:tab w:val="left" w:pos="425"/>
      </w:tabs>
      <w:adjustRightInd w:val="0"/>
      <w:spacing w:line="480" w:lineRule="exact"/>
      <w:ind w:left="330" w:hanging="330"/>
      <w:textAlignment w:val="baseline"/>
    </w:pPr>
    <w:rPr>
      <w:rFonts w:ascii="宋体"/>
      <w:b/>
      <w:color w:val="0000FF"/>
      <w:spacing w:val="4"/>
      <w:kern w:val="0"/>
      <w:sz w:val="24"/>
    </w:rPr>
  </w:style>
  <w:style w:type="paragraph" w:customStyle="1" w:styleId="41">
    <w:name w:val="列表段落1"/>
    <w:basedOn w:val="1"/>
    <w:qFormat/>
    <w:uiPriority w:val="34"/>
    <w:pPr>
      <w:ind w:firstLine="420" w:firstLineChars="200"/>
    </w:pPr>
  </w:style>
  <w:style w:type="paragraph" w:customStyle="1" w:styleId="42">
    <w:name w:val="Default"/>
    <w:qFormat/>
    <w:uiPriority w:val="0"/>
    <w:pPr>
      <w:widowControl w:val="0"/>
      <w:autoSpaceDE w:val="0"/>
      <w:autoSpaceDN w:val="0"/>
      <w:adjustRightInd w:val="0"/>
      <w:jc w:val="both"/>
    </w:pPr>
    <w:rPr>
      <w:rFonts w:ascii="黑体" w:hAnsi="黑体" w:eastAsia="宋体" w:cs="黑体"/>
      <w:color w:val="000000"/>
      <w:sz w:val="24"/>
      <w:szCs w:val="24"/>
      <w:lang w:val="en-US" w:eastAsia="zh-CN" w:bidi="ar-SA"/>
    </w:rPr>
  </w:style>
  <w:style w:type="table" w:customStyle="1" w:styleId="43">
    <w:name w:val="Table Normal"/>
    <w:semiHidden/>
    <w:unhideWhenUsed/>
    <w:qFormat/>
    <w:uiPriority w:val="0"/>
    <w:tblPr>
      <w:tblCellMar>
        <w:top w:w="0" w:type="dxa"/>
        <w:left w:w="0" w:type="dxa"/>
        <w:bottom w:w="0" w:type="dxa"/>
        <w:right w:w="0" w:type="dxa"/>
      </w:tblCellMar>
    </w:tblPr>
  </w:style>
  <w:style w:type="paragraph" w:styleId="44">
    <w:name w:val="List Paragraph"/>
    <w:basedOn w:val="1"/>
    <w:unhideWhenUsed/>
    <w:qFormat/>
    <w:uiPriority w:val="99"/>
    <w:pPr>
      <w:ind w:firstLine="420" w:firstLineChars="200"/>
    </w:pPr>
  </w:style>
  <w:style w:type="table" w:customStyle="1" w:styleId="45">
    <w:name w:val="Table Normal1"/>
    <w:unhideWhenUsed/>
    <w:qFormat/>
    <w:uiPriority w:val="2"/>
    <w:pPr>
      <w:widowControl w:val="0"/>
      <w:autoSpaceDE w:val="0"/>
      <w:autoSpaceDN w:val="0"/>
    </w:pPr>
    <w:rPr>
      <w:rFonts w:ascii="Calibri" w:hAnsi="Calibri"/>
      <w:sz w:val="22"/>
      <w:szCs w:val="22"/>
      <w:lang w:eastAsia="en-US"/>
    </w:rPr>
    <w:tblPr>
      <w:tblCellMar>
        <w:top w:w="0" w:type="dxa"/>
        <w:left w:w="0" w:type="dxa"/>
        <w:bottom w:w="0" w:type="dxa"/>
        <w:right w:w="0" w:type="dxa"/>
      </w:tblCellMar>
    </w:tblPr>
  </w:style>
  <w:style w:type="table" w:customStyle="1" w:styleId="46">
    <w:name w:val="Table Normal2"/>
    <w:unhideWhenUsed/>
    <w:qFormat/>
    <w:uiPriority w:val="2"/>
    <w:pPr>
      <w:widowControl w:val="0"/>
      <w:autoSpaceDE w:val="0"/>
      <w:autoSpaceDN w:val="0"/>
    </w:pPr>
    <w:rPr>
      <w:rFonts w:ascii="Calibri" w:hAnsi="Calibri"/>
      <w:sz w:val="22"/>
      <w:szCs w:val="22"/>
      <w:lang w:eastAsia="en-US"/>
    </w:rPr>
    <w:tblPr>
      <w:tblCellMar>
        <w:top w:w="0" w:type="dxa"/>
        <w:left w:w="0" w:type="dxa"/>
        <w:bottom w:w="0" w:type="dxa"/>
        <w:right w:w="0" w:type="dxa"/>
      </w:tblCellMar>
    </w:tblPr>
  </w:style>
  <w:style w:type="paragraph" w:customStyle="1" w:styleId="47">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customStyle="1" w:styleId="48">
    <w:name w:val="列出段落1"/>
    <w:basedOn w:val="1"/>
    <w:qFormat/>
    <w:uiPriority w:val="0"/>
    <w:pPr>
      <w:ind w:firstLine="420" w:firstLineChars="200"/>
    </w:pPr>
    <w:rPr>
      <w:szCs w:val="21"/>
    </w:rPr>
  </w:style>
  <w:style w:type="character" w:customStyle="1" w:styleId="49">
    <w:name w:val="标题 3 字符"/>
    <w:link w:val="5"/>
    <w:qFormat/>
    <w:uiPriority w:val="0"/>
    <w:rPr>
      <w:bCs/>
      <w:sz w:val="28"/>
    </w:rPr>
  </w:style>
  <w:style w:type="character" w:customStyle="1" w:styleId="50">
    <w:name w:val="font21"/>
    <w:basedOn w:val="23"/>
    <w:qFormat/>
    <w:uiPriority w:val="0"/>
    <w:rPr>
      <w:rFonts w:hint="eastAsia" w:ascii="宋体" w:hAnsi="宋体" w:eastAsia="宋体" w:cs="宋体"/>
      <w:color w:val="000000"/>
      <w:sz w:val="20"/>
      <w:szCs w:val="20"/>
      <w:u w:val="none"/>
    </w:rPr>
  </w:style>
  <w:style w:type="character" w:customStyle="1" w:styleId="51">
    <w:name w:val="font51"/>
    <w:basedOn w:val="23"/>
    <w:qFormat/>
    <w:uiPriority w:val="0"/>
    <w:rPr>
      <w:rFonts w:hint="eastAsia" w:ascii="宋体" w:hAnsi="宋体" w:eastAsia="宋体" w:cs="宋体"/>
      <w:color w:val="FF0000"/>
      <w:sz w:val="20"/>
      <w:szCs w:val="20"/>
      <w:u w:val="none"/>
    </w:rPr>
  </w:style>
  <w:style w:type="character" w:customStyle="1" w:styleId="52">
    <w:name w:val="font01"/>
    <w:basedOn w:val="23"/>
    <w:qFormat/>
    <w:uiPriority w:val="0"/>
    <w:rPr>
      <w:rFonts w:hint="eastAsia" w:ascii="宋体" w:hAnsi="宋体" w:eastAsia="宋体" w:cs="宋体"/>
      <w:color w:val="000000"/>
      <w:sz w:val="22"/>
      <w:szCs w:val="22"/>
      <w:u w:val="none"/>
    </w:rPr>
  </w:style>
  <w:style w:type="paragraph" w:customStyle="1" w:styleId="53">
    <w:name w:val="目录 53"/>
    <w:basedOn w:val="1"/>
    <w:next w:val="1"/>
    <w:qFormat/>
    <w:uiPriority w:val="0"/>
    <w:pPr>
      <w:ind w:left="840"/>
    </w:pPr>
    <w:rPr>
      <w:sz w:val="18"/>
    </w:rPr>
  </w:style>
  <w:style w:type="paragraph" w:customStyle="1" w:styleId="54">
    <w:name w:val="正文2"/>
    <w:qFormat/>
    <w:uiPriority w:val="0"/>
    <w:rPr>
      <w:rFonts w:ascii="Times New Roman" w:hAnsi="Times New Roman" w:eastAsia="Times New Roman" w:cs="Times New Roman"/>
      <w:sz w:val="24"/>
      <w:szCs w:val="24"/>
      <w:lang w:val="en-US" w:eastAsia="zh-CN" w:bidi="ar-SA"/>
    </w:rPr>
  </w:style>
  <w:style w:type="paragraph" w:customStyle="1" w:styleId="55">
    <w:name w:val="正文缩进1"/>
    <w:basedOn w:val="56"/>
    <w:qFormat/>
    <w:uiPriority w:val="0"/>
    <w:pPr>
      <w:autoSpaceDE w:val="0"/>
      <w:autoSpaceDN w:val="0"/>
      <w:adjustRightInd w:val="0"/>
      <w:ind w:firstLine="420"/>
    </w:pPr>
    <w:rPr>
      <w:rFonts w:ascii="宋体"/>
      <w:szCs w:val="20"/>
    </w:rPr>
  </w:style>
  <w:style w:type="paragraph" w:customStyle="1" w:styleId="56">
    <w:name w:val="正文21"/>
    <w:next w:val="55"/>
    <w:qFormat/>
    <w:uiPriority w:val="0"/>
    <w:rPr>
      <w:rFonts w:ascii="Times New Roman" w:hAnsi="Times New Roman" w:eastAsia="Times New Roman" w:cs="Times New Roman"/>
      <w:sz w:val="24"/>
      <w:szCs w:val="24"/>
      <w:lang w:val="en-US" w:eastAsia="zh-CN" w:bidi="ar-SA"/>
    </w:rPr>
  </w:style>
  <w:style w:type="paragraph" w:customStyle="1" w:styleId="57">
    <w:name w:val="索引 11"/>
    <w:basedOn w:val="1"/>
    <w:next w:val="1"/>
    <w:qFormat/>
    <w:uiPriority w:val="0"/>
    <w:pPr>
      <w:spacing w:line="360" w:lineRule="auto"/>
    </w:pPr>
    <w:rPr>
      <w:rFonts w:ascii="仿宋_GB2312" w:eastAsia="仿宋_GB2312"/>
      <w:sz w:val="24"/>
    </w:rPr>
  </w:style>
  <w:style w:type="paragraph" w:customStyle="1" w:styleId="58">
    <w:name w:val="纯文本1"/>
    <w:basedOn w:val="1"/>
    <w:qFormat/>
    <w:uiPriority w:val="0"/>
    <w:rPr>
      <w:rFonts w:ascii="宋体" w:hAnsi="Courier New"/>
      <w:kern w:val="0"/>
      <w:sz w:val="20"/>
    </w:rPr>
  </w:style>
  <w:style w:type="paragraph" w:customStyle="1" w:styleId="59">
    <w:name w:val="Table Text"/>
    <w:basedOn w:val="1"/>
    <w:semiHidden/>
    <w:qFormat/>
    <w:uiPriority w:val="0"/>
    <w:rPr>
      <w:rFonts w:ascii="CG Times" w:hAnsi="CG Times" w:eastAsia="CG Times" w:cs="CG Times"/>
      <w:sz w:val="24"/>
      <w:szCs w:val="24"/>
      <w:lang w:eastAsia="en-US"/>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0" Type="http://schemas.openxmlformats.org/officeDocument/2006/relationships/fontTable" Target="fontTable.xml"/><Relationship Id="rId4" Type="http://schemas.openxmlformats.org/officeDocument/2006/relationships/footer" Target="footer1.xml"/><Relationship Id="rId39" Type="http://schemas.openxmlformats.org/officeDocument/2006/relationships/numbering" Target="numbering.xml"/><Relationship Id="rId38" Type="http://schemas.openxmlformats.org/officeDocument/2006/relationships/customXml" Target="../customXml/item1.xml"/><Relationship Id="rId37" Type="http://schemas.openxmlformats.org/officeDocument/2006/relationships/image" Target="media/image20.png"/><Relationship Id="rId36" Type="http://schemas.openxmlformats.org/officeDocument/2006/relationships/image" Target="media/image19.png"/><Relationship Id="rId35" Type="http://schemas.openxmlformats.org/officeDocument/2006/relationships/image" Target="media/image18.png"/><Relationship Id="rId34" Type="http://schemas.openxmlformats.org/officeDocument/2006/relationships/image" Target="media/image17.png"/><Relationship Id="rId33" Type="http://schemas.openxmlformats.org/officeDocument/2006/relationships/image" Target="media/image16.png"/><Relationship Id="rId32" Type="http://schemas.openxmlformats.org/officeDocument/2006/relationships/image" Target="media/image15.png"/><Relationship Id="rId31" Type="http://schemas.openxmlformats.org/officeDocument/2006/relationships/image" Target="media/image14.png"/><Relationship Id="rId30" Type="http://schemas.openxmlformats.org/officeDocument/2006/relationships/image" Target="media/image13.png"/><Relationship Id="rId3" Type="http://schemas.openxmlformats.org/officeDocument/2006/relationships/header" Target="header1.xml"/><Relationship Id="rId29" Type="http://schemas.openxmlformats.org/officeDocument/2006/relationships/image" Target="media/image12.png"/><Relationship Id="rId28" Type="http://schemas.openxmlformats.org/officeDocument/2006/relationships/image" Target="media/image11.png"/><Relationship Id="rId27" Type="http://schemas.openxmlformats.org/officeDocument/2006/relationships/image" Target="media/image10.png"/><Relationship Id="rId26" Type="http://schemas.openxmlformats.org/officeDocument/2006/relationships/image" Target="media/image9.png"/><Relationship Id="rId25" Type="http://schemas.openxmlformats.org/officeDocument/2006/relationships/image" Target="media/image8.png"/><Relationship Id="rId24" Type="http://schemas.openxmlformats.org/officeDocument/2006/relationships/image" Target="media/image7.png"/><Relationship Id="rId23" Type="http://schemas.openxmlformats.org/officeDocument/2006/relationships/image" Target="media/image6.png"/><Relationship Id="rId22" Type="http://schemas.openxmlformats.org/officeDocument/2006/relationships/image" Target="media/image5.png"/><Relationship Id="rId21" Type="http://schemas.openxmlformats.org/officeDocument/2006/relationships/image" Target="media/image4.png"/><Relationship Id="rId20" Type="http://schemas.openxmlformats.org/officeDocument/2006/relationships/image" Target="media/image3.png"/><Relationship Id="rId2" Type="http://schemas.openxmlformats.org/officeDocument/2006/relationships/settings" Target="settings.xml"/><Relationship Id="rId19" Type="http://schemas.openxmlformats.org/officeDocument/2006/relationships/theme" Target="theme/theme1.xml"/><Relationship Id="rId18" Type="http://schemas.openxmlformats.org/officeDocument/2006/relationships/header" Target="header8.xml"/><Relationship Id="rId17" Type="http://schemas.openxmlformats.org/officeDocument/2006/relationships/header" Target="header7.xml"/><Relationship Id="rId16" Type="http://schemas.openxmlformats.org/officeDocument/2006/relationships/footer" Target="footer8.xml"/><Relationship Id="rId15" Type="http://schemas.openxmlformats.org/officeDocument/2006/relationships/footer" Target="footer7.xml"/><Relationship Id="rId14" Type="http://schemas.openxmlformats.org/officeDocument/2006/relationships/header" Target="header6.xml"/><Relationship Id="rId13" Type="http://schemas.openxmlformats.org/officeDocument/2006/relationships/footer" Target="footer6.xml"/><Relationship Id="rId12" Type="http://schemas.openxmlformats.org/officeDocument/2006/relationships/header" Target="header5.xml"/><Relationship Id="rId11" Type="http://schemas.openxmlformats.org/officeDocument/2006/relationships/footer" Target="footer5.xml"/><Relationship Id="rId10" Type="http://schemas.openxmlformats.org/officeDocument/2006/relationships/header" Target="header4.xml"/><Relationship Id="rId1" Type="http://schemas.openxmlformats.org/officeDocument/2006/relationships/styles" Target="styles.xml"/></Relationships>
</file>

<file path=word/_rels/footer4.xml.rels><?xml version="1.0" encoding="UTF-8" standalone="yes"?>
<Relationships xmlns="http://schemas.openxmlformats.org/package/2006/relationships"><Relationship Id="rId1" Type="http://schemas.openxmlformats.org/officeDocument/2006/relationships/image" Target="media/image1.png"/></Relationships>
</file>

<file path=word/_rels/footer5.xml.rels><?xml version="1.0" encoding="UTF-8" standalone="yes"?>
<Relationships xmlns="http://schemas.openxmlformats.org/package/2006/relationships"><Relationship Id="rId1" Type="http://schemas.openxmlformats.org/officeDocument/2006/relationships/image" Target="media/image1.png"/></Relationships>
</file>

<file path=word/_rels/footer6.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Info spid="_x0000_s205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73</Pages>
  <Words>18452</Words>
  <Characters>19897</Characters>
  <Lines>300</Lines>
  <Paragraphs>84</Paragraphs>
  <TotalTime>6</TotalTime>
  <ScaleCrop>false</ScaleCrop>
  <LinksUpToDate>false</LinksUpToDate>
  <CharactersWithSpaces>20046</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2023-08-28T09:28:00Z</dcterms:created>
  <dc:creator>aCER</dc:creator>
  <cp:lastModifiedBy>月色温柔i</cp:lastModifiedBy>
  <dcterms:modified xsi:type="dcterms:W3CDTF">2026-05-15T02:40:34Z</dcterms:modified>
  <cp:revision>28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ICV">
    <vt:lpwstr>39F03DA9C1434F85A2E2951C9689F6A8_13</vt:lpwstr>
  </property>
  <property fmtid="{D5CDD505-2E9C-101B-9397-08002B2CF9AE}" pid="4" name="KSOTemplateDocerSaveRecord">
    <vt:lpwstr>eyJoZGlkIjoiMjliMmFhZWFmM2QxODYyNjI4NDE5NGE4ZGY1OTM2ZDIiLCJ1c2VySWQiOiIzMzMzNzYyMjgifQ==</vt:lpwstr>
  </property>
</Properties>
</file>