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0F855">
      <w:pPr>
        <w:wordWrap w:val="0"/>
        <w:snapToGrid w:val="0"/>
        <w:spacing w:line="360" w:lineRule="auto"/>
        <w:jc w:val="right"/>
        <w:rPr>
          <w:rFonts w:eastAsia="仿宋_GB2312"/>
          <w:color w:val="000000"/>
        </w:rPr>
      </w:pPr>
      <w:r>
        <w:rPr>
          <w:rFonts w:eastAsia="仿宋_GB2312"/>
          <w:color w:val="000000"/>
        </w:rPr>
        <w:drawing>
          <wp:anchor distT="0" distB="0" distL="114300" distR="114300" simplePos="0" relativeHeight="251660288" behindDoc="0" locked="0" layoutInCell="1" allowOverlap="1">
            <wp:simplePos x="0" y="0"/>
            <wp:positionH relativeFrom="column">
              <wp:posOffset>2529205</wp:posOffset>
            </wp:positionH>
            <wp:positionV relativeFrom="paragraph">
              <wp:posOffset>-99060</wp:posOffset>
            </wp:positionV>
            <wp:extent cx="916305" cy="578485"/>
            <wp:effectExtent l="0" t="0" r="17145" b="12065"/>
            <wp:wrapNone/>
            <wp:docPr id="13" name="图片 13" descr="中合安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中合安建"/>
                    <pic:cNvPicPr>
                      <a:picLocks noChangeAspect="1"/>
                    </pic:cNvPicPr>
                  </pic:nvPicPr>
                  <pic:blipFill>
                    <a:blip r:embed="rId20"/>
                    <a:stretch>
                      <a:fillRect/>
                    </a:stretch>
                  </pic:blipFill>
                  <pic:spPr>
                    <a:xfrm>
                      <a:off x="0" y="0"/>
                      <a:ext cx="916305" cy="578485"/>
                    </a:xfrm>
                    <a:prstGeom prst="rect">
                      <a:avLst/>
                    </a:prstGeom>
                  </pic:spPr>
                </pic:pic>
              </a:graphicData>
            </a:graphic>
          </wp:anchor>
        </w:drawing>
      </w:r>
      <w:r>
        <w:rPr>
          <w:rFonts w:eastAsia="仿宋_GB2312"/>
          <w:b/>
          <w:color w:val="000000"/>
          <w:kern w:val="16"/>
        </w:rPr>
        <w:pict>
          <v:shape id="_x0000_s2051" o:spid="_x0000_s2051" o:spt="136" alt="water" type="#_x0000_t136" style="position:absolute;left:0pt;margin-left:273.35pt;margin-top:5.9pt;height:19.25pt;width:206.55pt;mso-wrap-distance-left:9pt;mso-wrap-distance-right:9pt;z-index:-251656192;mso-width-relative:page;mso-height-relative:page;" fillcolor="#002060" filled="t" stroked="t" coordsize="21600,21600" wrapcoords="11206 0 4393 62 822 64 827 2325 820 4629 239 4631 244 6840 246 9639 244 12370 239 14375 820 14377 827 18214 822 21502 9399 21504 11242 21600 11258 21600 14928 21504 16396 21502 16435 21342 21142 21340 21180 21136 21213 20889 21240 20599 21262 20267 21279 19892 21290 19473 21296 19013 21297 18509 21297 2708 21353 2160 21234 972 19015 970 18998 356 15256 354 15208 64 11229 62 11222 0 11206 0">
            <v:path/>
            <v:fill type="gradient" on="t" colors="0f #012D86;65536f #0E2557" focussize="0f,0f" rotate="t">
              <o:fill type="gradientUnscaled" v:ext="backwardCompatible"/>
            </v:fill>
            <v:stroke weight="1.5pt" color="#99CCFF"/>
            <v:imagedata o:title=""/>
            <o:lock v:ext="edit"/>
            <v:textpath on="t" fitshape="t" fitpath="t" trim="t" xscale="f" string="中合安建工程管理有限公司" style="font-family:宋体;font-size:36pt;v-text-align:center;"/>
            <v:shadow on="t" color="#990000" offset2="-2pt,-2pt"/>
            <w10:wrap type="tight"/>
          </v:shape>
        </w:pict>
      </w:r>
      <w:r>
        <w:rPr>
          <w:rFonts w:eastAsia="仿宋_GB2312"/>
          <w:color w:val="000000"/>
        </w:rPr>
        <w:t xml:space="preserve">                </w:t>
      </w:r>
    </w:p>
    <w:p w14:paraId="4D03D994">
      <w:pPr>
        <w:wordWrap w:val="0"/>
        <w:snapToGrid w:val="0"/>
        <w:spacing w:line="360" w:lineRule="auto"/>
        <w:jc w:val="right"/>
        <w:rPr>
          <w:rFonts w:eastAsia="黑体"/>
          <w:color w:val="000000"/>
        </w:rPr>
      </w:pPr>
      <w:r>
        <w:rPr>
          <w:rFonts w:eastAsia="仿宋_GB2312"/>
          <w:color w:val="000000"/>
        </w:rPr>
        <w:t xml:space="preserve"> </w:t>
      </w:r>
    </w:p>
    <w:p w14:paraId="27BED09E">
      <w:pPr>
        <w:wordWrap w:val="0"/>
        <w:snapToGrid w:val="0"/>
        <w:spacing w:line="360" w:lineRule="auto"/>
        <w:ind w:right="480"/>
        <w:jc w:val="right"/>
        <w:rPr>
          <w:rFonts w:eastAsia="黑体"/>
          <w:color w:val="000000"/>
        </w:rPr>
      </w:pPr>
      <w:r>
        <w:rPr>
          <w:rFonts w:eastAsia="黑体"/>
          <w:color w:val="000000"/>
        </w:rPr>
        <w:t xml:space="preserve">                 </w:t>
      </w:r>
    </w:p>
    <w:p w14:paraId="5E560CAC">
      <w:pPr>
        <w:wordWrap w:val="0"/>
        <w:snapToGrid w:val="0"/>
        <w:spacing w:line="360" w:lineRule="auto"/>
        <w:jc w:val="right"/>
        <w:rPr>
          <w:rFonts w:eastAsia="黑体"/>
          <w:color w:val="000000"/>
        </w:rPr>
      </w:pPr>
      <w:r>
        <w:rPr>
          <w:rFonts w:eastAsia="黑体"/>
          <w:color w:val="000000"/>
        </w:rPr>
        <w:t xml:space="preserve"> </w:t>
      </w:r>
      <w:r>
        <w:rPr>
          <w:rFonts w:eastAsia="黑体"/>
          <w:color w:val="000000"/>
          <w:sz w:val="24"/>
          <w:szCs w:val="22"/>
        </w:rPr>
        <w:t>项目编</w:t>
      </w:r>
      <w:r>
        <w:rPr>
          <w:rFonts w:hint="eastAsia" w:ascii="黑体" w:hAnsi="黑体" w:eastAsia="黑体" w:cs="黑体"/>
          <w:color w:val="000000"/>
          <w:sz w:val="24"/>
          <w:szCs w:val="22"/>
        </w:rPr>
        <w:t>号：2026ZHAJ-08</w:t>
      </w:r>
      <w:r>
        <w:rPr>
          <w:rFonts w:hint="eastAsia" w:eastAsia="黑体"/>
          <w:color w:val="000000"/>
          <w:sz w:val="24"/>
          <w:szCs w:val="22"/>
        </w:rPr>
        <w:t xml:space="preserve"> </w:t>
      </w:r>
    </w:p>
    <w:p w14:paraId="26310312">
      <w:pPr>
        <w:snapToGrid w:val="0"/>
        <w:spacing w:line="360" w:lineRule="auto"/>
        <w:jc w:val="right"/>
        <w:rPr>
          <w:rFonts w:eastAsia="黑体"/>
          <w:color w:val="000000"/>
        </w:rPr>
      </w:pPr>
    </w:p>
    <w:p w14:paraId="414F822F">
      <w:pPr>
        <w:snapToGrid w:val="0"/>
        <w:spacing w:line="360" w:lineRule="auto"/>
        <w:jc w:val="center"/>
        <w:rPr>
          <w:rFonts w:eastAsia="黑体"/>
          <w:color w:val="000000"/>
          <w:sz w:val="52"/>
          <w:szCs w:val="52"/>
        </w:rPr>
      </w:pPr>
    </w:p>
    <w:p w14:paraId="22422B34">
      <w:pPr>
        <w:pStyle w:val="2"/>
        <w:jc w:val="center"/>
        <w:rPr>
          <w:rFonts w:hint="eastAsia" w:eastAsia="宋体"/>
          <w:lang w:eastAsia="zh-CN"/>
        </w:rPr>
      </w:pPr>
      <w:r>
        <w:rPr>
          <w:rFonts w:hint="eastAsia" w:eastAsia="黑体"/>
          <w:b/>
          <w:sz w:val="56"/>
          <w:szCs w:val="56"/>
          <w:lang w:eastAsia="zh-CN"/>
        </w:rPr>
        <w:t>新疆农业大学3.5吨镁燃气熔炉机械加工、装配及现场调试服务</w:t>
      </w:r>
    </w:p>
    <w:p w14:paraId="5F803378">
      <w:pPr>
        <w:pStyle w:val="4"/>
        <w:numPr>
          <w:ilvl w:val="0"/>
          <w:numId w:val="0"/>
        </w:numPr>
      </w:pPr>
    </w:p>
    <w:p w14:paraId="54436AAB">
      <w:pPr>
        <w:snapToGrid w:val="0"/>
        <w:jc w:val="center"/>
        <w:rPr>
          <w:rFonts w:eastAsia="黑体"/>
          <w:color w:val="000000"/>
          <w:sz w:val="78"/>
        </w:rPr>
      </w:pPr>
    </w:p>
    <w:p w14:paraId="3960076D">
      <w:pPr>
        <w:pStyle w:val="19"/>
        <w:rPr>
          <w:rFonts w:ascii="Times New Roman" w:hAnsi="Times New Roman" w:eastAsia="黑体" w:cs="Times New Roman"/>
          <w:color w:val="000000"/>
          <w:sz w:val="78"/>
        </w:rPr>
      </w:pPr>
    </w:p>
    <w:p w14:paraId="3409AA41">
      <w:pPr>
        <w:pStyle w:val="19"/>
        <w:rPr>
          <w:rFonts w:ascii="Times New Roman" w:hAnsi="Times New Roman" w:cs="Times New Roman"/>
        </w:rPr>
      </w:pPr>
    </w:p>
    <w:p w14:paraId="71D5484A">
      <w:pPr>
        <w:pStyle w:val="19"/>
        <w:rPr>
          <w:rFonts w:ascii="Times New Roman" w:hAnsi="Times New Roman" w:cs="Times New Roman"/>
        </w:rPr>
      </w:pPr>
    </w:p>
    <w:p w14:paraId="1E43466E">
      <w:pPr>
        <w:snapToGrid w:val="0"/>
        <w:jc w:val="center"/>
        <w:rPr>
          <w:rFonts w:eastAsia="黑体"/>
          <w:color w:val="000000"/>
          <w:sz w:val="78"/>
        </w:rPr>
      </w:pPr>
      <w:r>
        <w:rPr>
          <w:rFonts w:eastAsia="黑体"/>
          <w:color w:val="000000"/>
          <w:sz w:val="78"/>
        </w:rPr>
        <w:t>竞争性磋商文件</w:t>
      </w:r>
    </w:p>
    <w:p w14:paraId="15F1B411">
      <w:pPr>
        <w:snapToGrid w:val="0"/>
        <w:spacing w:line="360" w:lineRule="auto"/>
        <w:rPr>
          <w:rFonts w:eastAsia="黑体"/>
          <w:color w:val="000000"/>
          <w:sz w:val="32"/>
        </w:rPr>
      </w:pPr>
    </w:p>
    <w:p w14:paraId="7495BC4D"/>
    <w:p w14:paraId="2F65C4CB">
      <w:pPr>
        <w:pStyle w:val="19"/>
        <w:rPr>
          <w:rFonts w:ascii="Times New Roman" w:hAnsi="Times New Roman" w:cs="Times New Roman"/>
        </w:rPr>
      </w:pPr>
    </w:p>
    <w:p w14:paraId="6E3B6C18">
      <w:pPr>
        <w:pStyle w:val="2"/>
      </w:pPr>
    </w:p>
    <w:p w14:paraId="78AED871"/>
    <w:p w14:paraId="66B24D7A">
      <w:pPr>
        <w:pStyle w:val="19"/>
        <w:rPr>
          <w:rFonts w:ascii="Times New Roman" w:hAnsi="Times New Roman" w:cs="Times New Roman"/>
        </w:rPr>
      </w:pPr>
    </w:p>
    <w:p w14:paraId="615326D9">
      <w:pPr>
        <w:pStyle w:val="2"/>
        <w:ind w:left="1480" w:hanging="640"/>
        <w:rPr>
          <w:rFonts w:eastAsia="黑体"/>
          <w:sz w:val="32"/>
        </w:rPr>
      </w:pPr>
    </w:p>
    <w:p w14:paraId="4E063164">
      <w:pPr>
        <w:snapToGrid w:val="0"/>
        <w:spacing w:line="360" w:lineRule="auto"/>
        <w:ind w:left="2240" w:hanging="2240" w:hangingChars="700"/>
        <w:rPr>
          <w:rFonts w:eastAsia="黑体"/>
          <w:color w:val="000000"/>
          <w:sz w:val="32"/>
          <w:szCs w:val="32"/>
        </w:rPr>
      </w:pPr>
    </w:p>
    <w:p w14:paraId="5EA1AC02">
      <w:pPr>
        <w:snapToGrid w:val="0"/>
        <w:spacing w:line="360" w:lineRule="auto"/>
        <w:ind w:left="2240" w:hanging="2240" w:hangingChars="700"/>
        <w:rPr>
          <w:rFonts w:eastAsia="黑体"/>
          <w:color w:val="000000"/>
          <w:sz w:val="32"/>
          <w:szCs w:val="32"/>
        </w:rPr>
      </w:pPr>
      <w:r>
        <w:rPr>
          <w:rFonts w:eastAsia="黑体"/>
          <w:color w:val="000000"/>
          <w:sz w:val="32"/>
          <w:szCs w:val="32"/>
        </w:rPr>
        <w:t>采   购   人：新疆农业大学</w:t>
      </w:r>
    </w:p>
    <w:p w14:paraId="7B50AB07">
      <w:pPr>
        <w:snapToGrid w:val="0"/>
        <w:spacing w:line="360" w:lineRule="auto"/>
        <w:rPr>
          <w:rFonts w:eastAsia="黑体"/>
          <w:color w:val="000000"/>
          <w:sz w:val="32"/>
          <w:szCs w:val="32"/>
        </w:rPr>
      </w:pPr>
      <w:r>
        <w:rPr>
          <w:rFonts w:eastAsia="黑体"/>
          <w:color w:val="000000"/>
          <w:sz w:val="32"/>
          <w:szCs w:val="32"/>
        </w:rPr>
        <w:t>采购代理机构：中合安建工程管理有限公司</w:t>
      </w:r>
    </w:p>
    <w:p w14:paraId="60BE37BB">
      <w:pPr>
        <w:snapToGrid w:val="0"/>
        <w:spacing w:line="360" w:lineRule="auto"/>
        <w:jc w:val="left"/>
        <w:rPr>
          <w:rFonts w:eastAsia="仿宋"/>
          <w:color w:val="000000"/>
        </w:rPr>
      </w:pPr>
      <w:r>
        <w:rPr>
          <w:rFonts w:eastAsia="黑体"/>
          <w:color w:val="000000"/>
          <w:sz w:val="32"/>
          <w:szCs w:val="32"/>
        </w:rPr>
        <w:t>文件编制日期：2026年4月</w:t>
      </w:r>
    </w:p>
    <w:p w14:paraId="7C6CFB70">
      <w:pPr>
        <w:tabs>
          <w:tab w:val="left" w:pos="1134"/>
          <w:tab w:val="left" w:pos="5481"/>
          <w:tab w:val="left" w:pos="5859"/>
        </w:tabs>
        <w:spacing w:line="360" w:lineRule="auto"/>
        <w:rPr>
          <w:b/>
          <w:sz w:val="72"/>
          <w:szCs w:val="72"/>
        </w:rPr>
        <w:sectPr>
          <w:headerReference r:id="rId3" w:type="first"/>
          <w:footerReference r:id="rId5" w:type="first"/>
          <w:footerReference r:id="rId4" w:type="default"/>
          <w:pgSz w:w="11911" w:h="16838"/>
          <w:pgMar w:top="1440" w:right="1140" w:bottom="1440" w:left="1140" w:header="850" w:footer="1088" w:gutter="0"/>
          <w:pgNumType w:start="1"/>
          <w:cols w:space="0" w:num="1"/>
          <w:docGrid w:linePitch="312" w:charSpace="0"/>
        </w:sectPr>
      </w:pPr>
    </w:p>
    <w:p w14:paraId="7BF6F736">
      <w:pPr>
        <w:jc w:val="center"/>
        <w:rPr>
          <w:rStyle w:val="49"/>
          <w:rFonts w:eastAsia="仿宋"/>
          <w:b/>
          <w:color w:val="000000"/>
          <w:sz w:val="56"/>
          <w:szCs w:val="56"/>
        </w:rPr>
      </w:pPr>
    </w:p>
    <w:p w14:paraId="4C76D8D0">
      <w:pPr>
        <w:pStyle w:val="2"/>
        <w:rPr>
          <w:rStyle w:val="49"/>
          <w:rFonts w:eastAsia="仿宋"/>
          <w:b/>
          <w:color w:val="000000"/>
          <w:sz w:val="56"/>
          <w:szCs w:val="56"/>
        </w:rPr>
      </w:pPr>
    </w:p>
    <w:p w14:paraId="066889B2">
      <w:pPr>
        <w:jc w:val="center"/>
        <w:rPr>
          <w:rStyle w:val="49"/>
          <w:rFonts w:eastAsia="仿宋"/>
          <w:b/>
          <w:color w:val="000000"/>
          <w:sz w:val="52"/>
          <w:szCs w:val="52"/>
        </w:rPr>
      </w:pPr>
      <w:r>
        <w:rPr>
          <w:rStyle w:val="49"/>
          <w:rFonts w:eastAsia="仿宋"/>
          <w:b/>
          <w:color w:val="000000"/>
          <w:sz w:val="52"/>
          <w:szCs w:val="52"/>
        </w:rPr>
        <w:t>竞争性磋商文件</w:t>
      </w:r>
    </w:p>
    <w:p w14:paraId="737714E1">
      <w:pPr>
        <w:pStyle w:val="7"/>
        <w:rPr>
          <w:rStyle w:val="49"/>
          <w:rFonts w:ascii="Times New Roman" w:hAnsi="Times New Roman" w:eastAsia="仿宋"/>
          <w:b/>
          <w:color w:val="000000"/>
          <w:sz w:val="56"/>
          <w:szCs w:val="56"/>
        </w:rPr>
      </w:pPr>
    </w:p>
    <w:p w14:paraId="3A68E3D0"/>
    <w:p w14:paraId="64F887F0">
      <w:pPr>
        <w:pStyle w:val="12"/>
        <w:ind w:firstLine="210"/>
      </w:pPr>
    </w:p>
    <w:p w14:paraId="2D83F92D"/>
    <w:p w14:paraId="3AFAF7E8">
      <w:pPr>
        <w:tabs>
          <w:tab w:val="left" w:pos="2100"/>
        </w:tabs>
        <w:snapToGrid w:val="0"/>
        <w:spacing w:line="480" w:lineRule="auto"/>
        <w:ind w:left="1826" w:leftChars="-70" w:hanging="1973" w:hangingChars="702"/>
        <w:rPr>
          <w:rFonts w:hint="eastAsia" w:eastAsia="仿宋"/>
          <w:b/>
          <w:color w:val="000000"/>
          <w:sz w:val="28"/>
          <w:szCs w:val="28"/>
          <w:lang w:eastAsia="zh-CN"/>
        </w:rPr>
      </w:pPr>
      <w:r>
        <w:rPr>
          <w:rFonts w:eastAsia="仿宋"/>
          <w:b/>
          <w:color w:val="000000"/>
          <w:sz w:val="28"/>
          <w:szCs w:val="28"/>
        </w:rPr>
        <w:t>项目名称：</w:t>
      </w:r>
      <w:r>
        <w:rPr>
          <w:rFonts w:hint="eastAsia" w:eastAsia="仿宋"/>
          <w:b/>
          <w:sz w:val="28"/>
          <w:szCs w:val="28"/>
          <w:lang w:eastAsia="zh-CN"/>
        </w:rPr>
        <w:t>新疆农业大学3.5吨镁燃气熔炉机械加工、装配及现场调试服务</w:t>
      </w:r>
    </w:p>
    <w:p w14:paraId="490560D6">
      <w:pPr>
        <w:tabs>
          <w:tab w:val="left" w:pos="2100"/>
        </w:tabs>
        <w:snapToGrid w:val="0"/>
        <w:spacing w:line="480" w:lineRule="auto"/>
        <w:ind w:left="1826" w:leftChars="-70" w:hanging="1973" w:hangingChars="702"/>
        <w:rPr>
          <w:rFonts w:eastAsia="仿宋"/>
          <w:b/>
          <w:color w:val="000000"/>
          <w:spacing w:val="-20"/>
          <w:sz w:val="28"/>
          <w:szCs w:val="28"/>
        </w:rPr>
      </w:pPr>
      <w:r>
        <w:rPr>
          <w:rFonts w:eastAsia="仿宋"/>
          <w:b/>
          <w:color w:val="000000"/>
          <w:sz w:val="28"/>
          <w:szCs w:val="28"/>
        </w:rPr>
        <w:t>采购人（盖章）：</w:t>
      </w:r>
      <w:r>
        <w:rPr>
          <w:rFonts w:eastAsia="仿宋"/>
          <w:b/>
          <w:color w:val="000000"/>
          <w:spacing w:val="-20"/>
          <w:sz w:val="28"/>
          <w:szCs w:val="28"/>
        </w:rPr>
        <w:t>新疆农业大学</w:t>
      </w:r>
    </w:p>
    <w:p w14:paraId="6E60DE9C">
      <w:pPr>
        <w:tabs>
          <w:tab w:val="left" w:pos="2100"/>
        </w:tabs>
        <w:snapToGrid w:val="0"/>
        <w:spacing w:line="480" w:lineRule="auto"/>
        <w:ind w:left="1826" w:leftChars="-70" w:hanging="1973" w:hangingChars="702"/>
        <w:rPr>
          <w:rFonts w:eastAsia="仿宋"/>
          <w:b/>
          <w:color w:val="000000"/>
          <w:sz w:val="28"/>
          <w:szCs w:val="28"/>
        </w:rPr>
      </w:pPr>
      <w:r>
        <w:rPr>
          <w:rFonts w:eastAsia="仿宋"/>
          <w:b/>
          <w:color w:val="000000"/>
          <w:sz w:val="28"/>
          <w:szCs w:val="28"/>
        </w:rPr>
        <w:t>联系人： 岳勇老师</w:t>
      </w:r>
    </w:p>
    <w:p w14:paraId="154903F4">
      <w:pPr>
        <w:tabs>
          <w:tab w:val="left" w:pos="2100"/>
        </w:tabs>
        <w:snapToGrid w:val="0"/>
        <w:spacing w:line="480" w:lineRule="auto"/>
        <w:ind w:left="1826" w:leftChars="-70" w:hanging="1973" w:hangingChars="702"/>
        <w:rPr>
          <w:rFonts w:eastAsia="仿宋"/>
          <w:b/>
          <w:color w:val="000000"/>
          <w:sz w:val="28"/>
          <w:szCs w:val="28"/>
        </w:rPr>
      </w:pPr>
      <w:r>
        <w:rPr>
          <w:rFonts w:eastAsia="仿宋"/>
          <w:b/>
          <w:color w:val="000000"/>
          <w:sz w:val="28"/>
          <w:szCs w:val="28"/>
        </w:rPr>
        <w:t>联系方式：13999902318</w:t>
      </w:r>
    </w:p>
    <w:p w14:paraId="2D297618">
      <w:pPr>
        <w:tabs>
          <w:tab w:val="left" w:pos="2100"/>
        </w:tabs>
        <w:snapToGrid w:val="0"/>
        <w:spacing w:line="480" w:lineRule="auto"/>
        <w:ind w:left="1826" w:leftChars="-70" w:hanging="1973" w:hangingChars="702"/>
        <w:rPr>
          <w:rFonts w:eastAsia="仿宋"/>
          <w:b/>
          <w:color w:val="000000"/>
          <w:sz w:val="28"/>
          <w:szCs w:val="28"/>
        </w:rPr>
      </w:pPr>
      <w:r>
        <w:rPr>
          <w:rFonts w:eastAsia="仿宋"/>
          <w:b/>
          <w:color w:val="000000"/>
          <w:sz w:val="28"/>
          <w:szCs w:val="28"/>
        </w:rPr>
        <w:t>联系地址：乌鲁木齐市沙依巴克区八一街道农大东路311号</w:t>
      </w:r>
    </w:p>
    <w:p w14:paraId="2AA43104">
      <w:pPr>
        <w:pStyle w:val="12"/>
        <w:snapToGrid w:val="0"/>
        <w:ind w:firstLine="280"/>
        <w:rPr>
          <w:sz w:val="28"/>
          <w:szCs w:val="28"/>
        </w:rPr>
      </w:pPr>
    </w:p>
    <w:p w14:paraId="77F92610">
      <w:pPr>
        <w:pStyle w:val="12"/>
        <w:spacing w:line="480" w:lineRule="auto"/>
        <w:ind w:firstLine="280"/>
        <w:rPr>
          <w:sz w:val="28"/>
          <w:szCs w:val="28"/>
        </w:rPr>
      </w:pPr>
    </w:p>
    <w:p w14:paraId="2C363C2F">
      <w:pPr>
        <w:tabs>
          <w:tab w:val="left" w:pos="2100"/>
        </w:tabs>
        <w:snapToGrid w:val="0"/>
        <w:spacing w:line="480" w:lineRule="auto"/>
        <w:ind w:left="1826" w:leftChars="-70" w:hanging="1973" w:hangingChars="702"/>
        <w:rPr>
          <w:rFonts w:eastAsia="仿宋"/>
          <w:b/>
          <w:color w:val="000000"/>
          <w:sz w:val="28"/>
          <w:szCs w:val="28"/>
        </w:rPr>
      </w:pPr>
      <w:r>
        <w:rPr>
          <w:rFonts w:eastAsia="仿宋"/>
          <w:b/>
          <w:color w:val="000000"/>
          <w:sz w:val="28"/>
          <w:szCs w:val="28"/>
        </w:rPr>
        <w:t>采购代理机构（盖章）：中合安建工程管理有限公司</w:t>
      </w:r>
    </w:p>
    <w:p w14:paraId="37AFA107">
      <w:pPr>
        <w:tabs>
          <w:tab w:val="left" w:pos="2100"/>
        </w:tabs>
        <w:snapToGrid w:val="0"/>
        <w:spacing w:line="480" w:lineRule="auto"/>
        <w:ind w:left="1826" w:leftChars="-70" w:hanging="1973" w:hangingChars="702"/>
        <w:rPr>
          <w:rFonts w:eastAsia="仿宋"/>
          <w:b/>
          <w:color w:val="000000"/>
          <w:sz w:val="28"/>
          <w:szCs w:val="28"/>
        </w:rPr>
      </w:pPr>
      <w:r>
        <w:rPr>
          <w:rFonts w:eastAsia="仿宋"/>
          <w:b/>
          <w:color w:val="000000"/>
          <w:sz w:val="28"/>
          <w:szCs w:val="28"/>
        </w:rPr>
        <w:t>法定代表人（盖章）：王蕾</w:t>
      </w:r>
    </w:p>
    <w:p w14:paraId="67C16E18">
      <w:pPr>
        <w:tabs>
          <w:tab w:val="left" w:pos="2100"/>
        </w:tabs>
        <w:snapToGrid w:val="0"/>
        <w:spacing w:line="480" w:lineRule="auto"/>
        <w:ind w:left="1826" w:leftChars="-70" w:hanging="1973" w:hangingChars="702"/>
        <w:rPr>
          <w:rFonts w:eastAsia="仿宋"/>
          <w:b/>
          <w:color w:val="000000"/>
          <w:sz w:val="28"/>
          <w:szCs w:val="28"/>
        </w:rPr>
      </w:pPr>
      <w:r>
        <w:rPr>
          <w:rFonts w:eastAsia="仿宋"/>
          <w:b/>
          <w:color w:val="000000"/>
          <w:sz w:val="28"/>
          <w:szCs w:val="28"/>
        </w:rPr>
        <w:t>项目负责人：彭小倬、王荣荣</w:t>
      </w:r>
    </w:p>
    <w:p w14:paraId="02A985C9">
      <w:pPr>
        <w:tabs>
          <w:tab w:val="left" w:pos="2100"/>
        </w:tabs>
        <w:snapToGrid w:val="0"/>
        <w:spacing w:line="480" w:lineRule="auto"/>
        <w:ind w:left="1826" w:leftChars="-70" w:hanging="1973" w:hangingChars="702"/>
        <w:rPr>
          <w:rFonts w:eastAsia="仿宋"/>
          <w:b/>
          <w:color w:val="000000"/>
          <w:sz w:val="28"/>
          <w:szCs w:val="28"/>
        </w:rPr>
      </w:pPr>
      <w:r>
        <w:rPr>
          <w:rFonts w:eastAsia="仿宋"/>
          <w:b/>
          <w:color w:val="000000"/>
          <w:sz w:val="28"/>
          <w:szCs w:val="28"/>
        </w:rPr>
        <w:t>联系电话：</w:t>
      </w:r>
      <w:bookmarkStart w:id="0" w:name="OLE_LINK2"/>
      <w:r>
        <w:rPr>
          <w:rFonts w:eastAsia="仿宋"/>
          <w:b/>
          <w:color w:val="000000"/>
          <w:sz w:val="28"/>
          <w:szCs w:val="28"/>
        </w:rPr>
        <w:t>13579881296</w:t>
      </w:r>
      <w:bookmarkEnd w:id="0"/>
    </w:p>
    <w:p w14:paraId="3C7E152F">
      <w:pPr>
        <w:tabs>
          <w:tab w:val="left" w:pos="2100"/>
        </w:tabs>
        <w:snapToGrid w:val="0"/>
        <w:spacing w:line="480" w:lineRule="auto"/>
        <w:ind w:left="1303" w:leftChars="-69" w:hanging="1448" w:hangingChars="515"/>
        <w:rPr>
          <w:rFonts w:eastAsia="仿宋"/>
          <w:b/>
          <w:color w:val="000000"/>
          <w:sz w:val="28"/>
          <w:szCs w:val="28"/>
        </w:rPr>
      </w:pPr>
      <w:r>
        <w:rPr>
          <w:rFonts w:eastAsia="仿宋"/>
          <w:b/>
          <w:color w:val="000000"/>
          <w:sz w:val="28"/>
          <w:szCs w:val="28"/>
        </w:rPr>
        <w:t>联系地址：新疆乌鲁木齐市高新区（新市区）新医路165号汇文大厦1栋6层A</w:t>
      </w:r>
    </w:p>
    <w:p w14:paraId="4BFF8983">
      <w:pPr>
        <w:pStyle w:val="12"/>
        <w:ind w:firstLine="280"/>
        <w:rPr>
          <w:sz w:val="28"/>
          <w:szCs w:val="28"/>
        </w:rPr>
        <w:sectPr>
          <w:headerReference r:id="rId6" w:type="default"/>
          <w:footerReference r:id="rId7" w:type="default"/>
          <w:pgSz w:w="11911" w:h="16838"/>
          <w:pgMar w:top="1440" w:right="1140" w:bottom="1440" w:left="1140" w:header="850" w:footer="1088" w:gutter="0"/>
          <w:pgNumType w:start="1"/>
          <w:cols w:space="0" w:num="1"/>
        </w:sectPr>
      </w:pPr>
    </w:p>
    <w:sdt>
      <w:sdtPr>
        <w:rPr>
          <w:rFonts w:eastAsia="仿宋"/>
          <w:b/>
          <w:bCs/>
          <w:sz w:val="32"/>
          <w:szCs w:val="32"/>
        </w:rPr>
        <w:id w:val="147461557"/>
        <w15:color w:val="DBDBDB"/>
        <w:docPartObj>
          <w:docPartGallery w:val="Table of Contents"/>
          <w:docPartUnique/>
        </w:docPartObj>
      </w:sdtPr>
      <w:sdtEndPr>
        <w:rPr>
          <w:rFonts w:eastAsia="仿宋"/>
          <w:b/>
          <w:bCs/>
          <w:sz w:val="21"/>
          <w:szCs w:val="28"/>
        </w:rPr>
      </w:sdtEndPr>
      <w:sdtContent>
        <w:p w14:paraId="254B447A">
          <w:pPr>
            <w:spacing w:line="360" w:lineRule="auto"/>
            <w:jc w:val="center"/>
            <w:rPr>
              <w:rFonts w:eastAsia="仿宋"/>
              <w:b/>
              <w:bCs/>
              <w:sz w:val="32"/>
              <w:szCs w:val="32"/>
            </w:rPr>
          </w:pPr>
          <w:r>
            <w:rPr>
              <w:rFonts w:eastAsia="仿宋"/>
              <w:b/>
              <w:bCs/>
              <w:sz w:val="32"/>
              <w:szCs w:val="32"/>
            </w:rPr>
            <w:t>目录</w:t>
          </w:r>
        </w:p>
        <w:p w14:paraId="538EC6A6">
          <w:pPr>
            <w:pStyle w:val="17"/>
            <w:tabs>
              <w:tab w:val="right" w:leader="dot" w:pos="9746"/>
            </w:tabs>
            <w:spacing w:line="360" w:lineRule="auto"/>
            <w:rPr>
              <w:rFonts w:eastAsia="仿宋"/>
              <w:sz w:val="28"/>
              <w:szCs w:val="28"/>
            </w:rPr>
          </w:pPr>
          <w:r>
            <w:rPr>
              <w:rStyle w:val="31"/>
              <w:rFonts w:ascii="Times New Roman" w:eastAsia="仿宋"/>
              <w:b/>
            </w:rPr>
            <w:fldChar w:fldCharType="begin"/>
          </w:r>
          <w:r>
            <w:rPr>
              <w:rStyle w:val="31"/>
              <w:rFonts w:ascii="Times New Roman" w:eastAsia="仿宋"/>
              <w:b/>
              <w:bCs/>
              <w:szCs w:val="28"/>
            </w:rPr>
            <w:instrText xml:space="preserve">TOC \o "1-1" \h \u </w:instrText>
          </w:r>
          <w:r>
            <w:rPr>
              <w:rStyle w:val="31"/>
              <w:rFonts w:ascii="Times New Roman" w:eastAsia="仿宋"/>
              <w:b/>
            </w:rPr>
            <w:fldChar w:fldCharType="separate"/>
          </w:r>
          <w:r>
            <w:fldChar w:fldCharType="begin"/>
          </w:r>
          <w:r>
            <w:instrText xml:space="preserve"> HYPERLINK \l "_Toc22507" </w:instrText>
          </w:r>
          <w:r>
            <w:fldChar w:fldCharType="separate"/>
          </w:r>
          <w:r>
            <w:rPr>
              <w:rFonts w:eastAsia="仿宋"/>
              <w:bCs/>
              <w:sz w:val="28"/>
              <w:szCs w:val="28"/>
            </w:rPr>
            <w:t>第一部分 磋商公告</w:t>
          </w:r>
          <w:r>
            <w:rPr>
              <w:rFonts w:eastAsia="仿宋"/>
              <w:sz w:val="28"/>
              <w:szCs w:val="28"/>
            </w:rPr>
            <w:tab/>
          </w:r>
          <w:r>
            <w:rPr>
              <w:rFonts w:eastAsia="仿宋"/>
              <w:sz w:val="28"/>
              <w:szCs w:val="28"/>
            </w:rPr>
            <w:fldChar w:fldCharType="begin"/>
          </w:r>
          <w:r>
            <w:rPr>
              <w:rFonts w:eastAsia="仿宋"/>
              <w:sz w:val="28"/>
              <w:szCs w:val="28"/>
            </w:rPr>
            <w:instrText xml:space="preserve"> PAGEREF _Toc22507 \h </w:instrText>
          </w:r>
          <w:r>
            <w:rPr>
              <w:rFonts w:eastAsia="仿宋"/>
              <w:sz w:val="28"/>
              <w:szCs w:val="28"/>
            </w:rPr>
            <w:fldChar w:fldCharType="separate"/>
          </w:r>
          <w:r>
            <w:rPr>
              <w:rFonts w:eastAsia="仿宋"/>
              <w:sz w:val="28"/>
              <w:szCs w:val="28"/>
            </w:rPr>
            <w:t>1</w:t>
          </w:r>
          <w:r>
            <w:rPr>
              <w:rFonts w:eastAsia="仿宋"/>
              <w:sz w:val="28"/>
              <w:szCs w:val="28"/>
            </w:rPr>
            <w:fldChar w:fldCharType="end"/>
          </w:r>
          <w:r>
            <w:rPr>
              <w:rFonts w:eastAsia="仿宋"/>
              <w:sz w:val="28"/>
              <w:szCs w:val="28"/>
            </w:rPr>
            <w:fldChar w:fldCharType="end"/>
          </w:r>
        </w:p>
        <w:p w14:paraId="2767AF57">
          <w:pPr>
            <w:pStyle w:val="17"/>
            <w:tabs>
              <w:tab w:val="right" w:leader="dot" w:pos="9746"/>
            </w:tabs>
            <w:spacing w:line="360" w:lineRule="auto"/>
            <w:rPr>
              <w:rFonts w:eastAsia="仿宋"/>
              <w:sz w:val="28"/>
              <w:szCs w:val="28"/>
            </w:rPr>
          </w:pPr>
          <w:r>
            <w:fldChar w:fldCharType="begin"/>
          </w:r>
          <w:r>
            <w:instrText xml:space="preserve"> HYPERLINK \l "_Toc13105" </w:instrText>
          </w:r>
          <w:r>
            <w:fldChar w:fldCharType="separate"/>
          </w:r>
          <w:r>
            <w:rPr>
              <w:rFonts w:eastAsia="仿宋"/>
              <w:bCs/>
              <w:sz w:val="28"/>
              <w:szCs w:val="28"/>
            </w:rPr>
            <w:t>第二部分 供应商须知</w:t>
          </w:r>
          <w:r>
            <w:rPr>
              <w:rFonts w:eastAsia="仿宋"/>
              <w:sz w:val="28"/>
              <w:szCs w:val="28"/>
            </w:rPr>
            <w:tab/>
          </w:r>
          <w:r>
            <w:rPr>
              <w:rFonts w:eastAsia="仿宋"/>
              <w:sz w:val="28"/>
              <w:szCs w:val="28"/>
            </w:rPr>
            <w:fldChar w:fldCharType="begin"/>
          </w:r>
          <w:r>
            <w:rPr>
              <w:rFonts w:eastAsia="仿宋"/>
              <w:sz w:val="28"/>
              <w:szCs w:val="28"/>
            </w:rPr>
            <w:instrText xml:space="preserve"> PAGEREF _Toc13105 \h </w:instrText>
          </w:r>
          <w:r>
            <w:rPr>
              <w:rFonts w:eastAsia="仿宋"/>
              <w:sz w:val="28"/>
              <w:szCs w:val="28"/>
            </w:rPr>
            <w:fldChar w:fldCharType="separate"/>
          </w:r>
          <w:r>
            <w:rPr>
              <w:rFonts w:eastAsia="仿宋"/>
              <w:sz w:val="28"/>
              <w:szCs w:val="28"/>
            </w:rPr>
            <w:t>5</w:t>
          </w:r>
          <w:r>
            <w:rPr>
              <w:rFonts w:eastAsia="仿宋"/>
              <w:sz w:val="28"/>
              <w:szCs w:val="28"/>
            </w:rPr>
            <w:fldChar w:fldCharType="end"/>
          </w:r>
          <w:r>
            <w:rPr>
              <w:rFonts w:eastAsia="仿宋"/>
              <w:sz w:val="28"/>
              <w:szCs w:val="28"/>
            </w:rPr>
            <w:fldChar w:fldCharType="end"/>
          </w:r>
        </w:p>
        <w:p w14:paraId="4FBE58B3">
          <w:pPr>
            <w:pStyle w:val="17"/>
            <w:tabs>
              <w:tab w:val="right" w:leader="dot" w:pos="9746"/>
            </w:tabs>
            <w:spacing w:line="360" w:lineRule="auto"/>
            <w:rPr>
              <w:rFonts w:eastAsia="仿宋"/>
              <w:sz w:val="28"/>
              <w:szCs w:val="28"/>
            </w:rPr>
          </w:pPr>
          <w:r>
            <w:fldChar w:fldCharType="begin"/>
          </w:r>
          <w:r>
            <w:instrText xml:space="preserve"> HYPERLINK \l "_Toc8573" </w:instrText>
          </w:r>
          <w:r>
            <w:fldChar w:fldCharType="separate"/>
          </w:r>
          <w:r>
            <w:rPr>
              <w:rFonts w:eastAsia="仿宋"/>
              <w:sz w:val="28"/>
              <w:szCs w:val="28"/>
            </w:rPr>
            <w:t>第三部分 采购需求</w:t>
          </w:r>
          <w:r>
            <w:rPr>
              <w:rFonts w:eastAsia="仿宋"/>
              <w:sz w:val="28"/>
              <w:szCs w:val="28"/>
            </w:rPr>
            <w:tab/>
          </w:r>
          <w:r>
            <w:rPr>
              <w:rFonts w:eastAsia="仿宋"/>
              <w:sz w:val="28"/>
              <w:szCs w:val="28"/>
            </w:rPr>
            <w:fldChar w:fldCharType="begin"/>
          </w:r>
          <w:r>
            <w:rPr>
              <w:rFonts w:eastAsia="仿宋"/>
              <w:sz w:val="28"/>
              <w:szCs w:val="28"/>
            </w:rPr>
            <w:instrText xml:space="preserve"> PAGEREF _Toc8573 \h </w:instrText>
          </w:r>
          <w:r>
            <w:rPr>
              <w:rFonts w:eastAsia="仿宋"/>
              <w:sz w:val="28"/>
              <w:szCs w:val="28"/>
            </w:rPr>
            <w:fldChar w:fldCharType="separate"/>
          </w:r>
          <w:r>
            <w:rPr>
              <w:rFonts w:eastAsia="仿宋"/>
              <w:sz w:val="28"/>
              <w:szCs w:val="28"/>
            </w:rPr>
            <w:t>28</w:t>
          </w:r>
          <w:r>
            <w:rPr>
              <w:rFonts w:eastAsia="仿宋"/>
              <w:sz w:val="28"/>
              <w:szCs w:val="28"/>
            </w:rPr>
            <w:fldChar w:fldCharType="end"/>
          </w:r>
          <w:r>
            <w:rPr>
              <w:rFonts w:eastAsia="仿宋"/>
              <w:sz w:val="28"/>
              <w:szCs w:val="28"/>
            </w:rPr>
            <w:fldChar w:fldCharType="end"/>
          </w:r>
        </w:p>
        <w:p w14:paraId="545D986D">
          <w:pPr>
            <w:pStyle w:val="17"/>
            <w:tabs>
              <w:tab w:val="right" w:leader="dot" w:pos="9746"/>
            </w:tabs>
            <w:spacing w:line="360" w:lineRule="auto"/>
            <w:rPr>
              <w:rFonts w:eastAsia="仿宋"/>
              <w:sz w:val="28"/>
              <w:szCs w:val="28"/>
            </w:rPr>
          </w:pPr>
          <w:r>
            <w:fldChar w:fldCharType="begin"/>
          </w:r>
          <w:r>
            <w:instrText xml:space="preserve"> HYPERLINK \l "_Toc24690" </w:instrText>
          </w:r>
          <w:r>
            <w:fldChar w:fldCharType="separate"/>
          </w:r>
          <w:r>
            <w:rPr>
              <w:rFonts w:eastAsia="仿宋"/>
              <w:sz w:val="28"/>
              <w:szCs w:val="28"/>
            </w:rPr>
            <w:t>第四部分 合同</w:t>
          </w:r>
          <w:r>
            <w:rPr>
              <w:rFonts w:eastAsia="仿宋"/>
              <w:sz w:val="28"/>
              <w:szCs w:val="28"/>
            </w:rPr>
            <w:tab/>
          </w:r>
          <w:r>
            <w:rPr>
              <w:rFonts w:eastAsia="仿宋"/>
              <w:sz w:val="28"/>
              <w:szCs w:val="28"/>
            </w:rPr>
            <w:fldChar w:fldCharType="begin"/>
          </w:r>
          <w:r>
            <w:rPr>
              <w:rFonts w:eastAsia="仿宋"/>
              <w:sz w:val="28"/>
              <w:szCs w:val="28"/>
            </w:rPr>
            <w:instrText xml:space="preserve"> PAGEREF _Toc24690 \h </w:instrText>
          </w:r>
          <w:r>
            <w:rPr>
              <w:rFonts w:eastAsia="仿宋"/>
              <w:sz w:val="28"/>
              <w:szCs w:val="28"/>
            </w:rPr>
            <w:fldChar w:fldCharType="separate"/>
          </w:r>
          <w:r>
            <w:rPr>
              <w:rFonts w:eastAsia="仿宋"/>
              <w:sz w:val="28"/>
              <w:szCs w:val="28"/>
            </w:rPr>
            <w:t>34</w:t>
          </w:r>
          <w:r>
            <w:rPr>
              <w:rFonts w:eastAsia="仿宋"/>
              <w:sz w:val="28"/>
              <w:szCs w:val="28"/>
            </w:rPr>
            <w:fldChar w:fldCharType="end"/>
          </w:r>
          <w:r>
            <w:rPr>
              <w:rFonts w:eastAsia="仿宋"/>
              <w:sz w:val="28"/>
              <w:szCs w:val="28"/>
            </w:rPr>
            <w:fldChar w:fldCharType="end"/>
          </w:r>
        </w:p>
        <w:p w14:paraId="25AD7FCA">
          <w:pPr>
            <w:pStyle w:val="17"/>
            <w:tabs>
              <w:tab w:val="right" w:leader="dot" w:pos="9746"/>
            </w:tabs>
            <w:spacing w:line="360" w:lineRule="auto"/>
            <w:rPr>
              <w:rFonts w:eastAsia="仿宋"/>
              <w:sz w:val="28"/>
              <w:szCs w:val="28"/>
            </w:rPr>
          </w:pPr>
          <w:r>
            <w:fldChar w:fldCharType="begin"/>
          </w:r>
          <w:r>
            <w:instrText xml:space="preserve"> HYPERLINK \l "_Toc21493" </w:instrText>
          </w:r>
          <w:r>
            <w:fldChar w:fldCharType="separate"/>
          </w:r>
          <w:r>
            <w:rPr>
              <w:rFonts w:eastAsia="仿宋"/>
              <w:sz w:val="28"/>
              <w:szCs w:val="28"/>
            </w:rPr>
            <w:t>第五部分 响应文件格式及附件</w:t>
          </w:r>
          <w:r>
            <w:rPr>
              <w:rFonts w:eastAsia="仿宋"/>
              <w:sz w:val="28"/>
              <w:szCs w:val="28"/>
            </w:rPr>
            <w:tab/>
          </w:r>
          <w:r>
            <w:rPr>
              <w:rFonts w:eastAsia="仿宋"/>
              <w:sz w:val="28"/>
              <w:szCs w:val="28"/>
            </w:rPr>
            <w:fldChar w:fldCharType="begin"/>
          </w:r>
          <w:r>
            <w:rPr>
              <w:rFonts w:eastAsia="仿宋"/>
              <w:sz w:val="28"/>
              <w:szCs w:val="28"/>
            </w:rPr>
            <w:instrText xml:space="preserve"> PAGEREF _Toc21493 \h </w:instrText>
          </w:r>
          <w:r>
            <w:rPr>
              <w:rFonts w:eastAsia="仿宋"/>
              <w:sz w:val="28"/>
              <w:szCs w:val="28"/>
            </w:rPr>
            <w:fldChar w:fldCharType="separate"/>
          </w:r>
          <w:r>
            <w:rPr>
              <w:rFonts w:eastAsia="仿宋"/>
              <w:sz w:val="28"/>
              <w:szCs w:val="28"/>
            </w:rPr>
            <w:t>51</w:t>
          </w:r>
          <w:r>
            <w:rPr>
              <w:rFonts w:eastAsia="仿宋"/>
              <w:sz w:val="28"/>
              <w:szCs w:val="28"/>
            </w:rPr>
            <w:fldChar w:fldCharType="end"/>
          </w:r>
          <w:r>
            <w:rPr>
              <w:rFonts w:eastAsia="仿宋"/>
              <w:sz w:val="28"/>
              <w:szCs w:val="28"/>
            </w:rPr>
            <w:fldChar w:fldCharType="end"/>
          </w:r>
        </w:p>
        <w:p w14:paraId="0C0C3B55">
          <w:pPr>
            <w:spacing w:line="360" w:lineRule="auto"/>
            <w:jc w:val="center"/>
            <w:rPr>
              <w:rFonts w:eastAsia="仿宋"/>
              <w:bCs/>
              <w:szCs w:val="28"/>
            </w:rPr>
          </w:pPr>
          <w:r>
            <w:rPr>
              <w:rFonts w:eastAsia="仿宋"/>
              <w:bCs/>
              <w:sz w:val="28"/>
              <w:szCs w:val="28"/>
            </w:rPr>
            <w:fldChar w:fldCharType="end"/>
          </w:r>
        </w:p>
      </w:sdtContent>
    </w:sdt>
    <w:p w14:paraId="4C4CE247">
      <w:pPr>
        <w:pStyle w:val="2"/>
      </w:pPr>
    </w:p>
    <w:p w14:paraId="3C9192B0">
      <w:pPr>
        <w:spacing w:line="360" w:lineRule="auto"/>
        <w:jc w:val="center"/>
        <w:rPr>
          <w:rStyle w:val="31"/>
          <w:rFonts w:ascii="Times New Roman" w:eastAsia="仿宋"/>
          <w:b/>
          <w:bCs/>
          <w:szCs w:val="28"/>
        </w:rPr>
      </w:pPr>
    </w:p>
    <w:p w14:paraId="37B53C0F">
      <w:pPr>
        <w:spacing w:line="360" w:lineRule="auto"/>
        <w:jc w:val="center"/>
        <w:rPr>
          <w:rStyle w:val="31"/>
          <w:rFonts w:ascii="Times New Roman" w:eastAsia="仿宋"/>
          <w:b/>
          <w:bCs/>
          <w:szCs w:val="28"/>
        </w:rPr>
      </w:pPr>
    </w:p>
    <w:p w14:paraId="3ECDE849">
      <w:pPr>
        <w:spacing w:line="360" w:lineRule="auto"/>
        <w:jc w:val="center"/>
        <w:rPr>
          <w:rStyle w:val="31"/>
          <w:rFonts w:ascii="Times New Roman" w:eastAsia="仿宋"/>
          <w:b/>
          <w:bCs/>
          <w:szCs w:val="28"/>
        </w:rPr>
      </w:pPr>
    </w:p>
    <w:p w14:paraId="7C551461">
      <w:pPr>
        <w:spacing w:line="360" w:lineRule="auto"/>
        <w:jc w:val="center"/>
        <w:rPr>
          <w:rStyle w:val="31"/>
          <w:rFonts w:ascii="Times New Roman" w:eastAsia="仿宋"/>
          <w:b/>
          <w:bCs/>
          <w:szCs w:val="28"/>
        </w:rPr>
      </w:pPr>
    </w:p>
    <w:p w14:paraId="66FBC19A">
      <w:pPr>
        <w:spacing w:line="360" w:lineRule="auto"/>
        <w:jc w:val="center"/>
        <w:rPr>
          <w:rStyle w:val="31"/>
          <w:rFonts w:ascii="Times New Roman" w:eastAsia="仿宋"/>
          <w:b/>
          <w:bCs/>
          <w:szCs w:val="28"/>
        </w:rPr>
      </w:pPr>
    </w:p>
    <w:p w14:paraId="633F0E3B">
      <w:pPr>
        <w:spacing w:line="360" w:lineRule="auto"/>
        <w:jc w:val="center"/>
        <w:rPr>
          <w:rStyle w:val="31"/>
          <w:rFonts w:ascii="Times New Roman" w:eastAsia="仿宋"/>
          <w:b/>
          <w:bCs/>
          <w:szCs w:val="28"/>
        </w:rPr>
      </w:pPr>
    </w:p>
    <w:p w14:paraId="0511CCBF">
      <w:pPr>
        <w:spacing w:line="360" w:lineRule="auto"/>
        <w:rPr>
          <w:rStyle w:val="31"/>
          <w:rFonts w:ascii="Times New Roman" w:eastAsia="仿宋"/>
          <w:b/>
          <w:bCs/>
          <w:szCs w:val="28"/>
        </w:rPr>
      </w:pPr>
    </w:p>
    <w:p w14:paraId="16E870AA">
      <w:pPr>
        <w:spacing w:line="360" w:lineRule="auto"/>
        <w:jc w:val="center"/>
        <w:rPr>
          <w:rStyle w:val="31"/>
          <w:rFonts w:ascii="Times New Roman" w:eastAsia="仿宋"/>
          <w:b/>
          <w:bCs/>
          <w:szCs w:val="28"/>
        </w:rPr>
      </w:pPr>
    </w:p>
    <w:p w14:paraId="6E36E2DA">
      <w:pPr>
        <w:spacing w:line="360" w:lineRule="auto"/>
        <w:rPr>
          <w:rStyle w:val="31"/>
          <w:rFonts w:ascii="Times New Roman" w:eastAsia="仿宋"/>
          <w:b/>
          <w:bCs/>
          <w:szCs w:val="28"/>
        </w:rPr>
      </w:pPr>
    </w:p>
    <w:p w14:paraId="4AA9AEC5">
      <w:pPr>
        <w:spacing w:line="360" w:lineRule="auto"/>
        <w:jc w:val="center"/>
        <w:rPr>
          <w:rStyle w:val="31"/>
          <w:rFonts w:ascii="Times New Roman" w:eastAsia="仿宋"/>
          <w:b/>
          <w:bCs/>
          <w:szCs w:val="28"/>
        </w:rPr>
      </w:pPr>
    </w:p>
    <w:p w14:paraId="6AA292DB">
      <w:pPr>
        <w:spacing w:line="360" w:lineRule="auto"/>
        <w:jc w:val="center"/>
        <w:rPr>
          <w:rStyle w:val="31"/>
          <w:rFonts w:ascii="Times New Roman" w:eastAsia="仿宋"/>
          <w:b/>
          <w:bCs/>
          <w:szCs w:val="28"/>
        </w:rPr>
      </w:pPr>
    </w:p>
    <w:p w14:paraId="79E8CCD9">
      <w:pPr>
        <w:spacing w:line="360" w:lineRule="auto"/>
        <w:jc w:val="center"/>
        <w:rPr>
          <w:rStyle w:val="31"/>
          <w:rFonts w:ascii="Times New Roman" w:eastAsia="仿宋"/>
          <w:b/>
          <w:bCs/>
          <w:szCs w:val="28"/>
        </w:rPr>
      </w:pPr>
    </w:p>
    <w:p w14:paraId="7307933F">
      <w:pPr>
        <w:spacing w:line="360" w:lineRule="auto"/>
        <w:ind w:firstLine="562" w:firstLineChars="200"/>
        <w:jc w:val="center"/>
        <w:rPr>
          <w:rStyle w:val="31"/>
          <w:rFonts w:ascii="Times New Roman" w:eastAsia="仿宋"/>
          <w:b/>
          <w:bCs/>
          <w:szCs w:val="28"/>
        </w:rPr>
        <w:sectPr>
          <w:pgSz w:w="11911" w:h="16838"/>
          <w:pgMar w:top="1440" w:right="1140" w:bottom="1440" w:left="1140" w:header="850" w:footer="1088" w:gutter="0"/>
          <w:pgNumType w:start="1"/>
          <w:cols w:space="0" w:num="1"/>
          <w:docGrid w:linePitch="312" w:charSpace="0"/>
        </w:sectPr>
      </w:pPr>
    </w:p>
    <w:p w14:paraId="04A8BFD1">
      <w:pPr>
        <w:spacing w:line="360" w:lineRule="auto"/>
        <w:ind w:firstLine="643" w:firstLineChars="200"/>
        <w:jc w:val="center"/>
        <w:outlineLvl w:val="0"/>
      </w:pPr>
      <w:bookmarkStart w:id="1" w:name="_Toc22507"/>
      <w:r>
        <w:rPr>
          <w:rStyle w:val="31"/>
          <w:rFonts w:ascii="Times New Roman" w:eastAsia="仿宋"/>
          <w:b/>
          <w:bCs/>
          <w:sz w:val="32"/>
          <w:szCs w:val="32"/>
        </w:rPr>
        <w:t>第一部分 磋商公告</w:t>
      </w:r>
      <w:bookmarkEnd w:id="1"/>
    </w:p>
    <w:p w14:paraId="58D36601">
      <w:pPr>
        <w:spacing w:line="360" w:lineRule="auto"/>
        <w:ind w:firstLine="562" w:firstLineChars="200"/>
        <w:jc w:val="center"/>
        <w:rPr>
          <w:rStyle w:val="31"/>
          <w:rFonts w:ascii="Times New Roman" w:eastAsia="仿宋"/>
          <w:b/>
          <w:bCs/>
          <w:szCs w:val="28"/>
        </w:rPr>
      </w:pPr>
      <w:bookmarkStart w:id="2" w:name="_Toc20502"/>
      <w:r>
        <w:rPr>
          <w:rStyle w:val="31"/>
          <w:rFonts w:hint="eastAsia" w:eastAsia="仿宋"/>
          <w:b/>
          <w:bCs/>
          <w:szCs w:val="28"/>
          <w:lang w:eastAsia="zh-CN"/>
        </w:rPr>
        <w:t>新疆农业大学3.5吨镁燃气熔炉机械加工、装配及现场调试服务</w:t>
      </w:r>
      <w:r>
        <w:rPr>
          <w:rStyle w:val="31"/>
          <w:rFonts w:ascii="Times New Roman" w:eastAsia="仿宋"/>
          <w:b/>
          <w:bCs/>
          <w:szCs w:val="28"/>
        </w:rPr>
        <w:t>竞争性磋商公告</w:t>
      </w:r>
    </w:p>
    <w:bookmarkEnd w:id="2"/>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3"/>
      </w:tblGrid>
      <w:tr w14:paraId="3339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623" w:type="dxa"/>
          </w:tcPr>
          <w:p w14:paraId="40FD0D3A">
            <w:pPr>
              <w:spacing w:line="500" w:lineRule="exact"/>
              <w:ind w:firstLine="480" w:firstLineChars="200"/>
              <w:jc w:val="left"/>
              <w:rPr>
                <w:rFonts w:ascii="Calibri" w:hAnsi="Calibri" w:eastAsia="仿宋" w:cs="Calibri"/>
                <w:sz w:val="24"/>
                <w:szCs w:val="24"/>
              </w:rPr>
            </w:pPr>
            <w:r>
              <w:rPr>
                <w:rFonts w:ascii="Calibri" w:hAnsi="Calibri" w:eastAsia="仿宋" w:cs="Calibri"/>
                <w:sz w:val="24"/>
                <w:szCs w:val="24"/>
              </w:rPr>
              <w:t>项目概况</w:t>
            </w:r>
          </w:p>
          <w:p w14:paraId="46F1543E">
            <w:pPr>
              <w:spacing w:line="500" w:lineRule="exact"/>
              <w:ind w:firstLine="480" w:firstLineChars="200"/>
              <w:jc w:val="left"/>
              <w:rPr>
                <w:rFonts w:ascii="Calibri" w:hAnsi="Calibri" w:eastAsia="仿宋" w:cs="Calibri"/>
                <w:sz w:val="28"/>
                <w:szCs w:val="28"/>
              </w:rPr>
            </w:pPr>
            <w:r>
              <w:rPr>
                <w:rFonts w:hint="eastAsia" w:ascii="Calibri" w:hAnsi="Calibri" w:eastAsia="仿宋" w:cs="Calibri"/>
                <w:sz w:val="24"/>
                <w:szCs w:val="24"/>
                <w:lang w:eastAsia="zh-CN"/>
              </w:rPr>
              <w:t>新疆农业大学3.5吨镁燃气熔炉机械加工、装配及现场调试服务</w:t>
            </w:r>
            <w:r>
              <w:rPr>
                <w:rFonts w:ascii="Calibri" w:hAnsi="Calibri" w:eastAsia="仿宋" w:cs="Calibri"/>
                <w:sz w:val="24"/>
                <w:szCs w:val="24"/>
              </w:rPr>
              <w:t>的潜在供应商应在政采云平台线上获取采购文件，并于</w:t>
            </w:r>
            <w:r>
              <w:rPr>
                <w:rFonts w:ascii="Calibri" w:hAnsi="Calibri" w:eastAsia="仿宋" w:cs="Calibri"/>
                <w:sz w:val="24"/>
                <w:szCs w:val="24"/>
                <w:highlight w:val="none"/>
              </w:rPr>
              <w:t>2026年</w:t>
            </w:r>
            <w:r>
              <w:rPr>
                <w:rFonts w:hint="eastAsia" w:ascii="Calibri" w:hAnsi="Calibri" w:eastAsia="仿宋" w:cs="Calibri"/>
                <w:sz w:val="24"/>
                <w:szCs w:val="24"/>
                <w:highlight w:val="none"/>
              </w:rPr>
              <w:t>5</w:t>
            </w:r>
            <w:r>
              <w:rPr>
                <w:rFonts w:ascii="Calibri" w:hAnsi="Calibri" w:eastAsia="仿宋" w:cs="Calibri"/>
                <w:sz w:val="24"/>
                <w:szCs w:val="24"/>
                <w:highlight w:val="none"/>
              </w:rPr>
              <w:t>月</w:t>
            </w:r>
            <w:r>
              <w:rPr>
                <w:rFonts w:hint="eastAsia" w:ascii="Calibri" w:hAnsi="Calibri" w:eastAsia="仿宋" w:cs="Calibri"/>
                <w:sz w:val="24"/>
                <w:szCs w:val="24"/>
                <w:highlight w:val="none"/>
                <w:lang w:val="en-US" w:eastAsia="zh-CN"/>
              </w:rPr>
              <w:t>26</w:t>
            </w:r>
            <w:r>
              <w:rPr>
                <w:rFonts w:ascii="Calibri" w:hAnsi="Calibri" w:eastAsia="仿宋" w:cs="Calibri"/>
                <w:sz w:val="24"/>
                <w:szCs w:val="24"/>
                <w:highlight w:val="none"/>
              </w:rPr>
              <w:t>日 11:00</w:t>
            </w:r>
            <w:r>
              <w:rPr>
                <w:rFonts w:ascii="Calibri" w:hAnsi="Calibri" w:eastAsia="仿宋" w:cs="Calibri"/>
                <w:sz w:val="24"/>
                <w:szCs w:val="24"/>
              </w:rPr>
              <w:t>（北京时间）前提交响应文件。</w:t>
            </w:r>
            <w:r>
              <w:rPr>
                <w:rFonts w:ascii="Calibri" w:hAnsi="Calibri" w:eastAsia="仿宋" w:cs="Calibri"/>
                <w:sz w:val="28"/>
                <w:szCs w:val="28"/>
              </w:rPr>
              <w:t xml:space="preserve">        </w:t>
            </w:r>
          </w:p>
        </w:tc>
      </w:tr>
    </w:tbl>
    <w:p w14:paraId="48330FFB">
      <w:pPr>
        <w:pStyle w:val="20"/>
        <w:adjustRightInd w:val="0"/>
        <w:snapToGrid w:val="0"/>
        <w:spacing w:line="360" w:lineRule="auto"/>
        <w:rPr>
          <w:rStyle w:val="24"/>
          <w:rFonts w:ascii="Times New Roman" w:hAnsi="Times New Roman" w:eastAsia="仿宋" w:cs="Times New Roman"/>
          <w:sz w:val="28"/>
          <w:szCs w:val="28"/>
        </w:rPr>
      </w:pPr>
    </w:p>
    <w:p w14:paraId="69F8E35A">
      <w:pPr>
        <w:pStyle w:val="20"/>
        <w:adjustRightInd w:val="0"/>
        <w:snapToGrid w:val="0"/>
        <w:spacing w:line="360" w:lineRule="auto"/>
        <w:rPr>
          <w:rFonts w:ascii="Times New Roman" w:hAnsi="Times New Roman" w:eastAsia="仿宋" w:cs="Times New Roman"/>
        </w:rPr>
      </w:pPr>
      <w:r>
        <w:rPr>
          <w:rStyle w:val="24"/>
          <w:rFonts w:ascii="Times New Roman" w:hAnsi="Times New Roman" w:eastAsia="仿宋" w:cs="Times New Roman"/>
        </w:rPr>
        <w:t>一、项目基本情况</w:t>
      </w:r>
    </w:p>
    <w:p w14:paraId="0C36E55D">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项目编号：</w:t>
      </w:r>
      <w:r>
        <w:rPr>
          <w:rFonts w:hint="eastAsia" w:ascii="仿宋" w:hAnsi="仿宋" w:eastAsia="仿宋" w:cs="仿宋"/>
          <w:lang w:eastAsia="zh-CN"/>
        </w:rPr>
        <w:t>2026ZHAJ-08</w:t>
      </w:r>
      <w:r>
        <w:rPr>
          <w:rFonts w:hint="eastAsia" w:ascii="仿宋" w:hAnsi="仿宋" w:eastAsia="仿宋" w:cs="仿宋"/>
        </w:rPr>
        <w:t xml:space="preserve"> </w:t>
      </w:r>
    </w:p>
    <w:p w14:paraId="3109E951">
      <w:pPr>
        <w:pStyle w:val="20"/>
        <w:adjustRightInd w:val="0"/>
        <w:snapToGrid w:val="0"/>
        <w:spacing w:line="360" w:lineRule="auto"/>
        <w:ind w:firstLine="480" w:firstLineChars="200"/>
        <w:rPr>
          <w:rFonts w:hint="eastAsia" w:ascii="Times New Roman" w:hAnsi="Times New Roman" w:eastAsia="仿宋" w:cs="Times New Roman"/>
          <w:lang w:eastAsia="zh-CN"/>
        </w:rPr>
      </w:pPr>
      <w:r>
        <w:rPr>
          <w:rFonts w:ascii="Times New Roman" w:hAnsi="Times New Roman" w:eastAsia="仿宋" w:cs="Times New Roman"/>
        </w:rPr>
        <w:t>项目名称：</w:t>
      </w:r>
      <w:r>
        <w:rPr>
          <w:rFonts w:hint="eastAsia" w:ascii="Times New Roman" w:hAnsi="Times New Roman" w:eastAsia="仿宋" w:cs="Times New Roman"/>
          <w:lang w:eastAsia="zh-CN"/>
        </w:rPr>
        <w:t>新疆农业大学3.5吨镁燃气熔炉机械加工、装配及现场调试服务</w:t>
      </w:r>
    </w:p>
    <w:p w14:paraId="64489BAB">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采购方式：竞争性磋商</w:t>
      </w:r>
    </w:p>
    <w:p w14:paraId="5088E7C1">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预算金额：75.00（万元）</w:t>
      </w:r>
    </w:p>
    <w:p w14:paraId="2F2FC1E3">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最高限价：75.00（万元）</w:t>
      </w:r>
    </w:p>
    <w:p w14:paraId="562DF515">
      <w:pPr>
        <w:widowControl/>
        <w:adjustRightInd w:val="0"/>
        <w:snapToGrid w:val="0"/>
        <w:spacing w:line="360" w:lineRule="auto"/>
        <w:ind w:firstLine="480" w:firstLineChars="200"/>
        <w:jc w:val="left"/>
        <w:rPr>
          <w:rFonts w:eastAsia="仿宋"/>
          <w:sz w:val="24"/>
          <w:szCs w:val="24"/>
        </w:rPr>
      </w:pPr>
      <w:r>
        <w:rPr>
          <w:rFonts w:eastAsia="仿宋"/>
          <w:sz w:val="24"/>
          <w:szCs w:val="24"/>
        </w:rPr>
        <w:t>采购需求</w:t>
      </w:r>
      <w:r>
        <w:rPr>
          <w:rFonts w:eastAsia="仿宋"/>
          <w:kern w:val="0"/>
          <w:sz w:val="24"/>
          <w:szCs w:val="24"/>
        </w:rPr>
        <w:t>：3.5吨镁燃气熔炉机械加工、装配及现场调试服务</w:t>
      </w:r>
      <w:r>
        <w:rPr>
          <w:rFonts w:eastAsia="仿宋"/>
          <w:sz w:val="24"/>
          <w:szCs w:val="24"/>
        </w:rPr>
        <w:t>。（其余详见第五部分采购需求）</w:t>
      </w:r>
    </w:p>
    <w:p w14:paraId="3C201BBE">
      <w:pPr>
        <w:pStyle w:val="20"/>
        <w:adjustRightInd w:val="0"/>
        <w:snapToGrid w:val="0"/>
        <w:spacing w:line="360" w:lineRule="auto"/>
        <w:ind w:firstLine="480" w:firstLineChars="200"/>
        <w:jc w:val="both"/>
        <w:rPr>
          <w:rFonts w:ascii="Times New Roman" w:hAnsi="Times New Roman" w:eastAsia="仿宋" w:cs="Times New Roman"/>
        </w:rPr>
      </w:pPr>
      <w:r>
        <w:rPr>
          <w:rFonts w:ascii="Times New Roman" w:hAnsi="Times New Roman" w:eastAsia="仿宋" w:cs="Times New Roman"/>
          <w:kern w:val="2"/>
        </w:rPr>
        <w:t>合同履约期限：</w:t>
      </w:r>
      <w:r>
        <w:rPr>
          <w:rFonts w:ascii="Times New Roman" w:hAnsi="Times New Roman" w:eastAsia="仿宋" w:cs="Times New Roman"/>
        </w:rPr>
        <w:t>中标方应在合同签订后，甲方材料到场7个</w:t>
      </w:r>
      <w:r>
        <w:rPr>
          <w:rFonts w:hint="eastAsia" w:ascii="Times New Roman" w:hAnsi="Times New Roman" w:eastAsia="仿宋" w:cs="Times New Roman"/>
        </w:rPr>
        <w:t>日历日</w:t>
      </w:r>
      <w:r>
        <w:rPr>
          <w:rFonts w:ascii="Times New Roman" w:hAnsi="Times New Roman" w:eastAsia="仿宋" w:cs="Times New Roman"/>
        </w:rPr>
        <w:t>内完成机械零部件的加工工作；在零部件及其他成套设备到场的</w:t>
      </w:r>
      <w:r>
        <w:rPr>
          <w:rFonts w:hint="eastAsia" w:ascii="Times New Roman" w:hAnsi="Times New Roman" w:eastAsia="仿宋" w:cs="Times New Roman"/>
        </w:rPr>
        <w:t>7</w:t>
      </w:r>
      <w:r>
        <w:rPr>
          <w:rFonts w:ascii="Times New Roman" w:hAnsi="Times New Roman" w:eastAsia="仿宋" w:cs="Times New Roman"/>
        </w:rPr>
        <w:t>个</w:t>
      </w:r>
      <w:r>
        <w:rPr>
          <w:rFonts w:hint="eastAsia" w:ascii="Times New Roman" w:hAnsi="Times New Roman" w:eastAsia="仿宋" w:cs="Times New Roman"/>
        </w:rPr>
        <w:t>日历日</w:t>
      </w:r>
      <w:r>
        <w:rPr>
          <w:rFonts w:ascii="Times New Roman" w:hAnsi="Times New Roman" w:eastAsia="仿宋" w:cs="Times New Roman"/>
        </w:rPr>
        <w:t>内完成装配工作；现场调试服务期限到2026年12月31日结束或自治区验收通过之日，以两者最晚时间为准。</w:t>
      </w:r>
    </w:p>
    <w:p w14:paraId="36D51E31">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本项目（否）接受联合体投标。</w:t>
      </w:r>
    </w:p>
    <w:p w14:paraId="28F4134C">
      <w:pPr>
        <w:pStyle w:val="20"/>
        <w:adjustRightInd w:val="0"/>
        <w:snapToGrid w:val="0"/>
        <w:spacing w:line="360" w:lineRule="auto"/>
        <w:rPr>
          <w:rFonts w:ascii="Times New Roman" w:hAnsi="Times New Roman" w:eastAsia="仿宋" w:cs="Times New Roman"/>
        </w:rPr>
      </w:pPr>
      <w:r>
        <w:rPr>
          <w:rStyle w:val="24"/>
          <w:rFonts w:ascii="Times New Roman" w:hAnsi="Times New Roman" w:eastAsia="仿宋" w:cs="Times New Roman"/>
        </w:rPr>
        <w:t>二、申请人的资格要求：</w:t>
      </w:r>
    </w:p>
    <w:p w14:paraId="369507C0">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1.满足《中华人民共和国政府采购法》第二十二条规定；</w:t>
      </w:r>
    </w:p>
    <w:p w14:paraId="0E5732FC">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2.落实政府采购政策需满足的资格要求：本项目为专门面向中小企业采购项目；</w:t>
      </w:r>
    </w:p>
    <w:p w14:paraId="424BA60B">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3.本项目的特定资格要求：</w:t>
      </w:r>
    </w:p>
    <w:p w14:paraId="6B2DCC2F">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1）供应商须在“信用中国”（www.creditchina.gov.cn）和中国政府采购网（www.ccgp.gov.cn）网站上未被列入失信被执行人、重大税收违法案件当事人名单以及政府采购严重违法失信行为记录名单（查询时间为自公告发布之日后）</w:t>
      </w:r>
    </w:p>
    <w:p w14:paraId="56FF1F42">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2）其它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45F0E4E">
      <w:pPr>
        <w:pStyle w:val="20"/>
        <w:adjustRightInd w:val="0"/>
        <w:snapToGrid w:val="0"/>
        <w:spacing w:line="360" w:lineRule="auto"/>
        <w:rPr>
          <w:rFonts w:ascii="Times New Roman" w:hAnsi="Times New Roman" w:eastAsia="仿宋" w:cs="Times New Roman"/>
        </w:rPr>
      </w:pPr>
      <w:r>
        <w:rPr>
          <w:rStyle w:val="24"/>
          <w:rFonts w:ascii="Times New Roman" w:hAnsi="Times New Roman" w:eastAsia="仿宋" w:cs="Times New Roman"/>
        </w:rPr>
        <w:t>三、获取采购文件</w:t>
      </w:r>
    </w:p>
    <w:p w14:paraId="1DB48C52">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时间：</w:t>
      </w:r>
      <w:r>
        <w:rPr>
          <w:rFonts w:ascii="Times New Roman" w:hAnsi="Times New Roman" w:eastAsia="仿宋" w:cs="Times New Roman"/>
          <w:highlight w:val="none"/>
        </w:rPr>
        <w:t>2026年</w:t>
      </w:r>
      <w:r>
        <w:rPr>
          <w:rFonts w:hint="eastAsia" w:ascii="Times New Roman" w:hAnsi="Times New Roman" w:eastAsia="仿宋" w:cs="Times New Roman"/>
          <w:highlight w:val="none"/>
        </w:rPr>
        <w:t>5</w:t>
      </w:r>
      <w:r>
        <w:rPr>
          <w:rFonts w:ascii="Times New Roman" w:hAnsi="Times New Roman" w:eastAsia="仿宋" w:cs="Times New Roman"/>
          <w:highlight w:val="none"/>
        </w:rPr>
        <w:t>月</w:t>
      </w:r>
      <w:r>
        <w:rPr>
          <w:rFonts w:hint="eastAsia" w:ascii="Times New Roman" w:hAnsi="Times New Roman" w:eastAsia="仿宋" w:cs="Times New Roman"/>
          <w:highlight w:val="none"/>
          <w:lang w:val="en-US" w:eastAsia="zh-CN"/>
        </w:rPr>
        <w:t>15</w:t>
      </w:r>
      <w:r>
        <w:rPr>
          <w:rFonts w:ascii="Times New Roman" w:hAnsi="Times New Roman" w:eastAsia="仿宋" w:cs="Times New Roman"/>
          <w:highlight w:val="none"/>
        </w:rPr>
        <w:t>日至2026年</w:t>
      </w:r>
      <w:r>
        <w:rPr>
          <w:rFonts w:hint="eastAsia" w:ascii="Times New Roman" w:hAnsi="Times New Roman" w:eastAsia="仿宋" w:cs="Times New Roman"/>
          <w:highlight w:val="none"/>
        </w:rPr>
        <w:t>5</w:t>
      </w:r>
      <w:r>
        <w:rPr>
          <w:rFonts w:ascii="Times New Roman" w:hAnsi="Times New Roman" w:eastAsia="仿宋" w:cs="Times New Roman"/>
          <w:highlight w:val="none"/>
        </w:rPr>
        <w:t>月</w:t>
      </w:r>
      <w:r>
        <w:rPr>
          <w:rFonts w:hint="eastAsia" w:ascii="Times New Roman" w:hAnsi="Times New Roman" w:eastAsia="仿宋" w:cs="Times New Roman"/>
          <w:highlight w:val="none"/>
          <w:lang w:val="en-US" w:eastAsia="zh-CN"/>
        </w:rPr>
        <w:t>22</w:t>
      </w:r>
      <w:r>
        <w:rPr>
          <w:rFonts w:ascii="Times New Roman" w:hAnsi="Times New Roman" w:eastAsia="仿宋" w:cs="Times New Roman"/>
          <w:highlight w:val="none"/>
        </w:rPr>
        <w:t>日</w:t>
      </w:r>
      <w:r>
        <w:rPr>
          <w:rFonts w:ascii="Times New Roman" w:hAnsi="Times New Roman" w:eastAsia="仿宋" w:cs="Times New Roman"/>
        </w:rPr>
        <w:t>，每天上午00:00至14:00，下午14:00至23:59（北京时间，法定节假日除外）</w:t>
      </w:r>
    </w:p>
    <w:p w14:paraId="3277F24B">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地点：政采云平台线上</w:t>
      </w:r>
    </w:p>
    <w:p w14:paraId="3E96EC2E">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EEF7EBF">
      <w:pPr>
        <w:adjustRightInd w:val="0"/>
        <w:snapToGrid w:val="0"/>
        <w:spacing w:line="360" w:lineRule="auto"/>
        <w:ind w:firstLine="480" w:firstLineChars="200"/>
        <w:jc w:val="left"/>
        <w:rPr>
          <w:rFonts w:eastAsia="仿宋"/>
          <w:kern w:val="0"/>
          <w:sz w:val="24"/>
          <w:szCs w:val="24"/>
        </w:rPr>
      </w:pPr>
      <w:r>
        <w:rPr>
          <w:rFonts w:eastAsia="仿宋"/>
          <w:kern w:val="0"/>
          <w:sz w:val="24"/>
          <w:szCs w:val="24"/>
        </w:rPr>
        <w:t>售价（元）：0</w:t>
      </w:r>
    </w:p>
    <w:p w14:paraId="04DE3DA8">
      <w:pPr>
        <w:adjustRightInd w:val="0"/>
        <w:snapToGrid w:val="0"/>
        <w:spacing w:line="360" w:lineRule="auto"/>
        <w:jc w:val="left"/>
        <w:rPr>
          <w:rStyle w:val="24"/>
          <w:rFonts w:eastAsia="仿宋"/>
          <w:kern w:val="0"/>
          <w:sz w:val="24"/>
          <w:szCs w:val="24"/>
        </w:rPr>
      </w:pPr>
      <w:r>
        <w:rPr>
          <w:rStyle w:val="24"/>
          <w:rFonts w:eastAsia="仿宋"/>
          <w:kern w:val="0"/>
          <w:sz w:val="24"/>
          <w:szCs w:val="24"/>
        </w:rPr>
        <w:t>四、响应文件提交 </w:t>
      </w:r>
    </w:p>
    <w:p w14:paraId="5CF00875">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截止时间：</w:t>
      </w:r>
      <w:r>
        <w:rPr>
          <w:rFonts w:ascii="Times New Roman" w:hAnsi="Times New Roman" w:eastAsia="仿宋" w:cs="Times New Roman"/>
          <w:highlight w:val="none"/>
        </w:rPr>
        <w:t>2026年</w:t>
      </w:r>
      <w:r>
        <w:rPr>
          <w:rFonts w:hint="eastAsia" w:ascii="Times New Roman" w:hAnsi="Times New Roman" w:eastAsia="仿宋" w:cs="Times New Roman"/>
          <w:highlight w:val="none"/>
        </w:rPr>
        <w:t>5</w:t>
      </w:r>
      <w:r>
        <w:rPr>
          <w:rFonts w:ascii="Times New Roman" w:hAnsi="Times New Roman" w:eastAsia="仿宋" w:cs="Times New Roman"/>
          <w:highlight w:val="none"/>
        </w:rPr>
        <w:t>月</w:t>
      </w:r>
      <w:r>
        <w:rPr>
          <w:rFonts w:hint="eastAsia" w:ascii="Times New Roman" w:hAnsi="Times New Roman" w:eastAsia="仿宋" w:cs="Times New Roman"/>
          <w:highlight w:val="none"/>
          <w:lang w:val="en-US" w:eastAsia="zh-CN"/>
        </w:rPr>
        <w:t>26</w:t>
      </w:r>
      <w:r>
        <w:rPr>
          <w:rFonts w:ascii="Times New Roman" w:hAnsi="Times New Roman" w:eastAsia="仿宋" w:cs="Times New Roman"/>
          <w:highlight w:val="none"/>
        </w:rPr>
        <w:t>日</w:t>
      </w:r>
      <w:r>
        <w:rPr>
          <w:rFonts w:ascii="Times New Roman" w:hAnsi="Times New Roman" w:eastAsia="仿宋" w:cs="Times New Roman"/>
        </w:rPr>
        <w:t>11:00（北京时间）</w:t>
      </w:r>
    </w:p>
    <w:p w14:paraId="7F8153B5">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地点：请登录政采云投标客户端投标</w:t>
      </w:r>
      <w:r>
        <w:rPr>
          <w:rFonts w:ascii="Times New Roman" w:hAnsi="Times New Roman" w:eastAsia="仿宋" w:cs="Times New Roman"/>
        </w:rPr>
        <w:tab/>
      </w:r>
      <w:r>
        <w:rPr>
          <w:rFonts w:ascii="Times New Roman" w:hAnsi="Times New Roman" w:eastAsia="仿宋" w:cs="Times New Roman"/>
        </w:rPr>
        <w:t xml:space="preserve"> </w:t>
      </w:r>
    </w:p>
    <w:p w14:paraId="1F75337A">
      <w:pPr>
        <w:pStyle w:val="20"/>
        <w:adjustRightInd w:val="0"/>
        <w:snapToGrid w:val="0"/>
        <w:spacing w:line="360" w:lineRule="auto"/>
        <w:rPr>
          <w:rFonts w:ascii="Times New Roman" w:hAnsi="Times New Roman" w:eastAsia="仿宋" w:cs="Times New Roman"/>
        </w:rPr>
      </w:pPr>
      <w:r>
        <w:rPr>
          <w:rStyle w:val="24"/>
          <w:rFonts w:ascii="Times New Roman" w:hAnsi="Times New Roman" w:eastAsia="仿宋" w:cs="Times New Roman"/>
        </w:rPr>
        <w:t>五、响应文件开启</w:t>
      </w:r>
      <w:r>
        <w:rPr>
          <w:rFonts w:ascii="Times New Roman" w:hAnsi="Times New Roman" w:eastAsia="仿宋" w:cs="Times New Roman"/>
        </w:rPr>
        <w:t> </w:t>
      </w:r>
    </w:p>
    <w:p w14:paraId="6E44985F">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开启时间：</w:t>
      </w:r>
      <w:r>
        <w:rPr>
          <w:rFonts w:ascii="Times New Roman" w:hAnsi="Times New Roman" w:eastAsia="仿宋" w:cs="Times New Roman"/>
          <w:highlight w:val="none"/>
        </w:rPr>
        <w:t>2026年</w:t>
      </w:r>
      <w:r>
        <w:rPr>
          <w:rFonts w:hint="eastAsia" w:ascii="Times New Roman" w:hAnsi="Times New Roman" w:eastAsia="仿宋" w:cs="Times New Roman"/>
          <w:highlight w:val="none"/>
        </w:rPr>
        <w:t>5</w:t>
      </w:r>
      <w:r>
        <w:rPr>
          <w:rFonts w:ascii="Times New Roman" w:hAnsi="Times New Roman" w:eastAsia="仿宋" w:cs="Times New Roman"/>
          <w:highlight w:val="none"/>
        </w:rPr>
        <w:t>月</w:t>
      </w:r>
      <w:r>
        <w:rPr>
          <w:rFonts w:hint="eastAsia" w:ascii="Times New Roman" w:hAnsi="Times New Roman" w:eastAsia="仿宋" w:cs="Times New Roman"/>
          <w:highlight w:val="none"/>
          <w:lang w:val="en-US" w:eastAsia="zh-CN"/>
        </w:rPr>
        <w:t>26</w:t>
      </w:r>
      <w:r>
        <w:rPr>
          <w:rFonts w:ascii="Times New Roman" w:hAnsi="Times New Roman" w:eastAsia="仿宋" w:cs="Times New Roman"/>
          <w:highlight w:val="none"/>
        </w:rPr>
        <w:t>日1</w:t>
      </w:r>
      <w:r>
        <w:rPr>
          <w:rFonts w:ascii="Times New Roman" w:hAnsi="Times New Roman" w:eastAsia="仿宋" w:cs="Times New Roman"/>
        </w:rPr>
        <w:t>1:00（北京时间）</w:t>
      </w:r>
    </w:p>
    <w:p w14:paraId="58967889">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 xml:space="preserve">地点：供应商登录政采云平台https://www.zcygov.cn/，进入“项目采购-开标评标-右边选择对应项目点击“进入项目”进入开标大厅 </w:t>
      </w:r>
    </w:p>
    <w:p w14:paraId="1F9AFBB5">
      <w:pPr>
        <w:pStyle w:val="20"/>
        <w:adjustRightInd w:val="0"/>
        <w:snapToGrid w:val="0"/>
        <w:spacing w:line="360" w:lineRule="auto"/>
        <w:rPr>
          <w:rFonts w:ascii="Times New Roman" w:hAnsi="Times New Roman" w:eastAsia="仿宋" w:cs="Times New Roman"/>
        </w:rPr>
      </w:pPr>
      <w:r>
        <w:rPr>
          <w:rStyle w:val="24"/>
          <w:rFonts w:ascii="Times New Roman" w:hAnsi="Times New Roman" w:eastAsia="仿宋" w:cs="Times New Roman"/>
        </w:rPr>
        <w:t>六、公告期限</w:t>
      </w:r>
    </w:p>
    <w:p w14:paraId="17B723BA">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自本公告发布之日起3个工作日。</w:t>
      </w:r>
    </w:p>
    <w:p w14:paraId="67E2494B">
      <w:pPr>
        <w:pStyle w:val="20"/>
        <w:adjustRightInd w:val="0"/>
        <w:snapToGrid w:val="0"/>
        <w:spacing w:line="360" w:lineRule="auto"/>
        <w:rPr>
          <w:rFonts w:ascii="Times New Roman" w:hAnsi="Times New Roman" w:eastAsia="仿宋" w:cs="Times New Roman"/>
        </w:rPr>
      </w:pPr>
      <w:r>
        <w:rPr>
          <w:rStyle w:val="24"/>
          <w:rFonts w:ascii="Times New Roman" w:hAnsi="Times New Roman" w:eastAsia="仿宋" w:cs="Times New Roman"/>
        </w:rPr>
        <w:t>七、其他补充事宜 </w:t>
      </w:r>
    </w:p>
    <w:p w14:paraId="6F22C152">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1.本项目实行网上投标，采用电子投标文件。</w:t>
      </w:r>
    </w:p>
    <w:p w14:paraId="235F6964">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E5AEBE2">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3.供应商将政采云电子交易客户端下载、安装完成后，可通过账号密码或CA登录客户端进行投标文件的制作。在使用政采云投标客户端时，建议使用WIN7及以上操作系统。</w:t>
      </w:r>
    </w:p>
    <w:p w14:paraId="21180CAD">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4.其他事项：</w:t>
      </w:r>
    </w:p>
    <w:p w14:paraId="32AB1EF1">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（1）政采云投标客户端请至新疆政府采购网（http://www.ccgp-xinjiang.gov.cn/）下载专区查看，如有问题可拨打政采云客户服务热线95763进行咨询。</w:t>
      </w:r>
    </w:p>
    <w:p w14:paraId="69CED213">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（2）供应商在开标时须使用制作加密电子响应文件所使用的CA锁及电脑，电脑须提前配置好浏览器（建议使用谷歌浏览器），以便开标时解锁。</w:t>
      </w:r>
    </w:p>
    <w:p w14:paraId="3E5E0A87">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38C6BEE6">
      <w:pPr>
        <w:pStyle w:val="20"/>
        <w:adjustRightInd w:val="0"/>
        <w:snapToGrid w:val="0"/>
        <w:spacing w:line="360" w:lineRule="auto"/>
        <w:ind w:firstLine="480" w:firstLineChars="200"/>
        <w:rPr>
          <w:rFonts w:ascii="Times New Roman" w:hAnsi="Times New Roman" w:eastAsia="仿宋" w:cs="Times New Roman"/>
          <w:highlight w:val="red"/>
        </w:rPr>
      </w:pPr>
      <w:r>
        <w:rPr>
          <w:rFonts w:ascii="Times New Roman" w:hAnsi="Times New Roman" w:eastAsia="仿宋" w:cs="Times New Roman"/>
        </w:rPr>
        <w:t>（4）为了保证开评标顺利进行，政采云线上开标功能完全实现，供应商开标所使用的电脑设备须具有视频及语音功能。</w:t>
      </w:r>
    </w:p>
    <w:p w14:paraId="3B965FF0">
      <w:pPr>
        <w:pStyle w:val="20"/>
        <w:adjustRightInd w:val="0"/>
        <w:snapToGrid w:val="0"/>
        <w:spacing w:line="360" w:lineRule="auto"/>
        <w:rPr>
          <w:rFonts w:ascii="Times New Roman" w:hAnsi="Times New Roman" w:eastAsia="仿宋" w:cs="Times New Roman"/>
          <w:b/>
          <w:bCs/>
          <w:i/>
          <w:iCs/>
        </w:rPr>
      </w:pPr>
      <w:r>
        <w:rPr>
          <w:rFonts w:ascii="Times New Roman" w:hAnsi="Times New Roman" w:eastAsia="仿宋" w:cs="Times New Roman"/>
          <w:b/>
          <w:bCs/>
          <w:i/>
          <w:iCs/>
        </w:rPr>
        <w:t>特别提示：</w:t>
      </w:r>
    </w:p>
    <w:p w14:paraId="12EB40A0">
      <w:pPr>
        <w:pStyle w:val="20"/>
        <w:adjustRightInd w:val="0"/>
        <w:snapToGrid w:val="0"/>
        <w:spacing w:line="360" w:lineRule="auto"/>
        <w:rPr>
          <w:rFonts w:ascii="Times New Roman" w:hAnsi="Times New Roman" w:eastAsia="仿宋" w:cs="Times New Roman"/>
          <w:b/>
          <w:bCs/>
          <w:i/>
          <w:iCs/>
        </w:rPr>
      </w:pPr>
      <w:r>
        <w:rPr>
          <w:rFonts w:ascii="Times New Roman" w:hAnsi="Times New Roman" w:eastAsia="仿宋" w:cs="Times New Roman"/>
          <w:b/>
          <w:bCs/>
          <w:i/>
          <w:iCs/>
        </w:rPr>
        <w:t xml:space="preserve">    1、采购限额标准以上，200万元以下的货物和服务采购项目、400万元以下的工程采购项目，适宜由中小企业提供的，采购人应当专门面向中小企业采购。</w:t>
      </w:r>
    </w:p>
    <w:p w14:paraId="661AE3B5">
      <w:pPr>
        <w:pStyle w:val="20"/>
        <w:adjustRightInd w:val="0"/>
        <w:snapToGrid w:val="0"/>
        <w:spacing w:line="360" w:lineRule="auto"/>
        <w:rPr>
          <w:rFonts w:ascii="Times New Roman" w:hAnsi="Times New Roman" w:eastAsia="仿宋" w:cs="Times New Roman"/>
          <w:b/>
          <w:bCs/>
          <w:i/>
          <w:iCs/>
        </w:rPr>
      </w:pPr>
      <w:r>
        <w:rPr>
          <w:rFonts w:ascii="Times New Roman" w:hAnsi="Times New Roman" w:eastAsia="仿宋" w:cs="Times New Roman"/>
          <w:b/>
          <w:bCs/>
          <w:i/>
          <w:iCs/>
        </w:rPr>
        <w:t xml:space="preserve">    2、超过200万元的货物和服务采购项目，预留该部分采购项目预算总额的30%以上专门面向中小企业采购，其中预留给小微企业的比例不低于60%。</w:t>
      </w:r>
    </w:p>
    <w:p w14:paraId="309E8FB0">
      <w:pPr>
        <w:pStyle w:val="20"/>
        <w:adjustRightInd w:val="0"/>
        <w:snapToGrid w:val="0"/>
        <w:spacing w:line="360" w:lineRule="auto"/>
        <w:rPr>
          <w:rFonts w:ascii="Times New Roman" w:hAnsi="Times New Roman" w:eastAsia="仿宋" w:cs="Times New Roman"/>
          <w:b/>
          <w:bCs/>
          <w:i/>
          <w:iCs/>
        </w:rPr>
      </w:pPr>
      <w:r>
        <w:rPr>
          <w:rFonts w:ascii="Times New Roman" w:hAnsi="Times New Roman" w:eastAsia="仿宋" w:cs="Times New Roman"/>
          <w:b/>
          <w:bCs/>
          <w:i/>
          <w:iCs/>
        </w:rPr>
        <w:t xml:space="preserve">    3、超过400万元的工程采购项目中适宜由中小企业提供的，预留该部分采购项目预算总额的40%以上专门面向中小企业采购，其中预留给小微企业的比例不低于60%。</w:t>
      </w:r>
    </w:p>
    <w:p w14:paraId="4DFB3338">
      <w:pPr>
        <w:pStyle w:val="20"/>
        <w:adjustRightInd w:val="0"/>
        <w:snapToGrid w:val="0"/>
        <w:spacing w:line="360" w:lineRule="auto"/>
        <w:rPr>
          <w:rFonts w:ascii="Times New Roman" w:hAnsi="Times New Roman" w:eastAsia="仿宋" w:cs="Times New Roman"/>
          <w:b/>
          <w:bCs/>
          <w:i/>
          <w:iCs/>
        </w:rPr>
      </w:pPr>
      <w:r>
        <w:rPr>
          <w:rFonts w:ascii="Times New Roman" w:hAnsi="Times New Roman" w:eastAsia="仿宋" w:cs="Times New Roman"/>
          <w:b/>
          <w:bCs/>
          <w:i/>
          <w:iCs/>
        </w:rPr>
        <w:t xml:space="preserve">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E8D4D8">
      <w:pPr>
        <w:pStyle w:val="20"/>
        <w:adjustRightInd w:val="0"/>
        <w:snapToGrid w:val="0"/>
        <w:spacing w:line="360" w:lineRule="auto"/>
        <w:rPr>
          <w:rFonts w:ascii="Times New Roman" w:hAnsi="Times New Roman" w:eastAsia="仿宋" w:cs="Times New Roman"/>
          <w:b/>
          <w:bCs/>
          <w:i/>
          <w:iCs/>
        </w:rPr>
      </w:pPr>
      <w:r>
        <w:rPr>
          <w:rFonts w:ascii="Times New Roman" w:hAnsi="Times New Roman" w:eastAsia="仿宋" w:cs="Times New Roman"/>
          <w:b/>
          <w:bCs/>
          <w:i/>
          <w:iCs/>
        </w:rPr>
        <w:t xml:space="preserve">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73A32B7">
      <w:pPr>
        <w:pStyle w:val="20"/>
        <w:adjustRightInd w:val="0"/>
        <w:snapToGrid w:val="0"/>
        <w:spacing w:line="360" w:lineRule="auto"/>
        <w:rPr>
          <w:rFonts w:ascii="Times New Roman" w:hAnsi="Times New Roman" w:eastAsia="仿宋" w:cs="Times New Roman"/>
        </w:rPr>
      </w:pPr>
      <w:r>
        <w:rPr>
          <w:rStyle w:val="24"/>
          <w:rFonts w:ascii="Times New Roman" w:hAnsi="Times New Roman" w:eastAsia="仿宋" w:cs="Times New Roman"/>
        </w:rPr>
        <w:t>八、凡对本次招标提出询问，请按以下方式联系</w:t>
      </w:r>
    </w:p>
    <w:p w14:paraId="6EB884EC">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1.采购人信息</w:t>
      </w:r>
    </w:p>
    <w:p w14:paraId="37D047E6">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名 称：新疆农业大学</w:t>
      </w:r>
    </w:p>
    <w:p w14:paraId="4C630743">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地 址：乌鲁木齐市沙依巴克区八一街道农大东路311号</w:t>
      </w:r>
    </w:p>
    <w:p w14:paraId="0E1A84D6">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联系方式：13999902318</w:t>
      </w:r>
    </w:p>
    <w:p w14:paraId="2A66C402">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2.采购代理机构信息</w:t>
      </w:r>
    </w:p>
    <w:p w14:paraId="437A5865">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名 称：中合安建工程管理有限公司</w:t>
      </w:r>
    </w:p>
    <w:p w14:paraId="479DE219">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地 址：新疆乌鲁木齐市高新区（新市区）新医路165号汇文大厦1栋6层A</w:t>
      </w:r>
    </w:p>
    <w:p w14:paraId="0EF7B6E5">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rPr>
        <w:t>联系方式：13579881296</w:t>
      </w:r>
    </w:p>
    <w:p w14:paraId="5030328D">
      <w:pPr>
        <w:pStyle w:val="20"/>
        <w:snapToGrid w:val="0"/>
        <w:spacing w:line="360" w:lineRule="auto"/>
        <w:ind w:firstLine="480" w:firstLineChars="200"/>
        <w:rPr>
          <w:rFonts w:ascii="Times New Roman" w:hAnsi="Times New Roman" w:eastAsia="仿宋" w:cs="Times New Roman"/>
          <w:bCs/>
          <w:color w:val="000000"/>
          <w:lang w:bidi="ar"/>
        </w:rPr>
      </w:pPr>
      <w:r>
        <w:rPr>
          <w:rFonts w:ascii="Times New Roman" w:hAnsi="Times New Roman" w:eastAsia="仿宋" w:cs="Times New Roman"/>
        </w:rPr>
        <w:t>3.</w:t>
      </w:r>
      <w:r>
        <w:rPr>
          <w:rFonts w:ascii="Times New Roman" w:hAnsi="Times New Roman" w:eastAsia="仿宋" w:cs="Times New Roman"/>
          <w:bCs/>
          <w:color w:val="000000"/>
          <w:lang w:bidi="ar"/>
        </w:rPr>
        <w:t>项目联系方式</w:t>
      </w:r>
    </w:p>
    <w:p w14:paraId="64103060">
      <w:pPr>
        <w:pStyle w:val="20"/>
        <w:snapToGrid w:val="0"/>
        <w:spacing w:line="360" w:lineRule="auto"/>
        <w:ind w:firstLine="480" w:firstLineChars="200"/>
        <w:rPr>
          <w:rFonts w:ascii="Times New Roman" w:hAnsi="Times New Roman" w:eastAsia="仿宋" w:cs="Times New Roman"/>
          <w:bCs/>
          <w:color w:val="000000"/>
          <w:lang w:bidi="ar"/>
        </w:rPr>
      </w:pPr>
      <w:r>
        <w:rPr>
          <w:rFonts w:ascii="Times New Roman" w:hAnsi="Times New Roman" w:eastAsia="仿宋" w:cs="Times New Roman"/>
          <w:bCs/>
          <w:color w:val="000000"/>
          <w:lang w:bidi="ar"/>
        </w:rPr>
        <w:t>项目联系人：彭小倬、王荣荣</w:t>
      </w:r>
    </w:p>
    <w:p w14:paraId="5C1CB4F4">
      <w:pPr>
        <w:pStyle w:val="20"/>
        <w:adjustRightInd w:val="0"/>
        <w:snapToGrid w:val="0"/>
        <w:spacing w:line="360" w:lineRule="auto"/>
        <w:ind w:firstLine="480" w:firstLineChars="200"/>
        <w:rPr>
          <w:rFonts w:ascii="Times New Roman" w:hAnsi="Times New Roman" w:eastAsia="仿宋" w:cs="Times New Roman"/>
        </w:rPr>
      </w:pPr>
      <w:r>
        <w:rPr>
          <w:rFonts w:ascii="Times New Roman" w:hAnsi="Times New Roman" w:eastAsia="仿宋" w:cs="Times New Roman"/>
          <w:bCs/>
          <w:color w:val="000000"/>
          <w:lang w:bidi="ar"/>
        </w:rPr>
        <w:t>电 话：</w:t>
      </w:r>
      <w:r>
        <w:rPr>
          <w:rFonts w:ascii="Times New Roman" w:hAnsi="Times New Roman" w:eastAsia="仿宋" w:cs="Times New Roman"/>
        </w:rPr>
        <w:t>13579881296</w:t>
      </w:r>
    </w:p>
    <w:p w14:paraId="5456EBED">
      <w:pPr>
        <w:pStyle w:val="20"/>
        <w:adjustRightInd w:val="0"/>
        <w:snapToGrid w:val="0"/>
        <w:spacing w:line="360" w:lineRule="auto"/>
        <w:ind w:firstLine="560" w:firstLineChars="200"/>
        <w:jc w:val="center"/>
        <w:outlineLvl w:val="0"/>
        <w:rPr>
          <w:rStyle w:val="31"/>
          <w:rFonts w:ascii="Times New Roman" w:hAnsi="Times New Roman" w:eastAsia="仿宋" w:cs="Times New Roman"/>
          <w:szCs w:val="28"/>
        </w:rPr>
      </w:pPr>
      <w:r>
        <w:rPr>
          <w:rStyle w:val="27"/>
          <w:rFonts w:ascii="Times New Roman" w:hAnsi="Times New Roman" w:eastAsia="仿宋" w:cs="Times New Roman"/>
          <w:sz w:val="28"/>
          <w:szCs w:val="28"/>
        </w:rPr>
        <w:br w:type="page"/>
      </w:r>
      <w:bookmarkStart w:id="3" w:name="_Toc13105"/>
      <w:r>
        <w:rPr>
          <w:rStyle w:val="31"/>
          <w:rFonts w:ascii="Times New Roman" w:hAnsi="Times New Roman" w:eastAsia="仿宋" w:cs="Times New Roman"/>
          <w:b/>
          <w:bCs/>
          <w:sz w:val="32"/>
          <w:szCs w:val="32"/>
        </w:rPr>
        <w:t>第二部分 供应商须知</w:t>
      </w:r>
      <w:bookmarkEnd w:id="3"/>
    </w:p>
    <w:p w14:paraId="25A5C388">
      <w:pPr>
        <w:adjustRightInd w:val="0"/>
        <w:snapToGrid w:val="0"/>
        <w:spacing w:line="360" w:lineRule="auto"/>
        <w:ind w:firstLine="562" w:firstLineChars="200"/>
        <w:jc w:val="center"/>
        <w:rPr>
          <w:rFonts w:eastAsia="仿宋"/>
          <w:b/>
          <w:sz w:val="28"/>
          <w:szCs w:val="28"/>
        </w:rPr>
      </w:pPr>
      <w:r>
        <w:rPr>
          <w:rFonts w:eastAsia="仿宋"/>
          <w:b/>
          <w:sz w:val="28"/>
          <w:szCs w:val="28"/>
        </w:rPr>
        <w:t>供应商需求前附表</w:t>
      </w:r>
    </w:p>
    <w:tbl>
      <w:tblPr>
        <w:tblStyle w:val="21"/>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99"/>
        <w:gridCol w:w="7311"/>
      </w:tblGrid>
      <w:tr w14:paraId="68F2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34B097A">
            <w:pPr>
              <w:adjustRightInd w:val="0"/>
              <w:snapToGrid w:val="0"/>
              <w:jc w:val="center"/>
              <w:rPr>
                <w:rFonts w:eastAsia="仿宋"/>
                <w:b/>
                <w:bCs/>
                <w:szCs w:val="21"/>
              </w:rPr>
            </w:pPr>
            <w:r>
              <w:rPr>
                <w:rFonts w:eastAsia="仿宋"/>
                <w:b/>
                <w:bCs/>
                <w:szCs w:val="21"/>
              </w:rPr>
              <w:t>序号</w:t>
            </w:r>
          </w:p>
        </w:tc>
        <w:tc>
          <w:tcPr>
            <w:tcW w:w="1699" w:type="dxa"/>
            <w:vAlign w:val="center"/>
          </w:tcPr>
          <w:p w14:paraId="50B77BB0">
            <w:pPr>
              <w:adjustRightInd w:val="0"/>
              <w:snapToGrid w:val="0"/>
              <w:jc w:val="center"/>
              <w:rPr>
                <w:rFonts w:eastAsia="仿宋"/>
                <w:b/>
                <w:bCs/>
                <w:szCs w:val="21"/>
              </w:rPr>
            </w:pPr>
            <w:r>
              <w:rPr>
                <w:rFonts w:eastAsia="仿宋"/>
                <w:b/>
                <w:bCs/>
                <w:szCs w:val="21"/>
              </w:rPr>
              <w:t>类别</w:t>
            </w:r>
          </w:p>
        </w:tc>
        <w:tc>
          <w:tcPr>
            <w:tcW w:w="7311" w:type="dxa"/>
            <w:vAlign w:val="center"/>
          </w:tcPr>
          <w:p w14:paraId="2A10FE22">
            <w:pPr>
              <w:adjustRightInd w:val="0"/>
              <w:snapToGrid w:val="0"/>
              <w:jc w:val="center"/>
              <w:rPr>
                <w:rFonts w:eastAsia="仿宋"/>
                <w:b/>
                <w:bCs/>
                <w:szCs w:val="21"/>
              </w:rPr>
            </w:pPr>
            <w:r>
              <w:rPr>
                <w:rFonts w:eastAsia="仿宋"/>
                <w:b/>
                <w:bCs/>
                <w:szCs w:val="21"/>
              </w:rPr>
              <w:t>内容说明</w:t>
            </w:r>
          </w:p>
        </w:tc>
      </w:tr>
      <w:tr w14:paraId="1210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2CD31EF6">
            <w:pPr>
              <w:adjustRightInd w:val="0"/>
              <w:snapToGrid w:val="0"/>
              <w:jc w:val="center"/>
              <w:rPr>
                <w:rFonts w:eastAsia="仿宋"/>
                <w:b/>
                <w:bCs/>
                <w:szCs w:val="21"/>
              </w:rPr>
            </w:pPr>
            <w:r>
              <w:rPr>
                <w:rFonts w:eastAsia="仿宋"/>
                <w:szCs w:val="21"/>
              </w:rPr>
              <w:t>1</w:t>
            </w:r>
          </w:p>
        </w:tc>
        <w:tc>
          <w:tcPr>
            <w:tcW w:w="1699" w:type="dxa"/>
            <w:vAlign w:val="center"/>
          </w:tcPr>
          <w:p w14:paraId="3A578947">
            <w:pPr>
              <w:adjustRightInd w:val="0"/>
              <w:snapToGrid w:val="0"/>
              <w:jc w:val="center"/>
              <w:rPr>
                <w:rFonts w:eastAsia="仿宋"/>
                <w:szCs w:val="21"/>
              </w:rPr>
            </w:pPr>
            <w:r>
              <w:rPr>
                <w:rFonts w:eastAsia="仿宋"/>
                <w:szCs w:val="21"/>
              </w:rPr>
              <w:t>项目名称</w:t>
            </w:r>
          </w:p>
        </w:tc>
        <w:tc>
          <w:tcPr>
            <w:tcW w:w="7311" w:type="dxa"/>
            <w:vAlign w:val="center"/>
          </w:tcPr>
          <w:p w14:paraId="4B3A2E53">
            <w:pPr>
              <w:adjustRightInd w:val="0"/>
              <w:snapToGrid w:val="0"/>
              <w:jc w:val="left"/>
              <w:rPr>
                <w:rFonts w:hint="eastAsia" w:eastAsia="仿宋"/>
                <w:szCs w:val="21"/>
                <w:lang w:eastAsia="zh-CN"/>
              </w:rPr>
            </w:pPr>
            <w:r>
              <w:rPr>
                <w:rFonts w:hint="eastAsia" w:eastAsia="仿宋"/>
                <w:szCs w:val="21"/>
                <w:lang w:eastAsia="zh-CN"/>
              </w:rPr>
              <w:t>新疆农业大学3.5吨镁燃气熔炉机械加工、装配及现场调试服务</w:t>
            </w:r>
          </w:p>
        </w:tc>
      </w:tr>
      <w:tr w14:paraId="1315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0E185FB4">
            <w:pPr>
              <w:adjustRightInd w:val="0"/>
              <w:snapToGrid w:val="0"/>
              <w:jc w:val="center"/>
              <w:rPr>
                <w:rFonts w:eastAsia="仿宋"/>
                <w:b/>
                <w:bCs/>
                <w:szCs w:val="21"/>
              </w:rPr>
            </w:pPr>
            <w:r>
              <w:rPr>
                <w:rFonts w:eastAsia="仿宋"/>
                <w:szCs w:val="21"/>
              </w:rPr>
              <w:t>2</w:t>
            </w:r>
          </w:p>
        </w:tc>
        <w:tc>
          <w:tcPr>
            <w:tcW w:w="1699" w:type="dxa"/>
            <w:vAlign w:val="center"/>
          </w:tcPr>
          <w:p w14:paraId="581C31D0">
            <w:pPr>
              <w:adjustRightInd w:val="0"/>
              <w:snapToGrid w:val="0"/>
              <w:jc w:val="center"/>
              <w:rPr>
                <w:rFonts w:eastAsia="仿宋"/>
                <w:b/>
                <w:bCs/>
                <w:szCs w:val="21"/>
              </w:rPr>
            </w:pPr>
            <w:r>
              <w:rPr>
                <w:rFonts w:eastAsia="仿宋"/>
                <w:szCs w:val="21"/>
              </w:rPr>
              <w:t>项目编号</w:t>
            </w:r>
          </w:p>
        </w:tc>
        <w:tc>
          <w:tcPr>
            <w:tcW w:w="7311" w:type="dxa"/>
            <w:vAlign w:val="center"/>
          </w:tcPr>
          <w:p w14:paraId="4CAFE5F5">
            <w:pPr>
              <w:adjustRightInd w:val="0"/>
              <w:snapToGrid w:val="0"/>
              <w:jc w:val="left"/>
              <w:rPr>
                <w:rFonts w:hint="eastAsia" w:eastAsia="仿宋"/>
                <w:b/>
                <w:bCs/>
                <w:szCs w:val="21"/>
                <w:lang w:eastAsia="zh-CN"/>
              </w:rPr>
            </w:pPr>
            <w:r>
              <w:rPr>
                <w:rFonts w:hint="eastAsia" w:ascii="仿宋" w:hAnsi="仿宋" w:eastAsia="仿宋" w:cs="仿宋"/>
                <w:szCs w:val="21"/>
                <w:lang w:eastAsia="zh-CN"/>
              </w:rPr>
              <w:t>2026ZHAJ-08</w:t>
            </w:r>
          </w:p>
        </w:tc>
      </w:tr>
      <w:tr w14:paraId="1FC5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45D9C035">
            <w:pPr>
              <w:adjustRightInd w:val="0"/>
              <w:snapToGrid w:val="0"/>
              <w:jc w:val="center"/>
              <w:rPr>
                <w:rFonts w:eastAsia="仿宋"/>
                <w:szCs w:val="21"/>
              </w:rPr>
            </w:pPr>
            <w:r>
              <w:rPr>
                <w:rFonts w:eastAsia="仿宋"/>
                <w:szCs w:val="21"/>
              </w:rPr>
              <w:t>3</w:t>
            </w:r>
          </w:p>
        </w:tc>
        <w:tc>
          <w:tcPr>
            <w:tcW w:w="1699" w:type="dxa"/>
            <w:vAlign w:val="center"/>
          </w:tcPr>
          <w:p w14:paraId="4DAF9489">
            <w:pPr>
              <w:overflowPunct w:val="0"/>
              <w:adjustRightInd w:val="0"/>
              <w:snapToGrid w:val="0"/>
              <w:ind w:right="136" w:rightChars="65"/>
              <w:jc w:val="center"/>
              <w:rPr>
                <w:rFonts w:eastAsia="仿宋"/>
                <w:szCs w:val="21"/>
              </w:rPr>
            </w:pPr>
            <w:r>
              <w:rPr>
                <w:rFonts w:eastAsia="仿宋"/>
                <w:szCs w:val="21"/>
              </w:rPr>
              <w:t>采购人名称/地址/联系人</w:t>
            </w:r>
          </w:p>
        </w:tc>
        <w:tc>
          <w:tcPr>
            <w:tcW w:w="7311" w:type="dxa"/>
            <w:vAlign w:val="center"/>
          </w:tcPr>
          <w:p w14:paraId="63E21918">
            <w:pPr>
              <w:overflowPunct w:val="0"/>
              <w:adjustRightInd w:val="0"/>
              <w:snapToGrid w:val="0"/>
              <w:ind w:right="136" w:rightChars="65"/>
              <w:rPr>
                <w:rFonts w:eastAsia="仿宋"/>
                <w:szCs w:val="21"/>
              </w:rPr>
            </w:pPr>
            <w:r>
              <w:rPr>
                <w:rFonts w:eastAsia="仿宋"/>
                <w:szCs w:val="21"/>
              </w:rPr>
              <w:t>名称：新疆农业大学</w:t>
            </w:r>
          </w:p>
          <w:p w14:paraId="73E998F0">
            <w:pPr>
              <w:overflowPunct w:val="0"/>
              <w:adjustRightInd w:val="0"/>
              <w:snapToGrid w:val="0"/>
              <w:ind w:right="136" w:rightChars="65"/>
              <w:rPr>
                <w:rFonts w:eastAsia="仿宋"/>
                <w:szCs w:val="21"/>
              </w:rPr>
            </w:pPr>
            <w:r>
              <w:rPr>
                <w:rFonts w:eastAsia="仿宋"/>
                <w:szCs w:val="21"/>
              </w:rPr>
              <w:t>地点：乌鲁木齐市沙依巴克区八一街道农大东路311号</w:t>
            </w:r>
          </w:p>
          <w:p w14:paraId="639D2C9E">
            <w:pPr>
              <w:overflowPunct w:val="0"/>
              <w:adjustRightInd w:val="0"/>
              <w:snapToGrid w:val="0"/>
              <w:ind w:right="136" w:rightChars="65"/>
              <w:rPr>
                <w:rFonts w:eastAsia="仿宋"/>
                <w:szCs w:val="21"/>
              </w:rPr>
            </w:pPr>
            <w:r>
              <w:rPr>
                <w:rFonts w:eastAsia="仿宋"/>
                <w:szCs w:val="21"/>
              </w:rPr>
              <w:t>联系人：岳勇老师    电话：13999902318</w:t>
            </w:r>
          </w:p>
        </w:tc>
      </w:tr>
      <w:tr w14:paraId="5DA6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77B0082C">
            <w:pPr>
              <w:adjustRightInd w:val="0"/>
              <w:snapToGrid w:val="0"/>
              <w:jc w:val="center"/>
              <w:rPr>
                <w:rFonts w:eastAsia="仿宋"/>
                <w:szCs w:val="21"/>
              </w:rPr>
            </w:pPr>
            <w:r>
              <w:rPr>
                <w:rFonts w:eastAsia="仿宋"/>
                <w:szCs w:val="21"/>
              </w:rPr>
              <w:t>4</w:t>
            </w:r>
          </w:p>
        </w:tc>
        <w:tc>
          <w:tcPr>
            <w:tcW w:w="1699" w:type="dxa"/>
            <w:vAlign w:val="center"/>
          </w:tcPr>
          <w:p w14:paraId="373684D5">
            <w:pPr>
              <w:overflowPunct w:val="0"/>
              <w:adjustRightInd w:val="0"/>
              <w:snapToGrid w:val="0"/>
              <w:ind w:right="136" w:rightChars="65"/>
              <w:jc w:val="center"/>
              <w:rPr>
                <w:rFonts w:eastAsia="仿宋"/>
                <w:szCs w:val="21"/>
              </w:rPr>
            </w:pPr>
            <w:r>
              <w:rPr>
                <w:rFonts w:eastAsia="仿宋"/>
                <w:szCs w:val="21"/>
              </w:rPr>
              <w:t>代理机构/地址/联系人</w:t>
            </w:r>
          </w:p>
        </w:tc>
        <w:tc>
          <w:tcPr>
            <w:tcW w:w="7311" w:type="dxa"/>
            <w:vAlign w:val="center"/>
          </w:tcPr>
          <w:p w14:paraId="4192BB2B">
            <w:pPr>
              <w:overflowPunct w:val="0"/>
              <w:adjustRightInd w:val="0"/>
              <w:snapToGrid w:val="0"/>
              <w:ind w:right="136" w:rightChars="65"/>
              <w:rPr>
                <w:rFonts w:eastAsia="仿宋"/>
                <w:szCs w:val="21"/>
              </w:rPr>
            </w:pPr>
            <w:r>
              <w:rPr>
                <w:rFonts w:eastAsia="仿宋"/>
                <w:szCs w:val="21"/>
              </w:rPr>
              <w:t>名称：中合安建工程管理有限公司</w:t>
            </w:r>
          </w:p>
          <w:p w14:paraId="352327A7">
            <w:pPr>
              <w:overflowPunct w:val="0"/>
              <w:adjustRightInd w:val="0"/>
              <w:snapToGrid w:val="0"/>
              <w:ind w:right="136" w:rightChars="65"/>
              <w:rPr>
                <w:rFonts w:eastAsia="仿宋"/>
                <w:szCs w:val="21"/>
              </w:rPr>
            </w:pPr>
            <w:r>
              <w:rPr>
                <w:rFonts w:eastAsia="仿宋"/>
                <w:szCs w:val="21"/>
              </w:rPr>
              <w:t>地址：新疆乌鲁木齐市高新区（新市区）新医路165号汇文大厦1栋6层A</w:t>
            </w:r>
          </w:p>
          <w:p w14:paraId="20B51301">
            <w:pPr>
              <w:overflowPunct w:val="0"/>
              <w:adjustRightInd w:val="0"/>
              <w:snapToGrid w:val="0"/>
              <w:ind w:right="136" w:rightChars="65"/>
              <w:rPr>
                <w:rFonts w:eastAsia="仿宋"/>
                <w:b/>
                <w:kern w:val="0"/>
                <w:szCs w:val="21"/>
              </w:rPr>
            </w:pPr>
            <w:r>
              <w:rPr>
                <w:rFonts w:eastAsia="仿宋"/>
                <w:szCs w:val="21"/>
              </w:rPr>
              <w:t>联系人：彭小倬、王荣荣   电话：13579881296</w:t>
            </w:r>
          </w:p>
        </w:tc>
      </w:tr>
      <w:tr w14:paraId="35B9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0F8ED02">
            <w:pPr>
              <w:adjustRightInd w:val="0"/>
              <w:snapToGrid w:val="0"/>
              <w:jc w:val="center"/>
              <w:rPr>
                <w:rFonts w:eastAsia="仿宋"/>
                <w:szCs w:val="21"/>
              </w:rPr>
            </w:pPr>
            <w:r>
              <w:rPr>
                <w:rFonts w:eastAsia="仿宋"/>
                <w:szCs w:val="21"/>
              </w:rPr>
              <w:t>5</w:t>
            </w:r>
          </w:p>
        </w:tc>
        <w:tc>
          <w:tcPr>
            <w:tcW w:w="1699" w:type="dxa"/>
            <w:vAlign w:val="center"/>
          </w:tcPr>
          <w:p w14:paraId="48A9596A">
            <w:pPr>
              <w:adjustRightInd w:val="0"/>
              <w:snapToGrid w:val="0"/>
              <w:jc w:val="center"/>
              <w:rPr>
                <w:rFonts w:eastAsia="仿宋"/>
                <w:szCs w:val="21"/>
              </w:rPr>
            </w:pPr>
            <w:r>
              <w:rPr>
                <w:rFonts w:eastAsia="仿宋"/>
                <w:szCs w:val="21"/>
              </w:rPr>
              <w:t>资金来源</w:t>
            </w:r>
          </w:p>
        </w:tc>
        <w:tc>
          <w:tcPr>
            <w:tcW w:w="7311" w:type="dxa"/>
            <w:vAlign w:val="center"/>
          </w:tcPr>
          <w:p w14:paraId="23D822BB">
            <w:pPr>
              <w:adjustRightInd w:val="0"/>
              <w:snapToGrid w:val="0"/>
              <w:jc w:val="left"/>
              <w:rPr>
                <w:rFonts w:eastAsia="仿宋"/>
                <w:szCs w:val="21"/>
              </w:rPr>
            </w:pPr>
            <w:r>
              <w:rPr>
                <w:rFonts w:eastAsia="仿宋"/>
                <w:szCs w:val="21"/>
              </w:rPr>
              <w:t>财政资金</w:t>
            </w:r>
          </w:p>
        </w:tc>
      </w:tr>
      <w:tr w14:paraId="394C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1D7FD764">
            <w:pPr>
              <w:adjustRightInd w:val="0"/>
              <w:snapToGrid w:val="0"/>
              <w:jc w:val="center"/>
              <w:rPr>
                <w:rFonts w:eastAsia="仿宋"/>
                <w:szCs w:val="21"/>
              </w:rPr>
            </w:pPr>
            <w:r>
              <w:rPr>
                <w:rFonts w:eastAsia="仿宋"/>
                <w:szCs w:val="21"/>
              </w:rPr>
              <w:t>6</w:t>
            </w:r>
          </w:p>
        </w:tc>
        <w:tc>
          <w:tcPr>
            <w:tcW w:w="1699" w:type="dxa"/>
            <w:vAlign w:val="center"/>
          </w:tcPr>
          <w:p w14:paraId="4C76C961">
            <w:pPr>
              <w:overflowPunct w:val="0"/>
              <w:adjustRightInd w:val="0"/>
              <w:snapToGrid w:val="0"/>
              <w:ind w:right="136" w:rightChars="65"/>
              <w:jc w:val="center"/>
              <w:rPr>
                <w:rFonts w:eastAsia="仿宋"/>
                <w:szCs w:val="21"/>
              </w:rPr>
            </w:pPr>
            <w:r>
              <w:rPr>
                <w:rFonts w:eastAsia="仿宋"/>
                <w:szCs w:val="21"/>
              </w:rPr>
              <w:t>采购预算及 最高限价</w:t>
            </w:r>
          </w:p>
        </w:tc>
        <w:tc>
          <w:tcPr>
            <w:tcW w:w="7311" w:type="dxa"/>
            <w:vAlign w:val="center"/>
          </w:tcPr>
          <w:p w14:paraId="041874F8">
            <w:pPr>
              <w:overflowPunct w:val="0"/>
              <w:adjustRightInd w:val="0"/>
              <w:snapToGrid w:val="0"/>
              <w:ind w:right="136" w:rightChars="65"/>
              <w:rPr>
                <w:rFonts w:eastAsia="仿宋"/>
                <w:szCs w:val="21"/>
              </w:rPr>
            </w:pPr>
            <w:r>
              <w:rPr>
                <w:rFonts w:eastAsia="仿宋"/>
                <w:szCs w:val="21"/>
              </w:rPr>
              <w:t>75.00万元</w:t>
            </w:r>
          </w:p>
        </w:tc>
      </w:tr>
      <w:tr w14:paraId="0AAF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34102DC6">
            <w:pPr>
              <w:adjustRightInd w:val="0"/>
              <w:snapToGrid w:val="0"/>
              <w:jc w:val="center"/>
              <w:rPr>
                <w:rFonts w:eastAsia="仿宋"/>
                <w:szCs w:val="21"/>
              </w:rPr>
            </w:pPr>
            <w:r>
              <w:rPr>
                <w:rFonts w:eastAsia="仿宋"/>
                <w:szCs w:val="21"/>
              </w:rPr>
              <w:t>7</w:t>
            </w:r>
          </w:p>
        </w:tc>
        <w:tc>
          <w:tcPr>
            <w:tcW w:w="1699" w:type="dxa"/>
            <w:vAlign w:val="center"/>
          </w:tcPr>
          <w:p w14:paraId="6BB8C6DD">
            <w:pPr>
              <w:overflowPunct w:val="0"/>
              <w:adjustRightInd w:val="0"/>
              <w:snapToGrid w:val="0"/>
              <w:ind w:right="136" w:rightChars="65"/>
              <w:jc w:val="center"/>
              <w:rPr>
                <w:rFonts w:eastAsia="仿宋"/>
                <w:szCs w:val="21"/>
              </w:rPr>
            </w:pPr>
            <w:r>
              <w:rPr>
                <w:rFonts w:eastAsia="仿宋"/>
                <w:szCs w:val="21"/>
              </w:rPr>
              <w:t>采购内容</w:t>
            </w:r>
          </w:p>
        </w:tc>
        <w:tc>
          <w:tcPr>
            <w:tcW w:w="7311" w:type="dxa"/>
            <w:vAlign w:val="center"/>
          </w:tcPr>
          <w:p w14:paraId="2AB2067F">
            <w:pPr>
              <w:overflowPunct w:val="0"/>
              <w:adjustRightInd w:val="0"/>
              <w:snapToGrid w:val="0"/>
              <w:ind w:right="-44" w:rightChars="-21"/>
              <w:jc w:val="left"/>
              <w:rPr>
                <w:rFonts w:eastAsia="仿宋"/>
                <w:szCs w:val="21"/>
              </w:rPr>
            </w:pPr>
            <w:r>
              <w:rPr>
                <w:rFonts w:eastAsia="仿宋"/>
                <w:szCs w:val="21"/>
              </w:rPr>
              <w:t>3.5吨镁燃气熔炉机械加工、装配及现场调试服务。（其余详见第五部分采购需求）</w:t>
            </w:r>
          </w:p>
        </w:tc>
      </w:tr>
      <w:tr w14:paraId="45FF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1B1D6CA3">
            <w:pPr>
              <w:adjustRightInd w:val="0"/>
              <w:snapToGrid w:val="0"/>
              <w:jc w:val="center"/>
              <w:rPr>
                <w:rFonts w:eastAsia="仿宋"/>
                <w:szCs w:val="21"/>
              </w:rPr>
            </w:pPr>
            <w:r>
              <w:rPr>
                <w:rFonts w:eastAsia="仿宋"/>
                <w:szCs w:val="21"/>
              </w:rPr>
              <w:t>8</w:t>
            </w:r>
          </w:p>
        </w:tc>
        <w:tc>
          <w:tcPr>
            <w:tcW w:w="1699" w:type="dxa"/>
            <w:vAlign w:val="center"/>
          </w:tcPr>
          <w:p w14:paraId="52DD7BB6">
            <w:pPr>
              <w:overflowPunct w:val="0"/>
              <w:adjustRightInd w:val="0"/>
              <w:snapToGrid w:val="0"/>
              <w:ind w:right="136" w:rightChars="65"/>
              <w:jc w:val="center"/>
              <w:rPr>
                <w:rFonts w:eastAsia="仿宋"/>
                <w:szCs w:val="21"/>
              </w:rPr>
            </w:pPr>
            <w:r>
              <w:rPr>
                <w:rFonts w:eastAsia="仿宋"/>
                <w:szCs w:val="21"/>
              </w:rPr>
              <w:t>采购方式</w:t>
            </w:r>
          </w:p>
        </w:tc>
        <w:tc>
          <w:tcPr>
            <w:tcW w:w="7311" w:type="dxa"/>
            <w:vAlign w:val="center"/>
          </w:tcPr>
          <w:p w14:paraId="15DFCE6F">
            <w:pPr>
              <w:overflowPunct w:val="0"/>
              <w:adjustRightInd w:val="0"/>
              <w:snapToGrid w:val="0"/>
              <w:ind w:right="136" w:rightChars="65"/>
              <w:rPr>
                <w:rFonts w:eastAsia="仿宋"/>
                <w:szCs w:val="21"/>
              </w:rPr>
            </w:pPr>
            <w:r>
              <w:rPr>
                <w:rFonts w:eastAsia="仿宋"/>
                <w:szCs w:val="21"/>
              </w:rPr>
              <w:t>竞争性磋商</w:t>
            </w:r>
          </w:p>
        </w:tc>
      </w:tr>
      <w:tr w14:paraId="5E47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C370700">
            <w:pPr>
              <w:adjustRightInd w:val="0"/>
              <w:snapToGrid w:val="0"/>
              <w:jc w:val="center"/>
              <w:rPr>
                <w:rFonts w:eastAsia="仿宋"/>
                <w:szCs w:val="21"/>
              </w:rPr>
            </w:pPr>
            <w:r>
              <w:rPr>
                <w:rFonts w:eastAsia="仿宋"/>
                <w:szCs w:val="21"/>
              </w:rPr>
              <w:t>9</w:t>
            </w:r>
          </w:p>
        </w:tc>
        <w:tc>
          <w:tcPr>
            <w:tcW w:w="1699" w:type="dxa"/>
            <w:vAlign w:val="center"/>
          </w:tcPr>
          <w:p w14:paraId="16147CF8">
            <w:pPr>
              <w:overflowPunct w:val="0"/>
              <w:adjustRightInd w:val="0"/>
              <w:snapToGrid w:val="0"/>
              <w:ind w:right="136" w:rightChars="65"/>
              <w:jc w:val="center"/>
              <w:rPr>
                <w:rFonts w:eastAsia="仿宋"/>
                <w:szCs w:val="21"/>
              </w:rPr>
            </w:pPr>
            <w:r>
              <w:rPr>
                <w:rFonts w:eastAsia="仿宋"/>
                <w:szCs w:val="21"/>
              </w:rPr>
              <w:t>公告媒体</w:t>
            </w:r>
          </w:p>
        </w:tc>
        <w:tc>
          <w:tcPr>
            <w:tcW w:w="7311" w:type="dxa"/>
            <w:vAlign w:val="center"/>
          </w:tcPr>
          <w:p w14:paraId="2B0AF436">
            <w:pPr>
              <w:overflowPunct w:val="0"/>
              <w:adjustRightInd w:val="0"/>
              <w:snapToGrid w:val="0"/>
              <w:ind w:right="136" w:rightChars="65"/>
              <w:jc w:val="left"/>
              <w:rPr>
                <w:rFonts w:eastAsia="仿宋"/>
                <w:szCs w:val="21"/>
              </w:rPr>
            </w:pPr>
            <w:r>
              <w:rPr>
                <w:rFonts w:eastAsia="仿宋"/>
                <w:szCs w:val="21"/>
              </w:rPr>
              <w:t>新疆政府采购网</w:t>
            </w:r>
          </w:p>
        </w:tc>
      </w:tr>
      <w:tr w14:paraId="19C3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78D376FA">
            <w:pPr>
              <w:adjustRightInd w:val="0"/>
              <w:snapToGrid w:val="0"/>
              <w:jc w:val="center"/>
              <w:rPr>
                <w:rFonts w:eastAsia="仿宋"/>
                <w:szCs w:val="21"/>
              </w:rPr>
            </w:pPr>
            <w:r>
              <w:rPr>
                <w:rFonts w:eastAsia="仿宋"/>
                <w:szCs w:val="21"/>
              </w:rPr>
              <w:t>10</w:t>
            </w:r>
          </w:p>
        </w:tc>
        <w:tc>
          <w:tcPr>
            <w:tcW w:w="1699" w:type="dxa"/>
            <w:vAlign w:val="center"/>
          </w:tcPr>
          <w:p w14:paraId="6388583E">
            <w:pPr>
              <w:adjustRightInd w:val="0"/>
              <w:snapToGrid w:val="0"/>
              <w:jc w:val="center"/>
              <w:rPr>
                <w:rFonts w:eastAsia="仿宋"/>
                <w:szCs w:val="21"/>
              </w:rPr>
            </w:pPr>
            <w:r>
              <w:rPr>
                <w:rFonts w:eastAsia="仿宋"/>
                <w:szCs w:val="21"/>
              </w:rPr>
              <w:t>供应商</w:t>
            </w:r>
          </w:p>
          <w:p w14:paraId="00AE3372">
            <w:pPr>
              <w:adjustRightInd w:val="0"/>
              <w:snapToGrid w:val="0"/>
              <w:jc w:val="center"/>
              <w:rPr>
                <w:rFonts w:eastAsia="仿宋"/>
                <w:szCs w:val="21"/>
              </w:rPr>
            </w:pPr>
            <w:r>
              <w:rPr>
                <w:rFonts w:eastAsia="仿宋"/>
                <w:szCs w:val="21"/>
                <w:lang w:eastAsia="en-US"/>
              </w:rPr>
              <w:t>资格条件</w:t>
            </w:r>
          </w:p>
        </w:tc>
        <w:tc>
          <w:tcPr>
            <w:tcW w:w="7311" w:type="dxa"/>
            <w:vAlign w:val="center"/>
          </w:tcPr>
          <w:p w14:paraId="35F845A0">
            <w:pPr>
              <w:overflowPunct w:val="0"/>
              <w:adjustRightInd w:val="0"/>
              <w:snapToGrid w:val="0"/>
              <w:ind w:right="136" w:rightChars="65" w:firstLine="420" w:firstLineChars="200"/>
              <w:rPr>
                <w:rFonts w:eastAsia="仿宋"/>
                <w:szCs w:val="21"/>
              </w:rPr>
            </w:pPr>
            <w:r>
              <w:rPr>
                <w:rFonts w:eastAsia="仿宋"/>
                <w:szCs w:val="21"/>
              </w:rPr>
              <w:t>1.满足《中华人民共和国政府采购法》第二十二条规定；</w:t>
            </w:r>
          </w:p>
          <w:p w14:paraId="1093E139">
            <w:pPr>
              <w:overflowPunct w:val="0"/>
              <w:adjustRightInd w:val="0"/>
              <w:snapToGrid w:val="0"/>
              <w:ind w:right="136" w:rightChars="65" w:firstLine="420" w:firstLineChars="200"/>
              <w:rPr>
                <w:rFonts w:eastAsia="仿宋"/>
                <w:szCs w:val="21"/>
              </w:rPr>
            </w:pPr>
            <w:r>
              <w:rPr>
                <w:rFonts w:eastAsia="仿宋"/>
                <w:szCs w:val="21"/>
              </w:rPr>
              <w:t>2.落实政府采购政策需满足的资格要求：本项目为专门面向中小企业采购的项目；</w:t>
            </w:r>
          </w:p>
          <w:p w14:paraId="1433FB56">
            <w:pPr>
              <w:overflowPunct w:val="0"/>
              <w:adjustRightInd w:val="0"/>
              <w:snapToGrid w:val="0"/>
              <w:ind w:right="136" w:rightChars="65" w:firstLine="420" w:firstLineChars="200"/>
              <w:rPr>
                <w:rFonts w:eastAsia="仿宋"/>
                <w:szCs w:val="21"/>
              </w:rPr>
            </w:pPr>
            <w:r>
              <w:rPr>
                <w:rFonts w:eastAsia="仿宋"/>
                <w:szCs w:val="21"/>
              </w:rPr>
              <w:t>3.本项目的特定资格要求：</w:t>
            </w:r>
          </w:p>
          <w:p w14:paraId="293DCB7D">
            <w:pPr>
              <w:overflowPunct w:val="0"/>
              <w:adjustRightInd w:val="0"/>
              <w:snapToGrid w:val="0"/>
              <w:ind w:right="136" w:rightChars="65" w:firstLine="420" w:firstLineChars="200"/>
              <w:rPr>
                <w:rFonts w:eastAsia="仿宋"/>
                <w:szCs w:val="21"/>
              </w:rPr>
            </w:pPr>
            <w:r>
              <w:rPr>
                <w:rFonts w:eastAsia="仿宋"/>
                <w:szCs w:val="21"/>
              </w:rPr>
              <w:t>（1）供应商须在“信用中国”（www.creditchina.gov.cn）和中国政府采购网（www.ccgp.gov.cn）网站上未被列入失信被执行人、重大税收违法案件当事人名单以及政府采购严重违法失信行为记录名单（查询时间为自公告发布之日后）</w:t>
            </w:r>
          </w:p>
          <w:p w14:paraId="42B44B8F">
            <w:pPr>
              <w:overflowPunct w:val="0"/>
              <w:adjustRightInd w:val="0"/>
              <w:snapToGrid w:val="0"/>
              <w:ind w:right="136" w:rightChars="65" w:firstLine="420" w:firstLineChars="200"/>
              <w:rPr>
                <w:rFonts w:eastAsia="仿宋"/>
                <w:szCs w:val="21"/>
              </w:rPr>
            </w:pPr>
            <w:r>
              <w:rPr>
                <w:rFonts w:eastAsia="仿宋"/>
                <w:szCs w:val="21"/>
              </w:rPr>
              <w:t>（2）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33BF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7B75F7CE">
            <w:pPr>
              <w:adjustRightInd w:val="0"/>
              <w:snapToGrid w:val="0"/>
              <w:jc w:val="center"/>
              <w:rPr>
                <w:rFonts w:eastAsia="仿宋"/>
                <w:szCs w:val="21"/>
              </w:rPr>
            </w:pPr>
            <w:r>
              <w:rPr>
                <w:rFonts w:eastAsia="仿宋"/>
                <w:szCs w:val="21"/>
              </w:rPr>
              <w:t>11</w:t>
            </w:r>
          </w:p>
        </w:tc>
        <w:tc>
          <w:tcPr>
            <w:tcW w:w="1699" w:type="dxa"/>
            <w:vAlign w:val="center"/>
          </w:tcPr>
          <w:p w14:paraId="77B08953">
            <w:pPr>
              <w:adjustRightInd w:val="0"/>
              <w:snapToGrid w:val="0"/>
              <w:jc w:val="center"/>
              <w:rPr>
                <w:rFonts w:eastAsia="仿宋"/>
                <w:szCs w:val="21"/>
              </w:rPr>
            </w:pPr>
            <w:r>
              <w:rPr>
                <w:rFonts w:eastAsia="仿宋"/>
                <w:b/>
                <w:bCs/>
                <w:szCs w:val="21"/>
              </w:rPr>
              <w:t>资格审查内容</w:t>
            </w:r>
          </w:p>
        </w:tc>
        <w:tc>
          <w:tcPr>
            <w:tcW w:w="7311" w:type="dxa"/>
            <w:vAlign w:val="center"/>
          </w:tcPr>
          <w:p w14:paraId="4A914025">
            <w:pPr>
              <w:overflowPunct w:val="0"/>
              <w:adjustRightInd w:val="0"/>
              <w:snapToGrid w:val="0"/>
              <w:ind w:right="136" w:rightChars="65"/>
              <w:rPr>
                <w:rFonts w:eastAsia="仿宋"/>
                <w:b/>
                <w:bCs/>
                <w:szCs w:val="21"/>
              </w:rPr>
            </w:pPr>
            <w:r>
              <w:rPr>
                <w:rFonts w:eastAsia="仿宋"/>
                <w:b/>
                <w:bCs/>
                <w:szCs w:val="21"/>
              </w:rPr>
              <w:t>供应商必须按照采购文件要求提交资格证明材料。</w:t>
            </w:r>
          </w:p>
          <w:p w14:paraId="4156A32F">
            <w:pPr>
              <w:overflowPunct w:val="0"/>
              <w:adjustRightInd w:val="0"/>
              <w:snapToGrid w:val="0"/>
              <w:ind w:right="136" w:rightChars="65"/>
              <w:rPr>
                <w:rFonts w:eastAsia="仿宋"/>
                <w:b/>
                <w:bCs/>
                <w:szCs w:val="21"/>
              </w:rPr>
            </w:pPr>
            <w:r>
              <w:rPr>
                <w:rFonts w:eastAsia="仿宋"/>
                <w:b/>
                <w:bCs/>
                <w:szCs w:val="21"/>
              </w:rPr>
              <w:t>由于供应商自身原因导致提交的电子文件无法识别的后果自负。</w:t>
            </w:r>
          </w:p>
        </w:tc>
      </w:tr>
      <w:tr w14:paraId="3BB6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43E6E577">
            <w:pPr>
              <w:adjustRightInd w:val="0"/>
              <w:snapToGrid w:val="0"/>
              <w:jc w:val="center"/>
              <w:rPr>
                <w:rFonts w:eastAsia="仿宋"/>
                <w:szCs w:val="21"/>
              </w:rPr>
            </w:pPr>
            <w:r>
              <w:rPr>
                <w:rFonts w:eastAsia="仿宋"/>
                <w:szCs w:val="21"/>
              </w:rPr>
              <w:t>12</w:t>
            </w:r>
          </w:p>
        </w:tc>
        <w:tc>
          <w:tcPr>
            <w:tcW w:w="1699" w:type="dxa"/>
            <w:vAlign w:val="center"/>
          </w:tcPr>
          <w:p w14:paraId="0BFDF055">
            <w:pPr>
              <w:adjustRightInd w:val="0"/>
              <w:snapToGrid w:val="0"/>
              <w:jc w:val="center"/>
              <w:rPr>
                <w:rFonts w:eastAsia="仿宋"/>
                <w:snapToGrid w:val="0"/>
                <w:szCs w:val="21"/>
              </w:rPr>
            </w:pPr>
            <w:r>
              <w:rPr>
                <w:rFonts w:eastAsia="仿宋"/>
                <w:snapToGrid w:val="0"/>
                <w:szCs w:val="21"/>
                <w:lang w:eastAsia="en-US"/>
              </w:rPr>
              <w:t>联合体</w:t>
            </w:r>
          </w:p>
        </w:tc>
        <w:tc>
          <w:tcPr>
            <w:tcW w:w="7311" w:type="dxa"/>
            <w:vAlign w:val="center"/>
          </w:tcPr>
          <w:p w14:paraId="27F9A826">
            <w:pPr>
              <w:adjustRightInd w:val="0"/>
              <w:snapToGrid w:val="0"/>
              <w:rPr>
                <w:rFonts w:eastAsia="仿宋"/>
                <w:snapToGrid w:val="0"/>
                <w:szCs w:val="21"/>
              </w:rPr>
            </w:pPr>
            <w:r>
              <w:rPr>
                <w:rFonts w:ascii="Segoe UI Symbol" w:hAnsi="Segoe UI Symbol" w:eastAsia="仿宋" w:cs="Segoe UI Symbol"/>
                <w:snapToGrid w:val="0"/>
                <w:szCs w:val="21"/>
              </w:rPr>
              <w:t>☑</w:t>
            </w:r>
            <w:r>
              <w:rPr>
                <w:rFonts w:eastAsia="仿宋"/>
                <w:snapToGrid w:val="0"/>
                <w:szCs w:val="21"/>
              </w:rPr>
              <w:t xml:space="preserve">不接受   </w:t>
            </w:r>
            <w:r>
              <w:rPr>
                <w:rFonts w:eastAsia="仿宋"/>
                <w:snapToGrid w:val="0"/>
                <w:szCs w:val="21"/>
                <w:lang w:eastAsia="en-US"/>
              </w:rPr>
              <w:sym w:font="Wingdings 2" w:char="00A3"/>
            </w:r>
            <w:r>
              <w:rPr>
                <w:rFonts w:eastAsia="仿宋"/>
                <w:snapToGrid w:val="0"/>
                <w:szCs w:val="21"/>
              </w:rPr>
              <w:t>接受</w:t>
            </w:r>
          </w:p>
          <w:p w14:paraId="2FB48748">
            <w:pPr>
              <w:adjustRightInd w:val="0"/>
              <w:snapToGrid w:val="0"/>
              <w:rPr>
                <w:rFonts w:eastAsia="仿宋"/>
                <w:snapToGrid w:val="0"/>
                <w:szCs w:val="21"/>
              </w:rPr>
            </w:pPr>
            <w:r>
              <w:rPr>
                <w:rFonts w:eastAsia="仿宋"/>
                <w:snapToGrid w:val="0"/>
                <w:szCs w:val="21"/>
              </w:rPr>
              <w:t>不允许成交企供应商将合同主体、非主体和关键非关键性内容委托企业完成</w:t>
            </w:r>
          </w:p>
        </w:tc>
      </w:tr>
      <w:tr w14:paraId="3932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9560A77">
            <w:pPr>
              <w:adjustRightInd w:val="0"/>
              <w:snapToGrid w:val="0"/>
              <w:jc w:val="center"/>
              <w:rPr>
                <w:rFonts w:eastAsia="仿宋"/>
                <w:szCs w:val="21"/>
              </w:rPr>
            </w:pPr>
            <w:r>
              <w:rPr>
                <w:rFonts w:eastAsia="仿宋"/>
                <w:szCs w:val="21"/>
              </w:rPr>
              <w:t>13</w:t>
            </w:r>
          </w:p>
        </w:tc>
        <w:tc>
          <w:tcPr>
            <w:tcW w:w="1699" w:type="dxa"/>
            <w:vAlign w:val="center"/>
          </w:tcPr>
          <w:p w14:paraId="24DC545E">
            <w:pPr>
              <w:adjustRightInd w:val="0"/>
              <w:snapToGrid w:val="0"/>
              <w:jc w:val="center"/>
              <w:rPr>
                <w:rFonts w:eastAsia="仿宋"/>
                <w:b/>
                <w:bCs/>
                <w:snapToGrid w:val="0"/>
                <w:szCs w:val="21"/>
                <w:lang w:eastAsia="en-US"/>
              </w:rPr>
            </w:pPr>
            <w:r>
              <w:rPr>
                <w:rFonts w:eastAsia="仿宋"/>
                <w:szCs w:val="21"/>
              </w:rPr>
              <w:t>磋商有效期</w:t>
            </w:r>
          </w:p>
        </w:tc>
        <w:tc>
          <w:tcPr>
            <w:tcW w:w="7311" w:type="dxa"/>
            <w:vAlign w:val="center"/>
          </w:tcPr>
          <w:p w14:paraId="339D6B86">
            <w:pPr>
              <w:adjustRightInd w:val="0"/>
              <w:snapToGrid w:val="0"/>
              <w:jc w:val="left"/>
              <w:rPr>
                <w:rFonts w:eastAsia="仿宋"/>
                <w:snapToGrid w:val="0"/>
                <w:szCs w:val="21"/>
              </w:rPr>
            </w:pPr>
            <w:r>
              <w:rPr>
                <w:rFonts w:eastAsia="仿宋"/>
                <w:szCs w:val="21"/>
              </w:rPr>
              <w:t>90日历日（从递交响应文件截止时间起计算）。</w:t>
            </w:r>
          </w:p>
        </w:tc>
      </w:tr>
      <w:tr w14:paraId="6520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8C4A9DF">
            <w:pPr>
              <w:adjustRightInd w:val="0"/>
              <w:snapToGrid w:val="0"/>
              <w:jc w:val="center"/>
              <w:rPr>
                <w:rFonts w:eastAsia="仿宋"/>
                <w:szCs w:val="21"/>
              </w:rPr>
            </w:pPr>
            <w:r>
              <w:rPr>
                <w:rFonts w:eastAsia="仿宋"/>
                <w:szCs w:val="21"/>
              </w:rPr>
              <w:t>14</w:t>
            </w:r>
          </w:p>
        </w:tc>
        <w:tc>
          <w:tcPr>
            <w:tcW w:w="1699" w:type="dxa"/>
            <w:vAlign w:val="center"/>
          </w:tcPr>
          <w:p w14:paraId="5BB5C0A1">
            <w:pPr>
              <w:adjustRightInd w:val="0"/>
              <w:snapToGrid w:val="0"/>
              <w:jc w:val="center"/>
              <w:rPr>
                <w:rFonts w:eastAsia="仿宋"/>
                <w:szCs w:val="21"/>
              </w:rPr>
            </w:pPr>
            <w:r>
              <w:rPr>
                <w:rFonts w:eastAsia="仿宋"/>
                <w:szCs w:val="21"/>
              </w:rPr>
              <w:t>合同履约期限</w:t>
            </w:r>
          </w:p>
        </w:tc>
        <w:tc>
          <w:tcPr>
            <w:tcW w:w="7311" w:type="dxa"/>
            <w:vAlign w:val="center"/>
          </w:tcPr>
          <w:p w14:paraId="66ABBA8D">
            <w:pPr>
              <w:adjustRightInd w:val="0"/>
              <w:snapToGrid w:val="0"/>
              <w:rPr>
                <w:rFonts w:eastAsia="仿宋"/>
                <w:szCs w:val="21"/>
              </w:rPr>
            </w:pPr>
            <w:r>
              <w:rPr>
                <w:rFonts w:eastAsia="仿宋"/>
                <w:szCs w:val="21"/>
              </w:rPr>
              <w:t>中标方应在合同签订后，甲方材料到场7个</w:t>
            </w:r>
            <w:r>
              <w:rPr>
                <w:rFonts w:hint="eastAsia" w:eastAsia="仿宋"/>
                <w:szCs w:val="21"/>
              </w:rPr>
              <w:t>日历日</w:t>
            </w:r>
            <w:r>
              <w:rPr>
                <w:rFonts w:eastAsia="仿宋"/>
                <w:szCs w:val="21"/>
              </w:rPr>
              <w:t>内完成机械零部件的加工工作；在零部件及其他成套设备到场的7个</w:t>
            </w:r>
            <w:r>
              <w:rPr>
                <w:rFonts w:hint="eastAsia" w:eastAsia="仿宋"/>
                <w:szCs w:val="21"/>
              </w:rPr>
              <w:t>日历日</w:t>
            </w:r>
            <w:r>
              <w:rPr>
                <w:rFonts w:eastAsia="仿宋"/>
                <w:szCs w:val="21"/>
              </w:rPr>
              <w:t>内完成装配工作；现场调试服务期限到2026年12月31日结束或自治区验收通过之日，以两者最晚时间为准。</w:t>
            </w:r>
          </w:p>
        </w:tc>
      </w:tr>
      <w:tr w14:paraId="5977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2EB91A80">
            <w:pPr>
              <w:adjustRightInd w:val="0"/>
              <w:snapToGrid w:val="0"/>
              <w:jc w:val="center"/>
              <w:rPr>
                <w:rFonts w:eastAsia="仿宋"/>
                <w:szCs w:val="21"/>
              </w:rPr>
            </w:pPr>
            <w:r>
              <w:rPr>
                <w:rFonts w:eastAsia="仿宋"/>
                <w:szCs w:val="21"/>
              </w:rPr>
              <w:t>15</w:t>
            </w:r>
          </w:p>
        </w:tc>
        <w:tc>
          <w:tcPr>
            <w:tcW w:w="1699" w:type="dxa"/>
            <w:vAlign w:val="center"/>
          </w:tcPr>
          <w:p w14:paraId="0E3A6FDA">
            <w:pPr>
              <w:adjustRightInd w:val="0"/>
              <w:snapToGrid w:val="0"/>
              <w:jc w:val="center"/>
              <w:rPr>
                <w:rFonts w:eastAsia="仿宋"/>
                <w:szCs w:val="21"/>
              </w:rPr>
            </w:pPr>
            <w:r>
              <w:rPr>
                <w:rFonts w:eastAsia="仿宋"/>
                <w:bCs/>
                <w:szCs w:val="21"/>
              </w:rPr>
              <w:t>验收</w:t>
            </w:r>
          </w:p>
        </w:tc>
        <w:tc>
          <w:tcPr>
            <w:tcW w:w="7311" w:type="dxa"/>
            <w:vAlign w:val="center"/>
          </w:tcPr>
          <w:p w14:paraId="72E1BF61">
            <w:pPr>
              <w:pStyle w:val="18"/>
              <w:adjustRightInd w:val="0"/>
              <w:spacing w:line="240" w:lineRule="auto"/>
              <w:rPr>
                <w:rFonts w:eastAsia="仿宋"/>
                <w:sz w:val="21"/>
                <w:szCs w:val="21"/>
              </w:rPr>
            </w:pPr>
            <w:r>
              <w:rPr>
                <w:rFonts w:eastAsia="仿宋"/>
                <w:kern w:val="0"/>
                <w:sz w:val="21"/>
                <w:szCs w:val="21"/>
              </w:rPr>
              <w:t>/</w:t>
            </w:r>
          </w:p>
        </w:tc>
      </w:tr>
      <w:tr w14:paraId="250B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8DEBAFC">
            <w:pPr>
              <w:adjustRightInd w:val="0"/>
              <w:snapToGrid w:val="0"/>
              <w:jc w:val="center"/>
              <w:rPr>
                <w:rFonts w:eastAsia="仿宋"/>
                <w:szCs w:val="21"/>
              </w:rPr>
            </w:pPr>
            <w:r>
              <w:rPr>
                <w:rFonts w:eastAsia="仿宋"/>
                <w:szCs w:val="21"/>
              </w:rPr>
              <w:t>16</w:t>
            </w:r>
          </w:p>
        </w:tc>
        <w:tc>
          <w:tcPr>
            <w:tcW w:w="1699" w:type="dxa"/>
            <w:vAlign w:val="center"/>
          </w:tcPr>
          <w:p w14:paraId="43B848F0">
            <w:pPr>
              <w:adjustRightInd w:val="0"/>
              <w:snapToGrid w:val="0"/>
              <w:jc w:val="center"/>
              <w:rPr>
                <w:rFonts w:eastAsia="仿宋"/>
                <w:szCs w:val="21"/>
              </w:rPr>
            </w:pPr>
            <w:r>
              <w:rPr>
                <w:rFonts w:eastAsia="仿宋"/>
                <w:szCs w:val="21"/>
              </w:rPr>
              <w:t>付款方式</w:t>
            </w:r>
          </w:p>
        </w:tc>
        <w:tc>
          <w:tcPr>
            <w:tcW w:w="7311" w:type="dxa"/>
            <w:vAlign w:val="center"/>
          </w:tcPr>
          <w:p w14:paraId="0FD2EE8A">
            <w:pPr>
              <w:adjustRightInd w:val="0"/>
              <w:snapToGrid w:val="0"/>
              <w:jc w:val="left"/>
              <w:rPr>
                <w:rFonts w:eastAsia="仿宋"/>
                <w:szCs w:val="21"/>
              </w:rPr>
            </w:pPr>
            <w:r>
              <w:rPr>
                <w:rFonts w:eastAsia="仿宋"/>
                <w:szCs w:val="21"/>
              </w:rPr>
              <w:t>1、付款币种：人民币支付。</w:t>
            </w:r>
          </w:p>
          <w:p w14:paraId="2A15E552">
            <w:pPr>
              <w:adjustRightInd w:val="0"/>
              <w:snapToGrid w:val="0"/>
              <w:jc w:val="left"/>
              <w:rPr>
                <w:rFonts w:eastAsia="仿宋"/>
                <w:szCs w:val="21"/>
              </w:rPr>
            </w:pPr>
            <w:r>
              <w:rPr>
                <w:rFonts w:eastAsia="仿宋"/>
                <w:szCs w:val="21"/>
              </w:rPr>
              <w:t>2、付款方式：</w:t>
            </w:r>
            <w:r>
              <w:rPr>
                <w:rFonts w:hint="eastAsia" w:eastAsia="仿宋"/>
                <w:szCs w:val="21"/>
              </w:rPr>
              <w:t>甲方分阶段支付费用，机械加工阶段完成并通过验收之日起5个工作日内支付合同价的30%，装配阶段完成并通过甲方验收之日起5个工作日内支付合同价30%，项目现场服务到2026年10月31日通过甲方验收之日起5个工作日内支付合同价35%，项目通过验收之日起5个工作日内结清余额。</w:t>
            </w:r>
          </w:p>
        </w:tc>
      </w:tr>
      <w:tr w14:paraId="7D78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3EE2B45A">
            <w:pPr>
              <w:adjustRightInd w:val="0"/>
              <w:snapToGrid w:val="0"/>
              <w:jc w:val="center"/>
              <w:rPr>
                <w:rFonts w:eastAsia="仿宋"/>
                <w:szCs w:val="21"/>
              </w:rPr>
            </w:pPr>
            <w:r>
              <w:rPr>
                <w:rFonts w:eastAsia="仿宋"/>
                <w:szCs w:val="21"/>
              </w:rPr>
              <w:t>17</w:t>
            </w:r>
          </w:p>
        </w:tc>
        <w:tc>
          <w:tcPr>
            <w:tcW w:w="1699" w:type="dxa"/>
            <w:vAlign w:val="center"/>
          </w:tcPr>
          <w:p w14:paraId="1A2DA6C2">
            <w:pPr>
              <w:adjustRightInd w:val="0"/>
              <w:snapToGrid w:val="0"/>
              <w:jc w:val="center"/>
              <w:rPr>
                <w:rFonts w:eastAsia="仿宋"/>
                <w:snapToGrid w:val="0"/>
                <w:szCs w:val="21"/>
              </w:rPr>
            </w:pPr>
            <w:r>
              <w:rPr>
                <w:rFonts w:eastAsia="仿宋"/>
                <w:snapToGrid w:val="0"/>
                <w:szCs w:val="21"/>
                <w:lang w:eastAsia="en-US"/>
              </w:rPr>
              <w:t>信用查询</w:t>
            </w:r>
            <w:r>
              <w:rPr>
                <w:rFonts w:eastAsia="仿宋"/>
                <w:snapToGrid w:val="0"/>
                <w:szCs w:val="21"/>
              </w:rPr>
              <w:t>方法</w:t>
            </w:r>
          </w:p>
        </w:tc>
        <w:tc>
          <w:tcPr>
            <w:tcW w:w="7311" w:type="dxa"/>
            <w:vAlign w:val="center"/>
          </w:tcPr>
          <w:p w14:paraId="64630D95">
            <w:pPr>
              <w:tabs>
                <w:tab w:val="left" w:pos="3303"/>
              </w:tabs>
              <w:adjustRightInd w:val="0"/>
              <w:snapToGrid w:val="0"/>
              <w:ind w:firstLine="422" w:firstLineChars="200"/>
              <w:rPr>
                <w:rFonts w:eastAsia="仿宋"/>
                <w:snapToGrid w:val="0"/>
                <w:szCs w:val="21"/>
              </w:rPr>
            </w:pPr>
            <w:r>
              <w:rPr>
                <w:rFonts w:eastAsia="仿宋"/>
                <w:b/>
                <w:bCs/>
                <w:snapToGrid w:val="0"/>
                <w:szCs w:val="21"/>
              </w:rPr>
              <w:sym w:font="Wingdings 2" w:char="00A3"/>
            </w:r>
            <w:r>
              <w:rPr>
                <w:rFonts w:eastAsia="仿宋"/>
                <w:b/>
                <w:bCs/>
                <w:snapToGrid w:val="0"/>
                <w:szCs w:val="21"/>
              </w:rPr>
              <w:t>供应商自行查询上述记录，如实提供无不良信用记录并加盖供应商公章。本项目信用记录查询截止时点为</w:t>
            </w:r>
            <w:r>
              <w:rPr>
                <w:rFonts w:eastAsia="仿宋"/>
                <w:b/>
                <w:bCs/>
                <w:snapToGrid w:val="0"/>
                <w:szCs w:val="21"/>
                <w:u w:val="single"/>
              </w:rPr>
              <w:t>响应文件开启时间。</w:t>
            </w:r>
          </w:p>
          <w:p w14:paraId="470CF44E">
            <w:pPr>
              <w:adjustRightInd w:val="0"/>
              <w:snapToGrid w:val="0"/>
              <w:ind w:firstLine="420" w:firstLineChars="200"/>
              <w:rPr>
                <w:rFonts w:eastAsia="仿宋"/>
                <w:snapToGrid w:val="0"/>
                <w:szCs w:val="21"/>
              </w:rPr>
            </w:pPr>
            <w:r>
              <w:rPr>
                <w:rFonts w:eastAsia="仿宋"/>
                <w:snapToGrid w:val="0"/>
                <w:szCs w:val="21"/>
              </w:rPr>
              <w:sym w:font="Wingdings 2" w:char="0052"/>
            </w:r>
            <w:r>
              <w:rPr>
                <w:rFonts w:eastAsia="仿宋"/>
                <w:snapToGrid w:val="0"/>
                <w:szCs w:val="21"/>
              </w:rPr>
              <w:t>由采购人代表或者采购代理机构在通过“政采云”平台→信用情况→“信用中国”网站(www.creditchina.gov.cn)、中国政府采购网(www.ccgp.gov.cn)链接入口进行精确查询。在查询网站中直接打印查询记录，截图另存为电子文档作为评审资料保存。</w:t>
            </w:r>
          </w:p>
          <w:p w14:paraId="570532BF">
            <w:pPr>
              <w:adjustRightInd w:val="0"/>
              <w:snapToGrid w:val="0"/>
              <w:ind w:firstLine="420" w:firstLineChars="200"/>
              <w:rPr>
                <w:rFonts w:eastAsia="仿宋"/>
                <w:snapToGrid w:val="0"/>
                <w:szCs w:val="21"/>
              </w:rPr>
            </w:pPr>
            <w:r>
              <w:rPr>
                <w:rFonts w:eastAsia="仿宋"/>
                <w:snapToGrid w:val="0"/>
                <w:szCs w:val="21"/>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21A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1757428A">
            <w:pPr>
              <w:adjustRightInd w:val="0"/>
              <w:snapToGrid w:val="0"/>
              <w:jc w:val="center"/>
              <w:rPr>
                <w:rFonts w:eastAsia="仿宋"/>
                <w:szCs w:val="21"/>
              </w:rPr>
            </w:pPr>
            <w:r>
              <w:rPr>
                <w:rFonts w:eastAsia="仿宋"/>
                <w:szCs w:val="21"/>
              </w:rPr>
              <w:t>18</w:t>
            </w:r>
          </w:p>
        </w:tc>
        <w:tc>
          <w:tcPr>
            <w:tcW w:w="1699" w:type="dxa"/>
            <w:vAlign w:val="center"/>
          </w:tcPr>
          <w:p w14:paraId="09A06700">
            <w:pPr>
              <w:adjustRightInd w:val="0"/>
              <w:snapToGrid w:val="0"/>
              <w:jc w:val="center"/>
              <w:rPr>
                <w:rFonts w:eastAsia="仿宋"/>
                <w:snapToGrid w:val="0"/>
                <w:szCs w:val="21"/>
              </w:rPr>
            </w:pPr>
            <w:r>
              <w:rPr>
                <w:rFonts w:eastAsia="仿宋"/>
                <w:snapToGrid w:val="0"/>
                <w:szCs w:val="21"/>
              </w:rPr>
              <w:t>响应文件编制须知</w:t>
            </w:r>
          </w:p>
        </w:tc>
        <w:tc>
          <w:tcPr>
            <w:tcW w:w="7311" w:type="dxa"/>
            <w:vAlign w:val="center"/>
          </w:tcPr>
          <w:p w14:paraId="699C2DAF">
            <w:pPr>
              <w:adjustRightInd w:val="0"/>
              <w:snapToGrid w:val="0"/>
              <w:ind w:firstLine="420" w:firstLineChars="200"/>
              <w:rPr>
                <w:rFonts w:eastAsia="仿宋"/>
                <w:snapToGrid w:val="0"/>
                <w:szCs w:val="21"/>
              </w:rPr>
            </w:pPr>
            <w:r>
              <w:rPr>
                <w:rFonts w:eastAsia="仿宋"/>
                <w:snapToGrid w:val="0"/>
                <w:szCs w:val="21"/>
              </w:rPr>
              <w:t>1.在磋商文件领取截止时间前，使用办理的CA数字证书，通过政采云平台（https://www.zcygov.cn/）窗口下载所投项目的磋商文件。</w:t>
            </w:r>
          </w:p>
          <w:p w14:paraId="279185BE">
            <w:pPr>
              <w:adjustRightInd w:val="0"/>
              <w:snapToGrid w:val="0"/>
              <w:ind w:firstLine="420" w:firstLineChars="200"/>
              <w:jc w:val="left"/>
              <w:rPr>
                <w:rFonts w:eastAsia="仿宋"/>
                <w:snapToGrid w:val="0"/>
                <w:szCs w:val="21"/>
              </w:rPr>
            </w:pPr>
            <w:r>
              <w:rPr>
                <w:rFonts w:eastAsia="仿宋"/>
                <w:snapToGrid w:val="0"/>
                <w:szCs w:val="21"/>
              </w:rPr>
              <w:t>2.供应商需在新疆政府采购网</w:t>
            </w:r>
            <w:r>
              <w:rPr>
                <w:rFonts w:eastAsia="仿宋"/>
                <w:snapToGrid w:val="0"/>
                <w:w w:val="80"/>
                <w:szCs w:val="21"/>
              </w:rPr>
              <w:t>（</w:t>
            </w:r>
            <w:r>
              <w:rPr>
                <w:rFonts w:eastAsia="仿宋"/>
                <w:snapToGrid w:val="0"/>
                <w:szCs w:val="21"/>
              </w:rPr>
              <w:t>http://www.ccgp-xinjiang.gov.cn/）下载专区自行下载政采云电子投标客户端。在电子投标客户端内制作对应的响应文件。响应文件制作完成后在响应截止时间前上传至政采云平台对应项目即可。</w:t>
            </w:r>
          </w:p>
          <w:p w14:paraId="14C48478">
            <w:pPr>
              <w:adjustRightInd w:val="0"/>
              <w:snapToGrid w:val="0"/>
              <w:ind w:firstLine="420" w:firstLineChars="200"/>
              <w:rPr>
                <w:rFonts w:eastAsia="仿宋"/>
                <w:szCs w:val="21"/>
              </w:rPr>
            </w:pPr>
            <w:r>
              <w:rPr>
                <w:rFonts w:eastAsia="仿宋"/>
                <w:snapToGrid w:val="0"/>
                <w:szCs w:val="21"/>
              </w:rPr>
              <w:t>3.磋商文件规定：不接受响应文件中出现的可选择或可调整的投标方案和报价，任何有选择的或可调整的投标方案和报价将被视为不响应磋商文件，将被拒绝。</w:t>
            </w:r>
          </w:p>
        </w:tc>
      </w:tr>
      <w:tr w14:paraId="7D94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6D70E34">
            <w:pPr>
              <w:adjustRightInd w:val="0"/>
              <w:snapToGrid w:val="0"/>
              <w:jc w:val="center"/>
              <w:rPr>
                <w:rFonts w:eastAsia="仿宋"/>
                <w:bCs/>
                <w:szCs w:val="21"/>
              </w:rPr>
            </w:pPr>
            <w:r>
              <w:rPr>
                <w:rFonts w:eastAsia="仿宋"/>
                <w:bCs/>
                <w:szCs w:val="21"/>
              </w:rPr>
              <w:t>19</w:t>
            </w:r>
          </w:p>
        </w:tc>
        <w:tc>
          <w:tcPr>
            <w:tcW w:w="1699" w:type="dxa"/>
            <w:vAlign w:val="center"/>
          </w:tcPr>
          <w:p w14:paraId="6348D1F5">
            <w:pPr>
              <w:adjustRightInd w:val="0"/>
              <w:snapToGrid w:val="0"/>
              <w:jc w:val="center"/>
              <w:rPr>
                <w:rFonts w:eastAsia="仿宋"/>
                <w:snapToGrid w:val="0"/>
                <w:szCs w:val="21"/>
              </w:rPr>
            </w:pPr>
            <w:r>
              <w:rPr>
                <w:rFonts w:eastAsia="仿宋"/>
                <w:snapToGrid w:val="0"/>
                <w:szCs w:val="21"/>
              </w:rPr>
              <w:t>磋商文件的澄清</w:t>
            </w:r>
          </w:p>
        </w:tc>
        <w:tc>
          <w:tcPr>
            <w:tcW w:w="7311" w:type="dxa"/>
            <w:vAlign w:val="center"/>
          </w:tcPr>
          <w:p w14:paraId="7BAB8183">
            <w:pPr>
              <w:adjustRightInd w:val="0"/>
              <w:snapToGrid w:val="0"/>
              <w:ind w:firstLine="420" w:firstLineChars="200"/>
              <w:rPr>
                <w:rFonts w:eastAsia="仿宋"/>
                <w:snapToGrid w:val="0"/>
                <w:szCs w:val="21"/>
              </w:rPr>
            </w:pPr>
            <w:r>
              <w:rPr>
                <w:rFonts w:eastAsia="仿宋"/>
                <w:snapToGrid w:val="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2FEF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4305182F">
            <w:pPr>
              <w:adjustRightInd w:val="0"/>
              <w:snapToGrid w:val="0"/>
              <w:jc w:val="center"/>
              <w:rPr>
                <w:rFonts w:eastAsia="仿宋"/>
                <w:bCs/>
                <w:szCs w:val="21"/>
              </w:rPr>
            </w:pPr>
            <w:r>
              <w:rPr>
                <w:rFonts w:eastAsia="仿宋"/>
                <w:bCs/>
                <w:szCs w:val="21"/>
              </w:rPr>
              <w:t>20</w:t>
            </w:r>
          </w:p>
        </w:tc>
        <w:tc>
          <w:tcPr>
            <w:tcW w:w="1699" w:type="dxa"/>
            <w:vAlign w:val="center"/>
          </w:tcPr>
          <w:p w14:paraId="357DAAB3">
            <w:pPr>
              <w:adjustRightInd w:val="0"/>
              <w:snapToGrid w:val="0"/>
              <w:jc w:val="center"/>
              <w:rPr>
                <w:rFonts w:eastAsia="仿宋"/>
                <w:szCs w:val="21"/>
              </w:rPr>
            </w:pPr>
            <w:r>
              <w:rPr>
                <w:rFonts w:eastAsia="仿宋"/>
                <w:szCs w:val="21"/>
              </w:rPr>
              <w:t>递交响应文件的截止时间和地点</w:t>
            </w:r>
          </w:p>
        </w:tc>
        <w:tc>
          <w:tcPr>
            <w:tcW w:w="7311" w:type="dxa"/>
            <w:vAlign w:val="center"/>
          </w:tcPr>
          <w:p w14:paraId="310A76E3">
            <w:pPr>
              <w:adjustRightInd w:val="0"/>
              <w:snapToGrid w:val="0"/>
              <w:rPr>
                <w:rFonts w:eastAsia="仿宋"/>
                <w:szCs w:val="21"/>
                <w:highlight w:val="none"/>
              </w:rPr>
            </w:pPr>
            <w:r>
              <w:rPr>
                <w:rFonts w:eastAsia="仿宋"/>
                <w:szCs w:val="21"/>
                <w:highlight w:val="none"/>
              </w:rPr>
              <w:t>1）递交时间：2026年</w:t>
            </w:r>
            <w:r>
              <w:rPr>
                <w:rFonts w:hint="eastAsia" w:eastAsia="仿宋"/>
                <w:szCs w:val="21"/>
                <w:highlight w:val="none"/>
              </w:rPr>
              <w:t>5</w:t>
            </w:r>
            <w:r>
              <w:rPr>
                <w:rFonts w:eastAsia="仿宋"/>
                <w:szCs w:val="21"/>
                <w:highlight w:val="none"/>
              </w:rPr>
              <w:t>月</w:t>
            </w:r>
            <w:r>
              <w:rPr>
                <w:rFonts w:hint="eastAsia" w:eastAsia="仿宋"/>
                <w:szCs w:val="21"/>
                <w:highlight w:val="none"/>
                <w:lang w:val="en-US" w:eastAsia="zh-CN"/>
              </w:rPr>
              <w:t>26</w:t>
            </w:r>
            <w:r>
              <w:rPr>
                <w:rFonts w:eastAsia="仿宋"/>
                <w:szCs w:val="21"/>
                <w:highlight w:val="none"/>
              </w:rPr>
              <w:t>日11:00时</w:t>
            </w:r>
          </w:p>
          <w:p w14:paraId="797F9E7B">
            <w:pPr>
              <w:adjustRightInd w:val="0"/>
              <w:snapToGrid w:val="0"/>
              <w:rPr>
                <w:rFonts w:eastAsia="仿宋"/>
                <w:szCs w:val="21"/>
                <w:highlight w:val="none"/>
              </w:rPr>
            </w:pPr>
            <w:r>
              <w:rPr>
                <w:rFonts w:eastAsia="仿宋"/>
                <w:szCs w:val="21"/>
                <w:highlight w:val="none"/>
              </w:rPr>
              <w:t>2）递交地点：请登录政采云投标客户端投标</w:t>
            </w:r>
          </w:p>
        </w:tc>
      </w:tr>
      <w:tr w14:paraId="3682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1BDE5BA2">
            <w:pPr>
              <w:adjustRightInd w:val="0"/>
              <w:snapToGrid w:val="0"/>
              <w:jc w:val="center"/>
              <w:rPr>
                <w:rFonts w:eastAsia="仿宋"/>
                <w:bCs/>
                <w:szCs w:val="21"/>
              </w:rPr>
            </w:pPr>
            <w:r>
              <w:rPr>
                <w:rFonts w:eastAsia="仿宋"/>
                <w:bCs/>
                <w:szCs w:val="21"/>
              </w:rPr>
              <w:t>21</w:t>
            </w:r>
          </w:p>
        </w:tc>
        <w:tc>
          <w:tcPr>
            <w:tcW w:w="1699" w:type="dxa"/>
            <w:vAlign w:val="center"/>
          </w:tcPr>
          <w:p w14:paraId="3C6E286C">
            <w:pPr>
              <w:adjustRightInd w:val="0"/>
              <w:snapToGrid w:val="0"/>
              <w:jc w:val="center"/>
              <w:rPr>
                <w:rFonts w:eastAsia="仿宋"/>
                <w:snapToGrid w:val="0"/>
                <w:szCs w:val="21"/>
              </w:rPr>
            </w:pPr>
            <w:r>
              <w:rPr>
                <w:rFonts w:eastAsia="仿宋"/>
                <w:snapToGrid w:val="0"/>
                <w:szCs w:val="21"/>
              </w:rPr>
              <w:t>响应文件开启时间和地点</w:t>
            </w:r>
          </w:p>
        </w:tc>
        <w:tc>
          <w:tcPr>
            <w:tcW w:w="7311" w:type="dxa"/>
            <w:vAlign w:val="center"/>
          </w:tcPr>
          <w:p w14:paraId="69119784">
            <w:pPr>
              <w:adjustRightInd w:val="0"/>
              <w:snapToGrid w:val="0"/>
              <w:rPr>
                <w:rFonts w:eastAsia="仿宋"/>
                <w:snapToGrid w:val="0"/>
                <w:szCs w:val="21"/>
                <w:highlight w:val="none"/>
              </w:rPr>
            </w:pPr>
            <w:r>
              <w:rPr>
                <w:rFonts w:eastAsia="仿宋"/>
                <w:snapToGrid w:val="0"/>
                <w:szCs w:val="21"/>
                <w:highlight w:val="none"/>
              </w:rPr>
              <w:t>1）开标时间：2026年</w:t>
            </w:r>
            <w:r>
              <w:rPr>
                <w:rFonts w:hint="eastAsia" w:eastAsia="仿宋"/>
                <w:snapToGrid w:val="0"/>
                <w:szCs w:val="21"/>
                <w:highlight w:val="none"/>
              </w:rPr>
              <w:t>5</w:t>
            </w:r>
            <w:r>
              <w:rPr>
                <w:rFonts w:eastAsia="仿宋"/>
                <w:snapToGrid w:val="0"/>
                <w:szCs w:val="21"/>
                <w:highlight w:val="none"/>
              </w:rPr>
              <w:t>月</w:t>
            </w:r>
            <w:r>
              <w:rPr>
                <w:rFonts w:hint="eastAsia" w:eastAsia="仿宋"/>
                <w:snapToGrid w:val="0"/>
                <w:szCs w:val="21"/>
                <w:highlight w:val="none"/>
                <w:lang w:val="en-US" w:eastAsia="zh-CN"/>
              </w:rPr>
              <w:t>26</w:t>
            </w:r>
            <w:r>
              <w:rPr>
                <w:rFonts w:eastAsia="仿宋"/>
                <w:snapToGrid w:val="0"/>
                <w:szCs w:val="21"/>
                <w:highlight w:val="none"/>
              </w:rPr>
              <w:t>日11:00</w:t>
            </w:r>
            <w:r>
              <w:rPr>
                <w:rFonts w:eastAsia="仿宋"/>
                <w:szCs w:val="21"/>
                <w:highlight w:val="none"/>
              </w:rPr>
              <w:t>时</w:t>
            </w:r>
          </w:p>
          <w:p w14:paraId="62EE8C73">
            <w:pPr>
              <w:adjustRightInd w:val="0"/>
              <w:snapToGrid w:val="0"/>
              <w:rPr>
                <w:rFonts w:eastAsia="仿宋"/>
                <w:snapToGrid w:val="0"/>
                <w:szCs w:val="21"/>
                <w:highlight w:val="none"/>
              </w:rPr>
            </w:pPr>
            <w:r>
              <w:rPr>
                <w:rFonts w:eastAsia="仿宋"/>
                <w:snapToGrid w:val="0"/>
                <w:szCs w:val="21"/>
                <w:highlight w:val="none"/>
              </w:rPr>
              <w:t>2）开标地点：供应商登录政采云平台https://www.zcygov.cn/，进入“项目采购-开标评标-右边选择对应项目点击“进入项目”进入开标大厅。</w:t>
            </w:r>
          </w:p>
          <w:p w14:paraId="748F0E63">
            <w:pPr>
              <w:adjustRightInd w:val="0"/>
              <w:snapToGrid w:val="0"/>
              <w:rPr>
                <w:rFonts w:eastAsia="仿宋"/>
                <w:b/>
                <w:bCs/>
                <w:snapToGrid w:val="0"/>
                <w:szCs w:val="21"/>
                <w:highlight w:val="none"/>
              </w:rPr>
            </w:pPr>
            <w:r>
              <w:rPr>
                <w:rFonts w:eastAsia="仿宋"/>
                <w:b/>
                <w:bCs/>
                <w:snapToGrid w:val="0"/>
                <w:szCs w:val="21"/>
                <w:highlight w:val="none"/>
              </w:rPr>
              <w:t>响应文件开启当日，供应商无需到达开标现场，仅需通过政采云平台“不见面”开标大厅完成远程解密。大厅操作提示：</w:t>
            </w:r>
          </w:p>
          <w:p w14:paraId="2F27DA69">
            <w:pPr>
              <w:adjustRightInd w:val="0"/>
              <w:snapToGrid w:val="0"/>
              <w:rPr>
                <w:rFonts w:eastAsia="仿宋"/>
                <w:b/>
                <w:bCs/>
                <w:snapToGrid w:val="0"/>
                <w:szCs w:val="21"/>
                <w:highlight w:val="none"/>
              </w:rPr>
            </w:pPr>
            <w:r>
              <w:rPr>
                <w:rFonts w:ascii="Cambria Math" w:hAnsi="Cambria Math" w:eastAsia="仿宋" w:cs="Cambria Math"/>
                <w:b/>
                <w:bCs/>
                <w:snapToGrid w:val="0"/>
                <w:szCs w:val="21"/>
                <w:highlight w:val="none"/>
              </w:rPr>
              <w:t>①</w:t>
            </w:r>
            <w:r>
              <w:rPr>
                <w:rFonts w:eastAsia="仿宋"/>
                <w:b/>
                <w:bCs/>
                <w:snapToGrid w:val="0"/>
                <w:szCs w:val="21"/>
                <w:highlight w:val="none"/>
              </w:rPr>
              <w:t>开标前一小时在系统进行在线签到；</w:t>
            </w:r>
          </w:p>
          <w:p w14:paraId="26F2BE18">
            <w:pPr>
              <w:adjustRightInd w:val="0"/>
              <w:snapToGrid w:val="0"/>
              <w:rPr>
                <w:rFonts w:eastAsia="仿宋"/>
                <w:b/>
                <w:bCs/>
                <w:snapToGrid w:val="0"/>
                <w:szCs w:val="21"/>
                <w:highlight w:val="none"/>
              </w:rPr>
            </w:pPr>
            <w:r>
              <w:rPr>
                <w:rFonts w:ascii="Cambria Math" w:hAnsi="Cambria Math" w:eastAsia="仿宋" w:cs="Cambria Math"/>
                <w:b/>
                <w:bCs/>
                <w:snapToGrid w:val="0"/>
                <w:szCs w:val="21"/>
                <w:highlight w:val="none"/>
              </w:rPr>
              <w:t>②</w:t>
            </w:r>
            <w:r>
              <w:rPr>
                <w:rFonts w:eastAsia="仿宋"/>
                <w:b/>
                <w:bCs/>
                <w:snapToGrid w:val="0"/>
                <w:szCs w:val="21"/>
                <w:highlight w:val="none"/>
              </w:rPr>
              <w:t>30分钟内完成在线解密；</w:t>
            </w:r>
          </w:p>
          <w:p w14:paraId="4973714A">
            <w:pPr>
              <w:adjustRightInd w:val="0"/>
              <w:snapToGrid w:val="0"/>
              <w:rPr>
                <w:rFonts w:eastAsia="仿宋"/>
                <w:b/>
                <w:bCs/>
                <w:snapToGrid w:val="0"/>
                <w:szCs w:val="21"/>
                <w:highlight w:val="none"/>
              </w:rPr>
            </w:pPr>
            <w:r>
              <w:rPr>
                <w:rFonts w:ascii="Cambria Math" w:hAnsi="Cambria Math" w:eastAsia="仿宋" w:cs="Cambria Math"/>
                <w:b/>
                <w:bCs/>
                <w:snapToGrid w:val="0"/>
                <w:szCs w:val="21"/>
                <w:highlight w:val="none"/>
              </w:rPr>
              <w:t>③</w:t>
            </w:r>
            <w:r>
              <w:rPr>
                <w:rFonts w:eastAsia="仿宋"/>
                <w:b/>
                <w:bCs/>
                <w:snapToGrid w:val="0"/>
                <w:szCs w:val="21"/>
                <w:highlight w:val="none"/>
              </w:rPr>
              <w:t>开标结束后30分钟内完成“开标一览表”在线签章。</w:t>
            </w:r>
          </w:p>
          <w:p w14:paraId="6CCE042A">
            <w:pPr>
              <w:adjustRightInd w:val="0"/>
              <w:snapToGrid w:val="0"/>
              <w:rPr>
                <w:rFonts w:eastAsia="仿宋"/>
                <w:kern w:val="0"/>
                <w:szCs w:val="21"/>
                <w:highlight w:val="none"/>
                <w:lang w:bidi="zh-CN"/>
              </w:rPr>
            </w:pPr>
            <w:r>
              <w:rPr>
                <w:rFonts w:eastAsia="仿宋"/>
                <w:b/>
                <w:bCs/>
                <w:snapToGrid w:val="0"/>
                <w:szCs w:val="21"/>
                <w:highlight w:val="none"/>
              </w:rPr>
              <w:t>注意：如未在规定时间进行以上操作，将导致投标（响应）无效。</w:t>
            </w:r>
          </w:p>
        </w:tc>
      </w:tr>
      <w:tr w14:paraId="402C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4D90EAB9">
            <w:pPr>
              <w:adjustRightInd w:val="0"/>
              <w:snapToGrid w:val="0"/>
              <w:jc w:val="center"/>
              <w:rPr>
                <w:rFonts w:eastAsia="仿宋"/>
                <w:bCs/>
                <w:szCs w:val="21"/>
              </w:rPr>
            </w:pPr>
            <w:r>
              <w:rPr>
                <w:rFonts w:eastAsia="仿宋"/>
                <w:bCs/>
                <w:szCs w:val="21"/>
              </w:rPr>
              <w:t>22</w:t>
            </w:r>
          </w:p>
        </w:tc>
        <w:tc>
          <w:tcPr>
            <w:tcW w:w="1699" w:type="dxa"/>
            <w:vAlign w:val="center"/>
          </w:tcPr>
          <w:p w14:paraId="4B89A9A7">
            <w:pPr>
              <w:adjustRightInd w:val="0"/>
              <w:snapToGrid w:val="0"/>
              <w:jc w:val="center"/>
              <w:rPr>
                <w:rFonts w:eastAsia="仿宋"/>
                <w:snapToGrid w:val="0"/>
                <w:szCs w:val="21"/>
              </w:rPr>
            </w:pPr>
            <w:r>
              <w:rPr>
                <w:rFonts w:eastAsia="仿宋"/>
                <w:snapToGrid w:val="0"/>
                <w:szCs w:val="21"/>
              </w:rPr>
              <w:t>磋商小组的组建及确定方式</w:t>
            </w:r>
          </w:p>
        </w:tc>
        <w:tc>
          <w:tcPr>
            <w:tcW w:w="7311" w:type="dxa"/>
            <w:vAlign w:val="center"/>
          </w:tcPr>
          <w:p w14:paraId="7B3E3B77">
            <w:pPr>
              <w:adjustRightInd w:val="0"/>
              <w:snapToGrid w:val="0"/>
              <w:jc w:val="left"/>
              <w:rPr>
                <w:rFonts w:eastAsia="仿宋"/>
                <w:snapToGrid w:val="0"/>
                <w:szCs w:val="21"/>
              </w:rPr>
            </w:pPr>
            <w:r>
              <w:rPr>
                <w:rFonts w:eastAsia="仿宋"/>
                <w:snapToGrid w:val="0"/>
                <w:szCs w:val="21"/>
              </w:rPr>
              <w:t>磋商小组人员组成：由采购人代表和评审专家共3人以上单数组成，其中评审专家人数不得少于磋商小组成员总数的2/3。</w:t>
            </w:r>
          </w:p>
          <w:p w14:paraId="1D7C2F3B">
            <w:pPr>
              <w:adjustRightInd w:val="0"/>
              <w:snapToGrid w:val="0"/>
              <w:jc w:val="left"/>
              <w:rPr>
                <w:rFonts w:eastAsia="仿宋"/>
                <w:snapToGrid w:val="0"/>
                <w:szCs w:val="21"/>
                <w:lang w:val="zh-CN"/>
              </w:rPr>
            </w:pPr>
            <w:r>
              <w:rPr>
                <w:rFonts w:eastAsia="仿宋"/>
                <w:snapToGrid w:val="0"/>
                <w:szCs w:val="21"/>
              </w:rPr>
              <w:t>评审专家确定方式：政采云专家库随机抽取</w:t>
            </w:r>
          </w:p>
        </w:tc>
      </w:tr>
      <w:tr w14:paraId="0AF2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0CE62BF9">
            <w:pPr>
              <w:adjustRightInd w:val="0"/>
              <w:snapToGrid w:val="0"/>
              <w:jc w:val="center"/>
              <w:rPr>
                <w:rFonts w:eastAsia="仿宋"/>
                <w:bCs/>
                <w:szCs w:val="21"/>
              </w:rPr>
            </w:pPr>
            <w:r>
              <w:rPr>
                <w:rFonts w:eastAsia="仿宋"/>
                <w:bCs/>
                <w:szCs w:val="21"/>
              </w:rPr>
              <w:t>23</w:t>
            </w:r>
          </w:p>
        </w:tc>
        <w:tc>
          <w:tcPr>
            <w:tcW w:w="1699" w:type="dxa"/>
            <w:vAlign w:val="center"/>
          </w:tcPr>
          <w:p w14:paraId="7531A062">
            <w:pPr>
              <w:adjustRightInd w:val="0"/>
              <w:snapToGrid w:val="0"/>
              <w:jc w:val="center"/>
              <w:rPr>
                <w:rFonts w:eastAsia="仿宋"/>
                <w:szCs w:val="21"/>
              </w:rPr>
            </w:pPr>
            <w:r>
              <w:rPr>
                <w:rFonts w:eastAsia="仿宋"/>
                <w:szCs w:val="21"/>
              </w:rPr>
              <w:t>磋商保证金的金额及缴纳</w:t>
            </w:r>
          </w:p>
          <w:p w14:paraId="0BE2C0E6">
            <w:pPr>
              <w:adjustRightInd w:val="0"/>
              <w:snapToGrid w:val="0"/>
              <w:jc w:val="center"/>
              <w:rPr>
                <w:rFonts w:eastAsia="仿宋"/>
                <w:szCs w:val="21"/>
              </w:rPr>
            </w:pPr>
            <w:r>
              <w:rPr>
                <w:rFonts w:eastAsia="仿宋"/>
                <w:szCs w:val="21"/>
              </w:rPr>
              <w:t>方式</w:t>
            </w:r>
          </w:p>
        </w:tc>
        <w:tc>
          <w:tcPr>
            <w:tcW w:w="7311" w:type="dxa"/>
            <w:vAlign w:val="center"/>
          </w:tcPr>
          <w:p w14:paraId="150EDD3F">
            <w:pPr>
              <w:pStyle w:val="14"/>
              <w:adjustRightInd w:val="0"/>
              <w:snapToGrid w:val="0"/>
              <w:jc w:val="left"/>
              <w:rPr>
                <w:rFonts w:ascii="Times New Roman" w:hAnsi="Times New Roman" w:eastAsia="仿宋"/>
                <w:bCs/>
                <w:szCs w:val="21"/>
              </w:rPr>
            </w:pPr>
            <w:r>
              <w:rPr>
                <w:rFonts w:ascii="Times New Roman" w:hAnsi="Times New Roman" w:eastAsia="仿宋"/>
                <w:snapToGrid w:val="0"/>
                <w:szCs w:val="21"/>
              </w:rPr>
              <w:t>□</w:t>
            </w:r>
            <w:r>
              <w:rPr>
                <w:rFonts w:ascii="Times New Roman" w:hAnsi="Times New Roman" w:eastAsia="仿宋"/>
                <w:bCs/>
                <w:szCs w:val="21"/>
              </w:rPr>
              <w:t>不提供。</w:t>
            </w:r>
          </w:p>
          <w:p w14:paraId="764A7B5F">
            <w:pPr>
              <w:pStyle w:val="14"/>
              <w:adjustRightInd w:val="0"/>
              <w:snapToGrid w:val="0"/>
              <w:jc w:val="left"/>
              <w:rPr>
                <w:rFonts w:ascii="Times New Roman" w:hAnsi="Times New Roman" w:eastAsia="仿宋"/>
                <w:bCs/>
                <w:szCs w:val="21"/>
                <w:lang w:val="zh-CN"/>
              </w:rPr>
            </w:pPr>
            <w:r>
              <w:rPr>
                <w:rFonts w:ascii="Segoe UI Symbol" w:hAnsi="Segoe UI Symbol" w:eastAsia="仿宋" w:cs="Segoe UI Symbol"/>
                <w:snapToGrid w:val="0"/>
                <w:szCs w:val="21"/>
              </w:rPr>
              <w:t>☑</w:t>
            </w:r>
            <w:r>
              <w:rPr>
                <w:rFonts w:ascii="Times New Roman" w:hAnsi="Times New Roman" w:eastAsia="仿宋"/>
                <w:bCs/>
                <w:szCs w:val="21"/>
                <w:lang w:val="zh-CN"/>
              </w:rPr>
              <w:t>提供。</w:t>
            </w:r>
            <w:r>
              <w:rPr>
                <w:rFonts w:ascii="Times New Roman" w:hAnsi="Times New Roman" w:eastAsia="仿宋"/>
                <w:bCs/>
                <w:szCs w:val="21"/>
              </w:rPr>
              <w:t>保证金</w:t>
            </w:r>
            <w:r>
              <w:rPr>
                <w:rFonts w:ascii="Times New Roman" w:hAnsi="Times New Roman" w:eastAsia="仿宋"/>
                <w:bCs/>
                <w:szCs w:val="21"/>
                <w:lang w:val="zh-CN"/>
              </w:rPr>
              <w:t>数额不得超过采购项目预算金额的</w:t>
            </w:r>
            <w:r>
              <w:rPr>
                <w:rFonts w:ascii="Times New Roman" w:hAnsi="Times New Roman" w:eastAsia="仿宋"/>
                <w:bCs/>
                <w:szCs w:val="21"/>
              </w:rPr>
              <w:t>1</w:t>
            </w:r>
            <w:r>
              <w:rPr>
                <w:rFonts w:ascii="Times New Roman" w:hAnsi="Times New Roman" w:eastAsia="仿宋"/>
                <w:bCs/>
                <w:szCs w:val="21"/>
                <w:lang w:val="zh-CN"/>
              </w:rPr>
              <w:t>%。</w:t>
            </w:r>
          </w:p>
          <w:p w14:paraId="226BE246">
            <w:pPr>
              <w:pStyle w:val="14"/>
              <w:adjustRightInd w:val="0"/>
              <w:snapToGrid w:val="0"/>
              <w:ind w:firstLine="420" w:firstLineChars="200"/>
              <w:jc w:val="left"/>
              <w:rPr>
                <w:rFonts w:ascii="Times New Roman" w:hAnsi="Times New Roman" w:eastAsia="仿宋"/>
                <w:bCs/>
                <w:szCs w:val="21"/>
                <w:lang w:val="zh-CN"/>
              </w:rPr>
            </w:pPr>
            <w:r>
              <w:rPr>
                <w:rFonts w:ascii="Times New Roman" w:hAnsi="Times New Roman" w:eastAsia="仿宋"/>
                <w:bCs/>
                <w:szCs w:val="21"/>
                <w:lang w:val="zh-CN"/>
              </w:rPr>
              <w:t>磋商保证金金额：</w:t>
            </w:r>
            <w:r>
              <w:rPr>
                <w:rFonts w:ascii="Times New Roman" w:hAnsi="Times New Roman" w:eastAsia="仿宋"/>
                <w:bCs/>
                <w:szCs w:val="21"/>
              </w:rPr>
              <w:t>7500.00</w:t>
            </w:r>
            <w:r>
              <w:rPr>
                <w:rFonts w:ascii="Times New Roman" w:hAnsi="Times New Roman" w:eastAsia="仿宋"/>
                <w:bCs/>
                <w:szCs w:val="21"/>
                <w:lang w:val="zh-CN"/>
              </w:rPr>
              <w:t>元（</w:t>
            </w:r>
            <w:r>
              <w:rPr>
                <w:rFonts w:hint="eastAsia" w:ascii="Times New Roman" w:hAnsi="Times New Roman" w:eastAsia="仿宋"/>
                <w:bCs/>
                <w:szCs w:val="21"/>
                <w:lang w:eastAsia="zh-CN"/>
              </w:rPr>
              <w:t>柒仟伍佰</w:t>
            </w:r>
            <w:r>
              <w:rPr>
                <w:rFonts w:ascii="Times New Roman" w:hAnsi="Times New Roman" w:eastAsia="仿宋"/>
                <w:bCs/>
                <w:szCs w:val="21"/>
              </w:rPr>
              <w:t>元整</w:t>
            </w:r>
            <w:r>
              <w:rPr>
                <w:rFonts w:ascii="Times New Roman" w:hAnsi="Times New Roman" w:eastAsia="仿宋"/>
                <w:bCs/>
                <w:szCs w:val="21"/>
                <w:lang w:val="zh-CN"/>
              </w:rPr>
              <w:t>）</w:t>
            </w:r>
          </w:p>
          <w:p w14:paraId="1FD46D86">
            <w:pPr>
              <w:adjustRightInd w:val="0"/>
              <w:snapToGrid w:val="0"/>
              <w:ind w:firstLine="420" w:firstLineChars="200"/>
              <w:rPr>
                <w:rFonts w:eastAsia="仿宋"/>
                <w:szCs w:val="21"/>
              </w:rPr>
            </w:pPr>
            <w:r>
              <w:rPr>
                <w:rFonts w:eastAsia="仿宋"/>
                <w:szCs w:val="21"/>
              </w:rPr>
              <w:t>代理机构名称：中合安建工程管理有限公司新疆分公司</w:t>
            </w:r>
          </w:p>
          <w:p w14:paraId="337A7C35">
            <w:pPr>
              <w:adjustRightInd w:val="0"/>
              <w:snapToGrid w:val="0"/>
              <w:ind w:firstLine="420" w:firstLineChars="200"/>
              <w:rPr>
                <w:rFonts w:eastAsia="仿宋"/>
                <w:szCs w:val="21"/>
              </w:rPr>
            </w:pPr>
            <w:r>
              <w:rPr>
                <w:rFonts w:eastAsia="仿宋"/>
                <w:szCs w:val="21"/>
              </w:rPr>
              <w:t>开户行：交通银行股份有限公司乌鲁木齐新医路支行</w:t>
            </w:r>
          </w:p>
          <w:p w14:paraId="7CFBBE83">
            <w:pPr>
              <w:adjustRightInd w:val="0"/>
              <w:snapToGrid w:val="0"/>
              <w:ind w:firstLine="420" w:firstLineChars="200"/>
              <w:rPr>
                <w:rFonts w:eastAsia="仿宋"/>
                <w:szCs w:val="21"/>
              </w:rPr>
            </w:pPr>
            <w:r>
              <w:rPr>
                <w:rFonts w:eastAsia="仿宋"/>
                <w:szCs w:val="21"/>
              </w:rPr>
              <w:t>开户行行号：301881000139</w:t>
            </w:r>
          </w:p>
          <w:p w14:paraId="60C8AFCF">
            <w:pPr>
              <w:adjustRightInd w:val="0"/>
              <w:snapToGrid w:val="0"/>
              <w:ind w:left="479" w:leftChars="228"/>
              <w:rPr>
                <w:rFonts w:eastAsia="仿宋"/>
                <w:szCs w:val="21"/>
              </w:rPr>
            </w:pPr>
            <w:r>
              <w:rPr>
                <w:rFonts w:eastAsia="仿宋"/>
                <w:szCs w:val="21"/>
              </w:rPr>
              <w:t>账号：651651005015003167990</w:t>
            </w:r>
            <w:r>
              <w:rPr>
                <w:rFonts w:eastAsia="仿宋"/>
                <w:szCs w:val="21"/>
              </w:rPr>
              <w:br w:type="textWrapping"/>
            </w:r>
            <w:r>
              <w:rPr>
                <w:rFonts w:eastAsia="仿宋"/>
                <w:szCs w:val="21"/>
              </w:rPr>
              <w:t>地址：</w:t>
            </w:r>
            <w:r>
              <w:rPr>
                <w:rFonts w:eastAsia="仿宋"/>
                <w:bCs/>
                <w:szCs w:val="21"/>
                <w:lang w:val="zh-CN"/>
              </w:rPr>
              <w:t>新疆乌鲁木齐高新区（新市区）新医路165号汇文大厦1栋6层</w:t>
            </w:r>
            <w:r>
              <w:rPr>
                <w:rFonts w:eastAsia="仿宋"/>
                <w:bCs/>
                <w:szCs w:val="21"/>
              </w:rPr>
              <w:t>B</w:t>
            </w:r>
          </w:p>
          <w:p w14:paraId="0E0D7ABC">
            <w:pPr>
              <w:pStyle w:val="14"/>
              <w:adjustRightInd w:val="0"/>
              <w:snapToGrid w:val="0"/>
              <w:ind w:firstLine="420" w:firstLineChars="200"/>
              <w:jc w:val="left"/>
              <w:rPr>
                <w:rFonts w:ascii="Times New Roman" w:hAnsi="Times New Roman" w:eastAsia="仿宋"/>
                <w:szCs w:val="21"/>
                <w:lang w:val="zh-CN"/>
              </w:rPr>
            </w:pPr>
            <w:r>
              <w:rPr>
                <w:rFonts w:ascii="Times New Roman" w:hAnsi="Times New Roman" w:eastAsia="仿宋"/>
                <w:bCs/>
                <w:szCs w:val="21"/>
                <w:lang w:val="zh-CN"/>
              </w:rPr>
              <w:t>磋商保证金缴纳形式：</w:t>
            </w:r>
            <w:r>
              <w:rPr>
                <w:rFonts w:ascii="Times New Roman" w:hAnsi="Times New Roman" w:eastAsia="仿宋"/>
                <w:szCs w:val="21"/>
              </w:rPr>
              <w:t>支票、汇票、本票或者金融机构、担保机构出具的保函等非现金形式提交</w:t>
            </w:r>
            <w:r>
              <w:rPr>
                <w:rFonts w:ascii="Times New Roman" w:hAnsi="Times New Roman" w:eastAsia="仿宋"/>
                <w:szCs w:val="21"/>
                <w:lang w:val="zh-CN"/>
              </w:rPr>
              <w:t>。</w:t>
            </w:r>
          </w:p>
          <w:p w14:paraId="362A2C4E">
            <w:pPr>
              <w:pStyle w:val="14"/>
              <w:adjustRightInd w:val="0"/>
              <w:snapToGrid w:val="0"/>
              <w:ind w:firstLine="422" w:firstLineChars="200"/>
              <w:jc w:val="left"/>
              <w:rPr>
                <w:rFonts w:ascii="Times New Roman" w:hAnsi="Times New Roman" w:eastAsia="仿宋"/>
                <w:bCs/>
                <w:color w:val="EE0000"/>
                <w:szCs w:val="21"/>
                <w:lang w:val="zh-CN"/>
              </w:rPr>
            </w:pPr>
            <w:r>
              <w:rPr>
                <w:rFonts w:ascii="Times New Roman" w:hAnsi="Times New Roman" w:eastAsia="仿宋"/>
                <w:b/>
                <w:szCs w:val="21"/>
                <w:lang w:val="zh-CN"/>
              </w:rPr>
              <w:t>各供应商缴纳投标保证金时需在附加信息及用途栏内注明磋商保证金、项目名称；磋商保证金于磋商截止时间前确认到账，若供应商未按照上述规定缴纳磋商保证金,</w:t>
            </w:r>
            <w:r>
              <w:rPr>
                <w:rFonts w:ascii="Times New Roman" w:hAnsi="Times New Roman" w:eastAsia="仿宋"/>
                <w:b/>
                <w:szCs w:val="21"/>
              </w:rPr>
              <w:t>磋商</w:t>
            </w:r>
            <w:r>
              <w:rPr>
                <w:rFonts w:ascii="Times New Roman" w:hAnsi="Times New Roman" w:eastAsia="仿宋"/>
                <w:b/>
                <w:szCs w:val="21"/>
                <w:lang w:val="zh-CN"/>
              </w:rPr>
              <w:t>文件将被拒绝评审。</w:t>
            </w:r>
          </w:p>
        </w:tc>
      </w:tr>
      <w:tr w14:paraId="024A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125A9D52">
            <w:pPr>
              <w:adjustRightInd w:val="0"/>
              <w:snapToGrid w:val="0"/>
              <w:jc w:val="center"/>
              <w:rPr>
                <w:rFonts w:eastAsia="仿宋"/>
                <w:bCs/>
                <w:szCs w:val="21"/>
              </w:rPr>
            </w:pPr>
            <w:r>
              <w:rPr>
                <w:rFonts w:eastAsia="仿宋"/>
                <w:bCs/>
                <w:szCs w:val="21"/>
              </w:rPr>
              <w:t>24</w:t>
            </w:r>
          </w:p>
        </w:tc>
        <w:tc>
          <w:tcPr>
            <w:tcW w:w="1699" w:type="dxa"/>
            <w:vAlign w:val="center"/>
          </w:tcPr>
          <w:p w14:paraId="395205AB">
            <w:pPr>
              <w:adjustRightInd w:val="0"/>
              <w:snapToGrid w:val="0"/>
              <w:jc w:val="center"/>
              <w:rPr>
                <w:rFonts w:eastAsia="仿宋"/>
                <w:snapToGrid w:val="0"/>
                <w:szCs w:val="21"/>
              </w:rPr>
            </w:pPr>
            <w:r>
              <w:rPr>
                <w:rFonts w:eastAsia="仿宋"/>
                <w:snapToGrid w:val="0"/>
                <w:szCs w:val="21"/>
              </w:rPr>
              <w:t>响应文件的</w:t>
            </w:r>
          </w:p>
          <w:p w14:paraId="1AB0316A">
            <w:pPr>
              <w:adjustRightInd w:val="0"/>
              <w:snapToGrid w:val="0"/>
              <w:jc w:val="center"/>
              <w:rPr>
                <w:rFonts w:eastAsia="仿宋"/>
                <w:snapToGrid w:val="0"/>
                <w:szCs w:val="21"/>
              </w:rPr>
            </w:pPr>
            <w:r>
              <w:rPr>
                <w:rFonts w:eastAsia="仿宋"/>
                <w:snapToGrid w:val="0"/>
                <w:szCs w:val="21"/>
              </w:rPr>
              <w:t>现场解密</w:t>
            </w:r>
          </w:p>
        </w:tc>
        <w:tc>
          <w:tcPr>
            <w:tcW w:w="7311" w:type="dxa"/>
            <w:vAlign w:val="center"/>
          </w:tcPr>
          <w:p w14:paraId="74645D23">
            <w:pPr>
              <w:adjustRightInd w:val="0"/>
              <w:snapToGrid w:val="0"/>
              <w:ind w:firstLine="420" w:firstLineChars="200"/>
              <w:rPr>
                <w:rFonts w:eastAsia="仿宋"/>
                <w:snapToGrid w:val="0"/>
                <w:szCs w:val="21"/>
              </w:rPr>
            </w:pPr>
            <w:r>
              <w:rPr>
                <w:rFonts w:eastAsia="仿宋"/>
                <w:snapToGrid w:val="0"/>
                <w:szCs w:val="21"/>
              </w:rPr>
              <w:t>响应文件解密时长：30分钟（过时未进行解密的响应文件，开标现场不进行解密时间延长）。</w:t>
            </w:r>
          </w:p>
          <w:p w14:paraId="4955F94E">
            <w:pPr>
              <w:adjustRightInd w:val="0"/>
              <w:snapToGrid w:val="0"/>
              <w:ind w:firstLine="420" w:firstLineChars="200"/>
              <w:rPr>
                <w:rFonts w:eastAsia="仿宋"/>
                <w:snapToGrid w:val="0"/>
                <w:szCs w:val="21"/>
                <w:lang w:val="zh-CN"/>
              </w:rPr>
            </w:pPr>
            <w:r>
              <w:rPr>
                <w:rFonts w:eastAsia="仿宋"/>
                <w:snapToGrid w:val="0"/>
                <w:szCs w:val="21"/>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p>
        </w:tc>
      </w:tr>
      <w:tr w14:paraId="1A62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DEB9AB4">
            <w:pPr>
              <w:adjustRightInd w:val="0"/>
              <w:snapToGrid w:val="0"/>
              <w:jc w:val="center"/>
              <w:rPr>
                <w:rFonts w:eastAsia="仿宋"/>
                <w:bCs/>
                <w:szCs w:val="21"/>
              </w:rPr>
            </w:pPr>
            <w:r>
              <w:rPr>
                <w:rFonts w:eastAsia="仿宋"/>
                <w:bCs/>
                <w:szCs w:val="21"/>
              </w:rPr>
              <w:t>25</w:t>
            </w:r>
          </w:p>
        </w:tc>
        <w:tc>
          <w:tcPr>
            <w:tcW w:w="1699" w:type="dxa"/>
            <w:vAlign w:val="center"/>
          </w:tcPr>
          <w:p w14:paraId="029AE3A8">
            <w:pPr>
              <w:adjustRightInd w:val="0"/>
              <w:snapToGrid w:val="0"/>
              <w:jc w:val="center"/>
              <w:rPr>
                <w:rFonts w:eastAsia="仿宋"/>
                <w:snapToGrid w:val="0"/>
                <w:szCs w:val="21"/>
              </w:rPr>
            </w:pPr>
            <w:r>
              <w:rPr>
                <w:rFonts w:eastAsia="仿宋"/>
                <w:snapToGrid w:val="0"/>
                <w:szCs w:val="21"/>
              </w:rPr>
              <w:t>招标代理费</w:t>
            </w:r>
          </w:p>
        </w:tc>
        <w:tc>
          <w:tcPr>
            <w:tcW w:w="7311" w:type="dxa"/>
            <w:vAlign w:val="center"/>
          </w:tcPr>
          <w:p w14:paraId="0B1C5C9B">
            <w:pPr>
              <w:adjustRightInd w:val="0"/>
              <w:snapToGrid w:val="0"/>
              <w:ind w:firstLine="420" w:firstLineChars="200"/>
              <w:rPr>
                <w:rFonts w:eastAsia="仿宋"/>
                <w:snapToGrid w:val="0"/>
                <w:szCs w:val="21"/>
              </w:rPr>
            </w:pPr>
            <w:r>
              <w:rPr>
                <w:rFonts w:eastAsia="仿宋"/>
                <w:snapToGrid w:val="0"/>
                <w:szCs w:val="21"/>
              </w:rPr>
              <w:t>参照国家计委计价格【2002】1980号、发改办价格【2003】857号、【2011】534号文计取，不足3000元按3000元计取，本项目招标代理服务费由成交供应商支付。</w:t>
            </w:r>
          </w:p>
          <w:p w14:paraId="5A195F1B">
            <w:pPr>
              <w:adjustRightInd w:val="0"/>
              <w:snapToGrid w:val="0"/>
              <w:ind w:firstLine="420" w:firstLineChars="200"/>
              <w:rPr>
                <w:rFonts w:eastAsia="仿宋"/>
                <w:snapToGrid w:val="0"/>
                <w:szCs w:val="21"/>
              </w:rPr>
            </w:pPr>
            <w:r>
              <w:rPr>
                <w:rFonts w:eastAsia="仿宋"/>
                <w:snapToGrid w:val="0"/>
                <w:szCs w:val="21"/>
              </w:rPr>
              <w:t>成交供应商须在领取成交通知书时一次性付清招标代理服务费。</w:t>
            </w:r>
          </w:p>
        </w:tc>
      </w:tr>
      <w:tr w14:paraId="6AF1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4DF5EB36">
            <w:pPr>
              <w:adjustRightInd w:val="0"/>
              <w:snapToGrid w:val="0"/>
              <w:jc w:val="center"/>
              <w:rPr>
                <w:rFonts w:eastAsia="仿宋"/>
                <w:bCs/>
                <w:szCs w:val="21"/>
              </w:rPr>
            </w:pPr>
            <w:r>
              <w:rPr>
                <w:rFonts w:eastAsia="仿宋"/>
                <w:bCs/>
                <w:szCs w:val="21"/>
              </w:rPr>
              <w:t>26</w:t>
            </w:r>
          </w:p>
        </w:tc>
        <w:tc>
          <w:tcPr>
            <w:tcW w:w="1699" w:type="dxa"/>
            <w:tcBorders>
              <w:right w:val="single" w:color="auto" w:sz="4" w:space="0"/>
            </w:tcBorders>
            <w:vAlign w:val="center"/>
          </w:tcPr>
          <w:p w14:paraId="6E4D5E2A">
            <w:pPr>
              <w:overflowPunct w:val="0"/>
              <w:adjustRightInd w:val="0"/>
              <w:snapToGrid w:val="0"/>
              <w:jc w:val="center"/>
              <w:rPr>
                <w:rFonts w:eastAsia="仿宋"/>
                <w:szCs w:val="21"/>
              </w:rPr>
            </w:pPr>
            <w:r>
              <w:rPr>
                <w:rFonts w:eastAsia="仿宋"/>
                <w:szCs w:val="21"/>
              </w:rPr>
              <w:t>磋商程序/磋商报价次数/评审原则</w:t>
            </w:r>
          </w:p>
        </w:tc>
        <w:tc>
          <w:tcPr>
            <w:tcW w:w="7311" w:type="dxa"/>
            <w:tcBorders>
              <w:top w:val="single" w:color="auto" w:sz="4" w:space="0"/>
              <w:left w:val="single" w:color="auto" w:sz="4" w:space="0"/>
              <w:bottom w:val="single" w:color="auto" w:sz="4" w:space="0"/>
              <w:right w:val="single" w:color="auto" w:sz="4" w:space="0"/>
            </w:tcBorders>
            <w:vAlign w:val="center"/>
          </w:tcPr>
          <w:p w14:paraId="29227283">
            <w:pPr>
              <w:overflowPunct w:val="0"/>
              <w:adjustRightInd w:val="0"/>
              <w:snapToGrid w:val="0"/>
              <w:ind w:firstLine="420" w:firstLineChars="200"/>
              <w:rPr>
                <w:rFonts w:eastAsia="仿宋"/>
                <w:szCs w:val="21"/>
              </w:rPr>
            </w:pPr>
            <w:r>
              <w:rPr>
                <w:rFonts w:eastAsia="仿宋"/>
                <w:szCs w:val="21"/>
              </w:rPr>
              <w:t>磋商程序：磋商小组对所有提交的响应文件进行评审；</w:t>
            </w:r>
          </w:p>
          <w:p w14:paraId="298FCBCE">
            <w:pPr>
              <w:overflowPunct w:val="0"/>
              <w:adjustRightInd w:val="0"/>
              <w:snapToGrid w:val="0"/>
              <w:ind w:firstLine="420" w:firstLineChars="200"/>
              <w:rPr>
                <w:rFonts w:eastAsia="仿宋"/>
                <w:szCs w:val="21"/>
              </w:rPr>
            </w:pPr>
            <w:r>
              <w:rPr>
                <w:rFonts w:eastAsia="仿宋"/>
                <w:szCs w:val="21"/>
              </w:rPr>
              <w:t>磋商小组所有成员集中与单一供应商分别进行磋商；</w:t>
            </w:r>
          </w:p>
          <w:p w14:paraId="0C8A6ADE">
            <w:pPr>
              <w:overflowPunct w:val="0"/>
              <w:adjustRightInd w:val="0"/>
              <w:snapToGrid w:val="0"/>
              <w:ind w:firstLine="422" w:firstLineChars="200"/>
              <w:rPr>
                <w:rFonts w:eastAsia="仿宋"/>
                <w:szCs w:val="21"/>
              </w:rPr>
            </w:pPr>
            <w:r>
              <w:rPr>
                <w:rFonts w:eastAsia="仿宋"/>
                <w:b/>
                <w:bCs/>
                <w:szCs w:val="21"/>
              </w:rPr>
              <w:t>报价次数：供应商按照要求提交二次报价为最后报价</w:t>
            </w:r>
          </w:p>
          <w:p w14:paraId="35326FA3">
            <w:pPr>
              <w:overflowPunct w:val="0"/>
              <w:adjustRightInd w:val="0"/>
              <w:snapToGrid w:val="0"/>
              <w:ind w:firstLine="420" w:firstLineChars="200"/>
              <w:rPr>
                <w:rFonts w:eastAsia="仿宋"/>
                <w:szCs w:val="21"/>
              </w:rPr>
            </w:pPr>
            <w:r>
              <w:rPr>
                <w:rFonts w:eastAsia="仿宋"/>
                <w:szCs w:val="21"/>
              </w:rPr>
              <w:t>评审原则：经磋商小组综合评审后按照综合得分由高到低的顺序推荐3名成交候选人。</w:t>
            </w:r>
          </w:p>
        </w:tc>
      </w:tr>
      <w:tr w14:paraId="26E0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4DFE274E">
            <w:pPr>
              <w:adjustRightInd w:val="0"/>
              <w:snapToGrid w:val="0"/>
              <w:jc w:val="center"/>
              <w:rPr>
                <w:rFonts w:eastAsia="仿宋"/>
                <w:bCs/>
                <w:szCs w:val="21"/>
              </w:rPr>
            </w:pPr>
            <w:r>
              <w:rPr>
                <w:rFonts w:eastAsia="仿宋"/>
                <w:bCs/>
                <w:szCs w:val="21"/>
              </w:rPr>
              <w:t>27</w:t>
            </w:r>
          </w:p>
        </w:tc>
        <w:tc>
          <w:tcPr>
            <w:tcW w:w="1699" w:type="dxa"/>
            <w:tcBorders>
              <w:right w:val="single" w:color="auto" w:sz="4" w:space="0"/>
            </w:tcBorders>
            <w:vAlign w:val="center"/>
          </w:tcPr>
          <w:p w14:paraId="2A36C1EA">
            <w:pPr>
              <w:overflowPunct w:val="0"/>
              <w:adjustRightInd w:val="0"/>
              <w:snapToGrid w:val="0"/>
              <w:jc w:val="center"/>
              <w:rPr>
                <w:rFonts w:eastAsia="仿宋"/>
                <w:szCs w:val="21"/>
              </w:rPr>
            </w:pPr>
            <w:r>
              <w:rPr>
                <w:rFonts w:eastAsia="仿宋"/>
                <w:szCs w:val="21"/>
              </w:rPr>
              <w:t>关于偏离表的要求</w:t>
            </w:r>
          </w:p>
        </w:tc>
        <w:tc>
          <w:tcPr>
            <w:tcW w:w="7311" w:type="dxa"/>
            <w:tcBorders>
              <w:top w:val="single" w:color="auto" w:sz="4" w:space="0"/>
              <w:left w:val="single" w:color="auto" w:sz="4" w:space="0"/>
              <w:bottom w:val="single" w:color="auto" w:sz="4" w:space="0"/>
              <w:right w:val="single" w:color="auto" w:sz="4" w:space="0"/>
            </w:tcBorders>
            <w:vAlign w:val="center"/>
          </w:tcPr>
          <w:p w14:paraId="11B9FB0A">
            <w:pPr>
              <w:adjustRightInd w:val="0"/>
              <w:snapToGrid w:val="0"/>
              <w:ind w:firstLine="420" w:firstLineChars="200"/>
              <w:rPr>
                <w:rFonts w:eastAsia="仿宋"/>
                <w:szCs w:val="21"/>
              </w:rPr>
            </w:pPr>
            <w:r>
              <w:rPr>
                <w:rFonts w:eastAsia="仿宋"/>
                <w:szCs w:val="21"/>
              </w:rPr>
              <w:t>磋商文件中所有偏离表内容若无偏离，应在响应表格中填写“无”，未填写视为不响应磋商文件。</w:t>
            </w:r>
          </w:p>
        </w:tc>
      </w:tr>
      <w:tr w14:paraId="7687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078E2FF4">
            <w:pPr>
              <w:adjustRightInd w:val="0"/>
              <w:snapToGrid w:val="0"/>
              <w:jc w:val="center"/>
              <w:rPr>
                <w:rFonts w:eastAsia="仿宋"/>
                <w:bCs/>
                <w:szCs w:val="21"/>
              </w:rPr>
            </w:pPr>
            <w:r>
              <w:rPr>
                <w:rFonts w:eastAsia="仿宋"/>
                <w:bCs/>
                <w:szCs w:val="21"/>
              </w:rPr>
              <w:t>28</w:t>
            </w:r>
          </w:p>
        </w:tc>
        <w:tc>
          <w:tcPr>
            <w:tcW w:w="1699" w:type="dxa"/>
            <w:tcBorders>
              <w:right w:val="single" w:color="auto" w:sz="4" w:space="0"/>
            </w:tcBorders>
            <w:vAlign w:val="center"/>
          </w:tcPr>
          <w:p w14:paraId="74D2582A">
            <w:pPr>
              <w:overflowPunct w:val="0"/>
              <w:adjustRightInd w:val="0"/>
              <w:snapToGrid w:val="0"/>
              <w:jc w:val="center"/>
              <w:rPr>
                <w:rFonts w:eastAsia="仿宋"/>
                <w:szCs w:val="21"/>
              </w:rPr>
            </w:pPr>
            <w:r>
              <w:rPr>
                <w:rFonts w:eastAsia="仿宋"/>
                <w:szCs w:val="21"/>
              </w:rPr>
              <w:t>特别声明</w:t>
            </w:r>
          </w:p>
        </w:tc>
        <w:tc>
          <w:tcPr>
            <w:tcW w:w="7311" w:type="dxa"/>
            <w:tcBorders>
              <w:top w:val="single" w:color="auto" w:sz="4" w:space="0"/>
              <w:left w:val="single" w:color="auto" w:sz="4" w:space="0"/>
              <w:bottom w:val="single" w:color="auto" w:sz="4" w:space="0"/>
              <w:right w:val="single" w:color="auto" w:sz="4" w:space="0"/>
            </w:tcBorders>
            <w:vAlign w:val="center"/>
          </w:tcPr>
          <w:p w14:paraId="448D29C2">
            <w:pPr>
              <w:adjustRightInd w:val="0"/>
              <w:snapToGrid w:val="0"/>
              <w:ind w:firstLine="420" w:firstLineChars="200"/>
              <w:rPr>
                <w:rFonts w:eastAsia="仿宋"/>
                <w:szCs w:val="21"/>
              </w:rPr>
            </w:pPr>
            <w:r>
              <w:rPr>
                <w:rFonts w:eastAsia="仿宋"/>
                <w:szCs w:val="21"/>
              </w:rPr>
              <w:t>供应商在制作响应文件时，不得弄虚作假，不伪造和变造本不属于供应商本身的响应材料。（如假证书、假业绩、假合同、假授权、故意隐瞒不良行为记录、夸大荣誉、使用非供应商在职员工的相关证件及其他不符合《中华人民共和国政府采购法》《政府采购竞争性磋商采购方式管理暂行办法》等规定的条款）；如在采购过程中发现有供应商出现此类问题，将按照政府采购相关法律法规规定进行处理，并将其列入政府采购黑名单库。</w:t>
            </w:r>
          </w:p>
        </w:tc>
      </w:tr>
      <w:tr w14:paraId="6B73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563EC206">
            <w:pPr>
              <w:adjustRightInd w:val="0"/>
              <w:snapToGrid w:val="0"/>
              <w:jc w:val="center"/>
              <w:rPr>
                <w:rFonts w:eastAsia="仿宋"/>
                <w:bCs/>
                <w:szCs w:val="21"/>
              </w:rPr>
            </w:pPr>
            <w:r>
              <w:rPr>
                <w:rFonts w:eastAsia="仿宋"/>
                <w:bCs/>
                <w:szCs w:val="21"/>
              </w:rPr>
              <w:t>29</w:t>
            </w:r>
          </w:p>
        </w:tc>
        <w:tc>
          <w:tcPr>
            <w:tcW w:w="1699" w:type="dxa"/>
            <w:tcBorders>
              <w:right w:val="single" w:color="auto" w:sz="4" w:space="0"/>
            </w:tcBorders>
            <w:vAlign w:val="center"/>
          </w:tcPr>
          <w:p w14:paraId="40A64782">
            <w:pPr>
              <w:overflowPunct w:val="0"/>
              <w:adjustRightInd w:val="0"/>
              <w:snapToGrid w:val="0"/>
              <w:jc w:val="center"/>
              <w:rPr>
                <w:rFonts w:eastAsia="仿宋"/>
                <w:szCs w:val="21"/>
              </w:rPr>
            </w:pPr>
            <w:r>
              <w:rPr>
                <w:rFonts w:eastAsia="仿宋"/>
                <w:szCs w:val="21"/>
              </w:rPr>
              <w:t>特别提示</w:t>
            </w:r>
          </w:p>
        </w:tc>
        <w:tc>
          <w:tcPr>
            <w:tcW w:w="7311" w:type="dxa"/>
            <w:tcBorders>
              <w:top w:val="single" w:color="auto" w:sz="4" w:space="0"/>
              <w:left w:val="single" w:color="auto" w:sz="4" w:space="0"/>
              <w:bottom w:val="single" w:color="auto" w:sz="4" w:space="0"/>
              <w:right w:val="single" w:color="auto" w:sz="4" w:space="0"/>
            </w:tcBorders>
            <w:vAlign w:val="center"/>
          </w:tcPr>
          <w:p w14:paraId="46120C36">
            <w:pPr>
              <w:adjustRightInd w:val="0"/>
              <w:snapToGrid w:val="0"/>
              <w:ind w:firstLine="420" w:firstLineChars="200"/>
              <w:rPr>
                <w:rFonts w:eastAsia="仿宋"/>
                <w:szCs w:val="21"/>
              </w:rPr>
            </w:pPr>
            <w:r>
              <w:rPr>
                <w:rFonts w:eastAsia="仿宋"/>
                <w:szCs w:val="21"/>
              </w:rPr>
              <w:t>1.各供应商必须针对项目特点制作响应文件并报价，响应文件均必须满足磋商文件制作等要求，否则将导致磋商被拒绝。</w:t>
            </w:r>
          </w:p>
          <w:p w14:paraId="3D6B401F">
            <w:pPr>
              <w:adjustRightInd w:val="0"/>
              <w:snapToGrid w:val="0"/>
              <w:ind w:firstLine="420" w:firstLineChars="200"/>
              <w:rPr>
                <w:rFonts w:eastAsia="仿宋"/>
                <w:szCs w:val="21"/>
              </w:rPr>
            </w:pPr>
            <w:r>
              <w:rPr>
                <w:rFonts w:eastAsia="仿宋"/>
                <w:szCs w:val="21"/>
              </w:rPr>
              <w:t>2.当出现下列情形之一，响应文件将予以退回：</w:t>
            </w:r>
          </w:p>
          <w:p w14:paraId="5687AA32">
            <w:pPr>
              <w:adjustRightInd w:val="0"/>
              <w:snapToGrid w:val="0"/>
              <w:rPr>
                <w:rFonts w:eastAsia="仿宋"/>
                <w:szCs w:val="21"/>
              </w:rPr>
            </w:pPr>
            <w:r>
              <w:rPr>
                <w:rFonts w:eastAsia="仿宋"/>
                <w:szCs w:val="21"/>
              </w:rPr>
              <w:t>（1）供应商在磋商文件递交截止时间前未成功上传加密电子响应文件；</w:t>
            </w:r>
          </w:p>
          <w:p w14:paraId="2D991E33">
            <w:pPr>
              <w:adjustRightInd w:val="0"/>
              <w:snapToGrid w:val="0"/>
              <w:rPr>
                <w:rFonts w:eastAsia="仿宋"/>
                <w:szCs w:val="21"/>
              </w:rPr>
            </w:pPr>
            <w:r>
              <w:rPr>
                <w:rFonts w:eastAsia="仿宋"/>
                <w:szCs w:val="21"/>
              </w:rPr>
              <w:t>（2）供应商使用解密的CA数字证书与上传加密响应文件使用的CA数字证书不一致；</w:t>
            </w:r>
          </w:p>
          <w:p w14:paraId="662862CA">
            <w:pPr>
              <w:adjustRightInd w:val="0"/>
              <w:snapToGrid w:val="0"/>
              <w:rPr>
                <w:rFonts w:eastAsia="仿宋"/>
                <w:szCs w:val="21"/>
              </w:rPr>
            </w:pPr>
            <w:r>
              <w:rPr>
                <w:rFonts w:eastAsia="仿宋"/>
                <w:szCs w:val="21"/>
              </w:rPr>
              <w:t>（3）供应商解密时CA数字证书已过期，导致无法正常解密；</w:t>
            </w:r>
          </w:p>
          <w:p w14:paraId="3662DE89">
            <w:pPr>
              <w:adjustRightInd w:val="0"/>
              <w:snapToGrid w:val="0"/>
              <w:rPr>
                <w:rFonts w:eastAsia="仿宋"/>
                <w:szCs w:val="21"/>
              </w:rPr>
            </w:pPr>
            <w:r>
              <w:rPr>
                <w:rFonts w:eastAsia="仿宋"/>
                <w:szCs w:val="21"/>
              </w:rPr>
              <w:t>（4）加密响应文件时，CA数字证书未过期，解密时，显示CA数字证书已过期，导致无法正常解密；</w:t>
            </w:r>
          </w:p>
          <w:p w14:paraId="0A0010FA">
            <w:pPr>
              <w:adjustRightInd w:val="0"/>
              <w:snapToGrid w:val="0"/>
              <w:rPr>
                <w:rFonts w:eastAsia="仿宋"/>
                <w:szCs w:val="21"/>
              </w:rPr>
            </w:pPr>
            <w:r>
              <w:rPr>
                <w:rFonts w:eastAsia="仿宋"/>
                <w:szCs w:val="21"/>
              </w:rPr>
              <w:t>（5）未在规定的响应文件解密时间内进行解密的；</w:t>
            </w:r>
          </w:p>
          <w:p w14:paraId="3F980D2E">
            <w:pPr>
              <w:adjustRightInd w:val="0"/>
              <w:snapToGrid w:val="0"/>
              <w:rPr>
                <w:rFonts w:eastAsia="仿宋"/>
                <w:szCs w:val="21"/>
              </w:rPr>
            </w:pPr>
            <w:r>
              <w:rPr>
                <w:rFonts w:eastAsia="仿宋"/>
                <w:szCs w:val="21"/>
              </w:rPr>
              <w:t xml:space="preserve">（6）供应商个人原因导致无法解密的其他情形。 </w:t>
            </w:r>
          </w:p>
          <w:p w14:paraId="473E66B1">
            <w:pPr>
              <w:adjustRightInd w:val="0"/>
              <w:snapToGrid w:val="0"/>
              <w:ind w:firstLine="420" w:firstLineChars="200"/>
              <w:rPr>
                <w:rFonts w:eastAsia="仿宋"/>
                <w:szCs w:val="21"/>
              </w:rPr>
            </w:pPr>
            <w:r>
              <w:rPr>
                <w:rFonts w:eastAsia="仿宋"/>
                <w:szCs w:val="21"/>
              </w:rPr>
              <w:t>3.供应商应在磋商截止时间前将响应时使用的计算机安装相关的浏览器（推荐使用谷歌浏览器）、CA驱动等软件，方便响应文件解密时能够正常解密。</w:t>
            </w:r>
          </w:p>
          <w:p w14:paraId="3FF66AFE">
            <w:pPr>
              <w:adjustRightInd w:val="0"/>
              <w:snapToGrid w:val="0"/>
              <w:ind w:firstLine="420" w:firstLineChars="200"/>
              <w:rPr>
                <w:rFonts w:eastAsia="仿宋"/>
                <w:szCs w:val="21"/>
              </w:rPr>
            </w:pPr>
            <w:r>
              <w:rPr>
                <w:rFonts w:eastAsia="仿宋"/>
                <w:szCs w:val="21"/>
              </w:rPr>
              <w:t>4.供应商需在磋商截止时间前自行测试开标时使用的计算机，如因供应商自身原因导致响应文件解密失败的，由供应商自行承担相应后果。</w:t>
            </w:r>
          </w:p>
        </w:tc>
      </w:tr>
      <w:tr w14:paraId="04A0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46F03BBB">
            <w:pPr>
              <w:adjustRightInd w:val="0"/>
              <w:snapToGrid w:val="0"/>
              <w:jc w:val="center"/>
              <w:rPr>
                <w:rFonts w:eastAsia="仿宋"/>
                <w:bCs/>
                <w:szCs w:val="21"/>
              </w:rPr>
            </w:pPr>
            <w:r>
              <w:rPr>
                <w:rFonts w:eastAsia="仿宋"/>
                <w:bCs/>
                <w:szCs w:val="21"/>
              </w:rPr>
              <w:t>30</w:t>
            </w:r>
          </w:p>
        </w:tc>
        <w:tc>
          <w:tcPr>
            <w:tcW w:w="1699" w:type="dxa"/>
            <w:tcBorders>
              <w:right w:val="single" w:color="auto" w:sz="4" w:space="0"/>
            </w:tcBorders>
            <w:vAlign w:val="center"/>
          </w:tcPr>
          <w:p w14:paraId="093059DE">
            <w:pPr>
              <w:adjustRightInd w:val="0"/>
              <w:snapToGrid w:val="0"/>
              <w:jc w:val="center"/>
              <w:rPr>
                <w:rFonts w:eastAsia="仿宋"/>
                <w:snapToGrid w:val="0"/>
                <w:szCs w:val="21"/>
              </w:rPr>
            </w:pPr>
            <w:r>
              <w:rPr>
                <w:rFonts w:eastAsia="仿宋"/>
                <w:snapToGrid w:val="0"/>
                <w:szCs w:val="21"/>
              </w:rPr>
              <w:t>注意事项</w:t>
            </w:r>
          </w:p>
        </w:tc>
        <w:tc>
          <w:tcPr>
            <w:tcW w:w="7311" w:type="dxa"/>
            <w:tcBorders>
              <w:top w:val="single" w:color="auto" w:sz="4" w:space="0"/>
              <w:left w:val="single" w:color="auto" w:sz="4" w:space="0"/>
              <w:bottom w:val="single" w:color="auto" w:sz="4" w:space="0"/>
              <w:right w:val="single" w:color="auto" w:sz="4" w:space="0"/>
            </w:tcBorders>
            <w:vAlign w:val="center"/>
          </w:tcPr>
          <w:p w14:paraId="1EF44077">
            <w:pPr>
              <w:adjustRightInd w:val="0"/>
              <w:snapToGrid w:val="0"/>
              <w:ind w:firstLine="420" w:firstLineChars="200"/>
              <w:rPr>
                <w:rFonts w:eastAsia="仿宋"/>
                <w:szCs w:val="21"/>
              </w:rPr>
            </w:pPr>
            <w:r>
              <w:rPr>
                <w:rFonts w:eastAsia="仿宋"/>
                <w:szCs w:val="21"/>
              </w:rPr>
              <w:t>1.无论何种原因，在响应文件中未提供相应材料的，磋商小组将视同其未提供。</w:t>
            </w:r>
          </w:p>
          <w:p w14:paraId="1B59CC28">
            <w:pPr>
              <w:adjustRightInd w:val="0"/>
              <w:snapToGrid w:val="0"/>
              <w:ind w:firstLine="420" w:firstLineChars="200"/>
              <w:rPr>
                <w:rFonts w:eastAsia="仿宋"/>
                <w:szCs w:val="21"/>
              </w:rPr>
            </w:pPr>
            <w:r>
              <w:rPr>
                <w:rFonts w:eastAsia="仿宋"/>
                <w:szCs w:val="21"/>
              </w:rPr>
              <w:t>2.各供应商应在开标前应确保成为新疆政府采购网正式注册入库供应商，并完成CA数字证书（符合国密标准）申领。如需咨询，请联系新疆CA服务热线0991-2819290；</w:t>
            </w:r>
          </w:p>
          <w:p w14:paraId="5EF9D37A">
            <w:pPr>
              <w:adjustRightInd w:val="0"/>
              <w:snapToGrid w:val="0"/>
              <w:ind w:firstLine="420" w:firstLineChars="200"/>
              <w:rPr>
                <w:rFonts w:eastAsia="仿宋"/>
                <w:szCs w:val="21"/>
              </w:rPr>
            </w:pPr>
            <w:r>
              <w:rPr>
                <w:rFonts w:eastAsia="仿宋"/>
                <w:szCs w:val="21"/>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3132CAF5">
            <w:pPr>
              <w:adjustRightInd w:val="0"/>
              <w:snapToGrid w:val="0"/>
              <w:ind w:firstLine="420" w:firstLineChars="200"/>
              <w:rPr>
                <w:rFonts w:eastAsia="仿宋"/>
                <w:snapToGrid w:val="0"/>
                <w:szCs w:val="21"/>
              </w:rPr>
            </w:pPr>
            <w:r>
              <w:rPr>
                <w:rFonts w:eastAsia="仿宋"/>
                <w:szCs w:val="21"/>
              </w:rPr>
              <w:t>4.供应商首次参加政府采购活动的，可前往新疆政府采购网（ http://www.ccgp-xinjiang.gov.cn/）下载操作指南。（步骤：进入新疆政府采购网</w:t>
            </w:r>
            <w:r>
              <w:rPr>
                <w:rFonts w:eastAsia="仿宋"/>
                <w:w w:val="80"/>
                <w:szCs w:val="21"/>
              </w:rPr>
              <w:t>（http://www.ccgp-xinjiang.gov.cn/）</w:t>
            </w:r>
            <w:r>
              <w:rPr>
                <w:rFonts w:eastAsia="仿宋"/>
                <w:szCs w:val="21"/>
              </w:rPr>
              <w:t>点击主页面的办事指南—选择并下载供应商政采云平台操作指南）。</w:t>
            </w:r>
          </w:p>
        </w:tc>
      </w:tr>
      <w:tr w14:paraId="5574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2E68B071">
            <w:pPr>
              <w:adjustRightInd w:val="0"/>
              <w:snapToGrid w:val="0"/>
              <w:jc w:val="center"/>
              <w:rPr>
                <w:rFonts w:eastAsia="仿宋"/>
                <w:bCs/>
                <w:szCs w:val="21"/>
              </w:rPr>
            </w:pPr>
            <w:r>
              <w:rPr>
                <w:rFonts w:eastAsia="仿宋"/>
                <w:bCs/>
                <w:szCs w:val="21"/>
              </w:rPr>
              <w:t>31</w:t>
            </w:r>
          </w:p>
        </w:tc>
        <w:tc>
          <w:tcPr>
            <w:tcW w:w="1699" w:type="dxa"/>
            <w:tcBorders>
              <w:right w:val="single" w:color="auto" w:sz="4" w:space="0"/>
            </w:tcBorders>
            <w:vAlign w:val="center"/>
          </w:tcPr>
          <w:p w14:paraId="0145B645">
            <w:pPr>
              <w:adjustRightInd w:val="0"/>
              <w:snapToGrid w:val="0"/>
              <w:jc w:val="center"/>
              <w:rPr>
                <w:rFonts w:eastAsia="仿宋"/>
                <w:snapToGrid w:val="0"/>
                <w:szCs w:val="21"/>
                <w:highlight w:val="yellow"/>
              </w:rPr>
            </w:pPr>
            <w:r>
              <w:rPr>
                <w:rFonts w:eastAsia="仿宋"/>
                <w:bCs/>
                <w:szCs w:val="21"/>
              </w:rPr>
              <w:t>低于成本价不正当竞争预防措施</w:t>
            </w:r>
          </w:p>
        </w:tc>
        <w:tc>
          <w:tcPr>
            <w:tcW w:w="7311" w:type="dxa"/>
            <w:tcBorders>
              <w:top w:val="single" w:color="auto" w:sz="4" w:space="0"/>
              <w:left w:val="single" w:color="auto" w:sz="4" w:space="0"/>
              <w:bottom w:val="single" w:color="auto" w:sz="4" w:space="0"/>
              <w:right w:val="single" w:color="auto" w:sz="4" w:space="0"/>
            </w:tcBorders>
            <w:vAlign w:val="center"/>
          </w:tcPr>
          <w:p w14:paraId="6A6E3906">
            <w:pPr>
              <w:snapToGrid w:val="0"/>
              <w:rPr>
                <w:rFonts w:eastAsia="仿宋"/>
                <w:b/>
                <w:szCs w:val="21"/>
              </w:rPr>
            </w:pPr>
            <w:r>
              <w:rPr>
                <w:rFonts w:eastAsia="仿宋"/>
                <w:b/>
                <w:szCs w:val="21"/>
              </w:rPr>
              <w:t>低于成本价不正当竞争预防措施：财库〔2026〕2号</w:t>
            </w:r>
          </w:p>
          <w:p w14:paraId="218E91B8">
            <w:pPr>
              <w:snapToGrid w:val="0"/>
              <w:ind w:firstLine="420" w:firstLineChars="200"/>
              <w:rPr>
                <w:rFonts w:eastAsia="仿宋"/>
                <w:bCs/>
                <w:szCs w:val="21"/>
              </w:rPr>
            </w:pPr>
            <w:r>
              <w:rPr>
                <w:rFonts w:eastAsia="仿宋"/>
                <w:bCs/>
                <w:szCs w:val="21"/>
              </w:rPr>
              <w:t>（一）评审中出现下列情形之一的，磋商小组应当启动异常低价投标（响应）审查程序：</w:t>
            </w:r>
          </w:p>
          <w:p w14:paraId="75790C6B">
            <w:pPr>
              <w:snapToGrid w:val="0"/>
              <w:ind w:firstLine="420" w:firstLineChars="200"/>
              <w:rPr>
                <w:rFonts w:eastAsia="仿宋"/>
                <w:bCs/>
                <w:szCs w:val="21"/>
              </w:rPr>
            </w:pPr>
            <w:r>
              <w:rPr>
                <w:rFonts w:eastAsia="仿宋"/>
                <w:bCs/>
                <w:szCs w:val="21"/>
              </w:rPr>
              <w:t>1.投标（响应）报价低于全部通过符合性审查供应商投标（响应）报价平均值50%的，即投标（响应）报价&lt;全部通过符合性审查供应商投标（响应）报价平均值×50%；</w:t>
            </w:r>
          </w:p>
          <w:p w14:paraId="3FDE5723">
            <w:pPr>
              <w:snapToGrid w:val="0"/>
              <w:ind w:firstLine="420" w:firstLineChars="200"/>
              <w:rPr>
                <w:rFonts w:eastAsia="仿宋"/>
                <w:bCs/>
                <w:szCs w:val="21"/>
              </w:rPr>
            </w:pPr>
            <w:r>
              <w:rPr>
                <w:rFonts w:eastAsia="仿宋"/>
                <w:bCs/>
                <w:szCs w:val="21"/>
              </w:rPr>
              <w:t>2.投标（响应）报价低于通过符合性审查的次低报价供应商投标（响应）报价50%的，即投标（响应）报价&lt;通过符合性审查的次低报价供应商投标（响应）报价×50%；</w:t>
            </w:r>
          </w:p>
          <w:p w14:paraId="4FC1B3B4">
            <w:pPr>
              <w:snapToGrid w:val="0"/>
              <w:ind w:firstLine="420" w:firstLineChars="200"/>
              <w:rPr>
                <w:rFonts w:eastAsia="仿宋"/>
                <w:bCs/>
                <w:szCs w:val="21"/>
              </w:rPr>
            </w:pPr>
            <w:r>
              <w:rPr>
                <w:rFonts w:eastAsia="仿宋"/>
                <w:bCs/>
                <w:szCs w:val="21"/>
              </w:rPr>
              <w:t>3.投标（响应）报价低于采购项目最高限价45%的，即投标（响应）报价&lt;采购项目最高限价×45%；</w:t>
            </w:r>
          </w:p>
          <w:p w14:paraId="5517E000">
            <w:pPr>
              <w:snapToGrid w:val="0"/>
              <w:ind w:firstLine="420" w:firstLineChars="200"/>
              <w:rPr>
                <w:rFonts w:eastAsia="仿宋"/>
                <w:bCs/>
                <w:szCs w:val="21"/>
              </w:rPr>
            </w:pPr>
            <w:r>
              <w:rPr>
                <w:rFonts w:eastAsia="仿宋"/>
                <w:bCs/>
                <w:szCs w:val="21"/>
              </w:rPr>
              <w:t>4.磋商小组基于专业判断，认为供应商报价过低，有可能影响产品质量或者不能诚信履约的其他情形。</w:t>
            </w:r>
          </w:p>
          <w:p w14:paraId="0FF93127">
            <w:pPr>
              <w:snapToGrid w:val="0"/>
              <w:ind w:firstLine="420" w:firstLineChars="200"/>
              <w:rPr>
                <w:rFonts w:eastAsia="仿宋"/>
                <w:bCs/>
                <w:szCs w:val="21"/>
              </w:rPr>
            </w:pPr>
            <w:r>
              <w:rPr>
                <w:rFonts w:eastAsia="仿宋"/>
                <w:bCs/>
                <w:szCs w:val="21"/>
              </w:rPr>
              <w:t>采购人可以结合具体项目实际情况，提高上述第1项至第3项中启动异常低价投标（响应）审查的数值标准，但是最高不得超过65%。</w:t>
            </w:r>
          </w:p>
          <w:p w14:paraId="65DF4DC7">
            <w:pPr>
              <w:snapToGrid w:val="0"/>
              <w:rPr>
                <w:rFonts w:eastAsia="仿宋"/>
                <w:bCs/>
                <w:szCs w:val="21"/>
              </w:rPr>
            </w:pPr>
            <w:r>
              <w:rPr>
                <w:rFonts w:eastAsia="仿宋"/>
                <w:bCs/>
                <w:szCs w:val="21"/>
              </w:rPr>
              <w:t>相关法律法规对供应商报价有规定的，从其规定。</w:t>
            </w:r>
          </w:p>
          <w:p w14:paraId="42B7B65E">
            <w:pPr>
              <w:snapToGrid w:val="0"/>
              <w:ind w:firstLine="420" w:firstLineChars="200"/>
              <w:rPr>
                <w:rFonts w:eastAsia="仿宋"/>
                <w:bCs/>
                <w:szCs w:val="21"/>
              </w:rPr>
            </w:pPr>
            <w:r>
              <w:rPr>
                <w:rFonts w:eastAsia="仿宋"/>
                <w:bCs/>
                <w:szCs w:val="21"/>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CDBFD48">
            <w:pPr>
              <w:snapToGrid w:val="0"/>
              <w:ind w:firstLine="420" w:firstLineChars="200"/>
              <w:rPr>
                <w:rFonts w:eastAsia="仿宋"/>
                <w:bCs/>
                <w:szCs w:val="21"/>
              </w:rPr>
            </w:pPr>
            <w:r>
              <w:rPr>
                <w:rFonts w:eastAsia="仿宋"/>
                <w:bCs/>
                <w:szCs w:val="21"/>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E90716C">
            <w:pPr>
              <w:snapToGrid w:val="0"/>
              <w:ind w:firstLine="420" w:firstLineChars="200"/>
              <w:rPr>
                <w:rFonts w:eastAsia="仿宋"/>
                <w:bCs/>
                <w:szCs w:val="21"/>
              </w:rPr>
            </w:pPr>
            <w:r>
              <w:rPr>
                <w:rFonts w:eastAsia="仿宋"/>
                <w:bCs/>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65C13E7">
            <w:pPr>
              <w:autoSpaceDE w:val="0"/>
              <w:autoSpaceDN w:val="0"/>
              <w:adjustRightInd w:val="0"/>
              <w:snapToGrid w:val="0"/>
              <w:ind w:firstLine="420" w:firstLineChars="200"/>
              <w:jc w:val="left"/>
              <w:rPr>
                <w:rFonts w:eastAsia="仿宋"/>
                <w:b/>
                <w:bCs/>
                <w:szCs w:val="21"/>
                <w:highlight w:val="yellow"/>
              </w:rPr>
            </w:pPr>
            <w:r>
              <w:rPr>
                <w:rFonts w:eastAsia="仿宋"/>
                <w:bCs/>
                <w:szCs w:val="21"/>
              </w:rPr>
              <w:t>异常低价投标（响应）审查的启动原因、审查意见和审查结果应当在评审报告中记录，并随供应商提供的相关书面说明及证明材料，以及磋商小组有关互联网浏览、查询历史一并归档。</w:t>
            </w:r>
          </w:p>
        </w:tc>
      </w:tr>
      <w:tr w14:paraId="72C7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9A0E9F6">
            <w:pPr>
              <w:adjustRightInd w:val="0"/>
              <w:snapToGrid w:val="0"/>
              <w:jc w:val="center"/>
              <w:rPr>
                <w:rFonts w:eastAsia="仿宋"/>
                <w:bCs/>
                <w:szCs w:val="21"/>
              </w:rPr>
            </w:pPr>
            <w:r>
              <w:rPr>
                <w:rFonts w:eastAsia="仿宋"/>
                <w:bCs/>
                <w:szCs w:val="21"/>
              </w:rPr>
              <w:t>32</w:t>
            </w:r>
          </w:p>
        </w:tc>
        <w:tc>
          <w:tcPr>
            <w:tcW w:w="1699" w:type="dxa"/>
            <w:tcBorders>
              <w:right w:val="single" w:color="auto" w:sz="4" w:space="0"/>
            </w:tcBorders>
            <w:vAlign w:val="center"/>
          </w:tcPr>
          <w:p w14:paraId="5D3C6C17">
            <w:pPr>
              <w:adjustRightInd w:val="0"/>
              <w:snapToGrid w:val="0"/>
              <w:jc w:val="center"/>
              <w:rPr>
                <w:rFonts w:eastAsia="仿宋"/>
                <w:bCs/>
                <w:szCs w:val="21"/>
              </w:rPr>
            </w:pPr>
            <w:r>
              <w:rPr>
                <w:rFonts w:eastAsia="仿宋"/>
                <w:bCs/>
                <w:szCs w:val="21"/>
              </w:rPr>
              <w:t>政府采购政策</w:t>
            </w:r>
          </w:p>
          <w:p w14:paraId="720B9382">
            <w:pPr>
              <w:adjustRightInd w:val="0"/>
              <w:snapToGrid w:val="0"/>
              <w:jc w:val="center"/>
              <w:rPr>
                <w:rFonts w:eastAsia="仿宋"/>
                <w:bCs/>
                <w:szCs w:val="21"/>
              </w:rPr>
            </w:pPr>
            <w:r>
              <w:rPr>
                <w:rFonts w:eastAsia="仿宋"/>
                <w:bCs/>
                <w:szCs w:val="21"/>
              </w:rPr>
              <w:t>支持</w:t>
            </w:r>
          </w:p>
        </w:tc>
        <w:tc>
          <w:tcPr>
            <w:tcW w:w="7311" w:type="dxa"/>
            <w:tcBorders>
              <w:top w:val="single" w:color="auto" w:sz="4" w:space="0"/>
              <w:left w:val="single" w:color="auto" w:sz="4" w:space="0"/>
              <w:bottom w:val="single" w:color="auto" w:sz="4" w:space="0"/>
              <w:right w:val="single" w:color="auto" w:sz="4" w:space="0"/>
            </w:tcBorders>
            <w:vAlign w:val="center"/>
          </w:tcPr>
          <w:p w14:paraId="4126C44F">
            <w:pPr>
              <w:autoSpaceDE w:val="0"/>
              <w:autoSpaceDN w:val="0"/>
              <w:adjustRightInd w:val="0"/>
              <w:snapToGrid w:val="0"/>
              <w:jc w:val="left"/>
              <w:rPr>
                <w:rFonts w:eastAsia="仿宋"/>
                <w:b/>
                <w:bCs/>
                <w:szCs w:val="21"/>
              </w:rPr>
            </w:pPr>
            <w:r>
              <w:rPr>
                <w:rFonts w:eastAsia="仿宋"/>
                <w:b/>
                <w:bCs/>
                <w:szCs w:val="21"/>
              </w:rPr>
              <w:t>关于落实中小企业政府采购政策：</w:t>
            </w:r>
          </w:p>
          <w:p w14:paraId="0745DBB3">
            <w:pPr>
              <w:autoSpaceDE w:val="0"/>
              <w:autoSpaceDN w:val="0"/>
              <w:adjustRightInd w:val="0"/>
              <w:snapToGrid w:val="0"/>
              <w:ind w:firstLine="420" w:firstLineChars="200"/>
              <w:jc w:val="left"/>
              <w:rPr>
                <w:rFonts w:eastAsia="仿宋"/>
                <w:szCs w:val="21"/>
              </w:rPr>
            </w:pPr>
            <w:r>
              <w:rPr>
                <w:rFonts w:eastAsia="仿宋"/>
                <w:szCs w:val="21"/>
              </w:rPr>
              <w:t>因本项目为专门面向中小企业采购项目,不再执行价格评审优惠的扶持政策；</w:t>
            </w:r>
          </w:p>
          <w:p w14:paraId="1E0A2311">
            <w:pPr>
              <w:overflowPunct w:val="0"/>
              <w:adjustRightInd w:val="0"/>
              <w:snapToGrid w:val="0"/>
              <w:ind w:right="136" w:rightChars="65" w:firstLine="420" w:firstLineChars="200"/>
              <w:rPr>
                <w:rFonts w:eastAsia="仿宋"/>
                <w:szCs w:val="21"/>
              </w:rPr>
            </w:pPr>
            <w:r>
              <w:rPr>
                <w:rFonts w:eastAsia="仿宋"/>
                <w:szCs w:val="21"/>
              </w:rPr>
              <w:t>1.根据工信部等部委发布的《关于印发中小企业划型标准规定的通知》（工信部联企业〔2011〕300号）、财政部、工业和信息化部《政府采购促进中小企业发展管理办法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规定、新疆维吾尔自治区财政厅、新疆生产建设兵团财政局《关于落实好政府采购支持中小企业发展的通知》(新财购[2022]22号)，</w:t>
            </w:r>
            <w:r>
              <w:rPr>
                <w:rFonts w:eastAsia="仿宋"/>
                <w:b/>
                <w:bCs/>
                <w:szCs w:val="21"/>
                <w:u w:val="single"/>
              </w:rPr>
              <w:t>本次采购标的所属行业为其他未列明行业</w:t>
            </w:r>
            <w:r>
              <w:rPr>
                <w:rFonts w:eastAsia="仿宋"/>
                <w:szCs w:val="21"/>
              </w:rPr>
              <w:t>，符合中小微型企业应按照磋商文件格式要求提供《中小企业声明函》（见格式），（监狱企业、残疾人福利性单位视同为中小企业）。</w:t>
            </w:r>
          </w:p>
          <w:p w14:paraId="05F01022">
            <w:pPr>
              <w:pStyle w:val="6"/>
              <w:rPr>
                <w:rFonts w:eastAsia="仿宋"/>
                <w:b/>
                <w:bCs/>
                <w:szCs w:val="21"/>
              </w:rPr>
            </w:pPr>
            <w:r>
              <w:rPr>
                <w:rFonts w:eastAsia="仿宋"/>
                <w:szCs w:val="21"/>
              </w:rPr>
              <w:t>2.依据本办法规定享受扶持政策获得政府采购合同的，小微企业不得将合同分包给大中型企业，中型企业不得将合同分包给大型企业。）</w:t>
            </w:r>
          </w:p>
          <w:p w14:paraId="65A78A5E">
            <w:pPr>
              <w:autoSpaceDE w:val="0"/>
              <w:autoSpaceDN w:val="0"/>
              <w:adjustRightInd w:val="0"/>
              <w:snapToGrid w:val="0"/>
              <w:ind w:firstLine="420" w:firstLineChars="200"/>
              <w:jc w:val="left"/>
              <w:rPr>
                <w:rFonts w:eastAsia="仿宋"/>
                <w:szCs w:val="21"/>
              </w:rPr>
            </w:pPr>
            <w:r>
              <w:rPr>
                <w:rFonts w:eastAsia="仿宋"/>
                <w:szCs w:val="21"/>
              </w:rPr>
              <w:t>3.根据财政部、工业和信息化部《政府采购促进中小企业发展管理办法》(财库[2020]46号文)的规定,监狱企业、残疾人福利性单位视同为中小企业。符合以下条件的中小微型企业应按照磋商文件格式要求提供《中小企业声明函》。</w:t>
            </w:r>
          </w:p>
          <w:p w14:paraId="677423D1">
            <w:pPr>
              <w:autoSpaceDE w:val="0"/>
              <w:autoSpaceDN w:val="0"/>
              <w:adjustRightInd w:val="0"/>
              <w:snapToGrid w:val="0"/>
              <w:ind w:firstLine="420" w:firstLineChars="200"/>
              <w:jc w:val="left"/>
              <w:rPr>
                <w:rFonts w:eastAsia="仿宋"/>
                <w:szCs w:val="21"/>
              </w:rPr>
            </w:pPr>
            <w:r>
              <w:rPr>
                <w:rFonts w:eastAsia="仿宋"/>
                <w:szCs w:val="21"/>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D8F09CD">
            <w:pPr>
              <w:autoSpaceDE w:val="0"/>
              <w:autoSpaceDN w:val="0"/>
              <w:adjustRightInd w:val="0"/>
              <w:snapToGrid w:val="0"/>
              <w:ind w:firstLine="420" w:firstLineChars="200"/>
              <w:jc w:val="left"/>
              <w:rPr>
                <w:rFonts w:eastAsia="仿宋"/>
                <w:szCs w:val="21"/>
              </w:rPr>
            </w:pPr>
            <w:r>
              <w:rPr>
                <w:rFonts w:eastAsia="仿宋"/>
                <w:szCs w:val="21"/>
              </w:rPr>
              <w:t>(2)在政府采购活动中，供应商提供的货物、工程或者服务符合下列情形的，享受本办法规定的中小企业扶持政策：</w:t>
            </w:r>
          </w:p>
          <w:p w14:paraId="2377E780">
            <w:pPr>
              <w:autoSpaceDE w:val="0"/>
              <w:autoSpaceDN w:val="0"/>
              <w:adjustRightInd w:val="0"/>
              <w:snapToGrid w:val="0"/>
              <w:ind w:firstLine="420" w:firstLineChars="200"/>
              <w:jc w:val="left"/>
              <w:rPr>
                <w:rFonts w:eastAsia="仿宋"/>
                <w:szCs w:val="21"/>
              </w:rPr>
            </w:pPr>
            <w:r>
              <w:rPr>
                <w:rFonts w:eastAsia="仿宋"/>
                <w:szCs w:val="21"/>
              </w:rPr>
              <w:t>(一) 在货物采购项目中，货物由中小企业制造，即货物由中小企业生产且使用该中小企业商号或者注册商标；</w:t>
            </w:r>
          </w:p>
          <w:p w14:paraId="49F8CDE0">
            <w:pPr>
              <w:autoSpaceDE w:val="0"/>
              <w:autoSpaceDN w:val="0"/>
              <w:adjustRightInd w:val="0"/>
              <w:snapToGrid w:val="0"/>
              <w:ind w:firstLine="420" w:firstLineChars="200"/>
              <w:jc w:val="left"/>
              <w:rPr>
                <w:rFonts w:eastAsia="仿宋"/>
                <w:szCs w:val="21"/>
              </w:rPr>
            </w:pPr>
            <w:r>
              <w:rPr>
                <w:rFonts w:eastAsia="仿宋"/>
                <w:szCs w:val="21"/>
              </w:rPr>
              <w:t>(二) 在工程采购项目中，工程由中小企业承建，即工程施工单位为中小企业；</w:t>
            </w:r>
          </w:p>
          <w:p w14:paraId="68FEE2F0">
            <w:pPr>
              <w:autoSpaceDE w:val="0"/>
              <w:autoSpaceDN w:val="0"/>
              <w:adjustRightInd w:val="0"/>
              <w:snapToGrid w:val="0"/>
              <w:ind w:firstLine="420" w:firstLineChars="200"/>
              <w:jc w:val="left"/>
              <w:rPr>
                <w:rFonts w:eastAsia="仿宋"/>
                <w:szCs w:val="21"/>
              </w:rPr>
            </w:pPr>
            <w:r>
              <w:rPr>
                <w:rFonts w:eastAsia="仿宋"/>
                <w:szCs w:val="21"/>
              </w:rPr>
              <w:t>(三) 在服务采购项目中，服务由中小企业承接，即提供服务的人员为中小企业依照《中华人民共和国劳动合同法》订立劳动合同的从业人员。</w:t>
            </w:r>
          </w:p>
          <w:p w14:paraId="155505DB">
            <w:pPr>
              <w:autoSpaceDE w:val="0"/>
              <w:autoSpaceDN w:val="0"/>
              <w:adjustRightInd w:val="0"/>
              <w:snapToGrid w:val="0"/>
              <w:ind w:firstLine="420" w:firstLineChars="200"/>
              <w:jc w:val="left"/>
              <w:rPr>
                <w:rFonts w:eastAsia="仿宋"/>
                <w:szCs w:val="21"/>
              </w:rPr>
            </w:pPr>
            <w:r>
              <w:rPr>
                <w:rFonts w:eastAsia="仿宋"/>
                <w:szCs w:val="21"/>
              </w:rPr>
              <w:t>在货物采购项目中，供应商提供的货物既有中小企业制造货物，也有大型企业制造货物的，不享受本办法规定的中小企业扶持政策。</w:t>
            </w:r>
          </w:p>
          <w:p w14:paraId="79CE4EEA">
            <w:pPr>
              <w:autoSpaceDE w:val="0"/>
              <w:autoSpaceDN w:val="0"/>
              <w:adjustRightInd w:val="0"/>
              <w:snapToGrid w:val="0"/>
              <w:ind w:firstLine="420" w:firstLineChars="200"/>
              <w:jc w:val="left"/>
              <w:rPr>
                <w:rFonts w:eastAsia="仿宋"/>
                <w:szCs w:val="21"/>
              </w:rPr>
            </w:pPr>
            <w:r>
              <w:rPr>
                <w:rFonts w:eastAsia="仿宋"/>
                <w:szCs w:val="21"/>
              </w:rPr>
              <w:t>以联合体形式参加政府采购活动，联合体各方均为中小企业的，联合体视同中小企业。其中，联合体各方均为小微企业的，联合体视同小微企业。</w:t>
            </w:r>
          </w:p>
          <w:p w14:paraId="7AB65539">
            <w:pPr>
              <w:autoSpaceDE w:val="0"/>
              <w:autoSpaceDN w:val="0"/>
              <w:adjustRightInd w:val="0"/>
              <w:snapToGrid w:val="0"/>
              <w:ind w:firstLine="420" w:firstLineChars="200"/>
              <w:jc w:val="left"/>
              <w:rPr>
                <w:rFonts w:eastAsia="仿宋"/>
                <w:szCs w:val="21"/>
              </w:rPr>
            </w:pPr>
            <w:r>
              <w:rPr>
                <w:rFonts w:eastAsia="仿宋"/>
                <w:szCs w:val="21"/>
              </w:rPr>
              <w:t>(3)依据本办法规定享受扶持政策获得政府采购合同的，小微企业不得将合同分包给大中型企业，中型企业不得将合同分包给大型企业。</w:t>
            </w:r>
          </w:p>
          <w:p w14:paraId="3FF07367">
            <w:pPr>
              <w:autoSpaceDE w:val="0"/>
              <w:autoSpaceDN w:val="0"/>
              <w:adjustRightInd w:val="0"/>
              <w:snapToGrid w:val="0"/>
              <w:ind w:firstLine="420" w:firstLineChars="200"/>
              <w:jc w:val="left"/>
              <w:rPr>
                <w:rFonts w:eastAsia="仿宋"/>
                <w:szCs w:val="21"/>
              </w:rPr>
            </w:pPr>
            <w:r>
              <w:rPr>
                <w:rFonts w:eastAsia="仿宋"/>
                <w:szCs w:val="21"/>
              </w:rPr>
              <w:t>(4)提供由省级以上监狱管理局、戒毒管理局(含新疆生产建设兵团)出具的属于监狱企业证明文件(扫描件) 的，视同为小型和微型企业。</w:t>
            </w:r>
          </w:p>
          <w:p w14:paraId="06880E76">
            <w:pPr>
              <w:autoSpaceDE w:val="0"/>
              <w:autoSpaceDN w:val="0"/>
              <w:adjustRightInd w:val="0"/>
              <w:snapToGrid w:val="0"/>
              <w:ind w:firstLine="420" w:firstLineChars="200"/>
              <w:jc w:val="left"/>
              <w:rPr>
                <w:rFonts w:eastAsia="仿宋"/>
                <w:szCs w:val="21"/>
              </w:rPr>
            </w:pPr>
            <w:r>
              <w:rPr>
                <w:rFonts w:eastAsia="仿宋"/>
                <w:szCs w:val="21"/>
              </w:rPr>
              <w:t>(5)符合享受政府采购支持政策的残疾人福利性单位条件且提供《残疾人福利性单位声明函》的，视同为小型和微型企业。</w:t>
            </w:r>
          </w:p>
          <w:p w14:paraId="2C9F88C1">
            <w:pPr>
              <w:autoSpaceDE w:val="0"/>
              <w:autoSpaceDN w:val="0"/>
              <w:adjustRightInd w:val="0"/>
              <w:snapToGrid w:val="0"/>
              <w:ind w:firstLine="420" w:firstLineChars="200"/>
              <w:jc w:val="left"/>
              <w:rPr>
                <w:rFonts w:eastAsia="仿宋"/>
                <w:szCs w:val="21"/>
              </w:rPr>
            </w:pPr>
            <w:r>
              <w:rPr>
                <w:rFonts w:eastAsia="仿宋"/>
                <w:szCs w:val="21"/>
              </w:rPr>
              <w:t>(6)本采购项目中小企业划分标准所属行业为：</w:t>
            </w:r>
            <w:r>
              <w:rPr>
                <w:rFonts w:eastAsia="仿宋"/>
                <w:b/>
                <w:bCs/>
                <w:szCs w:val="21"/>
              </w:rPr>
              <w:t>其它为列明行业</w:t>
            </w:r>
            <w:r>
              <w:rPr>
                <w:rFonts w:eastAsia="仿宋"/>
                <w:szCs w:val="21"/>
              </w:rPr>
              <w:t>。即：从业人员300人以下的为中小微型企业。其中，从业人员100人及以上的为中型企业；从业人员10人及以上的为小型企业；从业人员10人以下的为微型企业。</w:t>
            </w:r>
          </w:p>
          <w:p w14:paraId="7F4E1D51">
            <w:pPr>
              <w:autoSpaceDE w:val="0"/>
              <w:autoSpaceDN w:val="0"/>
              <w:adjustRightInd w:val="0"/>
              <w:snapToGrid w:val="0"/>
              <w:jc w:val="left"/>
              <w:rPr>
                <w:rFonts w:eastAsia="仿宋"/>
                <w:bCs/>
                <w:szCs w:val="21"/>
              </w:rPr>
            </w:pPr>
            <w:r>
              <w:rPr>
                <w:rFonts w:eastAsia="仿宋"/>
                <w:b/>
                <w:bCs/>
                <w:szCs w:val="21"/>
              </w:rPr>
              <w:t>（供应商应在中小企业声明函中按照要求填写，如未按要求填写，将被否决此次磋商）</w:t>
            </w:r>
          </w:p>
        </w:tc>
      </w:tr>
      <w:tr w14:paraId="2523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Align w:val="center"/>
          </w:tcPr>
          <w:p w14:paraId="6E1FF1B9">
            <w:pPr>
              <w:adjustRightInd w:val="0"/>
              <w:snapToGrid w:val="0"/>
              <w:jc w:val="center"/>
              <w:rPr>
                <w:rFonts w:eastAsia="仿宋"/>
                <w:bCs/>
                <w:szCs w:val="21"/>
              </w:rPr>
            </w:pPr>
          </w:p>
        </w:tc>
        <w:tc>
          <w:tcPr>
            <w:tcW w:w="9010" w:type="dxa"/>
            <w:gridSpan w:val="2"/>
            <w:tcBorders>
              <w:right w:val="single" w:color="auto" w:sz="4" w:space="0"/>
            </w:tcBorders>
            <w:vAlign w:val="center"/>
          </w:tcPr>
          <w:p w14:paraId="5A89346D">
            <w:pPr>
              <w:autoSpaceDE w:val="0"/>
              <w:autoSpaceDN w:val="0"/>
              <w:adjustRightInd w:val="0"/>
              <w:snapToGrid w:val="0"/>
              <w:jc w:val="left"/>
              <w:rPr>
                <w:rFonts w:eastAsia="仿宋"/>
                <w:b/>
                <w:bCs/>
                <w:szCs w:val="21"/>
              </w:rPr>
            </w:pPr>
            <w:r>
              <w:rPr>
                <w:rFonts w:eastAsia="仿宋"/>
                <w:b/>
                <w:bCs/>
                <w:szCs w:val="21"/>
              </w:rPr>
              <w:t>1、采购公告的招标范围与投标须知前附表的招标范围不一致的，以投标须知前附表的招标范围为准。</w:t>
            </w:r>
          </w:p>
          <w:p w14:paraId="5CAD1AEE">
            <w:pPr>
              <w:autoSpaceDE w:val="0"/>
              <w:autoSpaceDN w:val="0"/>
              <w:adjustRightInd w:val="0"/>
              <w:snapToGrid w:val="0"/>
              <w:jc w:val="left"/>
              <w:rPr>
                <w:rFonts w:eastAsia="仿宋"/>
                <w:b/>
                <w:bCs/>
                <w:szCs w:val="21"/>
              </w:rPr>
            </w:pPr>
            <w:r>
              <w:rPr>
                <w:rFonts w:eastAsia="仿宋"/>
                <w:b/>
                <w:bCs/>
                <w:szCs w:val="21"/>
              </w:rPr>
              <w:t>2、投标须知前附表与投标须知正文部分内容不一致的，以投标须知前附表为准。</w:t>
            </w:r>
          </w:p>
          <w:p w14:paraId="77EEF46C">
            <w:pPr>
              <w:autoSpaceDE w:val="0"/>
              <w:autoSpaceDN w:val="0"/>
              <w:adjustRightInd w:val="0"/>
              <w:snapToGrid w:val="0"/>
              <w:jc w:val="left"/>
              <w:rPr>
                <w:rFonts w:eastAsia="仿宋"/>
                <w:b/>
                <w:bCs/>
                <w:szCs w:val="21"/>
                <w:highlight w:val="yellow"/>
              </w:rPr>
            </w:pPr>
            <w:r>
              <w:rPr>
                <w:rFonts w:eastAsia="仿宋"/>
                <w:b/>
                <w:bCs/>
                <w:szCs w:val="21"/>
              </w:rPr>
              <w:t>3、项目名称与项目编号出现不一致时，以《磋商文件》封面的项目名称和项目编号为准。</w:t>
            </w:r>
          </w:p>
        </w:tc>
      </w:tr>
    </w:tbl>
    <w:p w14:paraId="6BDD7123">
      <w:pPr>
        <w:rPr>
          <w:rFonts w:eastAsia="仿宋"/>
          <w:b/>
          <w:sz w:val="28"/>
          <w:szCs w:val="28"/>
        </w:rPr>
      </w:pPr>
      <w:r>
        <w:rPr>
          <w:rFonts w:eastAsia="仿宋"/>
          <w:b/>
          <w:sz w:val="28"/>
          <w:szCs w:val="28"/>
        </w:rPr>
        <w:br w:type="page"/>
      </w:r>
    </w:p>
    <w:p w14:paraId="294A3DE8">
      <w:pPr>
        <w:spacing w:line="360" w:lineRule="auto"/>
        <w:jc w:val="center"/>
        <w:rPr>
          <w:rFonts w:eastAsia="仿宋"/>
          <w:b/>
          <w:sz w:val="28"/>
          <w:szCs w:val="28"/>
        </w:rPr>
      </w:pPr>
      <w:r>
        <w:rPr>
          <w:rFonts w:eastAsia="仿宋"/>
          <w:b/>
          <w:sz w:val="28"/>
          <w:szCs w:val="28"/>
        </w:rPr>
        <w:t>供应商须知</w:t>
      </w:r>
    </w:p>
    <w:p w14:paraId="2035C03B">
      <w:pPr>
        <w:spacing w:line="360" w:lineRule="auto"/>
        <w:ind w:firstLine="482" w:firstLineChars="200"/>
        <w:rPr>
          <w:rFonts w:eastAsia="仿宋"/>
          <w:b/>
          <w:sz w:val="24"/>
          <w:szCs w:val="24"/>
        </w:rPr>
      </w:pPr>
      <w:bookmarkStart w:id="4" w:name="OLE_LINK1"/>
      <w:r>
        <w:rPr>
          <w:rFonts w:eastAsia="仿宋"/>
          <w:b/>
          <w:sz w:val="24"/>
          <w:szCs w:val="24"/>
        </w:rPr>
        <w:t>1.适用范围</w:t>
      </w:r>
    </w:p>
    <w:p w14:paraId="491C4DD5">
      <w:pPr>
        <w:spacing w:line="360" w:lineRule="auto"/>
        <w:ind w:firstLine="480" w:firstLineChars="200"/>
        <w:rPr>
          <w:rFonts w:eastAsia="仿宋"/>
          <w:sz w:val="24"/>
          <w:szCs w:val="24"/>
        </w:rPr>
      </w:pPr>
      <w:r>
        <w:rPr>
          <w:rFonts w:eastAsia="仿宋"/>
          <w:sz w:val="24"/>
          <w:szCs w:val="24"/>
        </w:rPr>
        <w:t>1.1</w:t>
      </w:r>
      <w:r>
        <w:rPr>
          <w:rStyle w:val="33"/>
          <w:rFonts w:ascii="Times New Roman" w:hAnsi="Times New Roman" w:eastAsia="仿宋"/>
          <w:sz w:val="24"/>
          <w:szCs w:val="24"/>
        </w:rPr>
        <w:t>本磋商文件仅适用于本次采购活动。</w:t>
      </w:r>
    </w:p>
    <w:p w14:paraId="5DE2B945">
      <w:pPr>
        <w:spacing w:line="360" w:lineRule="auto"/>
        <w:ind w:firstLine="482" w:firstLineChars="200"/>
        <w:rPr>
          <w:rFonts w:eastAsia="仿宋"/>
          <w:b/>
          <w:sz w:val="24"/>
          <w:szCs w:val="24"/>
        </w:rPr>
      </w:pPr>
      <w:r>
        <w:rPr>
          <w:rFonts w:eastAsia="仿宋"/>
          <w:b/>
          <w:sz w:val="24"/>
          <w:szCs w:val="24"/>
        </w:rPr>
        <w:t>2.磋商资格</w:t>
      </w:r>
    </w:p>
    <w:p w14:paraId="5DEA848D">
      <w:pPr>
        <w:spacing w:line="360" w:lineRule="auto"/>
        <w:ind w:firstLine="480" w:firstLineChars="200"/>
        <w:rPr>
          <w:rFonts w:eastAsia="仿宋"/>
          <w:sz w:val="24"/>
          <w:szCs w:val="24"/>
        </w:rPr>
      </w:pPr>
      <w:r>
        <w:rPr>
          <w:rFonts w:eastAsia="仿宋"/>
          <w:sz w:val="24"/>
          <w:szCs w:val="24"/>
        </w:rPr>
        <w:t>2.1具有承担本项目能力以及符合供应商须知前附表中申请人资格条件的服务机构均为合格的供应商。</w:t>
      </w:r>
    </w:p>
    <w:p w14:paraId="08EBF210">
      <w:pPr>
        <w:spacing w:line="360" w:lineRule="auto"/>
        <w:ind w:firstLine="482" w:firstLineChars="200"/>
        <w:rPr>
          <w:rFonts w:eastAsia="仿宋"/>
          <w:b/>
          <w:sz w:val="24"/>
          <w:szCs w:val="24"/>
        </w:rPr>
      </w:pPr>
      <w:r>
        <w:rPr>
          <w:rFonts w:eastAsia="仿宋"/>
          <w:b/>
          <w:sz w:val="24"/>
          <w:szCs w:val="24"/>
        </w:rPr>
        <w:t>3.定义</w:t>
      </w:r>
    </w:p>
    <w:p w14:paraId="5EB2054F">
      <w:pPr>
        <w:spacing w:line="360" w:lineRule="auto"/>
        <w:ind w:firstLine="480" w:firstLineChars="200"/>
        <w:rPr>
          <w:rStyle w:val="33"/>
          <w:rFonts w:ascii="Times New Roman" w:hAnsi="Times New Roman" w:eastAsia="仿宋"/>
          <w:sz w:val="24"/>
          <w:szCs w:val="24"/>
        </w:rPr>
      </w:pPr>
      <w:r>
        <w:rPr>
          <w:rStyle w:val="33"/>
          <w:rFonts w:ascii="Times New Roman" w:hAnsi="Times New Roman" w:eastAsia="仿宋"/>
          <w:sz w:val="24"/>
          <w:szCs w:val="24"/>
        </w:rPr>
        <w:t>下列术语和缩写的定义为：</w:t>
      </w:r>
    </w:p>
    <w:p w14:paraId="6E829C0F">
      <w:pPr>
        <w:spacing w:line="360" w:lineRule="auto"/>
        <w:ind w:firstLine="480" w:firstLineChars="200"/>
        <w:rPr>
          <w:rStyle w:val="33"/>
          <w:rFonts w:ascii="Times New Roman" w:hAnsi="Times New Roman" w:eastAsia="仿宋"/>
          <w:sz w:val="24"/>
          <w:szCs w:val="24"/>
        </w:rPr>
      </w:pPr>
      <w:r>
        <w:rPr>
          <w:rFonts w:eastAsia="仿宋"/>
          <w:sz w:val="24"/>
          <w:szCs w:val="24"/>
        </w:rPr>
        <w:t>3.1</w:t>
      </w:r>
      <w:r>
        <w:rPr>
          <w:rStyle w:val="33"/>
          <w:rFonts w:ascii="Times New Roman" w:hAnsi="Times New Roman" w:eastAsia="仿宋"/>
          <w:sz w:val="24"/>
          <w:szCs w:val="24"/>
        </w:rPr>
        <w:t>“采购人”系指新疆农业大学</w:t>
      </w:r>
      <w:r>
        <w:rPr>
          <w:rFonts w:eastAsia="仿宋"/>
          <w:bCs/>
          <w:sz w:val="24"/>
          <w:szCs w:val="24"/>
        </w:rPr>
        <w:t>。</w:t>
      </w:r>
    </w:p>
    <w:p w14:paraId="23A9EF06">
      <w:pPr>
        <w:spacing w:line="360" w:lineRule="auto"/>
        <w:ind w:firstLine="480" w:firstLineChars="200"/>
        <w:rPr>
          <w:rStyle w:val="33"/>
          <w:rFonts w:ascii="Times New Roman" w:hAnsi="Times New Roman" w:eastAsia="仿宋"/>
          <w:sz w:val="24"/>
          <w:szCs w:val="24"/>
        </w:rPr>
      </w:pPr>
      <w:r>
        <w:rPr>
          <w:rFonts w:eastAsia="仿宋"/>
          <w:sz w:val="24"/>
          <w:szCs w:val="24"/>
        </w:rPr>
        <w:t>3.2</w:t>
      </w:r>
      <w:r>
        <w:rPr>
          <w:rStyle w:val="33"/>
          <w:rFonts w:ascii="Times New Roman" w:hAnsi="Times New Roman" w:eastAsia="仿宋"/>
          <w:sz w:val="24"/>
          <w:szCs w:val="24"/>
        </w:rPr>
        <w:t>“招标代理机构”系指中合安建工程管理有限公司。</w:t>
      </w:r>
    </w:p>
    <w:p w14:paraId="49439185">
      <w:pPr>
        <w:spacing w:line="360" w:lineRule="auto"/>
        <w:ind w:firstLine="480" w:firstLineChars="200"/>
        <w:rPr>
          <w:rStyle w:val="33"/>
          <w:rFonts w:ascii="Times New Roman" w:hAnsi="Times New Roman" w:eastAsia="仿宋"/>
          <w:sz w:val="24"/>
          <w:szCs w:val="24"/>
        </w:rPr>
      </w:pPr>
      <w:r>
        <w:rPr>
          <w:rFonts w:eastAsia="仿宋"/>
          <w:sz w:val="24"/>
          <w:szCs w:val="24"/>
        </w:rPr>
        <w:t>3.3</w:t>
      </w:r>
      <w:r>
        <w:rPr>
          <w:rStyle w:val="33"/>
          <w:rFonts w:ascii="Times New Roman" w:hAnsi="Times New Roman" w:eastAsia="仿宋"/>
          <w:sz w:val="24"/>
          <w:szCs w:val="24"/>
        </w:rPr>
        <w:t>“招标方”系指采购人和招标代理机构的统称。</w:t>
      </w:r>
    </w:p>
    <w:p w14:paraId="40327B13">
      <w:pPr>
        <w:spacing w:line="360" w:lineRule="auto"/>
        <w:ind w:firstLine="480" w:firstLineChars="200"/>
        <w:rPr>
          <w:rFonts w:eastAsia="仿宋"/>
          <w:sz w:val="24"/>
          <w:szCs w:val="24"/>
        </w:rPr>
      </w:pPr>
      <w:r>
        <w:rPr>
          <w:rFonts w:eastAsia="仿宋"/>
          <w:sz w:val="24"/>
          <w:szCs w:val="24"/>
        </w:rPr>
        <w:t>3.4“供应商”系指有资格的供应商。</w:t>
      </w:r>
    </w:p>
    <w:p w14:paraId="6BA866FC">
      <w:pPr>
        <w:spacing w:line="360" w:lineRule="auto"/>
        <w:ind w:firstLine="480" w:firstLineChars="200"/>
        <w:rPr>
          <w:rFonts w:eastAsia="仿宋"/>
          <w:sz w:val="24"/>
          <w:szCs w:val="24"/>
        </w:rPr>
      </w:pPr>
      <w:r>
        <w:rPr>
          <w:rFonts w:eastAsia="仿宋"/>
          <w:sz w:val="24"/>
          <w:szCs w:val="24"/>
        </w:rPr>
        <w:t>3.5“成交供应商”系指经</w:t>
      </w:r>
      <w:r>
        <w:rPr>
          <w:rFonts w:eastAsia="仿宋"/>
          <w:spacing w:val="-2"/>
          <w:sz w:val="24"/>
          <w:szCs w:val="24"/>
        </w:rPr>
        <w:t>磋商小组</w:t>
      </w:r>
      <w:r>
        <w:rPr>
          <w:rFonts w:eastAsia="仿宋"/>
          <w:sz w:val="24"/>
          <w:szCs w:val="24"/>
        </w:rPr>
        <w:t>评定后综合得分第一的供应商。</w:t>
      </w:r>
    </w:p>
    <w:p w14:paraId="3683BEA5">
      <w:pPr>
        <w:spacing w:line="360" w:lineRule="auto"/>
        <w:ind w:firstLine="480" w:firstLineChars="200"/>
        <w:rPr>
          <w:rFonts w:eastAsia="仿宋"/>
          <w:sz w:val="24"/>
          <w:szCs w:val="24"/>
        </w:rPr>
      </w:pPr>
      <w:r>
        <w:rPr>
          <w:rFonts w:eastAsia="仿宋"/>
          <w:sz w:val="24"/>
          <w:szCs w:val="24"/>
        </w:rPr>
        <w:t>3.6“响应”系指供应商、根据招标代理机构发布的磋商文件，编制响应文件并按规定磋商的行为。</w:t>
      </w:r>
    </w:p>
    <w:p w14:paraId="77358566">
      <w:pPr>
        <w:spacing w:line="360" w:lineRule="auto"/>
        <w:ind w:firstLine="480" w:firstLineChars="200"/>
        <w:rPr>
          <w:rFonts w:eastAsia="仿宋"/>
          <w:sz w:val="24"/>
          <w:szCs w:val="24"/>
        </w:rPr>
      </w:pPr>
      <w:r>
        <w:rPr>
          <w:rFonts w:eastAsia="仿宋"/>
          <w:sz w:val="24"/>
          <w:szCs w:val="24"/>
        </w:rPr>
        <w:t>3.7“服务”系指磋商文件规定供应商须承担的合同期限内的相关工作任务、服务项目及其他类似的责任。</w:t>
      </w:r>
    </w:p>
    <w:p w14:paraId="5B4B8281">
      <w:pPr>
        <w:spacing w:line="360" w:lineRule="auto"/>
        <w:ind w:firstLine="482" w:firstLineChars="200"/>
        <w:rPr>
          <w:rFonts w:eastAsia="仿宋"/>
          <w:b/>
          <w:sz w:val="24"/>
          <w:szCs w:val="24"/>
        </w:rPr>
      </w:pPr>
      <w:r>
        <w:rPr>
          <w:rFonts w:eastAsia="仿宋"/>
          <w:b/>
          <w:sz w:val="24"/>
          <w:szCs w:val="24"/>
        </w:rPr>
        <w:t>4.磋商费用</w:t>
      </w:r>
    </w:p>
    <w:p w14:paraId="7ADA70CB">
      <w:pPr>
        <w:spacing w:line="360" w:lineRule="auto"/>
        <w:ind w:firstLine="480" w:firstLineChars="200"/>
        <w:rPr>
          <w:rFonts w:eastAsia="仿宋"/>
          <w:sz w:val="24"/>
          <w:szCs w:val="24"/>
        </w:rPr>
      </w:pPr>
      <w:r>
        <w:rPr>
          <w:rFonts w:eastAsia="仿宋"/>
          <w:sz w:val="24"/>
          <w:szCs w:val="24"/>
        </w:rPr>
        <w:t>4.1无论磋商结果如何，凡参与招标、磋商活动有关的所有费用将由供应商自行承担。</w:t>
      </w:r>
    </w:p>
    <w:p w14:paraId="29260519">
      <w:pPr>
        <w:spacing w:line="360" w:lineRule="auto"/>
        <w:ind w:firstLine="480" w:firstLineChars="200"/>
        <w:rPr>
          <w:rFonts w:eastAsia="仿宋"/>
          <w:sz w:val="24"/>
          <w:szCs w:val="24"/>
        </w:rPr>
      </w:pPr>
      <w:r>
        <w:rPr>
          <w:rFonts w:eastAsia="仿宋"/>
          <w:sz w:val="24"/>
          <w:szCs w:val="24"/>
        </w:rPr>
        <w:t>4.2供应商被视为熟悉本招标项目的各种情况以及与履行合同有关的一切情况。</w:t>
      </w:r>
    </w:p>
    <w:p w14:paraId="329E528B">
      <w:pPr>
        <w:spacing w:line="360" w:lineRule="auto"/>
        <w:ind w:firstLine="482" w:firstLineChars="200"/>
        <w:jc w:val="center"/>
        <w:rPr>
          <w:rFonts w:eastAsia="仿宋"/>
          <w:b/>
          <w:sz w:val="24"/>
          <w:szCs w:val="24"/>
        </w:rPr>
      </w:pPr>
      <w:r>
        <w:rPr>
          <w:rFonts w:eastAsia="仿宋"/>
          <w:b/>
          <w:sz w:val="24"/>
          <w:szCs w:val="24"/>
        </w:rPr>
        <w:t>磋商文件</w:t>
      </w:r>
    </w:p>
    <w:p w14:paraId="7ED17CC1">
      <w:pPr>
        <w:spacing w:line="360" w:lineRule="auto"/>
        <w:ind w:firstLine="482" w:firstLineChars="200"/>
        <w:rPr>
          <w:rFonts w:eastAsia="仿宋"/>
          <w:b/>
          <w:sz w:val="24"/>
          <w:szCs w:val="24"/>
        </w:rPr>
      </w:pPr>
      <w:r>
        <w:rPr>
          <w:rFonts w:eastAsia="仿宋"/>
          <w:b/>
          <w:sz w:val="24"/>
          <w:szCs w:val="24"/>
        </w:rPr>
        <w:t>5.磋商文件的构成</w:t>
      </w:r>
    </w:p>
    <w:p w14:paraId="45ABE549">
      <w:pPr>
        <w:spacing w:line="360" w:lineRule="auto"/>
        <w:ind w:firstLine="480" w:firstLineChars="200"/>
        <w:rPr>
          <w:rFonts w:eastAsia="仿宋"/>
          <w:sz w:val="24"/>
          <w:szCs w:val="24"/>
        </w:rPr>
      </w:pPr>
      <w:r>
        <w:rPr>
          <w:rFonts w:eastAsia="仿宋"/>
          <w:sz w:val="24"/>
          <w:szCs w:val="24"/>
        </w:rPr>
        <w:t>5.1磋商文件由下述部分组成：</w:t>
      </w:r>
    </w:p>
    <w:p w14:paraId="6E87EE05">
      <w:pPr>
        <w:spacing w:line="360" w:lineRule="auto"/>
        <w:ind w:firstLine="560"/>
        <w:rPr>
          <w:rFonts w:eastAsia="仿宋"/>
          <w:sz w:val="24"/>
          <w:szCs w:val="24"/>
        </w:rPr>
      </w:pPr>
      <w:r>
        <w:rPr>
          <w:rFonts w:eastAsia="仿宋"/>
          <w:sz w:val="24"/>
          <w:szCs w:val="24"/>
        </w:rPr>
        <w:t>一、磋商公告</w:t>
      </w:r>
    </w:p>
    <w:p w14:paraId="6FC3211C">
      <w:pPr>
        <w:spacing w:line="360" w:lineRule="auto"/>
        <w:ind w:firstLine="560"/>
        <w:rPr>
          <w:rFonts w:eastAsia="仿宋"/>
          <w:sz w:val="24"/>
          <w:szCs w:val="24"/>
        </w:rPr>
      </w:pPr>
      <w:r>
        <w:rPr>
          <w:rFonts w:eastAsia="仿宋"/>
          <w:sz w:val="24"/>
          <w:szCs w:val="24"/>
        </w:rPr>
        <w:t>二、供应商须知</w:t>
      </w:r>
    </w:p>
    <w:p w14:paraId="2BDA3392">
      <w:pPr>
        <w:spacing w:line="360" w:lineRule="auto"/>
        <w:ind w:firstLine="560"/>
        <w:rPr>
          <w:rFonts w:eastAsia="仿宋"/>
          <w:sz w:val="24"/>
          <w:szCs w:val="24"/>
        </w:rPr>
      </w:pPr>
      <w:r>
        <w:rPr>
          <w:rFonts w:eastAsia="仿宋"/>
          <w:sz w:val="24"/>
          <w:szCs w:val="24"/>
        </w:rPr>
        <w:t>三、采购需求</w:t>
      </w:r>
    </w:p>
    <w:p w14:paraId="6CF94061">
      <w:pPr>
        <w:spacing w:line="360" w:lineRule="auto"/>
        <w:ind w:firstLine="560"/>
        <w:rPr>
          <w:rFonts w:eastAsia="仿宋"/>
          <w:sz w:val="24"/>
          <w:szCs w:val="24"/>
        </w:rPr>
      </w:pPr>
      <w:r>
        <w:rPr>
          <w:rFonts w:eastAsia="仿宋"/>
          <w:sz w:val="24"/>
          <w:szCs w:val="24"/>
        </w:rPr>
        <w:t>四、合同</w:t>
      </w:r>
    </w:p>
    <w:p w14:paraId="3127A8FF">
      <w:pPr>
        <w:spacing w:line="360" w:lineRule="auto"/>
        <w:ind w:firstLine="560"/>
        <w:rPr>
          <w:rFonts w:eastAsia="仿宋"/>
          <w:sz w:val="24"/>
          <w:szCs w:val="24"/>
        </w:rPr>
      </w:pPr>
      <w:r>
        <w:rPr>
          <w:rFonts w:eastAsia="仿宋"/>
          <w:sz w:val="24"/>
          <w:szCs w:val="24"/>
        </w:rPr>
        <w:t>五、响应文件格式及附件</w:t>
      </w:r>
    </w:p>
    <w:p w14:paraId="598B1DDF">
      <w:pPr>
        <w:spacing w:line="360" w:lineRule="auto"/>
        <w:ind w:firstLine="482" w:firstLineChars="200"/>
        <w:rPr>
          <w:rFonts w:eastAsia="仿宋"/>
          <w:b/>
          <w:sz w:val="24"/>
          <w:szCs w:val="24"/>
        </w:rPr>
      </w:pPr>
      <w:r>
        <w:rPr>
          <w:rFonts w:eastAsia="仿宋"/>
          <w:b/>
          <w:sz w:val="24"/>
          <w:szCs w:val="24"/>
        </w:rPr>
        <w:t>6.磋商文件的澄清</w:t>
      </w:r>
    </w:p>
    <w:p w14:paraId="4905C8AE">
      <w:pPr>
        <w:spacing w:line="360" w:lineRule="auto"/>
        <w:ind w:firstLine="480" w:firstLineChars="200"/>
        <w:rPr>
          <w:rFonts w:eastAsia="仿宋"/>
          <w:sz w:val="24"/>
          <w:szCs w:val="24"/>
        </w:rPr>
      </w:pPr>
      <w:r>
        <w:rPr>
          <w:rFonts w:eastAsia="仿宋"/>
          <w:sz w:val="24"/>
          <w:szCs w:val="24"/>
        </w:rPr>
        <w:t>6.1供应商对磋商文件如有异议，可在磋商截止期的五日前按磋商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供应商。</w:t>
      </w:r>
    </w:p>
    <w:p w14:paraId="7DF09ECA">
      <w:pPr>
        <w:spacing w:line="360" w:lineRule="auto"/>
        <w:ind w:firstLine="482" w:firstLineChars="200"/>
        <w:rPr>
          <w:rFonts w:eastAsia="仿宋"/>
          <w:b/>
          <w:sz w:val="24"/>
          <w:szCs w:val="24"/>
        </w:rPr>
      </w:pPr>
      <w:r>
        <w:rPr>
          <w:rFonts w:eastAsia="仿宋"/>
          <w:b/>
          <w:sz w:val="24"/>
          <w:szCs w:val="24"/>
        </w:rPr>
        <w:t>7.磋商文件的修改或补充</w:t>
      </w:r>
    </w:p>
    <w:p w14:paraId="13089496">
      <w:pPr>
        <w:spacing w:line="360" w:lineRule="auto"/>
        <w:ind w:firstLine="480" w:firstLineChars="200"/>
        <w:rPr>
          <w:rFonts w:eastAsia="仿宋"/>
          <w:sz w:val="24"/>
          <w:szCs w:val="24"/>
          <w:highlight w:val="red"/>
        </w:rPr>
      </w:pPr>
      <w:r>
        <w:rPr>
          <w:rFonts w:eastAsia="仿宋"/>
          <w:sz w:val="24"/>
          <w:szCs w:val="24"/>
        </w:rPr>
        <w:t>7.1在磋商截止期五日前的任何时间，招标方可主动或依据供应商要求澄清的问题而修改或补充磋商文件，并以书面形式或网上公告通知所有供应商，供应商不需要确认。澄清文件在采购公告发布的同一媒介上发布之日起，视为供应商已收到该澄清。供应商未及时关注采购人在网站上发布的澄清文件造成的损失，由供应商自行负责。</w:t>
      </w:r>
    </w:p>
    <w:p w14:paraId="4B38F2DE">
      <w:pPr>
        <w:spacing w:line="360" w:lineRule="auto"/>
        <w:ind w:firstLine="480" w:firstLineChars="200"/>
        <w:rPr>
          <w:rFonts w:eastAsia="仿宋"/>
          <w:sz w:val="24"/>
          <w:szCs w:val="24"/>
        </w:rPr>
      </w:pPr>
      <w:r>
        <w:rPr>
          <w:rFonts w:eastAsia="仿宋"/>
          <w:sz w:val="24"/>
          <w:szCs w:val="24"/>
        </w:rPr>
        <w:t>7.2为使供应商在准备磋商时有适当的时间考虑响应文件的修改，招标方有权决定推迟磋商截止时间和开标日期，并将此变更通知所有的供应商。</w:t>
      </w:r>
    </w:p>
    <w:p w14:paraId="62CA0736">
      <w:pPr>
        <w:spacing w:line="360" w:lineRule="auto"/>
        <w:ind w:firstLine="480" w:firstLineChars="200"/>
        <w:rPr>
          <w:rFonts w:eastAsia="仿宋"/>
          <w:sz w:val="24"/>
          <w:szCs w:val="24"/>
        </w:rPr>
      </w:pPr>
      <w:r>
        <w:rPr>
          <w:rFonts w:eastAsia="仿宋"/>
          <w:sz w:val="24"/>
          <w:szCs w:val="24"/>
        </w:rPr>
        <w:t>7.3磋商文件的修改和补充文件将构成磋商文件的一部分，并且对供应商具有优先约束力。</w:t>
      </w:r>
    </w:p>
    <w:p w14:paraId="7B839747">
      <w:pPr>
        <w:spacing w:line="360" w:lineRule="auto"/>
        <w:ind w:firstLine="482" w:firstLineChars="200"/>
        <w:rPr>
          <w:rFonts w:eastAsia="仿宋"/>
          <w:b/>
          <w:sz w:val="24"/>
          <w:szCs w:val="24"/>
        </w:rPr>
      </w:pPr>
      <w:r>
        <w:rPr>
          <w:rFonts w:eastAsia="仿宋"/>
          <w:b/>
          <w:sz w:val="24"/>
          <w:szCs w:val="24"/>
        </w:rPr>
        <w:t>8.对供应商的资质要求</w:t>
      </w:r>
    </w:p>
    <w:p w14:paraId="024F77E2">
      <w:pPr>
        <w:spacing w:line="360" w:lineRule="auto"/>
        <w:ind w:firstLine="480" w:firstLineChars="200"/>
        <w:rPr>
          <w:rFonts w:eastAsia="仿宋"/>
          <w:bCs/>
          <w:sz w:val="24"/>
          <w:szCs w:val="24"/>
        </w:rPr>
      </w:pPr>
      <w:r>
        <w:rPr>
          <w:rFonts w:eastAsia="仿宋"/>
          <w:bCs/>
          <w:sz w:val="24"/>
          <w:szCs w:val="24"/>
        </w:rPr>
        <w:t>8.1供应商必须提交能够证明其具有履行本项目合同能力的资格证明文件，作为响应文件的一部分，资格审查及符合性审查以响应文件要求为准进行查验。</w:t>
      </w:r>
    </w:p>
    <w:p w14:paraId="3DB6BA98">
      <w:pPr>
        <w:spacing w:line="360" w:lineRule="auto"/>
        <w:ind w:firstLine="480" w:firstLineChars="200"/>
        <w:rPr>
          <w:rFonts w:eastAsia="仿宋"/>
          <w:bCs/>
          <w:sz w:val="24"/>
          <w:szCs w:val="24"/>
        </w:rPr>
      </w:pPr>
      <w:r>
        <w:rPr>
          <w:rFonts w:eastAsia="仿宋"/>
          <w:bCs/>
          <w:sz w:val="24"/>
          <w:szCs w:val="24"/>
        </w:rPr>
        <w:t>8.2所有在响应文件中提交的资格证明文件必须加盖公章。</w:t>
      </w:r>
    </w:p>
    <w:p w14:paraId="26213A7B">
      <w:pPr>
        <w:spacing w:line="360" w:lineRule="auto"/>
        <w:ind w:firstLine="480" w:firstLineChars="200"/>
        <w:rPr>
          <w:rFonts w:eastAsia="仿宋"/>
          <w:bCs/>
          <w:sz w:val="24"/>
          <w:szCs w:val="24"/>
        </w:rPr>
      </w:pPr>
      <w:r>
        <w:rPr>
          <w:rFonts w:eastAsia="仿宋"/>
          <w:bCs/>
          <w:sz w:val="24"/>
          <w:szCs w:val="24"/>
        </w:rPr>
        <w:t>8.3所有资格证明文件必须满足磋商文件的要求，否则将视为无效响应。</w:t>
      </w:r>
    </w:p>
    <w:p w14:paraId="63CD4252">
      <w:pPr>
        <w:spacing w:line="360" w:lineRule="auto"/>
        <w:ind w:firstLine="480" w:firstLineChars="200"/>
        <w:rPr>
          <w:rFonts w:eastAsia="仿宋"/>
          <w:bCs/>
          <w:sz w:val="24"/>
          <w:szCs w:val="24"/>
        </w:rPr>
      </w:pPr>
      <w:r>
        <w:rPr>
          <w:rFonts w:eastAsia="仿宋"/>
          <w:bCs/>
          <w:sz w:val="24"/>
          <w:szCs w:val="24"/>
        </w:rPr>
        <w:t>8.4供应商违反国家有关法律法规的强制性规定的，其投标按无效标处理。</w:t>
      </w:r>
    </w:p>
    <w:p w14:paraId="5476221F">
      <w:pPr>
        <w:spacing w:line="360" w:lineRule="auto"/>
        <w:ind w:firstLine="482" w:firstLineChars="200"/>
        <w:jc w:val="center"/>
        <w:rPr>
          <w:rFonts w:eastAsia="仿宋"/>
          <w:b/>
          <w:sz w:val="24"/>
          <w:szCs w:val="24"/>
        </w:rPr>
      </w:pPr>
      <w:r>
        <w:rPr>
          <w:rFonts w:eastAsia="仿宋"/>
          <w:b/>
          <w:sz w:val="24"/>
          <w:szCs w:val="24"/>
        </w:rPr>
        <w:t>响应文件</w:t>
      </w:r>
    </w:p>
    <w:p w14:paraId="5307F366">
      <w:pPr>
        <w:spacing w:line="360" w:lineRule="auto"/>
        <w:ind w:firstLine="482" w:firstLineChars="200"/>
        <w:rPr>
          <w:rFonts w:eastAsia="仿宋"/>
          <w:b/>
          <w:sz w:val="24"/>
          <w:szCs w:val="24"/>
        </w:rPr>
      </w:pPr>
      <w:r>
        <w:rPr>
          <w:rFonts w:eastAsia="仿宋"/>
          <w:b/>
          <w:sz w:val="24"/>
          <w:szCs w:val="24"/>
        </w:rPr>
        <w:t>9.响应文件的编写</w:t>
      </w:r>
    </w:p>
    <w:p w14:paraId="73117EB9">
      <w:pPr>
        <w:spacing w:line="360" w:lineRule="auto"/>
        <w:ind w:firstLine="482" w:firstLineChars="200"/>
        <w:rPr>
          <w:rFonts w:eastAsia="仿宋"/>
          <w:b/>
          <w:sz w:val="24"/>
          <w:szCs w:val="24"/>
        </w:rPr>
      </w:pPr>
      <w:r>
        <w:rPr>
          <w:rFonts w:eastAsia="仿宋"/>
          <w:b/>
          <w:sz w:val="24"/>
          <w:szCs w:val="24"/>
        </w:rPr>
        <w:t>9.1要求</w:t>
      </w:r>
    </w:p>
    <w:p w14:paraId="013763EA">
      <w:pPr>
        <w:spacing w:line="360" w:lineRule="auto"/>
        <w:ind w:firstLine="480" w:firstLineChars="200"/>
        <w:rPr>
          <w:rFonts w:eastAsia="仿宋"/>
          <w:sz w:val="24"/>
          <w:szCs w:val="24"/>
        </w:rPr>
      </w:pPr>
      <w:r>
        <w:rPr>
          <w:rFonts w:eastAsia="仿宋"/>
          <w:sz w:val="24"/>
          <w:szCs w:val="24"/>
        </w:rPr>
        <w:t>供应商应详细阅读磋商文件中的条款、规范、表示、条件和格式等所有内容，按磋商文件的要进行响应，并保证所提供的全部材料的真实性，使其响应对磋商文件做出实质性响应。否则，其磋商将视为无效。</w:t>
      </w:r>
    </w:p>
    <w:p w14:paraId="4500C047">
      <w:pPr>
        <w:spacing w:line="360" w:lineRule="auto"/>
        <w:ind w:firstLine="482" w:firstLineChars="200"/>
        <w:rPr>
          <w:rFonts w:eastAsia="仿宋"/>
          <w:b/>
          <w:sz w:val="24"/>
          <w:szCs w:val="24"/>
        </w:rPr>
      </w:pPr>
      <w:r>
        <w:rPr>
          <w:rFonts w:eastAsia="仿宋"/>
          <w:b/>
          <w:sz w:val="24"/>
          <w:szCs w:val="24"/>
        </w:rPr>
        <w:t>9.2响应文件语言和度量单位</w:t>
      </w:r>
    </w:p>
    <w:p w14:paraId="48DD4D71">
      <w:pPr>
        <w:spacing w:line="360" w:lineRule="auto"/>
        <w:ind w:firstLine="480" w:firstLineChars="200"/>
        <w:rPr>
          <w:rFonts w:eastAsia="仿宋"/>
          <w:sz w:val="24"/>
          <w:szCs w:val="24"/>
        </w:rPr>
      </w:pPr>
      <w:r>
        <w:rPr>
          <w:rFonts w:eastAsia="仿宋"/>
          <w:sz w:val="24"/>
          <w:szCs w:val="24"/>
        </w:rPr>
        <w:t>除在磋商文件的技术规格中另有规定外，计量单位应使用中华人民共和国法定计量单位。</w:t>
      </w:r>
    </w:p>
    <w:p w14:paraId="6CF0D1B2">
      <w:pPr>
        <w:spacing w:line="360" w:lineRule="auto"/>
        <w:ind w:firstLine="482" w:firstLineChars="200"/>
        <w:rPr>
          <w:rFonts w:eastAsia="仿宋"/>
          <w:b/>
          <w:sz w:val="24"/>
          <w:szCs w:val="24"/>
        </w:rPr>
      </w:pPr>
      <w:r>
        <w:rPr>
          <w:rFonts w:eastAsia="仿宋"/>
          <w:b/>
          <w:sz w:val="24"/>
          <w:szCs w:val="24"/>
        </w:rPr>
        <w:t>9.3响应文件的组成</w:t>
      </w:r>
    </w:p>
    <w:p w14:paraId="6DA99E36">
      <w:pPr>
        <w:spacing w:line="360" w:lineRule="auto"/>
        <w:ind w:firstLine="480" w:firstLineChars="200"/>
        <w:rPr>
          <w:rFonts w:eastAsia="仿宋"/>
          <w:sz w:val="24"/>
          <w:szCs w:val="24"/>
        </w:rPr>
      </w:pPr>
      <w:r>
        <w:rPr>
          <w:rFonts w:eastAsia="仿宋"/>
          <w:sz w:val="24"/>
          <w:szCs w:val="24"/>
        </w:rPr>
        <w:t>供应商编写的响应文件应包括下列内容：</w:t>
      </w:r>
    </w:p>
    <w:p w14:paraId="1F2763E6">
      <w:pPr>
        <w:adjustRightInd w:val="0"/>
        <w:snapToGrid w:val="0"/>
        <w:spacing w:line="360" w:lineRule="auto"/>
        <w:ind w:firstLine="480" w:firstLineChars="200"/>
        <w:rPr>
          <w:rFonts w:eastAsia="仿宋"/>
          <w:sz w:val="24"/>
          <w:szCs w:val="24"/>
        </w:rPr>
      </w:pPr>
      <w:r>
        <w:rPr>
          <w:rFonts w:eastAsia="仿宋"/>
          <w:sz w:val="24"/>
          <w:szCs w:val="24"/>
        </w:rPr>
        <w:t>一、商务部分</w:t>
      </w:r>
    </w:p>
    <w:p w14:paraId="45301FC8">
      <w:pPr>
        <w:adjustRightInd w:val="0"/>
        <w:snapToGrid w:val="0"/>
        <w:spacing w:line="360" w:lineRule="auto"/>
        <w:ind w:firstLine="480" w:firstLineChars="200"/>
        <w:rPr>
          <w:rFonts w:eastAsia="仿宋"/>
          <w:sz w:val="24"/>
          <w:szCs w:val="24"/>
        </w:rPr>
      </w:pPr>
      <w:r>
        <w:rPr>
          <w:rFonts w:eastAsia="仿宋"/>
          <w:sz w:val="24"/>
          <w:szCs w:val="24"/>
        </w:rPr>
        <w:t>1、磋商响应声明</w:t>
      </w:r>
    </w:p>
    <w:p w14:paraId="62402275">
      <w:pPr>
        <w:adjustRightInd w:val="0"/>
        <w:snapToGrid w:val="0"/>
        <w:spacing w:line="360" w:lineRule="auto"/>
        <w:ind w:firstLine="480" w:firstLineChars="200"/>
        <w:rPr>
          <w:rFonts w:eastAsia="仿宋"/>
          <w:sz w:val="24"/>
          <w:szCs w:val="24"/>
        </w:rPr>
      </w:pPr>
      <w:r>
        <w:rPr>
          <w:rFonts w:eastAsia="仿宋"/>
          <w:sz w:val="24"/>
          <w:szCs w:val="24"/>
        </w:rPr>
        <w:t xml:space="preserve">附件 1－1法定代表人身份证明扫描件(法定代表人参加磋商) </w:t>
      </w:r>
    </w:p>
    <w:p w14:paraId="5176C46F">
      <w:pPr>
        <w:adjustRightInd w:val="0"/>
        <w:snapToGrid w:val="0"/>
        <w:spacing w:line="360" w:lineRule="auto"/>
        <w:ind w:firstLine="480" w:firstLineChars="200"/>
        <w:rPr>
          <w:rFonts w:eastAsia="仿宋"/>
          <w:sz w:val="24"/>
          <w:szCs w:val="24"/>
        </w:rPr>
      </w:pPr>
      <w:r>
        <w:rPr>
          <w:rFonts w:eastAsia="仿宋"/>
          <w:sz w:val="24"/>
          <w:szCs w:val="24"/>
        </w:rPr>
        <w:t>附件 1－2法定代表人授权书(授权代表参加磋商)</w:t>
      </w:r>
    </w:p>
    <w:p w14:paraId="545ABFAC">
      <w:pPr>
        <w:adjustRightInd w:val="0"/>
        <w:snapToGrid w:val="0"/>
        <w:spacing w:line="360" w:lineRule="auto"/>
        <w:ind w:firstLine="480" w:firstLineChars="200"/>
        <w:rPr>
          <w:rFonts w:eastAsia="仿宋"/>
          <w:sz w:val="24"/>
          <w:szCs w:val="24"/>
        </w:rPr>
      </w:pPr>
      <w:r>
        <w:rPr>
          <w:rFonts w:eastAsia="仿宋"/>
          <w:sz w:val="24"/>
          <w:szCs w:val="24"/>
        </w:rPr>
        <w:t>2、报价一览表</w:t>
      </w:r>
    </w:p>
    <w:p w14:paraId="38781229">
      <w:pPr>
        <w:adjustRightInd w:val="0"/>
        <w:snapToGrid w:val="0"/>
        <w:spacing w:line="360" w:lineRule="auto"/>
        <w:ind w:firstLine="480" w:firstLineChars="200"/>
        <w:rPr>
          <w:rFonts w:eastAsia="仿宋"/>
          <w:sz w:val="24"/>
          <w:szCs w:val="24"/>
        </w:rPr>
      </w:pPr>
      <w:r>
        <w:rPr>
          <w:rFonts w:eastAsia="仿宋"/>
          <w:sz w:val="24"/>
          <w:szCs w:val="24"/>
        </w:rPr>
        <w:t>附件 2－1 报价一览表</w:t>
      </w:r>
    </w:p>
    <w:p w14:paraId="715D7F37">
      <w:pPr>
        <w:adjustRightInd w:val="0"/>
        <w:snapToGrid w:val="0"/>
        <w:spacing w:line="360" w:lineRule="auto"/>
        <w:ind w:firstLine="480" w:firstLineChars="200"/>
        <w:rPr>
          <w:rFonts w:eastAsia="仿宋"/>
          <w:sz w:val="24"/>
          <w:szCs w:val="24"/>
        </w:rPr>
      </w:pPr>
      <w:r>
        <w:rPr>
          <w:rFonts w:eastAsia="仿宋"/>
          <w:sz w:val="24"/>
          <w:szCs w:val="24"/>
        </w:rPr>
        <w:t xml:space="preserve">3、商务条款偏离表(格式附后) </w:t>
      </w:r>
    </w:p>
    <w:p w14:paraId="2AE65665">
      <w:pPr>
        <w:adjustRightInd w:val="0"/>
        <w:snapToGrid w:val="0"/>
        <w:spacing w:line="360" w:lineRule="auto"/>
        <w:ind w:firstLine="480" w:firstLineChars="200"/>
        <w:rPr>
          <w:rFonts w:eastAsia="仿宋"/>
          <w:sz w:val="24"/>
          <w:szCs w:val="24"/>
        </w:rPr>
      </w:pPr>
      <w:r>
        <w:rPr>
          <w:rFonts w:eastAsia="仿宋"/>
          <w:sz w:val="24"/>
          <w:szCs w:val="24"/>
        </w:rPr>
        <w:t>4、磋商保证金</w:t>
      </w:r>
    </w:p>
    <w:p w14:paraId="618D2C71">
      <w:pPr>
        <w:adjustRightInd w:val="0"/>
        <w:snapToGrid w:val="0"/>
        <w:spacing w:line="360" w:lineRule="auto"/>
        <w:ind w:firstLine="480" w:firstLineChars="200"/>
        <w:rPr>
          <w:rFonts w:eastAsia="仿宋"/>
          <w:sz w:val="24"/>
          <w:szCs w:val="24"/>
        </w:rPr>
      </w:pPr>
      <w:r>
        <w:rPr>
          <w:rFonts w:eastAsia="仿宋"/>
          <w:sz w:val="24"/>
          <w:szCs w:val="24"/>
        </w:rPr>
        <w:t>5、供应商的资格证明材料</w:t>
      </w:r>
    </w:p>
    <w:p w14:paraId="7FEEDD63">
      <w:pPr>
        <w:adjustRightInd w:val="0"/>
        <w:snapToGrid w:val="0"/>
        <w:spacing w:line="360" w:lineRule="auto"/>
        <w:ind w:firstLine="480" w:firstLineChars="200"/>
        <w:rPr>
          <w:rFonts w:eastAsia="仿宋"/>
          <w:sz w:val="24"/>
          <w:szCs w:val="24"/>
        </w:rPr>
      </w:pPr>
      <w:r>
        <w:rPr>
          <w:rFonts w:eastAsia="仿宋"/>
          <w:sz w:val="24"/>
          <w:szCs w:val="24"/>
        </w:rPr>
        <w:t>附件 5－1供应商基本情况表(格式附后)</w:t>
      </w:r>
    </w:p>
    <w:p w14:paraId="09B02637">
      <w:pPr>
        <w:adjustRightInd w:val="0"/>
        <w:snapToGrid w:val="0"/>
        <w:spacing w:line="360" w:lineRule="auto"/>
        <w:ind w:firstLine="480" w:firstLineChars="200"/>
        <w:rPr>
          <w:rFonts w:eastAsia="仿宋"/>
          <w:sz w:val="24"/>
          <w:szCs w:val="24"/>
        </w:rPr>
      </w:pPr>
      <w:r>
        <w:rPr>
          <w:rFonts w:eastAsia="仿宋"/>
          <w:sz w:val="24"/>
          <w:szCs w:val="24"/>
        </w:rPr>
        <w:t>附件 5－2关于满足《中华人民共和国政府采购法》第二十二条的承诺(格式附后)</w:t>
      </w:r>
    </w:p>
    <w:p w14:paraId="45B6BA36">
      <w:pPr>
        <w:adjustRightInd w:val="0"/>
        <w:snapToGrid w:val="0"/>
        <w:spacing w:line="360" w:lineRule="auto"/>
        <w:ind w:firstLine="480" w:firstLineChars="200"/>
        <w:rPr>
          <w:rFonts w:eastAsia="仿宋"/>
          <w:sz w:val="24"/>
          <w:szCs w:val="24"/>
        </w:rPr>
      </w:pPr>
      <w:r>
        <w:rPr>
          <w:rFonts w:eastAsia="仿宋"/>
          <w:sz w:val="24"/>
          <w:szCs w:val="24"/>
        </w:rPr>
        <w:t>6、提供符合政府采购政策的证明材料</w:t>
      </w:r>
    </w:p>
    <w:p w14:paraId="0E12863B">
      <w:pPr>
        <w:adjustRightInd w:val="0"/>
        <w:snapToGrid w:val="0"/>
        <w:spacing w:line="360" w:lineRule="auto"/>
        <w:ind w:firstLine="480" w:firstLineChars="200"/>
        <w:rPr>
          <w:rFonts w:eastAsia="仿宋"/>
          <w:sz w:val="24"/>
          <w:szCs w:val="24"/>
        </w:rPr>
      </w:pPr>
      <w:r>
        <w:rPr>
          <w:rFonts w:eastAsia="仿宋"/>
          <w:sz w:val="24"/>
          <w:szCs w:val="24"/>
        </w:rPr>
        <w:t>附件 6－1</w:t>
      </w:r>
      <w:r>
        <w:rPr>
          <w:rFonts w:eastAsia="仿宋"/>
          <w:sz w:val="24"/>
          <w:szCs w:val="24"/>
        </w:rPr>
        <w:tab/>
      </w:r>
      <w:r>
        <w:rPr>
          <w:rFonts w:eastAsia="仿宋"/>
          <w:sz w:val="24"/>
          <w:szCs w:val="24"/>
        </w:rPr>
        <w:t>中小企业声明函(格式附后)</w:t>
      </w:r>
    </w:p>
    <w:p w14:paraId="77B44C63">
      <w:pPr>
        <w:adjustRightInd w:val="0"/>
        <w:snapToGrid w:val="0"/>
        <w:spacing w:line="360" w:lineRule="auto"/>
        <w:ind w:firstLine="480" w:firstLineChars="200"/>
        <w:rPr>
          <w:rFonts w:eastAsia="仿宋"/>
          <w:sz w:val="24"/>
          <w:szCs w:val="24"/>
        </w:rPr>
      </w:pPr>
      <w:r>
        <w:rPr>
          <w:rFonts w:eastAsia="仿宋"/>
          <w:sz w:val="24"/>
          <w:szCs w:val="24"/>
        </w:rPr>
        <w:t>7、供应商业绩证明材料</w:t>
      </w:r>
    </w:p>
    <w:p w14:paraId="5AE372B1">
      <w:pPr>
        <w:adjustRightInd w:val="0"/>
        <w:snapToGrid w:val="0"/>
        <w:spacing w:line="360" w:lineRule="auto"/>
        <w:ind w:firstLine="480" w:firstLineChars="200"/>
        <w:rPr>
          <w:rFonts w:eastAsia="仿宋"/>
          <w:sz w:val="24"/>
          <w:szCs w:val="24"/>
        </w:rPr>
      </w:pPr>
      <w:r>
        <w:rPr>
          <w:rFonts w:eastAsia="仿宋"/>
          <w:sz w:val="24"/>
          <w:szCs w:val="24"/>
        </w:rPr>
        <w:t>8、供应商认为需提供的其他资料</w:t>
      </w:r>
    </w:p>
    <w:p w14:paraId="62B3CC89">
      <w:pPr>
        <w:adjustRightInd w:val="0"/>
        <w:snapToGrid w:val="0"/>
        <w:spacing w:line="360" w:lineRule="auto"/>
        <w:ind w:firstLine="480" w:firstLineChars="200"/>
        <w:rPr>
          <w:rFonts w:eastAsia="仿宋"/>
          <w:sz w:val="24"/>
          <w:szCs w:val="24"/>
        </w:rPr>
      </w:pPr>
      <w:r>
        <w:rPr>
          <w:rFonts w:eastAsia="仿宋"/>
          <w:sz w:val="24"/>
          <w:szCs w:val="24"/>
        </w:rPr>
        <w:t>二、技术部分</w:t>
      </w:r>
    </w:p>
    <w:p w14:paraId="26BA949D">
      <w:pPr>
        <w:adjustRightInd w:val="0"/>
        <w:snapToGrid w:val="0"/>
        <w:spacing w:line="360" w:lineRule="auto"/>
        <w:ind w:firstLine="480" w:firstLineChars="200"/>
        <w:rPr>
          <w:rFonts w:eastAsia="仿宋"/>
          <w:sz w:val="24"/>
          <w:szCs w:val="24"/>
        </w:rPr>
      </w:pPr>
      <w:r>
        <w:rPr>
          <w:rFonts w:eastAsia="仿宋"/>
          <w:sz w:val="24"/>
          <w:szCs w:val="24"/>
        </w:rPr>
        <w:t>1、技术响应与偏离表</w:t>
      </w:r>
    </w:p>
    <w:p w14:paraId="5EE413A4">
      <w:pPr>
        <w:adjustRightInd w:val="0"/>
        <w:snapToGrid w:val="0"/>
        <w:spacing w:line="360" w:lineRule="auto"/>
        <w:ind w:firstLine="480" w:firstLineChars="200"/>
        <w:rPr>
          <w:rFonts w:eastAsia="仿宋"/>
          <w:sz w:val="24"/>
          <w:szCs w:val="24"/>
        </w:rPr>
      </w:pPr>
      <w:r>
        <w:rPr>
          <w:rFonts w:eastAsia="仿宋"/>
          <w:sz w:val="24"/>
          <w:szCs w:val="24"/>
        </w:rPr>
        <w:t>2、供应商认为有必要提供的声明及其他资料</w:t>
      </w:r>
    </w:p>
    <w:p w14:paraId="6ED254CA">
      <w:pPr>
        <w:spacing w:line="360" w:lineRule="auto"/>
        <w:ind w:firstLine="482" w:firstLineChars="200"/>
        <w:rPr>
          <w:rFonts w:eastAsia="仿宋"/>
          <w:b/>
          <w:sz w:val="24"/>
          <w:szCs w:val="24"/>
        </w:rPr>
      </w:pPr>
      <w:r>
        <w:rPr>
          <w:rFonts w:eastAsia="仿宋"/>
          <w:b/>
          <w:sz w:val="24"/>
          <w:szCs w:val="24"/>
        </w:rPr>
        <w:t>9.4响应文件格式</w:t>
      </w:r>
    </w:p>
    <w:p w14:paraId="160BBDE6">
      <w:pPr>
        <w:spacing w:line="360" w:lineRule="auto"/>
        <w:ind w:firstLine="480" w:firstLineChars="200"/>
        <w:rPr>
          <w:rFonts w:eastAsia="仿宋"/>
          <w:sz w:val="24"/>
          <w:szCs w:val="24"/>
        </w:rPr>
      </w:pPr>
      <w:r>
        <w:rPr>
          <w:rFonts w:eastAsia="仿宋"/>
          <w:sz w:val="24"/>
          <w:szCs w:val="24"/>
        </w:rPr>
        <w:t>供应商应按磋商文件的范本格式认真填写。</w:t>
      </w:r>
    </w:p>
    <w:p w14:paraId="5B80E56A">
      <w:pPr>
        <w:spacing w:line="360" w:lineRule="auto"/>
        <w:ind w:firstLine="482" w:firstLineChars="200"/>
        <w:rPr>
          <w:rFonts w:eastAsia="仿宋"/>
          <w:b/>
          <w:sz w:val="24"/>
          <w:szCs w:val="24"/>
        </w:rPr>
      </w:pPr>
      <w:r>
        <w:rPr>
          <w:rFonts w:eastAsia="仿宋"/>
          <w:b/>
          <w:sz w:val="24"/>
          <w:szCs w:val="24"/>
        </w:rPr>
        <w:t>9.5报价及货币单位</w:t>
      </w:r>
    </w:p>
    <w:p w14:paraId="7AEDEA92">
      <w:pPr>
        <w:spacing w:line="360" w:lineRule="auto"/>
        <w:ind w:firstLine="480" w:firstLineChars="200"/>
        <w:rPr>
          <w:rFonts w:eastAsia="仿宋"/>
          <w:sz w:val="24"/>
          <w:szCs w:val="24"/>
        </w:rPr>
      </w:pPr>
      <w:r>
        <w:rPr>
          <w:rFonts w:eastAsia="仿宋"/>
          <w:sz w:val="24"/>
          <w:szCs w:val="24"/>
        </w:rPr>
        <w:t>9.5.1供应商应在报价表中标明其提供的所有服务及其完成本项目相关工作范围内所有费用的总价，采购人不接受有任何选择性报价。</w:t>
      </w:r>
    </w:p>
    <w:p w14:paraId="144CE5CB">
      <w:pPr>
        <w:spacing w:line="360" w:lineRule="auto"/>
        <w:ind w:firstLine="480" w:firstLineChars="200"/>
        <w:rPr>
          <w:rFonts w:eastAsia="仿宋"/>
          <w:sz w:val="24"/>
          <w:szCs w:val="24"/>
        </w:rPr>
      </w:pPr>
      <w:r>
        <w:rPr>
          <w:rFonts w:eastAsia="仿宋"/>
          <w:sz w:val="24"/>
          <w:szCs w:val="24"/>
        </w:rPr>
        <w:t>9.5.2报价应包括以下内容：</w:t>
      </w:r>
    </w:p>
    <w:p w14:paraId="65184EDF">
      <w:pPr>
        <w:spacing w:line="360" w:lineRule="auto"/>
        <w:ind w:firstLine="480" w:firstLineChars="200"/>
        <w:rPr>
          <w:rFonts w:eastAsia="仿宋"/>
          <w:sz w:val="24"/>
          <w:szCs w:val="24"/>
        </w:rPr>
      </w:pPr>
      <w:r>
        <w:rPr>
          <w:rFonts w:eastAsia="仿宋"/>
          <w:sz w:val="24"/>
          <w:szCs w:val="24"/>
        </w:rPr>
        <w:t>（1）所有报价应包括服务所需的一切费用（如</w:t>
      </w:r>
      <w:r>
        <w:rPr>
          <w:rFonts w:eastAsia="仿宋"/>
          <w:spacing w:val="-1"/>
          <w:kern w:val="0"/>
          <w:sz w:val="24"/>
          <w:szCs w:val="24"/>
        </w:rPr>
        <w:t>调研费、设计费、运费、拆除费、搬运、人工、安装、辅材、税金等一切与本项目相关费用</w:t>
      </w:r>
      <w:r>
        <w:rPr>
          <w:rFonts w:eastAsia="仿宋"/>
          <w:sz w:val="24"/>
          <w:szCs w:val="24"/>
        </w:rPr>
        <w:t>等）。</w:t>
      </w:r>
    </w:p>
    <w:p w14:paraId="7096AEB4">
      <w:pPr>
        <w:spacing w:line="360" w:lineRule="auto"/>
        <w:ind w:firstLine="480" w:firstLineChars="200"/>
        <w:rPr>
          <w:rFonts w:eastAsia="仿宋"/>
          <w:sz w:val="24"/>
          <w:szCs w:val="24"/>
        </w:rPr>
      </w:pPr>
      <w:r>
        <w:rPr>
          <w:rFonts w:eastAsia="仿宋"/>
          <w:sz w:val="24"/>
          <w:szCs w:val="24"/>
        </w:rPr>
        <w:t>(2)报价按磋商文件中价格表的格式填写，以人民币报价。</w:t>
      </w:r>
    </w:p>
    <w:p w14:paraId="5FB92C98">
      <w:pPr>
        <w:spacing w:line="360" w:lineRule="auto"/>
        <w:ind w:firstLine="480" w:firstLineChars="200"/>
        <w:rPr>
          <w:rFonts w:eastAsia="仿宋"/>
          <w:sz w:val="24"/>
          <w:szCs w:val="24"/>
        </w:rPr>
      </w:pPr>
      <w:r>
        <w:rPr>
          <w:rFonts w:eastAsia="仿宋"/>
          <w:sz w:val="24"/>
          <w:szCs w:val="24"/>
        </w:rPr>
        <w:t>(3)供应商的价格必须保证在磋商有效期及服务期限内固定不变。</w:t>
      </w:r>
    </w:p>
    <w:p w14:paraId="5DF0B123">
      <w:pPr>
        <w:spacing w:line="360" w:lineRule="auto"/>
        <w:ind w:firstLine="480" w:firstLineChars="200"/>
        <w:rPr>
          <w:rFonts w:eastAsia="仿宋"/>
          <w:sz w:val="24"/>
          <w:szCs w:val="24"/>
        </w:rPr>
      </w:pPr>
      <w:r>
        <w:rPr>
          <w:rFonts w:eastAsia="仿宋"/>
          <w:sz w:val="24"/>
          <w:szCs w:val="24"/>
        </w:rPr>
        <w:t>(4)不接受任何变通或有任何选择性的报价。报价必须唯一、确定、严格。当在单价和总价之间出现任何差异时，以单价为准，除非单价有明显的小数点错误，则以合计价格修正单价。</w:t>
      </w:r>
    </w:p>
    <w:p w14:paraId="75C87775">
      <w:pPr>
        <w:spacing w:line="360" w:lineRule="auto"/>
        <w:ind w:firstLine="480" w:firstLineChars="200"/>
        <w:rPr>
          <w:rFonts w:eastAsia="仿宋"/>
          <w:sz w:val="24"/>
          <w:szCs w:val="24"/>
        </w:rPr>
      </w:pPr>
      <w:r>
        <w:rPr>
          <w:rFonts w:eastAsia="仿宋"/>
          <w:sz w:val="24"/>
          <w:szCs w:val="24"/>
        </w:rPr>
        <w:t>(5)供应商不得以低于成本的报价竞标，也不得以其他方式弄虚作假，骗取中标。</w:t>
      </w:r>
    </w:p>
    <w:p w14:paraId="269BCB5A">
      <w:pPr>
        <w:tabs>
          <w:tab w:val="left" w:pos="1185"/>
        </w:tabs>
        <w:spacing w:line="360" w:lineRule="auto"/>
        <w:ind w:firstLine="480" w:firstLineChars="200"/>
        <w:rPr>
          <w:rFonts w:eastAsia="仿宋"/>
          <w:b/>
          <w:sz w:val="24"/>
          <w:szCs w:val="24"/>
        </w:rPr>
      </w:pPr>
      <w:r>
        <w:rPr>
          <w:rFonts w:eastAsia="仿宋"/>
          <w:sz w:val="24"/>
          <w:szCs w:val="24"/>
        </w:rPr>
        <w:t>10.</w:t>
      </w:r>
      <w:r>
        <w:rPr>
          <w:rFonts w:eastAsia="仿宋"/>
          <w:b/>
          <w:sz w:val="24"/>
          <w:szCs w:val="24"/>
        </w:rPr>
        <w:t>招标代理费</w:t>
      </w:r>
    </w:p>
    <w:p w14:paraId="41D4FB4F">
      <w:pPr>
        <w:spacing w:line="360" w:lineRule="auto"/>
        <w:ind w:firstLine="480" w:firstLineChars="200"/>
        <w:rPr>
          <w:rFonts w:eastAsia="仿宋"/>
          <w:sz w:val="24"/>
          <w:szCs w:val="24"/>
        </w:rPr>
      </w:pPr>
      <w:r>
        <w:rPr>
          <w:rFonts w:eastAsia="仿宋"/>
          <w:sz w:val="24"/>
          <w:szCs w:val="24"/>
        </w:rPr>
        <w:t>参照国家计委计价格【2002】1980号、发改办价格【2003】857号、【2011】534号文计取，不足3000元按3000元计取，本项目招标代理服务费由成交供应商支付。成交供应商须在领取成交通知书时一次性付清招标代理服务费。</w:t>
      </w:r>
    </w:p>
    <w:p w14:paraId="22B9E7B5">
      <w:pPr>
        <w:spacing w:line="360" w:lineRule="auto"/>
        <w:ind w:firstLine="482" w:firstLineChars="200"/>
        <w:rPr>
          <w:rFonts w:eastAsia="仿宋"/>
          <w:b/>
          <w:sz w:val="24"/>
          <w:szCs w:val="24"/>
        </w:rPr>
      </w:pPr>
      <w:r>
        <w:rPr>
          <w:rFonts w:eastAsia="仿宋"/>
          <w:b/>
          <w:sz w:val="24"/>
          <w:szCs w:val="24"/>
        </w:rPr>
        <w:t>11.服务计划</w:t>
      </w:r>
    </w:p>
    <w:p w14:paraId="50FAD4B5">
      <w:pPr>
        <w:spacing w:line="360" w:lineRule="auto"/>
        <w:ind w:firstLine="480" w:firstLineChars="200"/>
        <w:rPr>
          <w:rFonts w:eastAsia="仿宋"/>
          <w:sz w:val="24"/>
          <w:szCs w:val="24"/>
        </w:rPr>
      </w:pPr>
      <w:r>
        <w:rPr>
          <w:rFonts w:eastAsia="仿宋"/>
          <w:sz w:val="24"/>
          <w:szCs w:val="24"/>
        </w:rPr>
        <w:t>供应商可以针对本次招标项目的实际需求拟定完善的服务计划。</w:t>
      </w:r>
    </w:p>
    <w:p w14:paraId="41BF084F">
      <w:pPr>
        <w:spacing w:line="360" w:lineRule="auto"/>
        <w:ind w:firstLine="482" w:firstLineChars="200"/>
        <w:rPr>
          <w:rFonts w:eastAsia="仿宋"/>
          <w:b/>
          <w:sz w:val="24"/>
          <w:szCs w:val="24"/>
        </w:rPr>
      </w:pPr>
      <w:r>
        <w:rPr>
          <w:rFonts w:eastAsia="仿宋"/>
          <w:b/>
          <w:sz w:val="24"/>
          <w:szCs w:val="24"/>
        </w:rPr>
        <w:t>12.磋商有效期</w:t>
      </w:r>
    </w:p>
    <w:p w14:paraId="58AE8F65">
      <w:pPr>
        <w:spacing w:line="360" w:lineRule="auto"/>
        <w:ind w:firstLine="480" w:firstLineChars="200"/>
        <w:rPr>
          <w:rFonts w:eastAsia="仿宋"/>
          <w:sz w:val="24"/>
          <w:szCs w:val="24"/>
        </w:rPr>
      </w:pPr>
      <w:r>
        <w:rPr>
          <w:rFonts w:eastAsia="仿宋"/>
          <w:sz w:val="24"/>
          <w:szCs w:val="24"/>
        </w:rPr>
        <w:t>12.1从递交响应文件截止时间起计算，磋商有效期为</w:t>
      </w:r>
      <w:r>
        <w:rPr>
          <w:rFonts w:eastAsia="仿宋"/>
          <w:sz w:val="24"/>
          <w:szCs w:val="24"/>
          <w:u w:val="single"/>
        </w:rPr>
        <w:t xml:space="preserve"> 90</w:t>
      </w:r>
      <w:r>
        <w:rPr>
          <w:rFonts w:eastAsia="仿宋"/>
          <w:sz w:val="24"/>
          <w:szCs w:val="24"/>
        </w:rPr>
        <w:t>日历日（如不满足将导致废标）。</w:t>
      </w:r>
    </w:p>
    <w:p w14:paraId="3BC00795">
      <w:pPr>
        <w:spacing w:line="360" w:lineRule="auto"/>
        <w:ind w:firstLine="480" w:firstLineChars="200"/>
        <w:rPr>
          <w:rFonts w:eastAsia="仿宋"/>
          <w:sz w:val="24"/>
          <w:szCs w:val="24"/>
        </w:rPr>
      </w:pPr>
      <w:r>
        <w:rPr>
          <w:rFonts w:eastAsia="仿宋"/>
          <w:sz w:val="24"/>
          <w:szCs w:val="24"/>
        </w:rPr>
        <w:t>12.2在特殊情况下，采购方可与供应商协商延长响应文件的有效期。</w:t>
      </w:r>
    </w:p>
    <w:p w14:paraId="50EFBC90">
      <w:pPr>
        <w:spacing w:line="360" w:lineRule="auto"/>
        <w:ind w:firstLine="482" w:firstLineChars="200"/>
        <w:rPr>
          <w:rFonts w:eastAsia="仿宋"/>
          <w:b/>
          <w:color w:val="auto"/>
          <w:sz w:val="24"/>
          <w:szCs w:val="24"/>
        </w:rPr>
      </w:pPr>
      <w:r>
        <w:rPr>
          <w:rFonts w:eastAsia="仿宋"/>
          <w:b/>
          <w:color w:val="auto"/>
          <w:sz w:val="24"/>
          <w:szCs w:val="24"/>
        </w:rPr>
        <w:t>13.响应文件的签署规定</w:t>
      </w:r>
    </w:p>
    <w:p w14:paraId="1821CD90">
      <w:pPr>
        <w:spacing w:line="360" w:lineRule="auto"/>
        <w:ind w:firstLine="480" w:firstLineChars="200"/>
        <w:rPr>
          <w:rFonts w:eastAsia="仿宋"/>
          <w:color w:val="auto"/>
          <w:sz w:val="24"/>
          <w:szCs w:val="24"/>
        </w:rPr>
      </w:pPr>
      <w:r>
        <w:rPr>
          <w:rFonts w:eastAsia="仿宋"/>
          <w:color w:val="auto"/>
          <w:sz w:val="24"/>
          <w:szCs w:val="24"/>
        </w:rPr>
        <w:t>1</w:t>
      </w:r>
      <w:r>
        <w:rPr>
          <w:rFonts w:hint="eastAsia" w:eastAsia="仿宋"/>
          <w:color w:val="auto"/>
          <w:sz w:val="24"/>
          <w:szCs w:val="24"/>
          <w:lang w:val="en-US" w:eastAsia="zh-CN"/>
        </w:rPr>
        <w:t>3.1</w:t>
      </w:r>
      <w:r>
        <w:rPr>
          <w:rFonts w:eastAsia="仿宋"/>
          <w:color w:val="auto"/>
          <w:sz w:val="24"/>
          <w:szCs w:val="24"/>
        </w:rPr>
        <w:t>响应文件应清楚工整，不允许修改。</w:t>
      </w:r>
    </w:p>
    <w:p w14:paraId="63D7BA58">
      <w:pPr>
        <w:spacing w:line="360" w:lineRule="auto"/>
        <w:ind w:firstLine="480" w:firstLineChars="200"/>
        <w:rPr>
          <w:rFonts w:eastAsia="仿宋"/>
          <w:color w:val="auto"/>
          <w:sz w:val="24"/>
          <w:szCs w:val="24"/>
        </w:rPr>
      </w:pPr>
      <w:r>
        <w:rPr>
          <w:rFonts w:eastAsia="仿宋"/>
          <w:color w:val="auto"/>
          <w:sz w:val="24"/>
          <w:szCs w:val="24"/>
        </w:rPr>
        <w:t>1</w:t>
      </w:r>
      <w:r>
        <w:rPr>
          <w:rFonts w:hint="eastAsia" w:eastAsia="仿宋"/>
          <w:color w:val="auto"/>
          <w:sz w:val="24"/>
          <w:szCs w:val="24"/>
          <w:lang w:val="en-US" w:eastAsia="zh-CN"/>
        </w:rPr>
        <w:t>3.2</w:t>
      </w:r>
      <w:r>
        <w:rPr>
          <w:rFonts w:eastAsia="仿宋"/>
          <w:color w:val="auto"/>
          <w:sz w:val="24"/>
          <w:szCs w:val="24"/>
        </w:rPr>
        <w:t>响应文件应由法人代表或法人授权代表在规定的签章处逐一签署或加盖单位公章</w:t>
      </w:r>
      <w:r>
        <w:rPr>
          <w:rFonts w:eastAsia="仿宋"/>
          <w:bCs/>
          <w:color w:val="auto"/>
          <w:sz w:val="24"/>
          <w:szCs w:val="24"/>
        </w:rPr>
        <w:t>，响应文件方为有效。</w:t>
      </w:r>
    </w:p>
    <w:p w14:paraId="6614A22D">
      <w:pPr>
        <w:spacing w:line="360" w:lineRule="auto"/>
        <w:ind w:firstLine="482" w:firstLineChars="200"/>
        <w:rPr>
          <w:rFonts w:eastAsia="仿宋"/>
          <w:b/>
          <w:sz w:val="24"/>
          <w:szCs w:val="24"/>
        </w:rPr>
      </w:pPr>
      <w:r>
        <w:rPr>
          <w:rFonts w:hint="eastAsia" w:eastAsia="仿宋"/>
          <w:b/>
          <w:sz w:val="24"/>
          <w:szCs w:val="24"/>
          <w:lang w:val="en-US" w:eastAsia="zh-CN"/>
        </w:rPr>
        <w:t>14</w:t>
      </w:r>
      <w:r>
        <w:rPr>
          <w:rFonts w:eastAsia="仿宋"/>
          <w:b/>
          <w:sz w:val="24"/>
          <w:szCs w:val="24"/>
        </w:rPr>
        <w:t xml:space="preserve">. 磋商保证金 </w:t>
      </w:r>
    </w:p>
    <w:p w14:paraId="409E7AE1">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4</w:t>
      </w:r>
      <w:r>
        <w:rPr>
          <w:rFonts w:eastAsia="仿宋"/>
          <w:sz w:val="24"/>
          <w:szCs w:val="24"/>
        </w:rPr>
        <w:t>.1招标方因供应商的违规行为而受到损害时将不予退还供应商的磋商保证金，将其作为所受损害的补偿。</w:t>
      </w:r>
    </w:p>
    <w:p w14:paraId="1ADCDE1C">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4</w:t>
      </w:r>
      <w:r>
        <w:rPr>
          <w:rFonts w:eastAsia="仿宋"/>
          <w:sz w:val="24"/>
          <w:szCs w:val="24"/>
        </w:rPr>
        <w:t>.2磋商保证金提交要求（见供应商须知前附表）</w:t>
      </w:r>
    </w:p>
    <w:p w14:paraId="26419FE1">
      <w:pPr>
        <w:spacing w:line="360" w:lineRule="auto"/>
        <w:ind w:firstLine="482" w:firstLineChars="200"/>
        <w:rPr>
          <w:rFonts w:eastAsia="仿宋"/>
          <w:b/>
          <w:sz w:val="24"/>
          <w:szCs w:val="24"/>
        </w:rPr>
      </w:pPr>
      <w:r>
        <w:rPr>
          <w:rFonts w:eastAsia="仿宋"/>
          <w:b/>
          <w:sz w:val="24"/>
          <w:szCs w:val="24"/>
        </w:rPr>
        <w:t>1</w:t>
      </w:r>
      <w:r>
        <w:rPr>
          <w:rFonts w:hint="eastAsia" w:eastAsia="仿宋"/>
          <w:b/>
          <w:sz w:val="24"/>
          <w:szCs w:val="24"/>
          <w:lang w:val="en-US" w:eastAsia="zh-CN"/>
        </w:rPr>
        <w:t>5</w:t>
      </w:r>
      <w:r>
        <w:rPr>
          <w:rFonts w:eastAsia="仿宋"/>
          <w:b/>
          <w:sz w:val="24"/>
          <w:szCs w:val="24"/>
        </w:rPr>
        <w:t>.响应文件的递交</w:t>
      </w:r>
    </w:p>
    <w:p w14:paraId="3E9F4E0F">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5</w:t>
      </w:r>
      <w:r>
        <w:rPr>
          <w:rFonts w:eastAsia="仿宋"/>
          <w:sz w:val="24"/>
          <w:szCs w:val="24"/>
        </w:rPr>
        <w:t xml:space="preserve">.1加密的电子响应文件应在递交截止时间前通过政采云平台上传完成。 </w:t>
      </w:r>
    </w:p>
    <w:p w14:paraId="00826EB1">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5</w:t>
      </w:r>
      <w:r>
        <w:rPr>
          <w:rFonts w:eastAsia="仿宋"/>
          <w:sz w:val="24"/>
          <w:szCs w:val="24"/>
        </w:rPr>
        <w:t>.2响应文件开启当日，供应商无需到达开标现场，仅需通过政采云平台“不见面”开标大厅完成远程解密。大厅操作提示：</w:t>
      </w:r>
      <w:r>
        <w:rPr>
          <w:rFonts w:ascii="Cambria Math" w:hAnsi="Cambria Math" w:eastAsia="仿宋" w:cs="Cambria Math"/>
          <w:sz w:val="24"/>
          <w:szCs w:val="24"/>
        </w:rPr>
        <w:t>①</w:t>
      </w:r>
      <w:r>
        <w:rPr>
          <w:rFonts w:eastAsia="仿宋"/>
          <w:sz w:val="24"/>
          <w:szCs w:val="24"/>
        </w:rPr>
        <w:t>在开标前一小时在系统进行在线签到；</w:t>
      </w:r>
      <w:r>
        <w:rPr>
          <w:rFonts w:ascii="Cambria Math" w:hAnsi="Cambria Math" w:eastAsia="仿宋" w:cs="Cambria Math"/>
          <w:sz w:val="24"/>
          <w:szCs w:val="24"/>
        </w:rPr>
        <w:t>②</w:t>
      </w:r>
      <w:r>
        <w:rPr>
          <w:rFonts w:eastAsia="仿宋"/>
          <w:sz w:val="24"/>
          <w:szCs w:val="24"/>
        </w:rPr>
        <w:t>在30分钟内完成在线解密；</w:t>
      </w:r>
      <w:r>
        <w:rPr>
          <w:rFonts w:ascii="Cambria Math" w:hAnsi="Cambria Math" w:eastAsia="仿宋" w:cs="Cambria Math"/>
          <w:sz w:val="24"/>
          <w:szCs w:val="24"/>
        </w:rPr>
        <w:t>③</w:t>
      </w:r>
      <w:r>
        <w:rPr>
          <w:rFonts w:eastAsia="仿宋"/>
          <w:sz w:val="24"/>
          <w:szCs w:val="24"/>
        </w:rPr>
        <w:t>在开标结束后30分钟内完成“开标一览表”在线签章。注意：如未在规定时间进行以上操作，将导致投标（响应）无效。</w:t>
      </w:r>
    </w:p>
    <w:p w14:paraId="26DD3C97">
      <w:pPr>
        <w:spacing w:line="360" w:lineRule="auto"/>
        <w:ind w:firstLine="482" w:firstLineChars="200"/>
        <w:rPr>
          <w:rFonts w:eastAsia="仿宋"/>
          <w:b/>
          <w:sz w:val="24"/>
          <w:szCs w:val="24"/>
        </w:rPr>
      </w:pPr>
      <w:r>
        <w:rPr>
          <w:rFonts w:hint="eastAsia" w:eastAsia="仿宋"/>
          <w:b/>
          <w:sz w:val="24"/>
          <w:szCs w:val="24"/>
          <w:lang w:val="en-US" w:eastAsia="zh-CN"/>
        </w:rPr>
        <w:t>16</w:t>
      </w:r>
      <w:r>
        <w:rPr>
          <w:rFonts w:eastAsia="仿宋"/>
          <w:b/>
          <w:sz w:val="24"/>
          <w:szCs w:val="24"/>
        </w:rPr>
        <w:t>.磋商截止时间</w:t>
      </w:r>
    </w:p>
    <w:p w14:paraId="106A40DB">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6</w:t>
      </w:r>
      <w:r>
        <w:rPr>
          <w:rFonts w:eastAsia="仿宋"/>
          <w:sz w:val="24"/>
          <w:szCs w:val="24"/>
        </w:rPr>
        <w:t>.1响应文件的递交截止日期为磋商公告所规定的时间。</w:t>
      </w:r>
    </w:p>
    <w:p w14:paraId="5746C1EC">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6</w:t>
      </w:r>
      <w:r>
        <w:rPr>
          <w:rFonts w:eastAsia="仿宋"/>
          <w:sz w:val="24"/>
          <w:szCs w:val="24"/>
        </w:rPr>
        <w:t>.2加密的电子响应文件应在递交截止时间前通过政采云平台上传完成，在此之后上传的响应文件为无效磋商，响应文件将一律被拒绝。</w:t>
      </w:r>
    </w:p>
    <w:p w14:paraId="508A714F">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6</w:t>
      </w:r>
      <w:r>
        <w:rPr>
          <w:rFonts w:eastAsia="仿宋"/>
          <w:sz w:val="24"/>
          <w:szCs w:val="24"/>
        </w:rPr>
        <w:t>.3出现因磋商文件的修改而推迟磋商截止时间的情况时，供应商则须按采购人的变更公告通知重新规定的磋商时间递交。</w:t>
      </w:r>
    </w:p>
    <w:p w14:paraId="6A29BB83">
      <w:pPr>
        <w:spacing w:line="360" w:lineRule="auto"/>
        <w:ind w:firstLine="482" w:firstLineChars="200"/>
        <w:rPr>
          <w:rFonts w:eastAsia="仿宋"/>
          <w:b/>
          <w:sz w:val="24"/>
          <w:szCs w:val="24"/>
        </w:rPr>
      </w:pPr>
      <w:r>
        <w:rPr>
          <w:rFonts w:eastAsia="仿宋"/>
          <w:b/>
          <w:sz w:val="24"/>
          <w:szCs w:val="24"/>
        </w:rPr>
        <w:t>1</w:t>
      </w:r>
      <w:r>
        <w:rPr>
          <w:rFonts w:hint="eastAsia" w:eastAsia="仿宋"/>
          <w:b/>
          <w:sz w:val="24"/>
          <w:szCs w:val="24"/>
          <w:lang w:val="en-US" w:eastAsia="zh-CN"/>
        </w:rPr>
        <w:t>7</w:t>
      </w:r>
      <w:r>
        <w:rPr>
          <w:rFonts w:eastAsia="仿宋"/>
          <w:b/>
          <w:sz w:val="24"/>
          <w:szCs w:val="24"/>
        </w:rPr>
        <w:t>.响应文件的修改和撤销</w:t>
      </w:r>
    </w:p>
    <w:p w14:paraId="5E0B8C4C">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7.</w:t>
      </w:r>
      <w:r>
        <w:rPr>
          <w:rFonts w:eastAsia="仿宋"/>
          <w:sz w:val="24"/>
          <w:szCs w:val="24"/>
        </w:rPr>
        <w:t>1响应文件上传成功后，在磋商截止时间前，供应商可撤回响应文件，修改内容。</w:t>
      </w:r>
    </w:p>
    <w:p w14:paraId="7C12152D">
      <w:pPr>
        <w:spacing w:line="360" w:lineRule="auto"/>
        <w:ind w:firstLine="480" w:firstLineChars="200"/>
        <w:rPr>
          <w:rFonts w:eastAsia="仿宋"/>
          <w:sz w:val="24"/>
          <w:szCs w:val="24"/>
        </w:rPr>
      </w:pPr>
      <w:r>
        <w:rPr>
          <w:rFonts w:eastAsia="仿宋"/>
          <w:sz w:val="24"/>
          <w:szCs w:val="24"/>
        </w:rPr>
        <w:t>操作路径：登录政采云平台-【项目采购】-【响应文件上传】</w:t>
      </w:r>
    </w:p>
    <w:p w14:paraId="5CC349D2">
      <w:pPr>
        <w:spacing w:line="360" w:lineRule="auto"/>
        <w:ind w:firstLine="480" w:firstLineChars="200"/>
        <w:rPr>
          <w:rFonts w:eastAsia="仿宋"/>
          <w:sz w:val="24"/>
          <w:szCs w:val="24"/>
        </w:rPr>
      </w:pPr>
      <w:r>
        <w:rPr>
          <w:rFonts w:eastAsia="仿宋"/>
          <w:sz w:val="24"/>
          <w:szCs w:val="24"/>
        </w:rPr>
        <w:t>具体操作：在进行中标签页下，选择状态为已上传，在操作栏点击[撤回]按钮进行撤回；也可点击[查看]按钮，点击页面右上角的[撤回]按钮进行撤回。</w:t>
      </w:r>
    </w:p>
    <w:p w14:paraId="4AF3DB79">
      <w:pPr>
        <w:spacing w:line="360" w:lineRule="auto"/>
        <w:ind w:firstLine="480" w:firstLineChars="200"/>
        <w:rPr>
          <w:rFonts w:eastAsia="仿宋"/>
          <w:sz w:val="24"/>
          <w:szCs w:val="24"/>
        </w:rPr>
      </w:pPr>
      <w:r>
        <w:rPr>
          <w:rFonts w:eastAsia="仿宋"/>
          <w:sz w:val="24"/>
          <w:szCs w:val="24"/>
        </w:rPr>
        <w:t>1</w:t>
      </w:r>
      <w:r>
        <w:rPr>
          <w:rFonts w:hint="eastAsia" w:eastAsia="仿宋"/>
          <w:sz w:val="24"/>
          <w:szCs w:val="24"/>
          <w:lang w:val="en-US" w:eastAsia="zh-CN"/>
        </w:rPr>
        <w:t>7</w:t>
      </w:r>
      <w:r>
        <w:rPr>
          <w:rFonts w:eastAsia="仿宋"/>
          <w:sz w:val="24"/>
          <w:szCs w:val="24"/>
        </w:rPr>
        <w:t>.2供应商不得在开标后至磋商有效期期满前撤销响应文件。否则采购人将没收其磋商保证金。</w:t>
      </w:r>
    </w:p>
    <w:p w14:paraId="0837972A">
      <w:pPr>
        <w:spacing w:line="360" w:lineRule="auto"/>
        <w:ind w:firstLine="482" w:firstLineChars="200"/>
        <w:jc w:val="center"/>
        <w:rPr>
          <w:rFonts w:eastAsia="仿宋"/>
          <w:b/>
          <w:sz w:val="24"/>
          <w:szCs w:val="24"/>
        </w:rPr>
      </w:pPr>
      <w:r>
        <w:rPr>
          <w:rFonts w:eastAsia="仿宋"/>
          <w:b/>
          <w:sz w:val="24"/>
          <w:szCs w:val="24"/>
        </w:rPr>
        <w:t>开标</w:t>
      </w:r>
    </w:p>
    <w:p w14:paraId="57AED071">
      <w:pPr>
        <w:spacing w:line="360" w:lineRule="auto"/>
        <w:ind w:firstLine="480" w:firstLineChars="200"/>
        <w:rPr>
          <w:rFonts w:eastAsia="仿宋"/>
          <w:sz w:val="24"/>
          <w:szCs w:val="24"/>
        </w:rPr>
      </w:pPr>
      <w:r>
        <w:rPr>
          <w:rFonts w:hint="eastAsia" w:eastAsia="仿宋"/>
          <w:sz w:val="24"/>
          <w:szCs w:val="24"/>
          <w:lang w:val="en-US" w:eastAsia="zh-CN"/>
        </w:rPr>
        <w:t>18</w:t>
      </w:r>
      <w:r>
        <w:rPr>
          <w:rFonts w:eastAsia="仿宋"/>
          <w:sz w:val="24"/>
          <w:szCs w:val="24"/>
        </w:rPr>
        <w:t>.本次采购按磋商文件中约定的时间和地点进行。</w:t>
      </w:r>
    </w:p>
    <w:p w14:paraId="687F6301">
      <w:pPr>
        <w:spacing w:line="360" w:lineRule="auto"/>
        <w:ind w:firstLine="480" w:firstLineChars="200"/>
        <w:rPr>
          <w:rFonts w:eastAsia="仿宋"/>
          <w:sz w:val="24"/>
          <w:szCs w:val="24"/>
        </w:rPr>
      </w:pPr>
      <w:r>
        <w:rPr>
          <w:rFonts w:hint="eastAsia" w:eastAsia="仿宋"/>
          <w:sz w:val="24"/>
          <w:szCs w:val="24"/>
          <w:lang w:val="en-US" w:eastAsia="zh-CN"/>
        </w:rPr>
        <w:t>19</w:t>
      </w:r>
      <w:r>
        <w:rPr>
          <w:rFonts w:eastAsia="仿宋"/>
          <w:sz w:val="24"/>
          <w:szCs w:val="24"/>
        </w:rPr>
        <w:t>.开标时将通过政采云平台“不见面”开标大厅对响应文件完成远程解密，并在解密后进行唱标。唱标以供应商提交的响应文件中“报价一览表”的内容为准，并对唱标内容作以记录。</w:t>
      </w:r>
    </w:p>
    <w:p w14:paraId="7A06030A">
      <w:pPr>
        <w:spacing w:line="360" w:lineRule="auto"/>
        <w:ind w:firstLine="480" w:firstLineChars="200"/>
        <w:rPr>
          <w:rFonts w:eastAsia="仿宋"/>
          <w:sz w:val="24"/>
          <w:szCs w:val="24"/>
        </w:rPr>
      </w:pPr>
      <w:r>
        <w:rPr>
          <w:rFonts w:eastAsia="仿宋"/>
          <w:sz w:val="24"/>
          <w:szCs w:val="24"/>
        </w:rPr>
        <w:t>若采购人宣读的内容与响应文件不符时，供应商有权在开标现场提出异议，经监督人员当场核查确认之后，可重新宣读其响应文件。若供应商现场未提出异议，则认为供应商已确认采购人宣读的结果。</w:t>
      </w:r>
    </w:p>
    <w:p w14:paraId="53AF8321">
      <w:pPr>
        <w:spacing w:line="360" w:lineRule="auto"/>
        <w:ind w:firstLine="480" w:firstLineChars="200"/>
        <w:rPr>
          <w:rFonts w:eastAsia="仿宋"/>
          <w:sz w:val="24"/>
          <w:szCs w:val="24"/>
        </w:rPr>
      </w:pPr>
      <w:r>
        <w:rPr>
          <w:rFonts w:eastAsia="仿宋"/>
          <w:sz w:val="24"/>
          <w:szCs w:val="24"/>
        </w:rPr>
        <w:t>开标由代理机构主持，邀请监督部门人员现场全过程监督。</w:t>
      </w:r>
    </w:p>
    <w:p w14:paraId="0F46636E">
      <w:pPr>
        <w:spacing w:line="360" w:lineRule="auto"/>
        <w:ind w:firstLine="480" w:firstLineChars="200"/>
        <w:rPr>
          <w:rFonts w:eastAsia="仿宋"/>
          <w:sz w:val="24"/>
          <w:szCs w:val="24"/>
        </w:rPr>
      </w:pPr>
      <w:r>
        <w:rPr>
          <w:rFonts w:eastAsia="仿宋"/>
          <w:sz w:val="24"/>
          <w:szCs w:val="24"/>
        </w:rPr>
        <w:t>2</w:t>
      </w:r>
      <w:r>
        <w:rPr>
          <w:rFonts w:hint="eastAsia" w:eastAsia="仿宋"/>
          <w:sz w:val="24"/>
          <w:szCs w:val="24"/>
          <w:lang w:val="en-US" w:eastAsia="zh-CN"/>
        </w:rPr>
        <w:t>0</w:t>
      </w:r>
      <w:r>
        <w:rPr>
          <w:rFonts w:eastAsia="仿宋"/>
          <w:sz w:val="24"/>
          <w:szCs w:val="24"/>
        </w:rPr>
        <w:t>.开标和唱标的顺序，按照政采云平台上的先后顺序依次进行。</w:t>
      </w:r>
    </w:p>
    <w:p w14:paraId="1A612FA8">
      <w:pPr>
        <w:spacing w:line="360" w:lineRule="auto"/>
        <w:ind w:firstLine="480" w:firstLineChars="200"/>
        <w:jc w:val="left"/>
        <w:rPr>
          <w:rFonts w:eastAsia="仿宋"/>
          <w:bCs/>
          <w:sz w:val="24"/>
          <w:szCs w:val="24"/>
        </w:rPr>
      </w:pPr>
      <w:r>
        <w:rPr>
          <w:rFonts w:eastAsia="仿宋"/>
          <w:sz w:val="24"/>
          <w:szCs w:val="24"/>
        </w:rPr>
        <w:t>2</w:t>
      </w:r>
      <w:r>
        <w:rPr>
          <w:rFonts w:hint="eastAsia" w:eastAsia="仿宋"/>
          <w:sz w:val="24"/>
          <w:szCs w:val="24"/>
          <w:lang w:val="en-US" w:eastAsia="zh-CN"/>
        </w:rPr>
        <w:t>1</w:t>
      </w:r>
      <w:r>
        <w:rPr>
          <w:rFonts w:eastAsia="仿宋"/>
          <w:sz w:val="24"/>
          <w:szCs w:val="24"/>
        </w:rPr>
        <w:t>.</w:t>
      </w:r>
      <w:r>
        <w:rPr>
          <w:rFonts w:eastAsia="仿宋"/>
          <w:bCs/>
          <w:sz w:val="24"/>
          <w:szCs w:val="24"/>
        </w:rPr>
        <w:t>无效的响应文件</w:t>
      </w:r>
    </w:p>
    <w:p w14:paraId="1D6DF874">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2</w:t>
      </w:r>
      <w:r>
        <w:rPr>
          <w:rFonts w:eastAsia="仿宋"/>
          <w:sz w:val="24"/>
          <w:szCs w:val="24"/>
        </w:rPr>
        <w:t>.开标时响应文件出现下列情形之一的应当作为无效响应文件，不得进入评审：</w:t>
      </w:r>
    </w:p>
    <w:p w14:paraId="1EE14B5E">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2</w:t>
      </w:r>
      <w:r>
        <w:rPr>
          <w:rFonts w:eastAsia="仿宋"/>
          <w:sz w:val="24"/>
          <w:szCs w:val="24"/>
        </w:rPr>
        <w:t>.1未在政采云系统进行在线签到的；</w:t>
      </w:r>
    </w:p>
    <w:p w14:paraId="441504BA">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2</w:t>
      </w:r>
      <w:r>
        <w:rPr>
          <w:rFonts w:eastAsia="仿宋"/>
          <w:sz w:val="24"/>
          <w:szCs w:val="24"/>
        </w:rPr>
        <w:t>.2未在30分钟内完成在线解密的；</w:t>
      </w:r>
    </w:p>
    <w:p w14:paraId="75633A85">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2</w:t>
      </w:r>
      <w:r>
        <w:rPr>
          <w:rFonts w:eastAsia="仿宋"/>
          <w:sz w:val="24"/>
          <w:szCs w:val="24"/>
        </w:rPr>
        <w:t>.3唱标结束后30分钟内未完成“开标一览表”在线签章的；</w:t>
      </w:r>
    </w:p>
    <w:p w14:paraId="7AC8F02E">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2</w:t>
      </w:r>
      <w:r>
        <w:rPr>
          <w:rFonts w:eastAsia="仿宋"/>
          <w:sz w:val="24"/>
          <w:szCs w:val="24"/>
        </w:rPr>
        <w:t>.4供应商未按照磋商文件要求提供磋商保证金的；</w:t>
      </w:r>
    </w:p>
    <w:p w14:paraId="09B31C43">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2</w:t>
      </w:r>
      <w:r>
        <w:rPr>
          <w:rFonts w:eastAsia="仿宋"/>
          <w:sz w:val="24"/>
          <w:szCs w:val="24"/>
        </w:rPr>
        <w:t>.5有效证件不齐全的供应商的响应文件。</w:t>
      </w:r>
    </w:p>
    <w:p w14:paraId="374FDA15">
      <w:pPr>
        <w:spacing w:line="360" w:lineRule="auto"/>
        <w:ind w:firstLine="482" w:firstLineChars="200"/>
        <w:jc w:val="center"/>
        <w:rPr>
          <w:rFonts w:eastAsia="仿宋"/>
          <w:b/>
          <w:sz w:val="24"/>
          <w:szCs w:val="24"/>
        </w:rPr>
      </w:pPr>
      <w:r>
        <w:rPr>
          <w:rFonts w:eastAsia="仿宋"/>
          <w:b/>
          <w:sz w:val="24"/>
          <w:szCs w:val="24"/>
        </w:rPr>
        <w:t>评 审</w:t>
      </w:r>
    </w:p>
    <w:p w14:paraId="0D6E23C2">
      <w:pPr>
        <w:spacing w:line="360" w:lineRule="auto"/>
        <w:ind w:firstLine="482" w:firstLineChars="200"/>
        <w:rPr>
          <w:rFonts w:eastAsia="仿宋"/>
          <w:b/>
          <w:sz w:val="24"/>
          <w:szCs w:val="24"/>
        </w:rPr>
      </w:pPr>
      <w:r>
        <w:rPr>
          <w:rFonts w:eastAsia="仿宋"/>
          <w:b/>
          <w:sz w:val="24"/>
          <w:szCs w:val="24"/>
        </w:rPr>
        <w:t>2</w:t>
      </w:r>
      <w:r>
        <w:rPr>
          <w:rFonts w:hint="eastAsia" w:eastAsia="仿宋"/>
          <w:b/>
          <w:sz w:val="24"/>
          <w:szCs w:val="24"/>
          <w:lang w:val="en-US" w:eastAsia="zh-CN"/>
        </w:rPr>
        <w:t>3</w:t>
      </w:r>
      <w:r>
        <w:rPr>
          <w:rFonts w:eastAsia="仿宋"/>
          <w:b/>
          <w:sz w:val="24"/>
          <w:szCs w:val="24"/>
        </w:rPr>
        <w:t>.评审过程的保密性</w:t>
      </w:r>
    </w:p>
    <w:p w14:paraId="555E91EE">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3</w:t>
      </w:r>
      <w:r>
        <w:rPr>
          <w:rFonts w:eastAsia="仿宋"/>
          <w:spacing w:val="-2"/>
          <w:sz w:val="24"/>
          <w:szCs w:val="24"/>
        </w:rPr>
        <w:t>.1开标后直到授予供应商签订合同为止，凡是属于审查、澄清、评价和比较的有关资料以及授标建议等内容，磋商小组成员或参与评审的有关工作人员均不得向供应商或其他无关的人员透露，违者给予警告、取消担任磋商小组成员的资格。</w:t>
      </w:r>
    </w:p>
    <w:p w14:paraId="28114A1A">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3</w:t>
      </w:r>
      <w:r>
        <w:rPr>
          <w:rFonts w:eastAsia="仿宋"/>
          <w:spacing w:val="-2"/>
          <w:sz w:val="24"/>
          <w:szCs w:val="24"/>
        </w:rPr>
        <w:t>.2 供应商在评审过程中，所进行的力图影响评审结果的以及不符合《中华人民共和国政府采购法》以及本次招标的有关规定的活动，将被取消其中标资格。</w:t>
      </w:r>
    </w:p>
    <w:p w14:paraId="3A549DD7">
      <w:pPr>
        <w:spacing w:line="360" w:lineRule="auto"/>
        <w:ind w:firstLine="482" w:firstLineChars="200"/>
        <w:rPr>
          <w:rFonts w:eastAsia="仿宋"/>
          <w:b/>
          <w:sz w:val="24"/>
          <w:szCs w:val="24"/>
        </w:rPr>
      </w:pPr>
      <w:r>
        <w:rPr>
          <w:rFonts w:eastAsia="仿宋"/>
          <w:b/>
          <w:sz w:val="24"/>
          <w:szCs w:val="24"/>
        </w:rPr>
        <w:t>2</w:t>
      </w:r>
      <w:r>
        <w:rPr>
          <w:rFonts w:hint="eastAsia" w:eastAsia="仿宋"/>
          <w:b/>
          <w:sz w:val="24"/>
          <w:szCs w:val="24"/>
          <w:lang w:val="en-US" w:eastAsia="zh-CN"/>
        </w:rPr>
        <w:t>4</w:t>
      </w:r>
      <w:r>
        <w:rPr>
          <w:rFonts w:eastAsia="仿宋"/>
          <w:b/>
          <w:sz w:val="24"/>
          <w:szCs w:val="24"/>
        </w:rPr>
        <w:t>.磋商小组</w:t>
      </w:r>
    </w:p>
    <w:p w14:paraId="5B380524">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4</w:t>
      </w:r>
      <w:r>
        <w:rPr>
          <w:rFonts w:eastAsia="仿宋"/>
          <w:spacing w:val="-2"/>
          <w:sz w:val="24"/>
          <w:szCs w:val="24"/>
        </w:rPr>
        <w:t>.1采购人将根据《中华人民共和国政府采购法》的规定，依法组建本次招标的磋商小组，负责本次采购项目的评审活动。磋商小组负责向采购人推荐成交候选人或者根据采购人的授权直接确定成交供应商。</w:t>
      </w:r>
    </w:p>
    <w:p w14:paraId="0F2A0D39">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4</w:t>
      </w:r>
      <w:r>
        <w:rPr>
          <w:rFonts w:eastAsia="仿宋"/>
          <w:spacing w:val="-2"/>
          <w:sz w:val="24"/>
          <w:szCs w:val="24"/>
        </w:rPr>
        <w:t>.2磋商小组成员名单于开标前确定。磋商小组成员名单在成交结果确定前保密。</w:t>
      </w:r>
    </w:p>
    <w:p w14:paraId="5B4A00B3">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4</w:t>
      </w:r>
      <w:r>
        <w:rPr>
          <w:rFonts w:eastAsia="仿宋"/>
          <w:spacing w:val="-2"/>
          <w:sz w:val="24"/>
          <w:szCs w:val="24"/>
        </w:rPr>
        <w:t>.3磋商小组由采购人或熟悉相关业务的代表以及有关技术、经济等方面的人员组成，成员为三人及以上的单数，其中技术、经济等方面的成员不少于成员总数的三分之二。</w:t>
      </w:r>
    </w:p>
    <w:p w14:paraId="4109A752">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4</w:t>
      </w:r>
      <w:r>
        <w:rPr>
          <w:rFonts w:eastAsia="仿宋"/>
          <w:spacing w:val="-2"/>
          <w:sz w:val="24"/>
          <w:szCs w:val="24"/>
        </w:rPr>
        <w:t>.4按前款规定，磋商小组的成员，由采购人采取随机抽取的方式确定或者直接确定的方式。</w:t>
      </w:r>
    </w:p>
    <w:p w14:paraId="2A64DBE4">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4</w:t>
      </w:r>
      <w:r>
        <w:rPr>
          <w:rFonts w:eastAsia="仿宋"/>
          <w:spacing w:val="-2"/>
          <w:sz w:val="24"/>
          <w:szCs w:val="24"/>
        </w:rPr>
        <w:t>.5评审专家（磋商小组专家成员）应符合下列条件：</w:t>
      </w:r>
    </w:p>
    <w:p w14:paraId="7A549144">
      <w:pPr>
        <w:spacing w:line="360" w:lineRule="auto"/>
        <w:ind w:firstLine="472" w:firstLineChars="200"/>
        <w:rPr>
          <w:rFonts w:eastAsia="仿宋"/>
          <w:spacing w:val="-2"/>
          <w:sz w:val="24"/>
          <w:szCs w:val="24"/>
        </w:rPr>
      </w:pPr>
      <w:r>
        <w:rPr>
          <w:rFonts w:eastAsia="仿宋"/>
          <w:spacing w:val="-2"/>
          <w:sz w:val="24"/>
          <w:szCs w:val="24"/>
        </w:rPr>
        <w:t>(1)具有良好的职业道德，廉洁自律，遵纪守法,无行贿、受贿、欺诈等不良信用记录；</w:t>
      </w:r>
    </w:p>
    <w:p w14:paraId="1955DCEF">
      <w:pPr>
        <w:spacing w:line="360" w:lineRule="auto"/>
        <w:ind w:firstLine="472" w:firstLineChars="200"/>
        <w:rPr>
          <w:rFonts w:eastAsia="仿宋"/>
          <w:spacing w:val="-2"/>
          <w:sz w:val="24"/>
          <w:szCs w:val="24"/>
        </w:rPr>
      </w:pPr>
      <w:r>
        <w:rPr>
          <w:rFonts w:eastAsia="仿宋"/>
          <w:spacing w:val="-2"/>
          <w:sz w:val="24"/>
          <w:szCs w:val="24"/>
        </w:rPr>
        <w:t>(2)具有中级专业技术职称或同等专业水平且从事相关领域工作满8年,或者具有高级专业技术职称或同等专业水平；</w:t>
      </w:r>
    </w:p>
    <w:p w14:paraId="0E0980CA">
      <w:pPr>
        <w:spacing w:line="360" w:lineRule="auto"/>
        <w:ind w:firstLine="472" w:firstLineChars="200"/>
        <w:rPr>
          <w:rFonts w:eastAsia="仿宋"/>
          <w:spacing w:val="-2"/>
          <w:sz w:val="24"/>
          <w:szCs w:val="24"/>
        </w:rPr>
      </w:pPr>
      <w:r>
        <w:rPr>
          <w:rFonts w:eastAsia="仿宋"/>
          <w:spacing w:val="-2"/>
          <w:sz w:val="24"/>
          <w:szCs w:val="24"/>
        </w:rPr>
        <w:t>(3)熟悉政府采购相关政策法规；</w:t>
      </w:r>
    </w:p>
    <w:p w14:paraId="1D9E6F32">
      <w:pPr>
        <w:spacing w:line="360" w:lineRule="auto"/>
        <w:ind w:firstLine="472" w:firstLineChars="200"/>
        <w:rPr>
          <w:rFonts w:eastAsia="仿宋"/>
          <w:spacing w:val="-2"/>
          <w:sz w:val="24"/>
          <w:szCs w:val="24"/>
        </w:rPr>
      </w:pPr>
      <w:r>
        <w:rPr>
          <w:rFonts w:eastAsia="仿宋"/>
          <w:spacing w:val="-2"/>
          <w:sz w:val="24"/>
          <w:szCs w:val="24"/>
        </w:rPr>
        <w:t>(4)承诺以独立身份参加评审工作,依法履行评审专家工作职责并承担相应法律责任的中国公民；</w:t>
      </w:r>
    </w:p>
    <w:p w14:paraId="621C9246">
      <w:pPr>
        <w:spacing w:line="360" w:lineRule="auto"/>
        <w:ind w:firstLine="472" w:firstLineChars="200"/>
        <w:rPr>
          <w:rFonts w:eastAsia="仿宋"/>
          <w:spacing w:val="-2"/>
          <w:sz w:val="24"/>
          <w:szCs w:val="24"/>
        </w:rPr>
      </w:pPr>
      <w:r>
        <w:rPr>
          <w:rFonts w:eastAsia="仿宋"/>
          <w:spacing w:val="-2"/>
          <w:sz w:val="24"/>
          <w:szCs w:val="24"/>
        </w:rPr>
        <w:t>(5)身体健康，能够承担评审工作；</w:t>
      </w:r>
    </w:p>
    <w:p w14:paraId="7D2481B6">
      <w:pPr>
        <w:spacing w:line="360" w:lineRule="auto"/>
        <w:ind w:firstLine="472" w:firstLineChars="200"/>
        <w:rPr>
          <w:rFonts w:eastAsia="仿宋"/>
          <w:spacing w:val="-2"/>
          <w:sz w:val="24"/>
          <w:szCs w:val="24"/>
        </w:rPr>
      </w:pPr>
      <w:r>
        <w:rPr>
          <w:rFonts w:eastAsia="仿宋"/>
          <w:spacing w:val="-2"/>
          <w:sz w:val="24"/>
          <w:szCs w:val="24"/>
        </w:rPr>
        <w:t>(6)申请成为评审专家前三年内,无《政府采购评审专家管理办法》中规定的不良行为记录。</w:t>
      </w:r>
    </w:p>
    <w:p w14:paraId="7C910DBD">
      <w:pPr>
        <w:spacing w:line="360" w:lineRule="auto"/>
        <w:ind w:firstLine="472" w:firstLineChars="200"/>
        <w:rPr>
          <w:rFonts w:eastAsia="仿宋"/>
          <w:spacing w:val="-2"/>
          <w:sz w:val="24"/>
          <w:szCs w:val="24"/>
        </w:rPr>
      </w:pPr>
      <w:r>
        <w:rPr>
          <w:rFonts w:eastAsia="仿宋"/>
          <w:spacing w:val="-2"/>
          <w:sz w:val="24"/>
          <w:szCs w:val="24"/>
        </w:rPr>
        <w:t>有下列情形之一的，不得担任磋商小组成员：</w:t>
      </w:r>
    </w:p>
    <w:p w14:paraId="63C8F7C8">
      <w:pPr>
        <w:spacing w:line="360" w:lineRule="auto"/>
        <w:ind w:firstLine="472" w:firstLineChars="200"/>
        <w:rPr>
          <w:rFonts w:eastAsia="仿宋"/>
          <w:spacing w:val="-2"/>
          <w:sz w:val="24"/>
          <w:szCs w:val="24"/>
        </w:rPr>
      </w:pPr>
      <w:r>
        <w:rPr>
          <w:rFonts w:eastAsia="仿宋"/>
          <w:spacing w:val="-2"/>
          <w:sz w:val="24"/>
          <w:szCs w:val="24"/>
        </w:rPr>
        <w:t>(1)参加采购活动前三年内,与供应商存在劳动关系,或者担任过供应商的董事、监事,或者是供应商的控股股东或实际控制人；</w:t>
      </w:r>
    </w:p>
    <w:p w14:paraId="2FD691B1">
      <w:pPr>
        <w:spacing w:line="360" w:lineRule="auto"/>
        <w:ind w:firstLine="472" w:firstLineChars="200"/>
        <w:rPr>
          <w:rFonts w:eastAsia="仿宋"/>
          <w:spacing w:val="-2"/>
          <w:sz w:val="24"/>
          <w:szCs w:val="24"/>
        </w:rPr>
      </w:pPr>
      <w:r>
        <w:rPr>
          <w:rFonts w:eastAsia="仿宋"/>
          <w:spacing w:val="-2"/>
          <w:sz w:val="24"/>
          <w:szCs w:val="24"/>
        </w:rPr>
        <w:t>(2)与供应商的法定代表人或者负责人有夫妻、直系血亲、三代以内旁系血亲或者近姻亲关系；</w:t>
      </w:r>
    </w:p>
    <w:p w14:paraId="55A00B91">
      <w:pPr>
        <w:spacing w:line="360" w:lineRule="auto"/>
        <w:ind w:firstLine="472" w:firstLineChars="200"/>
        <w:rPr>
          <w:rFonts w:eastAsia="仿宋"/>
          <w:spacing w:val="-2"/>
          <w:sz w:val="24"/>
          <w:szCs w:val="24"/>
        </w:rPr>
      </w:pPr>
      <w:r>
        <w:rPr>
          <w:rFonts w:eastAsia="仿宋"/>
          <w:spacing w:val="-2"/>
          <w:sz w:val="24"/>
          <w:szCs w:val="24"/>
        </w:rPr>
        <w:t>(3)与供应商有其他可能影响政府采购活动公平、公正进行的关系。</w:t>
      </w:r>
    </w:p>
    <w:p w14:paraId="77E89276">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4</w:t>
      </w:r>
      <w:r>
        <w:rPr>
          <w:rFonts w:eastAsia="仿宋"/>
          <w:spacing w:val="-2"/>
          <w:sz w:val="24"/>
          <w:szCs w:val="24"/>
        </w:rPr>
        <w:t xml:space="preserve">.6磋商小组成员应当客观、公正地履行职责，遵守职业道德，并对所提出的评审意见承担个人责任。磋商小组成员不得与任何供应商或者与招标结果有利害关系的人员进行私下接触，不得收受供应商、中介人、其他有利害关系人的财物或者其他好处。 </w:t>
      </w:r>
    </w:p>
    <w:p w14:paraId="3047C270">
      <w:pPr>
        <w:spacing w:line="360" w:lineRule="auto"/>
        <w:ind w:firstLine="472" w:firstLineChars="200"/>
        <w:rPr>
          <w:rFonts w:eastAsia="仿宋"/>
          <w:sz w:val="24"/>
          <w:szCs w:val="24"/>
        </w:rPr>
      </w:pPr>
      <w:r>
        <w:rPr>
          <w:rFonts w:eastAsia="仿宋"/>
          <w:spacing w:val="-2"/>
          <w:sz w:val="24"/>
          <w:szCs w:val="24"/>
        </w:rPr>
        <w:t>2</w:t>
      </w:r>
      <w:r>
        <w:rPr>
          <w:rFonts w:hint="eastAsia" w:eastAsia="仿宋"/>
          <w:spacing w:val="-2"/>
          <w:sz w:val="24"/>
          <w:szCs w:val="24"/>
          <w:lang w:val="en-US" w:eastAsia="zh-CN"/>
        </w:rPr>
        <w:t>4</w:t>
      </w:r>
      <w:r>
        <w:rPr>
          <w:rFonts w:eastAsia="仿宋"/>
          <w:spacing w:val="-2"/>
          <w:sz w:val="24"/>
          <w:szCs w:val="24"/>
        </w:rPr>
        <w:t>.7磋商小组成员和与本次评审活动有关的工作人员，不得透露对响应文件的评审和比较、成交候选人的推荐情况以及与评审有关的其他情况。与评审活动有关的工作人员，是指磋商小组成员以外的、因参与评审监督工作或者事务性工作而知悉有关评审情况的所有人员。</w:t>
      </w:r>
    </w:p>
    <w:p w14:paraId="4BFB090B">
      <w:pPr>
        <w:spacing w:line="360" w:lineRule="auto"/>
        <w:ind w:firstLine="482" w:firstLineChars="200"/>
        <w:rPr>
          <w:rFonts w:eastAsia="仿宋"/>
          <w:b/>
          <w:sz w:val="24"/>
          <w:szCs w:val="24"/>
        </w:rPr>
      </w:pPr>
      <w:r>
        <w:rPr>
          <w:rFonts w:eastAsia="仿宋"/>
          <w:b/>
          <w:sz w:val="24"/>
          <w:szCs w:val="24"/>
        </w:rPr>
        <w:t>2</w:t>
      </w:r>
      <w:r>
        <w:rPr>
          <w:rFonts w:hint="eastAsia" w:eastAsia="仿宋"/>
          <w:b/>
          <w:sz w:val="24"/>
          <w:szCs w:val="24"/>
          <w:lang w:val="en-US" w:eastAsia="zh-CN"/>
        </w:rPr>
        <w:t>5</w:t>
      </w:r>
      <w:r>
        <w:rPr>
          <w:rFonts w:eastAsia="仿宋"/>
          <w:b/>
          <w:sz w:val="24"/>
          <w:szCs w:val="24"/>
        </w:rPr>
        <w:t>.评审的准备</w:t>
      </w:r>
    </w:p>
    <w:p w14:paraId="7896DA56">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5</w:t>
      </w:r>
      <w:r>
        <w:rPr>
          <w:rFonts w:eastAsia="仿宋"/>
          <w:spacing w:val="-2"/>
          <w:sz w:val="24"/>
          <w:szCs w:val="24"/>
        </w:rPr>
        <w:t>.1磋商小组的成员应当熟悉并认真研究磋商文件，至少应了解和熟悉以下内容：</w:t>
      </w:r>
    </w:p>
    <w:p w14:paraId="4E43124C">
      <w:pPr>
        <w:spacing w:line="360" w:lineRule="auto"/>
        <w:ind w:firstLine="472" w:firstLineChars="200"/>
        <w:rPr>
          <w:rFonts w:eastAsia="仿宋"/>
          <w:spacing w:val="-2"/>
          <w:sz w:val="24"/>
          <w:szCs w:val="24"/>
        </w:rPr>
      </w:pPr>
      <w:r>
        <w:rPr>
          <w:rFonts w:eastAsia="仿宋"/>
          <w:spacing w:val="-2"/>
          <w:sz w:val="24"/>
          <w:szCs w:val="24"/>
        </w:rPr>
        <w:t>(1)招标目的。</w:t>
      </w:r>
    </w:p>
    <w:p w14:paraId="7E21CD97">
      <w:pPr>
        <w:spacing w:line="360" w:lineRule="auto"/>
        <w:ind w:firstLine="472" w:firstLineChars="200"/>
        <w:rPr>
          <w:rFonts w:eastAsia="仿宋"/>
          <w:spacing w:val="-2"/>
          <w:sz w:val="24"/>
          <w:szCs w:val="24"/>
        </w:rPr>
      </w:pPr>
      <w:r>
        <w:rPr>
          <w:rFonts w:eastAsia="仿宋"/>
          <w:spacing w:val="-2"/>
          <w:sz w:val="24"/>
          <w:szCs w:val="24"/>
        </w:rPr>
        <w:t>(2)招标项目的范围、性质。</w:t>
      </w:r>
    </w:p>
    <w:p w14:paraId="71D90DD7">
      <w:pPr>
        <w:spacing w:line="360" w:lineRule="auto"/>
        <w:ind w:firstLine="472" w:firstLineChars="200"/>
        <w:rPr>
          <w:rFonts w:eastAsia="仿宋"/>
          <w:spacing w:val="-2"/>
          <w:sz w:val="24"/>
          <w:szCs w:val="24"/>
        </w:rPr>
      </w:pPr>
      <w:r>
        <w:rPr>
          <w:rFonts w:eastAsia="仿宋"/>
          <w:spacing w:val="-2"/>
          <w:sz w:val="24"/>
          <w:szCs w:val="24"/>
        </w:rPr>
        <w:t>(3)磋商文件中规定的主要技术要求、标准和商务条款。</w:t>
      </w:r>
    </w:p>
    <w:p w14:paraId="2EF4F834">
      <w:pPr>
        <w:spacing w:line="360" w:lineRule="auto"/>
        <w:ind w:firstLine="472" w:firstLineChars="200"/>
        <w:rPr>
          <w:rFonts w:eastAsia="仿宋"/>
          <w:spacing w:val="-2"/>
          <w:sz w:val="24"/>
          <w:szCs w:val="24"/>
        </w:rPr>
      </w:pPr>
      <w:r>
        <w:rPr>
          <w:rFonts w:eastAsia="仿宋"/>
          <w:spacing w:val="-2"/>
          <w:sz w:val="24"/>
          <w:szCs w:val="24"/>
        </w:rPr>
        <w:t>(4)磋商文件规定的评审标准、评审方法和在评审过程中应考虑的相关因素。</w:t>
      </w:r>
    </w:p>
    <w:p w14:paraId="06E2A98D">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5</w:t>
      </w:r>
      <w:r>
        <w:rPr>
          <w:rFonts w:eastAsia="仿宋"/>
          <w:spacing w:val="-2"/>
          <w:sz w:val="24"/>
          <w:szCs w:val="24"/>
        </w:rPr>
        <w:t>.2采购人应当向磋商小组提供评审所需的重要信息和数据。</w:t>
      </w:r>
    </w:p>
    <w:p w14:paraId="408F44B7">
      <w:pPr>
        <w:spacing w:line="360" w:lineRule="auto"/>
        <w:ind w:firstLine="472" w:firstLineChars="200"/>
        <w:rPr>
          <w:rFonts w:eastAsia="仿宋"/>
          <w:sz w:val="24"/>
          <w:szCs w:val="24"/>
        </w:rPr>
      </w:pPr>
      <w:r>
        <w:rPr>
          <w:rFonts w:eastAsia="仿宋"/>
          <w:spacing w:val="-2"/>
          <w:sz w:val="24"/>
          <w:szCs w:val="24"/>
        </w:rPr>
        <w:t>2</w:t>
      </w:r>
      <w:r>
        <w:rPr>
          <w:rFonts w:hint="eastAsia" w:eastAsia="仿宋"/>
          <w:spacing w:val="-2"/>
          <w:sz w:val="24"/>
          <w:szCs w:val="24"/>
          <w:lang w:val="en-US" w:eastAsia="zh-CN"/>
        </w:rPr>
        <w:t>5</w:t>
      </w:r>
      <w:r>
        <w:rPr>
          <w:rFonts w:eastAsia="仿宋"/>
          <w:spacing w:val="-2"/>
          <w:sz w:val="24"/>
          <w:szCs w:val="24"/>
        </w:rPr>
        <w:t>.3磋商小组应当根据磋商文件规定的评审标准和方法，对响应文件进行系统地评审和比较。磋商文件中没有规定的标准和方法不得作为评审的依据。</w:t>
      </w:r>
    </w:p>
    <w:p w14:paraId="534BE6B0">
      <w:pPr>
        <w:spacing w:line="360" w:lineRule="auto"/>
        <w:ind w:firstLine="482" w:firstLineChars="200"/>
        <w:rPr>
          <w:rFonts w:eastAsia="仿宋"/>
          <w:b/>
          <w:sz w:val="24"/>
          <w:szCs w:val="24"/>
        </w:rPr>
      </w:pPr>
      <w:r>
        <w:rPr>
          <w:rFonts w:eastAsia="仿宋"/>
          <w:b/>
          <w:sz w:val="24"/>
          <w:szCs w:val="24"/>
        </w:rPr>
        <w:t>2</w:t>
      </w:r>
      <w:r>
        <w:rPr>
          <w:rFonts w:hint="eastAsia" w:eastAsia="仿宋"/>
          <w:b/>
          <w:sz w:val="24"/>
          <w:szCs w:val="24"/>
          <w:lang w:val="en-US" w:eastAsia="zh-CN"/>
        </w:rPr>
        <w:t>6</w:t>
      </w:r>
      <w:r>
        <w:rPr>
          <w:rFonts w:eastAsia="仿宋"/>
          <w:b/>
          <w:sz w:val="24"/>
          <w:szCs w:val="24"/>
        </w:rPr>
        <w:t>.评审依据及评审办法</w:t>
      </w:r>
    </w:p>
    <w:p w14:paraId="21DDCF59">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6</w:t>
      </w:r>
      <w:r>
        <w:rPr>
          <w:rFonts w:eastAsia="仿宋"/>
          <w:sz w:val="24"/>
          <w:szCs w:val="24"/>
        </w:rPr>
        <w:t>.1评审依据为磋商文件。</w:t>
      </w:r>
    </w:p>
    <w:p w14:paraId="556841E7">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6</w:t>
      </w:r>
      <w:r>
        <w:rPr>
          <w:rFonts w:eastAsia="仿宋"/>
          <w:sz w:val="24"/>
          <w:szCs w:val="24"/>
        </w:rPr>
        <w:t>.2本次采购项目采用综合评分法。</w:t>
      </w:r>
    </w:p>
    <w:p w14:paraId="1BB51A14">
      <w:pPr>
        <w:spacing w:line="360" w:lineRule="auto"/>
        <w:ind w:firstLine="480" w:firstLineChars="200"/>
        <w:jc w:val="left"/>
        <w:rPr>
          <w:rFonts w:eastAsia="仿宋"/>
          <w:sz w:val="24"/>
          <w:szCs w:val="24"/>
        </w:rPr>
      </w:pPr>
      <w:r>
        <w:rPr>
          <w:rFonts w:eastAsia="仿宋"/>
          <w:sz w:val="24"/>
          <w:szCs w:val="24"/>
        </w:rPr>
        <w:t>2</w:t>
      </w:r>
      <w:r>
        <w:rPr>
          <w:rFonts w:hint="eastAsia" w:eastAsia="仿宋"/>
          <w:sz w:val="24"/>
          <w:szCs w:val="24"/>
          <w:lang w:val="en-US" w:eastAsia="zh-CN"/>
        </w:rPr>
        <w:t>6</w:t>
      </w:r>
      <w:r>
        <w:rPr>
          <w:rFonts w:eastAsia="仿宋"/>
          <w:sz w:val="24"/>
          <w:szCs w:val="24"/>
        </w:rPr>
        <w:t>.3采购人不接受不符合国家有关部门相关规定的磋商报价或优惠方案。</w:t>
      </w:r>
    </w:p>
    <w:p w14:paraId="0DB63EF8">
      <w:pPr>
        <w:spacing w:line="360" w:lineRule="auto"/>
        <w:ind w:firstLine="482" w:firstLineChars="200"/>
        <w:rPr>
          <w:rFonts w:eastAsia="仿宋"/>
          <w:b/>
          <w:sz w:val="24"/>
          <w:szCs w:val="24"/>
        </w:rPr>
      </w:pPr>
      <w:r>
        <w:rPr>
          <w:rFonts w:hint="eastAsia" w:eastAsia="仿宋"/>
          <w:b/>
          <w:sz w:val="24"/>
          <w:szCs w:val="24"/>
          <w:lang w:val="en-US" w:eastAsia="zh-CN"/>
        </w:rPr>
        <w:t>27</w:t>
      </w:r>
      <w:r>
        <w:rPr>
          <w:rFonts w:eastAsia="仿宋"/>
          <w:b/>
          <w:sz w:val="24"/>
          <w:szCs w:val="24"/>
        </w:rPr>
        <w:t>.评审程序及评审因素</w:t>
      </w:r>
    </w:p>
    <w:p w14:paraId="239A716F">
      <w:pPr>
        <w:spacing w:line="360" w:lineRule="auto"/>
        <w:ind w:firstLine="482" w:firstLineChars="200"/>
        <w:rPr>
          <w:rFonts w:eastAsia="仿宋"/>
          <w:b/>
          <w:sz w:val="24"/>
          <w:szCs w:val="24"/>
        </w:rPr>
      </w:pPr>
      <w:r>
        <w:rPr>
          <w:rFonts w:eastAsia="仿宋"/>
          <w:b/>
          <w:sz w:val="24"/>
          <w:szCs w:val="24"/>
        </w:rPr>
        <w:t>2</w:t>
      </w:r>
      <w:r>
        <w:rPr>
          <w:rFonts w:hint="eastAsia" w:eastAsia="仿宋"/>
          <w:b/>
          <w:sz w:val="24"/>
          <w:szCs w:val="24"/>
          <w:lang w:val="en-US" w:eastAsia="zh-CN"/>
        </w:rPr>
        <w:t>7</w:t>
      </w:r>
      <w:r>
        <w:rPr>
          <w:rFonts w:eastAsia="仿宋"/>
          <w:b/>
          <w:sz w:val="24"/>
          <w:szCs w:val="24"/>
        </w:rPr>
        <w:t>.1评审程序</w:t>
      </w:r>
    </w:p>
    <w:p w14:paraId="76FE71C8">
      <w:pPr>
        <w:spacing w:line="360" w:lineRule="auto"/>
        <w:ind w:firstLine="482" w:firstLineChars="200"/>
        <w:rPr>
          <w:rFonts w:eastAsia="仿宋"/>
          <w:b/>
          <w:sz w:val="24"/>
          <w:szCs w:val="24"/>
        </w:rPr>
      </w:pPr>
      <w:r>
        <w:rPr>
          <w:rFonts w:eastAsia="仿宋"/>
          <w:b/>
          <w:sz w:val="24"/>
          <w:szCs w:val="24"/>
        </w:rPr>
        <w:t>成立</w:t>
      </w:r>
      <w:r>
        <w:rPr>
          <w:rFonts w:eastAsia="仿宋"/>
          <w:b/>
          <w:bCs/>
          <w:spacing w:val="-2"/>
          <w:sz w:val="24"/>
          <w:szCs w:val="24"/>
        </w:rPr>
        <w:t>磋商小组</w:t>
      </w:r>
      <w:r>
        <w:rPr>
          <w:rFonts w:eastAsia="仿宋"/>
          <w:b/>
          <w:sz w:val="24"/>
          <w:szCs w:val="24"/>
        </w:rPr>
        <w:t>→资格审查→初步评审（符合性审查表）→详细评审（商务、技术部分评审及报价得分计算）→推荐成交候选人→完成评审报告。</w:t>
      </w:r>
    </w:p>
    <w:p w14:paraId="1A600A48">
      <w:pPr>
        <w:spacing w:line="360" w:lineRule="auto"/>
        <w:ind w:firstLine="482" w:firstLineChars="200"/>
        <w:rPr>
          <w:rFonts w:eastAsia="仿宋"/>
          <w:b/>
          <w:sz w:val="24"/>
          <w:szCs w:val="24"/>
        </w:rPr>
      </w:pPr>
      <w:r>
        <w:rPr>
          <w:rFonts w:eastAsia="仿宋"/>
          <w:b/>
          <w:sz w:val="24"/>
          <w:szCs w:val="24"/>
        </w:rPr>
        <w:t>2</w:t>
      </w:r>
      <w:r>
        <w:rPr>
          <w:rFonts w:hint="eastAsia" w:eastAsia="仿宋"/>
          <w:b/>
          <w:sz w:val="24"/>
          <w:szCs w:val="24"/>
          <w:lang w:val="en-US" w:eastAsia="zh-CN"/>
        </w:rPr>
        <w:t>7</w:t>
      </w:r>
      <w:r>
        <w:rPr>
          <w:rFonts w:eastAsia="仿宋"/>
          <w:b/>
          <w:sz w:val="24"/>
          <w:szCs w:val="24"/>
        </w:rPr>
        <w:t>.2对响应文件的评估和比较</w:t>
      </w:r>
    </w:p>
    <w:p w14:paraId="7177331C">
      <w:pPr>
        <w:spacing w:line="360" w:lineRule="auto"/>
        <w:ind w:firstLine="472" w:firstLineChars="200"/>
        <w:rPr>
          <w:rFonts w:eastAsia="仿宋"/>
          <w:spacing w:val="-2"/>
          <w:sz w:val="24"/>
          <w:szCs w:val="24"/>
        </w:rPr>
      </w:pPr>
      <w:r>
        <w:rPr>
          <w:rFonts w:eastAsia="仿宋"/>
          <w:spacing w:val="-2"/>
          <w:sz w:val="24"/>
          <w:szCs w:val="24"/>
        </w:rPr>
        <w:t>对实质性响应的响应文件进行评估和比较。</w:t>
      </w:r>
    </w:p>
    <w:p w14:paraId="04F0B9E7">
      <w:pPr>
        <w:spacing w:line="360" w:lineRule="auto"/>
        <w:ind w:firstLine="482" w:firstLineChars="200"/>
        <w:rPr>
          <w:rFonts w:eastAsia="仿宋"/>
          <w:b/>
          <w:sz w:val="24"/>
          <w:szCs w:val="24"/>
        </w:rPr>
      </w:pPr>
      <w:r>
        <w:rPr>
          <w:rFonts w:eastAsia="仿宋"/>
          <w:b/>
          <w:sz w:val="24"/>
          <w:szCs w:val="24"/>
        </w:rPr>
        <w:t>2</w:t>
      </w:r>
      <w:r>
        <w:rPr>
          <w:rFonts w:hint="eastAsia" w:eastAsia="仿宋"/>
          <w:b/>
          <w:sz w:val="24"/>
          <w:szCs w:val="24"/>
          <w:lang w:val="en-US" w:eastAsia="zh-CN"/>
        </w:rPr>
        <w:t>7</w:t>
      </w:r>
      <w:r>
        <w:rPr>
          <w:rFonts w:eastAsia="仿宋"/>
          <w:b/>
          <w:sz w:val="24"/>
          <w:szCs w:val="24"/>
        </w:rPr>
        <w:t>.3 初步评审</w:t>
      </w:r>
    </w:p>
    <w:p w14:paraId="221888CB">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3.1资格审查未通过的，其响应文件无效。磋商小组对响应文件的有效性、完整性和响应程度进行审查时，可以书面方式要求供应商对响应文件中含义不明确、对同类问题表述不一致或者有明显文字和计算错误的内容作必要的澄清、说明或补正。供应商的澄清、说明或补正应以书面方式进行,并不得超出响应文件的范围或者改变响应文件的实质性内容。响应文件中的大写金额和小写金额不一致的以大写金额为准。</w:t>
      </w:r>
    </w:p>
    <w:p w14:paraId="22449E3A">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.3.2采购方不接受不符合国家有关部门相关规定的磋商报价或优惠方案。</w:t>
      </w:r>
    </w:p>
    <w:p w14:paraId="3D76DFAD">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.3.3在评审过程中，磋商小组发现供应商以他人名义投标、串通投标、以行贿手段谋取中标或者以其他弄虚作假方式磋商的，该供应商的磋商将被否决。</w:t>
      </w:r>
    </w:p>
    <w:p w14:paraId="146FCA10">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.3.4供应商的资格条件不符合国家有关规定和磋商文件要求的，或者拒不按照要求对响应文件进行澄清、说明或补正的，磋商小组可以否决其磋商。</w:t>
      </w:r>
    </w:p>
    <w:p w14:paraId="1FA795F7">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.3.5磋商小组应当审查每一个响应文件是否对磋商文件提出的所有实质性要求和条件做出响应。未能在实质上响应的磋商，其磋商将被否决。</w:t>
      </w:r>
    </w:p>
    <w:p w14:paraId="7B30E983">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.3.6供应商不得误导、干扰采购方的评审活动，否则将废除其磋商。</w:t>
      </w:r>
    </w:p>
    <w:p w14:paraId="1E7B3D0E">
      <w:pPr>
        <w:spacing w:line="360" w:lineRule="auto"/>
        <w:ind w:firstLine="472" w:firstLineChars="200"/>
        <w:rPr>
          <w:rFonts w:eastAsia="仿宋"/>
          <w:spacing w:val="-2"/>
          <w:sz w:val="24"/>
          <w:szCs w:val="24"/>
        </w:rPr>
      </w:pPr>
      <w:r>
        <w:rPr>
          <w:rFonts w:hint="eastAsia" w:eastAsia="仿宋"/>
          <w:spacing w:val="-2"/>
          <w:sz w:val="24"/>
          <w:szCs w:val="24"/>
          <w:lang w:val="en-US" w:eastAsia="zh-CN"/>
        </w:rPr>
        <w:t>27</w:t>
      </w:r>
      <w:r>
        <w:rPr>
          <w:rFonts w:eastAsia="仿宋"/>
          <w:spacing w:val="-2"/>
          <w:sz w:val="24"/>
          <w:szCs w:val="24"/>
        </w:rPr>
        <w:t>.3.7磋商小组根据上述规定否决不合格磋商，因有效磋商不足本次评标办法规定数量而使得磋商明显缺乏竞争性时，根据《中华人民共和国政府采购法》的相关，将作流标处理。</w:t>
      </w:r>
    </w:p>
    <w:p w14:paraId="78E1FC4D">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.3.8响应文件的澄清</w:t>
      </w:r>
    </w:p>
    <w:p w14:paraId="10991B59">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3.8.1为有助于对响应文件进行审查、评估和比较，采购方组建的磋商小组将对认为需要（不是每一个）的供应商进行询标，请供应商澄清其磋商内容，供应商有责任按照采购方通知的时间、地点指派专人进行答疑和澄清。询标时供应商代表应作书面记录，所有澄清的答复必须是书面形式。</w:t>
      </w:r>
    </w:p>
    <w:p w14:paraId="5CBAE518">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.3.8.2重要澄清的答复应是书面的，但不得对磋商的价格、技术指标和参数等内容进行实质性修改。澄清文件须由供应商法定代表人或法人授权代表签章和加盖供应商公章并作为响应文件的组成部分。</w:t>
      </w:r>
    </w:p>
    <w:p w14:paraId="08F3B9AA">
      <w:pPr>
        <w:spacing w:line="360" w:lineRule="auto"/>
        <w:ind w:firstLine="472" w:firstLineChars="200"/>
        <w:rPr>
          <w:rFonts w:eastAsia="仿宋"/>
          <w:spacing w:val="-2"/>
          <w:sz w:val="24"/>
          <w:szCs w:val="24"/>
        </w:rPr>
      </w:pPr>
      <w:r>
        <w:rPr>
          <w:rFonts w:eastAsia="仿宋"/>
          <w:spacing w:val="-2"/>
          <w:sz w:val="24"/>
          <w:szCs w:val="24"/>
        </w:rPr>
        <w:t>2</w:t>
      </w:r>
      <w:r>
        <w:rPr>
          <w:rFonts w:hint="eastAsia" w:eastAsia="仿宋"/>
          <w:spacing w:val="-2"/>
          <w:sz w:val="24"/>
          <w:szCs w:val="24"/>
          <w:lang w:val="en-US" w:eastAsia="zh-CN"/>
        </w:rPr>
        <w:t>7</w:t>
      </w:r>
      <w:r>
        <w:rPr>
          <w:rFonts w:eastAsia="仿宋"/>
          <w:spacing w:val="-2"/>
          <w:sz w:val="24"/>
          <w:szCs w:val="24"/>
        </w:rPr>
        <w:t>.3.8.3供应商的澄清不得对磋商内容进行实质性修改。</w:t>
      </w:r>
    </w:p>
    <w:p w14:paraId="09267079">
      <w:pPr>
        <w:spacing w:line="360" w:lineRule="auto"/>
        <w:ind w:firstLine="562" w:firstLineChars="200"/>
        <w:jc w:val="center"/>
        <w:rPr>
          <w:rFonts w:eastAsia="仿宋"/>
          <w:b/>
          <w:bCs/>
          <w:sz w:val="28"/>
          <w:szCs w:val="28"/>
        </w:rPr>
      </w:pPr>
      <w:r>
        <w:rPr>
          <w:rFonts w:eastAsia="仿宋"/>
          <w:b/>
          <w:bCs/>
          <w:sz w:val="28"/>
          <w:szCs w:val="28"/>
        </w:rPr>
        <w:t>资格审查标准</w:t>
      </w:r>
    </w:p>
    <w:tbl>
      <w:tblPr>
        <w:tblStyle w:val="21"/>
        <w:tblW w:w="5557" w:type="pct"/>
        <w:tblInd w:w="-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4345"/>
        <w:gridCol w:w="4653"/>
      </w:tblGrid>
      <w:tr w14:paraId="7B10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35" w:type="pct"/>
            <w:vAlign w:val="center"/>
          </w:tcPr>
          <w:p w14:paraId="22B590E6">
            <w:pPr>
              <w:snapToGrid w:val="0"/>
              <w:rPr>
                <w:rFonts w:eastAsia="仿宋"/>
                <w:bCs/>
                <w:szCs w:val="21"/>
              </w:rPr>
            </w:pPr>
            <w:r>
              <w:rPr>
                <w:rFonts w:eastAsia="仿宋"/>
                <w:b/>
                <w:szCs w:val="21"/>
              </w:rPr>
              <w:t>序号</w:t>
            </w:r>
          </w:p>
        </w:tc>
        <w:tc>
          <w:tcPr>
            <w:tcW w:w="2301" w:type="pct"/>
            <w:vAlign w:val="center"/>
          </w:tcPr>
          <w:p w14:paraId="2A849136">
            <w:pPr>
              <w:pStyle w:val="54"/>
              <w:adjustRightInd w:val="0"/>
              <w:snapToGrid w:val="0"/>
              <w:jc w:val="center"/>
              <w:rPr>
                <w:rFonts w:eastAsia="仿宋"/>
                <w:b/>
                <w:bCs/>
                <w:sz w:val="21"/>
                <w:szCs w:val="21"/>
              </w:rPr>
            </w:pPr>
            <w:r>
              <w:rPr>
                <w:rFonts w:eastAsia="仿宋"/>
                <w:b/>
                <w:bCs/>
                <w:sz w:val="21"/>
                <w:szCs w:val="21"/>
              </w:rPr>
              <w:t>审查要求</w:t>
            </w:r>
          </w:p>
        </w:tc>
        <w:tc>
          <w:tcPr>
            <w:tcW w:w="2463" w:type="pct"/>
            <w:vAlign w:val="center"/>
          </w:tcPr>
          <w:p w14:paraId="3AC38D4C">
            <w:pPr>
              <w:pStyle w:val="54"/>
              <w:adjustRightInd w:val="0"/>
              <w:snapToGrid w:val="0"/>
              <w:jc w:val="center"/>
              <w:rPr>
                <w:rFonts w:eastAsia="仿宋"/>
                <w:b/>
                <w:bCs/>
                <w:sz w:val="21"/>
                <w:szCs w:val="21"/>
              </w:rPr>
            </w:pPr>
            <w:r>
              <w:rPr>
                <w:rFonts w:eastAsia="仿宋"/>
                <w:b/>
                <w:bCs/>
                <w:sz w:val="21"/>
                <w:szCs w:val="21"/>
              </w:rPr>
              <w:t>审查内容和审查标准</w:t>
            </w:r>
          </w:p>
        </w:tc>
      </w:tr>
      <w:tr w14:paraId="4EEB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5" w:type="pct"/>
            <w:vAlign w:val="center"/>
          </w:tcPr>
          <w:p w14:paraId="42B69EC7">
            <w:pPr>
              <w:snapToGrid w:val="0"/>
              <w:jc w:val="center"/>
              <w:rPr>
                <w:rFonts w:eastAsia="仿宋"/>
                <w:szCs w:val="21"/>
              </w:rPr>
            </w:pPr>
            <w:r>
              <w:rPr>
                <w:rFonts w:eastAsia="仿宋"/>
                <w:szCs w:val="21"/>
              </w:rPr>
              <w:t>1</w:t>
            </w:r>
          </w:p>
        </w:tc>
        <w:tc>
          <w:tcPr>
            <w:tcW w:w="2301" w:type="pct"/>
            <w:vAlign w:val="center"/>
          </w:tcPr>
          <w:p w14:paraId="72F5FD73">
            <w:pPr>
              <w:pStyle w:val="54"/>
              <w:adjustRightInd w:val="0"/>
              <w:snapToGrid w:val="0"/>
              <w:jc w:val="center"/>
              <w:rPr>
                <w:rFonts w:eastAsia="仿宋"/>
                <w:sz w:val="21"/>
                <w:szCs w:val="21"/>
              </w:rPr>
            </w:pPr>
            <w:r>
              <w:rPr>
                <w:rFonts w:eastAsia="仿宋"/>
                <w:sz w:val="21"/>
                <w:szCs w:val="21"/>
              </w:rPr>
              <w:t>具有独立承担民事责任的能力</w:t>
            </w:r>
          </w:p>
        </w:tc>
        <w:tc>
          <w:tcPr>
            <w:tcW w:w="2463" w:type="pct"/>
            <w:vAlign w:val="center"/>
          </w:tcPr>
          <w:p w14:paraId="620917B7">
            <w:pPr>
              <w:pStyle w:val="54"/>
              <w:adjustRightInd w:val="0"/>
              <w:snapToGrid w:val="0"/>
              <w:rPr>
                <w:rFonts w:eastAsia="仿宋"/>
                <w:sz w:val="21"/>
                <w:szCs w:val="21"/>
              </w:rPr>
            </w:pPr>
            <w:r>
              <w:rPr>
                <w:rFonts w:eastAsia="仿宋"/>
                <w:sz w:val="21"/>
                <w:szCs w:val="21"/>
              </w:rPr>
              <w:t>供应商为企业（包括合伙企业）的，应提供有效的“营业执照”；供应商是非企业机构的，应提供有效的“执业许可证”、“登记证书”等证明文件;供应商是个体工商户的，应提供有效的“个体工商户营业执照”；供应商是自然人的，应提供有效的自然人身份证明。”（上述资料须复印件加盖印章）</w:t>
            </w:r>
          </w:p>
          <w:p w14:paraId="11DFB9E6">
            <w:pPr>
              <w:pStyle w:val="54"/>
              <w:adjustRightInd w:val="0"/>
              <w:snapToGrid w:val="0"/>
              <w:rPr>
                <w:rFonts w:eastAsia="仿宋"/>
                <w:sz w:val="21"/>
                <w:szCs w:val="21"/>
              </w:rPr>
            </w:pPr>
            <w:r>
              <w:rPr>
                <w:rFonts w:eastAsia="仿宋"/>
                <w:sz w:val="21"/>
                <w:szCs w:val="21"/>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5E9E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5" w:type="pct"/>
            <w:vAlign w:val="center"/>
          </w:tcPr>
          <w:p w14:paraId="38E96C65">
            <w:pPr>
              <w:snapToGrid w:val="0"/>
              <w:jc w:val="center"/>
              <w:rPr>
                <w:rFonts w:eastAsia="仿宋"/>
                <w:szCs w:val="21"/>
              </w:rPr>
            </w:pPr>
            <w:r>
              <w:rPr>
                <w:rFonts w:eastAsia="仿宋"/>
                <w:szCs w:val="21"/>
              </w:rPr>
              <w:t>2</w:t>
            </w:r>
          </w:p>
        </w:tc>
        <w:tc>
          <w:tcPr>
            <w:tcW w:w="2301" w:type="pct"/>
            <w:vAlign w:val="center"/>
          </w:tcPr>
          <w:p w14:paraId="6DF034B5">
            <w:pPr>
              <w:pStyle w:val="54"/>
              <w:adjustRightInd w:val="0"/>
              <w:snapToGrid w:val="0"/>
              <w:jc w:val="center"/>
              <w:rPr>
                <w:rFonts w:eastAsia="仿宋"/>
                <w:sz w:val="21"/>
                <w:szCs w:val="21"/>
              </w:rPr>
            </w:pPr>
            <w:r>
              <w:rPr>
                <w:rFonts w:eastAsia="仿宋"/>
                <w:sz w:val="21"/>
                <w:szCs w:val="21"/>
              </w:rPr>
              <w:t>具有良好的商业信誉和健全的财务会计制度</w:t>
            </w:r>
          </w:p>
        </w:tc>
        <w:tc>
          <w:tcPr>
            <w:tcW w:w="2463" w:type="pct"/>
            <w:vAlign w:val="center"/>
          </w:tcPr>
          <w:p w14:paraId="3322F1AD">
            <w:pPr>
              <w:pStyle w:val="54"/>
              <w:adjustRightInd w:val="0"/>
              <w:snapToGrid w:val="0"/>
              <w:rPr>
                <w:rFonts w:eastAsia="仿宋"/>
                <w:sz w:val="21"/>
                <w:szCs w:val="21"/>
              </w:rPr>
            </w:pPr>
            <w:r>
              <w:rPr>
                <w:rFonts w:hint="eastAsia" w:eastAsia="仿宋"/>
                <w:sz w:val="21"/>
                <w:szCs w:val="21"/>
              </w:rPr>
              <w:t>须提供本单位上一年度（2024年度或2025年度）的财务审计报告或财务报表或提供开标日前三个月内银行出具的资信证明；（供应商成立不足一年的提供截止开标前近3个月任意一个月的财务报表和截止开标前近1个月基本开户银行出具的资信证明）</w:t>
            </w:r>
          </w:p>
        </w:tc>
      </w:tr>
      <w:tr w14:paraId="5660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5" w:type="pct"/>
            <w:vAlign w:val="center"/>
          </w:tcPr>
          <w:p w14:paraId="77EF7BC8">
            <w:pPr>
              <w:snapToGrid w:val="0"/>
              <w:jc w:val="center"/>
              <w:rPr>
                <w:rFonts w:eastAsia="仿宋"/>
                <w:szCs w:val="21"/>
              </w:rPr>
            </w:pPr>
            <w:r>
              <w:rPr>
                <w:rFonts w:eastAsia="仿宋"/>
                <w:szCs w:val="21"/>
              </w:rPr>
              <w:t>3</w:t>
            </w:r>
          </w:p>
        </w:tc>
        <w:tc>
          <w:tcPr>
            <w:tcW w:w="2301" w:type="pct"/>
            <w:vAlign w:val="center"/>
          </w:tcPr>
          <w:p w14:paraId="396CAFCD">
            <w:pPr>
              <w:pStyle w:val="54"/>
              <w:adjustRightInd w:val="0"/>
              <w:snapToGrid w:val="0"/>
              <w:jc w:val="center"/>
              <w:rPr>
                <w:rFonts w:eastAsia="仿宋"/>
                <w:sz w:val="21"/>
                <w:szCs w:val="21"/>
              </w:rPr>
            </w:pPr>
            <w:r>
              <w:rPr>
                <w:rFonts w:eastAsia="仿宋"/>
                <w:sz w:val="21"/>
                <w:szCs w:val="21"/>
              </w:rPr>
              <w:t>具有履行合同所必需的设备和专业技术能力</w:t>
            </w:r>
          </w:p>
        </w:tc>
        <w:tc>
          <w:tcPr>
            <w:tcW w:w="2463" w:type="pct"/>
            <w:vAlign w:val="center"/>
          </w:tcPr>
          <w:p w14:paraId="19A126F6">
            <w:pPr>
              <w:pStyle w:val="54"/>
              <w:adjustRightInd w:val="0"/>
              <w:snapToGrid w:val="0"/>
              <w:rPr>
                <w:rFonts w:eastAsia="仿宋"/>
                <w:sz w:val="21"/>
                <w:szCs w:val="21"/>
              </w:rPr>
            </w:pPr>
            <w:r>
              <w:rPr>
                <w:rFonts w:eastAsia="仿宋"/>
                <w:sz w:val="21"/>
                <w:szCs w:val="21"/>
              </w:rPr>
              <w:t>须提供具备履行合同所必需的设备和专业技术能力的证明材料或承诺书；</w:t>
            </w:r>
          </w:p>
        </w:tc>
      </w:tr>
      <w:tr w14:paraId="541C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35" w:type="pct"/>
            <w:vAlign w:val="center"/>
          </w:tcPr>
          <w:p w14:paraId="4EA40248">
            <w:pPr>
              <w:snapToGrid w:val="0"/>
              <w:jc w:val="center"/>
              <w:rPr>
                <w:rFonts w:eastAsia="仿宋"/>
                <w:szCs w:val="21"/>
              </w:rPr>
            </w:pPr>
            <w:r>
              <w:rPr>
                <w:rFonts w:eastAsia="仿宋"/>
                <w:szCs w:val="21"/>
              </w:rPr>
              <w:t>4</w:t>
            </w:r>
          </w:p>
        </w:tc>
        <w:tc>
          <w:tcPr>
            <w:tcW w:w="2301" w:type="pct"/>
            <w:vAlign w:val="center"/>
          </w:tcPr>
          <w:p w14:paraId="04F85AA1">
            <w:pPr>
              <w:pStyle w:val="20"/>
              <w:adjustRightInd w:val="0"/>
              <w:snapToGrid w:val="0"/>
              <w:jc w:val="center"/>
              <w:rPr>
                <w:rFonts w:ascii="Times New Roman" w:hAnsi="Times New Roman" w:eastAsia="仿宋" w:cs="Times New Roman"/>
                <w:sz w:val="21"/>
                <w:szCs w:val="21"/>
              </w:rPr>
            </w:pPr>
            <w:r>
              <w:rPr>
                <w:rFonts w:ascii="Times New Roman" w:hAnsi="Times New Roman" w:eastAsia="仿宋" w:cs="Times New Roman"/>
                <w:sz w:val="21"/>
                <w:szCs w:val="21"/>
              </w:rPr>
              <w:t>有依法缴纳税收和依法缴纳社会保障资金的记录</w:t>
            </w:r>
          </w:p>
        </w:tc>
        <w:tc>
          <w:tcPr>
            <w:tcW w:w="2463" w:type="pct"/>
            <w:vAlign w:val="center"/>
          </w:tcPr>
          <w:p w14:paraId="46B97721">
            <w:pPr>
              <w:pStyle w:val="20"/>
              <w:adjustRightInd w:val="0"/>
              <w:snapToGrid w:val="0"/>
              <w:jc w:val="both"/>
              <w:rPr>
                <w:rFonts w:ascii="Times New Roman" w:hAnsi="Times New Roman" w:eastAsia="仿宋" w:cs="Times New Roman"/>
                <w:sz w:val="21"/>
                <w:szCs w:val="21"/>
              </w:rPr>
            </w:pPr>
            <w:r>
              <w:rPr>
                <w:rFonts w:ascii="Times New Roman" w:hAnsi="Times New Roman" w:eastAsia="仿宋" w:cs="Times New Roman"/>
                <w:sz w:val="21"/>
                <w:szCs w:val="21"/>
              </w:rPr>
              <w:t>须提供响应文件递交截止日期之前6个月内任意一个月的完税证明及缴纳社保记录；（依法免税、依法不需要缴纳社会保障资金的应提供相应文件说明）</w:t>
            </w:r>
          </w:p>
        </w:tc>
      </w:tr>
      <w:tr w14:paraId="5B48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35" w:type="pct"/>
            <w:vAlign w:val="center"/>
          </w:tcPr>
          <w:p w14:paraId="51393075">
            <w:pPr>
              <w:snapToGrid w:val="0"/>
              <w:jc w:val="center"/>
              <w:rPr>
                <w:rFonts w:eastAsia="仿宋"/>
                <w:szCs w:val="21"/>
              </w:rPr>
            </w:pPr>
            <w:r>
              <w:rPr>
                <w:rFonts w:eastAsia="仿宋"/>
                <w:szCs w:val="21"/>
              </w:rPr>
              <w:t>5</w:t>
            </w:r>
          </w:p>
        </w:tc>
        <w:tc>
          <w:tcPr>
            <w:tcW w:w="2301" w:type="pct"/>
            <w:vAlign w:val="center"/>
          </w:tcPr>
          <w:p w14:paraId="1A04C947">
            <w:pPr>
              <w:pStyle w:val="20"/>
              <w:adjustRightInd w:val="0"/>
              <w:snapToGrid w:val="0"/>
              <w:jc w:val="center"/>
              <w:rPr>
                <w:rFonts w:ascii="Times New Roman" w:hAnsi="Times New Roman" w:eastAsia="仿宋" w:cs="Times New Roman"/>
                <w:sz w:val="21"/>
                <w:szCs w:val="21"/>
              </w:rPr>
            </w:pPr>
            <w:r>
              <w:rPr>
                <w:rFonts w:ascii="Times New Roman" w:hAnsi="Times New Roman" w:eastAsia="仿宋" w:cs="Times New Roman"/>
                <w:sz w:val="21"/>
                <w:szCs w:val="21"/>
              </w:rPr>
              <w:t>参加政府采购活动前三年内，在经营活动中没有重大违法记录</w:t>
            </w:r>
          </w:p>
        </w:tc>
        <w:tc>
          <w:tcPr>
            <w:tcW w:w="2463" w:type="pct"/>
            <w:vAlign w:val="center"/>
          </w:tcPr>
          <w:p w14:paraId="44AA7B4A">
            <w:pPr>
              <w:pStyle w:val="20"/>
              <w:adjustRightInd w:val="0"/>
              <w:snapToGrid w:val="0"/>
              <w:jc w:val="both"/>
              <w:rPr>
                <w:rFonts w:ascii="Times New Roman" w:hAnsi="Times New Roman" w:eastAsia="仿宋" w:cs="Times New Roman"/>
                <w:color w:val="000000"/>
                <w:sz w:val="21"/>
                <w:szCs w:val="21"/>
              </w:rPr>
            </w:pPr>
            <w:r>
              <w:rPr>
                <w:rFonts w:ascii="Times New Roman" w:hAnsi="Times New Roman" w:eastAsia="仿宋" w:cs="Times New Roman"/>
                <w:sz w:val="21"/>
                <w:szCs w:val="21"/>
              </w:rPr>
              <w:t>须提供供应商声明函原件扫描件</w:t>
            </w:r>
          </w:p>
        </w:tc>
      </w:tr>
      <w:tr w14:paraId="5C1C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35" w:type="pct"/>
            <w:vAlign w:val="center"/>
          </w:tcPr>
          <w:p w14:paraId="0C102ECA">
            <w:pPr>
              <w:snapToGrid w:val="0"/>
              <w:jc w:val="center"/>
              <w:rPr>
                <w:rFonts w:eastAsia="仿宋"/>
                <w:szCs w:val="21"/>
              </w:rPr>
            </w:pPr>
            <w:r>
              <w:rPr>
                <w:rFonts w:eastAsia="仿宋"/>
                <w:szCs w:val="21"/>
              </w:rPr>
              <w:t>6</w:t>
            </w:r>
          </w:p>
        </w:tc>
        <w:tc>
          <w:tcPr>
            <w:tcW w:w="2301" w:type="pct"/>
            <w:vAlign w:val="center"/>
          </w:tcPr>
          <w:p w14:paraId="63DFA4E4">
            <w:pPr>
              <w:pStyle w:val="54"/>
              <w:adjustRightInd w:val="0"/>
              <w:snapToGrid w:val="0"/>
              <w:jc w:val="center"/>
              <w:rPr>
                <w:rFonts w:eastAsia="仿宋"/>
                <w:sz w:val="21"/>
                <w:szCs w:val="21"/>
              </w:rPr>
            </w:pPr>
            <w:r>
              <w:rPr>
                <w:rFonts w:eastAsia="仿宋"/>
                <w:color w:val="000000"/>
                <w:sz w:val="21"/>
                <w:szCs w:val="21"/>
              </w:rPr>
              <w:t>法律、行政法规规定的其他条件</w:t>
            </w:r>
          </w:p>
        </w:tc>
        <w:tc>
          <w:tcPr>
            <w:tcW w:w="2463" w:type="pct"/>
            <w:vAlign w:val="center"/>
          </w:tcPr>
          <w:p w14:paraId="15C5B0CC">
            <w:pPr>
              <w:pStyle w:val="54"/>
              <w:adjustRightInd w:val="0"/>
              <w:snapToGrid w:val="0"/>
              <w:rPr>
                <w:rFonts w:eastAsia="仿宋"/>
                <w:sz w:val="21"/>
                <w:szCs w:val="21"/>
              </w:rPr>
            </w:pPr>
            <w:r>
              <w:rPr>
                <w:rFonts w:eastAsia="仿宋"/>
                <w:color w:val="000000"/>
                <w:sz w:val="21"/>
                <w:szCs w:val="21"/>
              </w:rPr>
              <w:t>提供承诺函</w:t>
            </w:r>
          </w:p>
        </w:tc>
      </w:tr>
      <w:tr w14:paraId="6142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35" w:type="pct"/>
            <w:vAlign w:val="center"/>
          </w:tcPr>
          <w:p w14:paraId="42D5DAEE">
            <w:pPr>
              <w:snapToGrid w:val="0"/>
              <w:jc w:val="center"/>
              <w:rPr>
                <w:rFonts w:eastAsia="仿宋"/>
                <w:szCs w:val="21"/>
              </w:rPr>
            </w:pPr>
            <w:r>
              <w:rPr>
                <w:rFonts w:hint="eastAsia" w:eastAsia="仿宋"/>
                <w:szCs w:val="21"/>
              </w:rPr>
              <w:t>7</w:t>
            </w:r>
          </w:p>
        </w:tc>
        <w:tc>
          <w:tcPr>
            <w:tcW w:w="2301" w:type="pct"/>
            <w:vAlign w:val="center"/>
          </w:tcPr>
          <w:p w14:paraId="213CB03C">
            <w:pPr>
              <w:pStyle w:val="54"/>
              <w:wordWrap w:val="0"/>
              <w:adjustRightInd w:val="0"/>
              <w:snapToGrid w:val="0"/>
              <w:jc w:val="center"/>
              <w:rPr>
                <w:rFonts w:eastAsia="仿宋"/>
                <w:sz w:val="21"/>
                <w:szCs w:val="21"/>
              </w:rPr>
            </w:pPr>
            <w:r>
              <w:rPr>
                <w:rFonts w:eastAsia="仿宋"/>
                <w:sz w:val="21"/>
                <w:szCs w:val="21"/>
              </w:rPr>
              <w:t>在“信用中国”（www.creditchina.gov.cn）和中国政府采购网（www.ccgp.gov.cn）网站上未被列入失信被执行人、重大税收违法案件当事人名单以及政府采购严重违法失信行为记录名单（查询时间为自公告发布之日后）</w:t>
            </w:r>
          </w:p>
        </w:tc>
        <w:tc>
          <w:tcPr>
            <w:tcW w:w="2463" w:type="pct"/>
            <w:vAlign w:val="center"/>
          </w:tcPr>
          <w:p w14:paraId="3041A41F">
            <w:pPr>
              <w:pStyle w:val="54"/>
              <w:adjustRightInd w:val="0"/>
              <w:snapToGrid w:val="0"/>
              <w:rPr>
                <w:rFonts w:eastAsia="仿宋"/>
                <w:sz w:val="21"/>
                <w:szCs w:val="21"/>
              </w:rPr>
            </w:pPr>
            <w:r>
              <w:rPr>
                <w:rFonts w:eastAsia="仿宋"/>
                <w:sz w:val="21"/>
                <w:szCs w:val="21"/>
              </w:rPr>
              <w:t>提供查询结果的网页打印页作为查询记录和证据，与其他采购文件一并保存。查询结果以采购人或采购代理机构查询结果为准。</w:t>
            </w:r>
          </w:p>
        </w:tc>
      </w:tr>
      <w:tr w14:paraId="5F4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 w:type="pct"/>
            <w:vAlign w:val="center"/>
          </w:tcPr>
          <w:p w14:paraId="3D1A92AE">
            <w:pPr>
              <w:snapToGrid w:val="0"/>
              <w:jc w:val="center"/>
              <w:rPr>
                <w:rFonts w:eastAsia="仿宋"/>
                <w:szCs w:val="21"/>
              </w:rPr>
            </w:pPr>
            <w:r>
              <w:rPr>
                <w:rFonts w:hint="eastAsia" w:eastAsia="仿宋"/>
                <w:szCs w:val="21"/>
              </w:rPr>
              <w:t>8</w:t>
            </w:r>
          </w:p>
        </w:tc>
        <w:tc>
          <w:tcPr>
            <w:tcW w:w="2301" w:type="pct"/>
            <w:vAlign w:val="center"/>
          </w:tcPr>
          <w:p w14:paraId="3F79F9AC">
            <w:pPr>
              <w:pStyle w:val="54"/>
              <w:adjustRightInd w:val="0"/>
              <w:snapToGrid w:val="0"/>
              <w:jc w:val="center"/>
              <w:rPr>
                <w:rFonts w:eastAsia="仿宋"/>
                <w:sz w:val="21"/>
                <w:szCs w:val="21"/>
              </w:rPr>
            </w:pPr>
            <w:r>
              <w:rPr>
                <w:rFonts w:eastAsia="仿宋"/>
                <w:sz w:val="21"/>
                <w:szCs w:val="21"/>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463" w:type="pct"/>
            <w:vAlign w:val="center"/>
          </w:tcPr>
          <w:p w14:paraId="456C1ADE">
            <w:pPr>
              <w:pStyle w:val="54"/>
              <w:adjustRightInd w:val="0"/>
              <w:snapToGrid w:val="0"/>
              <w:rPr>
                <w:rFonts w:eastAsia="仿宋"/>
                <w:sz w:val="21"/>
                <w:szCs w:val="21"/>
              </w:rPr>
            </w:pPr>
            <w:r>
              <w:rPr>
                <w:rFonts w:eastAsia="仿宋"/>
                <w:sz w:val="21"/>
                <w:szCs w:val="21"/>
              </w:rPr>
              <w:t>须提供供应商声明函原件扫描件</w:t>
            </w:r>
          </w:p>
        </w:tc>
      </w:tr>
      <w:tr w14:paraId="010D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35" w:type="pct"/>
            <w:vAlign w:val="center"/>
          </w:tcPr>
          <w:p w14:paraId="0BB72DF4">
            <w:pPr>
              <w:snapToGrid w:val="0"/>
              <w:jc w:val="center"/>
              <w:rPr>
                <w:rFonts w:eastAsia="仿宋"/>
                <w:szCs w:val="21"/>
              </w:rPr>
            </w:pPr>
            <w:r>
              <w:rPr>
                <w:rFonts w:hint="eastAsia" w:eastAsia="仿宋"/>
                <w:szCs w:val="21"/>
              </w:rPr>
              <w:t>9</w:t>
            </w:r>
          </w:p>
        </w:tc>
        <w:tc>
          <w:tcPr>
            <w:tcW w:w="2301" w:type="pct"/>
            <w:vAlign w:val="center"/>
          </w:tcPr>
          <w:p w14:paraId="0D6AAD3B">
            <w:pPr>
              <w:pStyle w:val="54"/>
              <w:adjustRightInd w:val="0"/>
              <w:snapToGrid w:val="0"/>
              <w:jc w:val="center"/>
              <w:rPr>
                <w:rFonts w:eastAsia="仿宋"/>
                <w:sz w:val="21"/>
                <w:szCs w:val="21"/>
              </w:rPr>
            </w:pPr>
            <w:r>
              <w:rPr>
                <w:rFonts w:eastAsia="仿宋"/>
                <w:sz w:val="21"/>
                <w:szCs w:val="21"/>
              </w:rPr>
              <w:t>落实政府采购政策需满足的资格要求</w:t>
            </w:r>
          </w:p>
        </w:tc>
        <w:tc>
          <w:tcPr>
            <w:tcW w:w="2463" w:type="pct"/>
            <w:vAlign w:val="center"/>
          </w:tcPr>
          <w:p w14:paraId="50845DC4">
            <w:pPr>
              <w:pStyle w:val="54"/>
              <w:adjustRightInd w:val="0"/>
              <w:snapToGrid w:val="0"/>
              <w:rPr>
                <w:rFonts w:eastAsia="仿宋"/>
                <w:sz w:val="21"/>
                <w:szCs w:val="21"/>
              </w:rPr>
            </w:pPr>
            <w:r>
              <w:rPr>
                <w:rFonts w:eastAsia="仿宋"/>
                <w:sz w:val="21"/>
                <w:szCs w:val="21"/>
              </w:rPr>
              <w:t>提供有效的《中小企业声明函》原件扫描件</w:t>
            </w:r>
          </w:p>
        </w:tc>
      </w:tr>
      <w:tr w14:paraId="0D6A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5000" w:type="pct"/>
            <w:gridSpan w:val="3"/>
            <w:vAlign w:val="center"/>
          </w:tcPr>
          <w:p w14:paraId="10D318C9">
            <w:pPr>
              <w:snapToGrid w:val="0"/>
              <w:rPr>
                <w:rFonts w:eastAsia="仿宋"/>
                <w:szCs w:val="21"/>
              </w:rPr>
            </w:pPr>
            <w:r>
              <w:rPr>
                <w:rFonts w:eastAsia="仿宋"/>
                <w:szCs w:val="21"/>
              </w:rPr>
              <w:t>注：以上审查资料必须按要求提供，未按要求提供资料的供应商以及资格评审中有一项不满足审查标准的，</w:t>
            </w:r>
            <w:r>
              <w:rPr>
                <w:rFonts w:eastAsia="仿宋"/>
                <w:color w:val="000000"/>
                <w:szCs w:val="21"/>
              </w:rPr>
              <w:t>采购人或者采购代理机构应当</w:t>
            </w:r>
            <w:r>
              <w:rPr>
                <w:rFonts w:eastAsia="仿宋"/>
                <w:szCs w:val="21"/>
              </w:rPr>
              <w:t>认定该供应商不通过资格审查，不得进入下一阶段评审。如果造成供应商不足三个的，则认定本次招标的供应商数量没有竞争力，宣布本次招标失败。采购人将重新组织招标活动。</w:t>
            </w:r>
          </w:p>
        </w:tc>
      </w:tr>
    </w:tbl>
    <w:p w14:paraId="4AB7AE2A">
      <w:pPr>
        <w:spacing w:line="360" w:lineRule="auto"/>
        <w:ind w:firstLine="482" w:firstLineChars="200"/>
        <w:jc w:val="center"/>
        <w:rPr>
          <w:rFonts w:eastAsia="仿宋"/>
          <w:b/>
          <w:bCs/>
          <w:sz w:val="24"/>
          <w:szCs w:val="24"/>
        </w:rPr>
      </w:pPr>
    </w:p>
    <w:p w14:paraId="03A15D89">
      <w:pPr>
        <w:spacing w:line="360" w:lineRule="auto"/>
        <w:ind w:firstLine="482" w:firstLineChars="200"/>
        <w:jc w:val="center"/>
        <w:rPr>
          <w:rFonts w:eastAsia="仿宋"/>
          <w:b/>
          <w:bCs/>
          <w:sz w:val="24"/>
          <w:szCs w:val="24"/>
        </w:rPr>
      </w:pPr>
    </w:p>
    <w:p w14:paraId="608E0B83">
      <w:pPr>
        <w:spacing w:line="360" w:lineRule="auto"/>
        <w:ind w:firstLine="482" w:firstLineChars="200"/>
        <w:jc w:val="center"/>
        <w:rPr>
          <w:rFonts w:eastAsia="仿宋"/>
          <w:sz w:val="24"/>
          <w:szCs w:val="24"/>
        </w:rPr>
      </w:pPr>
      <w:r>
        <w:rPr>
          <w:rFonts w:eastAsia="仿宋"/>
          <w:b/>
          <w:bCs/>
          <w:sz w:val="24"/>
          <w:szCs w:val="24"/>
        </w:rPr>
        <w:t>初步评审－符合性检查表</w:t>
      </w:r>
    </w:p>
    <w:tbl>
      <w:tblPr>
        <w:tblStyle w:val="21"/>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625"/>
        <w:gridCol w:w="1421"/>
        <w:gridCol w:w="5536"/>
        <w:gridCol w:w="696"/>
        <w:gridCol w:w="717"/>
      </w:tblGrid>
      <w:tr w14:paraId="5C8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6" w:type="dxa"/>
            <w:gridSpan w:val="2"/>
            <w:vMerge w:val="restart"/>
            <w:vAlign w:val="center"/>
          </w:tcPr>
          <w:p w14:paraId="445C8A04">
            <w:pPr>
              <w:jc w:val="center"/>
              <w:rPr>
                <w:rFonts w:eastAsia="仿宋"/>
                <w:b/>
                <w:bCs/>
                <w:szCs w:val="21"/>
              </w:rPr>
            </w:pPr>
            <w:bookmarkStart w:id="5" w:name="EBf97f626d7f2349dc98726a51f37130cf"/>
            <w:r>
              <w:rPr>
                <w:rFonts w:eastAsia="仿宋"/>
                <w:b/>
                <w:bCs/>
                <w:szCs w:val="21"/>
              </w:rPr>
              <w:t>评分因素</w:t>
            </w:r>
          </w:p>
        </w:tc>
        <w:tc>
          <w:tcPr>
            <w:tcW w:w="1421" w:type="dxa"/>
            <w:vMerge w:val="restart"/>
            <w:vAlign w:val="center"/>
          </w:tcPr>
          <w:p w14:paraId="2D2784BC">
            <w:pPr>
              <w:jc w:val="center"/>
              <w:rPr>
                <w:rFonts w:eastAsia="仿宋"/>
                <w:b/>
                <w:bCs/>
                <w:szCs w:val="21"/>
              </w:rPr>
            </w:pPr>
            <w:r>
              <w:rPr>
                <w:rFonts w:eastAsia="仿宋"/>
                <w:b/>
                <w:bCs/>
                <w:szCs w:val="21"/>
              </w:rPr>
              <w:t>评分点</w:t>
            </w:r>
          </w:p>
        </w:tc>
        <w:tc>
          <w:tcPr>
            <w:tcW w:w="5536" w:type="dxa"/>
            <w:vMerge w:val="restart"/>
            <w:vAlign w:val="center"/>
          </w:tcPr>
          <w:p w14:paraId="601BEC7F">
            <w:pPr>
              <w:jc w:val="center"/>
              <w:rPr>
                <w:rFonts w:eastAsia="仿宋"/>
                <w:b/>
                <w:bCs/>
                <w:szCs w:val="21"/>
              </w:rPr>
            </w:pPr>
            <w:r>
              <w:rPr>
                <w:rFonts w:eastAsia="仿宋"/>
                <w:b/>
                <w:bCs/>
                <w:szCs w:val="21"/>
              </w:rPr>
              <w:t>评分标准</w:t>
            </w:r>
          </w:p>
        </w:tc>
        <w:tc>
          <w:tcPr>
            <w:tcW w:w="1413" w:type="dxa"/>
            <w:gridSpan w:val="2"/>
            <w:vAlign w:val="center"/>
          </w:tcPr>
          <w:p w14:paraId="2A4CB9ED">
            <w:pPr>
              <w:jc w:val="center"/>
              <w:rPr>
                <w:rFonts w:eastAsia="仿宋"/>
                <w:b/>
                <w:bCs/>
                <w:szCs w:val="21"/>
              </w:rPr>
            </w:pPr>
            <w:r>
              <w:rPr>
                <w:rFonts w:eastAsia="仿宋"/>
                <w:b/>
                <w:bCs/>
                <w:szCs w:val="21"/>
              </w:rPr>
              <w:t>评审意见</w:t>
            </w:r>
          </w:p>
        </w:tc>
      </w:tr>
      <w:tr w14:paraId="01D2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6" w:hRule="atLeast"/>
          <w:jc w:val="center"/>
        </w:trPr>
        <w:tc>
          <w:tcPr>
            <w:tcW w:w="1096" w:type="dxa"/>
            <w:gridSpan w:val="2"/>
            <w:vMerge w:val="continue"/>
            <w:vAlign w:val="center"/>
          </w:tcPr>
          <w:p w14:paraId="08BC7162">
            <w:pPr>
              <w:jc w:val="center"/>
              <w:rPr>
                <w:rFonts w:eastAsia="仿宋"/>
                <w:b/>
                <w:bCs/>
                <w:szCs w:val="21"/>
              </w:rPr>
            </w:pPr>
          </w:p>
        </w:tc>
        <w:tc>
          <w:tcPr>
            <w:tcW w:w="1421" w:type="dxa"/>
            <w:vMerge w:val="continue"/>
            <w:vAlign w:val="center"/>
          </w:tcPr>
          <w:p w14:paraId="40567D1D">
            <w:pPr>
              <w:jc w:val="center"/>
              <w:rPr>
                <w:rFonts w:eastAsia="仿宋"/>
                <w:b/>
                <w:bCs/>
                <w:szCs w:val="21"/>
              </w:rPr>
            </w:pPr>
          </w:p>
        </w:tc>
        <w:tc>
          <w:tcPr>
            <w:tcW w:w="5536" w:type="dxa"/>
            <w:vMerge w:val="continue"/>
            <w:vAlign w:val="center"/>
          </w:tcPr>
          <w:p w14:paraId="510AAA6F">
            <w:pPr>
              <w:jc w:val="center"/>
              <w:rPr>
                <w:rFonts w:eastAsia="仿宋"/>
                <w:b/>
                <w:bCs/>
                <w:szCs w:val="21"/>
              </w:rPr>
            </w:pPr>
          </w:p>
        </w:tc>
        <w:tc>
          <w:tcPr>
            <w:tcW w:w="696" w:type="dxa"/>
            <w:vAlign w:val="center"/>
          </w:tcPr>
          <w:p w14:paraId="2139498E">
            <w:pPr>
              <w:jc w:val="center"/>
              <w:rPr>
                <w:rFonts w:eastAsia="仿宋"/>
                <w:b/>
                <w:bCs/>
                <w:szCs w:val="21"/>
              </w:rPr>
            </w:pPr>
            <w:r>
              <w:rPr>
                <w:rFonts w:eastAsia="仿宋"/>
                <w:b/>
                <w:bCs/>
                <w:szCs w:val="21"/>
              </w:rPr>
              <w:t>是</w:t>
            </w:r>
          </w:p>
          <w:p w14:paraId="2DC78F46">
            <w:pPr>
              <w:jc w:val="center"/>
              <w:rPr>
                <w:rFonts w:eastAsia="仿宋"/>
                <w:b/>
                <w:bCs/>
                <w:szCs w:val="21"/>
              </w:rPr>
            </w:pPr>
            <w:r>
              <w:rPr>
                <w:rFonts w:eastAsia="仿宋"/>
                <w:b/>
                <w:bCs/>
                <w:szCs w:val="21"/>
              </w:rPr>
              <w:t>（√）</w:t>
            </w:r>
          </w:p>
        </w:tc>
        <w:tc>
          <w:tcPr>
            <w:tcW w:w="717" w:type="dxa"/>
            <w:vAlign w:val="center"/>
          </w:tcPr>
          <w:p w14:paraId="5BD03D3B">
            <w:pPr>
              <w:jc w:val="center"/>
              <w:rPr>
                <w:rFonts w:eastAsia="仿宋"/>
                <w:b/>
                <w:bCs/>
                <w:szCs w:val="21"/>
              </w:rPr>
            </w:pPr>
            <w:r>
              <w:rPr>
                <w:rFonts w:eastAsia="仿宋"/>
                <w:b/>
                <w:bCs/>
                <w:szCs w:val="21"/>
              </w:rPr>
              <w:t>否</w:t>
            </w:r>
          </w:p>
          <w:p w14:paraId="5EC9E13D">
            <w:pPr>
              <w:jc w:val="center"/>
              <w:rPr>
                <w:rFonts w:eastAsia="仿宋"/>
                <w:b/>
                <w:bCs/>
                <w:szCs w:val="21"/>
              </w:rPr>
            </w:pPr>
            <w:r>
              <w:rPr>
                <w:rFonts w:eastAsia="仿宋"/>
                <w:b/>
                <w:bCs/>
                <w:szCs w:val="21"/>
              </w:rPr>
              <w:t>（×）</w:t>
            </w:r>
          </w:p>
        </w:tc>
      </w:tr>
      <w:tr w14:paraId="041F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471" w:type="dxa"/>
            <w:vMerge w:val="restart"/>
            <w:vAlign w:val="center"/>
          </w:tcPr>
          <w:p w14:paraId="104513AB">
            <w:pPr>
              <w:jc w:val="center"/>
              <w:rPr>
                <w:rFonts w:eastAsia="仿宋"/>
                <w:b/>
                <w:bCs/>
                <w:szCs w:val="21"/>
              </w:rPr>
            </w:pPr>
            <w:r>
              <w:rPr>
                <w:rFonts w:eastAsia="仿宋"/>
                <w:b/>
                <w:bCs/>
                <w:szCs w:val="21"/>
              </w:rPr>
              <w:t>初步评审</w:t>
            </w:r>
          </w:p>
        </w:tc>
        <w:tc>
          <w:tcPr>
            <w:tcW w:w="625" w:type="dxa"/>
            <w:vMerge w:val="restart"/>
            <w:vAlign w:val="center"/>
          </w:tcPr>
          <w:p w14:paraId="451051D4">
            <w:pPr>
              <w:jc w:val="center"/>
              <w:rPr>
                <w:rFonts w:eastAsia="仿宋"/>
                <w:b/>
                <w:bCs/>
                <w:szCs w:val="21"/>
              </w:rPr>
            </w:pPr>
            <w:r>
              <w:rPr>
                <w:rFonts w:eastAsia="仿宋"/>
                <w:b/>
                <w:bCs/>
                <w:szCs w:val="21"/>
              </w:rPr>
              <w:t>符合性检查</w:t>
            </w:r>
          </w:p>
        </w:tc>
        <w:tc>
          <w:tcPr>
            <w:tcW w:w="1421" w:type="dxa"/>
            <w:vAlign w:val="center"/>
          </w:tcPr>
          <w:p w14:paraId="1E20002B">
            <w:pPr>
              <w:jc w:val="center"/>
              <w:rPr>
                <w:rFonts w:eastAsia="仿宋"/>
                <w:szCs w:val="21"/>
              </w:rPr>
            </w:pPr>
            <w:r>
              <w:rPr>
                <w:rFonts w:eastAsia="仿宋"/>
                <w:szCs w:val="21"/>
              </w:rPr>
              <w:t>磋商保证金</w:t>
            </w:r>
          </w:p>
        </w:tc>
        <w:tc>
          <w:tcPr>
            <w:tcW w:w="5536" w:type="dxa"/>
            <w:vAlign w:val="center"/>
          </w:tcPr>
          <w:p w14:paraId="4CB33668">
            <w:pPr>
              <w:rPr>
                <w:rFonts w:eastAsia="仿宋"/>
                <w:szCs w:val="21"/>
              </w:rPr>
            </w:pPr>
            <w:r>
              <w:rPr>
                <w:rFonts w:eastAsia="仿宋"/>
                <w:szCs w:val="21"/>
              </w:rPr>
              <w:t>按照磋商文件的规定提交磋商保证金的</w:t>
            </w:r>
          </w:p>
        </w:tc>
        <w:tc>
          <w:tcPr>
            <w:tcW w:w="696" w:type="dxa"/>
          </w:tcPr>
          <w:p w14:paraId="123B03E2">
            <w:pPr>
              <w:jc w:val="center"/>
              <w:rPr>
                <w:rFonts w:eastAsia="仿宋"/>
                <w:b/>
                <w:bCs/>
                <w:szCs w:val="21"/>
              </w:rPr>
            </w:pPr>
          </w:p>
        </w:tc>
        <w:tc>
          <w:tcPr>
            <w:tcW w:w="717" w:type="dxa"/>
            <w:vAlign w:val="center"/>
          </w:tcPr>
          <w:p w14:paraId="7D10AF3E">
            <w:pPr>
              <w:jc w:val="center"/>
              <w:rPr>
                <w:rFonts w:eastAsia="仿宋"/>
                <w:b/>
                <w:bCs/>
                <w:szCs w:val="21"/>
              </w:rPr>
            </w:pPr>
          </w:p>
        </w:tc>
      </w:tr>
      <w:tr w14:paraId="1E96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471" w:type="dxa"/>
            <w:vMerge w:val="continue"/>
          </w:tcPr>
          <w:p w14:paraId="5544FD6C">
            <w:pPr>
              <w:jc w:val="center"/>
              <w:rPr>
                <w:rFonts w:eastAsia="仿宋"/>
                <w:b/>
                <w:bCs/>
                <w:szCs w:val="21"/>
              </w:rPr>
            </w:pPr>
          </w:p>
        </w:tc>
        <w:tc>
          <w:tcPr>
            <w:tcW w:w="625" w:type="dxa"/>
            <w:vMerge w:val="continue"/>
            <w:vAlign w:val="center"/>
          </w:tcPr>
          <w:p w14:paraId="52BAE868">
            <w:pPr>
              <w:jc w:val="center"/>
              <w:rPr>
                <w:rFonts w:eastAsia="仿宋"/>
                <w:b/>
                <w:bCs/>
                <w:szCs w:val="21"/>
              </w:rPr>
            </w:pPr>
          </w:p>
        </w:tc>
        <w:tc>
          <w:tcPr>
            <w:tcW w:w="1421" w:type="dxa"/>
            <w:vAlign w:val="center"/>
          </w:tcPr>
          <w:p w14:paraId="6772C541">
            <w:pPr>
              <w:jc w:val="center"/>
              <w:rPr>
                <w:rFonts w:eastAsia="仿宋"/>
                <w:szCs w:val="21"/>
              </w:rPr>
            </w:pPr>
            <w:r>
              <w:rPr>
                <w:rFonts w:eastAsia="仿宋"/>
                <w:szCs w:val="21"/>
              </w:rPr>
              <w:t>磋商有效期</w:t>
            </w:r>
          </w:p>
        </w:tc>
        <w:tc>
          <w:tcPr>
            <w:tcW w:w="5536" w:type="dxa"/>
            <w:vAlign w:val="center"/>
          </w:tcPr>
          <w:p w14:paraId="390648E6">
            <w:pPr>
              <w:rPr>
                <w:rFonts w:eastAsia="仿宋"/>
                <w:szCs w:val="21"/>
              </w:rPr>
            </w:pPr>
            <w:r>
              <w:rPr>
                <w:rFonts w:eastAsia="仿宋"/>
                <w:szCs w:val="21"/>
              </w:rPr>
              <w:t>响应文件中承诺的磋商有效期满足竞争性磋商文件中的规定</w:t>
            </w:r>
          </w:p>
        </w:tc>
        <w:tc>
          <w:tcPr>
            <w:tcW w:w="696" w:type="dxa"/>
          </w:tcPr>
          <w:p w14:paraId="412763D1">
            <w:pPr>
              <w:jc w:val="center"/>
              <w:rPr>
                <w:rFonts w:eastAsia="仿宋"/>
                <w:b/>
                <w:bCs/>
                <w:szCs w:val="21"/>
              </w:rPr>
            </w:pPr>
          </w:p>
        </w:tc>
        <w:tc>
          <w:tcPr>
            <w:tcW w:w="717" w:type="dxa"/>
            <w:vAlign w:val="center"/>
          </w:tcPr>
          <w:p w14:paraId="1F2D0E9D">
            <w:pPr>
              <w:jc w:val="center"/>
              <w:rPr>
                <w:rFonts w:eastAsia="仿宋"/>
                <w:b/>
                <w:bCs/>
                <w:szCs w:val="21"/>
              </w:rPr>
            </w:pPr>
          </w:p>
        </w:tc>
      </w:tr>
      <w:tr w14:paraId="5749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471" w:type="dxa"/>
            <w:vMerge w:val="continue"/>
          </w:tcPr>
          <w:p w14:paraId="072E482E">
            <w:pPr>
              <w:jc w:val="center"/>
              <w:rPr>
                <w:rFonts w:eastAsia="仿宋"/>
                <w:b/>
                <w:bCs/>
                <w:szCs w:val="21"/>
              </w:rPr>
            </w:pPr>
          </w:p>
        </w:tc>
        <w:tc>
          <w:tcPr>
            <w:tcW w:w="625" w:type="dxa"/>
            <w:vMerge w:val="continue"/>
            <w:vAlign w:val="center"/>
          </w:tcPr>
          <w:p w14:paraId="1593C2E3">
            <w:pPr>
              <w:jc w:val="center"/>
              <w:rPr>
                <w:rFonts w:eastAsia="仿宋"/>
                <w:b/>
                <w:bCs/>
                <w:szCs w:val="21"/>
              </w:rPr>
            </w:pPr>
          </w:p>
        </w:tc>
        <w:tc>
          <w:tcPr>
            <w:tcW w:w="1421" w:type="dxa"/>
            <w:vAlign w:val="center"/>
          </w:tcPr>
          <w:p w14:paraId="60A83E74">
            <w:pPr>
              <w:jc w:val="center"/>
              <w:rPr>
                <w:rFonts w:eastAsia="仿宋"/>
                <w:szCs w:val="21"/>
              </w:rPr>
            </w:pPr>
            <w:r>
              <w:rPr>
                <w:rFonts w:eastAsia="仿宋"/>
                <w:szCs w:val="21"/>
              </w:rPr>
              <w:t>合同履约期限</w:t>
            </w:r>
          </w:p>
        </w:tc>
        <w:tc>
          <w:tcPr>
            <w:tcW w:w="5536" w:type="dxa"/>
            <w:vAlign w:val="center"/>
          </w:tcPr>
          <w:p w14:paraId="3170C6A0">
            <w:pPr>
              <w:rPr>
                <w:rFonts w:eastAsia="仿宋"/>
                <w:szCs w:val="21"/>
              </w:rPr>
            </w:pPr>
            <w:r>
              <w:rPr>
                <w:rFonts w:eastAsia="仿宋"/>
                <w:szCs w:val="21"/>
              </w:rPr>
              <w:t>响应文件中承诺的合同履约期限满足竞争性磋商文件中的规定</w:t>
            </w:r>
          </w:p>
        </w:tc>
        <w:tc>
          <w:tcPr>
            <w:tcW w:w="696" w:type="dxa"/>
          </w:tcPr>
          <w:p w14:paraId="4E80C3D6">
            <w:pPr>
              <w:jc w:val="center"/>
              <w:rPr>
                <w:rFonts w:eastAsia="仿宋"/>
                <w:b/>
                <w:bCs/>
                <w:szCs w:val="21"/>
              </w:rPr>
            </w:pPr>
          </w:p>
        </w:tc>
        <w:tc>
          <w:tcPr>
            <w:tcW w:w="717" w:type="dxa"/>
            <w:vAlign w:val="center"/>
          </w:tcPr>
          <w:p w14:paraId="3CE5CF2B">
            <w:pPr>
              <w:jc w:val="center"/>
              <w:rPr>
                <w:rFonts w:eastAsia="仿宋"/>
                <w:b/>
                <w:bCs/>
                <w:szCs w:val="21"/>
              </w:rPr>
            </w:pPr>
          </w:p>
        </w:tc>
      </w:tr>
      <w:tr w14:paraId="447B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jc w:val="center"/>
        </w:trPr>
        <w:tc>
          <w:tcPr>
            <w:tcW w:w="471" w:type="dxa"/>
            <w:vMerge w:val="continue"/>
          </w:tcPr>
          <w:p w14:paraId="3B42D27E">
            <w:pPr>
              <w:jc w:val="center"/>
              <w:rPr>
                <w:rFonts w:eastAsia="仿宋"/>
                <w:b/>
                <w:bCs/>
                <w:szCs w:val="21"/>
              </w:rPr>
            </w:pPr>
          </w:p>
        </w:tc>
        <w:tc>
          <w:tcPr>
            <w:tcW w:w="625" w:type="dxa"/>
            <w:vMerge w:val="continue"/>
            <w:vAlign w:val="center"/>
          </w:tcPr>
          <w:p w14:paraId="0D921294">
            <w:pPr>
              <w:jc w:val="center"/>
              <w:rPr>
                <w:rFonts w:eastAsia="仿宋"/>
                <w:b/>
                <w:bCs/>
                <w:szCs w:val="21"/>
              </w:rPr>
            </w:pPr>
          </w:p>
        </w:tc>
        <w:tc>
          <w:tcPr>
            <w:tcW w:w="1421" w:type="dxa"/>
            <w:vAlign w:val="center"/>
          </w:tcPr>
          <w:p w14:paraId="37DF7356">
            <w:pPr>
              <w:jc w:val="center"/>
              <w:rPr>
                <w:rFonts w:eastAsia="仿宋"/>
                <w:szCs w:val="21"/>
              </w:rPr>
            </w:pPr>
            <w:r>
              <w:rPr>
                <w:rFonts w:eastAsia="仿宋"/>
                <w:szCs w:val="21"/>
              </w:rPr>
              <w:t>响应文件签署、盖章</w:t>
            </w:r>
          </w:p>
        </w:tc>
        <w:tc>
          <w:tcPr>
            <w:tcW w:w="5536" w:type="dxa"/>
            <w:vAlign w:val="center"/>
          </w:tcPr>
          <w:p w14:paraId="12586D3B">
            <w:pPr>
              <w:rPr>
                <w:rFonts w:eastAsia="仿宋"/>
                <w:szCs w:val="21"/>
              </w:rPr>
            </w:pPr>
            <w:r>
              <w:rPr>
                <w:rFonts w:eastAsia="仿宋"/>
                <w:szCs w:val="21"/>
              </w:rPr>
              <w:t>响应文件是否按照竞争性磋商文件规定的要求签署、盖章</w:t>
            </w:r>
          </w:p>
        </w:tc>
        <w:tc>
          <w:tcPr>
            <w:tcW w:w="696" w:type="dxa"/>
          </w:tcPr>
          <w:p w14:paraId="656332BE">
            <w:pPr>
              <w:jc w:val="center"/>
              <w:rPr>
                <w:rFonts w:eastAsia="仿宋"/>
                <w:b/>
                <w:bCs/>
                <w:szCs w:val="21"/>
              </w:rPr>
            </w:pPr>
          </w:p>
        </w:tc>
        <w:tc>
          <w:tcPr>
            <w:tcW w:w="717" w:type="dxa"/>
            <w:vAlign w:val="center"/>
          </w:tcPr>
          <w:p w14:paraId="299E99B6">
            <w:pPr>
              <w:jc w:val="center"/>
              <w:rPr>
                <w:rFonts w:eastAsia="仿宋"/>
                <w:b/>
                <w:bCs/>
                <w:szCs w:val="21"/>
              </w:rPr>
            </w:pPr>
          </w:p>
        </w:tc>
      </w:tr>
      <w:tr w14:paraId="239C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573BFF4C">
            <w:pPr>
              <w:jc w:val="center"/>
              <w:rPr>
                <w:rFonts w:eastAsia="仿宋"/>
                <w:b/>
                <w:bCs/>
                <w:szCs w:val="21"/>
              </w:rPr>
            </w:pPr>
          </w:p>
        </w:tc>
        <w:tc>
          <w:tcPr>
            <w:tcW w:w="625" w:type="dxa"/>
            <w:vMerge w:val="continue"/>
            <w:vAlign w:val="center"/>
          </w:tcPr>
          <w:p w14:paraId="33BDF1FC">
            <w:pPr>
              <w:jc w:val="center"/>
              <w:rPr>
                <w:rFonts w:eastAsia="仿宋"/>
                <w:b/>
                <w:bCs/>
                <w:szCs w:val="21"/>
              </w:rPr>
            </w:pPr>
          </w:p>
        </w:tc>
        <w:tc>
          <w:tcPr>
            <w:tcW w:w="1421" w:type="dxa"/>
            <w:vAlign w:val="center"/>
          </w:tcPr>
          <w:p w14:paraId="18F90F31">
            <w:pPr>
              <w:jc w:val="center"/>
              <w:rPr>
                <w:rFonts w:eastAsia="仿宋"/>
                <w:szCs w:val="21"/>
              </w:rPr>
            </w:pPr>
            <w:r>
              <w:rPr>
                <w:rFonts w:eastAsia="仿宋"/>
                <w:szCs w:val="21"/>
              </w:rPr>
              <w:t>磋商报价</w:t>
            </w:r>
          </w:p>
        </w:tc>
        <w:tc>
          <w:tcPr>
            <w:tcW w:w="5536" w:type="dxa"/>
            <w:vAlign w:val="center"/>
          </w:tcPr>
          <w:p w14:paraId="25C87895">
            <w:pPr>
              <w:rPr>
                <w:rFonts w:eastAsia="仿宋"/>
                <w:szCs w:val="21"/>
              </w:rPr>
            </w:pPr>
            <w:r>
              <w:rPr>
                <w:rFonts w:eastAsia="仿宋"/>
                <w:szCs w:val="21"/>
              </w:rPr>
              <w:t>报价未超过磋商文件中规定的预算金额或者最高限价</w:t>
            </w:r>
          </w:p>
        </w:tc>
        <w:tc>
          <w:tcPr>
            <w:tcW w:w="696" w:type="dxa"/>
          </w:tcPr>
          <w:p w14:paraId="16C6C54C">
            <w:pPr>
              <w:jc w:val="center"/>
              <w:rPr>
                <w:rFonts w:eastAsia="仿宋"/>
                <w:b/>
                <w:bCs/>
                <w:szCs w:val="21"/>
              </w:rPr>
            </w:pPr>
          </w:p>
        </w:tc>
        <w:tc>
          <w:tcPr>
            <w:tcW w:w="717" w:type="dxa"/>
            <w:vAlign w:val="center"/>
          </w:tcPr>
          <w:p w14:paraId="628BADEE">
            <w:pPr>
              <w:jc w:val="center"/>
              <w:rPr>
                <w:rFonts w:eastAsia="仿宋"/>
                <w:b/>
                <w:bCs/>
                <w:szCs w:val="21"/>
              </w:rPr>
            </w:pPr>
          </w:p>
        </w:tc>
      </w:tr>
      <w:tr w14:paraId="46F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4072079F">
            <w:pPr>
              <w:jc w:val="center"/>
              <w:rPr>
                <w:rFonts w:eastAsia="仿宋"/>
                <w:b/>
                <w:bCs/>
                <w:szCs w:val="21"/>
              </w:rPr>
            </w:pPr>
          </w:p>
        </w:tc>
        <w:tc>
          <w:tcPr>
            <w:tcW w:w="625" w:type="dxa"/>
            <w:vMerge w:val="continue"/>
            <w:vAlign w:val="center"/>
          </w:tcPr>
          <w:p w14:paraId="719B23D8">
            <w:pPr>
              <w:jc w:val="center"/>
              <w:rPr>
                <w:rFonts w:eastAsia="仿宋"/>
                <w:b/>
                <w:bCs/>
                <w:szCs w:val="21"/>
              </w:rPr>
            </w:pPr>
          </w:p>
        </w:tc>
        <w:tc>
          <w:tcPr>
            <w:tcW w:w="1421" w:type="dxa"/>
            <w:vAlign w:val="center"/>
          </w:tcPr>
          <w:p w14:paraId="67BB0170">
            <w:pPr>
              <w:jc w:val="center"/>
              <w:rPr>
                <w:rFonts w:eastAsia="仿宋"/>
                <w:szCs w:val="21"/>
              </w:rPr>
            </w:pPr>
            <w:r>
              <w:rPr>
                <w:rFonts w:eastAsia="仿宋"/>
                <w:szCs w:val="21"/>
              </w:rPr>
              <w:t>实质性响应</w:t>
            </w:r>
          </w:p>
        </w:tc>
        <w:tc>
          <w:tcPr>
            <w:tcW w:w="5536" w:type="dxa"/>
            <w:vAlign w:val="center"/>
          </w:tcPr>
          <w:p w14:paraId="0C331C27">
            <w:pPr>
              <w:rPr>
                <w:rFonts w:eastAsia="仿宋"/>
                <w:szCs w:val="21"/>
              </w:rPr>
            </w:pPr>
            <w:r>
              <w:rPr>
                <w:rFonts w:eastAsia="仿宋"/>
                <w:szCs w:val="21"/>
              </w:rPr>
              <w:t>响应文件满足竞争性磋商文件中实质性条款的要求和商务要求</w:t>
            </w:r>
          </w:p>
        </w:tc>
        <w:tc>
          <w:tcPr>
            <w:tcW w:w="696" w:type="dxa"/>
          </w:tcPr>
          <w:p w14:paraId="1FCBBE51">
            <w:pPr>
              <w:jc w:val="center"/>
              <w:rPr>
                <w:rFonts w:eastAsia="仿宋"/>
                <w:b/>
                <w:bCs/>
                <w:szCs w:val="21"/>
              </w:rPr>
            </w:pPr>
          </w:p>
        </w:tc>
        <w:tc>
          <w:tcPr>
            <w:tcW w:w="717" w:type="dxa"/>
            <w:vAlign w:val="center"/>
          </w:tcPr>
          <w:p w14:paraId="6650DB1A">
            <w:pPr>
              <w:jc w:val="center"/>
              <w:rPr>
                <w:rFonts w:eastAsia="仿宋"/>
                <w:b/>
                <w:bCs/>
                <w:szCs w:val="21"/>
              </w:rPr>
            </w:pPr>
          </w:p>
        </w:tc>
      </w:tr>
      <w:tr w14:paraId="7DE4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8" w:hRule="atLeast"/>
          <w:jc w:val="center"/>
        </w:trPr>
        <w:tc>
          <w:tcPr>
            <w:tcW w:w="471" w:type="dxa"/>
            <w:vMerge w:val="continue"/>
          </w:tcPr>
          <w:p w14:paraId="5B279BDE">
            <w:pPr>
              <w:jc w:val="center"/>
              <w:rPr>
                <w:rFonts w:eastAsia="仿宋"/>
                <w:b/>
                <w:bCs/>
                <w:szCs w:val="21"/>
              </w:rPr>
            </w:pPr>
          </w:p>
        </w:tc>
        <w:tc>
          <w:tcPr>
            <w:tcW w:w="625" w:type="dxa"/>
            <w:vMerge w:val="continue"/>
            <w:vAlign w:val="center"/>
          </w:tcPr>
          <w:p w14:paraId="19937F40">
            <w:pPr>
              <w:jc w:val="center"/>
              <w:rPr>
                <w:rFonts w:eastAsia="仿宋"/>
                <w:b/>
                <w:bCs/>
                <w:szCs w:val="21"/>
              </w:rPr>
            </w:pPr>
          </w:p>
        </w:tc>
        <w:tc>
          <w:tcPr>
            <w:tcW w:w="1421" w:type="dxa"/>
            <w:vAlign w:val="center"/>
          </w:tcPr>
          <w:p w14:paraId="4A85676E">
            <w:pPr>
              <w:jc w:val="center"/>
              <w:rPr>
                <w:rFonts w:eastAsia="仿宋"/>
                <w:szCs w:val="21"/>
              </w:rPr>
            </w:pPr>
            <w:r>
              <w:rPr>
                <w:rFonts w:eastAsia="仿宋"/>
                <w:szCs w:val="21"/>
              </w:rPr>
              <w:t>其他条件</w:t>
            </w:r>
          </w:p>
        </w:tc>
        <w:tc>
          <w:tcPr>
            <w:tcW w:w="5536" w:type="dxa"/>
            <w:vAlign w:val="center"/>
          </w:tcPr>
          <w:p w14:paraId="7ADDD51A">
            <w:pPr>
              <w:rPr>
                <w:rFonts w:eastAsia="仿宋"/>
                <w:szCs w:val="21"/>
              </w:rPr>
            </w:pPr>
            <w:r>
              <w:rPr>
                <w:rFonts w:eastAsia="仿宋"/>
                <w:szCs w:val="21"/>
              </w:rPr>
              <w:t>响应文件是否含有采购人不能接受的附加条件</w:t>
            </w:r>
          </w:p>
        </w:tc>
        <w:tc>
          <w:tcPr>
            <w:tcW w:w="696" w:type="dxa"/>
          </w:tcPr>
          <w:p w14:paraId="2B454719">
            <w:pPr>
              <w:jc w:val="center"/>
              <w:rPr>
                <w:rFonts w:eastAsia="仿宋"/>
                <w:b/>
                <w:bCs/>
                <w:szCs w:val="21"/>
              </w:rPr>
            </w:pPr>
          </w:p>
        </w:tc>
        <w:tc>
          <w:tcPr>
            <w:tcW w:w="717" w:type="dxa"/>
            <w:vAlign w:val="center"/>
          </w:tcPr>
          <w:p w14:paraId="1BC55F47">
            <w:pPr>
              <w:jc w:val="center"/>
              <w:rPr>
                <w:rFonts w:eastAsia="仿宋"/>
                <w:b/>
                <w:bCs/>
                <w:szCs w:val="21"/>
              </w:rPr>
            </w:pPr>
          </w:p>
        </w:tc>
      </w:tr>
      <w:tr w14:paraId="247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471" w:type="dxa"/>
            <w:vMerge w:val="continue"/>
          </w:tcPr>
          <w:p w14:paraId="529B97F3">
            <w:pPr>
              <w:jc w:val="center"/>
              <w:rPr>
                <w:rFonts w:eastAsia="仿宋"/>
                <w:b/>
                <w:bCs/>
                <w:szCs w:val="21"/>
              </w:rPr>
            </w:pPr>
          </w:p>
        </w:tc>
        <w:tc>
          <w:tcPr>
            <w:tcW w:w="625" w:type="dxa"/>
            <w:vMerge w:val="continue"/>
            <w:vAlign w:val="center"/>
          </w:tcPr>
          <w:p w14:paraId="362122B7">
            <w:pPr>
              <w:jc w:val="center"/>
              <w:rPr>
                <w:rFonts w:eastAsia="仿宋"/>
                <w:b/>
                <w:bCs/>
                <w:szCs w:val="21"/>
              </w:rPr>
            </w:pPr>
          </w:p>
        </w:tc>
        <w:tc>
          <w:tcPr>
            <w:tcW w:w="1421" w:type="dxa"/>
            <w:vAlign w:val="center"/>
          </w:tcPr>
          <w:p w14:paraId="303D8D5D">
            <w:pPr>
              <w:jc w:val="center"/>
              <w:rPr>
                <w:rFonts w:eastAsia="仿宋"/>
                <w:szCs w:val="21"/>
              </w:rPr>
            </w:pPr>
            <w:r>
              <w:rPr>
                <w:rFonts w:eastAsia="仿宋"/>
                <w:szCs w:val="21"/>
              </w:rPr>
              <w:t>无效情形</w:t>
            </w:r>
          </w:p>
        </w:tc>
        <w:tc>
          <w:tcPr>
            <w:tcW w:w="5536" w:type="dxa"/>
            <w:vAlign w:val="center"/>
          </w:tcPr>
          <w:p w14:paraId="4464FC2E">
            <w:pPr>
              <w:rPr>
                <w:rFonts w:eastAsia="仿宋"/>
                <w:szCs w:val="21"/>
              </w:rPr>
            </w:pPr>
            <w:r>
              <w:rPr>
                <w:rFonts w:eastAsia="仿宋"/>
                <w:szCs w:val="21"/>
              </w:rPr>
              <w:t>法律、法规和磋商文件规定的其他无效情形</w:t>
            </w:r>
          </w:p>
        </w:tc>
        <w:tc>
          <w:tcPr>
            <w:tcW w:w="696" w:type="dxa"/>
          </w:tcPr>
          <w:p w14:paraId="712B50EB">
            <w:pPr>
              <w:jc w:val="center"/>
              <w:rPr>
                <w:rFonts w:eastAsia="仿宋"/>
                <w:b/>
                <w:bCs/>
                <w:szCs w:val="21"/>
              </w:rPr>
            </w:pPr>
          </w:p>
        </w:tc>
        <w:tc>
          <w:tcPr>
            <w:tcW w:w="717" w:type="dxa"/>
            <w:vAlign w:val="center"/>
          </w:tcPr>
          <w:p w14:paraId="25CC29E7">
            <w:pPr>
              <w:jc w:val="center"/>
              <w:rPr>
                <w:rFonts w:eastAsia="仿宋"/>
                <w:b/>
                <w:bCs/>
                <w:szCs w:val="21"/>
              </w:rPr>
            </w:pPr>
          </w:p>
        </w:tc>
      </w:tr>
      <w:tr w14:paraId="6178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jc w:val="center"/>
        </w:trPr>
        <w:tc>
          <w:tcPr>
            <w:tcW w:w="9466" w:type="dxa"/>
            <w:gridSpan w:val="6"/>
            <w:vAlign w:val="center"/>
          </w:tcPr>
          <w:p w14:paraId="04D45977">
            <w:pPr>
              <w:jc w:val="left"/>
              <w:rPr>
                <w:rFonts w:eastAsia="仿宋"/>
                <w:b/>
                <w:bCs/>
                <w:szCs w:val="21"/>
              </w:rPr>
            </w:pPr>
            <w:r>
              <w:rPr>
                <w:rFonts w:eastAsia="仿宋"/>
                <w:b/>
                <w:bCs/>
                <w:szCs w:val="21"/>
              </w:rPr>
              <w:t>注：以上检查内容必须全部符合检查标准，否则为无效标。</w:t>
            </w:r>
          </w:p>
        </w:tc>
      </w:tr>
      <w:bookmarkEnd w:id="5"/>
    </w:tbl>
    <w:p w14:paraId="73460CCA">
      <w:pPr>
        <w:adjustRightInd w:val="0"/>
        <w:snapToGrid w:val="0"/>
        <w:spacing w:line="360" w:lineRule="auto"/>
        <w:ind w:firstLine="482" w:firstLineChars="200"/>
        <w:rPr>
          <w:rFonts w:eastAsia="仿宋"/>
          <w:b/>
          <w:sz w:val="24"/>
          <w:szCs w:val="24"/>
        </w:rPr>
      </w:pPr>
      <w:r>
        <w:rPr>
          <w:rFonts w:eastAsia="仿宋"/>
          <w:b/>
          <w:bCs/>
          <w:sz w:val="24"/>
          <w:szCs w:val="24"/>
        </w:rPr>
        <w:t>注：提交的图表、影印件、查询记录等文件须清晰完整，因文字模糊专家辨识造成审查不合格的由响应人自行承担相应责任。</w:t>
      </w:r>
    </w:p>
    <w:p w14:paraId="61658483">
      <w:pPr>
        <w:pStyle w:val="29"/>
        <w:snapToGrid w:val="0"/>
        <w:spacing w:line="360" w:lineRule="auto"/>
        <w:ind w:firstLine="482" w:firstLineChars="200"/>
        <w:rPr>
          <w:rFonts w:ascii="Times New Roman" w:hAnsi="Times New Roman" w:eastAsia="仿宋"/>
          <w:b/>
          <w:color w:val="auto"/>
        </w:rPr>
      </w:pPr>
      <w:r>
        <w:rPr>
          <w:rFonts w:ascii="Times New Roman" w:hAnsi="Times New Roman" w:eastAsia="仿宋"/>
          <w:b/>
          <w:color w:val="auto"/>
        </w:rPr>
        <w:t>2</w:t>
      </w:r>
      <w:r>
        <w:rPr>
          <w:rFonts w:hint="eastAsia" w:ascii="Times New Roman" w:hAnsi="Times New Roman" w:eastAsia="仿宋"/>
          <w:b/>
          <w:color w:val="auto"/>
          <w:lang w:val="en-US" w:eastAsia="zh-CN"/>
        </w:rPr>
        <w:t>8</w:t>
      </w:r>
      <w:r>
        <w:rPr>
          <w:rFonts w:ascii="Times New Roman" w:hAnsi="Times New Roman" w:eastAsia="仿宋"/>
          <w:b/>
          <w:color w:val="auto"/>
        </w:rPr>
        <w:t xml:space="preserve">详细评审 </w:t>
      </w:r>
    </w:p>
    <w:p w14:paraId="0E997B6C">
      <w:pPr>
        <w:adjustRightInd w:val="0"/>
        <w:snapToGrid w:val="0"/>
        <w:spacing w:line="360" w:lineRule="auto"/>
        <w:ind w:firstLine="480" w:firstLineChars="200"/>
        <w:rPr>
          <w:rFonts w:eastAsia="仿宋"/>
          <w:sz w:val="24"/>
          <w:szCs w:val="24"/>
        </w:rPr>
      </w:pPr>
      <w:r>
        <w:rPr>
          <w:rFonts w:eastAsia="仿宋"/>
          <w:sz w:val="24"/>
          <w:szCs w:val="24"/>
        </w:rPr>
        <w:t>2</w:t>
      </w:r>
      <w:r>
        <w:rPr>
          <w:rFonts w:hint="eastAsia" w:eastAsia="仿宋"/>
          <w:sz w:val="24"/>
          <w:szCs w:val="24"/>
          <w:lang w:val="en-US" w:eastAsia="zh-CN"/>
        </w:rPr>
        <w:t>8</w:t>
      </w:r>
      <w:r>
        <w:rPr>
          <w:rFonts w:eastAsia="仿宋"/>
          <w:sz w:val="24"/>
          <w:szCs w:val="24"/>
        </w:rPr>
        <w:t>.1</w:t>
      </w:r>
      <w:r>
        <w:rPr>
          <w:rFonts w:eastAsia="仿宋"/>
          <w:spacing w:val="-2"/>
          <w:sz w:val="24"/>
          <w:szCs w:val="24"/>
        </w:rPr>
        <w:t>经初步评审合格的响应文件，磋商小组当根据磋商文件确定的评审标准和方法，对其技术和商务部分作进一步详细评审和比较。</w:t>
      </w:r>
    </w:p>
    <w:p w14:paraId="31208BF1">
      <w:pPr>
        <w:adjustRightInd w:val="0"/>
        <w:snapToGrid w:val="0"/>
        <w:spacing w:line="360" w:lineRule="auto"/>
        <w:ind w:firstLine="480" w:firstLineChars="200"/>
        <w:rPr>
          <w:rFonts w:eastAsia="仿宋"/>
          <w:sz w:val="24"/>
          <w:szCs w:val="24"/>
        </w:rPr>
      </w:pPr>
      <w:r>
        <w:rPr>
          <w:rFonts w:eastAsia="仿宋"/>
          <w:sz w:val="24"/>
          <w:szCs w:val="24"/>
        </w:rPr>
        <w:t>磋商小组将采用综合评分法对响应文件所载明的供应商的响应报价、技术、商务响应文件的编制质量等内容进行打分，依据得分从高到低的顺序最终确定成交候选人，</w:t>
      </w:r>
      <w:r>
        <w:rPr>
          <w:rFonts w:eastAsia="仿宋"/>
          <w:b/>
          <w:sz w:val="24"/>
          <w:szCs w:val="24"/>
        </w:rPr>
        <w:t>最低报价不作为成交的唯一依据。</w:t>
      </w:r>
    </w:p>
    <w:p w14:paraId="48A56EBF">
      <w:pPr>
        <w:adjustRightInd w:val="0"/>
        <w:snapToGrid w:val="0"/>
        <w:spacing w:line="360" w:lineRule="auto"/>
        <w:ind w:firstLine="474" w:firstLineChars="200"/>
        <w:rPr>
          <w:rFonts w:eastAsia="仿宋"/>
          <w:b/>
          <w:spacing w:val="-2"/>
          <w:sz w:val="24"/>
          <w:szCs w:val="24"/>
        </w:rPr>
      </w:pPr>
      <w:r>
        <w:rPr>
          <w:rFonts w:eastAsia="仿宋"/>
          <w:b/>
          <w:spacing w:val="-2"/>
          <w:sz w:val="24"/>
          <w:szCs w:val="24"/>
        </w:rPr>
        <w:t>2</w:t>
      </w:r>
      <w:r>
        <w:rPr>
          <w:rFonts w:hint="eastAsia" w:eastAsia="仿宋"/>
          <w:b/>
          <w:spacing w:val="-2"/>
          <w:sz w:val="24"/>
          <w:szCs w:val="24"/>
          <w:lang w:val="en-US" w:eastAsia="zh-CN"/>
        </w:rPr>
        <w:t>8</w:t>
      </w:r>
      <w:r>
        <w:rPr>
          <w:rFonts w:eastAsia="仿宋"/>
          <w:b/>
          <w:spacing w:val="-2"/>
          <w:sz w:val="24"/>
          <w:szCs w:val="24"/>
        </w:rPr>
        <w:t>.2评审因素及标准(详见评分细则)</w:t>
      </w:r>
    </w:p>
    <w:p w14:paraId="0D967932">
      <w:pPr>
        <w:pStyle w:val="29"/>
        <w:snapToGrid w:val="0"/>
        <w:spacing w:line="360" w:lineRule="auto"/>
        <w:ind w:firstLine="482" w:firstLineChars="200"/>
        <w:rPr>
          <w:rFonts w:ascii="Times New Roman" w:hAnsi="Times New Roman" w:eastAsia="仿宋"/>
          <w:b/>
          <w:color w:val="auto"/>
        </w:rPr>
      </w:pPr>
      <w:r>
        <w:rPr>
          <w:rFonts w:ascii="Times New Roman" w:hAnsi="Times New Roman" w:eastAsia="仿宋"/>
          <w:b/>
          <w:color w:val="auto"/>
        </w:rPr>
        <w:t>报价评分标准：</w:t>
      </w:r>
    </w:p>
    <w:p w14:paraId="60B4248A">
      <w:pPr>
        <w:pStyle w:val="29"/>
        <w:snapToGrid w:val="0"/>
        <w:spacing w:line="360" w:lineRule="auto"/>
        <w:ind w:firstLine="480" w:firstLineChars="200"/>
        <w:rPr>
          <w:rFonts w:ascii="Times New Roman" w:hAnsi="Times New Roman" w:eastAsia="仿宋"/>
          <w:color w:val="auto"/>
        </w:rPr>
      </w:pPr>
      <w:r>
        <w:rPr>
          <w:rFonts w:ascii="Times New Roman" w:hAnsi="Times New Roman" w:eastAsia="仿宋"/>
          <w:color w:val="auto"/>
        </w:rPr>
        <w:t>2</w:t>
      </w:r>
      <w:r>
        <w:rPr>
          <w:rFonts w:hint="eastAsia" w:ascii="Times New Roman" w:hAnsi="Times New Roman" w:eastAsia="仿宋"/>
          <w:color w:val="auto"/>
          <w:lang w:val="en-US" w:eastAsia="zh-CN"/>
        </w:rPr>
        <w:t>8</w:t>
      </w:r>
      <w:r>
        <w:rPr>
          <w:rFonts w:ascii="Times New Roman" w:hAnsi="Times New Roman" w:eastAsia="仿宋"/>
          <w:color w:val="auto"/>
        </w:rPr>
        <w:t>.3综合评分法中的价格分统一采用低价优先法计算，即满足磋商文件要求且最后报价最低的供应商的价格为磋商基准价，其价格分为满分。</w:t>
      </w:r>
    </w:p>
    <w:p w14:paraId="79EAB6DE">
      <w:pPr>
        <w:pStyle w:val="29"/>
        <w:snapToGrid w:val="0"/>
        <w:spacing w:line="360" w:lineRule="auto"/>
        <w:ind w:firstLine="480" w:firstLineChars="200"/>
        <w:rPr>
          <w:rFonts w:ascii="Times New Roman" w:hAnsi="Times New Roman" w:eastAsia="仿宋"/>
          <w:color w:val="auto"/>
        </w:rPr>
      </w:pPr>
      <w:r>
        <w:rPr>
          <w:rFonts w:ascii="Times New Roman" w:hAnsi="Times New Roman" w:eastAsia="仿宋"/>
          <w:color w:val="auto"/>
        </w:rPr>
        <w:t>价格分占</w:t>
      </w:r>
      <w:r>
        <w:rPr>
          <w:rFonts w:hint="eastAsia" w:ascii="Times New Roman" w:hAnsi="Times New Roman" w:eastAsia="仿宋"/>
          <w:color w:val="auto"/>
        </w:rPr>
        <w:t>3</w:t>
      </w:r>
      <w:r>
        <w:rPr>
          <w:rFonts w:ascii="Times New Roman" w:hAnsi="Times New Roman" w:eastAsia="仿宋"/>
          <w:color w:val="auto"/>
        </w:rPr>
        <w:t>0%权重；商务技术占</w:t>
      </w:r>
      <w:r>
        <w:rPr>
          <w:rFonts w:hint="eastAsia" w:ascii="Times New Roman" w:hAnsi="Times New Roman" w:eastAsia="仿宋"/>
          <w:color w:val="auto"/>
        </w:rPr>
        <w:t>7</w:t>
      </w:r>
      <w:r>
        <w:rPr>
          <w:rFonts w:ascii="Times New Roman" w:hAnsi="Times New Roman" w:eastAsia="仿宋"/>
          <w:color w:val="auto"/>
        </w:rPr>
        <w:t>0%权重</w:t>
      </w:r>
    </w:p>
    <w:p w14:paraId="3C7662B4">
      <w:pPr>
        <w:pStyle w:val="29"/>
        <w:snapToGrid w:val="0"/>
        <w:spacing w:line="360" w:lineRule="auto"/>
        <w:ind w:firstLine="480" w:firstLineChars="200"/>
        <w:rPr>
          <w:rFonts w:ascii="Times New Roman" w:hAnsi="Times New Roman" w:eastAsia="仿宋"/>
          <w:color w:val="auto"/>
        </w:rPr>
      </w:pPr>
      <w:r>
        <w:rPr>
          <w:rFonts w:ascii="Times New Roman" w:hAnsi="Times New Roman" w:eastAsia="仿宋"/>
          <w:color w:val="auto"/>
        </w:rPr>
        <w:t>2</w:t>
      </w:r>
      <w:r>
        <w:rPr>
          <w:rFonts w:hint="eastAsia" w:ascii="Times New Roman" w:hAnsi="Times New Roman" w:eastAsia="仿宋"/>
          <w:color w:val="auto"/>
          <w:lang w:val="en-US" w:eastAsia="zh-CN"/>
        </w:rPr>
        <w:t>8</w:t>
      </w:r>
      <w:r>
        <w:rPr>
          <w:rFonts w:ascii="Times New Roman" w:hAnsi="Times New Roman" w:eastAsia="仿宋"/>
          <w:color w:val="auto"/>
        </w:rPr>
        <w:t>.4详细评审：评标基准价=有效磋商报价的最低值，有效磋商报价等于基准值的得满分</w:t>
      </w:r>
      <w:r>
        <w:rPr>
          <w:rFonts w:hint="eastAsia" w:ascii="Times New Roman" w:hAnsi="Times New Roman" w:eastAsia="仿宋"/>
          <w:color w:val="auto"/>
        </w:rPr>
        <w:t>3</w:t>
      </w:r>
      <w:r>
        <w:rPr>
          <w:rFonts w:ascii="Times New Roman" w:hAnsi="Times New Roman" w:eastAsia="仿宋"/>
          <w:color w:val="auto"/>
        </w:rPr>
        <w:t>0分，磋商报价得分=（评标基准价/磋商报价）×价格权重×100。</w:t>
      </w:r>
    </w:p>
    <w:p w14:paraId="24B55734">
      <w:pPr>
        <w:pStyle w:val="29"/>
        <w:snapToGrid w:val="0"/>
        <w:spacing w:line="360" w:lineRule="auto"/>
        <w:ind w:firstLine="480" w:firstLineChars="200"/>
        <w:rPr>
          <w:rFonts w:ascii="Times New Roman" w:hAnsi="Times New Roman" w:eastAsia="仿宋"/>
          <w:color w:val="auto"/>
        </w:rPr>
      </w:pPr>
      <w:r>
        <w:rPr>
          <w:rFonts w:ascii="Times New Roman" w:hAnsi="Times New Roman" w:eastAsia="仿宋"/>
          <w:color w:val="auto"/>
        </w:rPr>
        <w:t>2</w:t>
      </w:r>
      <w:r>
        <w:rPr>
          <w:rFonts w:hint="eastAsia" w:ascii="Times New Roman" w:hAnsi="Times New Roman" w:eastAsia="仿宋"/>
          <w:color w:val="auto"/>
          <w:lang w:val="en-US" w:eastAsia="zh-CN"/>
        </w:rPr>
        <w:t>8</w:t>
      </w:r>
      <w:r>
        <w:rPr>
          <w:rFonts w:ascii="Times New Roman" w:hAnsi="Times New Roman" w:eastAsia="仿宋"/>
          <w:color w:val="auto"/>
        </w:rPr>
        <w:t>.5供应商在磋商过程中，所进行的力图影响磋商结果的不符合磋商规则的活动，可能导致其被取消成交资格。</w:t>
      </w:r>
    </w:p>
    <w:p w14:paraId="5BDF2820">
      <w:pPr>
        <w:pStyle w:val="29"/>
        <w:snapToGrid w:val="0"/>
        <w:spacing w:line="360" w:lineRule="auto"/>
        <w:ind w:firstLine="480" w:firstLineChars="200"/>
        <w:rPr>
          <w:rFonts w:ascii="Times New Roman" w:hAnsi="Times New Roman" w:eastAsia="仿宋"/>
          <w:color w:val="auto"/>
        </w:rPr>
      </w:pPr>
      <w:r>
        <w:rPr>
          <w:rFonts w:ascii="Times New Roman" w:hAnsi="Times New Roman" w:eastAsia="仿宋"/>
          <w:color w:val="auto"/>
        </w:rPr>
        <w:t>2</w:t>
      </w:r>
      <w:r>
        <w:rPr>
          <w:rFonts w:hint="eastAsia" w:ascii="Times New Roman" w:hAnsi="Times New Roman" w:eastAsia="仿宋"/>
          <w:color w:val="auto"/>
          <w:lang w:val="en-US" w:eastAsia="zh-CN"/>
        </w:rPr>
        <w:t>8</w:t>
      </w:r>
      <w:r>
        <w:rPr>
          <w:rFonts w:ascii="Times New Roman" w:hAnsi="Times New Roman" w:eastAsia="仿宋"/>
          <w:color w:val="auto"/>
        </w:rPr>
        <w:t>.6与磋商文件有重大偏离的响应文件将被拒绝。</w:t>
      </w:r>
    </w:p>
    <w:p w14:paraId="1B134358">
      <w:pPr>
        <w:pStyle w:val="12"/>
        <w:spacing w:after="0" w:line="360" w:lineRule="auto"/>
        <w:ind w:firstLine="482" w:firstLineChars="200"/>
        <w:jc w:val="center"/>
        <w:rPr>
          <w:rFonts w:eastAsia="仿宋"/>
          <w:b/>
          <w:bCs/>
          <w:sz w:val="24"/>
          <w:szCs w:val="24"/>
        </w:rPr>
      </w:pPr>
      <w:r>
        <w:rPr>
          <w:rFonts w:eastAsia="仿宋"/>
          <w:b/>
          <w:bCs/>
          <w:sz w:val="24"/>
          <w:szCs w:val="24"/>
        </w:rPr>
        <w:t>详细评审--商务技术打分表</w:t>
      </w:r>
    </w:p>
    <w:tbl>
      <w:tblPr>
        <w:tblStyle w:val="45"/>
        <w:tblpPr w:leftFromText="180" w:rightFromText="180" w:vertAnchor="text" w:horzAnchor="page" w:tblpXSpec="center" w:tblpY="521"/>
        <w:tblOverlap w:val="never"/>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1270"/>
        <w:gridCol w:w="763"/>
        <w:gridCol w:w="6987"/>
      </w:tblGrid>
      <w:tr w14:paraId="3C21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jc w:val="center"/>
        </w:trPr>
        <w:tc>
          <w:tcPr>
            <w:tcW w:w="647" w:type="dxa"/>
            <w:vAlign w:val="center"/>
          </w:tcPr>
          <w:p w14:paraId="4D0B5A24">
            <w:pPr>
              <w:autoSpaceDE w:val="0"/>
              <w:autoSpaceDN w:val="0"/>
              <w:adjustRightInd w:val="0"/>
              <w:snapToGrid w:val="0"/>
              <w:spacing w:before="155"/>
              <w:ind w:left="97" w:right="88"/>
              <w:jc w:val="center"/>
              <w:rPr>
                <w:rFonts w:ascii="Calibri" w:hAnsi="Calibri" w:eastAsia="仿宋"/>
                <w:kern w:val="0"/>
                <w:szCs w:val="21"/>
                <w:lang w:eastAsia="en-US"/>
              </w:rPr>
            </w:pPr>
            <w:r>
              <w:rPr>
                <w:rFonts w:ascii="Calibri" w:hAnsi="Calibri" w:eastAsia="仿宋"/>
                <w:kern w:val="0"/>
                <w:szCs w:val="21"/>
                <w:lang w:eastAsia="en-US"/>
              </w:rPr>
              <w:t>序号</w:t>
            </w:r>
          </w:p>
        </w:tc>
        <w:tc>
          <w:tcPr>
            <w:tcW w:w="1270" w:type="dxa"/>
            <w:vAlign w:val="center"/>
          </w:tcPr>
          <w:p w14:paraId="478DE262">
            <w:pPr>
              <w:autoSpaceDE w:val="0"/>
              <w:autoSpaceDN w:val="0"/>
              <w:adjustRightInd w:val="0"/>
              <w:snapToGrid w:val="0"/>
              <w:spacing w:before="155"/>
              <w:ind w:right="-46"/>
              <w:jc w:val="center"/>
              <w:rPr>
                <w:rFonts w:ascii="Calibri" w:hAnsi="Calibri" w:eastAsia="仿宋"/>
                <w:kern w:val="0"/>
                <w:szCs w:val="21"/>
                <w:lang w:eastAsia="en-US"/>
              </w:rPr>
            </w:pPr>
            <w:r>
              <w:rPr>
                <w:rFonts w:ascii="Calibri" w:hAnsi="Calibri" w:eastAsia="仿宋"/>
                <w:kern w:val="0"/>
                <w:szCs w:val="21"/>
                <w:lang w:eastAsia="en-US"/>
              </w:rPr>
              <w:t>评审内容</w:t>
            </w:r>
          </w:p>
        </w:tc>
        <w:tc>
          <w:tcPr>
            <w:tcW w:w="763" w:type="dxa"/>
            <w:vAlign w:val="center"/>
          </w:tcPr>
          <w:p w14:paraId="29329222">
            <w:pPr>
              <w:autoSpaceDE w:val="0"/>
              <w:autoSpaceDN w:val="0"/>
              <w:adjustRightInd w:val="0"/>
              <w:snapToGrid w:val="0"/>
              <w:ind w:left="134" w:hanging="134" w:hangingChars="64"/>
              <w:jc w:val="center"/>
              <w:rPr>
                <w:rFonts w:ascii="Calibri" w:hAnsi="Calibri" w:eastAsia="仿宋"/>
                <w:kern w:val="0"/>
                <w:szCs w:val="21"/>
                <w:lang w:eastAsia="en-US"/>
              </w:rPr>
            </w:pPr>
            <w:r>
              <w:rPr>
                <w:rFonts w:ascii="Calibri" w:hAnsi="Calibri" w:eastAsia="仿宋"/>
                <w:kern w:val="0"/>
                <w:szCs w:val="21"/>
                <w:lang w:eastAsia="en-US"/>
              </w:rPr>
              <w:t>单项</w:t>
            </w:r>
          </w:p>
          <w:p w14:paraId="141CF59A">
            <w:pPr>
              <w:autoSpaceDE w:val="0"/>
              <w:autoSpaceDN w:val="0"/>
              <w:adjustRightInd w:val="0"/>
              <w:snapToGrid w:val="0"/>
              <w:spacing w:before="4"/>
              <w:ind w:left="10" w:hanging="10" w:hangingChars="5"/>
              <w:jc w:val="center"/>
              <w:rPr>
                <w:rFonts w:ascii="Calibri" w:hAnsi="Calibri" w:eastAsia="仿宋"/>
                <w:kern w:val="0"/>
                <w:szCs w:val="21"/>
                <w:lang w:eastAsia="en-US"/>
              </w:rPr>
            </w:pPr>
            <w:r>
              <w:rPr>
                <w:rFonts w:ascii="Calibri" w:hAnsi="Calibri" w:eastAsia="仿宋"/>
                <w:kern w:val="0"/>
                <w:szCs w:val="21"/>
                <w:lang w:eastAsia="en-US"/>
              </w:rPr>
              <w:t>分值</w:t>
            </w:r>
          </w:p>
        </w:tc>
        <w:tc>
          <w:tcPr>
            <w:tcW w:w="6987" w:type="dxa"/>
            <w:vAlign w:val="center"/>
          </w:tcPr>
          <w:p w14:paraId="3606C0DB">
            <w:pPr>
              <w:tabs>
                <w:tab w:val="left" w:pos="1480"/>
              </w:tabs>
              <w:autoSpaceDE w:val="0"/>
              <w:autoSpaceDN w:val="0"/>
              <w:adjustRightInd w:val="0"/>
              <w:snapToGrid w:val="0"/>
              <w:ind w:right="-8"/>
              <w:jc w:val="center"/>
              <w:rPr>
                <w:rFonts w:ascii="Calibri" w:hAnsi="Calibri" w:eastAsia="仿宋"/>
                <w:kern w:val="0"/>
                <w:szCs w:val="21"/>
                <w:lang w:eastAsia="en-US"/>
              </w:rPr>
            </w:pPr>
            <w:r>
              <w:rPr>
                <w:rFonts w:ascii="Calibri" w:hAnsi="Calibri" w:eastAsia="仿宋"/>
                <w:kern w:val="0"/>
                <w:szCs w:val="21"/>
                <w:lang w:eastAsia="en-US"/>
              </w:rPr>
              <w:t>评分范围</w:t>
            </w:r>
          </w:p>
        </w:tc>
      </w:tr>
      <w:tr w14:paraId="1640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7" w:type="dxa"/>
            <w:vAlign w:val="center"/>
          </w:tcPr>
          <w:p w14:paraId="65EBDEB6">
            <w:pPr>
              <w:autoSpaceDE w:val="0"/>
              <w:autoSpaceDN w:val="0"/>
              <w:adjustRightInd w:val="0"/>
              <w:snapToGrid w:val="0"/>
              <w:spacing w:before="1"/>
              <w:ind w:left="9"/>
              <w:jc w:val="center"/>
              <w:rPr>
                <w:rFonts w:ascii="Calibri" w:hAnsi="Calibri" w:eastAsia="仿宋"/>
                <w:szCs w:val="21"/>
                <w:lang w:eastAsia="en-US"/>
              </w:rPr>
            </w:pPr>
            <w:r>
              <w:rPr>
                <w:rFonts w:ascii="Calibri" w:hAnsi="Calibri" w:eastAsia="仿宋"/>
                <w:szCs w:val="21"/>
                <w:lang w:eastAsia="en-US"/>
              </w:rPr>
              <w:t>1</w:t>
            </w:r>
          </w:p>
        </w:tc>
        <w:tc>
          <w:tcPr>
            <w:tcW w:w="1270" w:type="dxa"/>
            <w:vAlign w:val="center"/>
          </w:tcPr>
          <w:p w14:paraId="24CBE13B">
            <w:pPr>
              <w:tabs>
                <w:tab w:val="left" w:pos="1480"/>
              </w:tabs>
              <w:autoSpaceDE w:val="0"/>
              <w:autoSpaceDN w:val="0"/>
              <w:adjustRightInd w:val="0"/>
              <w:snapToGrid w:val="0"/>
              <w:ind w:right="-8"/>
              <w:jc w:val="center"/>
              <w:rPr>
                <w:rFonts w:ascii="Calibri" w:hAnsi="Calibri" w:eastAsia="仿宋"/>
                <w:kern w:val="0"/>
                <w:szCs w:val="21"/>
                <w:lang w:eastAsia="en-US"/>
              </w:rPr>
            </w:pPr>
            <w:r>
              <w:rPr>
                <w:rFonts w:ascii="Calibri" w:hAnsi="Calibri" w:eastAsia="仿宋"/>
                <w:kern w:val="0"/>
                <w:szCs w:val="21"/>
                <w:lang w:eastAsia="en-US"/>
              </w:rPr>
              <w:t>企业业绩</w:t>
            </w:r>
          </w:p>
        </w:tc>
        <w:tc>
          <w:tcPr>
            <w:tcW w:w="763" w:type="dxa"/>
            <w:vAlign w:val="center"/>
          </w:tcPr>
          <w:p w14:paraId="3C8C6A9A">
            <w:pPr>
              <w:tabs>
                <w:tab w:val="left" w:pos="840"/>
              </w:tabs>
              <w:autoSpaceDE w:val="0"/>
              <w:autoSpaceDN w:val="0"/>
              <w:adjustRightInd w:val="0"/>
              <w:snapToGrid w:val="0"/>
              <w:ind w:right="92"/>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9分</w:t>
            </w:r>
          </w:p>
        </w:tc>
        <w:tc>
          <w:tcPr>
            <w:tcW w:w="6987" w:type="dxa"/>
            <w:vAlign w:val="center"/>
          </w:tcPr>
          <w:p w14:paraId="71E26B70">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投标截止日前</w:t>
            </w:r>
            <w:r>
              <w:rPr>
                <w:rFonts w:hint="eastAsia" w:ascii="仿宋" w:hAnsi="仿宋" w:eastAsia="仿宋" w:cs="仿宋"/>
                <w:kern w:val="0"/>
                <w:szCs w:val="21"/>
                <w:lang w:val="en-US" w:eastAsia="zh-CN"/>
              </w:rPr>
              <w:t>5</w:t>
            </w:r>
            <w:r>
              <w:rPr>
                <w:rFonts w:hint="eastAsia" w:ascii="仿宋" w:hAnsi="仿宋" w:eastAsia="仿宋" w:cs="仿宋"/>
                <w:kern w:val="0"/>
                <w:szCs w:val="21"/>
                <w:lang w:eastAsia="en-US"/>
              </w:rPr>
              <w:t>年（即202</w:t>
            </w:r>
            <w:r>
              <w:rPr>
                <w:rFonts w:hint="eastAsia" w:ascii="仿宋" w:hAnsi="仿宋" w:eastAsia="仿宋" w:cs="仿宋"/>
                <w:kern w:val="0"/>
                <w:szCs w:val="21"/>
                <w:lang w:val="en-US" w:eastAsia="zh-CN"/>
              </w:rPr>
              <w:t>1</w:t>
            </w:r>
            <w:r>
              <w:rPr>
                <w:rFonts w:hint="eastAsia" w:ascii="仿宋" w:hAnsi="仿宋" w:eastAsia="仿宋" w:cs="仿宋"/>
                <w:kern w:val="0"/>
                <w:szCs w:val="21"/>
                <w:lang w:eastAsia="en-US"/>
              </w:rPr>
              <w:t>年1月1日起至今）的同类项目业绩，提供中标（</w:t>
            </w:r>
            <w:bookmarkStart w:id="204" w:name="_GoBack"/>
            <w:bookmarkEnd w:id="204"/>
            <w:r>
              <w:rPr>
                <w:rFonts w:hint="eastAsia" w:ascii="仿宋" w:hAnsi="仿宋" w:eastAsia="仿宋" w:cs="仿宋"/>
                <w:kern w:val="0"/>
                <w:szCs w:val="21"/>
                <w:lang w:eastAsia="en-US"/>
              </w:rPr>
              <w:t>成交）通知书或合同扫描件并加盖供应商公章，每提供1份有效业绩得3分，最高得分为9分。</w:t>
            </w:r>
          </w:p>
        </w:tc>
      </w:tr>
      <w:tr w14:paraId="4A99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7" w:type="dxa"/>
            <w:vAlign w:val="center"/>
          </w:tcPr>
          <w:p w14:paraId="4528B908">
            <w:pPr>
              <w:autoSpaceDE w:val="0"/>
              <w:autoSpaceDN w:val="0"/>
              <w:adjustRightInd w:val="0"/>
              <w:snapToGrid w:val="0"/>
              <w:spacing w:before="1"/>
              <w:ind w:left="9"/>
              <w:jc w:val="center"/>
              <w:rPr>
                <w:rFonts w:ascii="Calibri" w:hAnsi="Calibri" w:eastAsia="仿宋"/>
                <w:szCs w:val="21"/>
                <w:lang w:eastAsia="en-US"/>
              </w:rPr>
            </w:pPr>
            <w:r>
              <w:rPr>
                <w:rFonts w:ascii="Calibri" w:hAnsi="Calibri" w:eastAsia="仿宋"/>
                <w:szCs w:val="21"/>
                <w:lang w:eastAsia="en-US"/>
              </w:rPr>
              <w:t>2</w:t>
            </w:r>
          </w:p>
        </w:tc>
        <w:tc>
          <w:tcPr>
            <w:tcW w:w="1270" w:type="dxa"/>
            <w:vAlign w:val="center"/>
          </w:tcPr>
          <w:p w14:paraId="464F46C4">
            <w:pPr>
              <w:tabs>
                <w:tab w:val="left" w:pos="1480"/>
              </w:tabs>
              <w:autoSpaceDE w:val="0"/>
              <w:autoSpaceDN w:val="0"/>
              <w:adjustRightInd w:val="0"/>
              <w:snapToGrid w:val="0"/>
              <w:ind w:right="-8"/>
              <w:jc w:val="center"/>
              <w:rPr>
                <w:rFonts w:ascii="Calibri" w:hAnsi="Calibri" w:eastAsia="仿宋"/>
                <w:kern w:val="0"/>
                <w:szCs w:val="21"/>
                <w:lang w:eastAsia="en-US"/>
              </w:rPr>
            </w:pPr>
            <w:r>
              <w:rPr>
                <w:rFonts w:ascii="Calibri" w:hAnsi="Calibri" w:eastAsia="仿宋"/>
                <w:kern w:val="0"/>
                <w:szCs w:val="21"/>
                <w:lang w:eastAsia="en-US"/>
              </w:rPr>
              <w:t>人员经验</w:t>
            </w:r>
          </w:p>
        </w:tc>
        <w:tc>
          <w:tcPr>
            <w:tcW w:w="763" w:type="dxa"/>
            <w:vAlign w:val="center"/>
          </w:tcPr>
          <w:p w14:paraId="6A5AA564">
            <w:pPr>
              <w:tabs>
                <w:tab w:val="left" w:pos="840"/>
              </w:tabs>
              <w:autoSpaceDE w:val="0"/>
              <w:autoSpaceDN w:val="0"/>
              <w:adjustRightInd w:val="0"/>
              <w:snapToGrid w:val="0"/>
              <w:ind w:right="92"/>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6分</w:t>
            </w:r>
          </w:p>
        </w:tc>
        <w:tc>
          <w:tcPr>
            <w:tcW w:w="6987" w:type="dxa"/>
            <w:vAlign w:val="center"/>
          </w:tcPr>
          <w:p w14:paraId="3287E584">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1.项目小组成员中每配备一名具有三年及以上相关工作经验的人员得2分，本条满分4分；</w:t>
            </w:r>
          </w:p>
          <w:p w14:paraId="227CB9EB">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2.项目小组成员中每配备一名具有一年及以上相关工作经验的人员得1分，本条满分2分；</w:t>
            </w:r>
          </w:p>
          <w:p w14:paraId="25F5325B">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本项满分6分，需提供人员身份证、劳动合同或社保证明及本人工作经验的相关证明材料或承诺函。</w:t>
            </w:r>
          </w:p>
        </w:tc>
      </w:tr>
      <w:tr w14:paraId="358A4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647" w:type="dxa"/>
            <w:vAlign w:val="center"/>
          </w:tcPr>
          <w:p w14:paraId="01A4EE40">
            <w:pPr>
              <w:autoSpaceDE w:val="0"/>
              <w:autoSpaceDN w:val="0"/>
              <w:adjustRightInd w:val="0"/>
              <w:snapToGrid w:val="0"/>
              <w:spacing w:before="1"/>
              <w:ind w:left="9"/>
              <w:jc w:val="center"/>
              <w:rPr>
                <w:rFonts w:ascii="Calibri" w:hAnsi="Calibri" w:eastAsia="仿宋"/>
                <w:szCs w:val="21"/>
                <w:lang w:eastAsia="en-US"/>
              </w:rPr>
            </w:pPr>
            <w:r>
              <w:rPr>
                <w:rFonts w:ascii="Calibri" w:hAnsi="Calibri" w:eastAsia="仿宋"/>
                <w:szCs w:val="21"/>
                <w:lang w:eastAsia="en-US"/>
              </w:rPr>
              <w:t>3</w:t>
            </w:r>
          </w:p>
        </w:tc>
        <w:tc>
          <w:tcPr>
            <w:tcW w:w="1270" w:type="dxa"/>
            <w:vAlign w:val="center"/>
          </w:tcPr>
          <w:p w14:paraId="2F54C4EC">
            <w:pPr>
              <w:tabs>
                <w:tab w:val="left" w:pos="1480"/>
              </w:tabs>
              <w:autoSpaceDE w:val="0"/>
              <w:autoSpaceDN w:val="0"/>
              <w:adjustRightInd w:val="0"/>
              <w:snapToGrid w:val="0"/>
              <w:ind w:right="-8"/>
              <w:jc w:val="center"/>
              <w:rPr>
                <w:rFonts w:ascii="Calibri" w:hAnsi="Calibri" w:eastAsia="仿宋"/>
                <w:kern w:val="0"/>
                <w:szCs w:val="21"/>
                <w:lang w:eastAsia="en-US"/>
              </w:rPr>
            </w:pPr>
            <w:r>
              <w:rPr>
                <w:rFonts w:ascii="Calibri" w:hAnsi="Calibri" w:eastAsia="仿宋"/>
                <w:kern w:val="0"/>
                <w:szCs w:val="21"/>
                <w:lang w:eastAsia="en-US"/>
              </w:rPr>
              <w:t>实施方案</w:t>
            </w:r>
          </w:p>
        </w:tc>
        <w:tc>
          <w:tcPr>
            <w:tcW w:w="763" w:type="dxa"/>
            <w:vAlign w:val="center"/>
          </w:tcPr>
          <w:p w14:paraId="62136A00">
            <w:pPr>
              <w:tabs>
                <w:tab w:val="left" w:pos="1480"/>
              </w:tabs>
              <w:autoSpaceDE w:val="0"/>
              <w:autoSpaceDN w:val="0"/>
              <w:adjustRightInd w:val="0"/>
              <w:snapToGrid w:val="0"/>
              <w:ind w:right="-8"/>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12分</w:t>
            </w:r>
          </w:p>
        </w:tc>
        <w:tc>
          <w:tcPr>
            <w:tcW w:w="6987" w:type="dxa"/>
            <w:vAlign w:val="center"/>
          </w:tcPr>
          <w:p w14:paraId="1DD6664B">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ascii="Calibri" w:hAnsi="Calibri" w:eastAsia="仿宋"/>
                <w:kern w:val="0"/>
                <w:szCs w:val="21"/>
                <w:lang w:eastAsia="en-US"/>
              </w:rPr>
              <w:t>根</w:t>
            </w:r>
            <w:r>
              <w:rPr>
                <w:rFonts w:hint="eastAsia" w:ascii="仿宋" w:hAnsi="仿宋" w:eastAsia="仿宋" w:cs="仿宋"/>
                <w:kern w:val="0"/>
                <w:szCs w:val="21"/>
                <w:lang w:eastAsia="en-US"/>
              </w:rPr>
              <w:t>据供应商提供的配送及安装实施方案进行综合评审，内容包括但不限于：</w:t>
            </w:r>
          </w:p>
          <w:p w14:paraId="451F16C6">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1.供货方案；（包括供货时效保障、备货及库存保障、运输安全管控等）</w:t>
            </w:r>
          </w:p>
          <w:p w14:paraId="54B9875D">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2.质量保证方案；（包括质量目标承诺、全流程检验管控、检测能力保障等）</w:t>
            </w:r>
          </w:p>
          <w:p w14:paraId="6C8AE807">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3.进度保证方案；（包括总进度及阶段分解、资源配置保障、进度管控措施、延误应急处置等）</w:t>
            </w:r>
          </w:p>
          <w:p w14:paraId="27F44E4E">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4.安装调试方案；（包括安装调试流程及标准、安装人员保障、安装安全管控、调试验收保障等）</w:t>
            </w:r>
          </w:p>
          <w:p w14:paraId="626CC041">
            <w:pPr>
              <w:autoSpaceDE w:val="0"/>
              <w:autoSpaceDN w:val="0"/>
              <w:adjustRightInd w:val="0"/>
              <w:snapToGrid w:val="0"/>
              <w:ind w:firstLine="420" w:firstLineChars="200"/>
              <w:rPr>
                <w:rFonts w:hint="eastAsia" w:ascii="仿宋" w:hAnsi="仿宋" w:eastAsia="仿宋" w:cs="仿宋"/>
                <w:kern w:val="0"/>
                <w:szCs w:val="21"/>
                <w:lang w:eastAsia="zh-Hans"/>
              </w:rPr>
            </w:pPr>
            <w:r>
              <w:rPr>
                <w:rFonts w:hint="eastAsia" w:ascii="仿宋" w:hAnsi="仿宋" w:eastAsia="仿宋" w:cs="仿宋"/>
                <w:kern w:val="0"/>
                <w:szCs w:val="21"/>
                <w:lang w:eastAsia="en-US"/>
              </w:rPr>
              <w:t>以上全部内容满足需求的得12分，每缺少一项的扣3分，每有一处不足或缺陷或不能符合项目实际情况的扣1分，扣完为止。</w:t>
            </w:r>
          </w:p>
          <w:p w14:paraId="0118671E">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203893C9">
            <w:pPr>
              <w:autoSpaceDE w:val="0"/>
              <w:autoSpaceDN w:val="0"/>
              <w:adjustRightInd w:val="0"/>
              <w:snapToGrid w:val="0"/>
              <w:ind w:firstLine="420" w:firstLineChars="200"/>
              <w:rPr>
                <w:rFonts w:ascii="Calibri" w:hAnsi="Calibri" w:eastAsia="仿宋"/>
                <w:kern w:val="0"/>
                <w:szCs w:val="21"/>
                <w:lang w:eastAsia="en-US"/>
              </w:rPr>
            </w:pPr>
            <w:r>
              <w:rPr>
                <w:rFonts w:hint="eastAsia" w:ascii="仿宋" w:hAnsi="仿宋" w:eastAsia="仿宋" w:cs="仿宋"/>
                <w:kern w:val="0"/>
                <w:szCs w:val="21"/>
                <w:lang w:eastAsia="en-US"/>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2269D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647" w:type="dxa"/>
            <w:vAlign w:val="center"/>
          </w:tcPr>
          <w:p w14:paraId="15E316C0">
            <w:pPr>
              <w:autoSpaceDE w:val="0"/>
              <w:autoSpaceDN w:val="0"/>
              <w:adjustRightInd w:val="0"/>
              <w:snapToGrid w:val="0"/>
              <w:spacing w:before="1"/>
              <w:ind w:left="9"/>
              <w:jc w:val="center"/>
              <w:rPr>
                <w:rFonts w:ascii="Calibri" w:hAnsi="Calibri" w:eastAsia="仿宋"/>
                <w:szCs w:val="21"/>
                <w:lang w:eastAsia="en-US"/>
              </w:rPr>
            </w:pPr>
            <w:r>
              <w:rPr>
                <w:rFonts w:ascii="Calibri" w:hAnsi="Calibri" w:eastAsia="仿宋"/>
                <w:szCs w:val="21"/>
                <w:lang w:eastAsia="en-US"/>
              </w:rPr>
              <w:t>4</w:t>
            </w:r>
          </w:p>
        </w:tc>
        <w:tc>
          <w:tcPr>
            <w:tcW w:w="1270" w:type="dxa"/>
            <w:vAlign w:val="center"/>
          </w:tcPr>
          <w:p w14:paraId="43EC70B5">
            <w:pPr>
              <w:tabs>
                <w:tab w:val="left" w:pos="1480"/>
              </w:tabs>
              <w:autoSpaceDE w:val="0"/>
              <w:autoSpaceDN w:val="0"/>
              <w:adjustRightInd w:val="0"/>
              <w:snapToGrid w:val="0"/>
              <w:ind w:right="-8"/>
              <w:jc w:val="center"/>
              <w:rPr>
                <w:rFonts w:ascii="Calibri" w:hAnsi="Calibri" w:eastAsia="仿宋"/>
                <w:kern w:val="0"/>
                <w:szCs w:val="21"/>
                <w:lang w:eastAsia="en-US"/>
              </w:rPr>
            </w:pPr>
            <w:r>
              <w:rPr>
                <w:rFonts w:ascii="Calibri" w:hAnsi="Calibri" w:eastAsia="仿宋"/>
                <w:kern w:val="0"/>
                <w:szCs w:val="21"/>
                <w:lang w:eastAsia="en-US"/>
              </w:rPr>
              <w:t>供货及安装进度保障</w:t>
            </w:r>
          </w:p>
        </w:tc>
        <w:tc>
          <w:tcPr>
            <w:tcW w:w="763" w:type="dxa"/>
            <w:vAlign w:val="center"/>
          </w:tcPr>
          <w:p w14:paraId="60ACA8FE">
            <w:pPr>
              <w:tabs>
                <w:tab w:val="left" w:pos="1480"/>
              </w:tabs>
              <w:autoSpaceDE w:val="0"/>
              <w:autoSpaceDN w:val="0"/>
              <w:adjustRightInd w:val="0"/>
              <w:snapToGrid w:val="0"/>
              <w:ind w:right="-8"/>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12分</w:t>
            </w:r>
          </w:p>
        </w:tc>
        <w:tc>
          <w:tcPr>
            <w:tcW w:w="6987" w:type="dxa"/>
            <w:vAlign w:val="center"/>
          </w:tcPr>
          <w:p w14:paraId="56011C79">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针对项目供货及安装进度控制和保证措施方案进行评审，内容包括但不限于：</w:t>
            </w:r>
          </w:p>
          <w:p w14:paraId="44CF9E18">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1.提供完整的供货及安装进度计划；</w:t>
            </w:r>
          </w:p>
          <w:p w14:paraId="6BF0C9F2">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2.进度控制和周期保证措施；</w:t>
            </w:r>
          </w:p>
          <w:p w14:paraId="0F8030D8">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3.明确可行的节点目标；</w:t>
            </w:r>
          </w:p>
          <w:p w14:paraId="43DE7F8C">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4.逾期交付的处罚措施；</w:t>
            </w:r>
          </w:p>
          <w:p w14:paraId="49CFF6B9">
            <w:pPr>
              <w:autoSpaceDE w:val="0"/>
              <w:autoSpaceDN w:val="0"/>
              <w:adjustRightInd w:val="0"/>
              <w:snapToGrid w:val="0"/>
              <w:ind w:firstLine="420" w:firstLineChars="200"/>
              <w:rPr>
                <w:rFonts w:hint="eastAsia" w:ascii="仿宋" w:hAnsi="仿宋" w:eastAsia="仿宋" w:cs="仿宋"/>
                <w:kern w:val="0"/>
                <w:szCs w:val="21"/>
                <w:lang w:eastAsia="zh-Hans"/>
              </w:rPr>
            </w:pPr>
            <w:r>
              <w:rPr>
                <w:rFonts w:hint="eastAsia" w:ascii="仿宋" w:hAnsi="仿宋" w:eastAsia="仿宋" w:cs="仿宋"/>
                <w:kern w:val="0"/>
                <w:szCs w:val="21"/>
                <w:lang w:eastAsia="en-US"/>
              </w:rPr>
              <w:t>以上全部内容满足需求的得12分，每缺少一项的扣3分，每有一处不足或缺陷或不能符合项目实际情况的扣1分，扣完为止。</w:t>
            </w:r>
          </w:p>
          <w:p w14:paraId="4A390161">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07F6CED8">
            <w:pPr>
              <w:autoSpaceDE w:val="0"/>
              <w:autoSpaceDN w:val="0"/>
              <w:adjustRightInd w:val="0"/>
              <w:snapToGrid w:val="0"/>
              <w:ind w:firstLine="420" w:firstLineChars="200"/>
              <w:rPr>
                <w:rFonts w:ascii="Calibri" w:hAnsi="Calibri" w:eastAsia="仿宋"/>
                <w:kern w:val="0"/>
                <w:szCs w:val="21"/>
                <w:lang w:eastAsia="en-US"/>
              </w:rPr>
            </w:pPr>
            <w:r>
              <w:rPr>
                <w:rFonts w:hint="eastAsia" w:ascii="仿宋" w:hAnsi="仿宋" w:eastAsia="仿宋" w:cs="仿宋"/>
                <w:kern w:val="0"/>
                <w:szCs w:val="21"/>
                <w:lang w:eastAsia="en-US"/>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6B97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647" w:type="dxa"/>
            <w:vAlign w:val="center"/>
          </w:tcPr>
          <w:p w14:paraId="517B9D09">
            <w:pPr>
              <w:autoSpaceDE w:val="0"/>
              <w:autoSpaceDN w:val="0"/>
              <w:adjustRightInd w:val="0"/>
              <w:snapToGrid w:val="0"/>
              <w:ind w:left="9"/>
              <w:jc w:val="center"/>
              <w:rPr>
                <w:rFonts w:ascii="Calibri" w:hAnsi="Calibri" w:eastAsia="仿宋"/>
                <w:kern w:val="0"/>
                <w:szCs w:val="21"/>
                <w:lang w:eastAsia="en-US"/>
              </w:rPr>
            </w:pPr>
            <w:r>
              <w:rPr>
                <w:rFonts w:ascii="Calibri" w:hAnsi="Calibri" w:eastAsia="仿宋"/>
                <w:kern w:val="0"/>
                <w:szCs w:val="21"/>
                <w:lang w:eastAsia="en-US"/>
              </w:rPr>
              <w:t>5</w:t>
            </w:r>
          </w:p>
        </w:tc>
        <w:tc>
          <w:tcPr>
            <w:tcW w:w="1270" w:type="dxa"/>
            <w:vAlign w:val="center"/>
          </w:tcPr>
          <w:p w14:paraId="0E4453F0">
            <w:pPr>
              <w:tabs>
                <w:tab w:val="left" w:pos="1480"/>
              </w:tabs>
              <w:autoSpaceDE w:val="0"/>
              <w:autoSpaceDN w:val="0"/>
              <w:adjustRightInd w:val="0"/>
              <w:snapToGrid w:val="0"/>
              <w:ind w:right="-8"/>
              <w:jc w:val="center"/>
              <w:rPr>
                <w:rFonts w:ascii="Calibri" w:hAnsi="Calibri" w:eastAsia="仿宋"/>
                <w:kern w:val="0"/>
                <w:szCs w:val="21"/>
                <w:lang w:eastAsia="en-US"/>
              </w:rPr>
            </w:pPr>
            <w:r>
              <w:rPr>
                <w:rFonts w:ascii="Calibri" w:hAnsi="Calibri" w:eastAsia="仿宋"/>
                <w:kern w:val="0"/>
                <w:szCs w:val="21"/>
                <w:lang w:eastAsia="en-US"/>
              </w:rPr>
              <w:t>质量控制</w:t>
            </w:r>
          </w:p>
        </w:tc>
        <w:tc>
          <w:tcPr>
            <w:tcW w:w="763" w:type="dxa"/>
            <w:vAlign w:val="center"/>
          </w:tcPr>
          <w:p w14:paraId="6E54E6B7">
            <w:pPr>
              <w:tabs>
                <w:tab w:val="left" w:pos="1480"/>
              </w:tabs>
              <w:autoSpaceDE w:val="0"/>
              <w:autoSpaceDN w:val="0"/>
              <w:adjustRightInd w:val="0"/>
              <w:snapToGrid w:val="0"/>
              <w:ind w:right="-8"/>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12分</w:t>
            </w:r>
          </w:p>
        </w:tc>
        <w:tc>
          <w:tcPr>
            <w:tcW w:w="6987" w:type="dxa"/>
            <w:tcBorders>
              <w:top w:val="single" w:color="auto" w:sz="4" w:space="0"/>
            </w:tcBorders>
            <w:vAlign w:val="center"/>
          </w:tcPr>
          <w:p w14:paraId="6176E93B">
            <w:pPr>
              <w:tabs>
                <w:tab w:val="left" w:pos="1480"/>
              </w:tabs>
              <w:autoSpaceDE w:val="0"/>
              <w:autoSpaceDN w:val="0"/>
              <w:adjustRightInd w:val="0"/>
              <w:snapToGrid w:val="0"/>
              <w:ind w:right="-8" w:firstLine="420" w:firstLineChars="200"/>
              <w:jc w:val="left"/>
              <w:rPr>
                <w:rFonts w:hint="eastAsia" w:ascii="仿宋" w:hAnsi="仿宋" w:eastAsia="仿宋" w:cs="仿宋"/>
                <w:kern w:val="0"/>
                <w:szCs w:val="21"/>
                <w:lang w:eastAsia="en-US"/>
              </w:rPr>
            </w:pPr>
            <w:r>
              <w:rPr>
                <w:rFonts w:hint="eastAsia" w:ascii="仿宋" w:hAnsi="仿宋" w:eastAsia="仿宋" w:cs="仿宋"/>
                <w:kern w:val="0"/>
                <w:szCs w:val="21"/>
                <w:lang w:eastAsia="en-US"/>
              </w:rPr>
              <w:t>根据本项目的特点和要求，制定质量控制，内容包括但不限于：</w:t>
            </w:r>
          </w:p>
          <w:p w14:paraId="6057E8B3">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1.保证质量的施工要素控制措施方案；</w:t>
            </w:r>
          </w:p>
          <w:p w14:paraId="27870CC5">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2.质量控制的管理制度；</w:t>
            </w:r>
          </w:p>
          <w:p w14:paraId="0301B112">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3.质量管理的组织措施；</w:t>
            </w:r>
          </w:p>
          <w:p w14:paraId="72F2A84C">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4.对主要工序、施工工艺、材料验收等的质量控制方案。</w:t>
            </w:r>
          </w:p>
          <w:p w14:paraId="622F649F">
            <w:pPr>
              <w:autoSpaceDE w:val="0"/>
              <w:autoSpaceDN w:val="0"/>
              <w:adjustRightInd w:val="0"/>
              <w:snapToGrid w:val="0"/>
              <w:ind w:firstLine="420" w:firstLineChars="200"/>
              <w:rPr>
                <w:rFonts w:hint="eastAsia" w:ascii="仿宋" w:hAnsi="仿宋" w:eastAsia="仿宋" w:cs="仿宋"/>
                <w:kern w:val="0"/>
                <w:szCs w:val="21"/>
                <w:lang w:eastAsia="zh-Hans"/>
              </w:rPr>
            </w:pPr>
            <w:r>
              <w:rPr>
                <w:rFonts w:hint="eastAsia" w:ascii="仿宋" w:hAnsi="仿宋" w:eastAsia="仿宋" w:cs="仿宋"/>
                <w:kern w:val="0"/>
                <w:szCs w:val="21"/>
                <w:lang w:eastAsia="en-US"/>
              </w:rPr>
              <w:t>以上全部内容满足需求的得12分，每缺少一项的扣3分，每有一处不足或缺陷或不能符合项目实际情况的扣1分，扣完为止。</w:t>
            </w:r>
          </w:p>
          <w:p w14:paraId="4F33FFA7">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18E385FB">
            <w:pPr>
              <w:autoSpaceDE w:val="0"/>
              <w:autoSpaceDN w:val="0"/>
              <w:adjustRightInd w:val="0"/>
              <w:snapToGrid w:val="0"/>
              <w:ind w:firstLine="420" w:firstLineChars="200"/>
              <w:rPr>
                <w:rFonts w:ascii="Calibri" w:hAnsi="Calibri" w:eastAsia="仿宋"/>
                <w:kern w:val="0"/>
                <w:szCs w:val="21"/>
                <w:lang w:eastAsia="en-US"/>
              </w:rPr>
            </w:pPr>
            <w:r>
              <w:rPr>
                <w:rFonts w:hint="eastAsia" w:ascii="仿宋" w:hAnsi="仿宋" w:eastAsia="仿宋" w:cs="仿宋"/>
                <w:kern w:val="0"/>
                <w:szCs w:val="21"/>
                <w:lang w:eastAsia="en-US"/>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08D6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7" w:type="dxa"/>
            <w:vAlign w:val="center"/>
          </w:tcPr>
          <w:p w14:paraId="379F6E56">
            <w:pPr>
              <w:autoSpaceDE w:val="0"/>
              <w:autoSpaceDN w:val="0"/>
              <w:adjustRightInd w:val="0"/>
              <w:snapToGrid w:val="0"/>
              <w:ind w:left="9"/>
              <w:jc w:val="center"/>
              <w:rPr>
                <w:rFonts w:ascii="Calibri" w:hAnsi="Calibri" w:eastAsia="仿宋"/>
                <w:kern w:val="0"/>
                <w:szCs w:val="21"/>
                <w:lang w:eastAsia="en-US"/>
              </w:rPr>
            </w:pPr>
            <w:r>
              <w:rPr>
                <w:rFonts w:ascii="Calibri" w:hAnsi="Calibri" w:eastAsia="仿宋"/>
                <w:kern w:val="0"/>
                <w:szCs w:val="21"/>
                <w:lang w:eastAsia="en-US"/>
              </w:rPr>
              <w:t>6</w:t>
            </w:r>
          </w:p>
        </w:tc>
        <w:tc>
          <w:tcPr>
            <w:tcW w:w="1270" w:type="dxa"/>
            <w:vAlign w:val="center"/>
          </w:tcPr>
          <w:p w14:paraId="7A58B3FA">
            <w:pPr>
              <w:autoSpaceDE w:val="0"/>
              <w:autoSpaceDN w:val="0"/>
              <w:adjustRightInd w:val="0"/>
              <w:snapToGrid w:val="0"/>
              <w:jc w:val="center"/>
              <w:rPr>
                <w:rFonts w:ascii="Calibri" w:hAnsi="Calibri" w:eastAsia="仿宋"/>
                <w:szCs w:val="21"/>
                <w:lang w:eastAsia="en-US"/>
              </w:rPr>
            </w:pPr>
            <w:r>
              <w:rPr>
                <w:rFonts w:ascii="Calibri" w:hAnsi="Calibri" w:eastAsia="仿宋"/>
                <w:szCs w:val="21"/>
                <w:lang w:eastAsia="en-US"/>
              </w:rPr>
              <w:t>项目小组成员配备情况</w:t>
            </w:r>
          </w:p>
        </w:tc>
        <w:tc>
          <w:tcPr>
            <w:tcW w:w="763" w:type="dxa"/>
            <w:vAlign w:val="center"/>
          </w:tcPr>
          <w:p w14:paraId="37FD7CC0">
            <w:pPr>
              <w:autoSpaceDE w:val="0"/>
              <w:autoSpaceDN w:val="0"/>
              <w:adjustRightInd w:val="0"/>
              <w:snapToGrid w:val="0"/>
              <w:jc w:val="center"/>
              <w:rPr>
                <w:rFonts w:hint="eastAsia" w:ascii="仿宋" w:hAnsi="仿宋" w:eastAsia="仿宋" w:cs="仿宋"/>
                <w:szCs w:val="21"/>
                <w:lang w:eastAsia="en-US"/>
              </w:rPr>
            </w:pPr>
            <w:r>
              <w:rPr>
                <w:rFonts w:hint="eastAsia" w:ascii="仿宋" w:hAnsi="仿宋" w:eastAsia="仿宋" w:cs="仿宋"/>
                <w:szCs w:val="21"/>
                <w:lang w:eastAsia="en-US"/>
              </w:rPr>
              <w:t>9分</w:t>
            </w:r>
          </w:p>
        </w:tc>
        <w:tc>
          <w:tcPr>
            <w:tcW w:w="6987" w:type="dxa"/>
            <w:vAlign w:val="center"/>
          </w:tcPr>
          <w:p w14:paraId="12A7A034">
            <w:pPr>
              <w:autoSpaceDE w:val="0"/>
              <w:autoSpaceDN w:val="0"/>
              <w:adjustRightInd w:val="0"/>
              <w:snapToGrid w:val="0"/>
              <w:ind w:firstLine="420" w:firstLineChars="200"/>
              <w:rPr>
                <w:rFonts w:ascii="Calibri" w:hAnsi="Calibri" w:eastAsia="仿宋"/>
                <w:kern w:val="0"/>
                <w:szCs w:val="21"/>
                <w:lang w:eastAsia="en-US"/>
              </w:rPr>
            </w:pPr>
            <w:r>
              <w:rPr>
                <w:rFonts w:ascii="Calibri" w:hAnsi="Calibri" w:eastAsia="仿宋"/>
                <w:kern w:val="0"/>
                <w:szCs w:val="21"/>
                <w:lang w:eastAsia="en-US"/>
              </w:rPr>
              <w:t>供应商提供项目小组成员配备情况包括但不限于：</w:t>
            </w:r>
          </w:p>
          <w:p w14:paraId="43B9A52F">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 xml:space="preserve">1.项目小组成员组织架构； </w:t>
            </w:r>
          </w:p>
          <w:p w14:paraId="4402E20D">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2.拟投入本项目各岗位人员安排；</w:t>
            </w:r>
          </w:p>
          <w:p w14:paraId="3DA6EEBB">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 xml:space="preserve">3.岗位人员上岗培训及安全教育。 </w:t>
            </w:r>
          </w:p>
          <w:p w14:paraId="482145E3">
            <w:pPr>
              <w:autoSpaceDE w:val="0"/>
              <w:autoSpaceDN w:val="0"/>
              <w:adjustRightInd w:val="0"/>
              <w:snapToGrid w:val="0"/>
              <w:ind w:firstLine="420" w:firstLineChars="200"/>
              <w:rPr>
                <w:rFonts w:hint="eastAsia" w:ascii="仿宋" w:hAnsi="仿宋" w:eastAsia="仿宋" w:cs="仿宋"/>
                <w:kern w:val="0"/>
                <w:szCs w:val="21"/>
                <w:lang w:eastAsia="zh-Hans"/>
              </w:rPr>
            </w:pPr>
            <w:r>
              <w:rPr>
                <w:rFonts w:hint="eastAsia" w:ascii="仿宋" w:hAnsi="仿宋" w:eastAsia="仿宋" w:cs="仿宋"/>
                <w:kern w:val="0"/>
                <w:szCs w:val="21"/>
                <w:lang w:eastAsia="en-US"/>
              </w:rPr>
              <w:t>以上全部内容满足需求的得9分，每缺少一项的扣3分，每有一处不足或缺陷或不能符合项目实际情况的扣1分，扣完为止。</w:t>
            </w:r>
          </w:p>
          <w:p w14:paraId="3F82FA05">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1EBE6284">
            <w:pPr>
              <w:autoSpaceDE w:val="0"/>
              <w:autoSpaceDN w:val="0"/>
              <w:adjustRightInd w:val="0"/>
              <w:snapToGrid w:val="0"/>
              <w:ind w:firstLine="420" w:firstLineChars="200"/>
              <w:rPr>
                <w:rFonts w:ascii="Calibri" w:hAnsi="Calibri" w:eastAsia="仿宋"/>
                <w:kern w:val="0"/>
                <w:szCs w:val="21"/>
                <w:lang w:eastAsia="en-US"/>
              </w:rPr>
            </w:pPr>
            <w:r>
              <w:rPr>
                <w:rFonts w:hint="eastAsia" w:ascii="仿宋" w:hAnsi="仿宋" w:eastAsia="仿宋" w:cs="仿宋"/>
                <w:kern w:val="0"/>
                <w:szCs w:val="21"/>
                <w:lang w:eastAsia="en-US"/>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67A9B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647" w:type="dxa"/>
            <w:vAlign w:val="center"/>
          </w:tcPr>
          <w:p w14:paraId="1B9BA51F">
            <w:pPr>
              <w:autoSpaceDE w:val="0"/>
              <w:autoSpaceDN w:val="0"/>
              <w:adjustRightInd w:val="0"/>
              <w:snapToGrid w:val="0"/>
              <w:spacing w:before="165"/>
              <w:ind w:left="9"/>
              <w:jc w:val="center"/>
              <w:rPr>
                <w:rFonts w:ascii="Calibri" w:hAnsi="Calibri" w:eastAsia="仿宋"/>
                <w:kern w:val="0"/>
                <w:szCs w:val="21"/>
                <w:lang w:eastAsia="en-US"/>
              </w:rPr>
            </w:pPr>
            <w:r>
              <w:rPr>
                <w:rFonts w:ascii="Calibri" w:hAnsi="Calibri" w:eastAsia="仿宋"/>
                <w:kern w:val="0"/>
                <w:szCs w:val="21"/>
                <w:lang w:eastAsia="en-US"/>
              </w:rPr>
              <w:t>7</w:t>
            </w:r>
          </w:p>
        </w:tc>
        <w:tc>
          <w:tcPr>
            <w:tcW w:w="1270" w:type="dxa"/>
            <w:vAlign w:val="center"/>
          </w:tcPr>
          <w:p w14:paraId="3D1A5D25">
            <w:pPr>
              <w:autoSpaceDE w:val="0"/>
              <w:autoSpaceDN w:val="0"/>
              <w:adjustRightInd w:val="0"/>
              <w:snapToGrid w:val="0"/>
              <w:jc w:val="center"/>
              <w:rPr>
                <w:rFonts w:ascii="Calibri" w:hAnsi="Calibri" w:eastAsia="仿宋"/>
                <w:szCs w:val="21"/>
                <w:lang w:eastAsia="en-US"/>
              </w:rPr>
            </w:pPr>
            <w:r>
              <w:rPr>
                <w:rFonts w:ascii="Calibri" w:hAnsi="Calibri" w:eastAsia="仿宋"/>
                <w:szCs w:val="21"/>
                <w:lang w:eastAsia="en-US"/>
              </w:rPr>
              <w:t>售后服务方案</w:t>
            </w:r>
          </w:p>
        </w:tc>
        <w:tc>
          <w:tcPr>
            <w:tcW w:w="763" w:type="dxa"/>
            <w:vAlign w:val="center"/>
          </w:tcPr>
          <w:p w14:paraId="377427D6">
            <w:pPr>
              <w:autoSpaceDE w:val="0"/>
              <w:autoSpaceDN w:val="0"/>
              <w:adjustRightInd w:val="0"/>
              <w:snapToGrid w:val="0"/>
              <w:jc w:val="center"/>
              <w:rPr>
                <w:rFonts w:hint="eastAsia" w:ascii="仿宋" w:hAnsi="仿宋" w:eastAsia="仿宋" w:cs="仿宋"/>
                <w:szCs w:val="21"/>
                <w:lang w:eastAsia="en-US"/>
              </w:rPr>
            </w:pPr>
            <w:r>
              <w:rPr>
                <w:rFonts w:hint="eastAsia" w:ascii="仿宋" w:hAnsi="仿宋" w:eastAsia="仿宋" w:cs="仿宋"/>
                <w:szCs w:val="21"/>
                <w:lang w:eastAsia="en-US"/>
              </w:rPr>
              <w:t>10分</w:t>
            </w:r>
          </w:p>
        </w:tc>
        <w:tc>
          <w:tcPr>
            <w:tcW w:w="6987" w:type="dxa"/>
            <w:vAlign w:val="center"/>
          </w:tcPr>
          <w:p w14:paraId="7E291CF2">
            <w:pPr>
              <w:autoSpaceDE w:val="0"/>
              <w:autoSpaceDN w:val="0"/>
              <w:adjustRightInd w:val="0"/>
              <w:snapToGrid w:val="0"/>
              <w:ind w:firstLine="420" w:firstLineChars="200"/>
              <w:rPr>
                <w:rFonts w:ascii="Calibri" w:hAnsi="Calibri" w:eastAsia="仿宋"/>
                <w:kern w:val="0"/>
                <w:szCs w:val="21"/>
                <w:lang w:eastAsia="en-US"/>
              </w:rPr>
            </w:pPr>
            <w:r>
              <w:rPr>
                <w:rFonts w:ascii="Calibri" w:hAnsi="Calibri" w:eastAsia="仿宋"/>
                <w:kern w:val="0"/>
                <w:szCs w:val="21"/>
                <w:lang w:eastAsia="en-US"/>
              </w:rPr>
              <w:t>根据供应商提供的售后服务方案进行评分：项目售后服务方案包括但不限于：</w:t>
            </w:r>
          </w:p>
          <w:p w14:paraId="0A4878D0">
            <w:pPr>
              <w:autoSpaceDE w:val="0"/>
              <w:autoSpaceDN w:val="0"/>
              <w:adjustRightInd w:val="0"/>
              <w:snapToGrid w:val="0"/>
              <w:ind w:firstLine="420" w:firstLineChars="200"/>
              <w:rPr>
                <w:rFonts w:ascii="Calibri" w:hAnsi="Calibri" w:eastAsia="仿宋"/>
                <w:kern w:val="0"/>
                <w:szCs w:val="21"/>
                <w:lang w:eastAsia="en-US"/>
              </w:rPr>
            </w:pPr>
            <w:r>
              <w:rPr>
                <w:rFonts w:ascii="Calibri" w:hAnsi="Calibri" w:eastAsia="仿宋"/>
                <w:kern w:val="0"/>
                <w:szCs w:val="21"/>
                <w:lang w:eastAsia="en-US"/>
              </w:rPr>
              <w:t>1.售后服务方案；</w:t>
            </w:r>
          </w:p>
          <w:p w14:paraId="194F71A5">
            <w:pPr>
              <w:autoSpaceDE w:val="0"/>
              <w:autoSpaceDN w:val="0"/>
              <w:adjustRightInd w:val="0"/>
              <w:snapToGrid w:val="0"/>
              <w:ind w:firstLine="420" w:firstLineChars="200"/>
              <w:rPr>
                <w:rFonts w:ascii="Calibri" w:hAnsi="Calibri" w:eastAsia="仿宋"/>
                <w:kern w:val="0"/>
                <w:szCs w:val="21"/>
                <w:lang w:eastAsia="en-US"/>
              </w:rPr>
            </w:pPr>
            <w:r>
              <w:rPr>
                <w:rFonts w:ascii="Calibri" w:hAnsi="Calibri" w:eastAsia="仿宋"/>
                <w:kern w:val="0"/>
                <w:szCs w:val="21"/>
                <w:lang w:eastAsia="en-US"/>
              </w:rPr>
              <w:t>2.售后服务人员配备；</w:t>
            </w:r>
          </w:p>
          <w:p w14:paraId="17C7959E">
            <w:pPr>
              <w:autoSpaceDE w:val="0"/>
              <w:autoSpaceDN w:val="0"/>
              <w:adjustRightInd w:val="0"/>
              <w:snapToGrid w:val="0"/>
              <w:ind w:firstLine="420" w:firstLineChars="200"/>
              <w:rPr>
                <w:rFonts w:ascii="Calibri" w:hAnsi="Calibri" w:eastAsia="仿宋"/>
                <w:kern w:val="0"/>
                <w:szCs w:val="21"/>
                <w:lang w:eastAsia="en-US"/>
              </w:rPr>
            </w:pPr>
            <w:r>
              <w:rPr>
                <w:rFonts w:ascii="Calibri" w:hAnsi="Calibri" w:eastAsia="仿宋"/>
                <w:kern w:val="0"/>
                <w:szCs w:val="21"/>
                <w:lang w:eastAsia="en-US"/>
              </w:rPr>
              <w:t>3.故障响应措施；</w:t>
            </w:r>
          </w:p>
          <w:p w14:paraId="5EC39D99">
            <w:pPr>
              <w:autoSpaceDE w:val="0"/>
              <w:autoSpaceDN w:val="0"/>
              <w:adjustRightInd w:val="0"/>
              <w:snapToGrid w:val="0"/>
              <w:ind w:firstLine="420" w:firstLineChars="200"/>
              <w:rPr>
                <w:rFonts w:ascii="Calibri" w:hAnsi="Calibri" w:eastAsia="仿宋"/>
                <w:kern w:val="0"/>
                <w:szCs w:val="21"/>
                <w:lang w:eastAsia="en-US"/>
              </w:rPr>
            </w:pPr>
            <w:r>
              <w:rPr>
                <w:rFonts w:ascii="Calibri" w:hAnsi="Calibri" w:eastAsia="仿宋"/>
                <w:kern w:val="0"/>
                <w:szCs w:val="21"/>
                <w:lang w:eastAsia="en-US"/>
              </w:rPr>
              <w:t>4.服务期完成后的服务措施。</w:t>
            </w:r>
          </w:p>
          <w:p w14:paraId="1181D033">
            <w:pPr>
              <w:autoSpaceDE w:val="0"/>
              <w:autoSpaceDN w:val="0"/>
              <w:adjustRightInd w:val="0"/>
              <w:snapToGrid w:val="0"/>
              <w:ind w:firstLine="420" w:firstLineChars="200"/>
              <w:rPr>
                <w:rFonts w:hint="eastAsia" w:ascii="仿宋" w:hAnsi="仿宋" w:eastAsia="仿宋" w:cs="仿宋"/>
                <w:kern w:val="0"/>
                <w:szCs w:val="21"/>
                <w:lang w:eastAsia="zh-Hans"/>
              </w:rPr>
            </w:pPr>
            <w:r>
              <w:rPr>
                <w:rFonts w:hint="eastAsia" w:ascii="仿宋" w:hAnsi="仿宋" w:eastAsia="仿宋" w:cs="仿宋"/>
                <w:kern w:val="0"/>
                <w:szCs w:val="21"/>
                <w:lang w:eastAsia="en-US"/>
              </w:rPr>
              <w:t>以上全部内容满足需求的得10分，每缺少一项的扣2.5分，每有一处不足或缺陷或不能符合项目实际情况的扣1分，扣完为止。</w:t>
            </w:r>
          </w:p>
          <w:p w14:paraId="3C1CF14B">
            <w:pPr>
              <w:autoSpaceDE w:val="0"/>
              <w:autoSpaceDN w:val="0"/>
              <w:adjustRightInd w:val="0"/>
              <w:snapToGrid w:val="0"/>
              <w:ind w:firstLine="420" w:firstLineChars="200"/>
              <w:rPr>
                <w:rFonts w:hint="eastAsia" w:ascii="仿宋" w:hAnsi="仿宋" w:eastAsia="仿宋" w:cs="仿宋"/>
                <w:kern w:val="0"/>
                <w:szCs w:val="21"/>
                <w:lang w:eastAsia="en-US"/>
              </w:rPr>
            </w:pPr>
            <w:r>
              <w:rPr>
                <w:rFonts w:hint="eastAsia" w:ascii="仿宋" w:hAnsi="仿宋" w:eastAsia="仿宋" w:cs="仿宋"/>
                <w:kern w:val="0"/>
                <w:szCs w:val="21"/>
                <w:lang w:eastAsia="en-US"/>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D61B000">
            <w:pPr>
              <w:autoSpaceDE w:val="0"/>
              <w:autoSpaceDN w:val="0"/>
              <w:adjustRightInd w:val="0"/>
              <w:snapToGrid w:val="0"/>
              <w:ind w:firstLine="420" w:firstLineChars="200"/>
              <w:rPr>
                <w:rFonts w:ascii="Calibri" w:hAnsi="Calibri" w:eastAsia="仿宋"/>
                <w:kern w:val="0"/>
                <w:szCs w:val="21"/>
                <w:lang w:eastAsia="en-US"/>
              </w:rPr>
            </w:pPr>
            <w:r>
              <w:rPr>
                <w:rFonts w:hint="eastAsia" w:ascii="仿宋" w:hAnsi="仿宋" w:eastAsia="仿宋" w:cs="仿宋"/>
                <w:kern w:val="0"/>
                <w:szCs w:val="21"/>
                <w:lang w:eastAsia="en-US"/>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79BB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917" w:type="dxa"/>
            <w:gridSpan w:val="2"/>
            <w:vAlign w:val="center"/>
          </w:tcPr>
          <w:p w14:paraId="75C864C2">
            <w:pPr>
              <w:autoSpaceDE w:val="0"/>
              <w:autoSpaceDN w:val="0"/>
              <w:adjustRightInd w:val="0"/>
              <w:snapToGrid w:val="0"/>
              <w:spacing w:before="62"/>
              <w:ind w:right="908"/>
              <w:jc w:val="center"/>
              <w:rPr>
                <w:rFonts w:ascii="Calibri" w:hAnsi="Calibri" w:eastAsia="仿宋"/>
                <w:kern w:val="0"/>
                <w:szCs w:val="21"/>
                <w:lang w:eastAsia="en-US"/>
              </w:rPr>
            </w:pPr>
            <w:r>
              <w:rPr>
                <w:rFonts w:ascii="Calibri" w:hAnsi="Calibri" w:eastAsia="仿宋"/>
                <w:kern w:val="0"/>
                <w:szCs w:val="21"/>
                <w:lang w:eastAsia="en-US"/>
              </w:rPr>
              <w:t xml:space="preserve">     合计</w:t>
            </w:r>
          </w:p>
        </w:tc>
        <w:tc>
          <w:tcPr>
            <w:tcW w:w="763" w:type="dxa"/>
            <w:vAlign w:val="center"/>
          </w:tcPr>
          <w:p w14:paraId="23CE7046">
            <w:pPr>
              <w:tabs>
                <w:tab w:val="left" w:pos="630"/>
              </w:tabs>
              <w:autoSpaceDE w:val="0"/>
              <w:autoSpaceDN w:val="0"/>
              <w:adjustRightInd w:val="0"/>
              <w:snapToGrid w:val="0"/>
              <w:spacing w:before="62"/>
              <w:ind w:right="-87"/>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70分</w:t>
            </w:r>
          </w:p>
        </w:tc>
        <w:tc>
          <w:tcPr>
            <w:tcW w:w="6987" w:type="dxa"/>
            <w:vAlign w:val="center"/>
          </w:tcPr>
          <w:p w14:paraId="41B5E267">
            <w:pPr>
              <w:autoSpaceDE w:val="0"/>
              <w:autoSpaceDN w:val="0"/>
              <w:adjustRightInd w:val="0"/>
              <w:snapToGrid w:val="0"/>
              <w:jc w:val="center"/>
              <w:rPr>
                <w:rFonts w:ascii="Calibri" w:hAnsi="Calibri" w:eastAsia="仿宋"/>
                <w:kern w:val="0"/>
                <w:szCs w:val="21"/>
                <w:lang w:eastAsia="en-US"/>
              </w:rPr>
            </w:pPr>
          </w:p>
        </w:tc>
      </w:tr>
    </w:tbl>
    <w:p w14:paraId="2745B0D8">
      <w:pPr>
        <w:tabs>
          <w:tab w:val="left" w:pos="4900"/>
        </w:tabs>
        <w:snapToGrid w:val="0"/>
        <w:spacing w:line="360" w:lineRule="auto"/>
        <w:ind w:firstLine="482" w:firstLineChars="200"/>
        <w:jc w:val="center"/>
        <w:rPr>
          <w:rFonts w:eastAsia="仿宋"/>
          <w:b/>
          <w:sz w:val="24"/>
          <w:szCs w:val="24"/>
        </w:rPr>
      </w:pPr>
      <w:r>
        <w:rPr>
          <w:rFonts w:eastAsia="仿宋"/>
          <w:b/>
          <w:sz w:val="24"/>
          <w:szCs w:val="24"/>
        </w:rPr>
        <w:t>详细评审标准</w:t>
      </w:r>
    </w:p>
    <w:p w14:paraId="379E2443">
      <w:pPr>
        <w:snapToGrid w:val="0"/>
        <w:spacing w:line="360" w:lineRule="auto"/>
        <w:ind w:firstLine="482" w:firstLineChars="200"/>
        <w:rPr>
          <w:rFonts w:eastAsia="仿宋"/>
          <w:b/>
          <w:bCs/>
          <w:sz w:val="24"/>
          <w:szCs w:val="24"/>
        </w:rPr>
      </w:pPr>
      <w:r>
        <w:rPr>
          <w:rFonts w:eastAsia="仿宋"/>
          <w:b/>
          <w:bCs/>
          <w:sz w:val="24"/>
          <w:szCs w:val="24"/>
        </w:rPr>
        <w:t>1）客观评审因素磋商小组协商打分，主观评审因素磋商小组成员独立打分</w:t>
      </w:r>
    </w:p>
    <w:p w14:paraId="48E1F75B">
      <w:pPr>
        <w:snapToGrid w:val="0"/>
        <w:spacing w:line="360" w:lineRule="auto"/>
        <w:ind w:firstLine="482" w:firstLineChars="200"/>
        <w:rPr>
          <w:rFonts w:eastAsia="仿宋"/>
          <w:sz w:val="24"/>
          <w:szCs w:val="24"/>
        </w:rPr>
      </w:pPr>
      <w:r>
        <w:rPr>
          <w:rFonts w:eastAsia="仿宋"/>
          <w:b/>
          <w:bCs/>
          <w:sz w:val="24"/>
          <w:szCs w:val="24"/>
        </w:rPr>
        <w:t>2）若出现综合得分相同的，按最终报价由低到高顺序排列名次；得分且最终报价相同的，按技术指标得分顺序排列名次。</w:t>
      </w:r>
    </w:p>
    <w:p w14:paraId="1FDB2FCF">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低于成本价不正当竞争预防措施：</w:t>
      </w:r>
    </w:p>
    <w:p w14:paraId="36C5D232">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（一）评审中出现下列情形之一的，评审委员会应当启动异常低价投标（响应）审查程序：</w:t>
      </w:r>
    </w:p>
    <w:p w14:paraId="5E1D9244">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1.投标（响应）报价低于全部通过符合性审查供应商投标（响应）报价平均值50%的，即投标（响应）报价&lt;全部通过符合性审查供应商投标（响应）报价平均值×50%；</w:t>
      </w:r>
    </w:p>
    <w:p w14:paraId="2F812D32">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2.投标（响应）报价低于通过符合性审查的次低报价供应商投标（响应）报价50%的，即投标（响应）报价&lt;通过符合性审查的次低报价供应商投标（响应）报价×50%；</w:t>
      </w:r>
    </w:p>
    <w:p w14:paraId="09AF9FA0">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3.投标（响应）报价低于采购项目最高限价45%的，即投标（响应）报价&lt;采购项目最高限价×45%；</w:t>
      </w:r>
    </w:p>
    <w:p w14:paraId="318B630A">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4.评审委员会基于专业判断，认为供应商报价过低，有可能影响产品质量或者不能诚信履约的其他情形。</w:t>
      </w:r>
    </w:p>
    <w:p w14:paraId="4B634D06">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采购人可以结合具体项目实际情况，提高上述第1项至第3项中启动异常低价投标（响应）审查的数值标准，但是最高不得超过65%。</w:t>
      </w:r>
    </w:p>
    <w:p w14:paraId="3B8EC994">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相关法律法规对供应商报价有规定的，从其规定。</w:t>
      </w:r>
    </w:p>
    <w:p w14:paraId="6FD809E8">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00ECA3">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482FDA9">
      <w:pPr>
        <w:pStyle w:val="12"/>
        <w:snapToGrid w:val="0"/>
        <w:spacing w:after="0" w:line="360" w:lineRule="auto"/>
        <w:ind w:firstLine="480" w:firstLineChars="200"/>
        <w:jc w:val="left"/>
        <w:rPr>
          <w:rFonts w:eastAsia="仿宋"/>
          <w:kern w:val="0"/>
          <w:sz w:val="24"/>
          <w:szCs w:val="24"/>
        </w:rPr>
      </w:pPr>
      <w:r>
        <w:rPr>
          <w:rFonts w:eastAsia="仿宋"/>
          <w:kern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04A0B13">
      <w:pPr>
        <w:pStyle w:val="12"/>
        <w:snapToGrid w:val="0"/>
        <w:spacing w:after="0" w:line="360" w:lineRule="auto"/>
        <w:ind w:firstLine="480" w:firstLineChars="200"/>
        <w:jc w:val="left"/>
        <w:rPr>
          <w:rFonts w:eastAsia="仿宋"/>
          <w:b/>
          <w:bCs/>
          <w:sz w:val="24"/>
          <w:szCs w:val="24"/>
        </w:rPr>
      </w:pPr>
      <w:r>
        <w:rPr>
          <w:rFonts w:eastAsia="仿宋"/>
          <w:kern w:val="0"/>
          <w:sz w:val="24"/>
          <w:szCs w:val="24"/>
        </w:rPr>
        <w:t>异常低价投标（响应）审查的启动原因、审查意见和审查结果应当在评审报告中记录，并随供应商提供的相关书面说明及证明材料，以及评审委员会有关互联网浏览、查询历史一并归档。</w:t>
      </w:r>
    </w:p>
    <w:p w14:paraId="339780BD">
      <w:pPr>
        <w:snapToGrid w:val="0"/>
        <w:spacing w:line="360" w:lineRule="auto"/>
        <w:ind w:firstLine="482" w:firstLineChars="200"/>
        <w:jc w:val="left"/>
        <w:rPr>
          <w:rFonts w:eastAsia="仿宋"/>
          <w:b/>
          <w:bCs/>
          <w:sz w:val="24"/>
          <w:szCs w:val="24"/>
        </w:rPr>
      </w:pPr>
      <w:r>
        <w:rPr>
          <w:rFonts w:hint="eastAsia" w:eastAsia="仿宋"/>
          <w:b/>
          <w:bCs/>
          <w:sz w:val="24"/>
          <w:szCs w:val="24"/>
          <w:lang w:val="en-US" w:eastAsia="zh-CN"/>
        </w:rPr>
        <w:t>29</w:t>
      </w:r>
      <w:r>
        <w:rPr>
          <w:rFonts w:eastAsia="仿宋"/>
          <w:b/>
          <w:bCs/>
          <w:sz w:val="24"/>
          <w:szCs w:val="24"/>
        </w:rPr>
        <w:t>.定标原则</w:t>
      </w:r>
    </w:p>
    <w:p w14:paraId="5632AC46">
      <w:pPr>
        <w:snapToGrid w:val="0"/>
        <w:spacing w:line="360" w:lineRule="auto"/>
        <w:ind w:firstLine="480" w:firstLineChars="200"/>
        <w:jc w:val="left"/>
        <w:rPr>
          <w:rFonts w:eastAsia="仿宋"/>
          <w:sz w:val="24"/>
          <w:szCs w:val="24"/>
        </w:rPr>
      </w:pPr>
      <w:r>
        <w:rPr>
          <w:rFonts w:hint="eastAsia" w:eastAsia="仿宋"/>
          <w:sz w:val="24"/>
          <w:szCs w:val="24"/>
          <w:lang w:val="en-US" w:eastAsia="zh-CN"/>
        </w:rPr>
        <w:t>29</w:t>
      </w:r>
      <w:r>
        <w:rPr>
          <w:rFonts w:eastAsia="仿宋"/>
          <w:sz w:val="24"/>
          <w:szCs w:val="24"/>
        </w:rPr>
        <w:t>.1综合评分法，是指响应文件满足磋商文件全部实质性要求且按评分因素的量化指标评审得分最高的供应商为成交候选供应商的评审方法。</w:t>
      </w:r>
    </w:p>
    <w:p w14:paraId="7107EAF2">
      <w:pPr>
        <w:snapToGrid w:val="0"/>
        <w:spacing w:line="360" w:lineRule="auto"/>
        <w:ind w:firstLine="480" w:firstLineChars="200"/>
        <w:jc w:val="left"/>
        <w:rPr>
          <w:rFonts w:eastAsia="仿宋"/>
          <w:sz w:val="24"/>
          <w:szCs w:val="24"/>
        </w:rPr>
      </w:pPr>
      <w:r>
        <w:rPr>
          <w:rFonts w:hint="eastAsia" w:eastAsia="仿宋"/>
          <w:sz w:val="24"/>
          <w:szCs w:val="24"/>
          <w:lang w:val="en-US" w:eastAsia="zh-CN"/>
        </w:rPr>
        <w:t>29</w:t>
      </w:r>
      <w:r>
        <w:rPr>
          <w:rFonts w:eastAsia="仿宋"/>
          <w:sz w:val="24"/>
          <w:szCs w:val="24"/>
        </w:rPr>
        <w:t>.2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57CD26DF">
      <w:pPr>
        <w:snapToGrid w:val="0"/>
        <w:spacing w:line="360" w:lineRule="auto"/>
        <w:ind w:firstLine="480" w:firstLineChars="200"/>
        <w:jc w:val="left"/>
        <w:rPr>
          <w:rFonts w:eastAsia="仿宋"/>
          <w:sz w:val="24"/>
          <w:szCs w:val="24"/>
        </w:rPr>
      </w:pPr>
      <w:r>
        <w:rPr>
          <w:rFonts w:hint="eastAsia" w:eastAsia="仿宋"/>
          <w:sz w:val="24"/>
          <w:szCs w:val="24"/>
          <w:lang w:val="en-US" w:eastAsia="zh-CN"/>
        </w:rPr>
        <w:t>29</w:t>
      </w:r>
      <w:r>
        <w:rPr>
          <w:rFonts w:eastAsia="仿宋"/>
          <w:sz w:val="24"/>
          <w:szCs w:val="24"/>
        </w:rPr>
        <w:t>.3采购人根据磋商小组的评审报告，应当确定排名第一的成交候选人为成交人。排名第一的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采购。</w:t>
      </w:r>
    </w:p>
    <w:p w14:paraId="745914A5">
      <w:pPr>
        <w:snapToGrid w:val="0"/>
        <w:spacing w:line="360" w:lineRule="auto"/>
        <w:ind w:firstLine="482" w:firstLineChars="200"/>
        <w:jc w:val="left"/>
        <w:rPr>
          <w:rFonts w:eastAsia="仿宋"/>
          <w:b/>
          <w:bCs/>
          <w:sz w:val="24"/>
          <w:szCs w:val="24"/>
        </w:rPr>
      </w:pPr>
      <w:r>
        <w:rPr>
          <w:rFonts w:eastAsia="仿宋"/>
          <w:b/>
          <w:bCs/>
          <w:sz w:val="24"/>
          <w:szCs w:val="24"/>
        </w:rPr>
        <w:t>注：若供应商报价中出现赠送、免费等字样需在备注中进行说明。若其单项或总体报价严重低于其他供应商报价，需向本项目磋商小组做出陈述和答疑，磋商小组依据其陈述和答疑内容评定其是否满足磋商文件要求。（若其陈述和答疑内容不满足招标要求，则视为无效标处理）。</w:t>
      </w:r>
    </w:p>
    <w:p w14:paraId="187A03C4">
      <w:pPr>
        <w:snapToGrid w:val="0"/>
        <w:spacing w:line="360" w:lineRule="auto"/>
        <w:ind w:firstLine="482" w:firstLineChars="200"/>
        <w:jc w:val="center"/>
        <w:rPr>
          <w:rFonts w:eastAsia="仿宋"/>
          <w:b/>
          <w:sz w:val="24"/>
          <w:szCs w:val="24"/>
        </w:rPr>
      </w:pPr>
      <w:r>
        <w:rPr>
          <w:rFonts w:eastAsia="仿宋"/>
          <w:b/>
          <w:sz w:val="24"/>
          <w:szCs w:val="24"/>
        </w:rPr>
        <w:t>授予合同</w:t>
      </w:r>
    </w:p>
    <w:p w14:paraId="1BEF3991">
      <w:pPr>
        <w:snapToGrid w:val="0"/>
        <w:spacing w:line="360" w:lineRule="auto"/>
        <w:ind w:firstLine="480" w:firstLineChars="200"/>
        <w:rPr>
          <w:rFonts w:eastAsia="仿宋"/>
          <w:bCs/>
          <w:sz w:val="24"/>
          <w:szCs w:val="24"/>
        </w:rPr>
      </w:pPr>
      <w:r>
        <w:rPr>
          <w:rFonts w:eastAsia="仿宋"/>
          <w:bCs/>
          <w:sz w:val="24"/>
          <w:szCs w:val="24"/>
        </w:rPr>
        <w:t>3</w:t>
      </w:r>
      <w:r>
        <w:rPr>
          <w:rFonts w:hint="eastAsia" w:eastAsia="仿宋"/>
          <w:bCs/>
          <w:sz w:val="24"/>
          <w:szCs w:val="24"/>
          <w:lang w:val="en-US" w:eastAsia="zh-CN"/>
        </w:rPr>
        <w:t>0</w:t>
      </w:r>
      <w:r>
        <w:rPr>
          <w:rFonts w:eastAsia="仿宋"/>
          <w:bCs/>
          <w:sz w:val="24"/>
          <w:szCs w:val="24"/>
        </w:rPr>
        <w:t>.合同授予标准</w:t>
      </w:r>
    </w:p>
    <w:p w14:paraId="43802E77">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0</w:t>
      </w:r>
      <w:r>
        <w:rPr>
          <w:rFonts w:eastAsia="仿宋"/>
          <w:bCs/>
          <w:spacing w:val="-2"/>
          <w:sz w:val="24"/>
          <w:szCs w:val="24"/>
        </w:rPr>
        <w:t>.1合同将授予被确定为实质上响应磋商文件要求且综合评分得分最高的供应商。</w:t>
      </w:r>
    </w:p>
    <w:p w14:paraId="27836D50">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0</w:t>
      </w:r>
      <w:r>
        <w:rPr>
          <w:rFonts w:eastAsia="仿宋"/>
          <w:bCs/>
          <w:spacing w:val="-2"/>
          <w:sz w:val="24"/>
          <w:szCs w:val="24"/>
        </w:rPr>
        <w:t>.2最低磋商报价不一定是被授予合同的保证。</w:t>
      </w:r>
    </w:p>
    <w:p w14:paraId="780566FB">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0</w:t>
      </w:r>
      <w:r>
        <w:rPr>
          <w:rFonts w:eastAsia="仿宋"/>
          <w:bCs/>
          <w:spacing w:val="-2"/>
          <w:sz w:val="24"/>
          <w:szCs w:val="24"/>
        </w:rPr>
        <w:t>.3如果确定该供应商不能无条件圆满履行合同，采购人将对下一个可能中标的供应商资格做出类似的审查。</w:t>
      </w:r>
    </w:p>
    <w:p w14:paraId="024CB1FC">
      <w:pPr>
        <w:snapToGrid w:val="0"/>
        <w:spacing w:line="360" w:lineRule="auto"/>
        <w:ind w:firstLine="480" w:firstLineChars="200"/>
        <w:rPr>
          <w:rFonts w:eastAsia="仿宋"/>
          <w:bCs/>
          <w:sz w:val="24"/>
          <w:szCs w:val="24"/>
        </w:rPr>
      </w:pPr>
      <w:r>
        <w:rPr>
          <w:rFonts w:eastAsia="仿宋"/>
          <w:bCs/>
          <w:sz w:val="24"/>
          <w:szCs w:val="24"/>
        </w:rPr>
        <w:t>3</w:t>
      </w:r>
      <w:r>
        <w:rPr>
          <w:rFonts w:hint="eastAsia" w:eastAsia="仿宋"/>
          <w:bCs/>
          <w:sz w:val="24"/>
          <w:szCs w:val="24"/>
          <w:lang w:val="en-US" w:eastAsia="zh-CN"/>
        </w:rPr>
        <w:t>1</w:t>
      </w:r>
      <w:r>
        <w:rPr>
          <w:rFonts w:eastAsia="仿宋"/>
          <w:bCs/>
          <w:sz w:val="24"/>
          <w:szCs w:val="24"/>
        </w:rPr>
        <w:t>.成交通知书</w:t>
      </w:r>
    </w:p>
    <w:p w14:paraId="5354BB55">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1</w:t>
      </w:r>
      <w:r>
        <w:rPr>
          <w:rFonts w:eastAsia="仿宋"/>
          <w:bCs/>
          <w:spacing w:val="-2"/>
          <w:sz w:val="24"/>
          <w:szCs w:val="24"/>
        </w:rPr>
        <w:t>.1在公告成交结果的同时，采购人或者采购代理机构应当向中标人发出成交通知书，《成交通知书》一经发出即发生法律效力。</w:t>
      </w:r>
    </w:p>
    <w:p w14:paraId="74A37ADA">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2</w:t>
      </w:r>
      <w:r>
        <w:rPr>
          <w:rFonts w:eastAsia="仿宋"/>
          <w:bCs/>
          <w:spacing w:val="-2"/>
          <w:sz w:val="24"/>
          <w:szCs w:val="24"/>
        </w:rPr>
        <w:t>.《成交通知书》将作为签订合同的依据。</w:t>
      </w:r>
    </w:p>
    <w:p w14:paraId="3EACFF45">
      <w:pPr>
        <w:snapToGrid w:val="0"/>
        <w:spacing w:line="360" w:lineRule="auto"/>
        <w:ind w:firstLine="480" w:firstLineChars="200"/>
        <w:rPr>
          <w:rFonts w:eastAsia="仿宋"/>
          <w:bCs/>
          <w:sz w:val="24"/>
          <w:szCs w:val="24"/>
        </w:rPr>
      </w:pPr>
      <w:r>
        <w:rPr>
          <w:rFonts w:eastAsia="仿宋"/>
          <w:bCs/>
          <w:sz w:val="24"/>
          <w:szCs w:val="24"/>
        </w:rPr>
        <w:t>3</w:t>
      </w:r>
      <w:r>
        <w:rPr>
          <w:rFonts w:hint="eastAsia" w:eastAsia="仿宋"/>
          <w:bCs/>
          <w:sz w:val="24"/>
          <w:szCs w:val="24"/>
          <w:lang w:val="en-US" w:eastAsia="zh-CN"/>
        </w:rPr>
        <w:t>3</w:t>
      </w:r>
      <w:r>
        <w:rPr>
          <w:rFonts w:eastAsia="仿宋"/>
          <w:bCs/>
          <w:sz w:val="24"/>
          <w:szCs w:val="24"/>
        </w:rPr>
        <w:t>.签订合同</w:t>
      </w:r>
    </w:p>
    <w:p w14:paraId="0DC9E07F">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3</w:t>
      </w:r>
      <w:r>
        <w:rPr>
          <w:rFonts w:eastAsia="仿宋"/>
          <w:bCs/>
          <w:spacing w:val="-2"/>
          <w:sz w:val="24"/>
          <w:szCs w:val="24"/>
        </w:rPr>
        <w:t>.1成交供应商按照公开招标和成交供应商所响应文件中的约定与买方签订书面合同，所签订的合同不得对公开招标和成交供应商的响应文件作实质性修改。</w:t>
      </w:r>
    </w:p>
    <w:p w14:paraId="14B6273B">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3</w:t>
      </w:r>
      <w:r>
        <w:rPr>
          <w:rFonts w:eastAsia="仿宋"/>
          <w:bCs/>
          <w:spacing w:val="-2"/>
          <w:sz w:val="24"/>
          <w:szCs w:val="24"/>
        </w:rPr>
        <w:t>.2如成交供应商拒签合同，则按违约处理。采购人没收其磋商保证金。</w:t>
      </w:r>
    </w:p>
    <w:p w14:paraId="2B0BB3AA">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3</w:t>
      </w:r>
      <w:r>
        <w:rPr>
          <w:rFonts w:eastAsia="仿宋"/>
          <w:bCs/>
          <w:spacing w:val="-2"/>
          <w:sz w:val="24"/>
          <w:szCs w:val="24"/>
        </w:rPr>
        <w:t>.3磋商文件、成交供应商的响应文件及其澄清文件等，均为签订合同的依据。</w:t>
      </w:r>
    </w:p>
    <w:p w14:paraId="7AF84131">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3</w:t>
      </w:r>
      <w:r>
        <w:rPr>
          <w:rFonts w:eastAsia="仿宋"/>
          <w:bCs/>
          <w:spacing w:val="-2"/>
          <w:sz w:val="24"/>
          <w:szCs w:val="24"/>
        </w:rPr>
        <w:t>.4不允许中标人将中标项目分包或转交他人承担。特殊情况下，中标人必须与采购人协商后共同决定将合同标的中的部分由第三方承担服务责任，但成交供应商必须对合同标的的全部内容向采购人负责，并保证第三方提供的服务符合磋商文件的约定和响应文件的承诺及相关约定。</w:t>
      </w:r>
    </w:p>
    <w:bookmarkEnd w:id="4"/>
    <w:p w14:paraId="20E9FD19">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4</w:t>
      </w:r>
      <w:r>
        <w:rPr>
          <w:rFonts w:eastAsia="仿宋"/>
          <w:bCs/>
          <w:spacing w:val="-2"/>
          <w:sz w:val="24"/>
          <w:szCs w:val="24"/>
        </w:rPr>
        <w:t>.签订商务合同</w:t>
      </w:r>
    </w:p>
    <w:p w14:paraId="4B9F6B24">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4</w:t>
      </w:r>
      <w:r>
        <w:rPr>
          <w:rFonts w:eastAsia="仿宋"/>
          <w:bCs/>
          <w:spacing w:val="-2"/>
          <w:sz w:val="24"/>
          <w:szCs w:val="24"/>
        </w:rPr>
        <w:t>.1采购人与成交供应商应当在成交通知书发出之日起30日内，按照磋商文件确定的事项签订政府采购合同。</w:t>
      </w:r>
    </w:p>
    <w:p w14:paraId="3DDE33B9">
      <w:pPr>
        <w:snapToGrid w:val="0"/>
        <w:spacing w:line="360" w:lineRule="auto"/>
        <w:ind w:firstLine="472" w:firstLineChars="200"/>
        <w:rPr>
          <w:rFonts w:eastAsia="仿宋"/>
          <w:bCs/>
          <w:spacing w:val="-2"/>
          <w:sz w:val="24"/>
          <w:szCs w:val="24"/>
        </w:rPr>
      </w:pPr>
      <w:r>
        <w:rPr>
          <w:rFonts w:eastAsia="仿宋"/>
          <w:bCs/>
          <w:spacing w:val="-2"/>
          <w:sz w:val="24"/>
          <w:szCs w:val="24"/>
        </w:rPr>
        <w:t>成交通知书对采购人和成交供应商均具有法律效力。成交通知书发出后，采购人改变成交结果的，或者成交供应商放弃成交项目的，应当依法承担法律责任。</w:t>
      </w:r>
    </w:p>
    <w:p w14:paraId="10730C6A">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4</w:t>
      </w:r>
      <w:r>
        <w:rPr>
          <w:rFonts w:eastAsia="仿宋"/>
          <w:bCs/>
          <w:spacing w:val="-2"/>
          <w:sz w:val="24"/>
          <w:szCs w:val="24"/>
        </w:rPr>
        <w:t>.2成交合同不得转让。合同分包需在响应文件中予以说明，并需经采购人同意。否则，采购人有权取消成交供应商的成交资格。</w:t>
      </w:r>
    </w:p>
    <w:p w14:paraId="28AFE792">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4</w:t>
      </w:r>
      <w:r>
        <w:rPr>
          <w:rFonts w:eastAsia="仿宋"/>
          <w:bCs/>
          <w:spacing w:val="-2"/>
          <w:sz w:val="24"/>
          <w:szCs w:val="24"/>
        </w:rPr>
        <w:t>.3磋商文件要求成交供应商提交履约磋商保证金的，供应商应当以支票、汇票、本票或者金融机构、担保机构出具的保函等非现金形式提交。</w:t>
      </w:r>
    </w:p>
    <w:p w14:paraId="7F539431">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4</w:t>
      </w:r>
      <w:r>
        <w:rPr>
          <w:rFonts w:eastAsia="仿宋"/>
          <w:bCs/>
          <w:spacing w:val="-2"/>
          <w:sz w:val="24"/>
          <w:szCs w:val="24"/>
        </w:rPr>
        <w:t>.4成交供应商拒绝与采购人签订合同的，采购人可以按照评审报告推荐的</w:t>
      </w:r>
    </w:p>
    <w:p w14:paraId="446918EE">
      <w:pPr>
        <w:snapToGrid w:val="0"/>
        <w:spacing w:line="360" w:lineRule="auto"/>
        <w:ind w:firstLine="472" w:firstLineChars="200"/>
        <w:rPr>
          <w:rFonts w:eastAsia="仿宋"/>
          <w:bCs/>
          <w:spacing w:val="-2"/>
          <w:sz w:val="24"/>
          <w:szCs w:val="24"/>
        </w:rPr>
      </w:pPr>
      <w:r>
        <w:rPr>
          <w:rFonts w:eastAsia="仿宋"/>
          <w:bCs/>
          <w:spacing w:val="-2"/>
          <w:sz w:val="24"/>
          <w:szCs w:val="24"/>
        </w:rPr>
        <w:t>成交候选人名单排序，确定下一候选人为成交供应商，也可以重新开展政府采购活动。</w:t>
      </w:r>
    </w:p>
    <w:p w14:paraId="0EEE497E">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4</w:t>
      </w:r>
      <w:r>
        <w:rPr>
          <w:rFonts w:eastAsia="仿宋"/>
          <w:bCs/>
          <w:spacing w:val="-2"/>
          <w:sz w:val="24"/>
          <w:szCs w:val="24"/>
        </w:rPr>
        <w:t>.5政府采购合同的双方当事人不得擅自变更、中止或者终止合同。</w:t>
      </w:r>
    </w:p>
    <w:p w14:paraId="668610E2">
      <w:pPr>
        <w:snapToGrid w:val="0"/>
        <w:spacing w:line="360" w:lineRule="auto"/>
        <w:ind w:firstLine="472" w:firstLineChars="200"/>
        <w:rPr>
          <w:rFonts w:eastAsia="仿宋"/>
          <w:bCs/>
          <w:spacing w:val="-2"/>
          <w:sz w:val="24"/>
          <w:szCs w:val="24"/>
        </w:rPr>
      </w:pPr>
      <w:r>
        <w:rPr>
          <w:rFonts w:eastAsia="仿宋"/>
          <w:bCs/>
          <w:spacing w:val="-2"/>
          <w:sz w:val="24"/>
          <w:szCs w:val="24"/>
        </w:rPr>
        <w:t>政府采购合同继续履行将损害国家利益和社会公共利益的，双方当事人应当变更、中止或者终止合同。有过错的一方应当承担赔偿责任，双方都有过错的，各自承担相应的责任。</w:t>
      </w:r>
    </w:p>
    <w:p w14:paraId="40428B16">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5</w:t>
      </w:r>
      <w:r>
        <w:rPr>
          <w:rFonts w:eastAsia="仿宋"/>
          <w:bCs/>
          <w:spacing w:val="-2"/>
          <w:sz w:val="24"/>
          <w:szCs w:val="24"/>
        </w:rPr>
        <w:t>.商务合同的组成</w:t>
      </w:r>
    </w:p>
    <w:p w14:paraId="53DEB4CA">
      <w:pPr>
        <w:snapToGrid w:val="0"/>
        <w:spacing w:line="360" w:lineRule="auto"/>
        <w:ind w:firstLine="472" w:firstLineChars="200"/>
        <w:rPr>
          <w:rFonts w:eastAsia="仿宋"/>
          <w:bCs/>
          <w:spacing w:val="-2"/>
          <w:sz w:val="24"/>
          <w:szCs w:val="24"/>
        </w:rPr>
      </w:pPr>
      <w:r>
        <w:rPr>
          <w:rFonts w:eastAsia="仿宋"/>
          <w:bCs/>
          <w:spacing w:val="-2"/>
          <w:sz w:val="24"/>
          <w:szCs w:val="24"/>
        </w:rPr>
        <w:t>3</w:t>
      </w:r>
      <w:r>
        <w:rPr>
          <w:rFonts w:hint="eastAsia" w:eastAsia="仿宋"/>
          <w:bCs/>
          <w:spacing w:val="-2"/>
          <w:sz w:val="24"/>
          <w:szCs w:val="24"/>
          <w:lang w:val="en-US" w:eastAsia="zh-CN"/>
        </w:rPr>
        <w:t>5</w:t>
      </w:r>
      <w:r>
        <w:rPr>
          <w:rFonts w:eastAsia="仿宋"/>
          <w:bCs/>
          <w:spacing w:val="-2"/>
          <w:sz w:val="24"/>
          <w:szCs w:val="24"/>
        </w:rPr>
        <w:t>.1下列文件均为商务合同不可分割的组成部分：</w:t>
      </w:r>
    </w:p>
    <w:p w14:paraId="21CA9582">
      <w:pPr>
        <w:snapToGrid w:val="0"/>
        <w:spacing w:line="360" w:lineRule="auto"/>
        <w:ind w:firstLine="472" w:firstLineChars="200"/>
        <w:rPr>
          <w:rFonts w:eastAsia="仿宋"/>
          <w:bCs/>
          <w:spacing w:val="-2"/>
          <w:sz w:val="24"/>
          <w:szCs w:val="24"/>
        </w:rPr>
      </w:pPr>
      <w:r>
        <w:rPr>
          <w:rFonts w:eastAsia="仿宋"/>
          <w:bCs/>
          <w:spacing w:val="-2"/>
          <w:sz w:val="24"/>
          <w:szCs w:val="24"/>
        </w:rPr>
        <w:t>(1)成交通知书；</w:t>
      </w:r>
    </w:p>
    <w:p w14:paraId="73D653D2">
      <w:pPr>
        <w:snapToGrid w:val="0"/>
        <w:spacing w:line="360" w:lineRule="auto"/>
        <w:ind w:firstLine="472" w:firstLineChars="200"/>
        <w:rPr>
          <w:rFonts w:eastAsia="仿宋"/>
          <w:bCs/>
          <w:spacing w:val="-2"/>
          <w:sz w:val="24"/>
          <w:szCs w:val="24"/>
        </w:rPr>
      </w:pPr>
      <w:r>
        <w:rPr>
          <w:rFonts w:eastAsia="仿宋"/>
          <w:bCs/>
          <w:spacing w:val="-2"/>
          <w:sz w:val="24"/>
          <w:szCs w:val="24"/>
        </w:rPr>
        <w:t>(2)成交供应商的响应文件；</w:t>
      </w:r>
    </w:p>
    <w:p w14:paraId="005A96F4">
      <w:pPr>
        <w:snapToGrid w:val="0"/>
        <w:spacing w:line="360" w:lineRule="auto"/>
        <w:ind w:firstLine="472" w:firstLineChars="200"/>
        <w:rPr>
          <w:rFonts w:eastAsia="仿宋"/>
          <w:bCs/>
          <w:spacing w:val="-2"/>
          <w:sz w:val="24"/>
          <w:szCs w:val="24"/>
        </w:rPr>
      </w:pPr>
      <w:r>
        <w:rPr>
          <w:rFonts w:eastAsia="仿宋"/>
          <w:bCs/>
          <w:spacing w:val="-2"/>
          <w:sz w:val="24"/>
          <w:szCs w:val="24"/>
        </w:rPr>
        <w:t>(3)供应商澄清、说明或补正文件；</w:t>
      </w:r>
    </w:p>
    <w:p w14:paraId="2E5DC544">
      <w:pPr>
        <w:snapToGrid w:val="0"/>
        <w:spacing w:line="360" w:lineRule="auto"/>
        <w:ind w:firstLine="472" w:firstLineChars="200"/>
        <w:rPr>
          <w:rFonts w:eastAsia="仿宋"/>
          <w:sz w:val="24"/>
          <w:szCs w:val="24"/>
        </w:rPr>
      </w:pPr>
      <w:r>
        <w:rPr>
          <w:rFonts w:eastAsia="仿宋"/>
          <w:bCs/>
          <w:spacing w:val="-2"/>
          <w:sz w:val="24"/>
          <w:szCs w:val="24"/>
        </w:rPr>
        <w:t>(4)磋商文件。</w:t>
      </w:r>
    </w:p>
    <w:p w14:paraId="5E658523">
      <w:pPr>
        <w:pStyle w:val="29"/>
        <w:snapToGrid w:val="0"/>
        <w:spacing w:line="360" w:lineRule="auto"/>
        <w:ind w:firstLine="482" w:firstLineChars="200"/>
        <w:rPr>
          <w:rFonts w:ascii="Times New Roman" w:hAnsi="Times New Roman" w:eastAsia="仿宋"/>
          <w:b/>
          <w:bCs/>
          <w:color w:val="auto"/>
        </w:rPr>
      </w:pPr>
      <w:r>
        <w:rPr>
          <w:rFonts w:ascii="Times New Roman" w:hAnsi="Times New Roman" w:eastAsia="仿宋"/>
          <w:b/>
          <w:bCs/>
          <w:color w:val="auto"/>
        </w:rPr>
        <w:t>3</w:t>
      </w:r>
      <w:r>
        <w:rPr>
          <w:rFonts w:hint="eastAsia" w:ascii="Times New Roman" w:hAnsi="Times New Roman" w:eastAsia="仿宋"/>
          <w:b/>
          <w:bCs/>
          <w:color w:val="auto"/>
          <w:lang w:val="en-US" w:eastAsia="zh-CN"/>
        </w:rPr>
        <w:t>6</w:t>
      </w:r>
      <w:r>
        <w:rPr>
          <w:rFonts w:ascii="Times New Roman" w:hAnsi="Times New Roman" w:eastAsia="仿宋"/>
          <w:b/>
          <w:bCs/>
          <w:color w:val="auto"/>
        </w:rPr>
        <w:t>.采购人更改采购服务期限的权利</w:t>
      </w:r>
    </w:p>
    <w:p w14:paraId="77B18A38">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政府采购合同履行中，采购人需追加与合同标的相同的服务的，在不改变合同其他条款的前提下，可以与供应商协商签订补充合同，但所有补充合同的采购金额不得超过原合同采购金额的10%。</w:t>
      </w:r>
    </w:p>
    <w:p w14:paraId="711085DE">
      <w:pPr>
        <w:pStyle w:val="29"/>
        <w:snapToGrid w:val="0"/>
        <w:spacing w:line="360" w:lineRule="auto"/>
        <w:ind w:firstLine="482" w:firstLineChars="200"/>
        <w:rPr>
          <w:rFonts w:ascii="Times New Roman" w:hAnsi="Times New Roman" w:eastAsia="仿宋"/>
          <w:b/>
          <w:bCs/>
          <w:color w:val="auto"/>
        </w:rPr>
      </w:pPr>
      <w:r>
        <w:rPr>
          <w:rFonts w:ascii="Times New Roman" w:hAnsi="Times New Roman" w:eastAsia="仿宋"/>
          <w:b/>
          <w:bCs/>
          <w:color w:val="auto"/>
        </w:rPr>
        <w:t>3</w:t>
      </w:r>
      <w:r>
        <w:rPr>
          <w:rFonts w:hint="eastAsia" w:ascii="Times New Roman" w:hAnsi="Times New Roman" w:eastAsia="仿宋"/>
          <w:b/>
          <w:bCs/>
          <w:color w:val="auto"/>
          <w:lang w:val="en-US" w:eastAsia="zh-CN"/>
        </w:rPr>
        <w:t>7</w:t>
      </w:r>
      <w:r>
        <w:rPr>
          <w:rFonts w:ascii="Times New Roman" w:hAnsi="Times New Roman" w:eastAsia="仿宋"/>
          <w:b/>
          <w:bCs/>
          <w:color w:val="auto"/>
        </w:rPr>
        <w:t>.其他事项</w:t>
      </w:r>
    </w:p>
    <w:p w14:paraId="21EC9BD9">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w:t>
      </w:r>
      <w:r>
        <w:rPr>
          <w:rFonts w:hint="eastAsia" w:ascii="Times New Roman" w:hAnsi="Times New Roman" w:eastAsia="仿宋"/>
          <w:bCs/>
          <w:color w:val="auto"/>
          <w:spacing w:val="-2"/>
          <w:lang w:val="en-US" w:eastAsia="zh-CN"/>
        </w:rPr>
        <w:t>7</w:t>
      </w:r>
      <w:r>
        <w:rPr>
          <w:rFonts w:ascii="Times New Roman" w:hAnsi="Times New Roman" w:eastAsia="仿宋"/>
          <w:bCs/>
          <w:color w:val="auto"/>
          <w:spacing w:val="-2"/>
        </w:rPr>
        <w:t>.1本磋商文件是根据《中华人民共和国政府采购法》、《政府采购竞争性磋商采购方式管理暂行办法》的规定编制，解释权属中合安建工程管理有限公司。</w:t>
      </w:r>
    </w:p>
    <w:p w14:paraId="0D239399">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w:t>
      </w:r>
      <w:r>
        <w:rPr>
          <w:rFonts w:hint="eastAsia" w:ascii="Times New Roman" w:hAnsi="Times New Roman" w:eastAsia="仿宋"/>
          <w:bCs/>
          <w:color w:val="auto"/>
          <w:spacing w:val="-2"/>
          <w:lang w:val="en-US" w:eastAsia="zh-CN"/>
        </w:rPr>
        <w:t>7</w:t>
      </w:r>
      <w:r>
        <w:rPr>
          <w:rFonts w:ascii="Times New Roman" w:hAnsi="Times New Roman" w:eastAsia="仿宋"/>
          <w:bCs/>
          <w:color w:val="auto"/>
          <w:spacing w:val="-2"/>
        </w:rPr>
        <w:t>.2参与本次磋商的供应商应当有商务、技术人员对磋商小组提出商务、技术问题进行答疑。</w:t>
      </w:r>
    </w:p>
    <w:p w14:paraId="28E21E2A">
      <w:pPr>
        <w:pStyle w:val="29"/>
        <w:snapToGrid w:val="0"/>
        <w:spacing w:line="360" w:lineRule="auto"/>
        <w:ind w:firstLine="472" w:firstLineChars="200"/>
        <w:rPr>
          <w:rFonts w:ascii="Times New Roman" w:hAnsi="Times New Roman" w:eastAsia="仿宋"/>
          <w:bCs/>
          <w:color w:val="auto"/>
          <w:spacing w:val="-2"/>
        </w:rPr>
      </w:pPr>
      <w:bookmarkStart w:id="6" w:name="_Toc149723968"/>
      <w:bookmarkStart w:id="7" w:name="_Toc148434319"/>
      <w:bookmarkStart w:id="8" w:name="_Toc414448313"/>
      <w:bookmarkStart w:id="9" w:name="_Toc417600059"/>
      <w:bookmarkStart w:id="10" w:name="_Toc16526"/>
      <w:r>
        <w:rPr>
          <w:rFonts w:ascii="Times New Roman" w:hAnsi="Times New Roman" w:eastAsia="仿宋"/>
          <w:bCs/>
          <w:color w:val="auto"/>
          <w:spacing w:val="-2"/>
        </w:rPr>
        <w:t>3</w:t>
      </w:r>
      <w:r>
        <w:rPr>
          <w:rFonts w:hint="eastAsia" w:ascii="Times New Roman" w:hAnsi="Times New Roman" w:eastAsia="仿宋"/>
          <w:bCs/>
          <w:color w:val="auto"/>
          <w:spacing w:val="-2"/>
          <w:lang w:val="en-US" w:eastAsia="zh-CN"/>
        </w:rPr>
        <w:t>8</w:t>
      </w:r>
      <w:r>
        <w:rPr>
          <w:rFonts w:ascii="Times New Roman" w:hAnsi="Times New Roman" w:eastAsia="仿宋"/>
          <w:bCs/>
          <w:color w:val="auto"/>
          <w:spacing w:val="-2"/>
        </w:rPr>
        <w:t>.处罚、询问、质疑</w:t>
      </w:r>
      <w:bookmarkEnd w:id="6"/>
      <w:bookmarkEnd w:id="7"/>
      <w:r>
        <w:rPr>
          <w:rFonts w:ascii="Times New Roman" w:hAnsi="Times New Roman" w:eastAsia="仿宋"/>
          <w:bCs/>
          <w:color w:val="auto"/>
          <w:spacing w:val="-2"/>
        </w:rPr>
        <w:t>和投诉</w:t>
      </w:r>
      <w:bookmarkEnd w:id="8"/>
      <w:bookmarkEnd w:id="9"/>
      <w:bookmarkEnd w:id="10"/>
    </w:p>
    <w:p w14:paraId="05ABF2F9">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w:t>
      </w:r>
      <w:r>
        <w:rPr>
          <w:rFonts w:hint="eastAsia" w:ascii="Times New Roman" w:hAnsi="Times New Roman" w:eastAsia="仿宋"/>
          <w:bCs/>
          <w:color w:val="auto"/>
          <w:spacing w:val="-2"/>
          <w:lang w:val="en-US" w:eastAsia="zh-CN"/>
        </w:rPr>
        <w:t>8</w:t>
      </w:r>
      <w:r>
        <w:rPr>
          <w:rFonts w:ascii="Times New Roman" w:hAnsi="Times New Roman" w:eastAsia="仿宋"/>
          <w:bCs/>
          <w:color w:val="auto"/>
          <w:spacing w:val="-2"/>
        </w:rPr>
        <w:t>.1处罚</w:t>
      </w:r>
    </w:p>
    <w:p w14:paraId="3094F966">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发生下列情况之一，供应商的磋商保证金不予退还：</w:t>
      </w:r>
    </w:p>
    <w:p w14:paraId="5E3087B5">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（1）开标后在磋商有效期内，供应商撤回其投标；</w:t>
      </w:r>
    </w:p>
    <w:p w14:paraId="06D319CD">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（2）提供虚假材料谋取中标、成交的；</w:t>
      </w:r>
    </w:p>
    <w:p w14:paraId="6B91884A">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（3）成交供应商未按本竞争性磋商文件规定签约；</w:t>
      </w:r>
    </w:p>
    <w:p w14:paraId="49266F46">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（4）成交供应商在签约后5个工作日内，未能按竞争性磋商文件的规定提交合同履约磋商保证金或开具可接受的合同履约磋商保证金保函（视为不具备签订合同条件）或合同履约磋商保证金保函弄虚作假的；</w:t>
      </w:r>
    </w:p>
    <w:p w14:paraId="6287BBF3">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（5）成交供应商未能按竞争性磋商文件规定缴纳招标代理服务费。</w:t>
      </w:r>
    </w:p>
    <w:p w14:paraId="0C424C39">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供应商有下列情形之一的,处以政府采购项目中标金额千分之五以上千分之十以下的罚款, 列入不良行为记录名单,在一至三年内禁止参加政府采购活动,并予以通报,有违法所得的,并处没收违法所得,情节严重的,由工商行政管理机关吊销营业执照；构成犯罪的，依法追究刑事责任：</w:t>
      </w:r>
    </w:p>
    <w:p w14:paraId="6672CC3E">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1）提供虚假材料谋取中标的；</w:t>
      </w:r>
    </w:p>
    <w:p w14:paraId="5D1266CD">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2）采取不正当手段诋毁、排挤其他供应商的；</w:t>
      </w:r>
    </w:p>
    <w:p w14:paraId="25FE9F1D">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3）与采购人、其他供应商或者采购代理机构恶意串通的；</w:t>
      </w:r>
    </w:p>
    <w:p w14:paraId="342AF0CE">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4）向采购人、采购代理机构行贿或者提供其他不正当利益的；</w:t>
      </w:r>
    </w:p>
    <w:p w14:paraId="6E64DD6F">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5）在招标采购过程中与采购人进行协商磋商的、不按照竞争性磋商文件和成交供应商的响应文件订立合同，或者与采购人另行订立背离合同实质性内容的协议的；</w:t>
      </w:r>
    </w:p>
    <w:p w14:paraId="2E8FD9EB">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6）拒绝有关部门监督检查或者提供虚假情况的。</w:t>
      </w:r>
    </w:p>
    <w:p w14:paraId="5FA7EA1B">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供应商有前款1）至5）项情形之一的，中标无效。</w:t>
      </w:r>
    </w:p>
    <w:p w14:paraId="47CCF090">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w:t>
      </w:r>
      <w:r>
        <w:rPr>
          <w:rFonts w:hint="eastAsia" w:ascii="Times New Roman" w:hAnsi="Times New Roman" w:eastAsia="仿宋"/>
          <w:bCs/>
          <w:color w:val="auto"/>
          <w:spacing w:val="-2"/>
          <w:lang w:val="en-US" w:eastAsia="zh-CN"/>
        </w:rPr>
        <w:t>8</w:t>
      </w:r>
      <w:r>
        <w:rPr>
          <w:rFonts w:ascii="Times New Roman" w:hAnsi="Times New Roman" w:eastAsia="仿宋"/>
          <w:bCs/>
          <w:color w:val="auto"/>
          <w:spacing w:val="-2"/>
        </w:rPr>
        <w:t>.2询问</w:t>
      </w:r>
    </w:p>
    <w:p w14:paraId="1C35AD97">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供应商有权就磋商程序或签订合同的事宜提出询问；供应商对采购事项有疑问的，可以向采购人提出询问。</w:t>
      </w:r>
    </w:p>
    <w:p w14:paraId="52513533">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w:t>
      </w:r>
      <w:r>
        <w:rPr>
          <w:rFonts w:hint="eastAsia" w:ascii="Times New Roman" w:hAnsi="Times New Roman" w:eastAsia="仿宋"/>
          <w:bCs/>
          <w:color w:val="auto"/>
          <w:spacing w:val="-2"/>
          <w:lang w:val="en-US" w:eastAsia="zh-CN"/>
        </w:rPr>
        <w:t>8</w:t>
      </w:r>
      <w:r>
        <w:rPr>
          <w:rFonts w:ascii="Times New Roman" w:hAnsi="Times New Roman" w:eastAsia="仿宋"/>
          <w:bCs/>
          <w:color w:val="auto"/>
          <w:spacing w:val="-2"/>
        </w:rPr>
        <w:t>.3质疑与投诉</w:t>
      </w:r>
    </w:p>
    <w:p w14:paraId="1072B9FA">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1）供应商认为磋商文件、采购过程、中标或者成交结果使自己的权益受到损害的，可以在知道或者应知其权益受到损害之日起7个工作日内，向采购人、采购代理机构提出质疑。供应商须在法定质疑期内一次性提出针对同一采购程序环节的质疑。</w:t>
      </w:r>
    </w:p>
    <w:p w14:paraId="1C555422">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（2）质疑函的必备内容</w:t>
      </w:r>
    </w:p>
    <w:p w14:paraId="10896B8E">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1）供应商提交的质疑函必须注明单位名称、地址、邮编、可供查询的单位和法定代表人的电话号码、联系人电话；</w:t>
      </w:r>
    </w:p>
    <w:p w14:paraId="02EFD9D7">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2）质疑项目的名称、编号；</w:t>
      </w:r>
    </w:p>
    <w:p w14:paraId="4684C9DF">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3）具体质疑事项和与质疑事项相关的请求；</w:t>
      </w:r>
    </w:p>
    <w:p w14:paraId="6F4155C4">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4）事实依据；</w:t>
      </w:r>
    </w:p>
    <w:p w14:paraId="3884244F">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5）提起质疑的日期；</w:t>
      </w:r>
    </w:p>
    <w:p w14:paraId="4071B7F3">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6）质疑函须加盖单位公章，由法定代表人签章。</w:t>
      </w:r>
    </w:p>
    <w:p w14:paraId="65AAC988">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7）委托代理人递交质疑函的，还须提交委托质疑事项的授权委托书（附法定代表人和被授权人的身份证正反面），加盖单位公章和法定代表人签章和被授权人签章，同时出示被授权人身份证。</w:t>
      </w:r>
    </w:p>
    <w:p w14:paraId="64024198">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（3）质疑应符合下列条件：</w:t>
      </w:r>
    </w:p>
    <w:p w14:paraId="459B403B">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1）质疑人是参与所质疑项目的采购活动的供应商；</w:t>
      </w:r>
    </w:p>
    <w:p w14:paraId="6FFBF35E">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2）质疑函内容符合相关的规定；</w:t>
      </w:r>
    </w:p>
    <w:p w14:paraId="2FB4587B">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3）在规定的有效期限内提起质疑；</w:t>
      </w:r>
    </w:p>
    <w:p w14:paraId="34B33FED">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4）招投标监管部门规定的其他条件。</w:t>
      </w:r>
    </w:p>
    <w:p w14:paraId="5BA82763">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（4）采购人在收到供应商的书面质疑后七个工作日内作出答复，并以书面形式通知质疑供应商和其他有关供应商，但答复的内容不涉及商业秘密。</w:t>
      </w:r>
    </w:p>
    <w:p w14:paraId="5CFBD4F5">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4425AC98">
      <w:pPr>
        <w:pStyle w:val="29"/>
        <w:snapToGrid w:val="0"/>
        <w:spacing w:line="360" w:lineRule="auto"/>
        <w:ind w:firstLine="472" w:firstLineChars="200"/>
        <w:rPr>
          <w:rFonts w:ascii="Times New Roman" w:hAnsi="Times New Roman" w:eastAsia="仿宋"/>
          <w:bCs/>
          <w:color w:val="auto"/>
          <w:spacing w:val="-2"/>
        </w:rPr>
      </w:pPr>
      <w:bookmarkStart w:id="11" w:name="_Toc414448314"/>
      <w:bookmarkStart w:id="12" w:name="_Toc417600060"/>
      <w:bookmarkStart w:id="13" w:name="_Toc22210"/>
      <w:r>
        <w:rPr>
          <w:rFonts w:hint="eastAsia" w:ascii="Times New Roman" w:hAnsi="Times New Roman" w:eastAsia="仿宋"/>
          <w:bCs/>
          <w:color w:val="auto"/>
          <w:spacing w:val="-2"/>
          <w:lang w:val="en-US" w:eastAsia="zh-CN"/>
        </w:rPr>
        <w:t>39</w:t>
      </w:r>
      <w:r>
        <w:rPr>
          <w:rFonts w:ascii="Times New Roman" w:hAnsi="Times New Roman" w:eastAsia="仿宋"/>
          <w:bCs/>
          <w:color w:val="auto"/>
          <w:spacing w:val="-2"/>
        </w:rPr>
        <w:t>.纪律和监督</w:t>
      </w:r>
      <w:bookmarkEnd w:id="11"/>
      <w:bookmarkEnd w:id="12"/>
      <w:bookmarkEnd w:id="13"/>
      <w:bookmarkStart w:id="14" w:name="_Hlt42155898"/>
      <w:bookmarkEnd w:id="14"/>
      <w:bookmarkStart w:id="15" w:name="_Hlt46143102"/>
      <w:bookmarkEnd w:id="15"/>
      <w:bookmarkStart w:id="16" w:name="_Hlt42156005"/>
      <w:bookmarkEnd w:id="16"/>
      <w:bookmarkStart w:id="17" w:name="_Hlt42228925"/>
      <w:bookmarkEnd w:id="17"/>
      <w:bookmarkStart w:id="18" w:name="_Hlt46200272"/>
      <w:bookmarkEnd w:id="18"/>
      <w:bookmarkStart w:id="19" w:name="_Hlt42235894"/>
      <w:bookmarkEnd w:id="19"/>
    </w:p>
    <w:p w14:paraId="745B2B24">
      <w:pPr>
        <w:pStyle w:val="29"/>
        <w:snapToGrid w:val="0"/>
        <w:spacing w:line="360" w:lineRule="auto"/>
        <w:ind w:firstLine="472" w:firstLineChars="200"/>
        <w:rPr>
          <w:rFonts w:ascii="Times New Roman" w:hAnsi="Times New Roman" w:eastAsia="仿宋"/>
          <w:bCs/>
          <w:color w:val="auto"/>
          <w:spacing w:val="-2"/>
        </w:rPr>
      </w:pPr>
      <w:r>
        <w:rPr>
          <w:rFonts w:hint="eastAsia" w:ascii="Times New Roman" w:hAnsi="Times New Roman" w:eastAsia="仿宋"/>
          <w:bCs/>
          <w:color w:val="auto"/>
          <w:spacing w:val="-2"/>
          <w:lang w:val="en-US" w:eastAsia="zh-CN"/>
        </w:rPr>
        <w:t>39</w:t>
      </w:r>
      <w:r>
        <w:rPr>
          <w:rFonts w:ascii="Times New Roman" w:hAnsi="Times New Roman" w:eastAsia="仿宋"/>
          <w:bCs/>
          <w:color w:val="auto"/>
          <w:spacing w:val="-2"/>
        </w:rPr>
        <w:t>.1对采购人纪律要求</w:t>
      </w:r>
    </w:p>
    <w:p w14:paraId="689301CE">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采购人不得泄漏采购活动中应当保密的情况和资料，不得与供应商串通损害国家利益、社会公共利益或者他人合法权益。</w:t>
      </w:r>
    </w:p>
    <w:p w14:paraId="6AB9343E">
      <w:pPr>
        <w:pStyle w:val="29"/>
        <w:snapToGrid w:val="0"/>
        <w:spacing w:line="360" w:lineRule="auto"/>
        <w:ind w:firstLine="472" w:firstLineChars="200"/>
        <w:rPr>
          <w:rFonts w:ascii="Times New Roman" w:hAnsi="Times New Roman" w:eastAsia="仿宋"/>
          <w:bCs/>
          <w:color w:val="auto"/>
          <w:spacing w:val="-2"/>
        </w:rPr>
      </w:pPr>
      <w:r>
        <w:rPr>
          <w:rFonts w:hint="eastAsia" w:ascii="Times New Roman" w:hAnsi="Times New Roman" w:eastAsia="仿宋"/>
          <w:bCs/>
          <w:color w:val="auto"/>
          <w:spacing w:val="-2"/>
          <w:lang w:val="en-US" w:eastAsia="zh-CN"/>
        </w:rPr>
        <w:t>39</w:t>
      </w:r>
      <w:r>
        <w:rPr>
          <w:rFonts w:ascii="Times New Roman" w:hAnsi="Times New Roman" w:eastAsia="仿宋"/>
          <w:bCs/>
          <w:color w:val="auto"/>
          <w:spacing w:val="-2"/>
        </w:rPr>
        <w:t>.2对供应商的纪律要求</w:t>
      </w:r>
    </w:p>
    <w:p w14:paraId="5E162AC1">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供应商不得相互串通或者与采购人串通，不得向采购人或者磋商小组成员行贿谋取中标，不得以他人名义或者以其他方式弄虚作假骗取中标，供应商不得以任何方式干扰、影响评审工作。</w:t>
      </w:r>
    </w:p>
    <w:p w14:paraId="13730E19">
      <w:pPr>
        <w:pStyle w:val="29"/>
        <w:snapToGrid w:val="0"/>
        <w:spacing w:line="360" w:lineRule="auto"/>
        <w:ind w:firstLine="472" w:firstLineChars="200"/>
        <w:rPr>
          <w:rFonts w:ascii="Times New Roman" w:hAnsi="Times New Roman" w:eastAsia="仿宋"/>
          <w:bCs/>
          <w:color w:val="auto"/>
          <w:spacing w:val="-2"/>
        </w:rPr>
      </w:pPr>
      <w:r>
        <w:rPr>
          <w:rFonts w:hint="eastAsia" w:ascii="Times New Roman" w:hAnsi="Times New Roman" w:eastAsia="仿宋"/>
          <w:bCs/>
          <w:color w:val="auto"/>
          <w:spacing w:val="-2"/>
          <w:lang w:val="en-US" w:eastAsia="zh-CN"/>
        </w:rPr>
        <w:t>39</w:t>
      </w:r>
      <w:r>
        <w:rPr>
          <w:rFonts w:ascii="Times New Roman" w:hAnsi="Times New Roman" w:eastAsia="仿宋"/>
          <w:bCs/>
          <w:color w:val="auto"/>
          <w:spacing w:val="-2"/>
        </w:rPr>
        <w:t>.3对磋商小组成员的纪律要求</w:t>
      </w:r>
    </w:p>
    <w:p w14:paraId="3FF0A2B5">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14:paraId="0D9EDA7D">
      <w:pPr>
        <w:pStyle w:val="29"/>
        <w:snapToGrid w:val="0"/>
        <w:spacing w:line="360" w:lineRule="auto"/>
        <w:ind w:firstLine="472" w:firstLineChars="200"/>
        <w:rPr>
          <w:rFonts w:ascii="Times New Roman" w:hAnsi="Times New Roman" w:eastAsia="仿宋"/>
          <w:bCs/>
          <w:color w:val="auto"/>
          <w:spacing w:val="-2"/>
        </w:rPr>
      </w:pPr>
      <w:r>
        <w:rPr>
          <w:rFonts w:hint="eastAsia" w:ascii="Times New Roman" w:hAnsi="Times New Roman" w:eastAsia="仿宋"/>
          <w:bCs/>
          <w:color w:val="auto"/>
          <w:spacing w:val="-2"/>
          <w:lang w:val="en-US" w:eastAsia="zh-CN"/>
        </w:rPr>
        <w:t>39</w:t>
      </w:r>
      <w:r>
        <w:rPr>
          <w:rFonts w:ascii="Times New Roman" w:hAnsi="Times New Roman" w:eastAsia="仿宋"/>
          <w:bCs/>
          <w:color w:val="auto"/>
          <w:spacing w:val="-2"/>
        </w:rPr>
        <w:t>.4对与评审活动有关的工作人员的纪律要求</w:t>
      </w:r>
    </w:p>
    <w:p w14:paraId="2230B3FF">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14:paraId="4175F529">
      <w:pPr>
        <w:pStyle w:val="29"/>
        <w:snapToGrid w:val="0"/>
        <w:spacing w:line="360" w:lineRule="auto"/>
        <w:ind w:firstLine="472" w:firstLineChars="200"/>
        <w:rPr>
          <w:rFonts w:ascii="Times New Roman" w:hAnsi="Times New Roman" w:eastAsia="仿宋"/>
          <w:bCs/>
          <w:color w:val="auto"/>
          <w:spacing w:val="-2"/>
        </w:rPr>
      </w:pPr>
      <w:r>
        <w:rPr>
          <w:rFonts w:hint="eastAsia" w:ascii="Times New Roman" w:hAnsi="Times New Roman" w:eastAsia="仿宋"/>
          <w:bCs/>
          <w:color w:val="auto"/>
          <w:spacing w:val="-2"/>
          <w:lang w:val="en-US" w:eastAsia="zh-CN"/>
        </w:rPr>
        <w:t>39</w:t>
      </w:r>
      <w:r>
        <w:rPr>
          <w:rFonts w:ascii="Times New Roman" w:hAnsi="Times New Roman" w:eastAsia="仿宋"/>
          <w:bCs/>
          <w:color w:val="auto"/>
          <w:spacing w:val="-2"/>
        </w:rPr>
        <w:t>.5监督</w:t>
      </w:r>
    </w:p>
    <w:p w14:paraId="654AF039">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供应商和其他利害关系人认为本次招标活动违反法律、法规和规章规定的，有权向有关行政监督部门反映（投诉）。</w:t>
      </w:r>
    </w:p>
    <w:p w14:paraId="06EE9BBE">
      <w:pPr>
        <w:pStyle w:val="29"/>
        <w:snapToGrid w:val="0"/>
        <w:spacing w:line="360" w:lineRule="auto"/>
        <w:ind w:firstLine="472" w:firstLineChars="200"/>
        <w:rPr>
          <w:rFonts w:ascii="Times New Roman" w:hAnsi="Times New Roman" w:eastAsia="仿宋"/>
          <w:bCs/>
          <w:color w:val="auto"/>
          <w:spacing w:val="-2"/>
        </w:rPr>
      </w:pPr>
      <w:bookmarkStart w:id="20" w:name="_Toc20348"/>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0</w:t>
      </w:r>
      <w:r>
        <w:rPr>
          <w:rFonts w:ascii="Times New Roman" w:hAnsi="Times New Roman" w:eastAsia="仿宋"/>
          <w:bCs/>
          <w:color w:val="auto"/>
          <w:spacing w:val="-2"/>
        </w:rPr>
        <w:t>.磋商</w:t>
      </w:r>
      <w:bookmarkEnd w:id="20"/>
      <w:r>
        <w:rPr>
          <w:rFonts w:ascii="Times New Roman" w:hAnsi="Times New Roman" w:eastAsia="仿宋"/>
          <w:bCs/>
          <w:color w:val="auto"/>
          <w:spacing w:val="-2"/>
        </w:rPr>
        <w:t>保证金</w:t>
      </w:r>
    </w:p>
    <w:p w14:paraId="0AD9841F">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0</w:t>
      </w:r>
      <w:r>
        <w:rPr>
          <w:rFonts w:ascii="Times New Roman" w:hAnsi="Times New Roman" w:eastAsia="仿宋"/>
          <w:bCs/>
          <w:color w:val="auto"/>
          <w:spacing w:val="-2"/>
        </w:rPr>
        <w:t>.1磋商保证金用于保护采购人在本次采购免受因供应商的行为而蒙受损失。</w:t>
      </w:r>
    </w:p>
    <w:p w14:paraId="55AE404C">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0</w:t>
      </w:r>
      <w:r>
        <w:rPr>
          <w:rFonts w:ascii="Times New Roman" w:hAnsi="Times New Roman" w:eastAsia="仿宋"/>
          <w:bCs/>
          <w:color w:val="auto"/>
          <w:spacing w:val="-2"/>
        </w:rPr>
        <w:t>.2供应商应向采购人提交本竞争性磋商文件第二部分规定数额的磋商保证金，并作为其响应的一部分。</w:t>
      </w:r>
    </w:p>
    <w:p w14:paraId="18E595CE">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0</w:t>
      </w:r>
      <w:r>
        <w:rPr>
          <w:rFonts w:ascii="Times New Roman" w:hAnsi="Times New Roman" w:eastAsia="仿宋"/>
          <w:bCs/>
          <w:color w:val="auto"/>
          <w:spacing w:val="-2"/>
        </w:rPr>
        <w:t>.3供应商可以通过电汇金方式交纳磋商保证金。</w:t>
      </w:r>
    </w:p>
    <w:p w14:paraId="3AB0AC6B">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0</w:t>
      </w:r>
      <w:r>
        <w:rPr>
          <w:rFonts w:ascii="Times New Roman" w:hAnsi="Times New Roman" w:eastAsia="仿宋"/>
          <w:bCs/>
          <w:color w:val="auto"/>
          <w:spacing w:val="-2"/>
        </w:rPr>
        <w:t>.4未按规定提交投磋商证金的响应，将被视为自动放弃予以拒绝。</w:t>
      </w:r>
    </w:p>
    <w:p w14:paraId="26D361A2">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0</w:t>
      </w:r>
      <w:r>
        <w:rPr>
          <w:rFonts w:ascii="Times New Roman" w:hAnsi="Times New Roman" w:eastAsia="仿宋"/>
          <w:bCs/>
          <w:color w:val="auto"/>
          <w:spacing w:val="-2"/>
        </w:rPr>
        <w:t>.5成交供应商的磋商保证金将在成交供应商与采购人签订合同、提交履约磋商保证金后退还（由采购代理机构退还），未成交供商磋商保证金在成交合同公示后，同成交供应商磋商保证金一起退还（由采购代理机构退还）。</w:t>
      </w:r>
    </w:p>
    <w:p w14:paraId="165558C0">
      <w:pPr>
        <w:pStyle w:val="29"/>
        <w:snapToGrid w:val="0"/>
        <w:spacing w:line="360" w:lineRule="auto"/>
        <w:ind w:firstLine="472" w:firstLineChars="200"/>
        <w:rPr>
          <w:rFonts w:ascii="Times New Roman" w:hAnsi="Times New Roman" w:eastAsia="仿宋"/>
          <w:bCs/>
          <w:color w:val="auto"/>
          <w:spacing w:val="-2"/>
        </w:rPr>
      </w:pPr>
      <w:bookmarkStart w:id="21" w:name="_Toc9595"/>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1</w:t>
      </w:r>
      <w:r>
        <w:rPr>
          <w:rFonts w:ascii="Times New Roman" w:hAnsi="Times New Roman" w:eastAsia="仿宋"/>
          <w:bCs/>
          <w:color w:val="auto"/>
          <w:spacing w:val="-2"/>
        </w:rPr>
        <w:t>.履约磋商保证金（保函）</w:t>
      </w:r>
      <w:bookmarkEnd w:id="21"/>
    </w:p>
    <w:p w14:paraId="633A6982">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1</w:t>
      </w:r>
      <w:r>
        <w:rPr>
          <w:rFonts w:ascii="Times New Roman" w:hAnsi="Times New Roman" w:eastAsia="仿宋"/>
          <w:bCs/>
          <w:color w:val="auto"/>
          <w:spacing w:val="-2"/>
        </w:rPr>
        <w:t>.1履约磋商保证金用于保护采购人在本次合同履约过程中免受因供应商的行为而蒙受损失；</w:t>
      </w:r>
    </w:p>
    <w:p w14:paraId="52EE7D10">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1</w:t>
      </w:r>
      <w:r>
        <w:rPr>
          <w:rFonts w:ascii="Times New Roman" w:hAnsi="Times New Roman" w:eastAsia="仿宋"/>
          <w:bCs/>
          <w:color w:val="auto"/>
          <w:spacing w:val="-2"/>
        </w:rPr>
        <w:t>.2成交供应商收到《成交通知书》，正式签订合同后5个工作日内，须按竞争性磋商文件的规定提交合同履约磋商保证金（保函），履约磋商保证金（保函）金额不得超过合同总额的10%，由采购人和中标人协商执行。本项目无需缴纳履约保证金。</w:t>
      </w:r>
    </w:p>
    <w:p w14:paraId="2240AAAD">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1</w:t>
      </w:r>
      <w:r>
        <w:rPr>
          <w:rFonts w:ascii="Times New Roman" w:hAnsi="Times New Roman" w:eastAsia="仿宋"/>
          <w:bCs/>
          <w:color w:val="auto"/>
          <w:spacing w:val="-2"/>
        </w:rPr>
        <w:t>.3供应商可以通过支票、电汇、银行保函等非现金方式交纳履约磋商保证金。</w:t>
      </w:r>
    </w:p>
    <w:p w14:paraId="25E07CDA">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1</w:t>
      </w:r>
      <w:r>
        <w:rPr>
          <w:rFonts w:ascii="Times New Roman" w:hAnsi="Times New Roman" w:eastAsia="仿宋"/>
          <w:bCs/>
          <w:color w:val="auto"/>
          <w:spacing w:val="-2"/>
        </w:rPr>
        <w:t>.4成交供应商自行承担与按规定提供履约保证金（保函）有关的全部费用。</w:t>
      </w:r>
    </w:p>
    <w:p w14:paraId="30226E0B">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1</w:t>
      </w:r>
      <w:r>
        <w:rPr>
          <w:rFonts w:ascii="Times New Roman" w:hAnsi="Times New Roman" w:eastAsia="仿宋"/>
          <w:bCs/>
          <w:color w:val="auto"/>
          <w:spacing w:val="-2"/>
        </w:rPr>
        <w:t>.5如果成交供应商未能按合同规定履行其义务，采购人有权没收履约磋商保证金。</w:t>
      </w:r>
    </w:p>
    <w:p w14:paraId="33E47456">
      <w:pPr>
        <w:pStyle w:val="29"/>
        <w:snapToGrid w:val="0"/>
        <w:spacing w:line="360" w:lineRule="auto"/>
        <w:ind w:firstLine="472" w:firstLineChars="200"/>
        <w:rPr>
          <w:rFonts w:ascii="Times New Roman" w:hAnsi="Times New Roman" w:eastAsia="仿宋"/>
          <w:bCs/>
          <w:color w:val="auto"/>
          <w:spacing w:val="-2"/>
        </w:rPr>
      </w:pPr>
      <w:r>
        <w:rPr>
          <w:rFonts w:ascii="Times New Roman" w:hAnsi="Times New Roman" w:eastAsia="仿宋"/>
          <w:bCs/>
          <w:color w:val="auto"/>
          <w:spacing w:val="-2"/>
        </w:rPr>
        <w:t>4</w:t>
      </w:r>
      <w:r>
        <w:rPr>
          <w:rFonts w:hint="eastAsia" w:ascii="Times New Roman" w:hAnsi="Times New Roman" w:eastAsia="仿宋"/>
          <w:bCs/>
          <w:color w:val="auto"/>
          <w:spacing w:val="-2"/>
          <w:lang w:val="en-US" w:eastAsia="zh-CN"/>
        </w:rPr>
        <w:t>1</w:t>
      </w:r>
      <w:r>
        <w:rPr>
          <w:rFonts w:ascii="Times New Roman" w:hAnsi="Times New Roman" w:eastAsia="仿宋"/>
          <w:bCs/>
          <w:color w:val="auto"/>
          <w:spacing w:val="-2"/>
        </w:rPr>
        <w:t>.6成交供应商提交的履约保证金（保函）在验收合格经采购人确认后以电汇方式退还。</w:t>
      </w:r>
    </w:p>
    <w:p w14:paraId="5E4FE700">
      <w:pPr>
        <w:pStyle w:val="29"/>
        <w:pageBreakBefore/>
        <w:spacing w:line="360" w:lineRule="auto"/>
        <w:ind w:firstLine="643" w:firstLineChars="200"/>
        <w:jc w:val="center"/>
        <w:outlineLvl w:val="0"/>
        <w:rPr>
          <w:rFonts w:ascii="Times New Roman" w:hAnsi="Times New Roman" w:eastAsia="仿宋"/>
          <w:b/>
          <w:color w:val="auto"/>
          <w:sz w:val="32"/>
          <w:szCs w:val="32"/>
        </w:rPr>
      </w:pPr>
      <w:bookmarkStart w:id="22" w:name="_Toc8573"/>
      <w:r>
        <w:rPr>
          <w:rFonts w:ascii="Times New Roman" w:hAnsi="Times New Roman" w:eastAsia="仿宋"/>
          <w:b/>
          <w:color w:val="auto"/>
          <w:sz w:val="32"/>
          <w:szCs w:val="32"/>
        </w:rPr>
        <w:t>第三部分 采购需求</w:t>
      </w:r>
      <w:bookmarkEnd w:id="22"/>
    </w:p>
    <w:p w14:paraId="3A5DCA16">
      <w:pPr>
        <w:pStyle w:val="34"/>
        <w:ind w:firstLine="480"/>
        <w:rPr>
          <w:rFonts w:hint="eastAsia" w:ascii="仿宋" w:hAnsi="仿宋" w:eastAsia="仿宋" w:cs="仿宋"/>
        </w:rPr>
      </w:pPr>
      <w:bookmarkStart w:id="23" w:name="_Toc24690"/>
      <w:r>
        <w:rPr>
          <w:rFonts w:hint="eastAsia" w:ascii="仿宋" w:hAnsi="仿宋" w:eastAsia="仿宋" w:cs="仿宋"/>
        </w:rPr>
        <w:t>3.5吨镁燃气熔炉机械加工、装配及现场调试服务标准和要求</w:t>
      </w:r>
    </w:p>
    <w:p w14:paraId="3B1E74BA">
      <w:pPr>
        <w:spacing w:line="360" w:lineRule="auto"/>
        <w:ind w:firstLine="482" w:firstLineChars="200"/>
        <w:rPr>
          <w:rFonts w:eastAsia="仿宋"/>
          <w:b/>
          <w:sz w:val="24"/>
          <w:szCs w:val="24"/>
        </w:rPr>
      </w:pPr>
      <w:r>
        <w:rPr>
          <w:rFonts w:eastAsia="仿宋"/>
          <w:b/>
          <w:sz w:val="24"/>
          <w:szCs w:val="24"/>
        </w:rPr>
        <w:t>一、项目概述及范围</w:t>
      </w:r>
    </w:p>
    <w:p w14:paraId="1A70C908">
      <w:pPr>
        <w:spacing w:line="360" w:lineRule="auto"/>
        <w:ind w:firstLine="480" w:firstLineChars="200"/>
        <w:rPr>
          <w:rFonts w:eastAsia="仿宋"/>
          <w:bCs/>
          <w:color w:val="EE0000"/>
          <w:sz w:val="24"/>
          <w:szCs w:val="24"/>
        </w:rPr>
      </w:pPr>
      <w:r>
        <w:rPr>
          <w:rFonts w:eastAsia="仿宋"/>
          <w:bCs/>
          <w:sz w:val="24"/>
          <w:szCs w:val="24"/>
        </w:rPr>
        <w:t>针对新疆镁冶炼业的原镁纯净化（精炼）环节普遍采用开放型熔剂法间歇式人工操作模式、导致金属镁产品纯净度低、生产效率低、生产过程污染大的问题。自治区2023年12月批准了自治区重点研发厅地联动项目-原镁绿色智能连续纯净化装备研制与示范应用（2023B01020）。3.5吨镁燃气熔炉利用项目牵头单位的兰炭尾气作为燃料，开发连续换热燃气加热技术，对原镁进行提纯净化，是项目核心装备之一。目前，已完成前期设计和原型机级试验。现在需要按照设计和初步试验结果要求，完成加工、装配使得设备满足实际示范应用要求。</w:t>
      </w:r>
    </w:p>
    <w:p w14:paraId="73DCF9FD">
      <w:pPr>
        <w:spacing w:line="360" w:lineRule="auto"/>
        <w:ind w:firstLine="482" w:firstLineChars="200"/>
        <w:rPr>
          <w:rFonts w:eastAsia="仿宋"/>
          <w:b/>
          <w:sz w:val="24"/>
          <w:szCs w:val="24"/>
        </w:rPr>
      </w:pPr>
      <w:r>
        <w:rPr>
          <w:rFonts w:eastAsia="仿宋"/>
          <w:b/>
          <w:sz w:val="24"/>
          <w:szCs w:val="24"/>
        </w:rPr>
        <w:t>二、服务内容</w:t>
      </w:r>
    </w:p>
    <w:p w14:paraId="7F6F670D">
      <w:pPr>
        <w:pStyle w:val="44"/>
        <w:numPr>
          <w:ilvl w:val="0"/>
          <w:numId w:val="3"/>
        </w:numPr>
        <w:tabs>
          <w:tab w:val="left" w:pos="0"/>
        </w:tabs>
        <w:spacing w:line="360" w:lineRule="auto"/>
        <w:ind w:firstLineChars="0"/>
        <w:outlineLvl w:val="1"/>
        <w:rPr>
          <w:rFonts w:eastAsia="仿宋"/>
          <w:b/>
          <w:bCs/>
          <w:kern w:val="44"/>
          <w:sz w:val="24"/>
          <w:szCs w:val="24"/>
        </w:rPr>
      </w:pPr>
      <w:r>
        <w:rPr>
          <w:rFonts w:eastAsia="仿宋"/>
          <w:b/>
          <w:bCs/>
          <w:kern w:val="44"/>
          <w:sz w:val="24"/>
          <w:szCs w:val="24"/>
        </w:rPr>
        <w:t>总体要求</w:t>
      </w:r>
    </w:p>
    <w:p w14:paraId="6FD15F92">
      <w:pPr>
        <w:snapToGrid w:val="0"/>
        <w:spacing w:line="360" w:lineRule="auto"/>
        <w:ind w:firstLine="480" w:firstLineChars="200"/>
        <w:rPr>
          <w:rFonts w:eastAsia="仿宋"/>
          <w:color w:val="EE0000"/>
          <w:sz w:val="24"/>
          <w:szCs w:val="24"/>
        </w:rPr>
      </w:pPr>
      <w:r>
        <w:rPr>
          <w:rFonts w:eastAsia="仿宋"/>
          <w:sz w:val="24"/>
          <w:szCs w:val="24"/>
        </w:rPr>
        <w:t>1.完成3.5吨镁燃气熔炉全部零部件的机械加工，完成后经采购人确认，出具符合GB 50661-2011 《钢结构焊接规范》等对应加工要求的报告，具体加工可在乙方工厂内完成，也可在甲方试验基地（重庆）或者示范基地（哈密）完成，钢板、管材等主要原材料由甲方提供（部分材料在甲方实验基地，重约5吨，乙方根据需要可送至加工地点，运费乙方自行负责）加工期间，甲方需要到现场监督。根据项目进度实际需求，若甲方中途提出改变加工地点的，运费由甲方负责。</w:t>
      </w:r>
    </w:p>
    <w:p w14:paraId="4E4C5C00">
      <w:pPr>
        <w:snapToGrid w:val="0"/>
        <w:spacing w:line="360" w:lineRule="auto"/>
        <w:ind w:firstLine="480" w:firstLineChars="200"/>
        <w:rPr>
          <w:rFonts w:eastAsia="仿宋"/>
          <w:sz w:val="24"/>
          <w:szCs w:val="24"/>
        </w:rPr>
      </w:pPr>
      <w:r>
        <w:rPr>
          <w:rFonts w:eastAsia="仿宋"/>
          <w:sz w:val="24"/>
          <w:szCs w:val="24"/>
        </w:rPr>
        <w:t>2.对所有加工的零部件及甲方采购的用于熔炉的包括但不限于燃烧系统、耐火砖等进行装配集成，形成完整的熔炉装置</w:t>
      </w:r>
      <w:r>
        <w:rPr>
          <w:rFonts w:eastAsia="仿宋"/>
          <w:bCs/>
          <w:sz w:val="24"/>
          <w:szCs w:val="24"/>
        </w:rPr>
        <w:t>。装配工作原则上需要在甲方实验地-重庆沙坪坝区完成，根据项目进度需要，也可能在项目示范地新疆哈密市完成。</w:t>
      </w:r>
    </w:p>
    <w:p w14:paraId="62723E7F">
      <w:pPr>
        <w:snapToGrid w:val="0"/>
        <w:spacing w:line="360" w:lineRule="auto"/>
        <w:ind w:firstLine="480" w:firstLineChars="200"/>
        <w:rPr>
          <w:rFonts w:eastAsia="仿宋"/>
          <w:sz w:val="24"/>
          <w:szCs w:val="24"/>
        </w:rPr>
      </w:pPr>
      <w:r>
        <w:rPr>
          <w:rFonts w:eastAsia="仿宋"/>
          <w:sz w:val="24"/>
          <w:szCs w:val="24"/>
        </w:rPr>
        <w:t>3.配合甲方在项目示范应用地（哈密市）现场进行示范生产，对不完善或者试生产过程出现的问题进行现场整改，对设计不合理的地方提出整改意见协助甲方进行完善优化。现场调试服务工作需要在新疆哈密市完成，自治区对项目完成验收合格后服务终止。</w:t>
      </w:r>
    </w:p>
    <w:p w14:paraId="53D46773">
      <w:pPr>
        <w:pStyle w:val="44"/>
        <w:numPr>
          <w:ilvl w:val="0"/>
          <w:numId w:val="3"/>
        </w:numPr>
        <w:tabs>
          <w:tab w:val="left" w:pos="0"/>
        </w:tabs>
        <w:spacing w:line="360" w:lineRule="auto"/>
        <w:ind w:firstLineChars="0"/>
        <w:outlineLvl w:val="1"/>
        <w:rPr>
          <w:rFonts w:eastAsia="仿宋"/>
          <w:b/>
          <w:bCs/>
          <w:kern w:val="44"/>
          <w:sz w:val="24"/>
          <w:szCs w:val="24"/>
        </w:rPr>
      </w:pPr>
      <w:r>
        <w:rPr>
          <w:rFonts w:eastAsia="仿宋"/>
          <w:b/>
          <w:bCs/>
          <w:kern w:val="44"/>
          <w:sz w:val="24"/>
          <w:szCs w:val="24"/>
        </w:rPr>
        <w:t>机械加工要求及工程量</w:t>
      </w:r>
    </w:p>
    <w:p w14:paraId="768E22A7">
      <w:pPr>
        <w:pStyle w:val="34"/>
        <w:ind w:firstLine="480"/>
        <w:rPr>
          <w:rFonts w:hint="eastAsia"/>
        </w:rPr>
      </w:pPr>
    </w:p>
    <w:p w14:paraId="16919466">
      <w:pPr>
        <w:pStyle w:val="44"/>
        <w:snapToGrid w:val="0"/>
        <w:spacing w:line="360" w:lineRule="auto"/>
        <w:ind w:firstLine="480"/>
        <w:rPr>
          <w:rFonts w:eastAsia="仿宋"/>
          <w:sz w:val="24"/>
          <w:szCs w:val="24"/>
        </w:rPr>
      </w:pPr>
      <w:r>
        <w:rPr>
          <w:rFonts w:eastAsia="仿宋"/>
          <w:sz w:val="24"/>
          <w:szCs w:val="24"/>
        </w:rPr>
        <w:t>1.燃炉炉壳体</w:t>
      </w:r>
    </w:p>
    <w:p w14:paraId="69F6DCED">
      <w:pPr>
        <w:pStyle w:val="44"/>
        <w:snapToGrid w:val="0"/>
        <w:spacing w:line="360" w:lineRule="auto"/>
        <w:ind w:left="1280" w:firstLine="0" w:firstLineChars="0"/>
        <w:rPr>
          <w:rFonts w:eastAsia="仿宋"/>
          <w:sz w:val="24"/>
          <w:szCs w:val="24"/>
        </w:rPr>
      </w:pPr>
      <w:r>
        <w:rPr>
          <w:rFonts w:eastAsia="仿宋"/>
          <w:sz w:val="24"/>
          <w:szCs w:val="24"/>
        </w:rPr>
        <w:drawing>
          <wp:inline distT="0" distB="0" distL="0" distR="0">
            <wp:extent cx="4188460" cy="3731260"/>
            <wp:effectExtent l="0" t="0" r="2540" b="2540"/>
            <wp:docPr id="1217401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01607"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188460" cy="3731260"/>
                    </a:xfrm>
                    <a:prstGeom prst="rect">
                      <a:avLst/>
                    </a:prstGeom>
                    <a:noFill/>
                  </pic:spPr>
                </pic:pic>
              </a:graphicData>
            </a:graphic>
          </wp:inline>
        </w:drawing>
      </w:r>
    </w:p>
    <w:p w14:paraId="3E866210">
      <w:pPr>
        <w:snapToGrid w:val="0"/>
        <w:spacing w:line="360" w:lineRule="auto"/>
        <w:ind w:firstLine="480" w:firstLineChars="200"/>
        <w:rPr>
          <w:rFonts w:eastAsia="仿宋"/>
          <w:sz w:val="24"/>
          <w:szCs w:val="24"/>
        </w:rPr>
      </w:pPr>
      <w:r>
        <w:rPr>
          <w:rFonts w:eastAsia="仿宋"/>
          <w:sz w:val="24"/>
          <w:szCs w:val="24"/>
        </w:rPr>
        <w:t>工程量主要包括但不限于炉壳材料下料、钻孔及激光加工，壳体外形（4602*2102*2287），由100*6方管和8MMQ235B钢板焊接成型，方管用于壳体加固，钢板组焊采用双面焊接成型，要求立柱的平直度和炉壳表面的平整，型钢与炉壳的断续焊要求长度50mm，间隔小于150mm。焊接要求严格按GB 50661-2011《钢结构焊接规范》执行。</w:t>
      </w:r>
    </w:p>
    <w:p w14:paraId="446CE437">
      <w:pPr>
        <w:pStyle w:val="44"/>
        <w:snapToGrid w:val="0"/>
        <w:spacing w:line="360" w:lineRule="auto"/>
        <w:ind w:firstLine="480"/>
        <w:rPr>
          <w:rFonts w:eastAsia="仿宋"/>
          <w:sz w:val="24"/>
          <w:szCs w:val="24"/>
        </w:rPr>
      </w:pPr>
      <w:r>
        <w:rPr>
          <w:rFonts w:eastAsia="仿宋"/>
          <w:sz w:val="24"/>
          <w:szCs w:val="24"/>
        </w:rPr>
        <w:t>2.浇注泵</w:t>
      </w:r>
    </w:p>
    <w:p w14:paraId="207BFB1B">
      <w:pPr>
        <w:snapToGrid w:val="0"/>
        <w:spacing w:line="360" w:lineRule="auto"/>
        <w:jc w:val="center"/>
        <w:rPr>
          <w:rFonts w:eastAsia="仿宋"/>
          <w:sz w:val="24"/>
          <w:szCs w:val="24"/>
        </w:rPr>
      </w:pPr>
      <w:r>
        <w:rPr>
          <w:rFonts w:eastAsia="仿宋"/>
          <w:sz w:val="24"/>
          <w:szCs w:val="24"/>
        </w:rPr>
        <w:drawing>
          <wp:inline distT="0" distB="0" distL="0" distR="0">
            <wp:extent cx="2231390" cy="3048000"/>
            <wp:effectExtent l="0" t="0" r="16510" b="0"/>
            <wp:docPr id="7512283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28361"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231390" cy="3048000"/>
                    </a:xfrm>
                    <a:prstGeom prst="rect">
                      <a:avLst/>
                    </a:prstGeom>
                    <a:noFill/>
                  </pic:spPr>
                </pic:pic>
              </a:graphicData>
            </a:graphic>
          </wp:inline>
        </w:drawing>
      </w:r>
    </w:p>
    <w:p w14:paraId="4F5D0E94">
      <w:pPr>
        <w:pStyle w:val="44"/>
        <w:snapToGrid w:val="0"/>
        <w:spacing w:line="360" w:lineRule="auto"/>
        <w:ind w:firstLine="480"/>
        <w:rPr>
          <w:rFonts w:eastAsia="仿宋"/>
          <w:sz w:val="24"/>
          <w:szCs w:val="24"/>
        </w:rPr>
      </w:pPr>
      <w:r>
        <w:rPr>
          <w:rFonts w:eastAsia="仿宋"/>
          <w:sz w:val="24"/>
          <w:szCs w:val="24"/>
        </w:rPr>
        <w:t>浇注泵的工程量主要包括但不限于壳体、泵筒、泵轴、底板、法兰、轴套、导杆、连接套、出水管等车铣加工、线切割，未标注公差按照GB/T 1804-2000(中等m)执行，按照GB 50733-2012 不锈钢管道工程施工及验收规范。</w:t>
      </w:r>
    </w:p>
    <w:p w14:paraId="40052074">
      <w:pPr>
        <w:pStyle w:val="44"/>
        <w:snapToGrid w:val="0"/>
        <w:spacing w:line="360" w:lineRule="auto"/>
        <w:ind w:firstLine="480"/>
        <w:rPr>
          <w:rFonts w:eastAsia="仿宋"/>
          <w:sz w:val="24"/>
          <w:szCs w:val="24"/>
        </w:rPr>
      </w:pPr>
      <w:r>
        <w:rPr>
          <w:rFonts w:eastAsia="仿宋"/>
          <w:sz w:val="24"/>
          <w:szCs w:val="24"/>
        </w:rPr>
        <w:t>3.热电偶套管</w:t>
      </w:r>
    </w:p>
    <w:p w14:paraId="1FBAD011">
      <w:pPr>
        <w:pStyle w:val="44"/>
        <w:snapToGrid w:val="0"/>
        <w:spacing w:line="360" w:lineRule="auto"/>
        <w:ind w:firstLine="480"/>
        <w:rPr>
          <w:rFonts w:eastAsia="仿宋"/>
          <w:sz w:val="24"/>
          <w:szCs w:val="24"/>
        </w:rPr>
      </w:pPr>
      <w:r>
        <w:rPr>
          <w:rFonts w:eastAsia="仿宋"/>
          <w:sz w:val="24"/>
          <w:szCs w:val="24"/>
        </w:rPr>
        <w:t>热电偶套管加工，材料为0Cr13，长800，外径30MM，内孔直径8MM。数量6套，公差按照GB/T 1804-2000(中等m)执行，其他焊接工艺按GB 50661-2011 《钢结构焊接规范》执行。</w:t>
      </w:r>
    </w:p>
    <w:p w14:paraId="5CCCF26B">
      <w:pPr>
        <w:pStyle w:val="44"/>
        <w:snapToGrid w:val="0"/>
        <w:spacing w:line="360" w:lineRule="auto"/>
        <w:ind w:firstLine="480"/>
        <w:rPr>
          <w:rFonts w:eastAsia="仿宋"/>
          <w:sz w:val="24"/>
          <w:szCs w:val="24"/>
        </w:rPr>
      </w:pPr>
      <w:r>
        <w:rPr>
          <w:rFonts w:eastAsia="仿宋"/>
          <w:sz w:val="24"/>
          <w:szCs w:val="24"/>
        </w:rPr>
        <w:t>4.燃烧系统连接部分的非标法兰、非标接头</w:t>
      </w:r>
    </w:p>
    <w:p w14:paraId="3D7CCF55">
      <w:pPr>
        <w:pStyle w:val="2"/>
        <w:ind w:left="560"/>
        <w:rPr>
          <w:rFonts w:eastAsia="仿宋"/>
          <w:sz w:val="24"/>
          <w:szCs w:val="24"/>
        </w:rPr>
      </w:pPr>
      <w:r>
        <w:rPr>
          <w:rFonts w:eastAsia="仿宋"/>
          <w:sz w:val="24"/>
          <w:szCs w:val="24"/>
        </w:rPr>
        <w:drawing>
          <wp:inline distT="0" distB="0" distL="0" distR="0">
            <wp:extent cx="3986530" cy="2528570"/>
            <wp:effectExtent l="0" t="0" r="13970" b="5080"/>
            <wp:docPr id="6945038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03825" name="图片 1"/>
                    <pic:cNvPicPr>
                      <a:picLocks noChangeAspect="1"/>
                    </pic:cNvPicPr>
                  </pic:nvPicPr>
                  <pic:blipFill>
                    <a:blip r:embed="rId23"/>
                    <a:srcRect t="1484" b="1"/>
                    <a:stretch>
                      <a:fillRect/>
                    </a:stretch>
                  </pic:blipFill>
                  <pic:spPr>
                    <a:xfrm>
                      <a:off x="0" y="0"/>
                      <a:ext cx="3994221" cy="2533117"/>
                    </a:xfrm>
                    <a:prstGeom prst="rect">
                      <a:avLst/>
                    </a:prstGeom>
                    <a:ln>
                      <a:noFill/>
                    </a:ln>
                  </pic:spPr>
                </pic:pic>
              </a:graphicData>
            </a:graphic>
          </wp:inline>
        </w:drawing>
      </w:r>
    </w:p>
    <w:p w14:paraId="782ACF42">
      <w:pPr>
        <w:pStyle w:val="2"/>
        <w:ind w:firstLine="480" w:firstLineChars="200"/>
        <w:rPr>
          <w:rFonts w:eastAsia="仿宋"/>
          <w:sz w:val="24"/>
          <w:szCs w:val="24"/>
        </w:rPr>
      </w:pPr>
      <w:r>
        <w:rPr>
          <w:rFonts w:eastAsia="仿宋"/>
          <w:sz w:val="24"/>
          <w:szCs w:val="24"/>
        </w:rPr>
        <w:t>烧系统连接部分的非标法兰、非标接头的下料及车加工、钻孔、攻丝、攻牙（燃气管道依附于熔炉外围），按照GB 50235-2010 工业金属管道工程施工规范（不锈钢专篇7.6）、 GB 50236-2011 现场设备、工业管道焊接工程施工规范、GB 50733-2012 不锈钢管道工程施工及验收规范、GB/T 14976 流体输送用不锈钢无缝钢管（母材）、NB/T 47013 承压设备无损检测（探伤）、NB/T 47014/47015 焊接工艺评定要求执行。在焊接前要求采用坡口加工，必须机械加工或等离子切割，热加工后彻底除氧化皮、打磨，错边量：≤10%δ，且≤1mm；组对与清洁；间隙 1.5～2.5mm；严禁强力对口、铁污染。</w:t>
      </w:r>
    </w:p>
    <w:p w14:paraId="1D5E1FF3">
      <w:pPr>
        <w:pStyle w:val="44"/>
        <w:snapToGrid w:val="0"/>
        <w:spacing w:line="360" w:lineRule="auto"/>
        <w:ind w:firstLine="480"/>
        <w:rPr>
          <w:rFonts w:eastAsia="仿宋"/>
          <w:sz w:val="24"/>
          <w:szCs w:val="24"/>
        </w:rPr>
      </w:pPr>
      <w:r>
        <w:rPr>
          <w:rFonts w:eastAsia="仿宋"/>
          <w:sz w:val="24"/>
          <w:szCs w:val="24"/>
        </w:rPr>
        <w:t>5.浇管</w:t>
      </w:r>
    </w:p>
    <w:p w14:paraId="3EFC6241">
      <w:pPr>
        <w:pStyle w:val="44"/>
        <w:snapToGrid w:val="0"/>
        <w:spacing w:line="360" w:lineRule="auto"/>
        <w:ind w:left="1280" w:firstLine="0" w:firstLineChars="0"/>
        <w:rPr>
          <w:rFonts w:eastAsia="仿宋"/>
          <w:sz w:val="24"/>
          <w:szCs w:val="24"/>
        </w:rPr>
      </w:pPr>
      <w:r>
        <w:rPr>
          <w:rFonts w:eastAsia="仿宋"/>
          <w:sz w:val="24"/>
          <w:szCs w:val="24"/>
        </w:rPr>
        <w:drawing>
          <wp:inline distT="0" distB="0" distL="0" distR="0">
            <wp:extent cx="3996690" cy="2846705"/>
            <wp:effectExtent l="0" t="0" r="381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011339" cy="2857101"/>
                    </a:xfrm>
                    <a:prstGeom prst="rect">
                      <a:avLst/>
                    </a:prstGeom>
                  </pic:spPr>
                </pic:pic>
              </a:graphicData>
            </a:graphic>
          </wp:inline>
        </w:drawing>
      </w:r>
    </w:p>
    <w:p w14:paraId="73521B32">
      <w:pPr>
        <w:pStyle w:val="44"/>
        <w:snapToGrid w:val="0"/>
        <w:spacing w:line="360" w:lineRule="auto"/>
        <w:ind w:firstLine="480"/>
        <w:rPr>
          <w:rFonts w:eastAsia="仿宋"/>
          <w:sz w:val="24"/>
          <w:szCs w:val="24"/>
        </w:rPr>
      </w:pPr>
      <w:r>
        <w:rPr>
          <w:rFonts w:eastAsia="仿宋"/>
          <w:sz w:val="24"/>
          <w:szCs w:val="24"/>
        </w:rPr>
        <w:t>浇管的内管下料、外壳下料及折弯、内管连接件车铣加工、连接法兰的车加工、加热套的车加工，未标注公差按照GB/T 1804-2000(中等m)执行，按照GB 50235-2010 工业金属管道工程施工规范、 GB 50236-2011 现场设备、工业管道焊接工程施工规范、GB 50733-2012 不锈钢管道工程施工及验收规范、GB/T 14976 流体输送用不锈钢无缝钢管（母材）、NB/T 47014/47015 焊接工艺评定要求执行。</w:t>
      </w:r>
    </w:p>
    <w:p w14:paraId="2FEA4739">
      <w:pPr>
        <w:ind w:firstLine="480" w:firstLineChars="200"/>
        <w:rPr>
          <w:rFonts w:eastAsia="仿宋"/>
          <w:sz w:val="24"/>
          <w:szCs w:val="24"/>
        </w:rPr>
      </w:pPr>
      <w:r>
        <w:rPr>
          <w:rFonts w:eastAsia="仿宋"/>
          <w:sz w:val="24"/>
          <w:szCs w:val="24"/>
        </w:rPr>
        <w:t>因加工不当导致原材料的损失由乙方负责赔偿损失。</w:t>
      </w:r>
    </w:p>
    <w:p w14:paraId="49BB2B80">
      <w:pPr>
        <w:pStyle w:val="44"/>
        <w:numPr>
          <w:ilvl w:val="0"/>
          <w:numId w:val="3"/>
        </w:numPr>
        <w:ind w:firstLineChars="0"/>
        <w:rPr>
          <w:rFonts w:eastAsia="仿宋"/>
          <w:b/>
          <w:bCs/>
          <w:kern w:val="44"/>
          <w:sz w:val="24"/>
          <w:szCs w:val="24"/>
        </w:rPr>
      </w:pPr>
      <w:r>
        <w:rPr>
          <w:rFonts w:eastAsia="仿宋"/>
          <w:b/>
          <w:bCs/>
          <w:kern w:val="44"/>
          <w:sz w:val="24"/>
          <w:szCs w:val="24"/>
        </w:rPr>
        <w:t>装配要求及工程量</w:t>
      </w:r>
    </w:p>
    <w:p w14:paraId="2C80A684">
      <w:pPr>
        <w:snapToGrid w:val="0"/>
        <w:spacing w:line="360" w:lineRule="auto"/>
        <w:ind w:firstLine="480" w:firstLineChars="200"/>
        <w:rPr>
          <w:rFonts w:eastAsia="仿宋"/>
          <w:sz w:val="24"/>
          <w:szCs w:val="24"/>
        </w:rPr>
      </w:pPr>
      <w:r>
        <w:rPr>
          <w:rFonts w:eastAsia="仿宋"/>
          <w:sz w:val="24"/>
          <w:szCs w:val="24"/>
        </w:rPr>
        <w:t>装备装配完成后，外形及外形尺寸如下图所示：</w:t>
      </w:r>
    </w:p>
    <w:p w14:paraId="5E80E7B3">
      <w:pPr>
        <w:pStyle w:val="44"/>
        <w:ind w:firstLine="0" w:firstLineChars="0"/>
        <w:rPr>
          <w:rFonts w:eastAsia="仿宋"/>
          <w:b/>
          <w:bCs/>
          <w:kern w:val="44"/>
          <w:sz w:val="24"/>
          <w:szCs w:val="24"/>
        </w:rPr>
      </w:pPr>
      <w:r>
        <w:rPr>
          <w:rFonts w:eastAsia="仿宋"/>
          <w:b/>
          <w:bCs/>
          <w:kern w:val="44"/>
          <w:sz w:val="24"/>
          <w:szCs w:val="24"/>
        </w:rPr>
        <w:drawing>
          <wp:inline distT="0" distB="0" distL="0" distR="0">
            <wp:extent cx="5274310" cy="3726815"/>
            <wp:effectExtent l="0" t="0" r="2540" b="6985"/>
            <wp:docPr id="16236706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70692"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274310" cy="3726815"/>
                    </a:xfrm>
                    <a:prstGeom prst="rect">
                      <a:avLst/>
                    </a:prstGeom>
                    <a:noFill/>
                    <a:ln>
                      <a:noFill/>
                    </a:ln>
                  </pic:spPr>
                </pic:pic>
              </a:graphicData>
            </a:graphic>
          </wp:inline>
        </w:drawing>
      </w:r>
    </w:p>
    <w:p w14:paraId="12459E63">
      <w:pPr>
        <w:pStyle w:val="44"/>
        <w:numPr>
          <w:ilvl w:val="0"/>
          <w:numId w:val="4"/>
        </w:numPr>
        <w:ind w:firstLineChars="0"/>
        <w:rPr>
          <w:rFonts w:eastAsia="仿宋"/>
          <w:b/>
          <w:bCs/>
          <w:kern w:val="44"/>
          <w:sz w:val="24"/>
          <w:szCs w:val="24"/>
        </w:rPr>
      </w:pPr>
      <w:r>
        <w:rPr>
          <w:rFonts w:eastAsia="仿宋"/>
          <w:b/>
          <w:bCs/>
          <w:kern w:val="44"/>
          <w:sz w:val="24"/>
          <w:szCs w:val="24"/>
        </w:rPr>
        <w:t>筑炉要求及工程量</w:t>
      </w:r>
    </w:p>
    <w:p w14:paraId="13DA0612">
      <w:pPr>
        <w:snapToGrid w:val="0"/>
        <w:spacing w:line="360" w:lineRule="auto"/>
        <w:ind w:firstLine="480" w:firstLineChars="200"/>
        <w:rPr>
          <w:rFonts w:eastAsia="仿宋"/>
          <w:sz w:val="24"/>
          <w:szCs w:val="24"/>
        </w:rPr>
      </w:pPr>
      <w:r>
        <w:rPr>
          <w:rFonts w:eastAsia="仿宋"/>
          <w:sz w:val="24"/>
          <w:szCs w:val="24"/>
        </w:rPr>
        <w:t>（1）炉衬的铺设（硅酸铝纤维棉），单层40平方米，共3层，接缝交错布置。</w:t>
      </w:r>
    </w:p>
    <w:p w14:paraId="2E27ACAB">
      <w:pPr>
        <w:snapToGrid w:val="0"/>
        <w:spacing w:line="360" w:lineRule="auto"/>
        <w:ind w:firstLine="480" w:firstLineChars="200"/>
        <w:rPr>
          <w:rFonts w:eastAsia="仿宋"/>
          <w:sz w:val="24"/>
          <w:szCs w:val="24"/>
        </w:rPr>
      </w:pPr>
      <w:r>
        <w:rPr>
          <w:rFonts w:eastAsia="仿宋"/>
          <w:sz w:val="24"/>
          <w:szCs w:val="24"/>
        </w:rPr>
        <w:t>（2）耐火砖砌炉施工，砖缝间距小于1.5毫米，铺设2000-4000块砖（根据是生产效果进行调整）。要求：Ⅰ类（高温/侵蚀）：≤1mm，饱满度＞95%；Ⅱ类（一般工作层）：≤2mm，饱满度＞90%；Ⅲ类（隔热层）：≤3mm；Ⅳ类（保温层）：≤5mm；严禁干砌、通缝、重缝、瞎缝。拱顶：锁砖垂直打入、均匀、数量足够。反拱底：拱脚砖必须砌入墙内。吊挂/锚固砖：受力区严禁裂纹。清洁与湿砌：砌筑前砖洒水湿润；工作面干净、无油污、无杂物；隔热层与工作层错缝、紧贴。</w:t>
      </w:r>
    </w:p>
    <w:p w14:paraId="4317E494">
      <w:pPr>
        <w:pStyle w:val="2"/>
        <w:spacing w:after="0" w:line="360" w:lineRule="auto"/>
        <w:ind w:firstLine="480" w:firstLineChars="200"/>
        <w:rPr>
          <w:rFonts w:eastAsia="仿宋"/>
          <w:sz w:val="24"/>
          <w:szCs w:val="24"/>
        </w:rPr>
      </w:pPr>
      <w:r>
        <w:rPr>
          <w:rFonts w:eastAsia="仿宋"/>
          <w:sz w:val="24"/>
          <w:szCs w:val="24"/>
        </w:rPr>
        <w:t>（3）质量验收标准（GB 50309-2017）</w:t>
      </w:r>
    </w:p>
    <w:p w14:paraId="06A8CE0C">
      <w:pPr>
        <w:snapToGrid w:val="0"/>
        <w:spacing w:line="360" w:lineRule="auto"/>
        <w:ind w:firstLine="600" w:firstLineChars="250"/>
        <w:rPr>
          <w:rFonts w:eastAsia="仿宋"/>
          <w:sz w:val="24"/>
          <w:szCs w:val="24"/>
        </w:rPr>
      </w:pPr>
      <w:r>
        <w:rPr>
          <w:rFonts w:eastAsia="仿宋"/>
          <w:sz w:val="24"/>
          <w:szCs w:val="24"/>
        </w:rPr>
        <w:t>砖缝厚度、泥浆饱满度达标；拱顶、吊挂、反拱结构合格；无裂纹、脱落、松动、空洞；一般项目（≥80%合格）；表面平整度：用2m靠尺≤3～5mm；中心线、标高、尺寸偏差符合规范；烧嘴砖、膨胀缝、测温孔位置准确</w:t>
      </w:r>
    </w:p>
    <w:p w14:paraId="14F55264">
      <w:pPr>
        <w:pStyle w:val="44"/>
        <w:numPr>
          <w:ilvl w:val="0"/>
          <w:numId w:val="4"/>
        </w:numPr>
        <w:spacing w:line="360" w:lineRule="auto"/>
        <w:ind w:firstLineChars="0"/>
        <w:rPr>
          <w:rFonts w:eastAsia="仿宋"/>
          <w:b/>
          <w:bCs/>
          <w:kern w:val="44"/>
          <w:sz w:val="24"/>
          <w:szCs w:val="24"/>
        </w:rPr>
      </w:pPr>
      <w:r>
        <w:rPr>
          <w:rFonts w:eastAsia="仿宋"/>
          <w:b/>
          <w:bCs/>
          <w:kern w:val="44"/>
          <w:sz w:val="24"/>
          <w:szCs w:val="24"/>
        </w:rPr>
        <w:t>燃烧系统装配要求及工程量</w:t>
      </w:r>
    </w:p>
    <w:p w14:paraId="22668A5D">
      <w:pPr>
        <w:pStyle w:val="44"/>
        <w:spacing w:line="360" w:lineRule="auto"/>
        <w:ind w:firstLine="480"/>
        <w:rPr>
          <w:rFonts w:eastAsia="仿宋"/>
          <w:sz w:val="24"/>
          <w:szCs w:val="24"/>
        </w:rPr>
      </w:pPr>
      <w:r>
        <w:rPr>
          <w:rFonts w:eastAsia="仿宋"/>
          <w:sz w:val="24"/>
          <w:szCs w:val="24"/>
        </w:rPr>
        <w:t>（1）阀门与管道的连接</w:t>
      </w:r>
    </w:p>
    <w:p w14:paraId="52D6E8ED">
      <w:pPr>
        <w:pStyle w:val="44"/>
        <w:spacing w:line="360" w:lineRule="auto"/>
        <w:ind w:firstLine="480"/>
        <w:rPr>
          <w:rFonts w:eastAsia="仿宋"/>
          <w:sz w:val="24"/>
          <w:szCs w:val="24"/>
        </w:rPr>
      </w:pPr>
      <w:r>
        <w:rPr>
          <w:rFonts w:eastAsia="仿宋"/>
          <w:sz w:val="24"/>
          <w:szCs w:val="24"/>
        </w:rPr>
        <w:t>阀门工程量约为50个，总管道长约50米，实际工程量根据现场确定。按照GB 50235、GB 50184、SH/T 3517执行。</w:t>
      </w:r>
    </w:p>
    <w:p w14:paraId="19B2AF75">
      <w:pPr>
        <w:pStyle w:val="44"/>
        <w:spacing w:line="360" w:lineRule="auto"/>
        <w:ind w:firstLine="480"/>
        <w:rPr>
          <w:rFonts w:eastAsia="仿宋"/>
          <w:sz w:val="24"/>
          <w:szCs w:val="24"/>
        </w:rPr>
      </w:pPr>
      <w:r>
        <w:rPr>
          <w:rFonts w:eastAsia="仿宋"/>
          <w:sz w:val="24"/>
          <w:szCs w:val="24"/>
        </w:rPr>
        <w:t>（2）连接支架安装固定，可根据上述三视图进行估算，最终以现场实际需要为准。</w:t>
      </w:r>
    </w:p>
    <w:p w14:paraId="7701C96F">
      <w:pPr>
        <w:pStyle w:val="44"/>
        <w:numPr>
          <w:ilvl w:val="0"/>
          <w:numId w:val="4"/>
        </w:numPr>
        <w:spacing w:line="360" w:lineRule="auto"/>
        <w:ind w:firstLineChars="0"/>
        <w:rPr>
          <w:rFonts w:eastAsia="仿宋"/>
          <w:b/>
          <w:bCs/>
          <w:kern w:val="44"/>
          <w:sz w:val="24"/>
          <w:szCs w:val="24"/>
        </w:rPr>
      </w:pPr>
      <w:r>
        <w:rPr>
          <w:rFonts w:eastAsia="仿宋"/>
          <w:b/>
          <w:bCs/>
          <w:kern w:val="44"/>
          <w:sz w:val="24"/>
          <w:szCs w:val="24"/>
        </w:rPr>
        <w:t>浇注系统装配要求及工程量</w:t>
      </w:r>
    </w:p>
    <w:p w14:paraId="1A998E6E">
      <w:pPr>
        <w:pStyle w:val="44"/>
        <w:spacing w:line="360" w:lineRule="auto"/>
        <w:ind w:firstLine="480"/>
        <w:rPr>
          <w:rFonts w:eastAsia="仿宋"/>
          <w:sz w:val="24"/>
          <w:szCs w:val="24"/>
        </w:rPr>
      </w:pPr>
      <w:r>
        <w:rPr>
          <w:rFonts w:eastAsia="仿宋"/>
          <w:sz w:val="24"/>
          <w:szCs w:val="24"/>
        </w:rPr>
        <w:t>（1）阀门与管道的连接</w:t>
      </w:r>
    </w:p>
    <w:p w14:paraId="0FF9C30B">
      <w:pPr>
        <w:pStyle w:val="44"/>
        <w:spacing w:line="360" w:lineRule="auto"/>
        <w:ind w:firstLine="480"/>
        <w:rPr>
          <w:rFonts w:eastAsia="仿宋"/>
          <w:sz w:val="24"/>
          <w:szCs w:val="24"/>
        </w:rPr>
      </w:pPr>
      <w:r>
        <w:rPr>
          <w:rFonts w:eastAsia="仿宋"/>
          <w:sz w:val="24"/>
          <w:szCs w:val="24"/>
        </w:rPr>
        <w:t>阀门工程量约为50个，总管道长约50米，实际工程根据现场确定。按照GB 50235、GB 50184、SH/T 3517执行。</w:t>
      </w:r>
    </w:p>
    <w:p w14:paraId="7BBC2F7F">
      <w:pPr>
        <w:pStyle w:val="44"/>
        <w:spacing w:line="360" w:lineRule="auto"/>
        <w:ind w:firstLine="480"/>
        <w:rPr>
          <w:rFonts w:eastAsia="仿宋"/>
          <w:sz w:val="24"/>
          <w:szCs w:val="24"/>
        </w:rPr>
      </w:pPr>
      <w:r>
        <w:rPr>
          <w:rFonts w:eastAsia="仿宋"/>
          <w:sz w:val="24"/>
          <w:szCs w:val="24"/>
        </w:rPr>
        <w:t>（2）连接支架安装固定</w:t>
      </w:r>
    </w:p>
    <w:p w14:paraId="7D77054F">
      <w:pPr>
        <w:pStyle w:val="44"/>
        <w:numPr>
          <w:ilvl w:val="0"/>
          <w:numId w:val="4"/>
        </w:numPr>
        <w:spacing w:line="360" w:lineRule="auto"/>
        <w:ind w:firstLineChars="0"/>
        <w:rPr>
          <w:rFonts w:eastAsia="仿宋"/>
          <w:b/>
          <w:bCs/>
          <w:kern w:val="44"/>
          <w:sz w:val="24"/>
          <w:szCs w:val="24"/>
        </w:rPr>
      </w:pPr>
      <w:r>
        <w:rPr>
          <w:rFonts w:eastAsia="仿宋"/>
          <w:b/>
          <w:bCs/>
          <w:kern w:val="44"/>
          <w:sz w:val="24"/>
          <w:szCs w:val="24"/>
        </w:rPr>
        <w:t>坩埚炉盖系统装配要求及工程量</w:t>
      </w:r>
    </w:p>
    <w:p w14:paraId="5A13905F">
      <w:pPr>
        <w:spacing w:line="360" w:lineRule="auto"/>
        <w:ind w:firstLine="480" w:firstLineChars="200"/>
        <w:rPr>
          <w:rFonts w:eastAsia="仿宋"/>
          <w:sz w:val="24"/>
          <w:szCs w:val="24"/>
        </w:rPr>
      </w:pPr>
      <w:r>
        <w:rPr>
          <w:rFonts w:eastAsia="仿宋"/>
          <w:sz w:val="24"/>
          <w:szCs w:val="24"/>
        </w:rPr>
        <w:t>（1）配合合作单位将坩埚系统吊装到熔炉炉体、铺棉定位、定位块装配，按照现场指挥人员具体要求执行。</w:t>
      </w:r>
    </w:p>
    <w:p w14:paraId="3B968346">
      <w:pPr>
        <w:spacing w:line="360" w:lineRule="auto"/>
        <w:ind w:firstLine="480" w:firstLineChars="200"/>
        <w:rPr>
          <w:rFonts w:eastAsia="仿宋"/>
          <w:sz w:val="24"/>
          <w:szCs w:val="24"/>
        </w:rPr>
      </w:pPr>
      <w:r>
        <w:rPr>
          <w:rFonts w:eastAsia="仿宋"/>
          <w:sz w:val="24"/>
          <w:szCs w:val="24"/>
        </w:rPr>
        <w:t>（2）炉盖与坩埚的装配、螺母紧固，螺纹无滑丝，按照常规扭矩标准紧固。</w:t>
      </w:r>
    </w:p>
    <w:p w14:paraId="1836EA73">
      <w:pPr>
        <w:pStyle w:val="44"/>
        <w:numPr>
          <w:ilvl w:val="0"/>
          <w:numId w:val="4"/>
        </w:numPr>
        <w:spacing w:line="360" w:lineRule="auto"/>
        <w:ind w:firstLineChars="0"/>
        <w:rPr>
          <w:rFonts w:eastAsia="仿宋"/>
          <w:b/>
          <w:bCs/>
          <w:kern w:val="44"/>
          <w:sz w:val="24"/>
          <w:szCs w:val="24"/>
        </w:rPr>
      </w:pPr>
      <w:r>
        <w:rPr>
          <w:rFonts w:eastAsia="仿宋"/>
          <w:b/>
          <w:bCs/>
          <w:kern w:val="44"/>
          <w:sz w:val="24"/>
          <w:szCs w:val="24"/>
        </w:rPr>
        <w:t>保护气体系统装配要求及工程量</w:t>
      </w:r>
    </w:p>
    <w:p w14:paraId="0DCD0556">
      <w:pPr>
        <w:spacing w:line="360" w:lineRule="auto"/>
        <w:ind w:firstLine="480" w:firstLineChars="200"/>
        <w:rPr>
          <w:rFonts w:eastAsia="仿宋"/>
          <w:sz w:val="24"/>
          <w:szCs w:val="24"/>
        </w:rPr>
      </w:pPr>
      <w:r>
        <w:rPr>
          <w:rFonts w:eastAsia="仿宋"/>
          <w:sz w:val="24"/>
          <w:szCs w:val="24"/>
        </w:rPr>
        <w:t>（1）管道连接，按照常规扭矩标准紧固。</w:t>
      </w:r>
    </w:p>
    <w:p w14:paraId="0D5279A1">
      <w:pPr>
        <w:spacing w:line="360" w:lineRule="auto"/>
        <w:ind w:firstLine="480" w:firstLineChars="200"/>
        <w:rPr>
          <w:rFonts w:eastAsia="仿宋"/>
          <w:sz w:val="24"/>
          <w:szCs w:val="24"/>
        </w:rPr>
      </w:pPr>
      <w:r>
        <w:rPr>
          <w:rFonts w:eastAsia="仿宋"/>
          <w:sz w:val="24"/>
          <w:szCs w:val="24"/>
        </w:rPr>
        <w:t>（2）接头紧固，按照常规扭矩标准紧固。</w:t>
      </w:r>
    </w:p>
    <w:p w14:paraId="3010D09C">
      <w:pPr>
        <w:spacing w:line="360" w:lineRule="auto"/>
        <w:ind w:firstLine="480" w:firstLineChars="200"/>
        <w:rPr>
          <w:rFonts w:eastAsia="仿宋"/>
          <w:sz w:val="24"/>
          <w:szCs w:val="24"/>
        </w:rPr>
      </w:pPr>
      <w:r>
        <w:rPr>
          <w:rFonts w:eastAsia="仿宋"/>
          <w:sz w:val="24"/>
          <w:szCs w:val="24"/>
        </w:rPr>
        <w:t>因装配不当导致系统零部件损失的损失由乙方负责赔偿损失。</w:t>
      </w:r>
    </w:p>
    <w:p w14:paraId="101FB037">
      <w:pPr>
        <w:pStyle w:val="44"/>
        <w:numPr>
          <w:ilvl w:val="0"/>
          <w:numId w:val="3"/>
        </w:numPr>
        <w:spacing w:line="360" w:lineRule="auto"/>
        <w:ind w:firstLineChars="0"/>
        <w:rPr>
          <w:rFonts w:eastAsia="仿宋"/>
          <w:b/>
          <w:bCs/>
          <w:kern w:val="44"/>
          <w:sz w:val="24"/>
          <w:szCs w:val="24"/>
        </w:rPr>
      </w:pPr>
      <w:r>
        <w:rPr>
          <w:rFonts w:eastAsia="仿宋"/>
          <w:b/>
          <w:bCs/>
          <w:kern w:val="44"/>
          <w:sz w:val="24"/>
          <w:szCs w:val="24"/>
        </w:rPr>
        <w:t>现场调试服务要求及工程量</w:t>
      </w:r>
    </w:p>
    <w:p w14:paraId="2AB7E2A8">
      <w:pPr>
        <w:spacing w:line="360" w:lineRule="auto"/>
        <w:ind w:firstLine="480" w:firstLineChars="200"/>
        <w:rPr>
          <w:rFonts w:eastAsia="仿宋"/>
          <w:sz w:val="24"/>
          <w:szCs w:val="24"/>
        </w:rPr>
      </w:pPr>
      <w:r>
        <w:rPr>
          <w:rFonts w:eastAsia="仿宋"/>
          <w:sz w:val="24"/>
          <w:szCs w:val="24"/>
        </w:rPr>
        <w:t>1.人员配备及服务要求：熔炉到达现场后，人员随车到场。要求项目现场负责人1人；现场焊工1人，要求有特种作业资质及相关证书；现场机械装配工人1人；要求人员24小时响应直到项目验收合格为止（2026年12月31日或自治区验收通过之日，以两者最晚时间为准），要求人员为乙方固定员工，要有社保，考虑到现场的危险性，要求为驻场员工购买意外保险。驻场服务期间的食宿等由乙方自行解决。</w:t>
      </w:r>
    </w:p>
    <w:p w14:paraId="6B7F151B">
      <w:pPr>
        <w:pStyle w:val="44"/>
        <w:spacing w:line="360" w:lineRule="auto"/>
        <w:ind w:firstLine="480"/>
        <w:rPr>
          <w:rFonts w:eastAsia="仿宋"/>
          <w:sz w:val="24"/>
          <w:szCs w:val="24"/>
        </w:rPr>
      </w:pPr>
      <w:r>
        <w:rPr>
          <w:rFonts w:eastAsia="仿宋"/>
          <w:sz w:val="24"/>
          <w:szCs w:val="24"/>
        </w:rPr>
        <w:t>2.生产过程中出现质量隐患，需在不影响试生产前提下12小时之内解决。如未及时解决，按实际生产损失赔付。</w:t>
      </w:r>
    </w:p>
    <w:p w14:paraId="055990FE">
      <w:pPr>
        <w:pStyle w:val="44"/>
        <w:spacing w:line="360" w:lineRule="auto"/>
        <w:ind w:firstLine="480"/>
        <w:rPr>
          <w:rFonts w:eastAsia="仿宋"/>
          <w:sz w:val="24"/>
          <w:szCs w:val="24"/>
        </w:rPr>
      </w:pPr>
      <w:r>
        <w:rPr>
          <w:rFonts w:eastAsia="仿宋"/>
          <w:sz w:val="24"/>
          <w:szCs w:val="24"/>
        </w:rPr>
        <w:t>3.进场人员要服从项目示范生产企业的规章制度，参加安全等和项目有关的一切培训工作，乙方要赔付因不服从示范生产企业管理规范而导致的窝工损失。</w:t>
      </w:r>
    </w:p>
    <w:p w14:paraId="61B70744">
      <w:pPr>
        <w:pStyle w:val="44"/>
        <w:spacing w:line="360" w:lineRule="auto"/>
        <w:ind w:firstLine="480"/>
        <w:rPr>
          <w:rFonts w:hint="eastAsia" w:eastAsia="仿宋"/>
          <w:color w:val="auto"/>
          <w:sz w:val="24"/>
          <w:szCs w:val="24"/>
        </w:rPr>
      </w:pPr>
      <w:r>
        <w:rPr>
          <w:rFonts w:hint="eastAsia" w:eastAsia="仿宋"/>
          <w:color w:val="auto"/>
          <w:sz w:val="24"/>
          <w:szCs w:val="24"/>
        </w:rPr>
        <w:t>说明：上述图纸为设计草图，工程量为初步估算，在签订合同及保密协议后给正式参数图纸，工程量根据试验进展情况可能会有一定数量的偏差，以实际为准。</w:t>
      </w:r>
    </w:p>
    <w:p w14:paraId="581C0E34">
      <w:pPr>
        <w:tabs>
          <w:tab w:val="left" w:pos="0"/>
        </w:tabs>
        <w:spacing w:line="360" w:lineRule="auto"/>
        <w:ind w:left="562"/>
        <w:outlineLvl w:val="1"/>
        <w:rPr>
          <w:rFonts w:eastAsia="仿宋"/>
          <w:b/>
          <w:bCs/>
          <w:kern w:val="44"/>
          <w:sz w:val="24"/>
          <w:szCs w:val="24"/>
        </w:rPr>
      </w:pPr>
      <w:r>
        <w:rPr>
          <w:rFonts w:hint="eastAsia" w:eastAsia="仿宋"/>
          <w:b/>
          <w:sz w:val="24"/>
          <w:szCs w:val="24"/>
        </w:rPr>
        <w:t>（二）</w:t>
      </w:r>
      <w:r>
        <w:rPr>
          <w:rFonts w:eastAsia="仿宋"/>
          <w:b/>
          <w:bCs/>
          <w:kern w:val="44"/>
          <w:sz w:val="24"/>
          <w:szCs w:val="24"/>
        </w:rPr>
        <w:t>实施时间及地点</w:t>
      </w:r>
    </w:p>
    <w:p w14:paraId="4759C7FE">
      <w:pPr>
        <w:snapToGrid w:val="0"/>
        <w:spacing w:line="360" w:lineRule="auto"/>
        <w:ind w:firstLine="480" w:firstLineChars="200"/>
        <w:jc w:val="left"/>
        <w:rPr>
          <w:rFonts w:eastAsia="仿宋"/>
          <w:sz w:val="24"/>
          <w:szCs w:val="24"/>
        </w:rPr>
      </w:pPr>
      <w:r>
        <w:rPr>
          <w:rFonts w:eastAsia="仿宋"/>
          <w:sz w:val="24"/>
          <w:szCs w:val="24"/>
        </w:rPr>
        <w:t>交付时间：中标方应在合同签订后，甲方材料到场7个</w:t>
      </w:r>
      <w:r>
        <w:rPr>
          <w:rFonts w:hint="eastAsia" w:eastAsia="仿宋"/>
          <w:sz w:val="24"/>
          <w:szCs w:val="24"/>
        </w:rPr>
        <w:t>日历日</w:t>
      </w:r>
      <w:r>
        <w:rPr>
          <w:rFonts w:eastAsia="仿宋"/>
          <w:sz w:val="24"/>
          <w:szCs w:val="24"/>
        </w:rPr>
        <w:t>内完成机械零部件的加工工作；在零部件及其他成套设备到场的</w:t>
      </w:r>
      <w:r>
        <w:rPr>
          <w:rFonts w:hint="eastAsia" w:eastAsia="仿宋"/>
          <w:sz w:val="24"/>
          <w:szCs w:val="24"/>
        </w:rPr>
        <w:t>7</w:t>
      </w:r>
      <w:r>
        <w:rPr>
          <w:rFonts w:eastAsia="仿宋"/>
          <w:sz w:val="24"/>
          <w:szCs w:val="24"/>
        </w:rPr>
        <w:t>个</w:t>
      </w:r>
      <w:r>
        <w:rPr>
          <w:rFonts w:hint="eastAsia" w:eastAsia="仿宋"/>
          <w:sz w:val="24"/>
          <w:szCs w:val="24"/>
        </w:rPr>
        <w:t>日历日</w:t>
      </w:r>
      <w:r>
        <w:rPr>
          <w:rFonts w:eastAsia="仿宋"/>
          <w:sz w:val="24"/>
          <w:szCs w:val="24"/>
        </w:rPr>
        <w:t>内完成装配工作；现场调试服务期限到2026年12月31日结束或自治区验收通过之日，以两者最晚时间为准。</w:t>
      </w:r>
    </w:p>
    <w:p w14:paraId="5A5A32B7">
      <w:pPr>
        <w:snapToGrid w:val="0"/>
        <w:spacing w:line="360" w:lineRule="auto"/>
        <w:ind w:firstLine="480" w:firstLineChars="200"/>
        <w:jc w:val="left"/>
        <w:rPr>
          <w:rFonts w:eastAsia="仿宋"/>
          <w:sz w:val="24"/>
          <w:szCs w:val="24"/>
        </w:rPr>
      </w:pPr>
      <w:r>
        <w:rPr>
          <w:rFonts w:eastAsia="仿宋"/>
          <w:sz w:val="24"/>
          <w:szCs w:val="24"/>
        </w:rPr>
        <w:t>交付地点：新疆农业大学指定地点；</w:t>
      </w:r>
    </w:p>
    <w:p w14:paraId="51586F58">
      <w:pPr>
        <w:numPr>
          <w:ilvl w:val="1"/>
          <w:numId w:val="5"/>
        </w:numPr>
        <w:tabs>
          <w:tab w:val="left" w:pos="0"/>
        </w:tabs>
        <w:spacing w:line="360" w:lineRule="auto"/>
        <w:ind w:left="0" w:firstLine="482" w:firstLineChars="200"/>
        <w:outlineLvl w:val="1"/>
        <w:rPr>
          <w:rFonts w:eastAsia="仿宋"/>
          <w:b/>
          <w:bCs/>
          <w:kern w:val="44"/>
          <w:sz w:val="24"/>
          <w:szCs w:val="24"/>
        </w:rPr>
      </w:pPr>
      <w:bookmarkStart w:id="24" w:name="_Toc42456035"/>
      <w:r>
        <w:rPr>
          <w:rFonts w:eastAsia="仿宋"/>
          <w:b/>
          <w:bCs/>
          <w:kern w:val="44"/>
          <w:sz w:val="24"/>
          <w:szCs w:val="24"/>
        </w:rPr>
        <w:t>项目验收标准</w:t>
      </w:r>
      <w:bookmarkEnd w:id="24"/>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18"/>
        <w:gridCol w:w="5392"/>
      </w:tblGrid>
      <w:tr w14:paraId="2BCE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14:paraId="48B46D24">
            <w:pPr>
              <w:snapToGrid w:val="0"/>
              <w:spacing w:line="360" w:lineRule="auto"/>
              <w:jc w:val="center"/>
              <w:rPr>
                <w:rFonts w:eastAsia="仿宋"/>
                <w:b/>
                <w:bCs/>
                <w:sz w:val="24"/>
                <w:szCs w:val="24"/>
              </w:rPr>
            </w:pPr>
            <w:r>
              <w:rPr>
                <w:rFonts w:eastAsia="仿宋"/>
                <w:b/>
                <w:bCs/>
                <w:sz w:val="24"/>
                <w:szCs w:val="24"/>
              </w:rPr>
              <w:t>序号</w:t>
            </w:r>
          </w:p>
        </w:tc>
        <w:tc>
          <w:tcPr>
            <w:tcW w:w="3118" w:type="dxa"/>
            <w:vAlign w:val="center"/>
          </w:tcPr>
          <w:p w14:paraId="4CCBE6AD">
            <w:pPr>
              <w:snapToGrid w:val="0"/>
              <w:spacing w:line="360" w:lineRule="auto"/>
              <w:jc w:val="center"/>
              <w:rPr>
                <w:rFonts w:eastAsia="仿宋"/>
                <w:b/>
                <w:bCs/>
                <w:sz w:val="24"/>
                <w:szCs w:val="24"/>
              </w:rPr>
            </w:pPr>
            <w:r>
              <w:rPr>
                <w:rFonts w:eastAsia="仿宋"/>
                <w:b/>
                <w:bCs/>
                <w:sz w:val="24"/>
                <w:szCs w:val="24"/>
              </w:rPr>
              <w:t>验收内容</w:t>
            </w:r>
          </w:p>
        </w:tc>
        <w:tc>
          <w:tcPr>
            <w:tcW w:w="5392" w:type="dxa"/>
            <w:vAlign w:val="center"/>
          </w:tcPr>
          <w:p w14:paraId="455D6A91">
            <w:pPr>
              <w:snapToGrid w:val="0"/>
              <w:spacing w:line="360" w:lineRule="auto"/>
              <w:jc w:val="center"/>
              <w:rPr>
                <w:rFonts w:eastAsia="仿宋"/>
                <w:b/>
                <w:bCs/>
                <w:sz w:val="24"/>
                <w:szCs w:val="24"/>
              </w:rPr>
            </w:pPr>
            <w:r>
              <w:rPr>
                <w:rFonts w:eastAsia="仿宋"/>
                <w:b/>
                <w:bCs/>
                <w:sz w:val="24"/>
                <w:szCs w:val="24"/>
              </w:rPr>
              <w:t>验收标准</w:t>
            </w:r>
          </w:p>
        </w:tc>
      </w:tr>
      <w:tr w14:paraId="7338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14:paraId="1B42C323">
            <w:pPr>
              <w:snapToGrid w:val="0"/>
              <w:spacing w:line="360" w:lineRule="auto"/>
              <w:jc w:val="center"/>
              <w:rPr>
                <w:rFonts w:eastAsia="仿宋"/>
                <w:sz w:val="24"/>
                <w:szCs w:val="24"/>
              </w:rPr>
            </w:pPr>
            <w:r>
              <w:rPr>
                <w:rFonts w:eastAsia="仿宋"/>
                <w:sz w:val="24"/>
                <w:szCs w:val="24"/>
              </w:rPr>
              <w:t>1</w:t>
            </w:r>
          </w:p>
        </w:tc>
        <w:tc>
          <w:tcPr>
            <w:tcW w:w="3118" w:type="dxa"/>
            <w:vAlign w:val="center"/>
          </w:tcPr>
          <w:p w14:paraId="6B44DE3E">
            <w:pPr>
              <w:snapToGrid w:val="0"/>
              <w:spacing w:line="360" w:lineRule="auto"/>
              <w:jc w:val="center"/>
              <w:rPr>
                <w:rFonts w:eastAsia="仿宋"/>
                <w:sz w:val="24"/>
                <w:szCs w:val="24"/>
              </w:rPr>
            </w:pPr>
            <w:r>
              <w:rPr>
                <w:rFonts w:eastAsia="仿宋"/>
                <w:sz w:val="24"/>
                <w:szCs w:val="24"/>
              </w:rPr>
              <w:t>机械加工工程</w:t>
            </w:r>
          </w:p>
        </w:tc>
        <w:tc>
          <w:tcPr>
            <w:tcW w:w="5392" w:type="dxa"/>
            <w:vAlign w:val="center"/>
          </w:tcPr>
          <w:p w14:paraId="4C0EEA22">
            <w:pPr>
              <w:snapToGrid w:val="0"/>
              <w:spacing w:line="360" w:lineRule="auto"/>
              <w:rPr>
                <w:rFonts w:eastAsia="仿宋"/>
                <w:sz w:val="24"/>
                <w:szCs w:val="24"/>
              </w:rPr>
            </w:pPr>
            <w:r>
              <w:rPr>
                <w:rFonts w:eastAsia="仿宋"/>
                <w:sz w:val="24"/>
                <w:szCs w:val="24"/>
              </w:rPr>
              <w:t>公司出具的《机械加工完成报告》原件、甲方现场验收实物通过。</w:t>
            </w:r>
          </w:p>
        </w:tc>
      </w:tr>
      <w:tr w14:paraId="186C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14:paraId="69DD5A67">
            <w:pPr>
              <w:snapToGrid w:val="0"/>
              <w:spacing w:line="360" w:lineRule="auto"/>
              <w:jc w:val="center"/>
              <w:rPr>
                <w:rFonts w:eastAsia="仿宋"/>
                <w:sz w:val="24"/>
                <w:szCs w:val="24"/>
              </w:rPr>
            </w:pPr>
            <w:r>
              <w:rPr>
                <w:rFonts w:eastAsia="仿宋"/>
                <w:sz w:val="24"/>
                <w:szCs w:val="24"/>
              </w:rPr>
              <w:t>2</w:t>
            </w:r>
          </w:p>
        </w:tc>
        <w:tc>
          <w:tcPr>
            <w:tcW w:w="3118" w:type="dxa"/>
            <w:vAlign w:val="center"/>
          </w:tcPr>
          <w:p w14:paraId="6BE2176D">
            <w:pPr>
              <w:snapToGrid w:val="0"/>
              <w:spacing w:line="360" w:lineRule="auto"/>
              <w:jc w:val="center"/>
              <w:rPr>
                <w:rFonts w:eastAsia="仿宋"/>
                <w:sz w:val="24"/>
                <w:szCs w:val="24"/>
              </w:rPr>
            </w:pPr>
            <w:r>
              <w:rPr>
                <w:rFonts w:eastAsia="仿宋"/>
                <w:sz w:val="24"/>
                <w:szCs w:val="24"/>
              </w:rPr>
              <w:t>装配工程</w:t>
            </w:r>
          </w:p>
        </w:tc>
        <w:tc>
          <w:tcPr>
            <w:tcW w:w="5392" w:type="dxa"/>
            <w:vAlign w:val="center"/>
          </w:tcPr>
          <w:p w14:paraId="5BA9B405">
            <w:pPr>
              <w:snapToGrid w:val="0"/>
              <w:spacing w:line="360" w:lineRule="auto"/>
              <w:rPr>
                <w:rFonts w:eastAsia="仿宋"/>
                <w:sz w:val="24"/>
                <w:szCs w:val="24"/>
              </w:rPr>
            </w:pPr>
            <w:r>
              <w:rPr>
                <w:rFonts w:eastAsia="仿宋"/>
                <w:sz w:val="24"/>
                <w:szCs w:val="24"/>
              </w:rPr>
              <w:t>公司出具的《3.5吨熔炉装配完成报告书》原件，甲方现场验收实物通过。</w:t>
            </w:r>
          </w:p>
        </w:tc>
      </w:tr>
      <w:tr w14:paraId="461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14:paraId="05643FE0">
            <w:pPr>
              <w:snapToGrid w:val="0"/>
              <w:spacing w:line="360" w:lineRule="auto"/>
              <w:jc w:val="center"/>
              <w:rPr>
                <w:rFonts w:eastAsia="仿宋"/>
                <w:sz w:val="24"/>
                <w:szCs w:val="24"/>
              </w:rPr>
            </w:pPr>
            <w:r>
              <w:rPr>
                <w:rFonts w:eastAsia="仿宋"/>
                <w:sz w:val="24"/>
                <w:szCs w:val="24"/>
              </w:rPr>
              <w:t>3</w:t>
            </w:r>
          </w:p>
        </w:tc>
        <w:tc>
          <w:tcPr>
            <w:tcW w:w="3118" w:type="dxa"/>
            <w:vAlign w:val="center"/>
          </w:tcPr>
          <w:p w14:paraId="71F3241A">
            <w:pPr>
              <w:snapToGrid w:val="0"/>
              <w:spacing w:line="360" w:lineRule="auto"/>
              <w:jc w:val="center"/>
              <w:rPr>
                <w:rFonts w:eastAsia="仿宋"/>
                <w:sz w:val="24"/>
                <w:szCs w:val="24"/>
              </w:rPr>
            </w:pPr>
            <w:r>
              <w:rPr>
                <w:rFonts w:eastAsia="仿宋"/>
                <w:sz w:val="24"/>
                <w:szCs w:val="24"/>
              </w:rPr>
              <w:t>项目现场服务</w:t>
            </w:r>
          </w:p>
        </w:tc>
        <w:tc>
          <w:tcPr>
            <w:tcW w:w="5392" w:type="dxa"/>
            <w:vAlign w:val="center"/>
          </w:tcPr>
          <w:p w14:paraId="17BCEE56">
            <w:pPr>
              <w:snapToGrid w:val="0"/>
              <w:spacing w:line="360" w:lineRule="auto"/>
              <w:rPr>
                <w:rFonts w:eastAsia="仿宋"/>
                <w:sz w:val="24"/>
                <w:szCs w:val="24"/>
              </w:rPr>
            </w:pPr>
            <w:r>
              <w:rPr>
                <w:rFonts w:eastAsia="仿宋"/>
                <w:sz w:val="24"/>
                <w:szCs w:val="24"/>
              </w:rPr>
              <w:t>公司出具的《项目现场服务报告书》原件，自治区验收合格通知。</w:t>
            </w:r>
          </w:p>
        </w:tc>
      </w:tr>
    </w:tbl>
    <w:p w14:paraId="72D5A8B8">
      <w:pPr>
        <w:numPr>
          <w:ilvl w:val="1"/>
          <w:numId w:val="5"/>
        </w:numPr>
        <w:tabs>
          <w:tab w:val="left" w:pos="0"/>
        </w:tabs>
        <w:spacing w:line="360" w:lineRule="auto"/>
        <w:ind w:left="0" w:firstLine="482" w:firstLineChars="200"/>
        <w:outlineLvl w:val="1"/>
        <w:rPr>
          <w:rFonts w:eastAsia="仿宋"/>
          <w:b/>
          <w:bCs/>
          <w:kern w:val="44"/>
          <w:sz w:val="24"/>
          <w:szCs w:val="24"/>
        </w:rPr>
      </w:pPr>
      <w:r>
        <w:rPr>
          <w:rFonts w:eastAsia="仿宋"/>
          <w:b/>
          <w:bCs/>
          <w:kern w:val="44"/>
          <w:sz w:val="24"/>
          <w:szCs w:val="24"/>
        </w:rPr>
        <w:t>商务要求</w:t>
      </w:r>
    </w:p>
    <w:p w14:paraId="09B67D3A">
      <w:pPr>
        <w:numPr>
          <w:ilvl w:val="0"/>
          <w:numId w:val="6"/>
        </w:numPr>
        <w:snapToGrid w:val="0"/>
        <w:spacing w:line="360" w:lineRule="auto"/>
        <w:ind w:left="0" w:firstLine="480" w:firstLineChars="200"/>
        <w:jc w:val="left"/>
        <w:rPr>
          <w:rFonts w:eastAsia="仿宋"/>
          <w:sz w:val="24"/>
          <w:szCs w:val="24"/>
        </w:rPr>
      </w:pPr>
      <w:r>
        <w:rPr>
          <w:rFonts w:eastAsia="仿宋"/>
          <w:sz w:val="24"/>
          <w:szCs w:val="24"/>
        </w:rPr>
        <w:t>本项服务采购形式为一次服务，甲方只向乙方支付加工、装配和现场服务费用，不承担其他任何费用。</w:t>
      </w:r>
    </w:p>
    <w:p w14:paraId="38EEE094">
      <w:pPr>
        <w:numPr>
          <w:ilvl w:val="0"/>
          <w:numId w:val="6"/>
        </w:numPr>
        <w:snapToGrid w:val="0"/>
        <w:spacing w:line="360" w:lineRule="auto"/>
        <w:ind w:left="0" w:firstLine="480" w:firstLineChars="200"/>
        <w:jc w:val="left"/>
        <w:rPr>
          <w:rFonts w:eastAsia="仿宋"/>
          <w:sz w:val="24"/>
          <w:szCs w:val="24"/>
        </w:rPr>
      </w:pPr>
      <w:r>
        <w:rPr>
          <w:rFonts w:eastAsia="仿宋"/>
          <w:sz w:val="24"/>
          <w:szCs w:val="24"/>
        </w:rPr>
        <w:t>本合同签订后，按要求开展工作，甲方分阶段支付费用，机械加工阶段完成并通过验收之日起5个工作日内支付合同价的30%，装配阶段完成并通过甲方验收之日起5个工作日内支付合同价30%，项目现场服务到2026年10月31日通过甲方验收之日起5个工作日内支付合同价3</w:t>
      </w:r>
      <w:r>
        <w:rPr>
          <w:rFonts w:hint="eastAsia" w:eastAsia="仿宋"/>
          <w:sz w:val="24"/>
          <w:szCs w:val="24"/>
        </w:rPr>
        <w:t>5</w:t>
      </w:r>
      <w:r>
        <w:rPr>
          <w:rFonts w:eastAsia="仿宋"/>
          <w:sz w:val="24"/>
          <w:szCs w:val="24"/>
        </w:rPr>
        <w:t>%，项目通过验收之日起5个工作日内结清余额。</w:t>
      </w:r>
    </w:p>
    <w:p w14:paraId="3F2A64AF">
      <w:pPr>
        <w:numPr>
          <w:ilvl w:val="0"/>
          <w:numId w:val="6"/>
        </w:numPr>
        <w:snapToGrid w:val="0"/>
        <w:spacing w:line="360" w:lineRule="auto"/>
        <w:ind w:left="0" w:firstLine="480" w:firstLineChars="200"/>
        <w:jc w:val="left"/>
        <w:rPr>
          <w:rFonts w:eastAsia="仿宋"/>
          <w:sz w:val="24"/>
          <w:szCs w:val="24"/>
        </w:rPr>
      </w:pPr>
      <w:r>
        <w:rPr>
          <w:rFonts w:eastAsia="仿宋"/>
          <w:sz w:val="24"/>
          <w:szCs w:val="24"/>
        </w:rPr>
        <w:t>投标公司在报价时须明确“税率”和“含税单价”。</w:t>
      </w:r>
    </w:p>
    <w:p w14:paraId="58655C06">
      <w:pPr>
        <w:numPr>
          <w:ilvl w:val="0"/>
          <w:numId w:val="6"/>
        </w:numPr>
        <w:snapToGrid w:val="0"/>
        <w:spacing w:line="360" w:lineRule="auto"/>
        <w:ind w:left="0" w:firstLine="480" w:firstLineChars="200"/>
        <w:jc w:val="left"/>
        <w:rPr>
          <w:rFonts w:eastAsia="仿宋"/>
          <w:sz w:val="24"/>
          <w:szCs w:val="24"/>
        </w:rPr>
      </w:pPr>
      <w:r>
        <w:rPr>
          <w:rFonts w:eastAsia="仿宋"/>
          <w:sz w:val="24"/>
          <w:szCs w:val="24"/>
        </w:rPr>
        <w:t>投标公司需要向我单位提供正规增值税发票。</w:t>
      </w:r>
    </w:p>
    <w:p w14:paraId="438832D6">
      <w:pPr>
        <w:sectPr>
          <w:pgSz w:w="11907" w:h="16840"/>
          <w:pgMar w:top="1474" w:right="1814" w:bottom="1474" w:left="1814" w:header="851" w:footer="851" w:gutter="0"/>
          <w:pgNumType w:fmt="numberInDash"/>
          <w:cols w:space="720" w:num="1"/>
          <w:docGrid w:linePitch="462" w:charSpace="0"/>
        </w:sectPr>
      </w:pPr>
    </w:p>
    <w:p w14:paraId="5B1321B8">
      <w:pPr>
        <w:adjustRightInd w:val="0"/>
        <w:snapToGrid w:val="0"/>
        <w:spacing w:before="120" w:beforeLines="50" w:line="360" w:lineRule="auto"/>
        <w:ind w:firstLine="643" w:firstLineChars="200"/>
        <w:jc w:val="center"/>
        <w:outlineLvl w:val="0"/>
        <w:rPr>
          <w:rStyle w:val="31"/>
          <w:rFonts w:ascii="Times New Roman" w:eastAsia="仿宋"/>
          <w:b/>
          <w:sz w:val="32"/>
          <w:szCs w:val="32"/>
        </w:rPr>
      </w:pPr>
      <w:r>
        <w:rPr>
          <w:rStyle w:val="31"/>
          <w:rFonts w:ascii="Times New Roman" w:eastAsia="仿宋"/>
          <w:b/>
          <w:sz w:val="32"/>
          <w:szCs w:val="32"/>
        </w:rPr>
        <w:t>第四部分 合同</w:t>
      </w:r>
      <w:bookmarkEnd w:id="23"/>
    </w:p>
    <w:p w14:paraId="080171DB">
      <w:pPr>
        <w:pStyle w:val="2"/>
        <w:spacing w:before="229" w:line="227" w:lineRule="auto"/>
        <w:ind w:left="3029"/>
        <w:rPr>
          <w:rFonts w:eastAsia="仿宋"/>
          <w:spacing w:val="7"/>
          <w:sz w:val="20"/>
        </w:rPr>
      </w:pPr>
      <w:r>
        <w:rPr>
          <w:rFonts w:eastAsia="仿宋"/>
          <w:spacing w:val="7"/>
          <w:sz w:val="20"/>
        </w:rPr>
        <w:t>（以最终签订合同模板为准）</w:t>
      </w:r>
    </w:p>
    <w:p w14:paraId="3A798226">
      <w:pPr>
        <w:rPr>
          <w:rFonts w:eastAsia="仿宋"/>
          <w:b/>
          <w:bCs/>
          <w:sz w:val="24"/>
          <w:u w:val="single"/>
        </w:rPr>
      </w:pPr>
      <w:r>
        <w:rPr>
          <w:rFonts w:eastAsia="仿宋"/>
          <w:b/>
          <w:bCs/>
          <w:sz w:val="24"/>
        </w:rPr>
        <w:t>合同编号：</w:t>
      </w:r>
      <w:r>
        <w:rPr>
          <w:rFonts w:eastAsia="仿宋"/>
          <w:b/>
          <w:bCs/>
          <w:sz w:val="24"/>
          <w:u w:val="single"/>
        </w:rPr>
        <w:t xml:space="preserve">           </w:t>
      </w:r>
    </w:p>
    <w:p w14:paraId="6282D05B">
      <w:pPr>
        <w:spacing w:line="480" w:lineRule="auto"/>
        <w:jc w:val="center"/>
        <w:rPr>
          <w:rFonts w:eastAsia="仿宋"/>
          <w:b/>
          <w:sz w:val="28"/>
          <w:szCs w:val="28"/>
        </w:rPr>
      </w:pPr>
    </w:p>
    <w:p w14:paraId="4F802A1E">
      <w:pPr>
        <w:spacing w:line="480" w:lineRule="auto"/>
        <w:jc w:val="center"/>
        <w:rPr>
          <w:rFonts w:eastAsia="仿宋"/>
          <w:b/>
          <w:sz w:val="28"/>
          <w:szCs w:val="28"/>
        </w:rPr>
      </w:pPr>
    </w:p>
    <w:p w14:paraId="02DCB2CB">
      <w:pPr>
        <w:pStyle w:val="19"/>
        <w:rPr>
          <w:rFonts w:ascii="Times New Roman" w:hAnsi="Times New Roman" w:cs="Times New Roman"/>
        </w:rPr>
      </w:pPr>
    </w:p>
    <w:p w14:paraId="67C3CCD1">
      <w:pPr>
        <w:spacing w:line="480" w:lineRule="auto"/>
        <w:jc w:val="center"/>
        <w:rPr>
          <w:rFonts w:eastAsia="仿宋"/>
          <w:b/>
          <w:sz w:val="28"/>
          <w:szCs w:val="28"/>
        </w:rPr>
      </w:pPr>
    </w:p>
    <w:p w14:paraId="5D955B2C">
      <w:pPr>
        <w:pStyle w:val="34"/>
        <w:ind w:firstLine="0" w:firstLineChars="0"/>
        <w:jc w:val="center"/>
        <w:rPr>
          <w:sz w:val="52"/>
          <w:szCs w:val="52"/>
        </w:rPr>
      </w:pPr>
      <w:r>
        <w:rPr>
          <w:sz w:val="52"/>
          <w:szCs w:val="52"/>
        </w:rPr>
        <w:t>政府采购合同参考范本</w:t>
      </w:r>
    </w:p>
    <w:p w14:paraId="45D79162">
      <w:pPr>
        <w:spacing w:line="480" w:lineRule="auto"/>
        <w:jc w:val="center"/>
        <w:rPr>
          <w:rFonts w:eastAsia="仿宋"/>
          <w:b/>
          <w:sz w:val="24"/>
        </w:rPr>
      </w:pPr>
      <w:r>
        <w:rPr>
          <w:rFonts w:eastAsia="仿宋"/>
          <w:b/>
          <w:sz w:val="24"/>
        </w:rPr>
        <w:t>（服务类）</w:t>
      </w:r>
    </w:p>
    <w:p w14:paraId="79F133BD">
      <w:pPr>
        <w:pStyle w:val="55"/>
        <w:ind w:firstLine="0"/>
        <w:rPr>
          <w:rFonts w:ascii="Times New Roman" w:eastAsia="仿宋"/>
          <w:szCs w:val="24"/>
        </w:rPr>
      </w:pPr>
    </w:p>
    <w:p w14:paraId="355AE361">
      <w:pPr>
        <w:pStyle w:val="55"/>
        <w:ind w:firstLine="0"/>
        <w:rPr>
          <w:rFonts w:ascii="Times New Roman" w:eastAsia="仿宋"/>
          <w:szCs w:val="24"/>
        </w:rPr>
      </w:pPr>
    </w:p>
    <w:p w14:paraId="7AD1D4AE">
      <w:pPr>
        <w:pStyle w:val="55"/>
        <w:ind w:firstLine="0"/>
        <w:rPr>
          <w:rFonts w:ascii="Times New Roman" w:eastAsia="仿宋"/>
          <w:szCs w:val="24"/>
        </w:rPr>
      </w:pPr>
    </w:p>
    <w:p w14:paraId="5ED90C3F">
      <w:pPr>
        <w:pStyle w:val="55"/>
        <w:ind w:firstLine="0"/>
        <w:rPr>
          <w:rFonts w:ascii="Times New Roman" w:eastAsia="仿宋"/>
          <w:szCs w:val="24"/>
        </w:rPr>
      </w:pPr>
    </w:p>
    <w:p w14:paraId="47B7C299">
      <w:pPr>
        <w:pStyle w:val="55"/>
        <w:ind w:firstLine="0"/>
        <w:rPr>
          <w:rFonts w:ascii="Times New Roman" w:eastAsia="仿宋"/>
          <w:szCs w:val="24"/>
        </w:rPr>
      </w:pPr>
    </w:p>
    <w:p w14:paraId="6FB14F21">
      <w:pPr>
        <w:pStyle w:val="55"/>
        <w:ind w:firstLine="0"/>
        <w:jc w:val="center"/>
        <w:outlineLvl w:val="1"/>
        <w:rPr>
          <w:rFonts w:ascii="Times New Roman" w:eastAsia="仿宋"/>
          <w:b/>
          <w:szCs w:val="24"/>
        </w:rPr>
      </w:pPr>
      <w:r>
        <w:rPr>
          <w:rFonts w:ascii="Times New Roman" w:eastAsia="仿宋"/>
          <w:b/>
          <w:szCs w:val="24"/>
        </w:rPr>
        <w:t>第一部分 合同书</w:t>
      </w:r>
    </w:p>
    <w:p w14:paraId="0035A63E">
      <w:pPr>
        <w:pStyle w:val="55"/>
        <w:ind w:firstLine="0"/>
        <w:rPr>
          <w:rFonts w:ascii="Times New Roman" w:eastAsia="仿宋"/>
          <w:szCs w:val="24"/>
        </w:rPr>
      </w:pPr>
    </w:p>
    <w:p w14:paraId="253758BD">
      <w:pPr>
        <w:pStyle w:val="55"/>
        <w:ind w:firstLine="0"/>
        <w:rPr>
          <w:rFonts w:ascii="Times New Roman" w:eastAsia="仿宋"/>
          <w:szCs w:val="24"/>
        </w:rPr>
      </w:pPr>
    </w:p>
    <w:p w14:paraId="575417B0">
      <w:pPr>
        <w:spacing w:before="120" w:line="22" w:lineRule="atLeast"/>
        <w:rPr>
          <w:rFonts w:eastAsia="仿宋"/>
          <w:sz w:val="24"/>
        </w:rPr>
      </w:pPr>
    </w:p>
    <w:p w14:paraId="501D98AC">
      <w:pPr>
        <w:spacing w:before="120" w:line="22" w:lineRule="atLeast"/>
        <w:ind w:left="960"/>
        <w:rPr>
          <w:rFonts w:eastAsia="仿宋"/>
          <w:sz w:val="24"/>
        </w:rPr>
      </w:pPr>
      <w:r>
        <w:rPr>
          <w:rFonts w:eastAsia="仿宋"/>
          <w:sz w:val="24"/>
        </w:rPr>
        <w:t>项目名称：</w:t>
      </w:r>
      <w:r>
        <w:rPr>
          <w:rFonts w:eastAsia="仿宋"/>
          <w:sz w:val="24"/>
          <w:u w:val="single"/>
        </w:rPr>
        <w:t xml:space="preserve">                                   </w:t>
      </w:r>
    </w:p>
    <w:p w14:paraId="1A76E13E">
      <w:pPr>
        <w:pStyle w:val="57"/>
        <w:spacing w:before="120" w:line="22" w:lineRule="atLeast"/>
        <w:rPr>
          <w:rFonts w:ascii="Times New Roman" w:eastAsia="仿宋"/>
          <w:szCs w:val="24"/>
        </w:rPr>
      </w:pPr>
    </w:p>
    <w:p w14:paraId="5DABCA6F">
      <w:pPr>
        <w:spacing w:before="120" w:line="22" w:lineRule="atLeast"/>
        <w:ind w:left="960"/>
        <w:rPr>
          <w:rFonts w:eastAsia="仿宋"/>
          <w:sz w:val="24"/>
          <w:u w:val="single"/>
        </w:rPr>
      </w:pPr>
      <w:r>
        <w:rPr>
          <w:rFonts w:eastAsia="仿宋"/>
          <w:sz w:val="24"/>
        </w:rPr>
        <w:t>甲方：</w:t>
      </w:r>
      <w:r>
        <w:rPr>
          <w:rFonts w:eastAsia="仿宋"/>
          <w:sz w:val="24"/>
          <w:u w:val="single"/>
        </w:rPr>
        <w:t xml:space="preserve">                                       </w:t>
      </w:r>
    </w:p>
    <w:p w14:paraId="2281E608">
      <w:pPr>
        <w:spacing w:before="120" w:line="22" w:lineRule="atLeast"/>
        <w:rPr>
          <w:rFonts w:eastAsia="仿宋"/>
          <w:sz w:val="24"/>
        </w:rPr>
      </w:pPr>
    </w:p>
    <w:p w14:paraId="6C629559">
      <w:pPr>
        <w:spacing w:before="120" w:line="22" w:lineRule="atLeast"/>
        <w:ind w:left="960"/>
        <w:rPr>
          <w:rFonts w:eastAsia="仿宋"/>
          <w:sz w:val="24"/>
          <w:u w:val="single"/>
        </w:rPr>
      </w:pPr>
      <w:r>
        <w:rPr>
          <w:rFonts w:eastAsia="仿宋"/>
          <w:sz w:val="24"/>
        </w:rPr>
        <w:t>乙方：</w:t>
      </w:r>
      <w:r>
        <w:rPr>
          <w:rFonts w:eastAsia="仿宋"/>
          <w:sz w:val="24"/>
          <w:u w:val="single"/>
        </w:rPr>
        <w:t xml:space="preserve">                                       </w:t>
      </w:r>
    </w:p>
    <w:p w14:paraId="1D086C5F">
      <w:pPr>
        <w:spacing w:before="120" w:line="22" w:lineRule="atLeast"/>
        <w:rPr>
          <w:rFonts w:eastAsia="仿宋"/>
          <w:sz w:val="24"/>
        </w:rPr>
      </w:pPr>
    </w:p>
    <w:p w14:paraId="673247DC">
      <w:pPr>
        <w:spacing w:before="120" w:line="22" w:lineRule="atLeast"/>
        <w:ind w:firstLine="960" w:firstLineChars="400"/>
        <w:rPr>
          <w:rFonts w:eastAsia="仿宋"/>
          <w:sz w:val="24"/>
          <w:u w:val="single"/>
        </w:rPr>
      </w:pPr>
      <w:r>
        <w:rPr>
          <w:rFonts w:eastAsia="仿宋"/>
          <w:sz w:val="24"/>
        </w:rPr>
        <w:t>签订地：</w:t>
      </w:r>
      <w:r>
        <w:rPr>
          <w:rFonts w:eastAsia="仿宋"/>
          <w:sz w:val="24"/>
          <w:u w:val="single"/>
        </w:rPr>
        <w:t xml:space="preserve">                                     </w:t>
      </w:r>
    </w:p>
    <w:p w14:paraId="0EFBAA7A">
      <w:pPr>
        <w:spacing w:before="120" w:line="22" w:lineRule="atLeast"/>
        <w:rPr>
          <w:rFonts w:eastAsia="仿宋"/>
          <w:sz w:val="24"/>
        </w:rPr>
      </w:pPr>
    </w:p>
    <w:p w14:paraId="67C7BED8">
      <w:pPr>
        <w:spacing w:before="120" w:line="22" w:lineRule="atLeast"/>
        <w:ind w:firstLine="960" w:firstLineChars="400"/>
        <w:rPr>
          <w:rFonts w:eastAsia="仿宋"/>
          <w:sz w:val="24"/>
          <w:u w:val="single"/>
        </w:rPr>
      </w:pPr>
      <w:r>
        <w:rPr>
          <w:rFonts w:eastAsia="仿宋"/>
          <w:sz w:val="24"/>
        </w:rPr>
        <w:t>签订日期：</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w:t>
      </w:r>
    </w:p>
    <w:p w14:paraId="74F14AF8">
      <w:pPr>
        <w:autoSpaceDE w:val="0"/>
        <w:autoSpaceDN w:val="0"/>
        <w:adjustRightInd w:val="0"/>
        <w:spacing w:line="600" w:lineRule="exact"/>
        <w:ind w:firstLine="640"/>
        <w:jc w:val="center"/>
        <w:rPr>
          <w:rFonts w:eastAsia="仿宋"/>
          <w:sz w:val="24"/>
        </w:rPr>
        <w:sectPr>
          <w:pgSz w:w="11907" w:h="16840"/>
          <w:pgMar w:top="1474" w:right="1814" w:bottom="1474" w:left="1814" w:header="851" w:footer="851" w:gutter="0"/>
          <w:pgNumType w:fmt="numberInDash"/>
          <w:cols w:space="720" w:num="1"/>
          <w:docGrid w:linePitch="462" w:charSpace="0"/>
        </w:sectPr>
      </w:pPr>
    </w:p>
    <w:p w14:paraId="67D5F883">
      <w:pPr>
        <w:spacing w:line="560" w:lineRule="exact"/>
        <w:ind w:firstLine="480" w:firstLineChars="200"/>
        <w:rPr>
          <w:rFonts w:eastAsia="仿宋"/>
          <w:sz w:val="24"/>
        </w:rPr>
      </w:pPr>
      <w:r>
        <w:rPr>
          <w:rFonts w:eastAsia="仿宋"/>
          <w:sz w:val="24"/>
          <w:u w:val="single"/>
          <w:lang w:val="zh-CN"/>
        </w:rPr>
        <w:t xml:space="preserve">        </w:t>
      </w:r>
      <w:r>
        <w:rPr>
          <w:rFonts w:eastAsia="仿宋"/>
          <w:sz w:val="24"/>
          <w:lang w:val="zh-CN"/>
        </w:rPr>
        <w:t>年</w:t>
      </w:r>
      <w:r>
        <w:rPr>
          <w:rFonts w:eastAsia="仿宋"/>
          <w:sz w:val="24"/>
          <w:u w:val="single"/>
          <w:lang w:val="zh-CN"/>
        </w:rPr>
        <w:t xml:space="preserve">    </w:t>
      </w:r>
      <w:r>
        <w:rPr>
          <w:rFonts w:eastAsia="仿宋"/>
          <w:sz w:val="24"/>
          <w:lang w:val="zh-CN"/>
        </w:rPr>
        <w:t>月</w:t>
      </w:r>
      <w:r>
        <w:rPr>
          <w:rFonts w:eastAsia="仿宋"/>
          <w:sz w:val="24"/>
          <w:u w:val="single"/>
          <w:lang w:val="zh-CN"/>
        </w:rPr>
        <w:t xml:space="preserve">    </w:t>
      </w:r>
      <w:r>
        <w:rPr>
          <w:rFonts w:eastAsia="仿宋"/>
          <w:sz w:val="24"/>
          <w:lang w:val="zh-CN"/>
        </w:rPr>
        <w:t>日</w:t>
      </w:r>
      <w:r>
        <w:rPr>
          <w:rFonts w:eastAsia="仿宋"/>
          <w:sz w:val="24"/>
        </w:rPr>
        <w:t>，</w:t>
      </w:r>
      <w:r>
        <w:rPr>
          <w:rFonts w:eastAsia="仿宋"/>
          <w:sz w:val="24"/>
          <w:u w:val="single"/>
        </w:rPr>
        <w:t xml:space="preserve">   （采购人名称）   </w:t>
      </w:r>
      <w:r>
        <w:rPr>
          <w:rFonts w:eastAsia="仿宋"/>
          <w:sz w:val="24"/>
        </w:rPr>
        <w:t>以</w:t>
      </w:r>
      <w:r>
        <w:rPr>
          <w:rFonts w:eastAsia="仿宋"/>
          <w:sz w:val="24"/>
          <w:u w:val="single"/>
        </w:rPr>
        <w:t xml:space="preserve">   （政府采购方式）  </w:t>
      </w:r>
      <w:r>
        <w:rPr>
          <w:rFonts w:eastAsia="仿宋"/>
          <w:sz w:val="24"/>
        </w:rPr>
        <w:t>对</w:t>
      </w:r>
      <w:r>
        <w:rPr>
          <w:rFonts w:eastAsia="仿宋"/>
          <w:sz w:val="24"/>
          <w:u w:val="single"/>
        </w:rPr>
        <w:t xml:space="preserve">   （同前页项目名称）   </w:t>
      </w:r>
      <w:r>
        <w:rPr>
          <w:rFonts w:eastAsia="仿宋"/>
          <w:sz w:val="24"/>
        </w:rPr>
        <w:t>项目进行了采购。经</w:t>
      </w:r>
      <w:r>
        <w:rPr>
          <w:rFonts w:eastAsia="仿宋"/>
          <w:sz w:val="24"/>
          <w:u w:val="single"/>
        </w:rPr>
        <w:t xml:space="preserve">   （相关评定主体名称）   </w:t>
      </w:r>
      <w:r>
        <w:rPr>
          <w:rFonts w:eastAsia="仿宋"/>
          <w:sz w:val="24"/>
        </w:rPr>
        <w:t>评定，</w:t>
      </w:r>
      <w:r>
        <w:rPr>
          <w:rFonts w:eastAsia="仿宋"/>
          <w:sz w:val="24"/>
          <w:u w:val="single"/>
        </w:rPr>
        <w:t xml:space="preserve">   （成交供应商名称） </w:t>
      </w:r>
      <w:r>
        <w:rPr>
          <w:rFonts w:eastAsia="仿宋"/>
          <w:sz w:val="24"/>
        </w:rPr>
        <w:t>为该项目成交供应商。现于成交通知书发出之日起三十日内，按照采购文件确定的事项签订本合同。</w:t>
      </w:r>
    </w:p>
    <w:p w14:paraId="16ABB380">
      <w:pPr>
        <w:spacing w:line="560" w:lineRule="exact"/>
        <w:ind w:firstLine="480" w:firstLineChars="200"/>
        <w:rPr>
          <w:rFonts w:eastAsia="仿宋"/>
          <w:sz w:val="24"/>
        </w:rPr>
      </w:pPr>
      <w:r>
        <w:rPr>
          <w:rFonts w:eastAsia="仿宋"/>
          <w:sz w:val="24"/>
          <w:lang w:val="zh-CN"/>
        </w:rPr>
        <w:t>根据《中华人民共和国民法典》、《中华人民共和国政府采购法》等相关法律法规之规定，按照平等、自愿、公平和诚实信用的原则，经</w:t>
      </w:r>
      <w:r>
        <w:rPr>
          <w:rFonts w:eastAsia="仿宋"/>
          <w:sz w:val="24"/>
          <w:u w:val="single"/>
        </w:rPr>
        <w:t xml:space="preserve">   （采购人名称）   </w:t>
      </w:r>
      <w:r>
        <w:rPr>
          <w:rFonts w:eastAsia="仿宋"/>
          <w:sz w:val="24"/>
          <w:lang w:val="zh-CN"/>
        </w:rPr>
        <w:t>(以下简称：甲方)和</w:t>
      </w:r>
      <w:r>
        <w:rPr>
          <w:rFonts w:eastAsia="仿宋"/>
          <w:sz w:val="24"/>
          <w:u w:val="single"/>
        </w:rPr>
        <w:t xml:space="preserve">   （成交供应商名称）   </w:t>
      </w:r>
      <w:r>
        <w:rPr>
          <w:rFonts w:eastAsia="仿宋"/>
          <w:sz w:val="24"/>
          <w:lang w:val="zh-CN"/>
        </w:rPr>
        <w:t>(以下简称：乙方)协商一致，约定以下合同</w:t>
      </w:r>
      <w:r>
        <w:rPr>
          <w:rFonts w:eastAsia="仿宋"/>
          <w:sz w:val="24"/>
        </w:rPr>
        <w:t>条款，以兹共同遵守、全面履行。</w:t>
      </w:r>
    </w:p>
    <w:p w14:paraId="5411FD48">
      <w:pPr>
        <w:spacing w:line="560" w:lineRule="exact"/>
        <w:ind w:firstLine="482" w:firstLineChars="200"/>
        <w:outlineLvl w:val="2"/>
        <w:rPr>
          <w:rFonts w:eastAsia="仿宋"/>
          <w:sz w:val="24"/>
        </w:rPr>
      </w:pPr>
      <w:bookmarkStart w:id="25" w:name="_Toc28855"/>
      <w:bookmarkStart w:id="26" w:name="_Toc20421"/>
      <w:bookmarkStart w:id="27" w:name="_Toc15367"/>
      <w:bookmarkStart w:id="28" w:name="_Toc19273"/>
      <w:bookmarkStart w:id="29" w:name="_Toc22967"/>
      <w:r>
        <w:rPr>
          <w:rFonts w:eastAsia="仿宋"/>
          <w:b/>
          <w:sz w:val="24"/>
        </w:rPr>
        <w:t>1.1 合同组成部分</w:t>
      </w:r>
      <w:bookmarkEnd w:id="25"/>
      <w:bookmarkEnd w:id="26"/>
      <w:bookmarkEnd w:id="27"/>
      <w:bookmarkEnd w:id="28"/>
      <w:bookmarkEnd w:id="29"/>
    </w:p>
    <w:p w14:paraId="512E8D72">
      <w:pPr>
        <w:spacing w:line="560" w:lineRule="exact"/>
        <w:ind w:firstLine="480" w:firstLineChars="200"/>
        <w:rPr>
          <w:rFonts w:eastAsia="仿宋"/>
          <w:sz w:val="24"/>
        </w:rPr>
      </w:pPr>
      <w:r>
        <w:rPr>
          <w:rFonts w:eastAsia="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1F52389">
      <w:pPr>
        <w:spacing w:line="560" w:lineRule="exact"/>
        <w:ind w:firstLine="480" w:firstLineChars="200"/>
        <w:rPr>
          <w:rFonts w:eastAsia="仿宋"/>
          <w:sz w:val="24"/>
        </w:rPr>
      </w:pPr>
      <w:r>
        <w:rPr>
          <w:rFonts w:eastAsia="仿宋"/>
          <w:sz w:val="24"/>
        </w:rPr>
        <w:t>1.1.1 本合同及其补充合同、变更协议；</w:t>
      </w:r>
    </w:p>
    <w:p w14:paraId="3460FF6F">
      <w:pPr>
        <w:spacing w:line="560" w:lineRule="exact"/>
        <w:ind w:firstLine="480" w:firstLineChars="200"/>
        <w:rPr>
          <w:rFonts w:eastAsia="仿宋"/>
          <w:sz w:val="24"/>
        </w:rPr>
      </w:pPr>
      <w:r>
        <w:rPr>
          <w:rFonts w:eastAsia="仿宋"/>
          <w:sz w:val="24"/>
        </w:rPr>
        <w:t>1.1.2 成交通知书；</w:t>
      </w:r>
    </w:p>
    <w:p w14:paraId="083415CE">
      <w:pPr>
        <w:spacing w:line="560" w:lineRule="exact"/>
        <w:ind w:firstLine="480" w:firstLineChars="200"/>
        <w:rPr>
          <w:rFonts w:eastAsia="仿宋"/>
          <w:sz w:val="24"/>
        </w:rPr>
      </w:pPr>
      <w:r>
        <w:rPr>
          <w:rFonts w:eastAsia="仿宋"/>
          <w:sz w:val="24"/>
        </w:rPr>
        <w:t>1.1.3 响应文件（含澄清或者说明文件）；</w:t>
      </w:r>
    </w:p>
    <w:p w14:paraId="51352719">
      <w:pPr>
        <w:spacing w:line="560" w:lineRule="exact"/>
        <w:ind w:firstLine="480" w:firstLineChars="200"/>
        <w:rPr>
          <w:rFonts w:eastAsia="仿宋"/>
          <w:sz w:val="24"/>
        </w:rPr>
      </w:pPr>
      <w:r>
        <w:rPr>
          <w:rFonts w:eastAsia="仿宋"/>
          <w:sz w:val="24"/>
        </w:rPr>
        <w:t>1.1.4 采购文件（含澄清或者修改文件）；</w:t>
      </w:r>
    </w:p>
    <w:p w14:paraId="7F29CAD0">
      <w:pPr>
        <w:spacing w:line="560" w:lineRule="exact"/>
        <w:ind w:firstLine="480" w:firstLineChars="200"/>
        <w:rPr>
          <w:rFonts w:eastAsia="仿宋"/>
          <w:sz w:val="24"/>
        </w:rPr>
      </w:pPr>
      <w:r>
        <w:rPr>
          <w:rFonts w:eastAsia="仿宋"/>
          <w:sz w:val="24"/>
        </w:rPr>
        <w:t>1.1.5 其他相关采购文件。</w:t>
      </w:r>
    </w:p>
    <w:p w14:paraId="01567A83">
      <w:pPr>
        <w:spacing w:line="560" w:lineRule="exact"/>
        <w:ind w:firstLine="482" w:firstLineChars="200"/>
        <w:outlineLvl w:val="2"/>
        <w:rPr>
          <w:rFonts w:eastAsia="仿宋"/>
          <w:b/>
          <w:sz w:val="24"/>
        </w:rPr>
      </w:pPr>
      <w:bookmarkStart w:id="30" w:name="_Toc2918"/>
      <w:bookmarkStart w:id="31" w:name="_Toc18585"/>
      <w:bookmarkStart w:id="32" w:name="_Toc6311"/>
      <w:bookmarkStart w:id="33" w:name="_Toc22185"/>
      <w:bookmarkStart w:id="34" w:name="_Toc6773"/>
      <w:r>
        <w:rPr>
          <w:rFonts w:eastAsia="仿宋"/>
          <w:b/>
          <w:sz w:val="24"/>
        </w:rPr>
        <w:t>1.2 标的</w:t>
      </w:r>
      <w:bookmarkEnd w:id="30"/>
      <w:bookmarkEnd w:id="31"/>
      <w:bookmarkEnd w:id="32"/>
      <w:bookmarkEnd w:id="33"/>
      <w:bookmarkEnd w:id="34"/>
    </w:p>
    <w:p w14:paraId="6DA6AB42">
      <w:pPr>
        <w:spacing w:line="560" w:lineRule="exact"/>
        <w:ind w:firstLine="480" w:firstLineChars="200"/>
        <w:rPr>
          <w:rFonts w:eastAsia="仿宋"/>
          <w:sz w:val="24"/>
          <w:u w:val="single"/>
        </w:rPr>
      </w:pPr>
      <w:r>
        <w:rPr>
          <w:rFonts w:eastAsia="仿宋"/>
          <w:sz w:val="24"/>
        </w:rPr>
        <w:t>1.2.1 标的名称：</w:t>
      </w:r>
      <w:r>
        <w:rPr>
          <w:rFonts w:eastAsia="仿宋"/>
          <w:sz w:val="24"/>
          <w:u w:val="single"/>
        </w:rPr>
        <w:t xml:space="preserve">                                                </w:t>
      </w:r>
      <w:r>
        <w:rPr>
          <w:rFonts w:eastAsia="仿宋"/>
          <w:sz w:val="24"/>
        </w:rPr>
        <w:t>；</w:t>
      </w:r>
    </w:p>
    <w:p w14:paraId="2E05019C">
      <w:pPr>
        <w:spacing w:line="560" w:lineRule="exact"/>
        <w:ind w:firstLine="480" w:firstLineChars="200"/>
        <w:rPr>
          <w:rFonts w:eastAsia="仿宋"/>
          <w:sz w:val="24"/>
          <w:u w:val="single"/>
        </w:rPr>
      </w:pPr>
      <w:r>
        <w:rPr>
          <w:rFonts w:eastAsia="仿宋"/>
          <w:sz w:val="24"/>
        </w:rPr>
        <w:t>1.2.2 标的数量：</w:t>
      </w:r>
      <w:r>
        <w:rPr>
          <w:rFonts w:eastAsia="仿宋"/>
          <w:sz w:val="24"/>
          <w:u w:val="single"/>
        </w:rPr>
        <w:t xml:space="preserve">                                                </w:t>
      </w:r>
      <w:r>
        <w:rPr>
          <w:rFonts w:eastAsia="仿宋"/>
          <w:sz w:val="24"/>
        </w:rPr>
        <w:t>；</w:t>
      </w:r>
    </w:p>
    <w:p w14:paraId="111B7BA4">
      <w:pPr>
        <w:spacing w:line="560" w:lineRule="exact"/>
        <w:ind w:firstLine="480" w:firstLineChars="200"/>
        <w:rPr>
          <w:rFonts w:eastAsia="仿宋"/>
          <w:sz w:val="24"/>
        </w:rPr>
      </w:pPr>
      <w:r>
        <w:rPr>
          <w:rFonts w:eastAsia="仿宋"/>
          <w:sz w:val="24"/>
        </w:rPr>
        <w:t>1.2.3 标的质量：</w:t>
      </w:r>
      <w:r>
        <w:rPr>
          <w:rFonts w:eastAsia="仿宋"/>
          <w:sz w:val="24"/>
          <w:u w:val="single"/>
        </w:rPr>
        <w:t xml:space="preserve">　　　　　　　　　                      　      </w:t>
      </w:r>
      <w:r>
        <w:rPr>
          <w:rFonts w:eastAsia="仿宋"/>
          <w:sz w:val="24"/>
        </w:rPr>
        <w:t>。</w:t>
      </w:r>
    </w:p>
    <w:p w14:paraId="6662FE5E">
      <w:pPr>
        <w:spacing w:line="560" w:lineRule="exact"/>
        <w:ind w:firstLine="482" w:firstLineChars="200"/>
        <w:outlineLvl w:val="2"/>
        <w:rPr>
          <w:rFonts w:eastAsia="仿宋"/>
          <w:b/>
          <w:sz w:val="24"/>
        </w:rPr>
      </w:pPr>
      <w:bookmarkStart w:id="35" w:name="_Toc4929"/>
      <w:bookmarkStart w:id="36" w:name="_Toc1386"/>
      <w:bookmarkStart w:id="37" w:name="_Toc5635"/>
      <w:bookmarkStart w:id="38" w:name="_Toc13918"/>
      <w:bookmarkStart w:id="39" w:name="_Toc21124"/>
      <w:r>
        <w:rPr>
          <w:rFonts w:eastAsia="仿宋"/>
          <w:b/>
          <w:sz w:val="24"/>
        </w:rPr>
        <w:t>1.3 价款</w:t>
      </w:r>
      <w:bookmarkEnd w:id="35"/>
      <w:bookmarkEnd w:id="36"/>
      <w:bookmarkEnd w:id="37"/>
      <w:bookmarkEnd w:id="38"/>
      <w:bookmarkEnd w:id="39"/>
    </w:p>
    <w:p w14:paraId="7EC55A66">
      <w:pPr>
        <w:spacing w:line="560" w:lineRule="exact"/>
        <w:ind w:firstLine="480" w:firstLineChars="200"/>
        <w:rPr>
          <w:rFonts w:eastAsia="仿宋"/>
          <w:sz w:val="24"/>
        </w:rPr>
      </w:pPr>
      <w:r>
        <w:rPr>
          <w:rFonts w:eastAsia="仿宋"/>
          <w:sz w:val="24"/>
        </w:rPr>
        <w:t>本合同总价为：￥</w:t>
      </w:r>
      <w:r>
        <w:rPr>
          <w:rFonts w:eastAsia="仿宋"/>
          <w:sz w:val="24"/>
          <w:u w:val="single"/>
        </w:rPr>
        <w:t xml:space="preserve">           </w:t>
      </w:r>
      <w:r>
        <w:rPr>
          <w:rFonts w:eastAsia="仿宋"/>
          <w:sz w:val="24"/>
        </w:rPr>
        <w:t>元（大写：</w:t>
      </w:r>
      <w:r>
        <w:rPr>
          <w:rFonts w:eastAsia="仿宋"/>
          <w:sz w:val="24"/>
          <w:u w:val="single"/>
        </w:rPr>
        <w:t xml:space="preserve">                 </w:t>
      </w:r>
      <w:r>
        <w:rPr>
          <w:rFonts w:eastAsia="仿宋"/>
          <w:sz w:val="24"/>
        </w:rPr>
        <w:t>元人民币）。</w:t>
      </w:r>
    </w:p>
    <w:p w14:paraId="7429FDBA">
      <w:pPr>
        <w:spacing w:line="560" w:lineRule="exact"/>
        <w:ind w:firstLine="480" w:firstLineChars="200"/>
        <w:rPr>
          <w:rFonts w:eastAsia="仿宋"/>
          <w:sz w:val="24"/>
        </w:rPr>
      </w:pPr>
    </w:p>
    <w:p w14:paraId="09F7C062">
      <w:pPr>
        <w:spacing w:line="560" w:lineRule="exact"/>
        <w:ind w:firstLine="480" w:firstLineChars="200"/>
        <w:rPr>
          <w:rFonts w:eastAsia="仿宋"/>
          <w:sz w:val="24"/>
        </w:rPr>
      </w:pPr>
      <w:r>
        <w:rPr>
          <w:rFonts w:eastAsia="仿宋"/>
          <w:sz w:val="24"/>
        </w:rPr>
        <w:t>分项价格：</w:t>
      </w:r>
    </w:p>
    <w:p w14:paraId="009C342A">
      <w:pPr>
        <w:pStyle w:val="6"/>
        <w:ind w:firstLine="480"/>
        <w:rPr>
          <w:rFonts w:eastAsia="仿宋"/>
          <w:sz w:val="24"/>
        </w:rPr>
      </w:pP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762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389EA75">
            <w:pPr>
              <w:pStyle w:val="58"/>
              <w:spacing w:line="560" w:lineRule="exact"/>
              <w:jc w:val="center"/>
              <w:rPr>
                <w:rFonts w:ascii="Times New Roman" w:hAnsi="Times New Roman" w:eastAsia="仿宋"/>
                <w:sz w:val="24"/>
                <w:szCs w:val="24"/>
              </w:rPr>
            </w:pPr>
            <w:r>
              <w:rPr>
                <w:rFonts w:ascii="Times New Roman" w:hAnsi="Times New Roman" w:eastAsia="仿宋"/>
                <w:sz w:val="24"/>
                <w:szCs w:val="24"/>
              </w:rPr>
              <w:t>序号</w:t>
            </w:r>
          </w:p>
        </w:tc>
        <w:tc>
          <w:tcPr>
            <w:tcW w:w="3402" w:type="dxa"/>
            <w:vAlign w:val="center"/>
          </w:tcPr>
          <w:p w14:paraId="5CF42AA6">
            <w:pPr>
              <w:pStyle w:val="58"/>
              <w:spacing w:line="560" w:lineRule="exact"/>
              <w:ind w:firstLine="200"/>
              <w:jc w:val="center"/>
              <w:rPr>
                <w:rFonts w:ascii="Times New Roman" w:hAnsi="Times New Roman" w:eastAsia="仿宋"/>
                <w:sz w:val="24"/>
                <w:szCs w:val="24"/>
              </w:rPr>
            </w:pPr>
            <w:r>
              <w:rPr>
                <w:rFonts w:ascii="Times New Roman" w:hAnsi="Times New Roman" w:eastAsia="仿宋"/>
                <w:sz w:val="24"/>
                <w:szCs w:val="24"/>
              </w:rPr>
              <w:t>分项名称</w:t>
            </w:r>
          </w:p>
        </w:tc>
        <w:tc>
          <w:tcPr>
            <w:tcW w:w="2552" w:type="dxa"/>
            <w:vAlign w:val="center"/>
          </w:tcPr>
          <w:p w14:paraId="1E1504B9">
            <w:pPr>
              <w:pStyle w:val="58"/>
              <w:spacing w:line="560" w:lineRule="exact"/>
              <w:jc w:val="center"/>
              <w:rPr>
                <w:rFonts w:ascii="Times New Roman" w:hAnsi="Times New Roman" w:eastAsia="仿宋"/>
                <w:sz w:val="24"/>
                <w:szCs w:val="24"/>
              </w:rPr>
            </w:pPr>
            <w:r>
              <w:rPr>
                <w:rFonts w:ascii="Times New Roman" w:hAnsi="Times New Roman" w:eastAsia="仿宋"/>
                <w:sz w:val="24"/>
                <w:szCs w:val="24"/>
              </w:rPr>
              <w:t>分项价格</w:t>
            </w:r>
          </w:p>
        </w:tc>
      </w:tr>
      <w:tr w14:paraId="6563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6ABB2C0">
            <w:pPr>
              <w:pStyle w:val="58"/>
              <w:spacing w:line="560" w:lineRule="exact"/>
              <w:ind w:firstLine="200"/>
              <w:jc w:val="center"/>
              <w:rPr>
                <w:rFonts w:ascii="Times New Roman" w:hAnsi="Times New Roman" w:eastAsia="仿宋"/>
                <w:sz w:val="24"/>
                <w:szCs w:val="24"/>
              </w:rPr>
            </w:pPr>
          </w:p>
        </w:tc>
        <w:tc>
          <w:tcPr>
            <w:tcW w:w="3402" w:type="dxa"/>
            <w:vAlign w:val="center"/>
          </w:tcPr>
          <w:p w14:paraId="53F52B9E">
            <w:pPr>
              <w:pStyle w:val="58"/>
              <w:spacing w:line="560" w:lineRule="exact"/>
              <w:ind w:firstLine="200"/>
              <w:jc w:val="center"/>
              <w:rPr>
                <w:rFonts w:ascii="Times New Roman" w:hAnsi="Times New Roman" w:eastAsia="仿宋"/>
                <w:sz w:val="24"/>
                <w:szCs w:val="24"/>
              </w:rPr>
            </w:pPr>
          </w:p>
        </w:tc>
        <w:tc>
          <w:tcPr>
            <w:tcW w:w="2552" w:type="dxa"/>
            <w:vAlign w:val="center"/>
          </w:tcPr>
          <w:p w14:paraId="7F972B41">
            <w:pPr>
              <w:pStyle w:val="58"/>
              <w:spacing w:line="560" w:lineRule="exact"/>
              <w:ind w:firstLine="200"/>
              <w:jc w:val="center"/>
              <w:rPr>
                <w:rFonts w:ascii="Times New Roman" w:hAnsi="Times New Roman" w:eastAsia="仿宋"/>
                <w:sz w:val="24"/>
                <w:szCs w:val="24"/>
              </w:rPr>
            </w:pPr>
          </w:p>
        </w:tc>
      </w:tr>
      <w:tr w14:paraId="6CE4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FAD5285">
            <w:pPr>
              <w:pStyle w:val="58"/>
              <w:spacing w:line="560" w:lineRule="exact"/>
              <w:ind w:firstLine="200"/>
              <w:jc w:val="center"/>
              <w:rPr>
                <w:rFonts w:ascii="Times New Roman" w:hAnsi="Times New Roman" w:eastAsia="仿宋"/>
                <w:sz w:val="24"/>
                <w:szCs w:val="24"/>
              </w:rPr>
            </w:pPr>
          </w:p>
        </w:tc>
        <w:tc>
          <w:tcPr>
            <w:tcW w:w="3402" w:type="dxa"/>
            <w:vAlign w:val="center"/>
          </w:tcPr>
          <w:p w14:paraId="27438040">
            <w:pPr>
              <w:pStyle w:val="58"/>
              <w:spacing w:line="560" w:lineRule="exact"/>
              <w:ind w:firstLine="200"/>
              <w:jc w:val="center"/>
              <w:rPr>
                <w:rFonts w:ascii="Times New Roman" w:hAnsi="Times New Roman" w:eastAsia="仿宋"/>
                <w:sz w:val="24"/>
                <w:szCs w:val="24"/>
              </w:rPr>
            </w:pPr>
          </w:p>
        </w:tc>
        <w:tc>
          <w:tcPr>
            <w:tcW w:w="2552" w:type="dxa"/>
            <w:vAlign w:val="center"/>
          </w:tcPr>
          <w:p w14:paraId="639BD91C">
            <w:pPr>
              <w:pStyle w:val="58"/>
              <w:spacing w:line="560" w:lineRule="exact"/>
              <w:ind w:firstLine="200"/>
              <w:jc w:val="center"/>
              <w:rPr>
                <w:rFonts w:ascii="Times New Roman" w:hAnsi="Times New Roman" w:eastAsia="仿宋"/>
                <w:sz w:val="24"/>
                <w:szCs w:val="24"/>
              </w:rPr>
            </w:pPr>
          </w:p>
        </w:tc>
      </w:tr>
      <w:tr w14:paraId="3CDB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76775EC">
            <w:pPr>
              <w:pStyle w:val="58"/>
              <w:spacing w:line="560" w:lineRule="exact"/>
              <w:ind w:firstLine="200"/>
              <w:jc w:val="center"/>
              <w:rPr>
                <w:rFonts w:ascii="Times New Roman" w:hAnsi="Times New Roman" w:eastAsia="仿宋"/>
                <w:sz w:val="24"/>
                <w:szCs w:val="24"/>
              </w:rPr>
            </w:pPr>
          </w:p>
        </w:tc>
        <w:tc>
          <w:tcPr>
            <w:tcW w:w="3402" w:type="dxa"/>
            <w:vAlign w:val="center"/>
          </w:tcPr>
          <w:p w14:paraId="4723A83D">
            <w:pPr>
              <w:pStyle w:val="58"/>
              <w:spacing w:line="560" w:lineRule="exact"/>
              <w:ind w:firstLine="200"/>
              <w:jc w:val="center"/>
              <w:rPr>
                <w:rFonts w:ascii="Times New Roman" w:hAnsi="Times New Roman" w:eastAsia="仿宋"/>
                <w:sz w:val="24"/>
                <w:szCs w:val="24"/>
              </w:rPr>
            </w:pPr>
          </w:p>
        </w:tc>
        <w:tc>
          <w:tcPr>
            <w:tcW w:w="2552" w:type="dxa"/>
            <w:vAlign w:val="center"/>
          </w:tcPr>
          <w:p w14:paraId="3DFA0D45">
            <w:pPr>
              <w:pStyle w:val="58"/>
              <w:spacing w:line="560" w:lineRule="exact"/>
              <w:ind w:firstLine="200"/>
              <w:jc w:val="center"/>
              <w:rPr>
                <w:rFonts w:ascii="Times New Roman" w:hAnsi="Times New Roman" w:eastAsia="仿宋"/>
                <w:sz w:val="24"/>
                <w:szCs w:val="24"/>
              </w:rPr>
            </w:pPr>
          </w:p>
        </w:tc>
      </w:tr>
      <w:tr w14:paraId="5CFA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83F6244">
            <w:pPr>
              <w:pStyle w:val="58"/>
              <w:spacing w:line="560" w:lineRule="exact"/>
              <w:ind w:firstLine="200"/>
              <w:jc w:val="center"/>
              <w:rPr>
                <w:rFonts w:ascii="Times New Roman" w:hAnsi="Times New Roman" w:eastAsia="仿宋"/>
                <w:sz w:val="24"/>
                <w:szCs w:val="24"/>
              </w:rPr>
            </w:pPr>
          </w:p>
        </w:tc>
        <w:tc>
          <w:tcPr>
            <w:tcW w:w="3402" w:type="dxa"/>
            <w:vAlign w:val="center"/>
          </w:tcPr>
          <w:p w14:paraId="12A9BD46">
            <w:pPr>
              <w:pStyle w:val="58"/>
              <w:spacing w:line="560" w:lineRule="exact"/>
              <w:ind w:firstLine="200"/>
              <w:jc w:val="center"/>
              <w:rPr>
                <w:rFonts w:ascii="Times New Roman" w:hAnsi="Times New Roman" w:eastAsia="仿宋"/>
                <w:sz w:val="24"/>
                <w:szCs w:val="24"/>
              </w:rPr>
            </w:pPr>
          </w:p>
        </w:tc>
        <w:tc>
          <w:tcPr>
            <w:tcW w:w="2552" w:type="dxa"/>
            <w:vAlign w:val="center"/>
          </w:tcPr>
          <w:p w14:paraId="14CECF7E">
            <w:pPr>
              <w:pStyle w:val="58"/>
              <w:spacing w:line="560" w:lineRule="exact"/>
              <w:ind w:firstLine="200"/>
              <w:jc w:val="center"/>
              <w:rPr>
                <w:rFonts w:ascii="Times New Roman" w:hAnsi="Times New Roman" w:eastAsia="仿宋"/>
                <w:sz w:val="24"/>
                <w:szCs w:val="24"/>
              </w:rPr>
            </w:pPr>
          </w:p>
        </w:tc>
      </w:tr>
      <w:tr w14:paraId="2E8B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FA6D3B">
            <w:pPr>
              <w:pStyle w:val="58"/>
              <w:spacing w:line="560" w:lineRule="exact"/>
              <w:ind w:firstLine="200"/>
              <w:jc w:val="center"/>
              <w:rPr>
                <w:rFonts w:ascii="Times New Roman" w:hAnsi="Times New Roman" w:eastAsia="仿宋"/>
                <w:sz w:val="24"/>
                <w:szCs w:val="24"/>
              </w:rPr>
            </w:pPr>
            <w:r>
              <w:rPr>
                <w:rFonts w:ascii="Times New Roman" w:hAnsi="Times New Roman" w:eastAsia="仿宋"/>
                <w:sz w:val="24"/>
                <w:szCs w:val="24"/>
              </w:rPr>
              <w:t>总价</w:t>
            </w:r>
          </w:p>
        </w:tc>
        <w:tc>
          <w:tcPr>
            <w:tcW w:w="2552" w:type="dxa"/>
            <w:vAlign w:val="center"/>
          </w:tcPr>
          <w:p w14:paraId="083D30F3">
            <w:pPr>
              <w:pStyle w:val="58"/>
              <w:spacing w:line="560" w:lineRule="exact"/>
              <w:ind w:firstLine="200"/>
              <w:jc w:val="center"/>
              <w:rPr>
                <w:rFonts w:ascii="Times New Roman" w:hAnsi="Times New Roman" w:eastAsia="仿宋"/>
                <w:sz w:val="24"/>
                <w:szCs w:val="24"/>
              </w:rPr>
            </w:pPr>
          </w:p>
        </w:tc>
      </w:tr>
    </w:tbl>
    <w:p w14:paraId="3D0BBCCB">
      <w:pPr>
        <w:spacing w:line="560" w:lineRule="exact"/>
        <w:ind w:firstLine="482" w:firstLineChars="200"/>
        <w:outlineLvl w:val="2"/>
        <w:rPr>
          <w:rFonts w:eastAsia="仿宋"/>
          <w:b/>
          <w:sz w:val="24"/>
        </w:rPr>
      </w:pPr>
      <w:bookmarkStart w:id="40" w:name="_Toc3654"/>
      <w:bookmarkStart w:id="41" w:name="_Toc30158"/>
      <w:bookmarkStart w:id="42" w:name="_Toc14993"/>
      <w:bookmarkStart w:id="43" w:name="_Toc30506"/>
      <w:bookmarkStart w:id="44" w:name="_Toc26916"/>
      <w:r>
        <w:rPr>
          <w:rFonts w:eastAsia="仿宋"/>
          <w:b/>
          <w:sz w:val="24"/>
        </w:rPr>
        <w:t>1.4 付款方式和发票开具方式</w:t>
      </w:r>
      <w:bookmarkEnd w:id="40"/>
      <w:bookmarkEnd w:id="41"/>
      <w:bookmarkEnd w:id="42"/>
      <w:bookmarkEnd w:id="43"/>
      <w:bookmarkEnd w:id="44"/>
    </w:p>
    <w:p w14:paraId="06567A70">
      <w:pPr>
        <w:spacing w:line="560" w:lineRule="exact"/>
        <w:ind w:firstLine="480" w:firstLineChars="200"/>
        <w:rPr>
          <w:rFonts w:eastAsia="仿宋"/>
          <w:sz w:val="24"/>
        </w:rPr>
      </w:pPr>
      <w:r>
        <w:rPr>
          <w:rFonts w:eastAsia="仿宋"/>
          <w:sz w:val="24"/>
        </w:rPr>
        <w:t>1.4.1付款方式：</w:t>
      </w:r>
      <w:r>
        <w:rPr>
          <w:rFonts w:eastAsia="仿宋"/>
          <w:sz w:val="24"/>
          <w:u w:val="single"/>
        </w:rPr>
        <w:t xml:space="preserve">                                                </w:t>
      </w:r>
      <w:r>
        <w:rPr>
          <w:rFonts w:eastAsia="仿宋"/>
          <w:sz w:val="24"/>
        </w:rPr>
        <w:t>；</w:t>
      </w:r>
    </w:p>
    <w:p w14:paraId="3EA3C120">
      <w:pPr>
        <w:spacing w:line="560" w:lineRule="exact"/>
        <w:ind w:firstLine="480" w:firstLineChars="200"/>
        <w:rPr>
          <w:rFonts w:eastAsia="仿宋"/>
          <w:sz w:val="24"/>
        </w:rPr>
      </w:pPr>
      <w:r>
        <w:rPr>
          <w:rFonts w:eastAsia="仿宋"/>
          <w:sz w:val="24"/>
        </w:rPr>
        <w:t>1.4.2 发票开具方式：</w:t>
      </w:r>
      <w:r>
        <w:rPr>
          <w:rFonts w:eastAsia="仿宋"/>
          <w:sz w:val="24"/>
          <w:u w:val="single"/>
        </w:rPr>
        <w:t xml:space="preserve">                                            </w:t>
      </w:r>
      <w:r>
        <w:rPr>
          <w:rFonts w:eastAsia="仿宋"/>
          <w:sz w:val="24"/>
        </w:rPr>
        <w:t>。</w:t>
      </w:r>
    </w:p>
    <w:p w14:paraId="2B34C96F">
      <w:pPr>
        <w:spacing w:line="560" w:lineRule="exact"/>
        <w:ind w:firstLine="482" w:firstLineChars="200"/>
        <w:outlineLvl w:val="2"/>
        <w:rPr>
          <w:rFonts w:eastAsia="仿宋"/>
          <w:b/>
          <w:sz w:val="24"/>
        </w:rPr>
      </w:pPr>
      <w:bookmarkStart w:id="45" w:name="_Toc31421"/>
      <w:bookmarkStart w:id="46" w:name="_Toc4760"/>
      <w:bookmarkStart w:id="47" w:name="_Toc8772"/>
      <w:bookmarkStart w:id="48" w:name="_Toc3625"/>
      <w:bookmarkStart w:id="49" w:name="_Toc11108"/>
      <w:r>
        <w:rPr>
          <w:rFonts w:eastAsia="仿宋"/>
          <w:b/>
          <w:sz w:val="24"/>
        </w:rPr>
        <w:t>1.5 履行期限、地点和方式</w:t>
      </w:r>
      <w:bookmarkEnd w:id="45"/>
      <w:bookmarkEnd w:id="46"/>
      <w:bookmarkEnd w:id="47"/>
      <w:bookmarkEnd w:id="48"/>
      <w:bookmarkEnd w:id="49"/>
    </w:p>
    <w:p w14:paraId="232074E1">
      <w:pPr>
        <w:spacing w:line="560" w:lineRule="exact"/>
        <w:ind w:firstLine="480" w:firstLineChars="200"/>
        <w:rPr>
          <w:rFonts w:eastAsia="仿宋"/>
          <w:sz w:val="24"/>
          <w:u w:val="single"/>
        </w:rPr>
      </w:pPr>
      <w:r>
        <w:rPr>
          <w:rFonts w:eastAsia="仿宋"/>
          <w:sz w:val="24"/>
        </w:rPr>
        <w:t>1.5.1 履行期限：</w:t>
      </w:r>
      <w:r>
        <w:rPr>
          <w:rFonts w:eastAsia="仿宋"/>
          <w:sz w:val="24"/>
          <w:u w:val="single"/>
        </w:rPr>
        <w:t xml:space="preserve">                                                </w:t>
      </w:r>
      <w:r>
        <w:rPr>
          <w:rFonts w:eastAsia="仿宋"/>
          <w:sz w:val="24"/>
        </w:rPr>
        <w:t>；</w:t>
      </w:r>
    </w:p>
    <w:p w14:paraId="2F308F24">
      <w:pPr>
        <w:spacing w:line="560" w:lineRule="exact"/>
        <w:ind w:firstLine="480" w:firstLineChars="200"/>
        <w:rPr>
          <w:rFonts w:eastAsia="仿宋"/>
          <w:sz w:val="24"/>
        </w:rPr>
      </w:pPr>
      <w:r>
        <w:rPr>
          <w:rFonts w:eastAsia="仿宋"/>
          <w:sz w:val="24"/>
        </w:rPr>
        <w:t>1.5.2 履行地点：</w:t>
      </w:r>
      <w:r>
        <w:rPr>
          <w:rFonts w:eastAsia="仿宋"/>
          <w:sz w:val="24"/>
          <w:u w:val="single"/>
        </w:rPr>
        <w:t xml:space="preserve">                                                </w:t>
      </w:r>
      <w:r>
        <w:rPr>
          <w:rFonts w:eastAsia="仿宋"/>
          <w:sz w:val="24"/>
        </w:rPr>
        <w:t>；</w:t>
      </w:r>
    </w:p>
    <w:p w14:paraId="74F022C7">
      <w:pPr>
        <w:spacing w:line="560" w:lineRule="exact"/>
        <w:ind w:firstLine="480" w:firstLineChars="200"/>
        <w:rPr>
          <w:rFonts w:eastAsia="仿宋"/>
          <w:sz w:val="24"/>
        </w:rPr>
      </w:pPr>
      <w:r>
        <w:rPr>
          <w:rFonts w:eastAsia="仿宋"/>
          <w:sz w:val="24"/>
        </w:rPr>
        <w:t>1.5.3 履行方式：</w:t>
      </w:r>
      <w:r>
        <w:rPr>
          <w:rFonts w:eastAsia="仿宋"/>
          <w:sz w:val="24"/>
          <w:u w:val="single"/>
        </w:rPr>
        <w:t xml:space="preserve">　　　　　　　　　                      　      </w:t>
      </w:r>
      <w:r>
        <w:rPr>
          <w:rFonts w:eastAsia="仿宋"/>
          <w:sz w:val="24"/>
        </w:rPr>
        <w:t>。</w:t>
      </w:r>
    </w:p>
    <w:p w14:paraId="3B73302B">
      <w:pPr>
        <w:spacing w:line="560" w:lineRule="exact"/>
        <w:ind w:firstLine="482" w:firstLineChars="200"/>
        <w:outlineLvl w:val="2"/>
        <w:rPr>
          <w:rFonts w:eastAsia="仿宋"/>
          <w:sz w:val="24"/>
          <w:u w:val="single"/>
        </w:rPr>
      </w:pPr>
      <w:bookmarkStart w:id="50" w:name="_Toc3079"/>
      <w:bookmarkStart w:id="51" w:name="_Toc2375"/>
      <w:bookmarkStart w:id="52" w:name="_Toc8586"/>
      <w:bookmarkStart w:id="53" w:name="_Toc5698"/>
      <w:bookmarkStart w:id="54" w:name="_Toc24662"/>
      <w:r>
        <w:rPr>
          <w:rFonts w:eastAsia="仿宋"/>
          <w:b/>
          <w:sz w:val="24"/>
        </w:rPr>
        <w:t>1.6 违约责任</w:t>
      </w:r>
      <w:bookmarkEnd w:id="50"/>
      <w:bookmarkEnd w:id="51"/>
      <w:bookmarkEnd w:id="52"/>
      <w:bookmarkEnd w:id="53"/>
      <w:bookmarkEnd w:id="54"/>
    </w:p>
    <w:p w14:paraId="4D0BAF79">
      <w:pPr>
        <w:spacing w:line="560" w:lineRule="exact"/>
        <w:ind w:firstLine="480" w:firstLineChars="200"/>
        <w:rPr>
          <w:rFonts w:eastAsia="仿宋"/>
          <w:color w:val="auto"/>
          <w:sz w:val="24"/>
        </w:rPr>
      </w:pPr>
      <w:r>
        <w:rPr>
          <w:rFonts w:eastAsia="仿宋"/>
          <w:sz w:val="24"/>
        </w:rPr>
        <w:t>1.6.1 除不可抗力外，如果乙方没有按照本合同约定的期限、地点和方式履行，那么甲方可要求乙方支付违约金，违约金按每迟延履行一日的应提供而未提供服务价格的</w:t>
      </w:r>
      <w:r>
        <w:rPr>
          <w:rFonts w:eastAsia="仿宋"/>
          <w:sz w:val="24"/>
          <w:u w:val="single"/>
        </w:rPr>
        <w:t xml:space="preserve"> </w:t>
      </w:r>
      <w:r>
        <w:rPr>
          <w:rFonts w:hint="eastAsia" w:eastAsia="仿宋"/>
          <w:sz w:val="24"/>
          <w:u w:val="single"/>
        </w:rPr>
        <w:t>5</w:t>
      </w:r>
      <w:r>
        <w:rPr>
          <w:rFonts w:eastAsia="仿宋"/>
          <w:sz w:val="24"/>
          <w:u w:val="single"/>
        </w:rPr>
        <w:t xml:space="preserve"> </w:t>
      </w:r>
      <w:r>
        <w:rPr>
          <w:rFonts w:eastAsia="仿宋"/>
          <w:sz w:val="24"/>
        </w:rPr>
        <w:t>%计算</w:t>
      </w:r>
      <w:r>
        <w:rPr>
          <w:rFonts w:hint="eastAsia" w:eastAsia="仿宋"/>
          <w:sz w:val="24"/>
        </w:rPr>
        <w:t>，</w:t>
      </w:r>
      <w:r>
        <w:rPr>
          <w:rFonts w:hint="eastAsia" w:eastAsia="仿宋"/>
          <w:color w:val="auto"/>
          <w:sz w:val="24"/>
        </w:rPr>
        <w:t>未经甲方书面许可，每个阶段延迟履行超过3个日历日时</w:t>
      </w:r>
      <w:r>
        <w:rPr>
          <w:rFonts w:eastAsia="仿宋"/>
          <w:color w:val="auto"/>
          <w:sz w:val="24"/>
        </w:rPr>
        <w:t>甲方有权在要求乙方支付违约金的同时书面通知乙方解除本合同；</w:t>
      </w:r>
    </w:p>
    <w:p w14:paraId="5457843B">
      <w:pPr>
        <w:spacing w:line="560" w:lineRule="exact"/>
        <w:ind w:firstLine="480" w:firstLineChars="200"/>
        <w:rPr>
          <w:rFonts w:eastAsia="仿宋"/>
          <w:color w:val="auto"/>
          <w:sz w:val="24"/>
        </w:rPr>
      </w:pPr>
      <w:r>
        <w:rPr>
          <w:rFonts w:eastAsia="仿宋"/>
          <w:color w:val="auto"/>
          <w:sz w:val="24"/>
        </w:rPr>
        <w:t>1.6.2 除不可抗力外，如果甲方没有按照本合同约定的付款方式付款，那么乙方可要求甲方支付违约金，违约金按每迟延付款一日的应付而未付款的</w:t>
      </w:r>
      <w:r>
        <w:rPr>
          <w:rFonts w:eastAsia="仿宋"/>
          <w:color w:val="auto"/>
          <w:sz w:val="24"/>
          <w:u w:val="single"/>
        </w:rPr>
        <w:t xml:space="preserve"> </w:t>
      </w:r>
      <w:r>
        <w:rPr>
          <w:rFonts w:hint="eastAsia" w:eastAsia="仿宋"/>
          <w:color w:val="auto"/>
          <w:sz w:val="24"/>
          <w:u w:val="single"/>
        </w:rPr>
        <w:t>5</w:t>
      </w:r>
      <w:r>
        <w:rPr>
          <w:rFonts w:eastAsia="仿宋"/>
          <w:color w:val="auto"/>
          <w:sz w:val="24"/>
          <w:u w:val="single"/>
        </w:rPr>
        <w:t xml:space="preserve"> </w:t>
      </w:r>
      <w:r>
        <w:rPr>
          <w:rFonts w:eastAsia="仿宋"/>
          <w:color w:val="auto"/>
          <w:sz w:val="24"/>
        </w:rPr>
        <w:t>%计算</w:t>
      </w:r>
      <w:r>
        <w:rPr>
          <w:rFonts w:hint="eastAsia" w:eastAsia="仿宋"/>
          <w:color w:val="auto"/>
          <w:sz w:val="24"/>
        </w:rPr>
        <w:t>，未经乙方书面许可，每个阶段延迟履行超过3个日历日时乙</w:t>
      </w:r>
      <w:r>
        <w:rPr>
          <w:rFonts w:eastAsia="仿宋"/>
          <w:color w:val="auto"/>
          <w:sz w:val="24"/>
        </w:rPr>
        <w:t>方有权在要求</w:t>
      </w:r>
      <w:r>
        <w:rPr>
          <w:rFonts w:hint="eastAsia" w:eastAsia="仿宋"/>
          <w:color w:val="auto"/>
          <w:sz w:val="24"/>
        </w:rPr>
        <w:t>甲</w:t>
      </w:r>
      <w:r>
        <w:rPr>
          <w:rFonts w:eastAsia="仿宋"/>
          <w:color w:val="auto"/>
          <w:sz w:val="24"/>
        </w:rPr>
        <w:t>方支付违约金的同时书面通知</w:t>
      </w:r>
      <w:r>
        <w:rPr>
          <w:rFonts w:hint="eastAsia" w:eastAsia="仿宋"/>
          <w:color w:val="auto"/>
          <w:sz w:val="24"/>
        </w:rPr>
        <w:t>甲</w:t>
      </w:r>
      <w:r>
        <w:rPr>
          <w:rFonts w:eastAsia="仿宋"/>
          <w:color w:val="auto"/>
          <w:sz w:val="24"/>
        </w:rPr>
        <w:t>方解除本合同；</w:t>
      </w:r>
    </w:p>
    <w:p w14:paraId="3C78AC04">
      <w:pPr>
        <w:spacing w:line="560" w:lineRule="exact"/>
        <w:ind w:firstLine="480" w:firstLineChars="200"/>
        <w:rPr>
          <w:rFonts w:eastAsia="仿宋"/>
          <w:sz w:val="24"/>
        </w:rPr>
      </w:pPr>
      <w:r>
        <w:rPr>
          <w:rFonts w:eastAsia="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C6BF475">
      <w:pPr>
        <w:spacing w:line="560" w:lineRule="exact"/>
        <w:ind w:firstLine="480" w:firstLineChars="200"/>
        <w:rPr>
          <w:rFonts w:eastAsia="仿宋"/>
          <w:sz w:val="24"/>
        </w:rPr>
      </w:pPr>
      <w:r>
        <w:rPr>
          <w:rFonts w:eastAsia="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48E38FE">
      <w:pPr>
        <w:spacing w:line="560" w:lineRule="exact"/>
        <w:ind w:firstLine="480" w:firstLineChars="200"/>
        <w:rPr>
          <w:rFonts w:eastAsia="仿宋"/>
          <w:sz w:val="24"/>
        </w:rPr>
      </w:pPr>
      <w:r>
        <w:rPr>
          <w:rFonts w:eastAsia="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F2D584A">
      <w:pPr>
        <w:spacing w:line="560" w:lineRule="exact"/>
        <w:ind w:firstLine="480" w:firstLineChars="200"/>
        <w:rPr>
          <w:rFonts w:eastAsia="仿宋"/>
          <w:sz w:val="24"/>
        </w:rPr>
      </w:pPr>
      <w:r>
        <w:rPr>
          <w:rFonts w:eastAsia="仿宋"/>
          <w:sz w:val="24"/>
        </w:rPr>
        <w:t>1.6.6 如果出现政府采购监督管理部门在处理投诉事项期间，书面通知甲方暂停采购活动的情形，或者询问或质疑事项可能影响成交结果的，导致甲方中止履行合同的情形，均不视为甲方违约。</w:t>
      </w:r>
    </w:p>
    <w:p w14:paraId="39A0FDED">
      <w:pPr>
        <w:spacing w:line="560" w:lineRule="exact"/>
        <w:ind w:firstLine="482" w:firstLineChars="200"/>
        <w:outlineLvl w:val="2"/>
        <w:rPr>
          <w:rFonts w:eastAsia="仿宋"/>
          <w:b/>
          <w:sz w:val="24"/>
        </w:rPr>
      </w:pPr>
      <w:bookmarkStart w:id="55" w:name="_Toc18683"/>
      <w:bookmarkStart w:id="56" w:name="_Toc32454"/>
      <w:bookmarkStart w:id="57" w:name="_Toc30329"/>
      <w:bookmarkStart w:id="58" w:name="_Toc26807"/>
      <w:bookmarkStart w:id="59" w:name="_Toc9497"/>
      <w:r>
        <w:rPr>
          <w:rFonts w:eastAsia="仿宋"/>
          <w:b/>
          <w:sz w:val="24"/>
        </w:rPr>
        <w:t>1.7 合同争议的解决</w:t>
      </w:r>
      <w:bookmarkEnd w:id="55"/>
      <w:bookmarkEnd w:id="56"/>
      <w:bookmarkEnd w:id="57"/>
      <w:bookmarkEnd w:id="58"/>
      <w:bookmarkEnd w:id="59"/>
    </w:p>
    <w:p w14:paraId="703A4E6D">
      <w:pPr>
        <w:spacing w:line="560" w:lineRule="exact"/>
        <w:ind w:firstLine="480" w:firstLineChars="200"/>
        <w:rPr>
          <w:rFonts w:eastAsia="仿宋"/>
          <w:sz w:val="24"/>
        </w:rPr>
      </w:pPr>
      <w:r>
        <w:rPr>
          <w:rFonts w:eastAsia="仿宋"/>
          <w:sz w:val="24"/>
        </w:rPr>
        <w:t>本合同履行过程中发生的任何争议，双方当事人均可通过和解或者调解解决；不愿和解、调解或者和解、调解不成的，可以选择下列第</w:t>
      </w:r>
      <w:r>
        <w:rPr>
          <w:rFonts w:eastAsia="仿宋"/>
          <w:sz w:val="24"/>
          <w:u w:val="single"/>
        </w:rPr>
        <w:t xml:space="preserve"> 2 </w:t>
      </w:r>
      <w:r>
        <w:rPr>
          <w:rFonts w:eastAsia="仿宋"/>
          <w:sz w:val="24"/>
        </w:rPr>
        <w:t>种方式解决：</w:t>
      </w:r>
    </w:p>
    <w:p w14:paraId="07DFA9EE">
      <w:pPr>
        <w:spacing w:line="560" w:lineRule="exact"/>
        <w:ind w:firstLine="480" w:firstLineChars="200"/>
        <w:rPr>
          <w:rFonts w:eastAsia="仿宋"/>
          <w:sz w:val="24"/>
        </w:rPr>
      </w:pPr>
      <w:r>
        <w:rPr>
          <w:rFonts w:eastAsia="仿宋"/>
          <w:sz w:val="24"/>
        </w:rPr>
        <w:t>1.7.1 将争议提交</w:t>
      </w:r>
      <w:r>
        <w:rPr>
          <w:rFonts w:eastAsia="仿宋"/>
          <w:sz w:val="24"/>
          <w:u w:val="single"/>
        </w:rPr>
        <w:t xml:space="preserve">              </w:t>
      </w:r>
      <w:r>
        <w:rPr>
          <w:rFonts w:eastAsia="仿宋"/>
          <w:sz w:val="24"/>
        </w:rPr>
        <w:t>仲裁委员会依申请仲裁时其现行有效的仲裁规则裁决；</w:t>
      </w:r>
    </w:p>
    <w:p w14:paraId="2A86CC87">
      <w:pPr>
        <w:spacing w:line="560" w:lineRule="exact"/>
        <w:ind w:firstLine="480" w:firstLineChars="200"/>
        <w:outlineLvl w:val="3"/>
        <w:rPr>
          <w:rFonts w:eastAsia="仿宋"/>
          <w:sz w:val="24"/>
        </w:rPr>
      </w:pPr>
      <w:r>
        <w:rPr>
          <w:rFonts w:eastAsia="仿宋"/>
          <w:sz w:val="24"/>
        </w:rPr>
        <w:t>1.7.2 向</w:t>
      </w:r>
      <w:r>
        <w:rPr>
          <w:rFonts w:eastAsia="仿宋"/>
          <w:sz w:val="24"/>
          <w:u w:val="single"/>
        </w:rPr>
        <w:t xml:space="preserve">合同履行地 </w:t>
      </w:r>
      <w:r>
        <w:rPr>
          <w:rFonts w:eastAsia="仿宋"/>
          <w:sz w:val="24"/>
        </w:rPr>
        <w:t>人民法院起诉。</w:t>
      </w:r>
    </w:p>
    <w:p w14:paraId="1061324F">
      <w:pPr>
        <w:spacing w:line="560" w:lineRule="exact"/>
        <w:ind w:firstLine="482" w:firstLineChars="200"/>
        <w:outlineLvl w:val="2"/>
        <w:rPr>
          <w:rFonts w:eastAsia="仿宋"/>
          <w:b/>
          <w:sz w:val="24"/>
        </w:rPr>
      </w:pPr>
      <w:bookmarkStart w:id="60" w:name="_Toc16417"/>
      <w:bookmarkStart w:id="61" w:name="_Toc23784"/>
      <w:bookmarkStart w:id="62" w:name="_Toc12273"/>
      <w:bookmarkStart w:id="63" w:name="_Toc15827"/>
      <w:bookmarkStart w:id="64" w:name="_Toc26227"/>
      <w:r>
        <w:rPr>
          <w:rFonts w:eastAsia="仿宋"/>
          <w:b/>
          <w:sz w:val="24"/>
        </w:rPr>
        <w:t>1.8 合同生效</w:t>
      </w:r>
      <w:bookmarkEnd w:id="60"/>
      <w:bookmarkEnd w:id="61"/>
      <w:bookmarkEnd w:id="62"/>
      <w:bookmarkEnd w:id="63"/>
      <w:bookmarkEnd w:id="64"/>
    </w:p>
    <w:p w14:paraId="7BD3BD50">
      <w:pPr>
        <w:spacing w:line="560" w:lineRule="exact"/>
        <w:ind w:firstLine="480" w:firstLineChars="200"/>
        <w:rPr>
          <w:rFonts w:eastAsia="仿宋"/>
          <w:b/>
          <w:sz w:val="24"/>
        </w:rPr>
      </w:pPr>
      <w:r>
        <w:rPr>
          <w:rFonts w:eastAsia="仿宋"/>
          <w:sz w:val="24"/>
        </w:rPr>
        <w:t>本合同自双方当事人盖章或者签字时生效。</w:t>
      </w:r>
    </w:p>
    <w:p w14:paraId="0512A43F">
      <w:pPr>
        <w:autoSpaceDE w:val="0"/>
        <w:autoSpaceDN w:val="0"/>
        <w:adjustRightInd w:val="0"/>
        <w:spacing w:line="560" w:lineRule="exact"/>
        <w:rPr>
          <w:rFonts w:eastAsia="仿宋"/>
          <w:sz w:val="24"/>
          <w:lang w:val="zh-CN"/>
        </w:rPr>
      </w:pPr>
    </w:p>
    <w:p w14:paraId="3733B3DE">
      <w:pPr>
        <w:autoSpaceDE w:val="0"/>
        <w:autoSpaceDN w:val="0"/>
        <w:adjustRightInd w:val="0"/>
        <w:spacing w:line="560" w:lineRule="exact"/>
        <w:rPr>
          <w:rFonts w:eastAsia="仿宋"/>
          <w:sz w:val="24"/>
          <w:lang w:val="zh-CN"/>
        </w:rPr>
      </w:pPr>
      <w:r>
        <w:rPr>
          <w:rFonts w:eastAsia="仿宋"/>
          <w:b/>
          <w:sz w:val="24"/>
          <w:lang w:val="zh-CN"/>
        </w:rPr>
        <w:t>甲方</w:t>
      </w:r>
      <w:r>
        <w:rPr>
          <w:rFonts w:eastAsia="仿宋"/>
          <w:sz w:val="24"/>
          <w:lang w:val="zh-CN"/>
        </w:rPr>
        <w:t xml:space="preserve">：                             </w:t>
      </w:r>
      <w:r>
        <w:rPr>
          <w:rFonts w:eastAsia="仿宋"/>
          <w:b/>
          <w:sz w:val="24"/>
          <w:lang w:val="zh-CN"/>
        </w:rPr>
        <w:t xml:space="preserve">      乙方</w:t>
      </w:r>
      <w:r>
        <w:rPr>
          <w:rFonts w:eastAsia="仿宋"/>
          <w:sz w:val="24"/>
          <w:lang w:val="zh-CN"/>
        </w:rPr>
        <w:t>：</w:t>
      </w:r>
    </w:p>
    <w:p w14:paraId="55882137">
      <w:pPr>
        <w:autoSpaceDE w:val="0"/>
        <w:autoSpaceDN w:val="0"/>
        <w:adjustRightInd w:val="0"/>
        <w:spacing w:line="560" w:lineRule="exact"/>
        <w:rPr>
          <w:rFonts w:eastAsia="仿宋"/>
          <w:sz w:val="24"/>
          <w:lang w:val="zh-CN"/>
        </w:rPr>
      </w:pPr>
      <w:r>
        <w:rPr>
          <w:rFonts w:eastAsia="仿宋"/>
          <w:sz w:val="24"/>
          <w:lang w:val="zh-CN"/>
        </w:rPr>
        <w:t>统一社会信用代码：                        统一社会信用代码或身份证号码：</w:t>
      </w:r>
    </w:p>
    <w:p w14:paraId="626F2574">
      <w:pPr>
        <w:autoSpaceDE w:val="0"/>
        <w:autoSpaceDN w:val="0"/>
        <w:adjustRightInd w:val="0"/>
        <w:spacing w:line="560" w:lineRule="exact"/>
        <w:rPr>
          <w:rFonts w:eastAsia="仿宋"/>
          <w:sz w:val="24"/>
          <w:lang w:val="zh-CN"/>
        </w:rPr>
      </w:pPr>
    </w:p>
    <w:p w14:paraId="5CFCB140">
      <w:pPr>
        <w:autoSpaceDE w:val="0"/>
        <w:autoSpaceDN w:val="0"/>
        <w:adjustRightInd w:val="0"/>
        <w:spacing w:line="560" w:lineRule="exact"/>
        <w:rPr>
          <w:rFonts w:eastAsia="仿宋"/>
          <w:sz w:val="24"/>
          <w:lang w:val="zh-CN"/>
        </w:rPr>
      </w:pPr>
      <w:r>
        <w:rPr>
          <w:rFonts w:eastAsia="仿宋"/>
          <w:sz w:val="24"/>
          <w:lang w:val="zh-CN"/>
        </w:rPr>
        <w:t>住所：                                   住所：</w:t>
      </w:r>
    </w:p>
    <w:p w14:paraId="6528C37B">
      <w:pPr>
        <w:autoSpaceDE w:val="0"/>
        <w:autoSpaceDN w:val="0"/>
        <w:adjustRightInd w:val="0"/>
        <w:spacing w:line="560" w:lineRule="exact"/>
        <w:rPr>
          <w:rFonts w:eastAsia="仿宋"/>
          <w:sz w:val="24"/>
          <w:lang w:val="zh-CN"/>
        </w:rPr>
      </w:pPr>
      <w:r>
        <w:rPr>
          <w:rFonts w:eastAsia="仿宋"/>
          <w:sz w:val="24"/>
          <w:lang w:val="zh-CN"/>
        </w:rPr>
        <w:t>法定代表人或                             法定代表人</w:t>
      </w:r>
    </w:p>
    <w:p w14:paraId="67E040B7">
      <w:pPr>
        <w:autoSpaceDE w:val="0"/>
        <w:autoSpaceDN w:val="0"/>
        <w:adjustRightInd w:val="0"/>
        <w:spacing w:line="560" w:lineRule="exact"/>
        <w:rPr>
          <w:rFonts w:eastAsia="仿宋"/>
          <w:sz w:val="24"/>
          <w:lang w:val="zh-CN"/>
        </w:rPr>
      </w:pPr>
      <w:r>
        <w:rPr>
          <w:rFonts w:eastAsia="仿宋"/>
          <w:sz w:val="24"/>
          <w:lang w:val="zh-CN"/>
        </w:rPr>
        <w:t xml:space="preserve">授权代表（签字）：                        或授权代表（签字）: </w:t>
      </w:r>
    </w:p>
    <w:p w14:paraId="211F9010">
      <w:pPr>
        <w:autoSpaceDE w:val="0"/>
        <w:autoSpaceDN w:val="0"/>
        <w:adjustRightInd w:val="0"/>
        <w:spacing w:line="560" w:lineRule="exact"/>
        <w:rPr>
          <w:rFonts w:eastAsia="仿宋"/>
          <w:sz w:val="24"/>
          <w:lang w:val="zh-CN"/>
        </w:rPr>
      </w:pPr>
      <w:r>
        <w:rPr>
          <w:rFonts w:eastAsia="仿宋"/>
          <w:sz w:val="24"/>
          <w:lang w:val="zh-CN"/>
        </w:rPr>
        <w:t>联系人：                                 联系人：</w:t>
      </w:r>
    </w:p>
    <w:p w14:paraId="52E678A6">
      <w:pPr>
        <w:autoSpaceDE w:val="0"/>
        <w:autoSpaceDN w:val="0"/>
        <w:adjustRightInd w:val="0"/>
        <w:spacing w:line="560" w:lineRule="exact"/>
        <w:rPr>
          <w:rFonts w:eastAsia="仿宋"/>
          <w:sz w:val="24"/>
          <w:lang w:val="zh-CN"/>
        </w:rPr>
      </w:pPr>
      <w:r>
        <w:rPr>
          <w:rFonts w:eastAsia="仿宋"/>
          <w:sz w:val="24"/>
          <w:lang w:val="zh-CN"/>
        </w:rPr>
        <w:t>约定送达地址：                           约定送达地址：</w:t>
      </w:r>
    </w:p>
    <w:p w14:paraId="6EAF530A">
      <w:pPr>
        <w:autoSpaceDE w:val="0"/>
        <w:autoSpaceDN w:val="0"/>
        <w:adjustRightInd w:val="0"/>
        <w:spacing w:line="560" w:lineRule="exact"/>
        <w:rPr>
          <w:rFonts w:eastAsia="仿宋"/>
          <w:sz w:val="24"/>
          <w:lang w:val="zh-CN"/>
        </w:rPr>
      </w:pPr>
      <w:r>
        <w:rPr>
          <w:rFonts w:eastAsia="仿宋"/>
          <w:sz w:val="24"/>
          <w:lang w:val="zh-CN"/>
        </w:rPr>
        <w:t>邮政编码：                               邮政编码：</w:t>
      </w:r>
    </w:p>
    <w:p w14:paraId="5711A58F">
      <w:pPr>
        <w:autoSpaceDE w:val="0"/>
        <w:autoSpaceDN w:val="0"/>
        <w:adjustRightInd w:val="0"/>
        <w:spacing w:line="560" w:lineRule="exact"/>
        <w:rPr>
          <w:rFonts w:eastAsia="仿宋"/>
          <w:sz w:val="24"/>
          <w:lang w:val="zh-CN"/>
        </w:rPr>
      </w:pPr>
      <w:r>
        <w:rPr>
          <w:rFonts w:eastAsia="仿宋"/>
          <w:sz w:val="24"/>
          <w:lang w:val="zh-CN"/>
        </w:rPr>
        <w:t xml:space="preserve">电话:                                    电话: </w:t>
      </w:r>
    </w:p>
    <w:p w14:paraId="5B0953C3">
      <w:pPr>
        <w:autoSpaceDE w:val="0"/>
        <w:autoSpaceDN w:val="0"/>
        <w:adjustRightInd w:val="0"/>
        <w:spacing w:line="560" w:lineRule="exact"/>
        <w:rPr>
          <w:rFonts w:eastAsia="仿宋"/>
          <w:sz w:val="24"/>
          <w:lang w:val="zh-CN"/>
        </w:rPr>
      </w:pPr>
      <w:r>
        <w:rPr>
          <w:rFonts w:eastAsia="仿宋"/>
          <w:sz w:val="24"/>
          <w:lang w:val="zh-CN"/>
        </w:rPr>
        <w:t>传真:                                    传真:</w:t>
      </w:r>
    </w:p>
    <w:p w14:paraId="0FDF4080">
      <w:pPr>
        <w:autoSpaceDE w:val="0"/>
        <w:autoSpaceDN w:val="0"/>
        <w:adjustRightInd w:val="0"/>
        <w:spacing w:line="560" w:lineRule="exact"/>
        <w:rPr>
          <w:rFonts w:eastAsia="仿宋"/>
          <w:sz w:val="24"/>
        </w:rPr>
      </w:pPr>
      <w:r>
        <w:rPr>
          <w:rFonts w:eastAsia="仿宋"/>
          <w:sz w:val="24"/>
          <w:lang w:val="zh-CN"/>
        </w:rPr>
        <w:t>电子邮箱：                               电子邮箱：</w:t>
      </w:r>
    </w:p>
    <w:p w14:paraId="02BA2E1E">
      <w:pPr>
        <w:autoSpaceDE w:val="0"/>
        <w:autoSpaceDN w:val="0"/>
        <w:adjustRightInd w:val="0"/>
        <w:spacing w:line="560" w:lineRule="exact"/>
        <w:rPr>
          <w:rFonts w:eastAsia="仿宋"/>
          <w:sz w:val="24"/>
        </w:rPr>
      </w:pPr>
      <w:r>
        <w:rPr>
          <w:rFonts w:eastAsia="仿宋"/>
          <w:sz w:val="24"/>
        </w:rPr>
        <w:t xml:space="preserve">开户银行：                               开户银行： </w:t>
      </w:r>
    </w:p>
    <w:p w14:paraId="3B87F08B">
      <w:pPr>
        <w:autoSpaceDE w:val="0"/>
        <w:autoSpaceDN w:val="0"/>
        <w:adjustRightInd w:val="0"/>
        <w:spacing w:line="560" w:lineRule="exact"/>
        <w:rPr>
          <w:rFonts w:eastAsia="仿宋"/>
          <w:sz w:val="24"/>
        </w:rPr>
      </w:pPr>
      <w:r>
        <w:rPr>
          <w:rFonts w:eastAsia="仿宋"/>
          <w:sz w:val="24"/>
        </w:rPr>
        <w:t xml:space="preserve">开户名称：                               开户名称： </w:t>
      </w:r>
    </w:p>
    <w:p w14:paraId="6923CE73">
      <w:pPr>
        <w:autoSpaceDE w:val="0"/>
        <w:autoSpaceDN w:val="0"/>
        <w:adjustRightInd w:val="0"/>
        <w:spacing w:line="560" w:lineRule="exact"/>
        <w:rPr>
          <w:rFonts w:eastAsia="仿宋"/>
          <w:sz w:val="24"/>
        </w:rPr>
      </w:pPr>
      <w:r>
        <w:rPr>
          <w:rFonts w:eastAsia="仿宋"/>
          <w:sz w:val="24"/>
        </w:rPr>
        <w:t>开户账号：</w:t>
      </w:r>
      <w:r>
        <w:rPr>
          <w:rFonts w:eastAsia="仿宋"/>
          <w:sz w:val="24"/>
          <w:lang w:val="zh-CN"/>
        </w:rPr>
        <w:t xml:space="preserve">                               </w:t>
      </w:r>
      <w:r>
        <w:rPr>
          <w:rFonts w:eastAsia="仿宋"/>
          <w:sz w:val="24"/>
        </w:rPr>
        <w:t>开户账号：</w:t>
      </w:r>
    </w:p>
    <w:p w14:paraId="1DB40D56">
      <w:pPr>
        <w:widowControl/>
        <w:spacing w:line="560" w:lineRule="exact"/>
        <w:jc w:val="left"/>
        <w:rPr>
          <w:rFonts w:eastAsia="仿宋"/>
          <w:b/>
        </w:rPr>
      </w:pPr>
      <w:bookmarkStart w:id="65" w:name="_Toc331685783"/>
    </w:p>
    <w:p w14:paraId="1F7063E0">
      <w:pPr>
        <w:widowControl/>
        <w:spacing w:line="560" w:lineRule="exact"/>
        <w:jc w:val="left"/>
        <w:rPr>
          <w:rFonts w:eastAsia="仿宋"/>
          <w:b/>
        </w:rPr>
      </w:pPr>
    </w:p>
    <w:p w14:paraId="35B454BA">
      <w:pPr>
        <w:widowControl/>
        <w:spacing w:line="560" w:lineRule="exact"/>
        <w:jc w:val="left"/>
        <w:rPr>
          <w:rFonts w:eastAsia="仿宋"/>
          <w:b/>
          <w:kern w:val="0"/>
          <w:sz w:val="24"/>
        </w:rPr>
      </w:pPr>
    </w:p>
    <w:p w14:paraId="622340EE">
      <w:pPr>
        <w:widowControl/>
        <w:spacing w:line="560" w:lineRule="exact"/>
        <w:jc w:val="left"/>
        <w:rPr>
          <w:rFonts w:eastAsia="仿宋"/>
          <w:b/>
          <w:kern w:val="0"/>
          <w:sz w:val="24"/>
        </w:rPr>
      </w:pPr>
    </w:p>
    <w:p w14:paraId="7D7ED0BC">
      <w:pPr>
        <w:widowControl/>
        <w:spacing w:line="560" w:lineRule="exact"/>
        <w:jc w:val="left"/>
        <w:rPr>
          <w:rFonts w:eastAsia="仿宋"/>
          <w:b/>
          <w:kern w:val="0"/>
          <w:sz w:val="24"/>
        </w:rPr>
      </w:pPr>
    </w:p>
    <w:p w14:paraId="051ABA2E">
      <w:pPr>
        <w:pStyle w:val="19"/>
        <w:rPr>
          <w:rFonts w:ascii="Times New Roman" w:hAnsi="Times New Roman" w:eastAsia="仿宋" w:cs="Times New Roman"/>
          <w:b/>
          <w:kern w:val="0"/>
          <w:sz w:val="24"/>
        </w:rPr>
      </w:pPr>
    </w:p>
    <w:p w14:paraId="6D65302E">
      <w:pPr>
        <w:pStyle w:val="19"/>
        <w:rPr>
          <w:rFonts w:ascii="Times New Roman" w:hAnsi="Times New Roman" w:eastAsia="仿宋" w:cs="Times New Roman"/>
          <w:b/>
          <w:kern w:val="0"/>
          <w:sz w:val="24"/>
        </w:rPr>
      </w:pPr>
    </w:p>
    <w:p w14:paraId="5DF63AC3">
      <w:pPr>
        <w:pStyle w:val="19"/>
        <w:rPr>
          <w:rFonts w:ascii="Times New Roman" w:hAnsi="Times New Roman" w:eastAsia="仿宋" w:cs="Times New Roman"/>
          <w:b/>
          <w:kern w:val="0"/>
          <w:sz w:val="24"/>
        </w:rPr>
      </w:pPr>
    </w:p>
    <w:p w14:paraId="4A3933F7">
      <w:pPr>
        <w:pStyle w:val="19"/>
        <w:rPr>
          <w:rFonts w:ascii="Times New Roman" w:hAnsi="Times New Roman" w:eastAsia="仿宋" w:cs="Times New Roman"/>
          <w:b/>
          <w:kern w:val="0"/>
          <w:sz w:val="24"/>
        </w:rPr>
      </w:pPr>
    </w:p>
    <w:p w14:paraId="0F8B5E81">
      <w:pPr>
        <w:pStyle w:val="19"/>
        <w:rPr>
          <w:rFonts w:ascii="Times New Roman" w:hAnsi="Times New Roman" w:eastAsia="仿宋" w:cs="Times New Roman"/>
          <w:b/>
          <w:kern w:val="0"/>
          <w:sz w:val="24"/>
        </w:rPr>
      </w:pPr>
    </w:p>
    <w:p w14:paraId="70B5312F">
      <w:pPr>
        <w:pStyle w:val="19"/>
        <w:rPr>
          <w:rFonts w:ascii="Times New Roman" w:hAnsi="Times New Roman" w:eastAsia="仿宋" w:cs="Times New Roman"/>
          <w:b/>
          <w:kern w:val="0"/>
          <w:sz w:val="24"/>
        </w:rPr>
      </w:pPr>
    </w:p>
    <w:p w14:paraId="722CCC5C">
      <w:pPr>
        <w:pStyle w:val="19"/>
        <w:rPr>
          <w:rFonts w:ascii="Times New Roman" w:hAnsi="Times New Roman" w:eastAsia="仿宋" w:cs="Times New Roman"/>
          <w:b/>
          <w:kern w:val="0"/>
          <w:sz w:val="24"/>
        </w:rPr>
      </w:pPr>
    </w:p>
    <w:p w14:paraId="3BA8E207">
      <w:pPr>
        <w:pStyle w:val="6"/>
        <w:ind w:firstLine="482"/>
        <w:rPr>
          <w:rFonts w:eastAsia="仿宋"/>
          <w:b/>
          <w:kern w:val="0"/>
          <w:sz w:val="24"/>
        </w:rPr>
      </w:pPr>
    </w:p>
    <w:p w14:paraId="58F40314">
      <w:pPr>
        <w:pStyle w:val="55"/>
        <w:spacing w:line="560" w:lineRule="exact"/>
        <w:ind w:firstLine="0"/>
        <w:jc w:val="center"/>
        <w:outlineLvl w:val="1"/>
        <w:rPr>
          <w:rFonts w:ascii="Times New Roman" w:eastAsia="仿宋"/>
          <w:b/>
          <w:szCs w:val="24"/>
        </w:rPr>
      </w:pPr>
      <w:r>
        <w:rPr>
          <w:rFonts w:ascii="Times New Roman" w:eastAsia="仿宋"/>
          <w:b/>
          <w:szCs w:val="24"/>
        </w:rPr>
        <w:t>第二部分 合同一般条款</w:t>
      </w:r>
      <w:bookmarkEnd w:id="65"/>
    </w:p>
    <w:p w14:paraId="2426FC9F">
      <w:pPr>
        <w:spacing w:line="560" w:lineRule="exact"/>
        <w:ind w:firstLine="482" w:firstLineChars="200"/>
        <w:outlineLvl w:val="2"/>
        <w:rPr>
          <w:rFonts w:eastAsia="仿宋"/>
          <w:b/>
          <w:sz w:val="24"/>
        </w:rPr>
      </w:pPr>
      <w:bookmarkStart w:id="66" w:name="_Toc259093669"/>
      <w:bookmarkStart w:id="67" w:name="_Ref467379109"/>
      <w:bookmarkStart w:id="68" w:name="_Ref467378404"/>
      <w:bookmarkStart w:id="69" w:name="_Ref467378463"/>
      <w:bookmarkStart w:id="70" w:name="_Ref467379214"/>
      <w:bookmarkStart w:id="71" w:name="_Ref467379225"/>
      <w:bookmarkStart w:id="72" w:name="_Ref467379101"/>
      <w:bookmarkStart w:id="73" w:name="_Toc25079"/>
      <w:bookmarkStart w:id="74" w:name="_Toc279701240"/>
      <w:bookmarkStart w:id="75" w:name="_Ref467379094"/>
      <w:bookmarkStart w:id="76" w:name="_Ref467379205"/>
      <w:bookmarkStart w:id="77" w:name="_Toc31297"/>
      <w:bookmarkStart w:id="78" w:name="_Toc14021"/>
      <w:bookmarkStart w:id="79" w:name="_Ref467379195"/>
      <w:bookmarkStart w:id="80" w:name="_Toc487900349"/>
      <w:bookmarkStart w:id="81" w:name="_Ref467378499"/>
      <w:bookmarkStart w:id="82" w:name="_Toc5228"/>
      <w:bookmarkStart w:id="83" w:name="_Toc19680"/>
      <w:r>
        <w:rPr>
          <w:rFonts w:eastAsia="仿宋"/>
          <w:b/>
          <w:sz w:val="24"/>
        </w:rPr>
        <w:t>2.1 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6B617E3">
      <w:pPr>
        <w:spacing w:line="560" w:lineRule="exact"/>
        <w:ind w:firstLine="480" w:firstLineChars="200"/>
        <w:rPr>
          <w:rFonts w:eastAsia="仿宋"/>
          <w:sz w:val="24"/>
        </w:rPr>
      </w:pPr>
      <w:r>
        <w:rPr>
          <w:rFonts w:eastAsia="仿宋"/>
          <w:sz w:val="24"/>
        </w:rPr>
        <w:t>本合同中的下列词语应按以下内容进行解释：</w:t>
      </w:r>
    </w:p>
    <w:p w14:paraId="12BF14D1">
      <w:pPr>
        <w:spacing w:line="560" w:lineRule="exact"/>
        <w:ind w:firstLine="480" w:firstLineChars="200"/>
        <w:rPr>
          <w:rFonts w:eastAsia="仿宋"/>
          <w:sz w:val="24"/>
        </w:rPr>
      </w:pPr>
      <w:r>
        <w:rPr>
          <w:rFonts w:eastAsia="仿宋"/>
          <w:sz w:val="24"/>
        </w:rPr>
        <w:t>2.1.1 “合同”系指采购人和成交供应商签订的载明双方当事人所达成的协议，并包括所有的附件、附录和构成合同的其他文件。</w:t>
      </w:r>
    </w:p>
    <w:p w14:paraId="478E55FD">
      <w:pPr>
        <w:spacing w:line="560" w:lineRule="exact"/>
        <w:ind w:firstLine="480" w:firstLineChars="200"/>
        <w:rPr>
          <w:rFonts w:eastAsia="仿宋"/>
          <w:sz w:val="24"/>
        </w:rPr>
      </w:pPr>
      <w:r>
        <w:rPr>
          <w:rFonts w:eastAsia="仿宋"/>
          <w:sz w:val="24"/>
        </w:rPr>
        <w:t>2.1.2 “合同价”系指根据合同约定，成交供应商在完全履行合同义务后，采购人应支付给成交供应商的价格。</w:t>
      </w:r>
    </w:p>
    <w:p w14:paraId="3A85B05D">
      <w:pPr>
        <w:spacing w:line="560" w:lineRule="exact"/>
        <w:ind w:firstLine="480" w:firstLineChars="200"/>
        <w:rPr>
          <w:rFonts w:eastAsia="仿宋"/>
          <w:sz w:val="24"/>
        </w:rPr>
      </w:pPr>
      <w:r>
        <w:rPr>
          <w:rFonts w:eastAsia="仿宋"/>
          <w:sz w:val="24"/>
        </w:rPr>
        <w:t>2.1.3 “服务”系指成交供应商根据合同约定应向采购人履行的除货物和工程以外的其他政府采购对象，包括采购人自身需要的服务和向社会公众提供的公共服务。</w:t>
      </w:r>
    </w:p>
    <w:p w14:paraId="35CBB761">
      <w:pPr>
        <w:spacing w:line="560" w:lineRule="exact"/>
        <w:ind w:firstLine="480" w:firstLineChars="200"/>
        <w:rPr>
          <w:rFonts w:eastAsia="仿宋"/>
          <w:sz w:val="24"/>
        </w:rPr>
      </w:pPr>
      <w:bookmarkStart w:id="84" w:name="_Ref467378840"/>
      <w:r>
        <w:rPr>
          <w:rFonts w:eastAsia="仿宋"/>
          <w:sz w:val="24"/>
        </w:rPr>
        <w:t>2.1.4 “甲方”系指与成交供应商签署合同的采购人</w:t>
      </w:r>
      <w:bookmarkEnd w:id="84"/>
      <w:r>
        <w:rPr>
          <w:rFonts w:eastAsia="仿宋"/>
          <w:sz w:val="24"/>
        </w:rPr>
        <w:t>；采购人委托采购代理机构代表其与乙方签订合同的，采购人的授权委托书作为合同附件。</w:t>
      </w:r>
    </w:p>
    <w:p w14:paraId="6346C4AD">
      <w:pPr>
        <w:spacing w:line="560" w:lineRule="exact"/>
        <w:ind w:firstLine="480" w:firstLineChars="200"/>
        <w:rPr>
          <w:rFonts w:eastAsia="仿宋"/>
          <w:sz w:val="24"/>
        </w:rPr>
      </w:pPr>
      <w:bookmarkStart w:id="85" w:name="_Ref467379400"/>
      <w:r>
        <w:rPr>
          <w:rFonts w:eastAsia="仿宋"/>
          <w:sz w:val="24"/>
        </w:rPr>
        <w:t>2.1.5 “乙方”系指根据合同约定提供服务的成交供应商</w:t>
      </w:r>
      <w:bookmarkEnd w:id="85"/>
      <w:r>
        <w:rPr>
          <w:rFonts w:eastAsia="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CF402C8">
      <w:pPr>
        <w:spacing w:line="560" w:lineRule="exact"/>
        <w:ind w:firstLine="480" w:firstLineChars="200"/>
        <w:outlineLvl w:val="3"/>
        <w:rPr>
          <w:rFonts w:eastAsia="仿宋"/>
          <w:sz w:val="24"/>
        </w:rPr>
      </w:pPr>
      <w:bookmarkStart w:id="86" w:name="_Ref467379436"/>
      <w:r>
        <w:rPr>
          <w:rFonts w:eastAsia="仿宋"/>
          <w:sz w:val="24"/>
        </w:rPr>
        <w:t>2.1.6 “现场”系指合同约定提供服务的地点。</w:t>
      </w:r>
      <w:bookmarkEnd w:id="86"/>
    </w:p>
    <w:p w14:paraId="281B75A5">
      <w:pPr>
        <w:spacing w:line="560" w:lineRule="exact"/>
        <w:ind w:firstLine="482" w:firstLineChars="200"/>
        <w:outlineLvl w:val="2"/>
        <w:rPr>
          <w:rFonts w:eastAsia="仿宋"/>
          <w:b/>
          <w:sz w:val="24"/>
        </w:rPr>
      </w:pPr>
      <w:bookmarkStart w:id="87" w:name="_Toc279701241"/>
      <w:bookmarkStart w:id="88" w:name="_Toc487900350"/>
      <w:bookmarkStart w:id="89" w:name="_Toc259093670"/>
      <w:bookmarkStart w:id="90" w:name="_Toc31402"/>
      <w:bookmarkStart w:id="91" w:name="_Toc3769"/>
      <w:bookmarkStart w:id="92" w:name="_Toc16752"/>
      <w:bookmarkStart w:id="93" w:name="_Toc23289"/>
      <w:bookmarkStart w:id="94" w:name="_Toc19539"/>
      <w:r>
        <w:rPr>
          <w:rFonts w:eastAsia="仿宋"/>
          <w:b/>
          <w:sz w:val="24"/>
        </w:rPr>
        <w:t>2.2 技术规范</w:t>
      </w:r>
      <w:bookmarkEnd w:id="87"/>
      <w:bookmarkEnd w:id="88"/>
      <w:bookmarkEnd w:id="89"/>
      <w:bookmarkEnd w:id="90"/>
      <w:bookmarkEnd w:id="91"/>
      <w:bookmarkEnd w:id="92"/>
      <w:bookmarkEnd w:id="93"/>
      <w:bookmarkEnd w:id="94"/>
    </w:p>
    <w:p w14:paraId="407CFD41">
      <w:pPr>
        <w:spacing w:line="560" w:lineRule="exact"/>
        <w:ind w:firstLine="480" w:firstLineChars="200"/>
        <w:rPr>
          <w:rFonts w:eastAsia="仿宋"/>
          <w:sz w:val="24"/>
        </w:rPr>
      </w:pPr>
      <w:r>
        <w:rPr>
          <w:rFonts w:eastAsia="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60C76F0">
      <w:pPr>
        <w:spacing w:line="560" w:lineRule="exact"/>
        <w:ind w:firstLine="482" w:firstLineChars="200"/>
        <w:outlineLvl w:val="2"/>
        <w:rPr>
          <w:rFonts w:eastAsia="仿宋"/>
          <w:b/>
          <w:sz w:val="24"/>
        </w:rPr>
      </w:pPr>
      <w:bookmarkStart w:id="95" w:name="_Toc487900351"/>
      <w:bookmarkStart w:id="96" w:name="_Toc27945"/>
      <w:bookmarkStart w:id="97" w:name="_Toc259093671"/>
      <w:bookmarkStart w:id="98" w:name="_Toc4133"/>
      <w:bookmarkStart w:id="99" w:name="_Toc9161"/>
      <w:bookmarkStart w:id="100" w:name="_Toc13673"/>
      <w:bookmarkStart w:id="101" w:name="_Toc279701242"/>
      <w:bookmarkStart w:id="102" w:name="_Toc12412"/>
      <w:r>
        <w:rPr>
          <w:rFonts w:eastAsia="仿宋"/>
          <w:b/>
          <w:sz w:val="24"/>
        </w:rPr>
        <w:t>2.3 知识产权</w:t>
      </w:r>
      <w:bookmarkEnd w:id="95"/>
      <w:bookmarkEnd w:id="96"/>
      <w:bookmarkEnd w:id="97"/>
      <w:bookmarkEnd w:id="98"/>
      <w:bookmarkEnd w:id="99"/>
      <w:bookmarkEnd w:id="100"/>
      <w:bookmarkEnd w:id="101"/>
      <w:bookmarkEnd w:id="102"/>
    </w:p>
    <w:p w14:paraId="773BA43C">
      <w:pPr>
        <w:spacing w:line="560" w:lineRule="exact"/>
        <w:ind w:firstLine="480" w:firstLineChars="200"/>
        <w:rPr>
          <w:rFonts w:eastAsia="仿宋"/>
          <w:sz w:val="24"/>
        </w:rPr>
      </w:pPr>
      <w:r>
        <w:rPr>
          <w:rFonts w:eastAsia="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61883D6">
      <w:pPr>
        <w:spacing w:line="560" w:lineRule="exact"/>
        <w:ind w:firstLine="480" w:firstLineChars="200"/>
        <w:rPr>
          <w:rFonts w:eastAsia="仿宋"/>
          <w:sz w:val="24"/>
        </w:rPr>
      </w:pPr>
      <w:r>
        <w:rPr>
          <w:rFonts w:eastAsia="仿宋"/>
          <w:sz w:val="24"/>
        </w:rPr>
        <w:t>2.3.2 合同涉及技术成果的归属和收益的分成办法的，详见</w:t>
      </w:r>
      <w:r>
        <w:rPr>
          <w:rFonts w:eastAsia="仿宋"/>
          <w:b/>
          <w:iCs/>
          <w:sz w:val="24"/>
          <w:u w:val="single"/>
        </w:rPr>
        <w:t>合同专用条款</w:t>
      </w:r>
      <w:r>
        <w:rPr>
          <w:rFonts w:eastAsia="仿宋"/>
          <w:sz w:val="24"/>
        </w:rPr>
        <w:t>。</w:t>
      </w:r>
    </w:p>
    <w:p w14:paraId="35869444">
      <w:pPr>
        <w:spacing w:line="560" w:lineRule="exact"/>
        <w:ind w:firstLine="482" w:firstLineChars="200"/>
        <w:outlineLvl w:val="2"/>
        <w:rPr>
          <w:rFonts w:eastAsia="仿宋"/>
          <w:b/>
          <w:sz w:val="24"/>
        </w:rPr>
      </w:pPr>
      <w:r>
        <w:rPr>
          <w:rFonts w:eastAsia="仿宋"/>
          <w:b/>
          <w:sz w:val="24"/>
        </w:rPr>
        <w:t>2.4 履约检查和问题反馈</w:t>
      </w:r>
    </w:p>
    <w:p w14:paraId="06F2C149">
      <w:pPr>
        <w:spacing w:line="560" w:lineRule="exact"/>
        <w:ind w:firstLine="480" w:firstLineChars="200"/>
        <w:rPr>
          <w:rFonts w:eastAsia="仿宋"/>
          <w:sz w:val="24"/>
        </w:rPr>
      </w:pPr>
      <w:bookmarkStart w:id="103" w:name="_Ref467379657"/>
      <w:r>
        <w:rPr>
          <w:rFonts w:eastAsia="仿宋"/>
          <w:sz w:val="24"/>
        </w:rPr>
        <w:t>2.4.1</w:t>
      </w:r>
      <w:bookmarkEnd w:id="103"/>
      <w:bookmarkStart w:id="104" w:name="_Toc186431854"/>
      <w:bookmarkStart w:id="105" w:name="_Toc259093676"/>
      <w:bookmarkStart w:id="106" w:name="_Toc487900357"/>
      <w:bookmarkStart w:id="107" w:name="_Ref467379793"/>
      <w:bookmarkStart w:id="108" w:name="_Ref467379807"/>
      <w:bookmarkStart w:id="109" w:name="_Toc279701247"/>
      <w:r>
        <w:rPr>
          <w:rFonts w:eastAsia="仿宋"/>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29EDB30F">
      <w:pPr>
        <w:spacing w:line="560" w:lineRule="exact"/>
        <w:ind w:firstLine="480" w:firstLineChars="200"/>
        <w:rPr>
          <w:rFonts w:eastAsia="仿宋"/>
          <w:sz w:val="24"/>
        </w:rPr>
      </w:pPr>
      <w:r>
        <w:rPr>
          <w:rFonts w:eastAsia="仿宋"/>
          <w:sz w:val="24"/>
        </w:rPr>
        <w:t>2.4.2 合同履行期间，甲方有权将履行过程中出现的问题反馈给乙方，双方当事人应以书面形式约定需要完善和改进的内容</w:t>
      </w:r>
      <w:bookmarkEnd w:id="104"/>
      <w:bookmarkStart w:id="110" w:name="_Toc186431855"/>
      <w:r>
        <w:rPr>
          <w:rFonts w:eastAsia="仿宋"/>
          <w:sz w:val="24"/>
        </w:rPr>
        <w:t>。</w:t>
      </w:r>
    </w:p>
    <w:bookmarkEnd w:id="110"/>
    <w:p w14:paraId="1EFB205E">
      <w:pPr>
        <w:spacing w:line="560" w:lineRule="exact"/>
        <w:ind w:firstLine="482" w:firstLineChars="200"/>
        <w:outlineLvl w:val="2"/>
        <w:rPr>
          <w:rFonts w:eastAsia="仿宋"/>
          <w:b/>
          <w:sz w:val="24"/>
        </w:rPr>
      </w:pPr>
      <w:bookmarkStart w:id="111" w:name="_Toc31233"/>
      <w:bookmarkStart w:id="112" w:name="_Toc22011"/>
      <w:bookmarkStart w:id="113" w:name="_Toc32670"/>
      <w:bookmarkStart w:id="114" w:name="_Toc26555"/>
      <w:r>
        <w:rPr>
          <w:rFonts w:eastAsia="仿宋"/>
          <w:b/>
          <w:sz w:val="24"/>
        </w:rPr>
        <w:t>2.5 结算方式和付款条件</w:t>
      </w:r>
      <w:bookmarkEnd w:id="105"/>
      <w:bookmarkEnd w:id="106"/>
      <w:bookmarkEnd w:id="107"/>
      <w:bookmarkEnd w:id="108"/>
      <w:bookmarkEnd w:id="109"/>
      <w:bookmarkEnd w:id="111"/>
      <w:bookmarkEnd w:id="112"/>
      <w:bookmarkEnd w:id="113"/>
      <w:bookmarkEnd w:id="114"/>
    </w:p>
    <w:p w14:paraId="2315686D">
      <w:pPr>
        <w:spacing w:line="560" w:lineRule="exact"/>
        <w:ind w:firstLine="480" w:firstLineChars="200"/>
        <w:rPr>
          <w:rFonts w:eastAsia="仿宋"/>
          <w:sz w:val="24"/>
        </w:rPr>
      </w:pPr>
      <w:r>
        <w:rPr>
          <w:rFonts w:eastAsia="仿宋"/>
          <w:sz w:val="24"/>
        </w:rPr>
        <w:t>详见</w:t>
      </w:r>
      <w:r>
        <w:rPr>
          <w:rFonts w:eastAsia="仿宋"/>
          <w:b/>
          <w:iCs/>
          <w:sz w:val="24"/>
          <w:u w:val="single"/>
        </w:rPr>
        <w:t>合同专用条款</w:t>
      </w:r>
      <w:r>
        <w:rPr>
          <w:rFonts w:eastAsia="仿宋"/>
          <w:sz w:val="24"/>
        </w:rPr>
        <w:t>。</w:t>
      </w:r>
    </w:p>
    <w:p w14:paraId="0753F2DF">
      <w:pPr>
        <w:spacing w:line="560" w:lineRule="exact"/>
        <w:ind w:firstLine="482" w:firstLineChars="200"/>
        <w:outlineLvl w:val="2"/>
        <w:rPr>
          <w:rFonts w:eastAsia="仿宋"/>
          <w:b/>
          <w:sz w:val="24"/>
        </w:rPr>
      </w:pPr>
      <w:bookmarkStart w:id="115" w:name="_Toc279701248"/>
      <w:bookmarkStart w:id="116" w:name="_Toc487900358"/>
      <w:bookmarkStart w:id="117" w:name="_Ref467379863"/>
      <w:bookmarkStart w:id="118" w:name="_Ref467379923"/>
      <w:bookmarkStart w:id="119" w:name="_Ref467379852"/>
      <w:bookmarkStart w:id="120" w:name="_Toc259093677"/>
      <w:bookmarkStart w:id="121" w:name="_Toc16163"/>
      <w:bookmarkStart w:id="122" w:name="_Toc13154"/>
      <w:bookmarkStart w:id="123" w:name="_Toc13467"/>
      <w:bookmarkStart w:id="124" w:name="_Toc30507"/>
      <w:bookmarkStart w:id="125" w:name="_Toc18990"/>
      <w:r>
        <w:rPr>
          <w:rFonts w:eastAsia="仿宋"/>
          <w:b/>
          <w:sz w:val="24"/>
        </w:rPr>
        <w:t>2.6 技术资料</w:t>
      </w:r>
      <w:bookmarkEnd w:id="115"/>
      <w:bookmarkEnd w:id="116"/>
      <w:bookmarkEnd w:id="117"/>
      <w:bookmarkEnd w:id="118"/>
      <w:bookmarkEnd w:id="119"/>
      <w:bookmarkEnd w:id="120"/>
      <w:r>
        <w:rPr>
          <w:rFonts w:eastAsia="仿宋"/>
          <w:b/>
          <w:sz w:val="24"/>
        </w:rPr>
        <w:t>和保密义务</w:t>
      </w:r>
      <w:bookmarkEnd w:id="121"/>
      <w:bookmarkEnd w:id="122"/>
      <w:bookmarkEnd w:id="123"/>
      <w:bookmarkEnd w:id="124"/>
      <w:bookmarkEnd w:id="125"/>
    </w:p>
    <w:p w14:paraId="3A98FD40">
      <w:pPr>
        <w:spacing w:line="560" w:lineRule="exact"/>
        <w:ind w:firstLine="480" w:firstLineChars="200"/>
        <w:rPr>
          <w:rFonts w:eastAsia="仿宋"/>
          <w:sz w:val="24"/>
        </w:rPr>
      </w:pPr>
      <w:r>
        <w:rPr>
          <w:rFonts w:eastAsia="仿宋"/>
          <w:sz w:val="24"/>
        </w:rPr>
        <w:t>2.6.1 乙方有权依据合同约定和项目需要，向甲方了解有关情况，调阅有关资料等，甲方应予积极</w:t>
      </w:r>
      <w:r>
        <w:rPr>
          <w:rFonts w:eastAsia="仿宋"/>
          <w:color w:val="auto"/>
          <w:sz w:val="24"/>
        </w:rPr>
        <w:t>配合</w:t>
      </w:r>
      <w:r>
        <w:rPr>
          <w:rFonts w:hint="eastAsia" w:eastAsia="仿宋"/>
          <w:color w:val="auto"/>
          <w:sz w:val="24"/>
        </w:rPr>
        <w:t>，乙方要对甲方提供的一切资料负有保密义务并需和甲方签订保密协议，未经甲方书面许可，不能将甲方提供的资料擅自提供给第三方</w:t>
      </w:r>
      <w:r>
        <w:rPr>
          <w:rFonts w:eastAsia="仿宋"/>
          <w:color w:val="auto"/>
          <w:sz w:val="24"/>
        </w:rPr>
        <w:t>；</w:t>
      </w:r>
    </w:p>
    <w:p w14:paraId="1A38487C">
      <w:pPr>
        <w:spacing w:line="560" w:lineRule="exact"/>
        <w:ind w:firstLine="480" w:firstLineChars="200"/>
        <w:rPr>
          <w:rFonts w:eastAsia="仿宋"/>
          <w:sz w:val="24"/>
        </w:rPr>
      </w:pPr>
      <w:r>
        <w:rPr>
          <w:rFonts w:eastAsia="仿宋"/>
          <w:sz w:val="24"/>
        </w:rPr>
        <w:t>2.6.2 乙方有义务妥善保管和保护由甲方提供的前款信息和资料等；</w:t>
      </w:r>
    </w:p>
    <w:p w14:paraId="7C41746A">
      <w:pPr>
        <w:spacing w:line="560" w:lineRule="exact"/>
        <w:ind w:firstLine="480" w:firstLineChars="200"/>
        <w:rPr>
          <w:rFonts w:eastAsia="仿宋"/>
          <w:sz w:val="24"/>
        </w:rPr>
      </w:pPr>
      <w:r>
        <w:rPr>
          <w:rFonts w:eastAsia="仿宋"/>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r>
        <w:rPr>
          <w:rFonts w:hint="eastAsia" w:eastAsia="仿宋"/>
          <w:sz w:val="24"/>
        </w:rPr>
        <w:t>；</w:t>
      </w:r>
    </w:p>
    <w:p w14:paraId="761C0FA0">
      <w:pPr>
        <w:spacing w:line="560" w:lineRule="exact"/>
        <w:ind w:firstLine="482" w:firstLineChars="200"/>
        <w:outlineLvl w:val="2"/>
        <w:rPr>
          <w:rFonts w:eastAsia="仿宋"/>
          <w:b/>
          <w:sz w:val="24"/>
        </w:rPr>
      </w:pPr>
      <w:bookmarkStart w:id="126" w:name="_Toc19069"/>
      <w:bookmarkStart w:id="127" w:name="_Toc279701252"/>
      <w:bookmarkStart w:id="128" w:name="_Toc259093681"/>
      <w:bookmarkStart w:id="129" w:name="_Toc487900362"/>
      <w:r>
        <w:rPr>
          <w:rFonts w:eastAsia="仿宋"/>
          <w:b/>
          <w:sz w:val="24"/>
        </w:rPr>
        <w:t>2.7 质量保证</w:t>
      </w:r>
      <w:bookmarkEnd w:id="126"/>
    </w:p>
    <w:p w14:paraId="2D90568D">
      <w:pPr>
        <w:spacing w:line="560" w:lineRule="exact"/>
        <w:ind w:firstLine="480" w:firstLineChars="200"/>
        <w:rPr>
          <w:rFonts w:eastAsia="仿宋"/>
          <w:sz w:val="24"/>
        </w:rPr>
      </w:pPr>
      <w:r>
        <w:rPr>
          <w:rFonts w:eastAsia="仿宋"/>
          <w:sz w:val="24"/>
        </w:rPr>
        <w:t>2.7.1 乙方应建立和完善履行合同的内部质量保证体系，并提供相关内部规章制度给甲方，以便甲方进行监督检查；</w:t>
      </w:r>
    </w:p>
    <w:p w14:paraId="15552895">
      <w:pPr>
        <w:spacing w:line="560" w:lineRule="exact"/>
        <w:ind w:firstLine="480" w:firstLineChars="200"/>
        <w:rPr>
          <w:rFonts w:eastAsia="仿宋"/>
          <w:sz w:val="24"/>
        </w:rPr>
      </w:pPr>
      <w:r>
        <w:rPr>
          <w:rFonts w:eastAsia="仿宋"/>
          <w:sz w:val="24"/>
        </w:rPr>
        <w:t>2.7.2 乙方应保证履行合同的人员数量和素质、软件和硬件设备的配置、场地、环境和设施等满足全面履行合同的要求，并应接受甲方的监督检查。</w:t>
      </w:r>
    </w:p>
    <w:p w14:paraId="7F0288EF">
      <w:pPr>
        <w:spacing w:line="560" w:lineRule="exact"/>
        <w:ind w:firstLine="482" w:firstLineChars="200"/>
        <w:outlineLvl w:val="2"/>
        <w:rPr>
          <w:rFonts w:eastAsia="仿宋"/>
          <w:b/>
          <w:sz w:val="24"/>
        </w:rPr>
      </w:pPr>
      <w:bookmarkStart w:id="130" w:name="_Toc22267"/>
      <w:r>
        <w:rPr>
          <w:rFonts w:eastAsia="仿宋"/>
          <w:b/>
          <w:sz w:val="24"/>
        </w:rPr>
        <w:t>2.8 延迟</w:t>
      </w:r>
      <w:bookmarkEnd w:id="127"/>
      <w:bookmarkEnd w:id="128"/>
      <w:bookmarkEnd w:id="129"/>
      <w:r>
        <w:rPr>
          <w:rFonts w:eastAsia="仿宋"/>
          <w:b/>
          <w:sz w:val="24"/>
        </w:rPr>
        <w:t>履行</w:t>
      </w:r>
      <w:bookmarkEnd w:id="130"/>
    </w:p>
    <w:p w14:paraId="1F4C2A7E">
      <w:pPr>
        <w:spacing w:line="560" w:lineRule="exact"/>
        <w:ind w:firstLine="480" w:firstLineChars="200"/>
        <w:rPr>
          <w:rFonts w:eastAsia="仿宋"/>
          <w:sz w:val="24"/>
        </w:rPr>
      </w:pPr>
      <w:r>
        <w:rPr>
          <w:rFonts w:eastAsia="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806EC61">
      <w:pPr>
        <w:spacing w:line="560" w:lineRule="exact"/>
        <w:ind w:firstLine="482" w:firstLineChars="200"/>
        <w:outlineLvl w:val="2"/>
        <w:rPr>
          <w:rFonts w:eastAsia="仿宋"/>
          <w:b/>
          <w:sz w:val="24"/>
        </w:rPr>
      </w:pPr>
      <w:bookmarkStart w:id="131" w:name="_Toc10611"/>
      <w:bookmarkStart w:id="132" w:name="_Ref467378121"/>
      <w:bookmarkStart w:id="133" w:name="_Toc259093683"/>
      <w:bookmarkStart w:id="134" w:name="_Toc487900364"/>
      <w:bookmarkStart w:id="135" w:name="_Toc279701254"/>
      <w:r>
        <w:rPr>
          <w:rFonts w:eastAsia="仿宋"/>
          <w:b/>
          <w:sz w:val="24"/>
        </w:rPr>
        <w:t>2.9 合同变更</w:t>
      </w:r>
      <w:bookmarkEnd w:id="131"/>
    </w:p>
    <w:p w14:paraId="4CA71F74">
      <w:pPr>
        <w:spacing w:line="560" w:lineRule="exact"/>
        <w:ind w:firstLine="480" w:firstLineChars="200"/>
        <w:rPr>
          <w:rFonts w:eastAsia="仿宋"/>
          <w:sz w:val="24"/>
        </w:rPr>
      </w:pPr>
      <w:r>
        <w:rPr>
          <w:rFonts w:eastAsia="仿宋"/>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426E734A">
      <w:pPr>
        <w:spacing w:line="560" w:lineRule="exact"/>
        <w:ind w:firstLine="480" w:firstLineChars="200"/>
        <w:rPr>
          <w:rFonts w:eastAsia="仿宋"/>
          <w:sz w:val="24"/>
        </w:rPr>
      </w:pPr>
      <w:r>
        <w:rPr>
          <w:rFonts w:eastAsia="仿宋"/>
          <w:sz w:val="24"/>
        </w:rPr>
        <w:t>2.9.2 合同继续履行将损害国家利益和社会公共利益的，双方当事人应当以书面形式变更合同。有过错的一方应当承担赔偿责任，双方当事人都有过错的，各自承担相应的责任。</w:t>
      </w:r>
      <w:bookmarkStart w:id="136" w:name="_Toc279701259"/>
      <w:bookmarkStart w:id="137" w:name="_Toc259093688"/>
      <w:bookmarkStart w:id="138" w:name="_Toc487900369"/>
    </w:p>
    <w:p w14:paraId="2249C908">
      <w:pPr>
        <w:spacing w:line="560" w:lineRule="exact"/>
        <w:ind w:firstLine="482" w:firstLineChars="200"/>
        <w:outlineLvl w:val="2"/>
        <w:rPr>
          <w:rFonts w:eastAsia="仿宋"/>
          <w:b/>
          <w:sz w:val="24"/>
        </w:rPr>
      </w:pPr>
      <w:bookmarkStart w:id="139" w:name="_Toc21830"/>
      <w:bookmarkStart w:id="140" w:name="_Toc26689"/>
      <w:bookmarkStart w:id="141" w:name="_Toc23368"/>
      <w:bookmarkStart w:id="142" w:name="_Toc42"/>
      <w:bookmarkStart w:id="143" w:name="_Toc10663"/>
      <w:r>
        <w:rPr>
          <w:rFonts w:eastAsia="仿宋"/>
          <w:b/>
          <w:sz w:val="24"/>
        </w:rPr>
        <w:t>2.10 合同转让</w:t>
      </w:r>
      <w:bookmarkEnd w:id="136"/>
      <w:bookmarkEnd w:id="137"/>
      <w:bookmarkEnd w:id="138"/>
      <w:r>
        <w:rPr>
          <w:rFonts w:eastAsia="仿宋"/>
          <w:b/>
          <w:sz w:val="24"/>
        </w:rPr>
        <w:t>和分包</w:t>
      </w:r>
      <w:bookmarkEnd w:id="139"/>
      <w:bookmarkEnd w:id="140"/>
      <w:bookmarkEnd w:id="141"/>
      <w:bookmarkEnd w:id="142"/>
      <w:bookmarkEnd w:id="143"/>
    </w:p>
    <w:p w14:paraId="03B20802">
      <w:pPr>
        <w:spacing w:line="560" w:lineRule="exact"/>
        <w:ind w:firstLine="480" w:firstLineChars="200"/>
        <w:rPr>
          <w:rFonts w:eastAsia="仿宋"/>
          <w:sz w:val="24"/>
        </w:rPr>
      </w:pPr>
      <w:r>
        <w:rPr>
          <w:rFonts w:eastAsia="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FE9EEDF">
      <w:pPr>
        <w:spacing w:line="560" w:lineRule="exact"/>
        <w:ind w:firstLine="482" w:firstLineChars="200"/>
        <w:outlineLvl w:val="2"/>
        <w:rPr>
          <w:rFonts w:eastAsia="仿宋"/>
          <w:b/>
          <w:sz w:val="24"/>
        </w:rPr>
      </w:pPr>
      <w:bookmarkStart w:id="144" w:name="_Toc25571"/>
      <w:bookmarkStart w:id="145" w:name="_Toc14371"/>
      <w:bookmarkStart w:id="146" w:name="_Toc32494"/>
      <w:bookmarkStart w:id="147" w:name="_Toc4720"/>
      <w:bookmarkStart w:id="148" w:name="_Toc26633"/>
      <w:r>
        <w:rPr>
          <w:rFonts w:eastAsia="仿宋"/>
          <w:b/>
          <w:sz w:val="24"/>
        </w:rPr>
        <w:t>2.11 不可抗力</w:t>
      </w:r>
      <w:bookmarkEnd w:id="144"/>
      <w:bookmarkEnd w:id="145"/>
      <w:bookmarkEnd w:id="146"/>
      <w:bookmarkEnd w:id="147"/>
      <w:bookmarkEnd w:id="148"/>
    </w:p>
    <w:p w14:paraId="2C7DB90E">
      <w:pPr>
        <w:spacing w:line="560" w:lineRule="exact"/>
        <w:ind w:firstLine="480" w:firstLineChars="200"/>
        <w:rPr>
          <w:rFonts w:eastAsia="仿宋"/>
          <w:sz w:val="24"/>
        </w:rPr>
      </w:pPr>
      <w:r>
        <w:rPr>
          <w:rFonts w:eastAsia="仿宋"/>
          <w:sz w:val="24"/>
        </w:rPr>
        <w:t>2.11.1如果任何一方遭遇法律规定的不可抗力，致使合同履行受阻时，履行合同的期限应予延长，延长的期限应相当于不可抗力所影响的时间；</w:t>
      </w:r>
    </w:p>
    <w:p w14:paraId="6E3111F8">
      <w:pPr>
        <w:spacing w:line="560" w:lineRule="exact"/>
        <w:ind w:firstLine="480" w:firstLineChars="200"/>
        <w:rPr>
          <w:rFonts w:eastAsia="仿宋"/>
          <w:sz w:val="24"/>
        </w:rPr>
      </w:pPr>
      <w:r>
        <w:rPr>
          <w:rFonts w:eastAsia="仿宋"/>
          <w:sz w:val="24"/>
        </w:rPr>
        <w:t>2.11.2 因不可抗力致使不能实现合同目的的，当事人可以解除合同；</w:t>
      </w:r>
    </w:p>
    <w:p w14:paraId="6B8B46A9">
      <w:pPr>
        <w:spacing w:line="560" w:lineRule="exact"/>
        <w:ind w:firstLine="480" w:firstLineChars="200"/>
        <w:rPr>
          <w:rFonts w:eastAsia="仿宋"/>
          <w:sz w:val="24"/>
        </w:rPr>
      </w:pPr>
      <w:r>
        <w:rPr>
          <w:rFonts w:eastAsia="仿宋"/>
          <w:sz w:val="24"/>
        </w:rPr>
        <w:t>2.11.3 因不可抗力致使合同有变更必要的，双方当事人应在</w:t>
      </w:r>
      <w:r>
        <w:rPr>
          <w:rFonts w:eastAsia="仿宋"/>
          <w:b/>
          <w:iCs/>
          <w:sz w:val="24"/>
          <w:u w:val="single"/>
        </w:rPr>
        <w:t>合同专用条款</w:t>
      </w:r>
      <w:r>
        <w:rPr>
          <w:rFonts w:eastAsia="仿宋"/>
          <w:sz w:val="24"/>
        </w:rPr>
        <w:t>约定时间内以书面形式变更合同；</w:t>
      </w:r>
    </w:p>
    <w:p w14:paraId="5922AD11">
      <w:pPr>
        <w:spacing w:line="560" w:lineRule="exact"/>
        <w:ind w:firstLine="480" w:firstLineChars="200"/>
        <w:rPr>
          <w:rFonts w:eastAsia="仿宋"/>
          <w:sz w:val="24"/>
        </w:rPr>
      </w:pPr>
      <w:r>
        <w:rPr>
          <w:rFonts w:eastAsia="仿宋"/>
          <w:sz w:val="24"/>
        </w:rPr>
        <w:t>2.11.4受不可抗力影响的一方在不可抗力发生后，应在</w:t>
      </w:r>
      <w:r>
        <w:rPr>
          <w:rFonts w:eastAsia="仿宋"/>
          <w:b/>
          <w:iCs/>
          <w:sz w:val="24"/>
          <w:u w:val="single"/>
        </w:rPr>
        <w:t>合同专用条款</w:t>
      </w:r>
      <w:r>
        <w:rPr>
          <w:rFonts w:eastAsia="仿宋"/>
          <w:sz w:val="24"/>
        </w:rPr>
        <w:t>约定时间内以书面形式通知对方当事人，并在</w:t>
      </w:r>
      <w:r>
        <w:rPr>
          <w:rFonts w:eastAsia="仿宋"/>
          <w:b/>
          <w:iCs/>
          <w:sz w:val="24"/>
          <w:u w:val="single"/>
        </w:rPr>
        <w:t>合同专用条款</w:t>
      </w:r>
      <w:r>
        <w:rPr>
          <w:rFonts w:eastAsia="仿宋"/>
          <w:sz w:val="24"/>
        </w:rPr>
        <w:t>约定时间内，将有关部门出具的证明文件送达对方当事人。</w:t>
      </w:r>
    </w:p>
    <w:p w14:paraId="22563FC4">
      <w:pPr>
        <w:spacing w:line="560" w:lineRule="exact"/>
        <w:ind w:firstLine="482" w:firstLineChars="200"/>
        <w:outlineLvl w:val="2"/>
        <w:rPr>
          <w:rFonts w:eastAsia="仿宋"/>
          <w:b/>
          <w:sz w:val="24"/>
        </w:rPr>
      </w:pPr>
      <w:bookmarkStart w:id="149" w:name="_Toc24465"/>
      <w:bookmarkStart w:id="150" w:name="_Toc23854"/>
      <w:bookmarkStart w:id="151" w:name="_Toc279701255"/>
      <w:bookmarkStart w:id="152" w:name="_Toc259093684"/>
      <w:bookmarkStart w:id="153" w:name="_Toc3638"/>
      <w:bookmarkStart w:id="154" w:name="_Toc25783"/>
      <w:bookmarkStart w:id="155" w:name="_Toc14115"/>
      <w:bookmarkStart w:id="156" w:name="_Toc487900365"/>
      <w:r>
        <w:rPr>
          <w:rFonts w:eastAsia="仿宋"/>
          <w:b/>
          <w:sz w:val="24"/>
        </w:rPr>
        <w:t>2.12 税费</w:t>
      </w:r>
      <w:bookmarkEnd w:id="149"/>
      <w:bookmarkEnd w:id="150"/>
      <w:bookmarkEnd w:id="151"/>
      <w:bookmarkEnd w:id="152"/>
      <w:bookmarkEnd w:id="153"/>
      <w:bookmarkEnd w:id="154"/>
      <w:bookmarkEnd w:id="155"/>
      <w:bookmarkEnd w:id="156"/>
    </w:p>
    <w:p w14:paraId="61D90CD4">
      <w:pPr>
        <w:spacing w:line="560" w:lineRule="exact"/>
        <w:ind w:firstLine="480" w:firstLineChars="200"/>
        <w:rPr>
          <w:rFonts w:eastAsia="仿宋"/>
          <w:sz w:val="24"/>
        </w:rPr>
      </w:pPr>
      <w:r>
        <w:rPr>
          <w:rFonts w:eastAsia="仿宋"/>
          <w:sz w:val="24"/>
        </w:rPr>
        <w:t>与合同有关的一切税费，均按照中华人民共和国法律的相关规定缴纳。</w:t>
      </w:r>
    </w:p>
    <w:p w14:paraId="5ECE1DEB">
      <w:pPr>
        <w:spacing w:line="560" w:lineRule="exact"/>
        <w:ind w:firstLine="482" w:firstLineChars="200"/>
        <w:outlineLvl w:val="2"/>
        <w:rPr>
          <w:rFonts w:eastAsia="仿宋"/>
          <w:b/>
          <w:sz w:val="24"/>
        </w:rPr>
      </w:pPr>
      <w:bookmarkStart w:id="157" w:name="_Toc30105"/>
      <w:bookmarkStart w:id="158" w:name="_Toc259093687"/>
      <w:bookmarkStart w:id="159" w:name="_Toc279701258"/>
      <w:bookmarkStart w:id="160" w:name="_Toc487900368"/>
      <w:bookmarkStart w:id="161" w:name="_Toc25525"/>
      <w:bookmarkStart w:id="162" w:name="_Toc7315"/>
      <w:bookmarkStart w:id="163" w:name="_Toc26883"/>
      <w:bookmarkStart w:id="164" w:name="_Toc14814"/>
      <w:r>
        <w:rPr>
          <w:rFonts w:eastAsia="仿宋"/>
          <w:b/>
          <w:sz w:val="24"/>
        </w:rPr>
        <w:t>2.13 乙方破产</w:t>
      </w:r>
      <w:bookmarkEnd w:id="157"/>
      <w:bookmarkEnd w:id="158"/>
      <w:bookmarkEnd w:id="159"/>
      <w:bookmarkEnd w:id="160"/>
      <w:bookmarkEnd w:id="161"/>
      <w:bookmarkEnd w:id="162"/>
      <w:bookmarkEnd w:id="163"/>
      <w:bookmarkEnd w:id="164"/>
    </w:p>
    <w:p w14:paraId="245EB8B5">
      <w:pPr>
        <w:spacing w:line="560" w:lineRule="exact"/>
        <w:ind w:firstLine="480" w:firstLineChars="200"/>
        <w:rPr>
          <w:rFonts w:eastAsia="仿宋"/>
          <w:sz w:val="24"/>
        </w:rPr>
      </w:pPr>
      <w:r>
        <w:rPr>
          <w:rFonts w:eastAsia="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0E0C6A7">
      <w:pPr>
        <w:spacing w:line="560" w:lineRule="exact"/>
        <w:ind w:firstLine="482" w:firstLineChars="200"/>
        <w:outlineLvl w:val="2"/>
        <w:rPr>
          <w:rFonts w:eastAsia="仿宋"/>
          <w:b/>
          <w:sz w:val="24"/>
        </w:rPr>
      </w:pPr>
      <w:bookmarkStart w:id="165" w:name="_Toc2016"/>
      <w:bookmarkStart w:id="166" w:name="_Toc23323"/>
      <w:bookmarkStart w:id="167" w:name="_Toc1123"/>
      <w:r>
        <w:rPr>
          <w:rFonts w:eastAsia="仿宋"/>
          <w:b/>
          <w:sz w:val="24"/>
        </w:rPr>
        <w:t>2.14 合同中止、终止</w:t>
      </w:r>
      <w:bookmarkEnd w:id="165"/>
      <w:bookmarkEnd w:id="166"/>
      <w:bookmarkEnd w:id="167"/>
    </w:p>
    <w:p w14:paraId="2A31D8C6">
      <w:pPr>
        <w:spacing w:line="560" w:lineRule="exact"/>
        <w:ind w:firstLine="480" w:firstLineChars="200"/>
        <w:outlineLvl w:val="3"/>
        <w:rPr>
          <w:rFonts w:eastAsia="仿宋"/>
          <w:sz w:val="24"/>
        </w:rPr>
      </w:pPr>
      <w:r>
        <w:rPr>
          <w:rFonts w:eastAsia="仿宋"/>
          <w:sz w:val="24"/>
        </w:rPr>
        <w:t>2.14.1 双方当事人不得擅自中止或者终止合同；</w:t>
      </w:r>
    </w:p>
    <w:p w14:paraId="5555F12E">
      <w:pPr>
        <w:spacing w:line="560" w:lineRule="exact"/>
        <w:ind w:firstLine="480" w:firstLineChars="200"/>
        <w:rPr>
          <w:rFonts w:eastAsia="仿宋"/>
          <w:sz w:val="24"/>
        </w:rPr>
      </w:pPr>
      <w:r>
        <w:rPr>
          <w:rFonts w:eastAsia="仿宋"/>
          <w:sz w:val="24"/>
        </w:rPr>
        <w:t>2.14.2合同继续履行将损害国家利益和社会公共利益的，双方当事人应当中止或者终止合同。有过错的一方应当承担赔偿责任，双方当事人都有过错的，各自承担相应的责任。</w:t>
      </w:r>
    </w:p>
    <w:p w14:paraId="5D1255F7">
      <w:pPr>
        <w:spacing w:line="560" w:lineRule="exact"/>
        <w:ind w:firstLine="482" w:firstLineChars="200"/>
        <w:outlineLvl w:val="2"/>
        <w:rPr>
          <w:rFonts w:eastAsia="仿宋"/>
          <w:b/>
          <w:sz w:val="24"/>
        </w:rPr>
      </w:pPr>
      <w:bookmarkStart w:id="168" w:name="_Toc14525"/>
      <w:bookmarkStart w:id="169" w:name="_Toc17363"/>
      <w:bookmarkStart w:id="170" w:name="_Toc1969"/>
      <w:r>
        <w:rPr>
          <w:rFonts w:eastAsia="仿宋"/>
          <w:b/>
          <w:sz w:val="24"/>
        </w:rPr>
        <w:t>2.15 检验和验收</w:t>
      </w:r>
      <w:bookmarkEnd w:id="168"/>
      <w:bookmarkEnd w:id="169"/>
      <w:bookmarkEnd w:id="170"/>
    </w:p>
    <w:p w14:paraId="2378BFEC">
      <w:pPr>
        <w:tabs>
          <w:tab w:val="left" w:pos="360"/>
          <w:tab w:val="left" w:pos="540"/>
          <w:tab w:val="left" w:pos="1080"/>
        </w:tabs>
        <w:spacing w:line="560" w:lineRule="exact"/>
        <w:ind w:firstLine="480" w:firstLineChars="200"/>
        <w:rPr>
          <w:rFonts w:eastAsia="仿宋"/>
          <w:sz w:val="24"/>
        </w:rPr>
      </w:pPr>
      <w:r>
        <w:rPr>
          <w:rFonts w:eastAsia="仿宋"/>
          <w:sz w:val="24"/>
        </w:rPr>
        <w:t>2.15.1 乙方按照</w:t>
      </w:r>
      <w:r>
        <w:rPr>
          <w:rFonts w:eastAsia="仿宋"/>
          <w:b/>
          <w:iCs/>
          <w:sz w:val="24"/>
          <w:u w:val="single"/>
        </w:rPr>
        <w:t>合同专用条款</w:t>
      </w:r>
      <w:r>
        <w:rPr>
          <w:rFonts w:eastAsia="仿宋"/>
          <w:sz w:val="24"/>
        </w:rPr>
        <w:t>的约定，定期提交服务报告，甲方按照</w:t>
      </w:r>
      <w:r>
        <w:rPr>
          <w:rFonts w:eastAsia="仿宋"/>
          <w:b/>
          <w:iCs/>
          <w:sz w:val="24"/>
          <w:u w:val="single"/>
        </w:rPr>
        <w:t>合同专用条款</w:t>
      </w:r>
      <w:r>
        <w:rPr>
          <w:rFonts w:eastAsia="仿宋"/>
          <w:sz w:val="24"/>
        </w:rPr>
        <w:t>的约定进行定期验收；</w:t>
      </w:r>
    </w:p>
    <w:p w14:paraId="6A677661">
      <w:pPr>
        <w:tabs>
          <w:tab w:val="left" w:pos="360"/>
          <w:tab w:val="left" w:pos="540"/>
          <w:tab w:val="left" w:pos="1080"/>
        </w:tabs>
        <w:spacing w:line="560" w:lineRule="exact"/>
        <w:ind w:firstLine="480" w:firstLineChars="200"/>
        <w:rPr>
          <w:rFonts w:eastAsia="仿宋"/>
          <w:sz w:val="24"/>
        </w:rPr>
      </w:pPr>
      <w:r>
        <w:rPr>
          <w:rFonts w:eastAsia="仿宋"/>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E35698A">
      <w:pPr>
        <w:tabs>
          <w:tab w:val="left" w:pos="360"/>
          <w:tab w:val="left" w:pos="540"/>
          <w:tab w:val="left" w:pos="1080"/>
        </w:tabs>
        <w:spacing w:line="560" w:lineRule="exact"/>
        <w:ind w:firstLine="480" w:firstLineChars="200"/>
        <w:rPr>
          <w:rFonts w:eastAsia="仿宋"/>
          <w:sz w:val="24"/>
        </w:rPr>
      </w:pPr>
      <w:r>
        <w:rPr>
          <w:rFonts w:eastAsia="仿宋"/>
          <w:sz w:val="24"/>
        </w:rPr>
        <w:t>2.15.3 检验和验收标准、程序等具体内容以及前述验收书的效力详见</w:t>
      </w:r>
      <w:r>
        <w:rPr>
          <w:rFonts w:eastAsia="仿宋"/>
          <w:b/>
          <w:iCs/>
          <w:sz w:val="24"/>
          <w:u w:val="single"/>
        </w:rPr>
        <w:t>合同专用条款</w:t>
      </w:r>
      <w:r>
        <w:rPr>
          <w:rFonts w:eastAsia="仿宋"/>
          <w:i/>
          <w:sz w:val="24"/>
        </w:rPr>
        <w:t>。</w:t>
      </w:r>
    </w:p>
    <w:bookmarkEnd w:id="132"/>
    <w:bookmarkEnd w:id="133"/>
    <w:bookmarkEnd w:id="134"/>
    <w:bookmarkEnd w:id="135"/>
    <w:p w14:paraId="021EA81B">
      <w:pPr>
        <w:spacing w:line="560" w:lineRule="exact"/>
        <w:ind w:firstLine="482" w:firstLineChars="200"/>
        <w:outlineLvl w:val="2"/>
        <w:rPr>
          <w:rFonts w:eastAsia="仿宋"/>
          <w:b/>
          <w:sz w:val="24"/>
        </w:rPr>
      </w:pPr>
      <w:bookmarkStart w:id="171" w:name="_Toc487900371"/>
      <w:bookmarkStart w:id="172" w:name="_Toc279701261"/>
      <w:bookmarkStart w:id="173" w:name="_Toc259093690"/>
      <w:bookmarkStart w:id="174" w:name="_Toc31892"/>
      <w:bookmarkStart w:id="175" w:name="_Toc2308"/>
      <w:bookmarkStart w:id="176" w:name="_Toc25198"/>
      <w:bookmarkStart w:id="177" w:name="_Toc12666"/>
      <w:bookmarkStart w:id="178" w:name="_Toc9808"/>
      <w:r>
        <w:rPr>
          <w:rFonts w:eastAsia="仿宋"/>
          <w:b/>
          <w:sz w:val="24"/>
        </w:rPr>
        <w:t>2.16 通知</w:t>
      </w:r>
      <w:bookmarkEnd w:id="171"/>
      <w:bookmarkEnd w:id="172"/>
      <w:bookmarkEnd w:id="173"/>
      <w:r>
        <w:rPr>
          <w:rFonts w:eastAsia="仿宋"/>
          <w:b/>
          <w:sz w:val="24"/>
        </w:rPr>
        <w:t>和送达</w:t>
      </w:r>
      <w:bookmarkEnd w:id="174"/>
      <w:bookmarkEnd w:id="175"/>
      <w:bookmarkEnd w:id="176"/>
      <w:bookmarkEnd w:id="177"/>
      <w:bookmarkEnd w:id="178"/>
    </w:p>
    <w:p w14:paraId="6D23C688">
      <w:pPr>
        <w:spacing w:line="560" w:lineRule="exact"/>
        <w:ind w:firstLine="480" w:firstLineChars="200"/>
        <w:rPr>
          <w:rFonts w:eastAsia="仿宋"/>
          <w:sz w:val="24"/>
        </w:rPr>
      </w:pPr>
      <w:bookmarkStart w:id="179" w:name="_Toc29220"/>
      <w:bookmarkStart w:id="180" w:name="_Toc7073"/>
      <w:bookmarkStart w:id="181" w:name="_Toc487900372"/>
      <w:bookmarkStart w:id="182" w:name="_Toc279701262"/>
      <w:bookmarkStart w:id="183" w:name="_Toc259093691"/>
      <w:r>
        <w:rPr>
          <w:rFonts w:eastAsia="仿宋"/>
          <w:sz w:val="24"/>
        </w:rPr>
        <w:t>2.16.1 任何一方因履行合同而以合同第一部分尾部所列明的</w:t>
      </w:r>
      <w:r>
        <w:rPr>
          <w:rFonts w:eastAsia="仿宋"/>
          <w:sz w:val="24"/>
          <w:u w:val="single"/>
        </w:rPr>
        <w:t>合同履行地</w:t>
      </w:r>
      <w:r>
        <w:rPr>
          <w:rFonts w:eastAsia="仿宋"/>
          <w:sz w:val="24"/>
        </w:rPr>
        <w:t>发出的所有通知、文件、材料，均视为已向对方当事人送达；任何一方变更上述送达方式或者地址的，应于</w:t>
      </w:r>
      <w:r>
        <w:rPr>
          <w:rFonts w:eastAsia="仿宋"/>
          <w:sz w:val="24"/>
          <w:u w:val="single"/>
        </w:rPr>
        <w:t xml:space="preserve"> 7 </w:t>
      </w:r>
      <w:r>
        <w:rPr>
          <w:rFonts w:eastAsia="仿宋"/>
          <w:sz w:val="24"/>
        </w:rPr>
        <w:t>个工作日内书面通知对方当事人，在对方当事人收到有关变更通知之前，变更前的约定送达方式或者地址仍视为有效。</w:t>
      </w:r>
      <w:bookmarkEnd w:id="179"/>
      <w:bookmarkEnd w:id="180"/>
    </w:p>
    <w:p w14:paraId="10844E7D">
      <w:pPr>
        <w:spacing w:line="560" w:lineRule="exact"/>
        <w:ind w:firstLine="480" w:firstLineChars="200"/>
        <w:rPr>
          <w:rFonts w:eastAsia="仿宋"/>
          <w:sz w:val="24"/>
        </w:rPr>
      </w:pPr>
      <w:bookmarkStart w:id="184" w:name="_Toc27674"/>
      <w:bookmarkStart w:id="185" w:name="_Toc18401"/>
      <w:r>
        <w:rPr>
          <w:rFonts w:eastAsia="仿宋"/>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4"/>
      <w:bookmarkEnd w:id="185"/>
    </w:p>
    <w:bookmarkEnd w:id="181"/>
    <w:bookmarkEnd w:id="182"/>
    <w:bookmarkEnd w:id="183"/>
    <w:p w14:paraId="3EC3DE5D">
      <w:pPr>
        <w:spacing w:line="560" w:lineRule="exact"/>
        <w:ind w:firstLine="482" w:firstLineChars="200"/>
        <w:outlineLvl w:val="2"/>
        <w:rPr>
          <w:rFonts w:eastAsia="仿宋"/>
          <w:b/>
          <w:sz w:val="24"/>
        </w:rPr>
      </w:pPr>
      <w:bookmarkStart w:id="186" w:name="_Toc5063"/>
      <w:bookmarkStart w:id="187" w:name="_Toc279701263"/>
      <w:bookmarkStart w:id="188" w:name="_Toc487900373"/>
      <w:bookmarkStart w:id="189" w:name="_Toc28906"/>
      <w:bookmarkStart w:id="190" w:name="_Toc20808"/>
      <w:bookmarkStart w:id="191" w:name="_Toc27644"/>
      <w:bookmarkStart w:id="192" w:name="_Toc12254"/>
      <w:bookmarkStart w:id="193" w:name="_Toc259093692"/>
      <w:r>
        <w:rPr>
          <w:rFonts w:eastAsia="仿宋"/>
          <w:b/>
          <w:sz w:val="24"/>
        </w:rPr>
        <w:t>2.17 合同使用的文字和适用的法律</w:t>
      </w:r>
      <w:bookmarkEnd w:id="186"/>
      <w:bookmarkEnd w:id="187"/>
      <w:bookmarkEnd w:id="188"/>
      <w:bookmarkEnd w:id="189"/>
      <w:bookmarkEnd w:id="190"/>
      <w:bookmarkEnd w:id="191"/>
      <w:bookmarkEnd w:id="192"/>
      <w:bookmarkEnd w:id="193"/>
    </w:p>
    <w:p w14:paraId="7B365E2A">
      <w:pPr>
        <w:spacing w:line="560" w:lineRule="exact"/>
        <w:ind w:firstLine="480" w:firstLineChars="200"/>
        <w:rPr>
          <w:rFonts w:eastAsia="仿宋"/>
          <w:sz w:val="24"/>
        </w:rPr>
      </w:pPr>
      <w:r>
        <w:rPr>
          <w:rFonts w:eastAsia="仿宋"/>
          <w:sz w:val="24"/>
        </w:rPr>
        <w:t>2.17.1 合同使用汉语书就、变更和解释；</w:t>
      </w:r>
    </w:p>
    <w:p w14:paraId="6FC75CED">
      <w:pPr>
        <w:spacing w:line="560" w:lineRule="exact"/>
        <w:ind w:firstLine="480" w:firstLineChars="200"/>
        <w:rPr>
          <w:rFonts w:eastAsia="仿宋"/>
          <w:sz w:val="24"/>
        </w:rPr>
      </w:pPr>
      <w:r>
        <w:rPr>
          <w:rFonts w:eastAsia="仿宋"/>
          <w:sz w:val="24"/>
        </w:rPr>
        <w:t>2.17.2 合同适用中华人民共和国法律。</w:t>
      </w:r>
    </w:p>
    <w:p w14:paraId="4E44F10C">
      <w:pPr>
        <w:spacing w:line="560" w:lineRule="exact"/>
        <w:ind w:firstLine="482" w:firstLineChars="200"/>
        <w:outlineLvl w:val="2"/>
        <w:rPr>
          <w:rFonts w:eastAsia="仿宋"/>
          <w:b/>
          <w:sz w:val="24"/>
        </w:rPr>
      </w:pPr>
      <w:bookmarkStart w:id="194" w:name="_Toc1492"/>
      <w:bookmarkStart w:id="195" w:name="_Toc22266"/>
      <w:bookmarkStart w:id="196" w:name="_Toc279701264"/>
      <w:bookmarkStart w:id="197" w:name="_Toc27127"/>
      <w:bookmarkStart w:id="198" w:name="_Toc27403"/>
      <w:bookmarkStart w:id="199" w:name="_Toc30096"/>
      <w:bookmarkStart w:id="200" w:name="_Toc259093693"/>
      <w:bookmarkStart w:id="201" w:name="_Toc487900374"/>
      <w:r>
        <w:rPr>
          <w:rFonts w:eastAsia="仿宋"/>
          <w:b/>
          <w:sz w:val="24"/>
        </w:rPr>
        <w:t>2.18 履约保证金</w:t>
      </w:r>
      <w:bookmarkEnd w:id="194"/>
      <w:bookmarkEnd w:id="195"/>
      <w:bookmarkEnd w:id="196"/>
      <w:bookmarkEnd w:id="197"/>
      <w:bookmarkEnd w:id="198"/>
      <w:bookmarkEnd w:id="199"/>
      <w:bookmarkEnd w:id="200"/>
    </w:p>
    <w:p w14:paraId="45E04A6D">
      <w:pPr>
        <w:spacing w:line="560" w:lineRule="exact"/>
        <w:ind w:firstLine="480" w:firstLineChars="200"/>
        <w:rPr>
          <w:rFonts w:eastAsia="仿宋"/>
          <w:sz w:val="24"/>
        </w:rPr>
      </w:pPr>
      <w:r>
        <w:rPr>
          <w:rFonts w:eastAsia="仿宋"/>
          <w:sz w:val="24"/>
        </w:rPr>
        <w:t>2.18.1 采购文件要求乙方提交履约保证金的，乙方应按</w:t>
      </w:r>
      <w:r>
        <w:rPr>
          <w:rFonts w:eastAsia="仿宋"/>
          <w:b/>
          <w:iCs/>
          <w:sz w:val="24"/>
          <w:u w:val="single"/>
        </w:rPr>
        <w:t>合同专用条款</w:t>
      </w:r>
      <w:r>
        <w:rPr>
          <w:rFonts w:eastAsia="仿宋"/>
          <w:sz w:val="24"/>
        </w:rPr>
        <w:t>约定的方式，以支票、汇票、本票或者金融机构、担保机构出具的保函等非现金形式，提交不超过合同价10%的履约保证金；</w:t>
      </w:r>
    </w:p>
    <w:p w14:paraId="4894151C">
      <w:pPr>
        <w:spacing w:line="560" w:lineRule="exact"/>
        <w:ind w:firstLine="480" w:firstLineChars="200"/>
        <w:rPr>
          <w:rFonts w:eastAsia="仿宋"/>
          <w:sz w:val="24"/>
        </w:rPr>
      </w:pPr>
      <w:r>
        <w:rPr>
          <w:rFonts w:eastAsia="仿宋"/>
          <w:sz w:val="24"/>
        </w:rPr>
        <w:t>2.18.2 履约保证金在</w:t>
      </w:r>
      <w:r>
        <w:rPr>
          <w:rFonts w:eastAsia="仿宋"/>
          <w:b/>
          <w:iCs/>
          <w:sz w:val="24"/>
          <w:u w:val="single"/>
        </w:rPr>
        <w:t>合同专用条款</w:t>
      </w:r>
      <w:r>
        <w:rPr>
          <w:rFonts w:eastAsia="仿宋"/>
          <w:sz w:val="24"/>
        </w:rPr>
        <w:t>约定期间内不予退还或者应完全有效，前述约定期间届满之日起</w:t>
      </w:r>
      <w:r>
        <w:rPr>
          <w:rFonts w:eastAsia="仿宋"/>
          <w:sz w:val="24"/>
          <w:u w:val="single"/>
        </w:rPr>
        <w:t xml:space="preserve"> 30</w:t>
      </w:r>
      <w:r>
        <w:rPr>
          <w:rFonts w:eastAsia="仿宋"/>
          <w:sz w:val="24"/>
        </w:rPr>
        <w:t>个工作日内，甲方应将履约保证金退还乙方；</w:t>
      </w:r>
    </w:p>
    <w:p w14:paraId="73FAA105">
      <w:pPr>
        <w:spacing w:line="560" w:lineRule="exact"/>
        <w:ind w:firstLine="480" w:firstLineChars="200"/>
        <w:rPr>
          <w:rFonts w:eastAsia="仿宋"/>
          <w:sz w:val="24"/>
        </w:rPr>
      </w:pPr>
      <w:r>
        <w:rPr>
          <w:rFonts w:eastAsia="仿宋"/>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1"/>
    <w:p w14:paraId="71003273">
      <w:pPr>
        <w:spacing w:line="560" w:lineRule="exact"/>
        <w:ind w:firstLine="482" w:firstLineChars="200"/>
        <w:outlineLvl w:val="2"/>
        <w:rPr>
          <w:rFonts w:eastAsia="仿宋"/>
          <w:b/>
          <w:sz w:val="24"/>
        </w:rPr>
      </w:pPr>
      <w:r>
        <w:rPr>
          <w:rFonts w:eastAsia="仿宋"/>
          <w:b/>
          <w:sz w:val="24"/>
        </w:rPr>
        <w:t>2.19 合同份数</w:t>
      </w:r>
    </w:p>
    <w:p w14:paraId="2F9C6CE0">
      <w:pPr>
        <w:spacing w:line="560" w:lineRule="exact"/>
        <w:ind w:firstLine="480" w:firstLineChars="200"/>
        <w:rPr>
          <w:rFonts w:eastAsia="仿宋"/>
          <w:sz w:val="24"/>
        </w:rPr>
      </w:pPr>
      <w:r>
        <w:rPr>
          <w:rFonts w:eastAsia="仿宋"/>
          <w:sz w:val="24"/>
        </w:rPr>
        <w:t>合同份数按</w:t>
      </w:r>
      <w:r>
        <w:rPr>
          <w:rFonts w:eastAsia="仿宋"/>
          <w:b/>
          <w:iCs/>
          <w:sz w:val="24"/>
          <w:u w:val="single"/>
        </w:rPr>
        <w:t>合同专用条款</w:t>
      </w:r>
      <w:r>
        <w:rPr>
          <w:rFonts w:eastAsia="仿宋"/>
          <w:sz w:val="24"/>
        </w:rPr>
        <w:t>规定，每份均具有同等法律效力。</w:t>
      </w:r>
    </w:p>
    <w:p w14:paraId="1F099409">
      <w:pPr>
        <w:pStyle w:val="55"/>
        <w:spacing w:line="560" w:lineRule="exact"/>
        <w:ind w:firstLine="0"/>
        <w:jc w:val="center"/>
        <w:outlineLvl w:val="1"/>
        <w:rPr>
          <w:rFonts w:ascii="Times New Roman" w:eastAsia="仿宋"/>
          <w:b/>
          <w:szCs w:val="24"/>
        </w:rPr>
      </w:pPr>
      <w:r>
        <w:rPr>
          <w:rFonts w:ascii="Times New Roman" w:eastAsia="仿宋"/>
          <w:szCs w:val="24"/>
        </w:rPr>
        <w:br w:type="page"/>
      </w:r>
      <w:bookmarkStart w:id="202" w:name="_Toc331685784"/>
      <w:r>
        <w:rPr>
          <w:rFonts w:ascii="Times New Roman" w:eastAsia="仿宋"/>
          <w:b/>
          <w:szCs w:val="24"/>
        </w:rPr>
        <w:t>第三部分  合同专用条款</w:t>
      </w:r>
      <w:bookmarkEnd w:id="202"/>
    </w:p>
    <w:p w14:paraId="4D80DBC2">
      <w:pPr>
        <w:spacing w:line="560" w:lineRule="exact"/>
        <w:ind w:firstLine="480" w:firstLineChars="200"/>
        <w:rPr>
          <w:rFonts w:eastAsia="仿宋"/>
          <w:sz w:val="24"/>
        </w:rPr>
      </w:pPr>
      <w:r>
        <w:rPr>
          <w:rFonts w:eastAsia="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37B8E0C">
      <w:pPr>
        <w:spacing w:line="560" w:lineRule="exact"/>
        <w:ind w:firstLine="480" w:firstLineChars="200"/>
        <w:rPr>
          <w:rFonts w:eastAsia="仿宋"/>
          <w:sz w:val="24"/>
        </w:rPr>
      </w:pPr>
      <w:r>
        <w:rPr>
          <w:rFonts w:eastAsia="仿宋"/>
          <w:sz w:val="24"/>
        </w:rPr>
        <w:t>合同专用条款其未明确的内容与供应商须知前附表、第三章采购需求一致。此处不再赘述。</w:t>
      </w:r>
    </w:p>
    <w:p w14:paraId="160543C5">
      <w:pPr>
        <w:spacing w:line="360" w:lineRule="auto"/>
        <w:jc w:val="center"/>
        <w:rPr>
          <w:rStyle w:val="31"/>
          <w:rFonts w:ascii="Times New Roman" w:eastAsia="仿宋"/>
          <w:b/>
          <w:szCs w:val="28"/>
        </w:rPr>
      </w:pPr>
    </w:p>
    <w:p w14:paraId="63059523">
      <w:pPr>
        <w:spacing w:line="360" w:lineRule="auto"/>
        <w:jc w:val="center"/>
        <w:rPr>
          <w:rStyle w:val="31"/>
          <w:rFonts w:ascii="Times New Roman" w:eastAsia="仿宋"/>
          <w:b/>
          <w:szCs w:val="28"/>
        </w:rPr>
      </w:pPr>
    </w:p>
    <w:p w14:paraId="68373EDF">
      <w:pPr>
        <w:spacing w:line="360" w:lineRule="auto"/>
        <w:jc w:val="center"/>
        <w:rPr>
          <w:rStyle w:val="31"/>
          <w:rFonts w:ascii="Times New Roman" w:eastAsia="仿宋"/>
          <w:b/>
          <w:szCs w:val="28"/>
        </w:rPr>
      </w:pPr>
    </w:p>
    <w:p w14:paraId="2A73E514">
      <w:pPr>
        <w:spacing w:line="360" w:lineRule="auto"/>
        <w:jc w:val="center"/>
        <w:rPr>
          <w:rStyle w:val="31"/>
          <w:rFonts w:ascii="Times New Roman" w:eastAsia="仿宋"/>
          <w:b/>
          <w:szCs w:val="28"/>
        </w:rPr>
      </w:pPr>
    </w:p>
    <w:p w14:paraId="3B27F19B">
      <w:pPr>
        <w:spacing w:line="360" w:lineRule="auto"/>
        <w:jc w:val="center"/>
        <w:rPr>
          <w:rStyle w:val="31"/>
          <w:rFonts w:ascii="Times New Roman" w:eastAsia="仿宋"/>
          <w:b/>
          <w:szCs w:val="28"/>
        </w:rPr>
      </w:pPr>
    </w:p>
    <w:p w14:paraId="066C89C6">
      <w:pPr>
        <w:spacing w:line="360" w:lineRule="auto"/>
        <w:jc w:val="center"/>
        <w:rPr>
          <w:rStyle w:val="31"/>
          <w:rFonts w:ascii="Times New Roman" w:eastAsia="仿宋"/>
          <w:b/>
          <w:szCs w:val="28"/>
        </w:rPr>
      </w:pPr>
    </w:p>
    <w:p w14:paraId="0CEE28D4">
      <w:pPr>
        <w:rPr>
          <w:rStyle w:val="31"/>
          <w:rFonts w:ascii="Times New Roman" w:eastAsia="仿宋"/>
          <w:b/>
          <w:szCs w:val="28"/>
        </w:rPr>
      </w:pPr>
      <w:r>
        <w:rPr>
          <w:rStyle w:val="31"/>
          <w:rFonts w:ascii="Times New Roman" w:eastAsia="仿宋"/>
          <w:b/>
          <w:szCs w:val="28"/>
        </w:rPr>
        <w:br w:type="page"/>
      </w:r>
    </w:p>
    <w:p w14:paraId="27A113D3">
      <w:pPr>
        <w:spacing w:line="360" w:lineRule="auto"/>
        <w:ind w:firstLine="643" w:firstLineChars="200"/>
        <w:jc w:val="center"/>
        <w:outlineLvl w:val="0"/>
        <w:rPr>
          <w:rStyle w:val="31"/>
          <w:rFonts w:ascii="Times New Roman" w:eastAsia="仿宋"/>
          <w:b/>
          <w:sz w:val="32"/>
          <w:szCs w:val="32"/>
        </w:rPr>
      </w:pPr>
      <w:bookmarkStart w:id="203" w:name="_Toc21493"/>
      <w:r>
        <w:rPr>
          <w:rStyle w:val="31"/>
          <w:rFonts w:ascii="Times New Roman" w:eastAsia="仿宋"/>
          <w:b/>
          <w:sz w:val="32"/>
          <w:szCs w:val="32"/>
        </w:rPr>
        <w:t>第五部分 响应文件格式及附件</w:t>
      </w:r>
      <w:bookmarkEnd w:id="203"/>
    </w:p>
    <w:p w14:paraId="69825214">
      <w:pPr>
        <w:autoSpaceDE w:val="0"/>
        <w:autoSpaceDN w:val="0"/>
        <w:spacing w:before="197"/>
        <w:ind w:right="891"/>
        <w:jc w:val="center"/>
        <w:rPr>
          <w:rFonts w:eastAsia="仿宋"/>
          <w:kern w:val="0"/>
          <w:sz w:val="28"/>
          <w:szCs w:val="28"/>
        </w:rPr>
      </w:pPr>
      <w:r>
        <w:rPr>
          <w:rFonts w:eastAsia="仿宋"/>
          <w:spacing w:val="13"/>
          <w:kern w:val="0"/>
          <w:sz w:val="28"/>
          <w:szCs w:val="28"/>
        </w:rPr>
        <w:t>一、商务部分</w:t>
      </w:r>
    </w:p>
    <w:p w14:paraId="4793AD98">
      <w:pPr>
        <w:autoSpaceDE w:val="0"/>
        <w:autoSpaceDN w:val="0"/>
        <w:spacing w:before="1"/>
        <w:jc w:val="left"/>
        <w:rPr>
          <w:rFonts w:eastAsia="仿宋"/>
          <w:kern w:val="0"/>
          <w:sz w:val="28"/>
          <w:szCs w:val="28"/>
        </w:rPr>
      </w:pPr>
    </w:p>
    <w:p w14:paraId="07778261">
      <w:pPr>
        <w:autoSpaceDE w:val="0"/>
        <w:autoSpaceDN w:val="0"/>
        <w:snapToGrid w:val="0"/>
        <w:spacing w:line="360" w:lineRule="auto"/>
        <w:jc w:val="left"/>
        <w:rPr>
          <w:rFonts w:eastAsia="仿宋"/>
          <w:kern w:val="0"/>
          <w:sz w:val="24"/>
          <w:szCs w:val="24"/>
        </w:rPr>
      </w:pPr>
      <w:r>
        <w:rPr>
          <w:rFonts w:eastAsia="仿宋"/>
          <w:kern w:val="0"/>
          <w:sz w:val="24"/>
          <w:szCs w:val="24"/>
        </w:rPr>
        <w:t>1、磋商响应声明</w:t>
      </w:r>
    </w:p>
    <w:p w14:paraId="0ED174C5">
      <w:pPr>
        <w:tabs>
          <w:tab w:val="left" w:pos="2253"/>
        </w:tabs>
        <w:autoSpaceDE w:val="0"/>
        <w:autoSpaceDN w:val="0"/>
        <w:snapToGrid w:val="0"/>
        <w:spacing w:line="360" w:lineRule="auto"/>
        <w:jc w:val="left"/>
        <w:rPr>
          <w:rFonts w:eastAsia="仿宋"/>
          <w:spacing w:val="-57"/>
          <w:kern w:val="0"/>
          <w:sz w:val="24"/>
          <w:szCs w:val="24"/>
        </w:rPr>
      </w:pPr>
      <w:r>
        <w:rPr>
          <w:rFonts w:eastAsia="仿宋"/>
          <w:kern w:val="0"/>
          <w:sz w:val="24"/>
          <w:szCs w:val="24"/>
        </w:rPr>
        <w:t>附件</w:t>
      </w:r>
      <w:r>
        <w:rPr>
          <w:rFonts w:eastAsia="仿宋"/>
          <w:spacing w:val="-61"/>
          <w:kern w:val="0"/>
          <w:sz w:val="24"/>
          <w:szCs w:val="24"/>
        </w:rPr>
        <w:t xml:space="preserve"> </w:t>
      </w:r>
      <w:r>
        <w:rPr>
          <w:rFonts w:eastAsia="仿宋"/>
          <w:kern w:val="0"/>
          <w:sz w:val="24"/>
          <w:szCs w:val="24"/>
        </w:rPr>
        <w:t>1－1</w:t>
      </w:r>
      <w:r>
        <w:rPr>
          <w:rFonts w:eastAsia="仿宋"/>
          <w:spacing w:val="-1"/>
          <w:kern w:val="0"/>
          <w:sz w:val="24"/>
          <w:szCs w:val="24"/>
        </w:rPr>
        <w:t>法定</w:t>
      </w:r>
      <w:r>
        <w:rPr>
          <w:rFonts w:eastAsia="仿宋"/>
          <w:kern w:val="0"/>
          <w:sz w:val="24"/>
          <w:szCs w:val="24"/>
        </w:rPr>
        <w:t>代表人身份证明扫描件(法定代表人参加磋商)</w:t>
      </w:r>
      <w:r>
        <w:rPr>
          <w:rFonts w:eastAsia="仿宋"/>
          <w:spacing w:val="-57"/>
          <w:kern w:val="0"/>
          <w:sz w:val="24"/>
          <w:szCs w:val="24"/>
        </w:rPr>
        <w:t xml:space="preserve"> </w:t>
      </w:r>
    </w:p>
    <w:p w14:paraId="14795F85">
      <w:pPr>
        <w:tabs>
          <w:tab w:val="left" w:pos="2253"/>
        </w:tabs>
        <w:autoSpaceDE w:val="0"/>
        <w:autoSpaceDN w:val="0"/>
        <w:snapToGrid w:val="0"/>
        <w:spacing w:line="360" w:lineRule="auto"/>
        <w:ind w:right="3251"/>
        <w:jc w:val="left"/>
        <w:rPr>
          <w:rFonts w:eastAsia="仿宋"/>
          <w:kern w:val="0"/>
          <w:sz w:val="24"/>
          <w:szCs w:val="24"/>
        </w:rPr>
      </w:pPr>
      <w:r>
        <w:rPr>
          <w:rFonts w:eastAsia="仿宋"/>
          <w:kern w:val="0"/>
          <w:sz w:val="24"/>
          <w:szCs w:val="24"/>
        </w:rPr>
        <w:t>附件</w:t>
      </w:r>
      <w:r>
        <w:rPr>
          <w:rFonts w:eastAsia="仿宋"/>
          <w:spacing w:val="-61"/>
          <w:kern w:val="0"/>
          <w:sz w:val="24"/>
          <w:szCs w:val="24"/>
        </w:rPr>
        <w:t xml:space="preserve"> </w:t>
      </w:r>
      <w:r>
        <w:rPr>
          <w:rFonts w:eastAsia="仿宋"/>
          <w:kern w:val="0"/>
          <w:sz w:val="24"/>
          <w:szCs w:val="24"/>
        </w:rPr>
        <w:t>1－2法定代表人授权书(授权代表参加磋商)</w:t>
      </w:r>
    </w:p>
    <w:p w14:paraId="0F521C67">
      <w:pPr>
        <w:tabs>
          <w:tab w:val="left" w:pos="2253"/>
        </w:tabs>
        <w:autoSpaceDE w:val="0"/>
        <w:autoSpaceDN w:val="0"/>
        <w:snapToGrid w:val="0"/>
        <w:spacing w:line="360" w:lineRule="auto"/>
        <w:ind w:right="3810"/>
        <w:jc w:val="left"/>
        <w:rPr>
          <w:rFonts w:eastAsia="仿宋"/>
          <w:kern w:val="0"/>
          <w:sz w:val="24"/>
          <w:szCs w:val="24"/>
        </w:rPr>
      </w:pPr>
      <w:r>
        <w:rPr>
          <w:rFonts w:eastAsia="仿宋"/>
          <w:spacing w:val="-57"/>
          <w:kern w:val="0"/>
          <w:sz w:val="24"/>
          <w:szCs w:val="24"/>
        </w:rPr>
        <w:t xml:space="preserve"> </w:t>
      </w:r>
      <w:r>
        <w:rPr>
          <w:rFonts w:eastAsia="仿宋"/>
          <w:kern w:val="0"/>
          <w:sz w:val="24"/>
          <w:szCs w:val="24"/>
        </w:rPr>
        <w:t>2、报价一览表</w:t>
      </w:r>
    </w:p>
    <w:p w14:paraId="5C185FE7">
      <w:pPr>
        <w:tabs>
          <w:tab w:val="left" w:pos="3780"/>
          <w:tab w:val="left" w:pos="4420"/>
        </w:tabs>
        <w:autoSpaceDE w:val="0"/>
        <w:autoSpaceDN w:val="0"/>
        <w:snapToGrid w:val="0"/>
        <w:spacing w:line="360" w:lineRule="auto"/>
        <w:ind w:right="5330"/>
        <w:rPr>
          <w:rFonts w:eastAsia="仿宋"/>
          <w:spacing w:val="-58"/>
          <w:kern w:val="0"/>
          <w:sz w:val="24"/>
          <w:szCs w:val="24"/>
        </w:rPr>
      </w:pPr>
      <w:r>
        <w:rPr>
          <w:rFonts w:eastAsia="仿宋"/>
          <w:spacing w:val="-22"/>
          <w:kern w:val="0"/>
          <w:sz w:val="24"/>
          <w:szCs w:val="24"/>
        </w:rPr>
        <w:t xml:space="preserve">附件 </w:t>
      </w:r>
      <w:r>
        <w:rPr>
          <w:rFonts w:eastAsia="仿宋"/>
          <w:spacing w:val="-1"/>
          <w:kern w:val="0"/>
          <w:sz w:val="24"/>
          <w:szCs w:val="24"/>
        </w:rPr>
        <w:t>2－1</w:t>
      </w:r>
      <w:r>
        <w:rPr>
          <w:rFonts w:eastAsia="仿宋"/>
          <w:spacing w:val="4"/>
          <w:kern w:val="0"/>
          <w:sz w:val="24"/>
          <w:szCs w:val="24"/>
        </w:rPr>
        <w:t xml:space="preserve"> </w:t>
      </w:r>
      <w:r>
        <w:rPr>
          <w:rFonts w:eastAsia="仿宋"/>
          <w:spacing w:val="-1"/>
          <w:kern w:val="0"/>
          <w:sz w:val="24"/>
          <w:szCs w:val="24"/>
        </w:rPr>
        <w:t>报价一览表</w:t>
      </w:r>
    </w:p>
    <w:p w14:paraId="2E23FB82">
      <w:pPr>
        <w:autoSpaceDE w:val="0"/>
        <w:autoSpaceDN w:val="0"/>
        <w:snapToGrid w:val="0"/>
        <w:spacing w:line="360" w:lineRule="auto"/>
        <w:ind w:right="5130"/>
        <w:jc w:val="left"/>
        <w:rPr>
          <w:rFonts w:eastAsia="仿宋"/>
          <w:spacing w:val="-57"/>
          <w:kern w:val="0"/>
          <w:sz w:val="24"/>
          <w:szCs w:val="24"/>
        </w:rPr>
      </w:pPr>
      <w:r>
        <w:rPr>
          <w:rFonts w:eastAsia="仿宋"/>
          <w:spacing w:val="-1"/>
          <w:kern w:val="0"/>
          <w:sz w:val="24"/>
          <w:szCs w:val="24"/>
        </w:rPr>
        <w:t>3、商务条款偏离表</w:t>
      </w:r>
    </w:p>
    <w:p w14:paraId="357474DB">
      <w:pPr>
        <w:autoSpaceDE w:val="0"/>
        <w:autoSpaceDN w:val="0"/>
        <w:snapToGrid w:val="0"/>
        <w:spacing w:line="360" w:lineRule="auto"/>
        <w:ind w:right="6431"/>
        <w:jc w:val="left"/>
        <w:rPr>
          <w:rFonts w:eastAsia="仿宋"/>
          <w:kern w:val="0"/>
          <w:sz w:val="24"/>
          <w:szCs w:val="24"/>
        </w:rPr>
      </w:pPr>
      <w:r>
        <w:rPr>
          <w:rFonts w:eastAsia="仿宋"/>
          <w:kern w:val="0"/>
          <w:sz w:val="24"/>
          <w:szCs w:val="24"/>
        </w:rPr>
        <w:t>4、磋商保证金</w:t>
      </w:r>
    </w:p>
    <w:p w14:paraId="4FB3CC1A">
      <w:pPr>
        <w:autoSpaceDE w:val="0"/>
        <w:autoSpaceDN w:val="0"/>
        <w:snapToGrid w:val="0"/>
        <w:spacing w:line="360" w:lineRule="auto"/>
        <w:jc w:val="left"/>
        <w:rPr>
          <w:rFonts w:eastAsia="仿宋"/>
          <w:kern w:val="0"/>
          <w:sz w:val="24"/>
          <w:szCs w:val="24"/>
        </w:rPr>
      </w:pPr>
      <w:r>
        <w:rPr>
          <w:rFonts w:eastAsia="仿宋"/>
          <w:kern w:val="0"/>
          <w:sz w:val="24"/>
          <w:szCs w:val="24"/>
        </w:rPr>
        <w:t>5、供应商的资格证明材料</w:t>
      </w:r>
    </w:p>
    <w:p w14:paraId="3FA9D36B">
      <w:pPr>
        <w:tabs>
          <w:tab w:val="left" w:pos="2651"/>
        </w:tabs>
        <w:autoSpaceDE w:val="0"/>
        <w:autoSpaceDN w:val="0"/>
        <w:snapToGrid w:val="0"/>
        <w:spacing w:line="360" w:lineRule="auto"/>
        <w:jc w:val="left"/>
        <w:rPr>
          <w:rFonts w:eastAsia="仿宋"/>
          <w:kern w:val="0"/>
          <w:sz w:val="24"/>
          <w:szCs w:val="24"/>
        </w:rPr>
      </w:pPr>
      <w:r>
        <w:rPr>
          <w:rFonts w:eastAsia="仿宋"/>
          <w:kern w:val="0"/>
          <w:sz w:val="24"/>
          <w:szCs w:val="24"/>
        </w:rPr>
        <w:t>附件 5－1供应商基本情况表</w:t>
      </w:r>
    </w:p>
    <w:p w14:paraId="71207EC5">
      <w:pPr>
        <w:snapToGrid w:val="0"/>
        <w:spacing w:line="360" w:lineRule="auto"/>
        <w:rPr>
          <w:rFonts w:eastAsia="仿宋"/>
          <w:b/>
          <w:sz w:val="24"/>
          <w:szCs w:val="24"/>
        </w:rPr>
      </w:pPr>
      <w:r>
        <w:rPr>
          <w:rFonts w:eastAsia="仿宋"/>
          <w:kern w:val="0"/>
          <w:sz w:val="24"/>
          <w:szCs w:val="24"/>
        </w:rPr>
        <w:t>附件 5－2关于满足《中华人民共和国政府采购法》第二十二条的承诺</w:t>
      </w:r>
    </w:p>
    <w:p w14:paraId="06AC2FAD">
      <w:pPr>
        <w:autoSpaceDE w:val="0"/>
        <w:autoSpaceDN w:val="0"/>
        <w:snapToGrid w:val="0"/>
        <w:spacing w:line="360" w:lineRule="auto"/>
        <w:jc w:val="left"/>
        <w:rPr>
          <w:rFonts w:eastAsia="仿宋"/>
          <w:kern w:val="0"/>
          <w:sz w:val="24"/>
          <w:szCs w:val="24"/>
        </w:rPr>
      </w:pPr>
      <w:r>
        <w:rPr>
          <w:rFonts w:eastAsia="仿宋"/>
          <w:kern w:val="0"/>
          <w:sz w:val="24"/>
          <w:szCs w:val="24"/>
        </w:rPr>
        <w:t>6、提供符合政府采购政策的证明材料</w:t>
      </w:r>
    </w:p>
    <w:p w14:paraId="16ADA6BD">
      <w:pPr>
        <w:pStyle w:val="2"/>
        <w:snapToGrid w:val="0"/>
        <w:spacing w:after="0" w:line="360" w:lineRule="auto"/>
        <w:rPr>
          <w:rFonts w:eastAsia="仿宋"/>
          <w:sz w:val="24"/>
          <w:szCs w:val="24"/>
        </w:rPr>
      </w:pPr>
      <w:r>
        <w:rPr>
          <w:rFonts w:eastAsia="仿宋"/>
          <w:w w:val="95"/>
          <w:kern w:val="0"/>
          <w:sz w:val="24"/>
          <w:szCs w:val="24"/>
        </w:rPr>
        <w:t>附件</w:t>
      </w:r>
      <w:r>
        <w:rPr>
          <w:rFonts w:eastAsia="仿宋"/>
          <w:spacing w:val="-37"/>
          <w:w w:val="95"/>
          <w:kern w:val="0"/>
          <w:sz w:val="24"/>
          <w:szCs w:val="24"/>
        </w:rPr>
        <w:t xml:space="preserve"> </w:t>
      </w:r>
      <w:r>
        <w:rPr>
          <w:rFonts w:eastAsia="仿宋"/>
          <w:w w:val="95"/>
          <w:kern w:val="0"/>
          <w:sz w:val="24"/>
          <w:szCs w:val="24"/>
        </w:rPr>
        <w:t xml:space="preserve">6－1 </w:t>
      </w:r>
      <w:r>
        <w:rPr>
          <w:rFonts w:eastAsia="仿宋"/>
          <w:kern w:val="0"/>
          <w:sz w:val="24"/>
          <w:szCs w:val="24"/>
        </w:rPr>
        <w:t>中小企业声明函</w:t>
      </w:r>
    </w:p>
    <w:p w14:paraId="1EE25E8E">
      <w:pPr>
        <w:tabs>
          <w:tab w:val="left" w:pos="2651"/>
        </w:tabs>
        <w:autoSpaceDE w:val="0"/>
        <w:autoSpaceDN w:val="0"/>
        <w:snapToGrid w:val="0"/>
        <w:spacing w:line="360" w:lineRule="auto"/>
        <w:jc w:val="left"/>
        <w:rPr>
          <w:rFonts w:eastAsia="仿宋"/>
          <w:kern w:val="0"/>
          <w:sz w:val="24"/>
          <w:szCs w:val="24"/>
        </w:rPr>
      </w:pPr>
      <w:r>
        <w:rPr>
          <w:rFonts w:eastAsia="仿宋"/>
          <w:kern w:val="0"/>
          <w:sz w:val="24"/>
          <w:szCs w:val="24"/>
        </w:rPr>
        <w:t>7、供应商业绩证明材料</w:t>
      </w:r>
    </w:p>
    <w:p w14:paraId="6D522268">
      <w:pPr>
        <w:tabs>
          <w:tab w:val="left" w:pos="2651"/>
        </w:tabs>
        <w:autoSpaceDE w:val="0"/>
        <w:autoSpaceDN w:val="0"/>
        <w:snapToGrid w:val="0"/>
        <w:spacing w:line="360" w:lineRule="auto"/>
        <w:jc w:val="left"/>
        <w:rPr>
          <w:rFonts w:eastAsia="仿宋"/>
          <w:kern w:val="0"/>
          <w:sz w:val="24"/>
          <w:szCs w:val="24"/>
        </w:rPr>
      </w:pPr>
      <w:r>
        <w:rPr>
          <w:rFonts w:eastAsia="仿宋"/>
          <w:kern w:val="0"/>
          <w:sz w:val="24"/>
          <w:szCs w:val="24"/>
        </w:rPr>
        <w:t>8、供应商认为需提供的其他资料</w:t>
      </w:r>
    </w:p>
    <w:p w14:paraId="02FEF229">
      <w:pPr>
        <w:tabs>
          <w:tab w:val="left" w:pos="2651"/>
        </w:tabs>
        <w:autoSpaceDE w:val="0"/>
        <w:autoSpaceDN w:val="0"/>
        <w:spacing w:line="276" w:lineRule="auto"/>
        <w:jc w:val="left"/>
        <w:rPr>
          <w:rFonts w:eastAsia="仿宋"/>
          <w:kern w:val="0"/>
          <w:sz w:val="28"/>
          <w:szCs w:val="28"/>
        </w:rPr>
      </w:pPr>
    </w:p>
    <w:p w14:paraId="099CC479">
      <w:pPr>
        <w:autoSpaceDE w:val="0"/>
        <w:autoSpaceDN w:val="0"/>
        <w:spacing w:before="197" w:line="276" w:lineRule="auto"/>
        <w:ind w:right="891"/>
        <w:jc w:val="center"/>
        <w:rPr>
          <w:rFonts w:eastAsia="仿宋"/>
          <w:spacing w:val="13"/>
          <w:kern w:val="0"/>
          <w:sz w:val="28"/>
          <w:szCs w:val="28"/>
        </w:rPr>
      </w:pPr>
    </w:p>
    <w:p w14:paraId="5E2A0490">
      <w:pPr>
        <w:autoSpaceDE w:val="0"/>
        <w:autoSpaceDN w:val="0"/>
        <w:spacing w:before="197" w:line="276" w:lineRule="auto"/>
        <w:ind w:right="891"/>
        <w:rPr>
          <w:rFonts w:eastAsia="仿宋"/>
          <w:spacing w:val="13"/>
          <w:kern w:val="0"/>
          <w:sz w:val="28"/>
          <w:szCs w:val="28"/>
        </w:rPr>
      </w:pPr>
    </w:p>
    <w:p w14:paraId="0CFDF866">
      <w:pPr>
        <w:autoSpaceDE w:val="0"/>
        <w:autoSpaceDN w:val="0"/>
        <w:spacing w:before="197" w:line="276" w:lineRule="auto"/>
        <w:ind w:right="891"/>
        <w:rPr>
          <w:rFonts w:eastAsia="仿宋"/>
          <w:spacing w:val="13"/>
          <w:kern w:val="0"/>
          <w:sz w:val="28"/>
          <w:szCs w:val="28"/>
        </w:rPr>
      </w:pPr>
    </w:p>
    <w:p w14:paraId="062F216C">
      <w:pPr>
        <w:autoSpaceDE w:val="0"/>
        <w:autoSpaceDN w:val="0"/>
        <w:spacing w:before="197" w:line="276" w:lineRule="auto"/>
        <w:ind w:right="891"/>
        <w:rPr>
          <w:rFonts w:eastAsia="仿宋"/>
          <w:spacing w:val="13"/>
          <w:kern w:val="0"/>
          <w:sz w:val="28"/>
          <w:szCs w:val="28"/>
        </w:rPr>
      </w:pPr>
    </w:p>
    <w:p w14:paraId="5921E0D5">
      <w:pPr>
        <w:autoSpaceDE w:val="0"/>
        <w:autoSpaceDN w:val="0"/>
        <w:spacing w:before="197" w:line="276" w:lineRule="auto"/>
        <w:ind w:right="891"/>
        <w:rPr>
          <w:rFonts w:eastAsia="仿宋"/>
          <w:spacing w:val="13"/>
          <w:kern w:val="0"/>
          <w:sz w:val="28"/>
          <w:szCs w:val="28"/>
        </w:rPr>
      </w:pPr>
    </w:p>
    <w:p w14:paraId="03BB38DA">
      <w:pPr>
        <w:pStyle w:val="6"/>
        <w:ind w:firstLine="612"/>
        <w:rPr>
          <w:rFonts w:eastAsia="仿宋"/>
          <w:spacing w:val="13"/>
          <w:kern w:val="0"/>
          <w:sz w:val="28"/>
          <w:szCs w:val="28"/>
        </w:rPr>
      </w:pPr>
    </w:p>
    <w:p w14:paraId="4080C522"/>
    <w:p w14:paraId="27177D33">
      <w:pPr>
        <w:pStyle w:val="11"/>
        <w:ind w:firstLine="560"/>
        <w:rPr>
          <w:rFonts w:ascii="Times New Roman" w:eastAsia="仿宋"/>
        </w:rPr>
      </w:pPr>
    </w:p>
    <w:p w14:paraId="4B2ACAD1">
      <w:pPr>
        <w:pStyle w:val="12"/>
        <w:ind w:firstLine="210"/>
        <w:rPr>
          <w:rFonts w:eastAsia="仿宋"/>
        </w:rPr>
      </w:pPr>
    </w:p>
    <w:p w14:paraId="43B3A418">
      <w:pPr>
        <w:pStyle w:val="13"/>
      </w:pPr>
    </w:p>
    <w:p w14:paraId="5DAB0356">
      <w:pPr>
        <w:pStyle w:val="13"/>
        <w:rPr>
          <w:rFonts w:ascii="Times New Roman" w:hAnsi="Times New Roman"/>
        </w:rPr>
      </w:pPr>
    </w:p>
    <w:p w14:paraId="04ABD330">
      <w:pPr>
        <w:autoSpaceDE w:val="0"/>
        <w:autoSpaceDN w:val="0"/>
        <w:spacing w:before="197" w:line="276" w:lineRule="auto"/>
        <w:ind w:right="891"/>
        <w:jc w:val="center"/>
        <w:rPr>
          <w:rFonts w:eastAsia="仿宋"/>
          <w:spacing w:val="13"/>
          <w:kern w:val="0"/>
          <w:sz w:val="28"/>
          <w:szCs w:val="28"/>
        </w:rPr>
      </w:pPr>
      <w:r>
        <w:rPr>
          <w:rFonts w:eastAsia="仿宋"/>
          <w:spacing w:val="13"/>
          <w:kern w:val="0"/>
          <w:sz w:val="28"/>
          <w:szCs w:val="28"/>
        </w:rPr>
        <w:t>二、技术部分</w:t>
      </w:r>
    </w:p>
    <w:p w14:paraId="4ED17CDA">
      <w:pPr>
        <w:pStyle w:val="2"/>
        <w:rPr>
          <w:rFonts w:eastAsia="仿宋"/>
          <w:sz w:val="28"/>
          <w:szCs w:val="28"/>
        </w:rPr>
      </w:pPr>
    </w:p>
    <w:p w14:paraId="55AF9BAC">
      <w:pPr>
        <w:pStyle w:val="2"/>
        <w:spacing w:line="360" w:lineRule="auto"/>
        <w:rPr>
          <w:rFonts w:eastAsia="仿宋"/>
          <w:sz w:val="24"/>
          <w:szCs w:val="24"/>
        </w:rPr>
      </w:pPr>
      <w:r>
        <w:rPr>
          <w:rFonts w:eastAsia="仿宋"/>
          <w:sz w:val="24"/>
          <w:szCs w:val="24"/>
        </w:rPr>
        <w:t>1、技术响应与偏离表</w:t>
      </w:r>
    </w:p>
    <w:p w14:paraId="4CF40594">
      <w:pPr>
        <w:pStyle w:val="2"/>
        <w:spacing w:line="360" w:lineRule="auto"/>
        <w:rPr>
          <w:rFonts w:eastAsia="仿宋"/>
          <w:sz w:val="24"/>
          <w:szCs w:val="24"/>
        </w:rPr>
      </w:pPr>
      <w:r>
        <w:rPr>
          <w:rFonts w:eastAsia="仿宋"/>
          <w:sz w:val="24"/>
          <w:szCs w:val="24"/>
        </w:rPr>
        <w:t>2、供应商认为有必要提供的声明及其他资料</w:t>
      </w:r>
    </w:p>
    <w:p w14:paraId="4886CE6A">
      <w:pPr>
        <w:autoSpaceDE w:val="0"/>
        <w:autoSpaceDN w:val="0"/>
        <w:spacing w:before="115"/>
        <w:jc w:val="center"/>
        <w:rPr>
          <w:rFonts w:eastAsia="仿宋"/>
          <w:spacing w:val="13"/>
          <w:kern w:val="0"/>
          <w:sz w:val="28"/>
          <w:szCs w:val="28"/>
        </w:rPr>
      </w:pPr>
    </w:p>
    <w:p w14:paraId="76A99591">
      <w:pPr>
        <w:autoSpaceDE w:val="0"/>
        <w:autoSpaceDN w:val="0"/>
        <w:spacing w:before="115"/>
        <w:jc w:val="center"/>
        <w:rPr>
          <w:rFonts w:eastAsia="仿宋"/>
          <w:spacing w:val="13"/>
          <w:kern w:val="0"/>
          <w:sz w:val="28"/>
          <w:szCs w:val="28"/>
        </w:rPr>
      </w:pPr>
    </w:p>
    <w:p w14:paraId="62DBCC71">
      <w:pPr>
        <w:autoSpaceDE w:val="0"/>
        <w:autoSpaceDN w:val="0"/>
        <w:spacing w:before="115"/>
        <w:jc w:val="center"/>
        <w:rPr>
          <w:rFonts w:eastAsia="仿宋"/>
          <w:spacing w:val="13"/>
          <w:kern w:val="0"/>
          <w:sz w:val="28"/>
          <w:szCs w:val="28"/>
        </w:rPr>
      </w:pPr>
    </w:p>
    <w:p w14:paraId="253EF321">
      <w:pPr>
        <w:autoSpaceDE w:val="0"/>
        <w:autoSpaceDN w:val="0"/>
        <w:spacing w:before="115"/>
        <w:jc w:val="center"/>
        <w:rPr>
          <w:rFonts w:eastAsia="仿宋"/>
          <w:spacing w:val="13"/>
          <w:kern w:val="0"/>
          <w:sz w:val="28"/>
          <w:szCs w:val="28"/>
        </w:rPr>
      </w:pPr>
    </w:p>
    <w:p w14:paraId="7B01F7ED">
      <w:pPr>
        <w:autoSpaceDE w:val="0"/>
        <w:autoSpaceDN w:val="0"/>
        <w:spacing w:before="115"/>
        <w:jc w:val="center"/>
        <w:rPr>
          <w:rFonts w:eastAsia="仿宋"/>
          <w:spacing w:val="13"/>
          <w:kern w:val="0"/>
          <w:sz w:val="28"/>
          <w:szCs w:val="28"/>
        </w:rPr>
      </w:pPr>
    </w:p>
    <w:p w14:paraId="15912F1E">
      <w:pPr>
        <w:autoSpaceDE w:val="0"/>
        <w:autoSpaceDN w:val="0"/>
        <w:spacing w:before="115"/>
        <w:jc w:val="center"/>
        <w:rPr>
          <w:rFonts w:eastAsia="仿宋"/>
          <w:spacing w:val="13"/>
          <w:kern w:val="0"/>
          <w:sz w:val="28"/>
          <w:szCs w:val="28"/>
        </w:rPr>
      </w:pPr>
    </w:p>
    <w:p w14:paraId="7DC95AA6">
      <w:pPr>
        <w:autoSpaceDE w:val="0"/>
        <w:autoSpaceDN w:val="0"/>
        <w:spacing w:before="115"/>
        <w:jc w:val="center"/>
        <w:rPr>
          <w:rFonts w:eastAsia="仿宋"/>
          <w:spacing w:val="13"/>
          <w:kern w:val="0"/>
          <w:sz w:val="28"/>
          <w:szCs w:val="28"/>
        </w:rPr>
      </w:pPr>
    </w:p>
    <w:p w14:paraId="30A7A0D2">
      <w:pPr>
        <w:autoSpaceDE w:val="0"/>
        <w:autoSpaceDN w:val="0"/>
        <w:spacing w:before="115"/>
        <w:jc w:val="center"/>
        <w:rPr>
          <w:rFonts w:eastAsia="仿宋"/>
          <w:spacing w:val="13"/>
          <w:kern w:val="0"/>
          <w:sz w:val="28"/>
          <w:szCs w:val="28"/>
        </w:rPr>
      </w:pPr>
    </w:p>
    <w:p w14:paraId="29D15E59">
      <w:pPr>
        <w:autoSpaceDE w:val="0"/>
        <w:autoSpaceDN w:val="0"/>
        <w:spacing w:before="115"/>
        <w:jc w:val="center"/>
        <w:rPr>
          <w:rFonts w:eastAsia="仿宋"/>
          <w:spacing w:val="13"/>
          <w:kern w:val="0"/>
          <w:sz w:val="28"/>
          <w:szCs w:val="28"/>
        </w:rPr>
      </w:pPr>
    </w:p>
    <w:p w14:paraId="601D4FCD">
      <w:pPr>
        <w:autoSpaceDE w:val="0"/>
        <w:autoSpaceDN w:val="0"/>
        <w:spacing w:before="115"/>
        <w:jc w:val="center"/>
        <w:rPr>
          <w:rFonts w:eastAsia="仿宋"/>
          <w:spacing w:val="13"/>
          <w:kern w:val="0"/>
          <w:sz w:val="28"/>
          <w:szCs w:val="28"/>
        </w:rPr>
      </w:pPr>
    </w:p>
    <w:p w14:paraId="5F8B52A6">
      <w:pPr>
        <w:autoSpaceDE w:val="0"/>
        <w:autoSpaceDN w:val="0"/>
        <w:spacing w:before="115"/>
        <w:jc w:val="center"/>
        <w:rPr>
          <w:rFonts w:eastAsia="仿宋"/>
          <w:spacing w:val="13"/>
          <w:kern w:val="0"/>
          <w:sz w:val="28"/>
          <w:szCs w:val="28"/>
        </w:rPr>
      </w:pPr>
    </w:p>
    <w:p w14:paraId="7EEE88B6">
      <w:pPr>
        <w:autoSpaceDE w:val="0"/>
        <w:autoSpaceDN w:val="0"/>
        <w:spacing w:before="115"/>
        <w:jc w:val="center"/>
        <w:rPr>
          <w:rFonts w:eastAsia="仿宋"/>
          <w:spacing w:val="13"/>
          <w:kern w:val="0"/>
          <w:sz w:val="28"/>
          <w:szCs w:val="28"/>
        </w:rPr>
      </w:pPr>
    </w:p>
    <w:p w14:paraId="1FFFA93A">
      <w:pPr>
        <w:autoSpaceDE w:val="0"/>
        <w:autoSpaceDN w:val="0"/>
        <w:spacing w:before="115"/>
        <w:jc w:val="center"/>
        <w:rPr>
          <w:rFonts w:eastAsia="仿宋"/>
          <w:spacing w:val="13"/>
          <w:kern w:val="0"/>
          <w:sz w:val="28"/>
          <w:szCs w:val="28"/>
        </w:rPr>
      </w:pPr>
    </w:p>
    <w:p w14:paraId="2E0BDA55">
      <w:pPr>
        <w:autoSpaceDE w:val="0"/>
        <w:autoSpaceDN w:val="0"/>
        <w:spacing w:before="115"/>
        <w:jc w:val="center"/>
        <w:rPr>
          <w:rFonts w:eastAsia="仿宋"/>
          <w:spacing w:val="13"/>
          <w:kern w:val="0"/>
          <w:sz w:val="28"/>
          <w:szCs w:val="28"/>
        </w:rPr>
      </w:pPr>
    </w:p>
    <w:p w14:paraId="17C3B491">
      <w:pPr>
        <w:autoSpaceDE w:val="0"/>
        <w:autoSpaceDN w:val="0"/>
        <w:spacing w:before="115"/>
        <w:jc w:val="center"/>
        <w:rPr>
          <w:rFonts w:eastAsia="仿宋"/>
          <w:spacing w:val="13"/>
          <w:kern w:val="0"/>
          <w:sz w:val="28"/>
          <w:szCs w:val="28"/>
        </w:rPr>
      </w:pPr>
    </w:p>
    <w:p w14:paraId="369FB085">
      <w:pPr>
        <w:pStyle w:val="12"/>
        <w:ind w:firstLine="306"/>
        <w:jc w:val="right"/>
        <w:rPr>
          <w:rFonts w:eastAsia="仿宋"/>
          <w:spacing w:val="13"/>
          <w:kern w:val="0"/>
          <w:sz w:val="28"/>
          <w:szCs w:val="28"/>
        </w:rPr>
      </w:pPr>
    </w:p>
    <w:p w14:paraId="2743B0F7">
      <w:pPr>
        <w:autoSpaceDE w:val="0"/>
        <w:autoSpaceDN w:val="0"/>
        <w:spacing w:before="115"/>
        <w:jc w:val="center"/>
        <w:rPr>
          <w:rFonts w:eastAsia="仿宋"/>
          <w:spacing w:val="13"/>
          <w:kern w:val="0"/>
          <w:sz w:val="28"/>
          <w:szCs w:val="28"/>
        </w:rPr>
      </w:pPr>
    </w:p>
    <w:p w14:paraId="6AE8B49E">
      <w:pPr>
        <w:autoSpaceDE w:val="0"/>
        <w:autoSpaceDN w:val="0"/>
        <w:spacing w:before="115"/>
        <w:jc w:val="center"/>
        <w:rPr>
          <w:rFonts w:eastAsia="仿宋"/>
          <w:spacing w:val="13"/>
          <w:kern w:val="0"/>
          <w:sz w:val="28"/>
          <w:szCs w:val="28"/>
        </w:rPr>
      </w:pPr>
    </w:p>
    <w:p w14:paraId="7C65F6C6">
      <w:pPr>
        <w:autoSpaceDE w:val="0"/>
        <w:autoSpaceDN w:val="0"/>
        <w:spacing w:before="115"/>
        <w:jc w:val="center"/>
        <w:rPr>
          <w:rFonts w:eastAsia="仿宋"/>
          <w:spacing w:val="13"/>
          <w:kern w:val="0"/>
          <w:sz w:val="28"/>
          <w:szCs w:val="28"/>
        </w:rPr>
      </w:pPr>
    </w:p>
    <w:p w14:paraId="6EB900FD">
      <w:pPr>
        <w:rPr>
          <w:rFonts w:eastAsia="仿宋"/>
          <w:spacing w:val="13"/>
          <w:kern w:val="0"/>
          <w:sz w:val="28"/>
          <w:szCs w:val="28"/>
        </w:rPr>
      </w:pPr>
      <w:r>
        <w:rPr>
          <w:rFonts w:eastAsia="仿宋"/>
          <w:spacing w:val="13"/>
          <w:kern w:val="0"/>
          <w:sz w:val="28"/>
          <w:szCs w:val="28"/>
        </w:rPr>
        <w:br w:type="page"/>
      </w:r>
    </w:p>
    <w:p w14:paraId="4A67DBE0">
      <w:pPr>
        <w:autoSpaceDE w:val="0"/>
        <w:autoSpaceDN w:val="0"/>
        <w:spacing w:before="115"/>
        <w:jc w:val="center"/>
        <w:outlineLvl w:val="1"/>
        <w:rPr>
          <w:rFonts w:eastAsia="仿宋"/>
          <w:kern w:val="0"/>
          <w:sz w:val="28"/>
          <w:szCs w:val="28"/>
        </w:rPr>
      </w:pPr>
      <w:r>
        <w:rPr>
          <w:rFonts w:eastAsia="仿宋"/>
          <w:spacing w:val="13"/>
          <w:kern w:val="0"/>
          <w:sz w:val="28"/>
          <w:szCs w:val="28"/>
        </w:rPr>
        <w:t>一、商务部分</w:t>
      </w:r>
    </w:p>
    <w:p w14:paraId="0D6B04DB">
      <w:pPr>
        <w:autoSpaceDE w:val="0"/>
        <w:autoSpaceDN w:val="0"/>
        <w:spacing w:before="81"/>
        <w:jc w:val="left"/>
        <w:rPr>
          <w:rFonts w:eastAsia="仿宋"/>
          <w:kern w:val="0"/>
          <w:sz w:val="24"/>
          <w:szCs w:val="24"/>
        </w:rPr>
      </w:pPr>
      <w:r>
        <w:rPr>
          <w:rFonts w:eastAsia="仿宋"/>
          <w:kern w:val="0"/>
          <w:sz w:val="24"/>
          <w:szCs w:val="24"/>
        </w:rPr>
        <w:t>1、磋商响应声明</w:t>
      </w:r>
    </w:p>
    <w:p w14:paraId="5DA60F49">
      <w:pPr>
        <w:autoSpaceDE w:val="0"/>
        <w:autoSpaceDN w:val="0"/>
        <w:spacing w:before="12"/>
        <w:jc w:val="left"/>
        <w:rPr>
          <w:rFonts w:eastAsia="仿宋"/>
          <w:kern w:val="0"/>
          <w:sz w:val="24"/>
          <w:szCs w:val="24"/>
        </w:rPr>
      </w:pPr>
    </w:p>
    <w:p w14:paraId="46A55988">
      <w:pPr>
        <w:autoSpaceDE w:val="0"/>
        <w:autoSpaceDN w:val="0"/>
        <w:spacing w:before="67"/>
        <w:ind w:right="891"/>
        <w:jc w:val="center"/>
        <w:rPr>
          <w:rFonts w:eastAsia="仿宋"/>
          <w:b/>
          <w:bCs/>
          <w:w w:val="95"/>
          <w:kern w:val="0"/>
          <w:sz w:val="24"/>
          <w:szCs w:val="24"/>
        </w:rPr>
      </w:pPr>
      <w:r>
        <w:rPr>
          <w:rFonts w:eastAsia="仿宋"/>
          <w:b/>
          <w:bCs/>
          <w:w w:val="95"/>
          <w:kern w:val="0"/>
          <w:sz w:val="24"/>
          <w:szCs w:val="24"/>
        </w:rPr>
        <w:t>磋商响应声明</w:t>
      </w:r>
    </w:p>
    <w:p w14:paraId="50689377">
      <w:pPr>
        <w:pStyle w:val="2"/>
      </w:pPr>
    </w:p>
    <w:p w14:paraId="56EE2CFF">
      <w:pPr>
        <w:tabs>
          <w:tab w:val="left" w:pos="2193"/>
        </w:tabs>
        <w:autoSpaceDE w:val="0"/>
        <w:autoSpaceDN w:val="0"/>
        <w:snapToGrid w:val="0"/>
        <w:spacing w:before="199" w:line="360" w:lineRule="auto"/>
        <w:jc w:val="left"/>
        <w:rPr>
          <w:rFonts w:eastAsia="仿宋"/>
          <w:kern w:val="0"/>
          <w:sz w:val="24"/>
          <w:szCs w:val="24"/>
        </w:rPr>
      </w:pPr>
      <w:r>
        <w:rPr>
          <w:rFonts w:eastAsia="仿宋"/>
          <w:kern w:val="0"/>
          <w:sz w:val="24"/>
          <w:szCs w:val="24"/>
        </w:rPr>
        <w:t>致</w:t>
      </w:r>
      <w:r>
        <w:rPr>
          <w:rFonts w:eastAsia="仿宋"/>
          <w:kern w:val="0"/>
          <w:sz w:val="24"/>
          <w:szCs w:val="24"/>
          <w:u w:val="single"/>
        </w:rPr>
        <w:tab/>
      </w:r>
      <w:r>
        <w:rPr>
          <w:rFonts w:eastAsia="仿宋"/>
          <w:kern w:val="0"/>
          <w:sz w:val="24"/>
          <w:szCs w:val="24"/>
        </w:rPr>
        <w:t>(采购人或采购代理机构)：</w:t>
      </w:r>
    </w:p>
    <w:p w14:paraId="0A411AA4">
      <w:pPr>
        <w:tabs>
          <w:tab w:val="left" w:pos="4353"/>
          <w:tab w:val="left" w:pos="10203"/>
        </w:tabs>
        <w:autoSpaceDE w:val="0"/>
        <w:autoSpaceDN w:val="0"/>
        <w:snapToGrid w:val="0"/>
        <w:spacing w:before="182" w:line="360" w:lineRule="auto"/>
        <w:ind w:right="380" w:firstLine="480" w:firstLineChars="200"/>
        <w:jc w:val="left"/>
        <w:rPr>
          <w:rFonts w:eastAsia="仿宋"/>
          <w:kern w:val="0"/>
          <w:sz w:val="24"/>
          <w:szCs w:val="24"/>
        </w:rPr>
      </w:pPr>
      <w:r>
        <w:rPr>
          <w:rFonts w:eastAsia="仿宋"/>
          <w:kern w:val="0"/>
          <w:sz w:val="24"/>
          <w:szCs w:val="24"/>
        </w:rPr>
        <w:t>我方已仔细研究了</w:t>
      </w:r>
      <w:r>
        <w:rPr>
          <w:rFonts w:eastAsia="仿宋"/>
          <w:kern w:val="0"/>
          <w:sz w:val="24"/>
          <w:szCs w:val="24"/>
          <w:u w:val="single"/>
        </w:rPr>
        <w:tab/>
      </w:r>
      <w:r>
        <w:rPr>
          <w:rFonts w:eastAsia="仿宋"/>
          <w:kern w:val="0"/>
          <w:sz w:val="24"/>
          <w:szCs w:val="24"/>
        </w:rPr>
        <w:t>(项目名称)的竞争性采购文件(项目编号：</w:t>
      </w:r>
      <w:r>
        <w:rPr>
          <w:rFonts w:eastAsia="仿宋"/>
          <w:spacing w:val="-1"/>
          <w:kern w:val="0"/>
          <w:sz w:val="24"/>
          <w:szCs w:val="24"/>
        </w:rPr>
        <w:t>)</w:t>
      </w:r>
      <w:r>
        <w:rPr>
          <w:rFonts w:eastAsia="仿宋"/>
          <w:spacing w:val="-117"/>
          <w:kern w:val="0"/>
          <w:sz w:val="24"/>
          <w:szCs w:val="24"/>
        </w:rPr>
        <w:t xml:space="preserve"> </w:t>
      </w:r>
      <w:r>
        <w:rPr>
          <w:rFonts w:eastAsia="仿宋"/>
          <w:spacing w:val="-1"/>
          <w:kern w:val="0"/>
          <w:sz w:val="24"/>
          <w:szCs w:val="24"/>
        </w:rPr>
        <w:t>的全部内容，知悉参加竞争性磋商的风险，我方承诺接受采购文件的</w:t>
      </w:r>
      <w:r>
        <w:rPr>
          <w:rFonts w:eastAsia="仿宋"/>
          <w:kern w:val="0"/>
          <w:sz w:val="24"/>
          <w:szCs w:val="24"/>
        </w:rPr>
        <w:t>全部条款且无任何异议。</w:t>
      </w:r>
    </w:p>
    <w:p w14:paraId="7EA7BD8C">
      <w:pPr>
        <w:autoSpaceDE w:val="0"/>
        <w:autoSpaceDN w:val="0"/>
        <w:snapToGrid w:val="0"/>
        <w:spacing w:before="1" w:line="360" w:lineRule="auto"/>
        <w:ind w:right="499"/>
        <w:jc w:val="left"/>
        <w:rPr>
          <w:rFonts w:eastAsia="仿宋"/>
          <w:kern w:val="0"/>
          <w:sz w:val="24"/>
          <w:szCs w:val="24"/>
        </w:rPr>
      </w:pPr>
      <w:r>
        <w:rPr>
          <w:rFonts w:eastAsia="仿宋"/>
          <w:kern w:val="0"/>
          <w:sz w:val="24"/>
          <w:szCs w:val="24"/>
        </w:rPr>
        <w:t>一、我方同意在磋商响应有效期内遵守本响应文件中的承诺，且在此期限期满之前均具有法律约束力。</w:t>
      </w:r>
    </w:p>
    <w:p w14:paraId="041F9801">
      <w:pPr>
        <w:tabs>
          <w:tab w:val="left" w:pos="5112"/>
          <w:tab w:val="left" w:pos="6806"/>
          <w:tab w:val="left" w:pos="9238"/>
        </w:tabs>
        <w:autoSpaceDE w:val="0"/>
        <w:autoSpaceDN w:val="0"/>
        <w:snapToGrid w:val="0"/>
        <w:spacing w:before="3" w:line="360" w:lineRule="auto"/>
        <w:jc w:val="left"/>
        <w:rPr>
          <w:rFonts w:eastAsia="仿宋"/>
          <w:kern w:val="0"/>
          <w:sz w:val="24"/>
          <w:szCs w:val="24"/>
        </w:rPr>
      </w:pPr>
      <w:r>
        <w:rPr>
          <w:rFonts w:eastAsia="仿宋"/>
          <w:kern w:val="0"/>
          <w:sz w:val="24"/>
          <w:szCs w:val="24"/>
        </w:rPr>
        <w:t>二、我方提交纸质响应文件正本</w:t>
      </w:r>
      <w:r>
        <w:rPr>
          <w:rFonts w:eastAsia="仿宋"/>
          <w:kern w:val="0"/>
          <w:sz w:val="24"/>
          <w:szCs w:val="24"/>
          <w:u w:val="single"/>
        </w:rPr>
        <w:t>/</w:t>
      </w:r>
      <w:r>
        <w:rPr>
          <w:rFonts w:eastAsia="仿宋"/>
          <w:kern w:val="0"/>
          <w:sz w:val="24"/>
          <w:szCs w:val="24"/>
        </w:rPr>
        <w:t>份和副本</w:t>
      </w:r>
      <w:r>
        <w:rPr>
          <w:rFonts w:eastAsia="仿宋"/>
          <w:kern w:val="0"/>
          <w:sz w:val="24"/>
          <w:szCs w:val="24"/>
          <w:u w:val="single"/>
        </w:rPr>
        <w:t>/</w:t>
      </w:r>
      <w:r>
        <w:rPr>
          <w:rFonts w:eastAsia="仿宋"/>
          <w:kern w:val="0"/>
          <w:sz w:val="24"/>
          <w:szCs w:val="24"/>
        </w:rPr>
        <w:t>份，电子响应文件</w:t>
      </w:r>
      <w:r>
        <w:rPr>
          <w:rFonts w:eastAsia="仿宋"/>
          <w:kern w:val="0"/>
          <w:sz w:val="24"/>
          <w:szCs w:val="24"/>
          <w:u w:val="single"/>
        </w:rPr>
        <w:tab/>
      </w:r>
      <w:r>
        <w:rPr>
          <w:rFonts w:eastAsia="仿宋"/>
          <w:kern w:val="0"/>
          <w:sz w:val="24"/>
          <w:szCs w:val="24"/>
        </w:rPr>
        <w:t>套，并保证响应文件提供的数据和材料是真实、准确的。否则，愿承担《政府采购法》第七十七条规定的法律责任。</w:t>
      </w:r>
    </w:p>
    <w:p w14:paraId="4B170075">
      <w:pPr>
        <w:autoSpaceDE w:val="0"/>
        <w:autoSpaceDN w:val="0"/>
        <w:snapToGrid w:val="0"/>
        <w:spacing w:before="2" w:line="360" w:lineRule="auto"/>
        <w:ind w:right="499"/>
        <w:jc w:val="left"/>
        <w:rPr>
          <w:rFonts w:eastAsia="仿宋"/>
          <w:kern w:val="0"/>
          <w:sz w:val="24"/>
          <w:szCs w:val="24"/>
        </w:rPr>
      </w:pPr>
      <w:r>
        <w:rPr>
          <w:rFonts w:eastAsia="仿宋"/>
          <w:kern w:val="0"/>
          <w:sz w:val="24"/>
          <w:szCs w:val="24"/>
        </w:rPr>
        <w:t>三、我方愿意向贵方提供任何与本项采购有关的数据、情况和技术资料。若贵方需要，</w:t>
      </w:r>
      <w:r>
        <w:rPr>
          <w:rFonts w:eastAsia="仿宋"/>
          <w:spacing w:val="-117"/>
          <w:kern w:val="0"/>
          <w:sz w:val="24"/>
          <w:szCs w:val="24"/>
        </w:rPr>
        <w:t xml:space="preserve"> </w:t>
      </w:r>
      <w:r>
        <w:rPr>
          <w:rFonts w:eastAsia="仿宋"/>
          <w:kern w:val="0"/>
          <w:sz w:val="24"/>
          <w:szCs w:val="24"/>
        </w:rPr>
        <w:t>我方愿意提供我方作出的一切承诺的证明材料。</w:t>
      </w:r>
    </w:p>
    <w:p w14:paraId="4C7954C8">
      <w:pPr>
        <w:autoSpaceDE w:val="0"/>
        <w:autoSpaceDN w:val="0"/>
        <w:snapToGrid w:val="0"/>
        <w:spacing w:before="2" w:line="360" w:lineRule="auto"/>
        <w:jc w:val="left"/>
        <w:rPr>
          <w:rFonts w:eastAsia="仿宋"/>
          <w:kern w:val="0"/>
          <w:sz w:val="24"/>
          <w:szCs w:val="24"/>
        </w:rPr>
      </w:pPr>
      <w:r>
        <w:rPr>
          <w:rFonts w:eastAsia="仿宋"/>
          <w:kern w:val="0"/>
          <w:sz w:val="24"/>
          <w:szCs w:val="24"/>
        </w:rPr>
        <w:t>四、我方愿意按采购文件规定和磋商小组要求重新提交响应文件和最后报价。</w:t>
      </w:r>
    </w:p>
    <w:p w14:paraId="65B6530C">
      <w:pPr>
        <w:autoSpaceDE w:val="0"/>
        <w:autoSpaceDN w:val="0"/>
        <w:snapToGrid w:val="0"/>
        <w:spacing w:line="360" w:lineRule="auto"/>
        <w:ind w:right="499"/>
        <w:jc w:val="left"/>
        <w:rPr>
          <w:rFonts w:eastAsia="仿宋"/>
          <w:kern w:val="0"/>
          <w:sz w:val="24"/>
          <w:szCs w:val="24"/>
        </w:rPr>
      </w:pPr>
      <w:r>
        <w:rPr>
          <w:rFonts w:eastAsia="仿宋"/>
          <w:kern w:val="0"/>
          <w:sz w:val="24"/>
          <w:szCs w:val="24"/>
        </w:rPr>
        <w:t>五、我方承诺遵守《政府采购法》的有关规定，保证在获得成交资格后，按照采购文件确定的事项签订政府采购合同，履行双方所签订的合同，并承担合同规定的责任和义务。</w:t>
      </w:r>
    </w:p>
    <w:p w14:paraId="1E9CDDC3">
      <w:pPr>
        <w:tabs>
          <w:tab w:val="left" w:pos="4648"/>
        </w:tabs>
        <w:autoSpaceDE w:val="0"/>
        <w:autoSpaceDN w:val="0"/>
        <w:snapToGrid w:val="0"/>
        <w:spacing w:line="360" w:lineRule="auto"/>
        <w:ind w:right="5810"/>
        <w:jc w:val="left"/>
        <w:rPr>
          <w:rFonts w:eastAsia="仿宋"/>
          <w:spacing w:val="-117"/>
          <w:kern w:val="0"/>
          <w:sz w:val="24"/>
          <w:szCs w:val="24"/>
        </w:rPr>
      </w:pPr>
    </w:p>
    <w:p w14:paraId="02F4329F">
      <w:pPr>
        <w:tabs>
          <w:tab w:val="left" w:pos="4648"/>
        </w:tabs>
        <w:autoSpaceDE w:val="0"/>
        <w:autoSpaceDN w:val="0"/>
        <w:snapToGrid w:val="0"/>
        <w:spacing w:line="360" w:lineRule="auto"/>
        <w:ind w:right="5810"/>
        <w:jc w:val="left"/>
        <w:rPr>
          <w:rFonts w:eastAsia="仿宋"/>
          <w:spacing w:val="-117"/>
          <w:kern w:val="0"/>
          <w:sz w:val="24"/>
          <w:szCs w:val="24"/>
        </w:rPr>
      </w:pPr>
    </w:p>
    <w:p w14:paraId="6D46BAC0">
      <w:pPr>
        <w:tabs>
          <w:tab w:val="left" w:pos="4648"/>
        </w:tabs>
        <w:autoSpaceDE w:val="0"/>
        <w:autoSpaceDN w:val="0"/>
        <w:snapToGrid w:val="0"/>
        <w:spacing w:line="360" w:lineRule="auto"/>
        <w:ind w:right="5810"/>
        <w:jc w:val="left"/>
        <w:rPr>
          <w:rFonts w:eastAsia="仿宋"/>
          <w:spacing w:val="-117"/>
          <w:kern w:val="0"/>
          <w:sz w:val="24"/>
          <w:szCs w:val="24"/>
        </w:rPr>
      </w:pPr>
    </w:p>
    <w:p w14:paraId="4D775269">
      <w:pPr>
        <w:autoSpaceDE w:val="0"/>
        <w:autoSpaceDN w:val="0"/>
        <w:snapToGrid w:val="0"/>
        <w:spacing w:line="360" w:lineRule="auto"/>
        <w:ind w:right="499"/>
        <w:jc w:val="left"/>
        <w:rPr>
          <w:rFonts w:eastAsia="仿宋"/>
          <w:kern w:val="0"/>
          <w:sz w:val="24"/>
          <w:szCs w:val="24"/>
        </w:rPr>
      </w:pPr>
      <w:r>
        <w:rPr>
          <w:rFonts w:eastAsia="仿宋"/>
          <w:kern w:val="0"/>
          <w:sz w:val="24"/>
          <w:szCs w:val="24"/>
        </w:rPr>
        <w:t xml:space="preserve">供应商名称(公章)： </w:t>
      </w:r>
      <w:r>
        <w:rPr>
          <w:rFonts w:eastAsia="仿宋"/>
          <w:kern w:val="0"/>
          <w:sz w:val="24"/>
          <w:szCs w:val="24"/>
        </w:rPr>
        <w:tab/>
      </w:r>
    </w:p>
    <w:p w14:paraId="75A15DE2">
      <w:pPr>
        <w:autoSpaceDE w:val="0"/>
        <w:autoSpaceDN w:val="0"/>
        <w:snapToGrid w:val="0"/>
        <w:spacing w:line="360" w:lineRule="auto"/>
        <w:ind w:right="499"/>
        <w:jc w:val="left"/>
        <w:rPr>
          <w:rFonts w:eastAsia="仿宋"/>
          <w:kern w:val="0"/>
          <w:sz w:val="24"/>
          <w:szCs w:val="24"/>
        </w:rPr>
      </w:pPr>
      <w:r>
        <w:rPr>
          <w:rFonts w:eastAsia="仿宋"/>
          <w:kern w:val="0"/>
          <w:sz w:val="24"/>
          <w:szCs w:val="24"/>
        </w:rPr>
        <w:t xml:space="preserve">法定代表人或授权代表(签字或盖章)： </w:t>
      </w:r>
      <w:r>
        <w:rPr>
          <w:rFonts w:eastAsia="仿宋"/>
          <w:kern w:val="0"/>
          <w:sz w:val="24"/>
          <w:szCs w:val="24"/>
        </w:rPr>
        <w:tab/>
      </w:r>
    </w:p>
    <w:p w14:paraId="4A9B9BD7">
      <w:pPr>
        <w:autoSpaceDE w:val="0"/>
        <w:autoSpaceDN w:val="0"/>
        <w:snapToGrid w:val="0"/>
        <w:spacing w:line="360" w:lineRule="auto"/>
        <w:ind w:right="499"/>
        <w:jc w:val="left"/>
        <w:rPr>
          <w:rFonts w:eastAsia="仿宋"/>
          <w:kern w:val="0"/>
          <w:sz w:val="24"/>
          <w:szCs w:val="24"/>
        </w:rPr>
      </w:pPr>
      <w:r>
        <w:rPr>
          <w:rFonts w:eastAsia="仿宋"/>
          <w:kern w:val="0"/>
          <w:sz w:val="24"/>
          <w:szCs w:val="24"/>
        </w:rPr>
        <w:t>日期：</w:t>
      </w:r>
      <w:r>
        <w:rPr>
          <w:rFonts w:eastAsia="仿宋"/>
          <w:kern w:val="0"/>
          <w:sz w:val="24"/>
          <w:szCs w:val="24"/>
        </w:rPr>
        <w:tab/>
      </w:r>
      <w:r>
        <w:rPr>
          <w:rFonts w:eastAsia="仿宋"/>
          <w:kern w:val="0"/>
          <w:sz w:val="24"/>
          <w:szCs w:val="24"/>
        </w:rPr>
        <w:t>年</w:t>
      </w:r>
      <w:r>
        <w:rPr>
          <w:rFonts w:eastAsia="仿宋"/>
          <w:kern w:val="0"/>
          <w:sz w:val="24"/>
          <w:szCs w:val="24"/>
        </w:rPr>
        <w:tab/>
      </w:r>
      <w:r>
        <w:rPr>
          <w:rFonts w:eastAsia="仿宋"/>
          <w:kern w:val="0"/>
          <w:sz w:val="24"/>
          <w:szCs w:val="24"/>
        </w:rPr>
        <w:t>月</w:t>
      </w:r>
      <w:r>
        <w:rPr>
          <w:rFonts w:eastAsia="仿宋"/>
          <w:kern w:val="0"/>
          <w:sz w:val="24"/>
          <w:szCs w:val="24"/>
        </w:rPr>
        <w:tab/>
      </w:r>
      <w:r>
        <w:rPr>
          <w:rFonts w:eastAsia="仿宋"/>
          <w:kern w:val="0"/>
          <w:sz w:val="24"/>
          <w:szCs w:val="24"/>
        </w:rPr>
        <w:t>日</w:t>
      </w:r>
    </w:p>
    <w:p w14:paraId="4EB660F2">
      <w:pPr>
        <w:autoSpaceDE w:val="0"/>
        <w:autoSpaceDN w:val="0"/>
        <w:jc w:val="left"/>
        <w:rPr>
          <w:rFonts w:eastAsia="仿宋"/>
          <w:kern w:val="0"/>
          <w:sz w:val="24"/>
          <w:szCs w:val="24"/>
        </w:rPr>
        <w:sectPr>
          <w:headerReference r:id="rId8" w:type="default"/>
          <w:footerReference r:id="rId9" w:type="default"/>
          <w:pgSz w:w="11911" w:h="16838"/>
          <w:pgMar w:top="1440" w:right="1140" w:bottom="1440" w:left="1140" w:header="850" w:footer="1088" w:gutter="0"/>
          <w:cols w:space="0" w:num="1"/>
        </w:sectPr>
      </w:pPr>
    </w:p>
    <w:p w14:paraId="45B1F596">
      <w:pPr>
        <w:tabs>
          <w:tab w:val="left" w:pos="2733"/>
        </w:tabs>
        <w:autoSpaceDE w:val="0"/>
        <w:autoSpaceDN w:val="0"/>
        <w:spacing w:before="100"/>
        <w:rPr>
          <w:rFonts w:eastAsia="仿宋"/>
          <w:kern w:val="0"/>
          <w:sz w:val="24"/>
          <w:szCs w:val="24"/>
        </w:rPr>
      </w:pPr>
      <w:r>
        <w:rPr>
          <w:rFonts w:eastAsia="仿宋"/>
          <w:kern w:val="0"/>
          <w:sz w:val="24"/>
          <w:szCs w:val="24"/>
        </w:rPr>
        <w:t>附件</w:t>
      </w:r>
      <w:r>
        <w:rPr>
          <w:rFonts w:eastAsia="仿宋"/>
          <w:spacing w:val="-60"/>
          <w:kern w:val="0"/>
          <w:sz w:val="24"/>
          <w:szCs w:val="24"/>
        </w:rPr>
        <w:t xml:space="preserve"> </w:t>
      </w:r>
      <w:r>
        <w:rPr>
          <w:rFonts w:eastAsia="仿宋"/>
          <w:kern w:val="0"/>
          <w:sz w:val="24"/>
          <w:szCs w:val="24"/>
        </w:rPr>
        <w:t>1－1 法定代表人身份证明(法定代表人参加磋商)</w:t>
      </w:r>
    </w:p>
    <w:p w14:paraId="572754E1">
      <w:pPr>
        <w:autoSpaceDE w:val="0"/>
        <w:autoSpaceDN w:val="0"/>
        <w:adjustRightInd w:val="0"/>
        <w:spacing w:line="360" w:lineRule="auto"/>
        <w:jc w:val="center"/>
        <w:rPr>
          <w:rFonts w:eastAsia="仿宋"/>
          <w:b/>
          <w:kern w:val="0"/>
          <w:sz w:val="24"/>
          <w:szCs w:val="24"/>
        </w:rPr>
      </w:pPr>
    </w:p>
    <w:p w14:paraId="1AF03054">
      <w:pPr>
        <w:autoSpaceDE w:val="0"/>
        <w:autoSpaceDN w:val="0"/>
        <w:adjustRightInd w:val="0"/>
        <w:spacing w:line="360" w:lineRule="auto"/>
        <w:jc w:val="center"/>
        <w:rPr>
          <w:rFonts w:eastAsia="仿宋"/>
          <w:b/>
          <w:bCs/>
          <w:kern w:val="0"/>
          <w:sz w:val="24"/>
          <w:szCs w:val="24"/>
        </w:rPr>
      </w:pPr>
      <w:r>
        <w:rPr>
          <w:rFonts w:eastAsia="仿宋"/>
          <w:b/>
          <w:bCs/>
          <w:kern w:val="0"/>
          <w:sz w:val="24"/>
          <w:szCs w:val="24"/>
        </w:rPr>
        <w:t>1、法定代表人身份证明</w:t>
      </w:r>
    </w:p>
    <w:p w14:paraId="0B7AD246">
      <w:pPr>
        <w:autoSpaceDE w:val="0"/>
        <w:autoSpaceDN w:val="0"/>
        <w:adjustRightInd w:val="0"/>
        <w:snapToGrid w:val="0"/>
        <w:spacing w:line="360" w:lineRule="auto"/>
        <w:ind w:firstLine="360" w:firstLineChars="150"/>
        <w:rPr>
          <w:rFonts w:eastAsia="仿宋"/>
          <w:kern w:val="0"/>
          <w:sz w:val="24"/>
          <w:szCs w:val="24"/>
          <w:u w:val="single"/>
        </w:rPr>
      </w:pPr>
      <w:r>
        <w:rPr>
          <w:rFonts w:eastAsia="仿宋"/>
          <w:kern w:val="0"/>
          <w:sz w:val="24"/>
          <w:szCs w:val="24"/>
        </w:rPr>
        <w:t>采购人：</w:t>
      </w:r>
      <w:r>
        <w:rPr>
          <w:rFonts w:eastAsia="仿宋"/>
          <w:kern w:val="0"/>
          <w:sz w:val="24"/>
          <w:szCs w:val="24"/>
          <w:u w:val="single"/>
        </w:rPr>
        <w:t xml:space="preserve">                                            </w:t>
      </w:r>
    </w:p>
    <w:p w14:paraId="01E16D0C">
      <w:pPr>
        <w:autoSpaceDE w:val="0"/>
        <w:autoSpaceDN w:val="0"/>
        <w:adjustRightInd w:val="0"/>
        <w:snapToGrid w:val="0"/>
        <w:spacing w:line="360" w:lineRule="auto"/>
        <w:ind w:firstLine="360" w:firstLineChars="150"/>
        <w:jc w:val="left"/>
        <w:rPr>
          <w:rFonts w:eastAsia="仿宋"/>
          <w:kern w:val="0"/>
          <w:sz w:val="24"/>
          <w:szCs w:val="24"/>
        </w:rPr>
      </w:pPr>
      <w:r>
        <w:rPr>
          <w:rFonts w:eastAsia="仿宋"/>
          <w:kern w:val="0"/>
          <w:sz w:val="24"/>
          <w:szCs w:val="24"/>
        </w:rPr>
        <w:t>兹证明</w:t>
      </w:r>
      <w:r>
        <w:rPr>
          <w:rFonts w:eastAsia="仿宋"/>
          <w:kern w:val="0"/>
          <w:sz w:val="24"/>
          <w:szCs w:val="24"/>
          <w:u w:val="single"/>
        </w:rPr>
        <w:t xml:space="preserve">         </w:t>
      </w:r>
      <w:r>
        <w:rPr>
          <w:rFonts w:eastAsia="仿宋"/>
          <w:kern w:val="0"/>
          <w:sz w:val="24"/>
          <w:szCs w:val="24"/>
        </w:rPr>
        <w:t>同志在我单位任</w:t>
      </w:r>
      <w:r>
        <w:rPr>
          <w:rFonts w:eastAsia="仿宋"/>
          <w:kern w:val="0"/>
          <w:sz w:val="24"/>
          <w:szCs w:val="24"/>
          <w:u w:val="single"/>
        </w:rPr>
        <w:t>（职务）</w:t>
      </w:r>
      <w:r>
        <w:rPr>
          <w:rFonts w:eastAsia="仿宋"/>
          <w:kern w:val="0"/>
          <w:sz w:val="24"/>
          <w:szCs w:val="24"/>
        </w:rPr>
        <w:t>，是我单位的法定代表人。</w:t>
      </w:r>
    </w:p>
    <w:p w14:paraId="40211FE1">
      <w:pPr>
        <w:autoSpaceDE w:val="0"/>
        <w:autoSpaceDN w:val="0"/>
        <w:adjustRightInd w:val="0"/>
        <w:snapToGrid w:val="0"/>
        <w:spacing w:line="360" w:lineRule="auto"/>
        <w:ind w:firstLine="360" w:firstLineChars="150"/>
        <w:jc w:val="left"/>
        <w:rPr>
          <w:rFonts w:eastAsia="仿宋"/>
          <w:kern w:val="0"/>
          <w:sz w:val="24"/>
          <w:szCs w:val="24"/>
        </w:rPr>
      </w:pPr>
      <w:r>
        <w:rPr>
          <w:rFonts w:eastAsia="仿宋"/>
          <w:kern w:val="0"/>
          <w:sz w:val="24"/>
          <w:szCs w:val="24"/>
        </w:rPr>
        <w:t>附法定代表人基本情况：</w:t>
      </w:r>
    </w:p>
    <w:p w14:paraId="51D0CF42">
      <w:pPr>
        <w:autoSpaceDE w:val="0"/>
        <w:autoSpaceDN w:val="0"/>
        <w:adjustRightInd w:val="0"/>
        <w:snapToGrid w:val="0"/>
        <w:spacing w:line="360" w:lineRule="auto"/>
        <w:ind w:firstLine="360" w:firstLineChars="150"/>
        <w:jc w:val="left"/>
        <w:rPr>
          <w:rFonts w:eastAsia="仿宋"/>
          <w:kern w:val="0"/>
          <w:sz w:val="24"/>
          <w:szCs w:val="24"/>
          <w:u w:val="single"/>
        </w:rPr>
      </w:pPr>
      <w:r>
        <w:rPr>
          <w:rFonts w:eastAsia="仿宋"/>
          <w:kern w:val="0"/>
          <w:sz w:val="24"/>
          <w:szCs w:val="24"/>
        </w:rPr>
        <w:t>姓名</w:t>
      </w:r>
      <w:r>
        <w:rPr>
          <w:rFonts w:eastAsia="仿宋"/>
          <w:kern w:val="0"/>
          <w:sz w:val="24"/>
          <w:szCs w:val="24"/>
          <w:u w:val="single"/>
        </w:rPr>
        <w:t xml:space="preserve">      </w:t>
      </w:r>
      <w:r>
        <w:rPr>
          <w:rFonts w:eastAsia="仿宋"/>
          <w:kern w:val="0"/>
          <w:sz w:val="24"/>
          <w:szCs w:val="24"/>
        </w:rPr>
        <w:t>性别</w:t>
      </w:r>
      <w:r>
        <w:rPr>
          <w:rFonts w:eastAsia="仿宋"/>
          <w:kern w:val="0"/>
          <w:sz w:val="24"/>
          <w:szCs w:val="24"/>
          <w:u w:val="single"/>
        </w:rPr>
        <w:t xml:space="preserve">     </w:t>
      </w:r>
      <w:r>
        <w:rPr>
          <w:rFonts w:eastAsia="仿宋"/>
          <w:kern w:val="0"/>
          <w:sz w:val="24"/>
          <w:szCs w:val="24"/>
        </w:rPr>
        <w:t>年龄</w:t>
      </w:r>
      <w:r>
        <w:rPr>
          <w:rFonts w:eastAsia="仿宋"/>
          <w:kern w:val="0"/>
          <w:sz w:val="24"/>
          <w:szCs w:val="24"/>
          <w:u w:val="single"/>
        </w:rPr>
        <w:t xml:space="preserve">     </w:t>
      </w:r>
    </w:p>
    <w:p w14:paraId="52AC039F">
      <w:pPr>
        <w:autoSpaceDE w:val="0"/>
        <w:autoSpaceDN w:val="0"/>
        <w:adjustRightInd w:val="0"/>
        <w:snapToGrid w:val="0"/>
        <w:spacing w:line="360" w:lineRule="auto"/>
        <w:ind w:firstLine="360" w:firstLineChars="150"/>
        <w:jc w:val="left"/>
        <w:rPr>
          <w:rFonts w:eastAsia="仿宋"/>
          <w:kern w:val="0"/>
          <w:sz w:val="24"/>
          <w:szCs w:val="24"/>
          <w:u w:val="single"/>
        </w:rPr>
      </w:pPr>
      <w:r>
        <w:rPr>
          <w:rFonts w:eastAsia="仿宋"/>
          <w:kern w:val="0"/>
          <w:sz w:val="24"/>
          <w:szCs w:val="24"/>
        </w:rPr>
        <w:t>身份证号码：</w:t>
      </w:r>
      <w:r>
        <w:rPr>
          <w:rFonts w:eastAsia="仿宋"/>
          <w:kern w:val="0"/>
          <w:sz w:val="24"/>
          <w:szCs w:val="24"/>
          <w:u w:val="single"/>
        </w:rPr>
        <w:t xml:space="preserve">                </w:t>
      </w:r>
    </w:p>
    <w:p w14:paraId="2C13D323">
      <w:pPr>
        <w:autoSpaceDE w:val="0"/>
        <w:autoSpaceDN w:val="0"/>
        <w:adjustRightInd w:val="0"/>
        <w:snapToGrid w:val="0"/>
        <w:spacing w:line="360" w:lineRule="auto"/>
        <w:ind w:firstLine="360" w:firstLineChars="150"/>
        <w:jc w:val="left"/>
        <w:rPr>
          <w:rFonts w:eastAsia="仿宋"/>
          <w:kern w:val="0"/>
          <w:sz w:val="24"/>
          <w:szCs w:val="24"/>
          <w:u w:val="single"/>
        </w:rPr>
      </w:pPr>
      <w:r>
        <w:rPr>
          <w:rFonts w:eastAsia="仿宋"/>
          <w:kern w:val="0"/>
          <w:sz w:val="24"/>
          <w:szCs w:val="24"/>
        </w:rPr>
        <w:t>通讯地址：</w:t>
      </w:r>
      <w:r>
        <w:rPr>
          <w:rFonts w:eastAsia="仿宋"/>
          <w:kern w:val="0"/>
          <w:sz w:val="24"/>
          <w:szCs w:val="24"/>
          <w:u w:val="single"/>
        </w:rPr>
        <w:t xml:space="preserve">                  </w:t>
      </w:r>
    </w:p>
    <w:p w14:paraId="0F97C088">
      <w:pPr>
        <w:autoSpaceDE w:val="0"/>
        <w:autoSpaceDN w:val="0"/>
        <w:adjustRightInd w:val="0"/>
        <w:snapToGrid w:val="0"/>
        <w:spacing w:line="360" w:lineRule="auto"/>
        <w:ind w:firstLine="360" w:firstLineChars="150"/>
        <w:jc w:val="left"/>
        <w:rPr>
          <w:rFonts w:eastAsia="仿宋"/>
          <w:kern w:val="0"/>
          <w:sz w:val="24"/>
          <w:szCs w:val="24"/>
          <w:u w:val="single"/>
        </w:rPr>
      </w:pPr>
      <w:r>
        <w:rPr>
          <w:rFonts w:eastAsia="仿宋"/>
          <w:kern w:val="0"/>
          <w:sz w:val="24"/>
          <w:szCs w:val="24"/>
        </w:rPr>
        <w:t>电话号码：</w:t>
      </w:r>
      <w:r>
        <w:rPr>
          <w:rFonts w:eastAsia="仿宋"/>
          <w:kern w:val="0"/>
          <w:sz w:val="24"/>
          <w:szCs w:val="24"/>
          <w:u w:val="single"/>
        </w:rPr>
        <w:t xml:space="preserve">           </w:t>
      </w:r>
      <w:r>
        <w:rPr>
          <w:rFonts w:eastAsia="仿宋"/>
          <w:kern w:val="0"/>
          <w:sz w:val="24"/>
          <w:szCs w:val="24"/>
        </w:rPr>
        <w:t>邮编：</w:t>
      </w:r>
      <w:r>
        <w:rPr>
          <w:rFonts w:eastAsia="仿宋"/>
          <w:kern w:val="0"/>
          <w:sz w:val="24"/>
          <w:szCs w:val="24"/>
          <w:u w:val="single"/>
        </w:rPr>
        <w:t xml:space="preserve">           </w:t>
      </w:r>
    </w:p>
    <w:p w14:paraId="4BC1DA93">
      <w:pPr>
        <w:autoSpaceDE w:val="0"/>
        <w:autoSpaceDN w:val="0"/>
        <w:adjustRightInd w:val="0"/>
        <w:snapToGrid w:val="0"/>
        <w:spacing w:line="360" w:lineRule="auto"/>
        <w:jc w:val="left"/>
        <w:rPr>
          <w:rFonts w:eastAsia="仿宋"/>
          <w:kern w:val="0"/>
          <w:sz w:val="24"/>
          <w:szCs w:val="24"/>
        </w:rPr>
      </w:pPr>
    </w:p>
    <w:p w14:paraId="66EB29F1">
      <w:pPr>
        <w:autoSpaceDE w:val="0"/>
        <w:autoSpaceDN w:val="0"/>
        <w:adjustRightInd w:val="0"/>
        <w:snapToGrid w:val="0"/>
        <w:spacing w:line="360" w:lineRule="auto"/>
        <w:jc w:val="left"/>
        <w:rPr>
          <w:rFonts w:eastAsia="仿宋"/>
          <w:kern w:val="0"/>
          <w:sz w:val="24"/>
          <w:szCs w:val="24"/>
        </w:rPr>
      </w:pPr>
    </w:p>
    <w:p w14:paraId="66B4FC02">
      <w:pPr>
        <w:autoSpaceDE w:val="0"/>
        <w:autoSpaceDN w:val="0"/>
        <w:adjustRightInd w:val="0"/>
        <w:snapToGrid w:val="0"/>
        <w:spacing w:line="360" w:lineRule="auto"/>
        <w:jc w:val="left"/>
        <w:rPr>
          <w:rFonts w:eastAsia="仿宋"/>
          <w:kern w:val="0"/>
          <w:sz w:val="24"/>
          <w:szCs w:val="24"/>
        </w:rPr>
      </w:pPr>
      <w:r>
        <w:rPr>
          <w:rFonts w:eastAsia="仿宋"/>
          <w:kern w:val="0"/>
          <w:sz w:val="24"/>
          <w:szCs w:val="24"/>
        </w:rPr>
        <w:t>供应商：</w:t>
      </w:r>
      <w:r>
        <w:rPr>
          <w:rFonts w:eastAsia="仿宋"/>
          <w:kern w:val="0"/>
          <w:sz w:val="24"/>
          <w:szCs w:val="24"/>
          <w:u w:val="single"/>
        </w:rPr>
        <w:t>（全称）（盖章）</w:t>
      </w:r>
    </w:p>
    <w:p w14:paraId="4834C36D">
      <w:pPr>
        <w:autoSpaceDE w:val="0"/>
        <w:autoSpaceDN w:val="0"/>
        <w:adjustRightInd w:val="0"/>
        <w:snapToGrid w:val="0"/>
        <w:spacing w:line="360" w:lineRule="auto"/>
        <w:jc w:val="left"/>
        <w:rPr>
          <w:rFonts w:eastAsia="仿宋"/>
          <w:kern w:val="0"/>
          <w:sz w:val="24"/>
          <w:szCs w:val="24"/>
        </w:rPr>
      </w:pPr>
      <w:r>
        <w:rPr>
          <w:rFonts w:eastAsia="仿宋"/>
          <w:kern w:val="0"/>
          <w:sz w:val="24"/>
          <w:szCs w:val="24"/>
        </w:rPr>
        <w:t>法定代表人：</w:t>
      </w:r>
      <w:r>
        <w:rPr>
          <w:rFonts w:eastAsia="仿宋"/>
          <w:kern w:val="0"/>
          <w:sz w:val="24"/>
          <w:szCs w:val="24"/>
          <w:u w:val="single"/>
        </w:rPr>
        <w:t>（签字或盖章）</w:t>
      </w:r>
    </w:p>
    <w:p w14:paraId="2B39F940">
      <w:pPr>
        <w:autoSpaceDE w:val="0"/>
        <w:autoSpaceDN w:val="0"/>
        <w:adjustRightInd w:val="0"/>
        <w:snapToGrid w:val="0"/>
        <w:spacing w:line="360" w:lineRule="auto"/>
        <w:jc w:val="left"/>
        <w:rPr>
          <w:rFonts w:eastAsia="仿宋"/>
          <w:kern w:val="0"/>
          <w:sz w:val="24"/>
          <w:szCs w:val="24"/>
        </w:rPr>
      </w:pPr>
      <w:r>
        <w:rPr>
          <w:rFonts w:eastAsia="仿宋"/>
          <w:kern w:val="0"/>
          <w:sz w:val="24"/>
          <w:szCs w:val="24"/>
        </w:rPr>
        <w:t>日期：</w:t>
      </w:r>
      <w:r>
        <w:rPr>
          <w:rFonts w:eastAsia="仿宋"/>
          <w:sz w:val="24"/>
          <w:szCs w:val="24"/>
          <w:u w:val="single"/>
        </w:rPr>
        <w:t xml:space="preserve">    </w:t>
      </w:r>
      <w:r>
        <w:rPr>
          <w:rFonts w:eastAsia="仿宋"/>
          <w:sz w:val="24"/>
          <w:szCs w:val="24"/>
        </w:rPr>
        <w:t>年</w:t>
      </w:r>
      <w:r>
        <w:rPr>
          <w:rFonts w:eastAsia="仿宋"/>
          <w:sz w:val="24"/>
          <w:szCs w:val="24"/>
          <w:u w:val="single"/>
        </w:rPr>
        <w:t xml:space="preserve">    </w:t>
      </w:r>
      <w:r>
        <w:rPr>
          <w:rFonts w:eastAsia="仿宋"/>
          <w:sz w:val="24"/>
          <w:szCs w:val="24"/>
        </w:rPr>
        <w:t>月</w:t>
      </w:r>
      <w:r>
        <w:rPr>
          <w:rFonts w:eastAsia="仿宋"/>
          <w:sz w:val="24"/>
          <w:szCs w:val="24"/>
          <w:u w:val="single"/>
        </w:rPr>
        <w:t xml:space="preserve">    </w:t>
      </w:r>
      <w:r>
        <w:rPr>
          <w:rFonts w:eastAsia="仿宋"/>
          <w:sz w:val="24"/>
          <w:szCs w:val="24"/>
        </w:rPr>
        <w:t>日</w:t>
      </w:r>
    </w:p>
    <w:p w14:paraId="6A1BDF1E">
      <w:pPr>
        <w:autoSpaceDE w:val="0"/>
        <w:autoSpaceDN w:val="0"/>
        <w:adjustRightInd w:val="0"/>
        <w:snapToGrid w:val="0"/>
        <w:spacing w:line="360" w:lineRule="auto"/>
        <w:ind w:firstLine="361" w:firstLineChars="150"/>
        <w:jc w:val="left"/>
        <w:rPr>
          <w:rFonts w:eastAsia="仿宋"/>
          <w:b/>
          <w:kern w:val="0"/>
          <w:sz w:val="24"/>
          <w:szCs w:val="24"/>
        </w:rPr>
      </w:pPr>
      <w:r>
        <w:rPr>
          <w:rFonts w:eastAsia="仿宋"/>
          <w:b/>
          <w:kern w:val="0"/>
          <w:sz w:val="24"/>
          <w:szCs w:val="24"/>
        </w:rPr>
        <w:t>附：法定代表人《居民身份证》扫描件正反面</w:t>
      </w:r>
    </w:p>
    <w:p w14:paraId="4A4B7E0E">
      <w:pPr>
        <w:autoSpaceDE w:val="0"/>
        <w:autoSpaceDN w:val="0"/>
        <w:jc w:val="left"/>
        <w:rPr>
          <w:rFonts w:eastAsia="仿宋"/>
          <w:kern w:val="0"/>
          <w:sz w:val="24"/>
          <w:szCs w:val="24"/>
        </w:rPr>
      </w:pPr>
    </w:p>
    <w:p w14:paraId="4D2FB81A">
      <w:pPr>
        <w:autoSpaceDE w:val="0"/>
        <w:autoSpaceDN w:val="0"/>
        <w:spacing w:before="3"/>
        <w:jc w:val="left"/>
        <w:rPr>
          <w:rFonts w:eastAsia="仿宋"/>
          <w:kern w:val="0"/>
          <w:sz w:val="24"/>
          <w:szCs w:val="24"/>
        </w:rPr>
      </w:pPr>
    </w:p>
    <w:p w14:paraId="3AB68F31">
      <w:pPr>
        <w:autoSpaceDE w:val="0"/>
        <w:autoSpaceDN w:val="0"/>
        <w:spacing w:before="10"/>
        <w:jc w:val="left"/>
        <w:rPr>
          <w:rFonts w:eastAsia="仿宋"/>
          <w:kern w:val="0"/>
          <w:sz w:val="24"/>
          <w:szCs w:val="24"/>
        </w:rPr>
      </w:pPr>
    </w:p>
    <w:p w14:paraId="08A02B2A">
      <w:pPr>
        <w:autoSpaceDE w:val="0"/>
        <w:autoSpaceDN w:val="0"/>
        <w:spacing w:before="67"/>
        <w:jc w:val="left"/>
        <w:rPr>
          <w:rFonts w:eastAsia="仿宋"/>
          <w:spacing w:val="-3"/>
          <w:w w:val="95"/>
          <w:kern w:val="0"/>
          <w:sz w:val="24"/>
          <w:szCs w:val="24"/>
        </w:rPr>
      </w:pPr>
    </w:p>
    <w:p w14:paraId="03A48E01">
      <w:pPr>
        <w:autoSpaceDE w:val="0"/>
        <w:autoSpaceDN w:val="0"/>
        <w:spacing w:before="67"/>
        <w:jc w:val="left"/>
        <w:rPr>
          <w:rFonts w:eastAsia="仿宋"/>
          <w:spacing w:val="-3"/>
          <w:w w:val="95"/>
          <w:kern w:val="0"/>
          <w:sz w:val="24"/>
          <w:szCs w:val="24"/>
        </w:rPr>
      </w:pPr>
    </w:p>
    <w:p w14:paraId="5AE86220">
      <w:pPr>
        <w:autoSpaceDE w:val="0"/>
        <w:autoSpaceDN w:val="0"/>
        <w:spacing w:before="67"/>
        <w:jc w:val="left"/>
        <w:rPr>
          <w:rFonts w:eastAsia="仿宋"/>
          <w:spacing w:val="-3"/>
          <w:w w:val="95"/>
          <w:kern w:val="0"/>
          <w:sz w:val="24"/>
          <w:szCs w:val="24"/>
        </w:rPr>
      </w:pPr>
    </w:p>
    <w:p w14:paraId="20095472">
      <w:pPr>
        <w:autoSpaceDE w:val="0"/>
        <w:autoSpaceDN w:val="0"/>
        <w:spacing w:before="67"/>
        <w:jc w:val="left"/>
        <w:rPr>
          <w:rFonts w:eastAsia="仿宋"/>
          <w:spacing w:val="-3"/>
          <w:w w:val="95"/>
          <w:kern w:val="0"/>
          <w:sz w:val="24"/>
          <w:szCs w:val="24"/>
        </w:rPr>
      </w:pPr>
    </w:p>
    <w:p w14:paraId="20F965B1">
      <w:pPr>
        <w:autoSpaceDE w:val="0"/>
        <w:autoSpaceDN w:val="0"/>
        <w:spacing w:before="67"/>
        <w:jc w:val="left"/>
        <w:rPr>
          <w:rFonts w:eastAsia="仿宋"/>
          <w:spacing w:val="-3"/>
          <w:w w:val="95"/>
          <w:kern w:val="0"/>
          <w:sz w:val="24"/>
          <w:szCs w:val="24"/>
        </w:rPr>
      </w:pPr>
    </w:p>
    <w:p w14:paraId="1ABF0DB2">
      <w:pPr>
        <w:autoSpaceDE w:val="0"/>
        <w:autoSpaceDN w:val="0"/>
        <w:spacing w:before="67"/>
        <w:jc w:val="left"/>
        <w:rPr>
          <w:rFonts w:eastAsia="仿宋"/>
          <w:spacing w:val="-3"/>
          <w:w w:val="95"/>
          <w:kern w:val="0"/>
          <w:sz w:val="24"/>
          <w:szCs w:val="24"/>
        </w:rPr>
      </w:pPr>
    </w:p>
    <w:p w14:paraId="2E7D29B3">
      <w:pPr>
        <w:autoSpaceDE w:val="0"/>
        <w:autoSpaceDN w:val="0"/>
        <w:spacing w:before="67"/>
        <w:jc w:val="left"/>
        <w:rPr>
          <w:rFonts w:eastAsia="仿宋"/>
          <w:spacing w:val="-3"/>
          <w:w w:val="95"/>
          <w:kern w:val="0"/>
          <w:sz w:val="24"/>
          <w:szCs w:val="24"/>
        </w:rPr>
      </w:pPr>
    </w:p>
    <w:p w14:paraId="12B58F2C">
      <w:pPr>
        <w:autoSpaceDE w:val="0"/>
        <w:autoSpaceDN w:val="0"/>
        <w:spacing w:before="67"/>
        <w:jc w:val="left"/>
        <w:rPr>
          <w:rFonts w:eastAsia="仿宋"/>
          <w:spacing w:val="-3"/>
          <w:w w:val="95"/>
          <w:kern w:val="0"/>
          <w:sz w:val="24"/>
          <w:szCs w:val="24"/>
        </w:rPr>
      </w:pPr>
    </w:p>
    <w:p w14:paraId="5A4247FA">
      <w:pPr>
        <w:autoSpaceDE w:val="0"/>
        <w:autoSpaceDN w:val="0"/>
        <w:spacing w:before="67"/>
        <w:jc w:val="left"/>
        <w:rPr>
          <w:rFonts w:eastAsia="仿宋"/>
          <w:spacing w:val="-3"/>
          <w:w w:val="95"/>
          <w:kern w:val="0"/>
          <w:sz w:val="24"/>
          <w:szCs w:val="24"/>
        </w:rPr>
      </w:pPr>
    </w:p>
    <w:p w14:paraId="3BD0161D">
      <w:pPr>
        <w:autoSpaceDE w:val="0"/>
        <w:autoSpaceDN w:val="0"/>
        <w:spacing w:before="67"/>
        <w:jc w:val="left"/>
        <w:rPr>
          <w:rFonts w:eastAsia="仿宋"/>
          <w:spacing w:val="-3"/>
          <w:w w:val="95"/>
          <w:kern w:val="0"/>
          <w:sz w:val="24"/>
          <w:szCs w:val="24"/>
        </w:rPr>
      </w:pPr>
    </w:p>
    <w:p w14:paraId="38ED3DA3">
      <w:pPr>
        <w:autoSpaceDE w:val="0"/>
        <w:autoSpaceDN w:val="0"/>
        <w:spacing w:before="67"/>
        <w:jc w:val="left"/>
        <w:rPr>
          <w:rFonts w:eastAsia="仿宋"/>
          <w:spacing w:val="-3"/>
          <w:w w:val="95"/>
          <w:kern w:val="0"/>
          <w:sz w:val="24"/>
          <w:szCs w:val="24"/>
        </w:rPr>
      </w:pPr>
    </w:p>
    <w:p w14:paraId="00626DA9">
      <w:pPr>
        <w:rPr>
          <w:rFonts w:eastAsia="仿宋"/>
          <w:spacing w:val="-3"/>
          <w:w w:val="95"/>
          <w:kern w:val="0"/>
          <w:sz w:val="24"/>
          <w:szCs w:val="24"/>
        </w:rPr>
      </w:pPr>
      <w:r>
        <w:rPr>
          <w:rFonts w:eastAsia="仿宋"/>
          <w:spacing w:val="-3"/>
          <w:w w:val="95"/>
          <w:kern w:val="0"/>
          <w:sz w:val="24"/>
          <w:szCs w:val="24"/>
        </w:rPr>
        <w:br w:type="page"/>
      </w:r>
    </w:p>
    <w:p w14:paraId="5B159EE5">
      <w:pPr>
        <w:autoSpaceDE w:val="0"/>
        <w:autoSpaceDN w:val="0"/>
        <w:spacing w:before="67"/>
        <w:jc w:val="left"/>
        <w:rPr>
          <w:rFonts w:eastAsia="仿宋"/>
          <w:kern w:val="0"/>
          <w:sz w:val="24"/>
          <w:szCs w:val="24"/>
        </w:rPr>
      </w:pPr>
      <w:r>
        <w:rPr>
          <w:rFonts w:eastAsia="仿宋"/>
          <w:spacing w:val="-3"/>
          <w:w w:val="95"/>
          <w:kern w:val="0"/>
          <w:sz w:val="24"/>
          <w:szCs w:val="24"/>
        </w:rPr>
        <w:t xml:space="preserve">附件 </w:t>
      </w:r>
      <w:r>
        <w:rPr>
          <w:rFonts w:eastAsia="仿宋"/>
          <w:w w:val="95"/>
          <w:kern w:val="0"/>
          <w:sz w:val="24"/>
          <w:szCs w:val="24"/>
        </w:rPr>
        <w:t>1－2</w:t>
      </w:r>
    </w:p>
    <w:p w14:paraId="677DA15D">
      <w:pPr>
        <w:autoSpaceDE w:val="0"/>
        <w:autoSpaceDN w:val="0"/>
        <w:spacing w:before="2"/>
        <w:jc w:val="left"/>
        <w:rPr>
          <w:rFonts w:eastAsia="仿宋"/>
          <w:kern w:val="0"/>
          <w:sz w:val="24"/>
          <w:szCs w:val="24"/>
        </w:rPr>
      </w:pPr>
    </w:p>
    <w:p w14:paraId="59A463C5">
      <w:pPr>
        <w:autoSpaceDE w:val="0"/>
        <w:autoSpaceDN w:val="0"/>
        <w:spacing w:before="74"/>
        <w:ind w:right="891"/>
        <w:jc w:val="center"/>
        <w:rPr>
          <w:rFonts w:eastAsia="仿宋"/>
          <w:b/>
          <w:bCs/>
          <w:kern w:val="0"/>
          <w:sz w:val="24"/>
          <w:szCs w:val="24"/>
        </w:rPr>
      </w:pPr>
      <w:r>
        <w:rPr>
          <w:rFonts w:eastAsia="仿宋"/>
          <w:b/>
          <w:bCs/>
          <w:w w:val="95"/>
          <w:kern w:val="0"/>
          <w:sz w:val="24"/>
          <w:szCs w:val="24"/>
        </w:rPr>
        <w:t>法定代表人授权委托书(授权代表参加磋商)</w:t>
      </w:r>
    </w:p>
    <w:p w14:paraId="1294677E">
      <w:pPr>
        <w:autoSpaceDE w:val="0"/>
        <w:autoSpaceDN w:val="0"/>
        <w:snapToGrid w:val="0"/>
        <w:spacing w:before="5" w:line="360" w:lineRule="auto"/>
        <w:jc w:val="left"/>
        <w:rPr>
          <w:rFonts w:eastAsia="仿宋"/>
          <w:b/>
          <w:kern w:val="0"/>
          <w:sz w:val="24"/>
          <w:szCs w:val="24"/>
        </w:rPr>
      </w:pPr>
    </w:p>
    <w:p w14:paraId="625307F7">
      <w:pPr>
        <w:autoSpaceDE w:val="0"/>
        <w:autoSpaceDN w:val="0"/>
        <w:adjustRightInd w:val="0"/>
        <w:snapToGrid w:val="0"/>
        <w:spacing w:line="360" w:lineRule="auto"/>
        <w:ind w:firstLine="480" w:firstLineChars="200"/>
        <w:jc w:val="left"/>
        <w:rPr>
          <w:rFonts w:eastAsia="仿宋"/>
          <w:kern w:val="0"/>
          <w:sz w:val="24"/>
          <w:szCs w:val="24"/>
        </w:rPr>
      </w:pPr>
      <w:r>
        <w:rPr>
          <w:rFonts w:eastAsia="仿宋"/>
          <w:kern w:val="0"/>
          <w:sz w:val="24"/>
          <w:szCs w:val="24"/>
        </w:rPr>
        <w:t>本授权书声明：注册于</w:t>
      </w:r>
      <w:r>
        <w:rPr>
          <w:rFonts w:eastAsia="仿宋"/>
          <w:kern w:val="0"/>
          <w:sz w:val="24"/>
          <w:szCs w:val="24"/>
          <w:u w:val="single"/>
        </w:rPr>
        <w:t>（地区的名称）</w:t>
      </w:r>
      <w:r>
        <w:rPr>
          <w:rFonts w:eastAsia="仿宋"/>
          <w:kern w:val="0"/>
          <w:sz w:val="24"/>
          <w:szCs w:val="24"/>
        </w:rPr>
        <w:t>的</w:t>
      </w:r>
      <w:r>
        <w:rPr>
          <w:rFonts w:eastAsia="仿宋"/>
          <w:kern w:val="0"/>
          <w:sz w:val="24"/>
          <w:szCs w:val="24"/>
          <w:u w:val="single"/>
        </w:rPr>
        <w:t>（公司名称）</w:t>
      </w:r>
      <w:r>
        <w:rPr>
          <w:rFonts w:eastAsia="仿宋"/>
          <w:kern w:val="0"/>
          <w:sz w:val="24"/>
          <w:szCs w:val="24"/>
        </w:rPr>
        <w:t>，在下面盖章的法定代表人</w:t>
      </w:r>
      <w:r>
        <w:rPr>
          <w:rFonts w:eastAsia="仿宋"/>
          <w:kern w:val="0"/>
          <w:sz w:val="24"/>
          <w:szCs w:val="24"/>
          <w:u w:val="single"/>
        </w:rPr>
        <w:t>（姓名、职务）</w:t>
      </w:r>
      <w:r>
        <w:rPr>
          <w:rFonts w:eastAsia="仿宋"/>
          <w:kern w:val="0"/>
          <w:sz w:val="24"/>
          <w:szCs w:val="24"/>
        </w:rPr>
        <w:t>，代表本公司委托在下面签字的</w:t>
      </w:r>
      <w:r>
        <w:rPr>
          <w:rFonts w:eastAsia="仿宋"/>
          <w:kern w:val="0"/>
          <w:sz w:val="24"/>
          <w:szCs w:val="24"/>
          <w:u w:val="single"/>
        </w:rPr>
        <w:t>（被授权人的姓名、职务）</w:t>
      </w:r>
      <w:r>
        <w:rPr>
          <w:rFonts w:eastAsia="仿宋"/>
          <w:kern w:val="0"/>
          <w:sz w:val="24"/>
          <w:szCs w:val="24"/>
        </w:rPr>
        <w:t>为本公司的合法代理人，就</w:t>
      </w:r>
      <w:r>
        <w:rPr>
          <w:rFonts w:eastAsia="仿宋"/>
          <w:kern w:val="0"/>
          <w:sz w:val="24"/>
          <w:szCs w:val="24"/>
          <w:u w:val="single"/>
        </w:rPr>
        <w:t>（项目名称）</w:t>
      </w:r>
      <w:r>
        <w:rPr>
          <w:rFonts w:eastAsia="仿宋"/>
          <w:kern w:val="0"/>
          <w:sz w:val="24"/>
          <w:szCs w:val="24"/>
        </w:rPr>
        <w:t>的磋商，以本公司的名义处理一切与之有关的事务。</w:t>
      </w:r>
    </w:p>
    <w:p w14:paraId="26657B9A">
      <w:pPr>
        <w:autoSpaceDE w:val="0"/>
        <w:autoSpaceDN w:val="0"/>
        <w:adjustRightInd w:val="0"/>
        <w:snapToGrid w:val="0"/>
        <w:spacing w:line="360" w:lineRule="auto"/>
        <w:jc w:val="left"/>
        <w:rPr>
          <w:rFonts w:eastAsia="仿宋"/>
          <w:kern w:val="0"/>
          <w:sz w:val="24"/>
          <w:szCs w:val="24"/>
        </w:rPr>
      </w:pPr>
      <w:r>
        <w:rPr>
          <w:rFonts w:eastAsia="仿宋"/>
          <w:kern w:val="0"/>
          <w:sz w:val="24"/>
          <w:szCs w:val="24"/>
        </w:rPr>
        <w:t>本授权书于  年  月  日签字生效，代理人无转委托权，特此声明。</w:t>
      </w:r>
    </w:p>
    <w:p w14:paraId="1E4399DD">
      <w:pPr>
        <w:autoSpaceDE w:val="0"/>
        <w:autoSpaceDN w:val="0"/>
        <w:adjustRightInd w:val="0"/>
        <w:snapToGrid w:val="0"/>
        <w:spacing w:line="360" w:lineRule="auto"/>
        <w:jc w:val="left"/>
        <w:rPr>
          <w:rFonts w:eastAsia="仿宋"/>
          <w:kern w:val="0"/>
          <w:sz w:val="24"/>
          <w:szCs w:val="24"/>
        </w:rPr>
      </w:pPr>
      <w:r>
        <w:rPr>
          <w:rFonts w:eastAsia="仿宋"/>
          <w:b/>
          <w:bCs/>
          <w:kern w:val="0"/>
          <w:sz w:val="24"/>
          <w:szCs w:val="24"/>
        </w:rPr>
        <w:t>附：被授权人的身份证扫描件（加盖单位公章）</w:t>
      </w:r>
    </w:p>
    <w:p w14:paraId="227281BD">
      <w:pPr>
        <w:autoSpaceDE w:val="0"/>
        <w:autoSpaceDN w:val="0"/>
        <w:adjustRightInd w:val="0"/>
        <w:snapToGrid w:val="0"/>
        <w:spacing w:line="360" w:lineRule="auto"/>
        <w:jc w:val="left"/>
        <w:rPr>
          <w:rFonts w:eastAsia="仿宋"/>
          <w:kern w:val="0"/>
          <w:sz w:val="24"/>
          <w:szCs w:val="24"/>
        </w:rPr>
      </w:pPr>
    </w:p>
    <w:p w14:paraId="1DE7E9F5">
      <w:pPr>
        <w:autoSpaceDE w:val="0"/>
        <w:autoSpaceDN w:val="0"/>
        <w:adjustRightInd w:val="0"/>
        <w:snapToGrid w:val="0"/>
        <w:spacing w:line="360" w:lineRule="auto"/>
        <w:jc w:val="left"/>
        <w:rPr>
          <w:rFonts w:eastAsia="仿宋"/>
          <w:kern w:val="0"/>
          <w:sz w:val="24"/>
          <w:szCs w:val="24"/>
        </w:rPr>
      </w:pPr>
    </w:p>
    <w:p w14:paraId="65071B9E">
      <w:pPr>
        <w:autoSpaceDE w:val="0"/>
        <w:autoSpaceDN w:val="0"/>
        <w:adjustRightInd w:val="0"/>
        <w:snapToGrid w:val="0"/>
        <w:spacing w:line="360" w:lineRule="auto"/>
        <w:jc w:val="left"/>
        <w:rPr>
          <w:rFonts w:eastAsia="仿宋"/>
          <w:kern w:val="0"/>
          <w:sz w:val="24"/>
          <w:szCs w:val="24"/>
        </w:rPr>
      </w:pPr>
    </w:p>
    <w:p w14:paraId="5CBB5E67">
      <w:pPr>
        <w:autoSpaceDE w:val="0"/>
        <w:autoSpaceDN w:val="0"/>
        <w:adjustRightInd w:val="0"/>
        <w:snapToGrid w:val="0"/>
        <w:spacing w:line="360" w:lineRule="auto"/>
        <w:jc w:val="left"/>
        <w:rPr>
          <w:rFonts w:eastAsia="仿宋"/>
          <w:kern w:val="0"/>
          <w:sz w:val="24"/>
          <w:szCs w:val="24"/>
        </w:rPr>
      </w:pPr>
      <w:r>
        <w:rPr>
          <w:rFonts w:eastAsia="仿宋"/>
          <w:kern w:val="0"/>
          <w:sz w:val="24"/>
          <w:szCs w:val="24"/>
        </w:rPr>
        <w:t>供应商：</w:t>
      </w:r>
      <w:r>
        <w:rPr>
          <w:rFonts w:eastAsia="仿宋"/>
          <w:kern w:val="0"/>
          <w:sz w:val="24"/>
          <w:szCs w:val="24"/>
          <w:u w:val="single"/>
        </w:rPr>
        <w:t>（全称）（盖章）</w:t>
      </w:r>
    </w:p>
    <w:p w14:paraId="1B2185BD">
      <w:pPr>
        <w:autoSpaceDE w:val="0"/>
        <w:autoSpaceDN w:val="0"/>
        <w:adjustRightInd w:val="0"/>
        <w:snapToGrid w:val="0"/>
        <w:spacing w:line="360" w:lineRule="auto"/>
        <w:jc w:val="left"/>
        <w:rPr>
          <w:rFonts w:eastAsia="仿宋"/>
          <w:kern w:val="0"/>
          <w:sz w:val="24"/>
          <w:szCs w:val="24"/>
          <w:u w:val="single"/>
        </w:rPr>
      </w:pPr>
      <w:r>
        <w:rPr>
          <w:rFonts w:eastAsia="仿宋"/>
          <w:kern w:val="0"/>
          <w:sz w:val="24"/>
          <w:szCs w:val="24"/>
        </w:rPr>
        <w:t>法定代表人：</w:t>
      </w:r>
      <w:r>
        <w:rPr>
          <w:rFonts w:eastAsia="仿宋"/>
          <w:kern w:val="0"/>
          <w:sz w:val="24"/>
          <w:szCs w:val="24"/>
          <w:u w:val="single"/>
        </w:rPr>
        <w:t>（签字或盖章）</w:t>
      </w:r>
    </w:p>
    <w:p w14:paraId="701461D9">
      <w:pPr>
        <w:autoSpaceDE w:val="0"/>
        <w:autoSpaceDN w:val="0"/>
        <w:adjustRightInd w:val="0"/>
        <w:snapToGrid w:val="0"/>
        <w:spacing w:line="360" w:lineRule="auto"/>
        <w:jc w:val="left"/>
        <w:rPr>
          <w:rFonts w:eastAsia="仿宋"/>
          <w:kern w:val="0"/>
          <w:sz w:val="24"/>
          <w:szCs w:val="24"/>
          <w:u w:val="single"/>
        </w:rPr>
      </w:pPr>
      <w:r>
        <w:rPr>
          <w:rFonts w:eastAsia="仿宋"/>
          <w:kern w:val="0"/>
          <w:sz w:val="24"/>
          <w:szCs w:val="24"/>
        </w:rPr>
        <w:t>身份证号码：</w:t>
      </w:r>
      <w:r>
        <w:rPr>
          <w:rFonts w:eastAsia="仿宋"/>
          <w:kern w:val="0"/>
          <w:sz w:val="24"/>
          <w:szCs w:val="24"/>
          <w:u w:val="single"/>
        </w:rPr>
        <w:t xml:space="preserve">                 </w:t>
      </w:r>
    </w:p>
    <w:p w14:paraId="58FAB8E4">
      <w:pPr>
        <w:autoSpaceDE w:val="0"/>
        <w:autoSpaceDN w:val="0"/>
        <w:adjustRightInd w:val="0"/>
        <w:snapToGrid w:val="0"/>
        <w:spacing w:line="360" w:lineRule="auto"/>
        <w:jc w:val="left"/>
        <w:rPr>
          <w:rFonts w:eastAsia="仿宋"/>
          <w:kern w:val="0"/>
          <w:sz w:val="24"/>
          <w:szCs w:val="24"/>
          <w:u w:val="single"/>
        </w:rPr>
      </w:pPr>
      <w:r>
        <w:rPr>
          <w:rFonts w:eastAsia="仿宋"/>
          <w:kern w:val="0"/>
          <w:sz w:val="24"/>
          <w:szCs w:val="24"/>
        </w:rPr>
        <w:t>委托代理人签字：</w:t>
      </w:r>
      <w:r>
        <w:rPr>
          <w:rFonts w:eastAsia="仿宋"/>
          <w:kern w:val="0"/>
          <w:sz w:val="24"/>
          <w:szCs w:val="24"/>
          <w:u w:val="single"/>
        </w:rPr>
        <w:t xml:space="preserve">             </w:t>
      </w:r>
    </w:p>
    <w:p w14:paraId="2593F4CC">
      <w:pPr>
        <w:autoSpaceDE w:val="0"/>
        <w:autoSpaceDN w:val="0"/>
        <w:adjustRightInd w:val="0"/>
        <w:snapToGrid w:val="0"/>
        <w:spacing w:line="360" w:lineRule="auto"/>
        <w:jc w:val="left"/>
        <w:rPr>
          <w:rFonts w:eastAsia="仿宋"/>
          <w:kern w:val="0"/>
          <w:sz w:val="24"/>
          <w:szCs w:val="24"/>
          <w:u w:val="single"/>
        </w:rPr>
      </w:pPr>
      <w:r>
        <w:rPr>
          <w:rFonts w:eastAsia="仿宋"/>
          <w:kern w:val="0"/>
          <w:sz w:val="24"/>
          <w:szCs w:val="24"/>
        </w:rPr>
        <w:t>身份证号码：</w:t>
      </w:r>
      <w:r>
        <w:rPr>
          <w:rFonts w:eastAsia="仿宋"/>
          <w:kern w:val="0"/>
          <w:sz w:val="24"/>
          <w:szCs w:val="24"/>
          <w:u w:val="single"/>
        </w:rPr>
        <w:t xml:space="preserve">                 </w:t>
      </w:r>
    </w:p>
    <w:p w14:paraId="3822F427">
      <w:pPr>
        <w:autoSpaceDE w:val="0"/>
        <w:autoSpaceDN w:val="0"/>
        <w:adjustRightInd w:val="0"/>
        <w:snapToGrid w:val="0"/>
        <w:spacing w:line="360" w:lineRule="auto"/>
        <w:jc w:val="left"/>
        <w:rPr>
          <w:rFonts w:eastAsia="仿宋"/>
          <w:kern w:val="0"/>
          <w:sz w:val="24"/>
          <w:szCs w:val="24"/>
        </w:rPr>
      </w:pPr>
      <w:r>
        <w:rPr>
          <w:rFonts w:eastAsia="仿宋"/>
          <w:kern w:val="0"/>
          <w:sz w:val="24"/>
          <w:szCs w:val="24"/>
        </w:rPr>
        <w:t>授权日期：</w:t>
      </w:r>
      <w:r>
        <w:rPr>
          <w:rFonts w:eastAsia="仿宋"/>
          <w:sz w:val="24"/>
          <w:szCs w:val="24"/>
          <w:u w:val="single"/>
        </w:rPr>
        <w:t xml:space="preserve">    </w:t>
      </w:r>
      <w:r>
        <w:rPr>
          <w:rFonts w:eastAsia="仿宋"/>
          <w:sz w:val="24"/>
          <w:szCs w:val="24"/>
        </w:rPr>
        <w:t>年</w:t>
      </w:r>
      <w:r>
        <w:rPr>
          <w:rFonts w:eastAsia="仿宋"/>
          <w:sz w:val="24"/>
          <w:szCs w:val="24"/>
          <w:u w:val="single"/>
        </w:rPr>
        <w:t xml:space="preserve">    </w:t>
      </w:r>
      <w:r>
        <w:rPr>
          <w:rFonts w:eastAsia="仿宋"/>
          <w:sz w:val="24"/>
          <w:szCs w:val="24"/>
        </w:rPr>
        <w:t>月</w:t>
      </w:r>
      <w:r>
        <w:rPr>
          <w:rFonts w:eastAsia="仿宋"/>
          <w:sz w:val="24"/>
          <w:szCs w:val="24"/>
          <w:u w:val="single"/>
        </w:rPr>
        <w:t xml:space="preserve">    </w:t>
      </w:r>
      <w:r>
        <w:rPr>
          <w:rFonts w:eastAsia="仿宋"/>
          <w:sz w:val="24"/>
          <w:szCs w:val="24"/>
        </w:rPr>
        <w:t>日</w:t>
      </w:r>
    </w:p>
    <w:p w14:paraId="2FFD3EEE">
      <w:pPr>
        <w:autoSpaceDE w:val="0"/>
        <w:autoSpaceDN w:val="0"/>
        <w:adjustRightInd w:val="0"/>
        <w:snapToGrid w:val="0"/>
        <w:spacing w:line="360" w:lineRule="auto"/>
        <w:jc w:val="left"/>
        <w:rPr>
          <w:rFonts w:eastAsia="仿宋"/>
          <w:kern w:val="0"/>
          <w:sz w:val="24"/>
          <w:szCs w:val="24"/>
        </w:rPr>
      </w:pPr>
    </w:p>
    <w:p w14:paraId="2164043C">
      <w:pPr>
        <w:autoSpaceDE w:val="0"/>
        <w:autoSpaceDN w:val="0"/>
        <w:adjustRightInd w:val="0"/>
        <w:snapToGrid w:val="0"/>
        <w:spacing w:line="360" w:lineRule="auto"/>
        <w:jc w:val="left"/>
        <w:rPr>
          <w:rFonts w:eastAsia="仿宋"/>
          <w:kern w:val="0"/>
          <w:sz w:val="24"/>
          <w:szCs w:val="24"/>
        </w:rPr>
      </w:pPr>
    </w:p>
    <w:p w14:paraId="1503281F">
      <w:pPr>
        <w:autoSpaceDE w:val="0"/>
        <w:autoSpaceDN w:val="0"/>
        <w:adjustRightInd w:val="0"/>
        <w:snapToGrid w:val="0"/>
        <w:spacing w:line="360" w:lineRule="auto"/>
        <w:jc w:val="left"/>
        <w:rPr>
          <w:rFonts w:eastAsia="仿宋"/>
          <w:kern w:val="0"/>
          <w:sz w:val="24"/>
          <w:szCs w:val="24"/>
        </w:rPr>
      </w:pPr>
      <w:r>
        <w:rPr>
          <w:rFonts w:eastAsia="仿宋"/>
          <w:kern w:val="0"/>
          <w:sz w:val="24"/>
          <w:szCs w:val="24"/>
        </w:rPr>
        <w:t>注：1.法定代表人盖章必须是相关主管行政部门备案的法定代表人印章。不得使用其他印章或是电子版签名。</w:t>
      </w:r>
    </w:p>
    <w:p w14:paraId="3526FB30">
      <w:pPr>
        <w:autoSpaceDE w:val="0"/>
        <w:autoSpaceDN w:val="0"/>
        <w:adjustRightInd w:val="0"/>
        <w:snapToGrid w:val="0"/>
        <w:spacing w:line="360" w:lineRule="auto"/>
        <w:jc w:val="left"/>
        <w:rPr>
          <w:rFonts w:eastAsia="仿宋"/>
          <w:kern w:val="0"/>
          <w:sz w:val="24"/>
          <w:szCs w:val="24"/>
        </w:rPr>
      </w:pPr>
      <w:r>
        <w:rPr>
          <w:rFonts w:eastAsia="仿宋"/>
          <w:kern w:val="0"/>
          <w:sz w:val="24"/>
          <w:szCs w:val="24"/>
        </w:rPr>
        <w:t>2、供应商的委托代理人作为公司的代表前来参加磋商的供应商，须提供此项证明文件。</w:t>
      </w:r>
    </w:p>
    <w:p w14:paraId="337F36AE">
      <w:pPr>
        <w:widowControl/>
        <w:jc w:val="left"/>
        <w:rPr>
          <w:rFonts w:eastAsia="仿宋"/>
          <w:kern w:val="0"/>
          <w:sz w:val="24"/>
          <w:szCs w:val="24"/>
        </w:rPr>
      </w:pPr>
      <w:r>
        <w:rPr>
          <w:rFonts w:eastAsia="仿宋"/>
          <w:kern w:val="0"/>
          <w:sz w:val="24"/>
          <w:szCs w:val="24"/>
        </w:rPr>
        <w:br w:type="page"/>
      </w:r>
    </w:p>
    <w:p w14:paraId="32618DAC">
      <w:pPr>
        <w:autoSpaceDE w:val="0"/>
        <w:autoSpaceDN w:val="0"/>
        <w:spacing w:before="62"/>
        <w:jc w:val="left"/>
        <w:rPr>
          <w:rFonts w:eastAsia="仿宋"/>
          <w:b/>
          <w:bCs/>
          <w:kern w:val="0"/>
          <w:sz w:val="24"/>
          <w:szCs w:val="24"/>
        </w:rPr>
      </w:pPr>
      <w:r>
        <w:rPr>
          <w:rFonts w:eastAsia="仿宋"/>
          <w:b/>
          <w:bCs/>
          <w:kern w:val="0"/>
          <w:sz w:val="24"/>
          <w:szCs w:val="24"/>
        </w:rPr>
        <w:t>2、报价一览表及分项价格表</w:t>
      </w:r>
    </w:p>
    <w:p w14:paraId="6384DEDE">
      <w:pPr>
        <w:autoSpaceDE w:val="0"/>
        <w:autoSpaceDN w:val="0"/>
        <w:spacing w:before="3"/>
        <w:jc w:val="left"/>
        <w:rPr>
          <w:rFonts w:eastAsia="仿宋"/>
          <w:kern w:val="0"/>
          <w:sz w:val="24"/>
          <w:szCs w:val="24"/>
        </w:rPr>
      </w:pPr>
    </w:p>
    <w:p w14:paraId="7B66CD40">
      <w:pPr>
        <w:autoSpaceDE w:val="0"/>
        <w:autoSpaceDN w:val="0"/>
        <w:jc w:val="left"/>
        <w:rPr>
          <w:rFonts w:eastAsia="仿宋"/>
          <w:kern w:val="0"/>
          <w:sz w:val="24"/>
          <w:szCs w:val="24"/>
        </w:rPr>
      </w:pPr>
      <w:r>
        <w:rPr>
          <w:rFonts w:eastAsia="仿宋"/>
          <w:spacing w:val="-3"/>
          <w:w w:val="95"/>
          <w:kern w:val="0"/>
          <w:sz w:val="24"/>
          <w:szCs w:val="24"/>
        </w:rPr>
        <w:t xml:space="preserve">附件 </w:t>
      </w:r>
      <w:r>
        <w:rPr>
          <w:rFonts w:eastAsia="仿宋"/>
          <w:w w:val="95"/>
          <w:kern w:val="0"/>
          <w:sz w:val="24"/>
          <w:szCs w:val="24"/>
        </w:rPr>
        <w:t>2－1</w:t>
      </w:r>
    </w:p>
    <w:p w14:paraId="31DD11F4">
      <w:pPr>
        <w:autoSpaceDE w:val="0"/>
        <w:autoSpaceDN w:val="0"/>
        <w:jc w:val="left"/>
        <w:rPr>
          <w:rFonts w:eastAsia="仿宋"/>
          <w:kern w:val="0"/>
          <w:sz w:val="24"/>
          <w:szCs w:val="24"/>
        </w:rPr>
      </w:pPr>
    </w:p>
    <w:p w14:paraId="0906814E">
      <w:pPr>
        <w:autoSpaceDE w:val="0"/>
        <w:autoSpaceDN w:val="0"/>
        <w:spacing w:before="61"/>
        <w:ind w:right="891"/>
        <w:jc w:val="center"/>
        <w:rPr>
          <w:rFonts w:eastAsia="仿宋"/>
          <w:kern w:val="0"/>
          <w:sz w:val="24"/>
          <w:szCs w:val="24"/>
        </w:rPr>
      </w:pPr>
      <w:r>
        <w:rPr>
          <w:rFonts w:eastAsia="仿宋"/>
          <w:b/>
          <w:bCs/>
          <w:kern w:val="0"/>
          <w:sz w:val="24"/>
          <w:szCs w:val="24"/>
        </w:rPr>
        <w:t>报价一览表</w:t>
      </w:r>
    </w:p>
    <w:p w14:paraId="599B41A2">
      <w:pPr>
        <w:autoSpaceDE w:val="0"/>
        <w:autoSpaceDN w:val="0"/>
        <w:jc w:val="left"/>
        <w:rPr>
          <w:rFonts w:eastAsia="仿宋"/>
          <w:kern w:val="0"/>
          <w:sz w:val="24"/>
          <w:szCs w:val="24"/>
        </w:rPr>
      </w:pPr>
    </w:p>
    <w:p w14:paraId="3431DBD0">
      <w:pPr>
        <w:autoSpaceDE w:val="0"/>
        <w:autoSpaceDN w:val="0"/>
        <w:jc w:val="left"/>
        <w:rPr>
          <w:rFonts w:eastAsia="仿宋"/>
          <w:kern w:val="0"/>
          <w:sz w:val="24"/>
          <w:szCs w:val="24"/>
        </w:rPr>
      </w:pPr>
    </w:p>
    <w:p w14:paraId="77CA8CFB">
      <w:pPr>
        <w:autoSpaceDE w:val="0"/>
        <w:autoSpaceDN w:val="0"/>
        <w:jc w:val="left"/>
        <w:rPr>
          <w:rFonts w:eastAsia="仿宋"/>
          <w:kern w:val="0"/>
          <w:sz w:val="24"/>
          <w:szCs w:val="24"/>
        </w:rPr>
      </w:pPr>
    </w:p>
    <w:tbl>
      <w:tblPr>
        <w:tblStyle w:val="46"/>
        <w:tblW w:w="0" w:type="auto"/>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7"/>
        <w:gridCol w:w="2657"/>
        <w:gridCol w:w="2845"/>
        <w:gridCol w:w="1236"/>
        <w:gridCol w:w="1726"/>
      </w:tblGrid>
      <w:tr w14:paraId="124C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227" w:type="dxa"/>
            <w:vAlign w:val="center"/>
          </w:tcPr>
          <w:p w14:paraId="308F71E5">
            <w:pPr>
              <w:autoSpaceDE w:val="0"/>
              <w:autoSpaceDN w:val="0"/>
              <w:snapToGrid w:val="0"/>
              <w:ind w:right="196"/>
              <w:jc w:val="center"/>
              <w:rPr>
                <w:rFonts w:ascii="Calibri" w:hAnsi="Calibri" w:eastAsia="仿宋"/>
                <w:kern w:val="0"/>
                <w:szCs w:val="21"/>
                <w:lang w:eastAsia="en-US"/>
              </w:rPr>
            </w:pPr>
            <w:r>
              <w:rPr>
                <w:rFonts w:ascii="Calibri" w:hAnsi="Calibri" w:eastAsia="仿宋"/>
                <w:kern w:val="0"/>
                <w:szCs w:val="21"/>
                <w:lang w:eastAsia="en-US"/>
              </w:rPr>
              <w:t>序号</w:t>
            </w:r>
          </w:p>
        </w:tc>
        <w:tc>
          <w:tcPr>
            <w:tcW w:w="2657" w:type="dxa"/>
            <w:vAlign w:val="center"/>
          </w:tcPr>
          <w:p w14:paraId="0A1129A6">
            <w:pPr>
              <w:autoSpaceDE w:val="0"/>
              <w:autoSpaceDN w:val="0"/>
              <w:snapToGrid w:val="0"/>
              <w:ind w:right="134"/>
              <w:jc w:val="center"/>
              <w:rPr>
                <w:rFonts w:ascii="Calibri" w:hAnsi="Calibri" w:eastAsia="仿宋"/>
                <w:kern w:val="0"/>
                <w:szCs w:val="21"/>
                <w:lang w:eastAsia="en-US"/>
              </w:rPr>
            </w:pPr>
            <w:r>
              <w:rPr>
                <w:rFonts w:ascii="Calibri" w:hAnsi="Calibri" w:eastAsia="仿宋"/>
                <w:kern w:val="0"/>
                <w:szCs w:val="21"/>
                <w:lang w:eastAsia="en-US"/>
              </w:rPr>
              <w:t>项目名称</w:t>
            </w:r>
          </w:p>
        </w:tc>
        <w:tc>
          <w:tcPr>
            <w:tcW w:w="2845" w:type="dxa"/>
            <w:vAlign w:val="center"/>
          </w:tcPr>
          <w:p w14:paraId="4F777568">
            <w:pPr>
              <w:autoSpaceDE w:val="0"/>
              <w:autoSpaceDN w:val="0"/>
              <w:snapToGrid w:val="0"/>
              <w:jc w:val="center"/>
              <w:rPr>
                <w:rFonts w:ascii="Calibri" w:hAnsi="Calibri" w:eastAsia="仿宋"/>
                <w:kern w:val="0"/>
                <w:szCs w:val="21"/>
                <w:lang w:eastAsia="en-US"/>
              </w:rPr>
            </w:pPr>
          </w:p>
        </w:tc>
        <w:tc>
          <w:tcPr>
            <w:tcW w:w="1236" w:type="dxa"/>
            <w:vAlign w:val="center"/>
          </w:tcPr>
          <w:p w14:paraId="34E00826">
            <w:pPr>
              <w:autoSpaceDE w:val="0"/>
              <w:autoSpaceDN w:val="0"/>
              <w:snapToGrid w:val="0"/>
              <w:jc w:val="center"/>
              <w:rPr>
                <w:rFonts w:ascii="Calibri" w:hAnsi="Calibri" w:eastAsia="仿宋"/>
                <w:kern w:val="0"/>
                <w:szCs w:val="21"/>
                <w:lang w:eastAsia="en-US"/>
              </w:rPr>
            </w:pPr>
            <w:r>
              <w:rPr>
                <w:rFonts w:ascii="Calibri" w:hAnsi="Calibri" w:eastAsia="仿宋"/>
                <w:kern w:val="0"/>
                <w:szCs w:val="21"/>
                <w:lang w:eastAsia="en-US"/>
              </w:rPr>
              <w:t>标项号</w:t>
            </w:r>
          </w:p>
        </w:tc>
        <w:tc>
          <w:tcPr>
            <w:tcW w:w="1726" w:type="dxa"/>
            <w:vAlign w:val="center"/>
          </w:tcPr>
          <w:p w14:paraId="11A56CD4">
            <w:pPr>
              <w:autoSpaceDE w:val="0"/>
              <w:autoSpaceDN w:val="0"/>
              <w:snapToGrid w:val="0"/>
              <w:jc w:val="center"/>
              <w:rPr>
                <w:rFonts w:ascii="Calibri" w:hAnsi="Calibri" w:eastAsia="仿宋"/>
                <w:kern w:val="0"/>
                <w:szCs w:val="21"/>
                <w:lang w:eastAsia="en-US"/>
              </w:rPr>
            </w:pPr>
          </w:p>
        </w:tc>
      </w:tr>
      <w:tr w14:paraId="154C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1227" w:type="dxa"/>
            <w:vAlign w:val="center"/>
          </w:tcPr>
          <w:p w14:paraId="25308660">
            <w:pPr>
              <w:autoSpaceDE w:val="0"/>
              <w:autoSpaceDN w:val="0"/>
              <w:snapToGrid w:val="0"/>
              <w:spacing w:before="1"/>
              <w:jc w:val="center"/>
              <w:rPr>
                <w:rFonts w:ascii="Calibri" w:hAnsi="Calibri" w:eastAsia="仿宋"/>
                <w:kern w:val="0"/>
                <w:szCs w:val="21"/>
                <w:lang w:eastAsia="en-US"/>
              </w:rPr>
            </w:pPr>
          </w:p>
          <w:p w14:paraId="519FE35F">
            <w:pPr>
              <w:autoSpaceDE w:val="0"/>
              <w:autoSpaceDN w:val="0"/>
              <w:snapToGrid w:val="0"/>
              <w:spacing w:before="1"/>
              <w:jc w:val="center"/>
              <w:rPr>
                <w:rFonts w:ascii="Calibri" w:hAnsi="Calibri" w:eastAsia="仿宋"/>
                <w:kern w:val="0"/>
                <w:szCs w:val="21"/>
                <w:lang w:eastAsia="en-US"/>
              </w:rPr>
            </w:pPr>
            <w:r>
              <w:rPr>
                <w:rFonts w:ascii="Calibri" w:hAnsi="Calibri" w:eastAsia="仿宋"/>
                <w:kern w:val="0"/>
                <w:szCs w:val="21"/>
                <w:lang w:eastAsia="en-US"/>
              </w:rPr>
              <w:t>1</w:t>
            </w:r>
          </w:p>
        </w:tc>
        <w:tc>
          <w:tcPr>
            <w:tcW w:w="2657" w:type="dxa"/>
            <w:vAlign w:val="center"/>
          </w:tcPr>
          <w:p w14:paraId="7DE28CD3">
            <w:pPr>
              <w:autoSpaceDE w:val="0"/>
              <w:autoSpaceDN w:val="0"/>
              <w:snapToGrid w:val="0"/>
              <w:spacing w:before="1"/>
              <w:jc w:val="center"/>
              <w:rPr>
                <w:rFonts w:ascii="Calibri" w:hAnsi="Calibri" w:eastAsia="仿宋"/>
                <w:kern w:val="0"/>
                <w:szCs w:val="21"/>
                <w:lang w:eastAsia="en-US"/>
              </w:rPr>
            </w:pPr>
          </w:p>
          <w:p w14:paraId="77416845">
            <w:pPr>
              <w:autoSpaceDE w:val="0"/>
              <w:autoSpaceDN w:val="0"/>
              <w:snapToGrid w:val="0"/>
              <w:spacing w:before="1"/>
              <w:ind w:right="134"/>
              <w:jc w:val="center"/>
              <w:rPr>
                <w:rFonts w:ascii="Calibri" w:hAnsi="Calibri" w:eastAsia="仿宋"/>
                <w:kern w:val="0"/>
                <w:szCs w:val="21"/>
                <w:lang w:eastAsia="en-US"/>
              </w:rPr>
            </w:pPr>
            <w:r>
              <w:rPr>
                <w:rFonts w:ascii="Calibri" w:hAnsi="Calibri" w:eastAsia="仿宋"/>
                <w:kern w:val="0"/>
                <w:szCs w:val="21"/>
                <w:lang w:eastAsia="en-US"/>
              </w:rPr>
              <w:t>报价</w:t>
            </w:r>
          </w:p>
        </w:tc>
        <w:tc>
          <w:tcPr>
            <w:tcW w:w="5807" w:type="dxa"/>
            <w:gridSpan w:val="3"/>
            <w:vAlign w:val="center"/>
          </w:tcPr>
          <w:p w14:paraId="234A1561">
            <w:pPr>
              <w:tabs>
                <w:tab w:val="left" w:pos="2267"/>
              </w:tabs>
              <w:autoSpaceDE w:val="0"/>
              <w:autoSpaceDN w:val="0"/>
              <w:snapToGrid w:val="0"/>
              <w:jc w:val="center"/>
              <w:rPr>
                <w:rFonts w:ascii="Calibri" w:hAnsi="Calibri" w:eastAsia="仿宋"/>
                <w:kern w:val="0"/>
                <w:szCs w:val="21"/>
                <w:lang w:eastAsia="en-US"/>
              </w:rPr>
            </w:pPr>
            <w:r>
              <w:rPr>
                <w:rFonts w:ascii="Calibri" w:hAnsi="Calibri" w:eastAsia="仿宋"/>
                <w:kern w:val="0"/>
                <w:szCs w:val="21"/>
                <w:lang w:eastAsia="en-US"/>
              </w:rPr>
              <w:t>大写：人民币</w:t>
            </w:r>
            <w:r>
              <w:rPr>
                <w:rFonts w:ascii="Calibri" w:hAnsi="Calibri" w:eastAsia="仿宋"/>
                <w:kern w:val="0"/>
                <w:szCs w:val="21"/>
                <w:u w:val="single"/>
                <w:lang w:eastAsia="en-US"/>
              </w:rPr>
              <w:tab/>
            </w:r>
            <w:r>
              <w:rPr>
                <w:rFonts w:ascii="Calibri" w:hAnsi="Calibri" w:eastAsia="仿宋"/>
                <w:kern w:val="0"/>
                <w:szCs w:val="21"/>
                <w:lang w:eastAsia="en-US"/>
              </w:rPr>
              <w:t>元</w:t>
            </w:r>
          </w:p>
          <w:p w14:paraId="6C22FCE2">
            <w:pPr>
              <w:tabs>
                <w:tab w:val="left" w:pos="1842"/>
              </w:tabs>
              <w:autoSpaceDE w:val="0"/>
              <w:autoSpaceDN w:val="0"/>
              <w:snapToGrid w:val="0"/>
              <w:spacing w:before="161"/>
              <w:jc w:val="center"/>
              <w:rPr>
                <w:rFonts w:ascii="Calibri" w:hAnsi="Calibri" w:eastAsia="仿宋"/>
                <w:kern w:val="0"/>
                <w:szCs w:val="21"/>
                <w:lang w:eastAsia="en-US"/>
              </w:rPr>
            </w:pPr>
            <w:r>
              <w:rPr>
                <w:rFonts w:ascii="Calibri" w:hAnsi="Calibri" w:eastAsia="仿宋"/>
                <w:kern w:val="0"/>
                <w:szCs w:val="21"/>
                <w:lang w:eastAsia="en-US"/>
              </w:rPr>
              <w:t>小写：￥</w:t>
            </w:r>
          </w:p>
        </w:tc>
      </w:tr>
      <w:tr w14:paraId="6A9CF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227" w:type="dxa"/>
            <w:vAlign w:val="center"/>
          </w:tcPr>
          <w:p w14:paraId="2BD9CF3A">
            <w:pPr>
              <w:autoSpaceDE w:val="0"/>
              <w:autoSpaceDN w:val="0"/>
              <w:snapToGrid w:val="0"/>
              <w:jc w:val="center"/>
              <w:rPr>
                <w:rFonts w:ascii="Calibri" w:hAnsi="Calibri" w:eastAsia="仿宋"/>
                <w:kern w:val="0"/>
                <w:szCs w:val="21"/>
                <w:lang w:eastAsia="en-US"/>
              </w:rPr>
            </w:pPr>
            <w:r>
              <w:rPr>
                <w:rFonts w:ascii="Calibri" w:hAnsi="Calibri" w:eastAsia="仿宋"/>
                <w:kern w:val="0"/>
                <w:szCs w:val="21"/>
                <w:lang w:eastAsia="en-US"/>
              </w:rPr>
              <w:t>2</w:t>
            </w:r>
          </w:p>
        </w:tc>
        <w:tc>
          <w:tcPr>
            <w:tcW w:w="2657" w:type="dxa"/>
            <w:vAlign w:val="center"/>
          </w:tcPr>
          <w:p w14:paraId="5DEF9C44">
            <w:pPr>
              <w:autoSpaceDE w:val="0"/>
              <w:autoSpaceDN w:val="0"/>
              <w:snapToGrid w:val="0"/>
              <w:ind w:right="134"/>
              <w:jc w:val="center"/>
              <w:rPr>
                <w:rFonts w:ascii="Calibri" w:hAnsi="Calibri" w:eastAsia="仿宋"/>
                <w:kern w:val="0"/>
                <w:szCs w:val="21"/>
                <w:lang w:eastAsia="en-US"/>
              </w:rPr>
            </w:pPr>
            <w:r>
              <w:rPr>
                <w:rFonts w:ascii="Calibri" w:hAnsi="Calibri" w:eastAsia="仿宋"/>
                <w:kern w:val="0"/>
                <w:szCs w:val="21"/>
                <w:lang w:eastAsia="en-US"/>
              </w:rPr>
              <w:t>合同履约期限</w:t>
            </w:r>
          </w:p>
        </w:tc>
        <w:tc>
          <w:tcPr>
            <w:tcW w:w="5807" w:type="dxa"/>
            <w:gridSpan w:val="3"/>
            <w:vAlign w:val="center"/>
          </w:tcPr>
          <w:p w14:paraId="4C4ABF62">
            <w:pPr>
              <w:autoSpaceDE w:val="0"/>
              <w:autoSpaceDN w:val="0"/>
              <w:snapToGrid w:val="0"/>
              <w:jc w:val="center"/>
              <w:rPr>
                <w:rFonts w:ascii="Calibri" w:hAnsi="Calibri" w:eastAsia="仿宋"/>
                <w:kern w:val="0"/>
                <w:szCs w:val="21"/>
                <w:lang w:eastAsia="en-US"/>
              </w:rPr>
            </w:pPr>
          </w:p>
        </w:tc>
      </w:tr>
      <w:tr w14:paraId="1931D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9691" w:type="dxa"/>
            <w:gridSpan w:val="5"/>
            <w:vAlign w:val="center"/>
          </w:tcPr>
          <w:p w14:paraId="226C4E1C">
            <w:pPr>
              <w:autoSpaceDE w:val="0"/>
              <w:autoSpaceDN w:val="0"/>
              <w:snapToGrid w:val="0"/>
              <w:jc w:val="center"/>
              <w:rPr>
                <w:rFonts w:ascii="Calibri" w:hAnsi="Calibri" w:eastAsia="仿宋"/>
                <w:spacing w:val="-1"/>
                <w:kern w:val="0"/>
                <w:szCs w:val="21"/>
                <w:lang w:eastAsia="en-US"/>
              </w:rPr>
            </w:pPr>
          </w:p>
          <w:p w14:paraId="2FFD5C3E">
            <w:pPr>
              <w:autoSpaceDE w:val="0"/>
              <w:autoSpaceDN w:val="0"/>
              <w:snapToGrid w:val="0"/>
              <w:jc w:val="center"/>
              <w:rPr>
                <w:rFonts w:ascii="Calibri" w:hAnsi="Calibri" w:eastAsia="仿宋"/>
                <w:spacing w:val="-1"/>
                <w:kern w:val="0"/>
                <w:szCs w:val="21"/>
                <w:lang w:eastAsia="en-US"/>
              </w:rPr>
            </w:pPr>
            <w:r>
              <w:rPr>
                <w:rFonts w:ascii="Calibri" w:hAnsi="Calibri" w:eastAsia="仿宋"/>
                <w:spacing w:val="-1"/>
                <w:kern w:val="0"/>
                <w:szCs w:val="21"/>
                <w:lang w:eastAsia="en-US"/>
              </w:rPr>
              <w:t>报价要求：报价需含调研费、设计费、运费、拆除费、搬运、人工、安装、辅材、税金等一切与本项目相关费用等。</w:t>
            </w:r>
          </w:p>
          <w:p w14:paraId="25C888B9">
            <w:pPr>
              <w:autoSpaceDE w:val="0"/>
              <w:autoSpaceDN w:val="0"/>
              <w:snapToGrid w:val="0"/>
              <w:jc w:val="center"/>
              <w:rPr>
                <w:rFonts w:ascii="Calibri" w:hAnsi="Calibri" w:eastAsia="仿宋"/>
                <w:kern w:val="0"/>
                <w:szCs w:val="21"/>
                <w:lang w:eastAsia="en-US"/>
              </w:rPr>
            </w:pPr>
          </w:p>
        </w:tc>
      </w:tr>
    </w:tbl>
    <w:p w14:paraId="29375E0C">
      <w:pPr>
        <w:autoSpaceDE w:val="0"/>
        <w:autoSpaceDN w:val="0"/>
        <w:jc w:val="left"/>
        <w:rPr>
          <w:rFonts w:eastAsia="仿宋"/>
          <w:kern w:val="0"/>
          <w:sz w:val="24"/>
          <w:szCs w:val="24"/>
        </w:rPr>
      </w:pPr>
    </w:p>
    <w:p w14:paraId="4C1FC0BC">
      <w:pPr>
        <w:autoSpaceDE w:val="0"/>
        <w:autoSpaceDN w:val="0"/>
        <w:jc w:val="left"/>
        <w:rPr>
          <w:rFonts w:eastAsia="仿宋"/>
          <w:kern w:val="0"/>
          <w:sz w:val="24"/>
          <w:szCs w:val="24"/>
        </w:rPr>
      </w:pPr>
    </w:p>
    <w:p w14:paraId="7931C5FC">
      <w:pPr>
        <w:autoSpaceDE w:val="0"/>
        <w:autoSpaceDN w:val="0"/>
        <w:spacing w:before="3"/>
        <w:jc w:val="left"/>
        <w:rPr>
          <w:rFonts w:eastAsia="仿宋"/>
          <w:kern w:val="0"/>
          <w:sz w:val="24"/>
          <w:szCs w:val="24"/>
        </w:rPr>
      </w:pPr>
    </w:p>
    <w:p w14:paraId="05853EA6">
      <w:pPr>
        <w:tabs>
          <w:tab w:val="left" w:pos="4648"/>
        </w:tabs>
        <w:autoSpaceDE w:val="0"/>
        <w:autoSpaceDN w:val="0"/>
        <w:spacing w:before="74"/>
        <w:jc w:val="left"/>
        <w:rPr>
          <w:rFonts w:eastAsia="仿宋"/>
          <w:kern w:val="0"/>
          <w:sz w:val="24"/>
          <w:szCs w:val="24"/>
        </w:rPr>
      </w:pPr>
      <w:r>
        <w:rPr>
          <w:rFonts w:eastAsia="仿宋"/>
          <w:spacing w:val="-1"/>
          <w:kern w:val="0"/>
          <w:sz w:val="24"/>
          <w:szCs w:val="24"/>
        </w:rPr>
        <w:t>供</w:t>
      </w:r>
      <w:r>
        <w:rPr>
          <w:rFonts w:eastAsia="仿宋"/>
          <w:kern w:val="0"/>
          <w:sz w:val="24"/>
          <w:szCs w:val="24"/>
        </w:rPr>
        <w:t>应商名称(公章)：</w:t>
      </w:r>
      <w:r>
        <w:rPr>
          <w:rFonts w:eastAsia="仿宋"/>
          <w:kern w:val="0"/>
          <w:sz w:val="24"/>
          <w:szCs w:val="24"/>
          <w:u w:val="single"/>
        </w:rPr>
        <w:t xml:space="preserve"> </w:t>
      </w:r>
      <w:r>
        <w:rPr>
          <w:rFonts w:eastAsia="仿宋"/>
          <w:kern w:val="0"/>
          <w:sz w:val="24"/>
          <w:szCs w:val="24"/>
          <w:u w:val="single"/>
        </w:rPr>
        <w:tab/>
      </w:r>
    </w:p>
    <w:p w14:paraId="63C12192">
      <w:pPr>
        <w:autoSpaceDE w:val="0"/>
        <w:autoSpaceDN w:val="0"/>
        <w:spacing w:before="8"/>
        <w:jc w:val="left"/>
        <w:rPr>
          <w:rFonts w:eastAsia="仿宋"/>
          <w:kern w:val="0"/>
          <w:sz w:val="24"/>
          <w:szCs w:val="24"/>
        </w:rPr>
      </w:pPr>
    </w:p>
    <w:p w14:paraId="0331D1E2">
      <w:pPr>
        <w:tabs>
          <w:tab w:val="left" w:pos="6808"/>
        </w:tabs>
        <w:autoSpaceDE w:val="0"/>
        <w:autoSpaceDN w:val="0"/>
        <w:spacing w:before="74"/>
        <w:jc w:val="left"/>
        <w:rPr>
          <w:rFonts w:eastAsia="仿宋"/>
          <w:kern w:val="0"/>
          <w:sz w:val="24"/>
          <w:szCs w:val="24"/>
        </w:rPr>
      </w:pPr>
      <w:r>
        <w:rPr>
          <w:rFonts w:eastAsia="仿宋"/>
          <w:kern w:val="0"/>
          <w:sz w:val="24"/>
          <w:szCs w:val="24"/>
        </w:rPr>
        <w:t>法定代表人或其授权代表(签字或盖章)：</w:t>
      </w:r>
      <w:r>
        <w:rPr>
          <w:rFonts w:eastAsia="仿宋"/>
          <w:kern w:val="0"/>
          <w:sz w:val="24"/>
          <w:szCs w:val="24"/>
          <w:u w:val="single"/>
        </w:rPr>
        <w:t xml:space="preserve"> </w:t>
      </w:r>
      <w:r>
        <w:rPr>
          <w:rFonts w:eastAsia="仿宋"/>
          <w:kern w:val="0"/>
          <w:sz w:val="24"/>
          <w:szCs w:val="24"/>
          <w:u w:val="single"/>
        </w:rPr>
        <w:tab/>
      </w:r>
    </w:p>
    <w:p w14:paraId="294D7789">
      <w:pPr>
        <w:autoSpaceDE w:val="0"/>
        <w:autoSpaceDN w:val="0"/>
        <w:spacing w:before="8"/>
        <w:jc w:val="left"/>
        <w:rPr>
          <w:rFonts w:eastAsia="仿宋"/>
          <w:kern w:val="0"/>
          <w:sz w:val="24"/>
          <w:szCs w:val="24"/>
        </w:rPr>
      </w:pPr>
    </w:p>
    <w:p w14:paraId="1BEF9199">
      <w:pPr>
        <w:tabs>
          <w:tab w:val="left" w:pos="2433"/>
          <w:tab w:val="left" w:pos="3153"/>
          <w:tab w:val="left" w:pos="3873"/>
        </w:tabs>
        <w:autoSpaceDE w:val="0"/>
        <w:autoSpaceDN w:val="0"/>
        <w:spacing w:before="74"/>
        <w:jc w:val="left"/>
        <w:rPr>
          <w:rFonts w:eastAsia="仿宋"/>
          <w:kern w:val="0"/>
          <w:sz w:val="24"/>
          <w:szCs w:val="24"/>
        </w:rPr>
      </w:pPr>
      <w:r>
        <w:rPr>
          <w:rFonts w:eastAsia="仿宋"/>
          <w:kern w:val="0"/>
          <w:sz w:val="24"/>
          <w:szCs w:val="24"/>
        </w:rPr>
        <w:t>日期：</w:t>
      </w:r>
      <w:r>
        <w:rPr>
          <w:rFonts w:eastAsia="仿宋"/>
          <w:kern w:val="0"/>
          <w:sz w:val="24"/>
          <w:szCs w:val="24"/>
          <w:u w:val="single"/>
        </w:rPr>
        <w:tab/>
      </w:r>
      <w:r>
        <w:rPr>
          <w:rFonts w:eastAsia="仿宋"/>
          <w:kern w:val="0"/>
          <w:sz w:val="24"/>
          <w:szCs w:val="24"/>
        </w:rPr>
        <w:t>年</w:t>
      </w:r>
      <w:r>
        <w:rPr>
          <w:rFonts w:eastAsia="仿宋"/>
          <w:kern w:val="0"/>
          <w:sz w:val="24"/>
          <w:szCs w:val="24"/>
          <w:u w:val="single"/>
        </w:rPr>
        <w:tab/>
      </w:r>
      <w:r>
        <w:rPr>
          <w:rFonts w:eastAsia="仿宋"/>
          <w:kern w:val="0"/>
          <w:sz w:val="24"/>
          <w:szCs w:val="24"/>
        </w:rPr>
        <w:t>月</w:t>
      </w:r>
      <w:r>
        <w:rPr>
          <w:rFonts w:eastAsia="仿宋"/>
          <w:kern w:val="0"/>
          <w:sz w:val="24"/>
          <w:szCs w:val="24"/>
          <w:u w:val="single"/>
        </w:rPr>
        <w:tab/>
      </w:r>
      <w:r>
        <w:rPr>
          <w:rFonts w:eastAsia="仿宋"/>
          <w:kern w:val="0"/>
          <w:sz w:val="24"/>
          <w:szCs w:val="24"/>
        </w:rPr>
        <w:t>日</w:t>
      </w:r>
    </w:p>
    <w:p w14:paraId="50B1685B">
      <w:pPr>
        <w:autoSpaceDE w:val="0"/>
        <w:autoSpaceDN w:val="0"/>
        <w:spacing w:before="6"/>
        <w:jc w:val="left"/>
        <w:rPr>
          <w:rFonts w:eastAsia="仿宋"/>
          <w:kern w:val="0"/>
          <w:sz w:val="24"/>
          <w:szCs w:val="24"/>
        </w:rPr>
      </w:pPr>
    </w:p>
    <w:p w14:paraId="40FD59BA">
      <w:pPr>
        <w:autoSpaceDE w:val="0"/>
        <w:autoSpaceDN w:val="0"/>
        <w:jc w:val="left"/>
        <w:rPr>
          <w:rFonts w:eastAsia="仿宋"/>
          <w:kern w:val="0"/>
          <w:sz w:val="24"/>
          <w:szCs w:val="24"/>
        </w:rPr>
      </w:pPr>
      <w:r>
        <w:rPr>
          <w:rFonts w:eastAsia="仿宋"/>
          <w:kern w:val="0"/>
          <w:sz w:val="24"/>
          <w:szCs w:val="24"/>
        </w:rPr>
        <w:t>说明：授权用投标专用章的，与公章具有相同法律效力。</w:t>
      </w:r>
    </w:p>
    <w:p w14:paraId="19C062F0">
      <w:pPr>
        <w:pStyle w:val="2"/>
        <w:rPr>
          <w:rFonts w:hint="eastAsia"/>
        </w:rPr>
      </w:pPr>
    </w:p>
    <w:p w14:paraId="52681946">
      <w:pPr>
        <w:autoSpaceDE w:val="0"/>
        <w:autoSpaceDN w:val="0"/>
        <w:jc w:val="left"/>
        <w:rPr>
          <w:rFonts w:eastAsia="仿宋"/>
          <w:kern w:val="0"/>
          <w:sz w:val="24"/>
          <w:szCs w:val="24"/>
        </w:rPr>
        <w:sectPr>
          <w:headerReference r:id="rId10" w:type="default"/>
          <w:footerReference r:id="rId11" w:type="default"/>
          <w:pgSz w:w="11911" w:h="16838"/>
          <w:pgMar w:top="1440" w:right="1140" w:bottom="1440" w:left="1140" w:header="850" w:footer="1088" w:gutter="0"/>
          <w:cols w:space="0" w:num="1"/>
        </w:sectPr>
      </w:pPr>
    </w:p>
    <w:p w14:paraId="7E9E7110">
      <w:pPr>
        <w:autoSpaceDE w:val="0"/>
        <w:autoSpaceDN w:val="0"/>
        <w:spacing w:before="62"/>
        <w:jc w:val="left"/>
        <w:rPr>
          <w:rFonts w:eastAsia="仿宋"/>
          <w:b/>
          <w:bCs/>
          <w:kern w:val="0"/>
          <w:sz w:val="24"/>
          <w:szCs w:val="24"/>
        </w:rPr>
      </w:pPr>
      <w:r>
        <w:rPr>
          <w:rFonts w:eastAsia="仿宋"/>
          <w:b/>
          <w:bCs/>
          <w:spacing w:val="-1"/>
          <w:kern w:val="0"/>
          <w:sz w:val="24"/>
          <w:szCs w:val="24"/>
        </w:rPr>
        <w:t>3、商务条款偏离表</w:t>
      </w:r>
    </w:p>
    <w:p w14:paraId="1F645C77">
      <w:pPr>
        <w:autoSpaceDE w:val="0"/>
        <w:autoSpaceDN w:val="0"/>
        <w:spacing w:before="4"/>
        <w:jc w:val="left"/>
        <w:rPr>
          <w:rFonts w:eastAsia="仿宋"/>
          <w:kern w:val="0"/>
          <w:sz w:val="24"/>
          <w:szCs w:val="24"/>
          <w:highlight w:val="yellow"/>
        </w:rPr>
      </w:pPr>
    </w:p>
    <w:p w14:paraId="683BF933">
      <w:pPr>
        <w:autoSpaceDE w:val="0"/>
        <w:autoSpaceDN w:val="0"/>
        <w:spacing w:before="67"/>
        <w:ind w:right="891"/>
        <w:jc w:val="center"/>
        <w:rPr>
          <w:rFonts w:eastAsia="仿宋"/>
          <w:b/>
          <w:bCs/>
          <w:kern w:val="0"/>
          <w:sz w:val="24"/>
          <w:szCs w:val="24"/>
        </w:rPr>
      </w:pPr>
      <w:r>
        <w:rPr>
          <w:rFonts w:eastAsia="仿宋"/>
          <w:b/>
          <w:bCs/>
          <w:kern w:val="0"/>
          <w:sz w:val="24"/>
          <w:szCs w:val="24"/>
        </w:rPr>
        <w:t>商务条款偏离表</w:t>
      </w:r>
    </w:p>
    <w:p w14:paraId="5FD40DAA">
      <w:pPr>
        <w:autoSpaceDE w:val="0"/>
        <w:autoSpaceDN w:val="0"/>
        <w:spacing w:before="3"/>
        <w:jc w:val="left"/>
        <w:rPr>
          <w:rFonts w:eastAsia="仿宋"/>
          <w:kern w:val="0"/>
          <w:sz w:val="24"/>
          <w:szCs w:val="24"/>
          <w:highlight w:val="yellow"/>
        </w:rPr>
      </w:pPr>
    </w:p>
    <w:p w14:paraId="651D216D">
      <w:pPr>
        <w:tabs>
          <w:tab w:val="left" w:pos="7234"/>
        </w:tabs>
        <w:autoSpaceDE w:val="0"/>
        <w:autoSpaceDN w:val="0"/>
        <w:spacing w:line="360" w:lineRule="auto"/>
        <w:jc w:val="left"/>
        <w:rPr>
          <w:rFonts w:eastAsia="仿宋"/>
          <w:kern w:val="0"/>
          <w:sz w:val="24"/>
          <w:szCs w:val="24"/>
        </w:rPr>
      </w:pPr>
      <w:r>
        <w:rPr>
          <w:rFonts w:eastAsia="仿宋"/>
          <w:kern w:val="0"/>
          <w:sz w:val="24"/>
          <w:szCs w:val="24"/>
        </w:rPr>
        <w:t>项目名称：</w:t>
      </w:r>
      <w:r>
        <w:rPr>
          <w:rFonts w:eastAsia="仿宋"/>
          <w:kern w:val="0"/>
          <w:sz w:val="24"/>
          <w:szCs w:val="24"/>
        </w:rPr>
        <w:tab/>
      </w:r>
    </w:p>
    <w:p w14:paraId="2998374E">
      <w:pPr>
        <w:tabs>
          <w:tab w:val="left" w:pos="7234"/>
        </w:tabs>
        <w:autoSpaceDE w:val="0"/>
        <w:autoSpaceDN w:val="0"/>
        <w:spacing w:line="360" w:lineRule="auto"/>
        <w:jc w:val="left"/>
        <w:rPr>
          <w:rFonts w:eastAsia="仿宋"/>
          <w:kern w:val="0"/>
          <w:sz w:val="24"/>
          <w:szCs w:val="24"/>
        </w:rPr>
      </w:pPr>
      <w:r>
        <w:rPr>
          <w:rFonts w:eastAsia="仿宋"/>
          <w:kern w:val="0"/>
          <w:sz w:val="24"/>
          <w:szCs w:val="24"/>
        </w:rPr>
        <w:t xml:space="preserve">标项号： </w:t>
      </w:r>
    </w:p>
    <w:tbl>
      <w:tblPr>
        <w:tblStyle w:val="46"/>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2"/>
        <w:gridCol w:w="3567"/>
        <w:gridCol w:w="3066"/>
        <w:gridCol w:w="1000"/>
        <w:gridCol w:w="884"/>
      </w:tblGrid>
      <w:tr w14:paraId="4BCB5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72" w:type="dxa"/>
            <w:vAlign w:val="center"/>
          </w:tcPr>
          <w:p w14:paraId="4F8E639B">
            <w:pPr>
              <w:autoSpaceDE w:val="0"/>
              <w:autoSpaceDN w:val="0"/>
              <w:spacing w:before="1"/>
              <w:jc w:val="center"/>
              <w:rPr>
                <w:rFonts w:ascii="Calibri" w:hAnsi="Calibri" w:eastAsia="仿宋"/>
                <w:kern w:val="0"/>
                <w:szCs w:val="21"/>
                <w:lang w:eastAsia="en-US"/>
              </w:rPr>
            </w:pPr>
            <w:r>
              <w:rPr>
                <w:rFonts w:ascii="Calibri" w:hAnsi="Calibri" w:eastAsia="仿宋"/>
                <w:kern w:val="0"/>
                <w:szCs w:val="21"/>
                <w:lang w:eastAsia="en-US"/>
              </w:rPr>
              <w:t>序号</w:t>
            </w:r>
          </w:p>
        </w:tc>
        <w:tc>
          <w:tcPr>
            <w:tcW w:w="3567" w:type="dxa"/>
            <w:vAlign w:val="center"/>
          </w:tcPr>
          <w:p w14:paraId="24901AF6">
            <w:pPr>
              <w:autoSpaceDE w:val="0"/>
              <w:autoSpaceDN w:val="0"/>
              <w:ind w:right="181"/>
              <w:jc w:val="center"/>
              <w:rPr>
                <w:rFonts w:ascii="Calibri" w:hAnsi="Calibri" w:eastAsia="仿宋"/>
                <w:kern w:val="0"/>
                <w:szCs w:val="21"/>
                <w:lang w:eastAsia="en-US"/>
              </w:rPr>
            </w:pPr>
            <w:r>
              <w:rPr>
                <w:rFonts w:ascii="Calibri" w:hAnsi="Calibri" w:eastAsia="仿宋"/>
                <w:kern w:val="0"/>
                <w:szCs w:val="21"/>
                <w:lang w:eastAsia="en-US"/>
              </w:rPr>
              <w:t>采购文件的商务条款</w:t>
            </w:r>
          </w:p>
        </w:tc>
        <w:tc>
          <w:tcPr>
            <w:tcW w:w="3066" w:type="dxa"/>
            <w:vAlign w:val="center"/>
          </w:tcPr>
          <w:p w14:paraId="47670730">
            <w:pPr>
              <w:autoSpaceDE w:val="0"/>
              <w:autoSpaceDN w:val="0"/>
              <w:ind w:right="180"/>
              <w:jc w:val="center"/>
              <w:rPr>
                <w:rFonts w:ascii="Calibri" w:hAnsi="Calibri" w:eastAsia="仿宋"/>
                <w:kern w:val="0"/>
                <w:szCs w:val="21"/>
                <w:lang w:eastAsia="en-US"/>
              </w:rPr>
            </w:pPr>
            <w:r>
              <w:rPr>
                <w:rFonts w:ascii="Calibri" w:hAnsi="Calibri" w:eastAsia="仿宋"/>
                <w:kern w:val="0"/>
                <w:szCs w:val="21"/>
                <w:lang w:eastAsia="en-US"/>
              </w:rPr>
              <w:t>响应文件的商务条款</w:t>
            </w:r>
          </w:p>
        </w:tc>
        <w:tc>
          <w:tcPr>
            <w:tcW w:w="1000" w:type="dxa"/>
            <w:vAlign w:val="center"/>
          </w:tcPr>
          <w:p w14:paraId="568BA2A3">
            <w:pPr>
              <w:autoSpaceDE w:val="0"/>
              <w:autoSpaceDN w:val="0"/>
              <w:spacing w:before="1"/>
              <w:jc w:val="center"/>
              <w:rPr>
                <w:rFonts w:ascii="Calibri" w:hAnsi="Calibri" w:eastAsia="仿宋"/>
                <w:kern w:val="0"/>
                <w:szCs w:val="21"/>
                <w:lang w:eastAsia="en-US"/>
              </w:rPr>
            </w:pPr>
          </w:p>
          <w:p w14:paraId="45EB3E20">
            <w:pPr>
              <w:autoSpaceDE w:val="0"/>
              <w:autoSpaceDN w:val="0"/>
              <w:spacing w:before="1"/>
              <w:jc w:val="center"/>
              <w:rPr>
                <w:rFonts w:ascii="Calibri" w:hAnsi="Calibri" w:eastAsia="仿宋"/>
                <w:kern w:val="0"/>
                <w:szCs w:val="21"/>
                <w:lang w:eastAsia="en-US"/>
              </w:rPr>
            </w:pPr>
            <w:r>
              <w:rPr>
                <w:rFonts w:ascii="Calibri" w:hAnsi="Calibri" w:eastAsia="仿宋"/>
                <w:kern w:val="0"/>
                <w:szCs w:val="21"/>
                <w:lang w:eastAsia="en-US"/>
              </w:rPr>
              <w:t>偏离</w:t>
            </w:r>
          </w:p>
        </w:tc>
        <w:tc>
          <w:tcPr>
            <w:tcW w:w="884" w:type="dxa"/>
            <w:vAlign w:val="center"/>
          </w:tcPr>
          <w:p w14:paraId="6CBB3594">
            <w:pPr>
              <w:autoSpaceDE w:val="0"/>
              <w:autoSpaceDN w:val="0"/>
              <w:spacing w:before="1"/>
              <w:jc w:val="center"/>
              <w:rPr>
                <w:rFonts w:ascii="Calibri" w:hAnsi="Calibri" w:eastAsia="仿宋"/>
                <w:kern w:val="0"/>
                <w:szCs w:val="21"/>
                <w:lang w:eastAsia="en-US"/>
              </w:rPr>
            </w:pPr>
          </w:p>
          <w:p w14:paraId="65035471">
            <w:pPr>
              <w:autoSpaceDE w:val="0"/>
              <w:autoSpaceDN w:val="0"/>
              <w:spacing w:before="1"/>
              <w:jc w:val="center"/>
              <w:rPr>
                <w:rFonts w:ascii="Calibri" w:hAnsi="Calibri" w:eastAsia="仿宋"/>
                <w:kern w:val="0"/>
                <w:szCs w:val="21"/>
                <w:lang w:eastAsia="en-US"/>
              </w:rPr>
            </w:pPr>
            <w:r>
              <w:rPr>
                <w:rFonts w:ascii="Calibri" w:hAnsi="Calibri" w:eastAsia="仿宋"/>
                <w:kern w:val="0"/>
                <w:szCs w:val="21"/>
                <w:lang w:eastAsia="en-US"/>
              </w:rPr>
              <w:t>说明</w:t>
            </w:r>
          </w:p>
        </w:tc>
      </w:tr>
      <w:tr w14:paraId="726E2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72" w:type="dxa"/>
            <w:vAlign w:val="center"/>
          </w:tcPr>
          <w:p w14:paraId="5420382B">
            <w:pPr>
              <w:autoSpaceDE w:val="0"/>
              <w:autoSpaceDN w:val="0"/>
              <w:jc w:val="center"/>
              <w:rPr>
                <w:rFonts w:ascii="Calibri" w:hAnsi="Calibri" w:eastAsia="仿宋"/>
                <w:kern w:val="0"/>
                <w:szCs w:val="21"/>
                <w:lang w:eastAsia="en-US"/>
              </w:rPr>
            </w:pPr>
            <w:r>
              <w:rPr>
                <w:rFonts w:ascii="Calibri" w:hAnsi="Calibri" w:eastAsia="仿宋"/>
                <w:kern w:val="0"/>
                <w:szCs w:val="21"/>
                <w:lang w:eastAsia="en-US"/>
              </w:rPr>
              <w:t>1</w:t>
            </w:r>
          </w:p>
        </w:tc>
        <w:tc>
          <w:tcPr>
            <w:tcW w:w="3567" w:type="dxa"/>
            <w:vAlign w:val="center"/>
          </w:tcPr>
          <w:p w14:paraId="7317A88D">
            <w:pPr>
              <w:autoSpaceDE w:val="0"/>
              <w:autoSpaceDN w:val="0"/>
              <w:rPr>
                <w:rFonts w:ascii="Calibri" w:hAnsi="Calibri" w:eastAsia="仿宋"/>
                <w:kern w:val="0"/>
                <w:szCs w:val="21"/>
                <w:lang w:eastAsia="en-US"/>
              </w:rPr>
            </w:pPr>
          </w:p>
        </w:tc>
        <w:tc>
          <w:tcPr>
            <w:tcW w:w="3066" w:type="dxa"/>
            <w:vAlign w:val="center"/>
          </w:tcPr>
          <w:p w14:paraId="6DAA2EBE">
            <w:pPr>
              <w:autoSpaceDE w:val="0"/>
              <w:autoSpaceDN w:val="0"/>
              <w:rPr>
                <w:rFonts w:ascii="Calibri" w:hAnsi="Calibri" w:eastAsia="仿宋"/>
                <w:kern w:val="0"/>
                <w:szCs w:val="21"/>
                <w:lang w:eastAsia="en-US"/>
              </w:rPr>
            </w:pPr>
          </w:p>
        </w:tc>
        <w:tc>
          <w:tcPr>
            <w:tcW w:w="1000" w:type="dxa"/>
            <w:vAlign w:val="center"/>
          </w:tcPr>
          <w:p w14:paraId="34D0233D">
            <w:pPr>
              <w:autoSpaceDE w:val="0"/>
              <w:autoSpaceDN w:val="0"/>
              <w:rPr>
                <w:rFonts w:ascii="Calibri" w:hAnsi="Calibri" w:eastAsia="仿宋"/>
                <w:kern w:val="0"/>
                <w:szCs w:val="21"/>
                <w:lang w:eastAsia="en-US"/>
              </w:rPr>
            </w:pPr>
          </w:p>
        </w:tc>
        <w:tc>
          <w:tcPr>
            <w:tcW w:w="884" w:type="dxa"/>
            <w:vAlign w:val="center"/>
          </w:tcPr>
          <w:p w14:paraId="2FE4AA83">
            <w:pPr>
              <w:autoSpaceDE w:val="0"/>
              <w:autoSpaceDN w:val="0"/>
              <w:rPr>
                <w:rFonts w:ascii="Calibri" w:hAnsi="Calibri" w:eastAsia="仿宋"/>
                <w:kern w:val="0"/>
                <w:szCs w:val="21"/>
                <w:lang w:eastAsia="en-US"/>
              </w:rPr>
            </w:pPr>
          </w:p>
        </w:tc>
      </w:tr>
      <w:tr w14:paraId="559C4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2" w:type="dxa"/>
            <w:vAlign w:val="center"/>
          </w:tcPr>
          <w:p w14:paraId="0685C12F">
            <w:pPr>
              <w:autoSpaceDE w:val="0"/>
              <w:autoSpaceDN w:val="0"/>
              <w:jc w:val="center"/>
              <w:rPr>
                <w:rFonts w:ascii="Calibri" w:hAnsi="Calibri" w:eastAsia="仿宋"/>
                <w:kern w:val="0"/>
                <w:szCs w:val="21"/>
                <w:lang w:eastAsia="en-US"/>
              </w:rPr>
            </w:pPr>
            <w:r>
              <w:rPr>
                <w:rFonts w:ascii="Calibri" w:hAnsi="Calibri" w:eastAsia="仿宋"/>
                <w:kern w:val="0"/>
                <w:szCs w:val="21"/>
                <w:lang w:eastAsia="en-US"/>
              </w:rPr>
              <w:t>2</w:t>
            </w:r>
          </w:p>
        </w:tc>
        <w:tc>
          <w:tcPr>
            <w:tcW w:w="3567" w:type="dxa"/>
            <w:vAlign w:val="center"/>
          </w:tcPr>
          <w:p w14:paraId="5450E849">
            <w:pPr>
              <w:autoSpaceDE w:val="0"/>
              <w:autoSpaceDN w:val="0"/>
              <w:rPr>
                <w:rFonts w:ascii="Calibri" w:hAnsi="Calibri" w:eastAsia="仿宋"/>
                <w:kern w:val="0"/>
                <w:szCs w:val="21"/>
                <w:lang w:eastAsia="en-US"/>
              </w:rPr>
            </w:pPr>
          </w:p>
        </w:tc>
        <w:tc>
          <w:tcPr>
            <w:tcW w:w="3066" w:type="dxa"/>
            <w:vAlign w:val="center"/>
          </w:tcPr>
          <w:p w14:paraId="3EEC2BE9">
            <w:pPr>
              <w:autoSpaceDE w:val="0"/>
              <w:autoSpaceDN w:val="0"/>
              <w:rPr>
                <w:rFonts w:ascii="Calibri" w:hAnsi="Calibri" w:eastAsia="仿宋"/>
                <w:kern w:val="0"/>
                <w:szCs w:val="21"/>
                <w:lang w:eastAsia="en-US"/>
              </w:rPr>
            </w:pPr>
          </w:p>
        </w:tc>
        <w:tc>
          <w:tcPr>
            <w:tcW w:w="1000" w:type="dxa"/>
            <w:vAlign w:val="center"/>
          </w:tcPr>
          <w:p w14:paraId="055D58FF">
            <w:pPr>
              <w:autoSpaceDE w:val="0"/>
              <w:autoSpaceDN w:val="0"/>
              <w:rPr>
                <w:rFonts w:ascii="Calibri" w:hAnsi="Calibri" w:eastAsia="仿宋"/>
                <w:kern w:val="0"/>
                <w:szCs w:val="21"/>
                <w:lang w:eastAsia="en-US"/>
              </w:rPr>
            </w:pPr>
          </w:p>
        </w:tc>
        <w:tc>
          <w:tcPr>
            <w:tcW w:w="884" w:type="dxa"/>
            <w:vAlign w:val="center"/>
          </w:tcPr>
          <w:p w14:paraId="692BEFD2">
            <w:pPr>
              <w:autoSpaceDE w:val="0"/>
              <w:autoSpaceDN w:val="0"/>
              <w:rPr>
                <w:rFonts w:ascii="Calibri" w:hAnsi="Calibri" w:eastAsia="仿宋"/>
                <w:kern w:val="0"/>
                <w:szCs w:val="21"/>
                <w:lang w:eastAsia="en-US"/>
              </w:rPr>
            </w:pPr>
          </w:p>
        </w:tc>
      </w:tr>
      <w:tr w14:paraId="6108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2" w:type="dxa"/>
            <w:vAlign w:val="center"/>
          </w:tcPr>
          <w:p w14:paraId="683130A2">
            <w:pPr>
              <w:autoSpaceDE w:val="0"/>
              <w:autoSpaceDN w:val="0"/>
              <w:jc w:val="center"/>
              <w:rPr>
                <w:rFonts w:ascii="Calibri" w:hAnsi="Calibri" w:eastAsia="仿宋"/>
                <w:kern w:val="0"/>
                <w:szCs w:val="21"/>
                <w:lang w:eastAsia="en-US"/>
              </w:rPr>
            </w:pPr>
            <w:r>
              <w:rPr>
                <w:rFonts w:ascii="Calibri" w:hAnsi="Calibri" w:eastAsia="仿宋"/>
                <w:kern w:val="0"/>
                <w:szCs w:val="21"/>
                <w:lang w:eastAsia="en-US"/>
              </w:rPr>
              <w:t>3</w:t>
            </w:r>
          </w:p>
        </w:tc>
        <w:tc>
          <w:tcPr>
            <w:tcW w:w="3567" w:type="dxa"/>
            <w:vAlign w:val="center"/>
          </w:tcPr>
          <w:p w14:paraId="4223A346">
            <w:pPr>
              <w:autoSpaceDE w:val="0"/>
              <w:autoSpaceDN w:val="0"/>
              <w:rPr>
                <w:rFonts w:ascii="Calibri" w:hAnsi="Calibri" w:eastAsia="仿宋"/>
                <w:kern w:val="0"/>
                <w:szCs w:val="21"/>
                <w:lang w:eastAsia="en-US"/>
              </w:rPr>
            </w:pPr>
          </w:p>
        </w:tc>
        <w:tc>
          <w:tcPr>
            <w:tcW w:w="3066" w:type="dxa"/>
            <w:vAlign w:val="center"/>
          </w:tcPr>
          <w:p w14:paraId="6C3B87E6">
            <w:pPr>
              <w:autoSpaceDE w:val="0"/>
              <w:autoSpaceDN w:val="0"/>
              <w:rPr>
                <w:rFonts w:ascii="Calibri" w:hAnsi="Calibri" w:eastAsia="仿宋"/>
                <w:kern w:val="0"/>
                <w:szCs w:val="21"/>
                <w:lang w:eastAsia="en-US"/>
              </w:rPr>
            </w:pPr>
          </w:p>
        </w:tc>
        <w:tc>
          <w:tcPr>
            <w:tcW w:w="1000" w:type="dxa"/>
            <w:vAlign w:val="center"/>
          </w:tcPr>
          <w:p w14:paraId="42D969BB">
            <w:pPr>
              <w:autoSpaceDE w:val="0"/>
              <w:autoSpaceDN w:val="0"/>
              <w:rPr>
                <w:rFonts w:ascii="Calibri" w:hAnsi="Calibri" w:eastAsia="仿宋"/>
                <w:kern w:val="0"/>
                <w:szCs w:val="21"/>
                <w:lang w:eastAsia="en-US"/>
              </w:rPr>
            </w:pPr>
          </w:p>
        </w:tc>
        <w:tc>
          <w:tcPr>
            <w:tcW w:w="884" w:type="dxa"/>
            <w:vAlign w:val="center"/>
          </w:tcPr>
          <w:p w14:paraId="29BA096B">
            <w:pPr>
              <w:autoSpaceDE w:val="0"/>
              <w:autoSpaceDN w:val="0"/>
              <w:rPr>
                <w:rFonts w:ascii="Calibri" w:hAnsi="Calibri" w:eastAsia="仿宋"/>
                <w:kern w:val="0"/>
                <w:szCs w:val="21"/>
                <w:lang w:eastAsia="en-US"/>
              </w:rPr>
            </w:pPr>
          </w:p>
        </w:tc>
      </w:tr>
      <w:tr w14:paraId="62BDF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2" w:type="dxa"/>
            <w:vAlign w:val="center"/>
          </w:tcPr>
          <w:p w14:paraId="11301F8F">
            <w:pPr>
              <w:autoSpaceDE w:val="0"/>
              <w:autoSpaceDN w:val="0"/>
              <w:jc w:val="center"/>
              <w:rPr>
                <w:rFonts w:ascii="Calibri" w:hAnsi="Calibri" w:eastAsia="仿宋"/>
                <w:kern w:val="0"/>
                <w:szCs w:val="21"/>
                <w:lang w:eastAsia="en-US"/>
              </w:rPr>
            </w:pPr>
            <w:r>
              <w:rPr>
                <w:rFonts w:ascii="Calibri" w:hAnsi="Calibri" w:eastAsia="仿宋"/>
                <w:kern w:val="0"/>
                <w:szCs w:val="21"/>
                <w:lang w:eastAsia="en-US"/>
              </w:rPr>
              <w:t>4</w:t>
            </w:r>
          </w:p>
        </w:tc>
        <w:tc>
          <w:tcPr>
            <w:tcW w:w="3567" w:type="dxa"/>
            <w:vAlign w:val="center"/>
          </w:tcPr>
          <w:p w14:paraId="7E377009">
            <w:pPr>
              <w:autoSpaceDE w:val="0"/>
              <w:autoSpaceDN w:val="0"/>
              <w:rPr>
                <w:rFonts w:ascii="Calibri" w:hAnsi="Calibri" w:eastAsia="仿宋"/>
                <w:kern w:val="0"/>
                <w:szCs w:val="21"/>
                <w:lang w:eastAsia="en-US"/>
              </w:rPr>
            </w:pPr>
          </w:p>
        </w:tc>
        <w:tc>
          <w:tcPr>
            <w:tcW w:w="3066" w:type="dxa"/>
            <w:vAlign w:val="center"/>
          </w:tcPr>
          <w:p w14:paraId="2FD2073A">
            <w:pPr>
              <w:autoSpaceDE w:val="0"/>
              <w:autoSpaceDN w:val="0"/>
              <w:rPr>
                <w:rFonts w:ascii="Calibri" w:hAnsi="Calibri" w:eastAsia="仿宋"/>
                <w:kern w:val="0"/>
                <w:szCs w:val="21"/>
                <w:lang w:eastAsia="en-US"/>
              </w:rPr>
            </w:pPr>
          </w:p>
        </w:tc>
        <w:tc>
          <w:tcPr>
            <w:tcW w:w="1000" w:type="dxa"/>
            <w:vAlign w:val="center"/>
          </w:tcPr>
          <w:p w14:paraId="276BFC96">
            <w:pPr>
              <w:autoSpaceDE w:val="0"/>
              <w:autoSpaceDN w:val="0"/>
              <w:rPr>
                <w:rFonts w:ascii="Calibri" w:hAnsi="Calibri" w:eastAsia="仿宋"/>
                <w:kern w:val="0"/>
                <w:szCs w:val="21"/>
                <w:lang w:eastAsia="en-US"/>
              </w:rPr>
            </w:pPr>
          </w:p>
        </w:tc>
        <w:tc>
          <w:tcPr>
            <w:tcW w:w="884" w:type="dxa"/>
            <w:vAlign w:val="center"/>
          </w:tcPr>
          <w:p w14:paraId="74C5C907">
            <w:pPr>
              <w:autoSpaceDE w:val="0"/>
              <w:autoSpaceDN w:val="0"/>
              <w:rPr>
                <w:rFonts w:ascii="Calibri" w:hAnsi="Calibri" w:eastAsia="仿宋"/>
                <w:kern w:val="0"/>
                <w:szCs w:val="21"/>
                <w:lang w:eastAsia="en-US"/>
              </w:rPr>
            </w:pPr>
          </w:p>
        </w:tc>
      </w:tr>
      <w:tr w14:paraId="5E40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72" w:type="dxa"/>
            <w:vAlign w:val="center"/>
          </w:tcPr>
          <w:p w14:paraId="2CB0CCB1">
            <w:pPr>
              <w:autoSpaceDE w:val="0"/>
              <w:autoSpaceDN w:val="0"/>
              <w:jc w:val="center"/>
              <w:rPr>
                <w:rFonts w:ascii="Calibri" w:hAnsi="Calibri" w:eastAsia="仿宋"/>
                <w:kern w:val="0"/>
                <w:szCs w:val="21"/>
                <w:lang w:eastAsia="en-US"/>
              </w:rPr>
            </w:pPr>
            <w:r>
              <w:rPr>
                <w:rFonts w:ascii="Calibri" w:hAnsi="Calibri" w:eastAsia="仿宋"/>
                <w:kern w:val="0"/>
                <w:szCs w:val="21"/>
                <w:lang w:eastAsia="en-US"/>
              </w:rPr>
              <w:t>5</w:t>
            </w:r>
          </w:p>
        </w:tc>
        <w:tc>
          <w:tcPr>
            <w:tcW w:w="3567" w:type="dxa"/>
            <w:vAlign w:val="center"/>
          </w:tcPr>
          <w:p w14:paraId="15A97613">
            <w:pPr>
              <w:autoSpaceDE w:val="0"/>
              <w:autoSpaceDN w:val="0"/>
              <w:spacing w:line="440" w:lineRule="exact"/>
              <w:rPr>
                <w:rFonts w:ascii="Calibri" w:hAnsi="Calibri" w:eastAsia="仿宋"/>
                <w:kern w:val="0"/>
                <w:szCs w:val="21"/>
                <w:lang w:eastAsia="en-US"/>
              </w:rPr>
            </w:pPr>
          </w:p>
        </w:tc>
        <w:tc>
          <w:tcPr>
            <w:tcW w:w="3066" w:type="dxa"/>
            <w:vAlign w:val="center"/>
          </w:tcPr>
          <w:p w14:paraId="21236D3A">
            <w:pPr>
              <w:autoSpaceDE w:val="0"/>
              <w:autoSpaceDN w:val="0"/>
              <w:rPr>
                <w:rFonts w:ascii="Calibri" w:hAnsi="Calibri" w:eastAsia="仿宋"/>
                <w:kern w:val="0"/>
                <w:szCs w:val="21"/>
                <w:lang w:eastAsia="en-US"/>
              </w:rPr>
            </w:pPr>
          </w:p>
        </w:tc>
        <w:tc>
          <w:tcPr>
            <w:tcW w:w="1000" w:type="dxa"/>
            <w:vAlign w:val="center"/>
          </w:tcPr>
          <w:p w14:paraId="672217FE">
            <w:pPr>
              <w:autoSpaceDE w:val="0"/>
              <w:autoSpaceDN w:val="0"/>
              <w:rPr>
                <w:rFonts w:ascii="Calibri" w:hAnsi="Calibri" w:eastAsia="仿宋"/>
                <w:kern w:val="0"/>
                <w:szCs w:val="21"/>
                <w:lang w:eastAsia="en-US"/>
              </w:rPr>
            </w:pPr>
          </w:p>
        </w:tc>
        <w:tc>
          <w:tcPr>
            <w:tcW w:w="884" w:type="dxa"/>
            <w:vAlign w:val="center"/>
          </w:tcPr>
          <w:p w14:paraId="21FF67E2">
            <w:pPr>
              <w:autoSpaceDE w:val="0"/>
              <w:autoSpaceDN w:val="0"/>
              <w:rPr>
                <w:rFonts w:ascii="Calibri" w:hAnsi="Calibri" w:eastAsia="仿宋"/>
                <w:kern w:val="0"/>
                <w:szCs w:val="21"/>
                <w:lang w:eastAsia="en-US"/>
              </w:rPr>
            </w:pPr>
          </w:p>
        </w:tc>
      </w:tr>
      <w:tr w14:paraId="2A1E3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72" w:type="dxa"/>
            <w:vAlign w:val="center"/>
          </w:tcPr>
          <w:p w14:paraId="7E8B26E8">
            <w:pPr>
              <w:autoSpaceDE w:val="0"/>
              <w:autoSpaceDN w:val="0"/>
              <w:jc w:val="center"/>
              <w:rPr>
                <w:rFonts w:ascii="Calibri" w:hAnsi="Calibri" w:eastAsia="仿宋"/>
                <w:kern w:val="0"/>
                <w:szCs w:val="21"/>
                <w:lang w:eastAsia="en-US"/>
              </w:rPr>
            </w:pPr>
            <w:r>
              <w:rPr>
                <w:rFonts w:ascii="Calibri" w:hAnsi="Calibri" w:eastAsia="仿宋"/>
                <w:kern w:val="0"/>
                <w:szCs w:val="21"/>
                <w:lang w:eastAsia="en-US"/>
              </w:rPr>
              <w:t>6</w:t>
            </w:r>
          </w:p>
        </w:tc>
        <w:tc>
          <w:tcPr>
            <w:tcW w:w="3567" w:type="dxa"/>
            <w:vAlign w:val="center"/>
          </w:tcPr>
          <w:p w14:paraId="3B609B40">
            <w:pPr>
              <w:pStyle w:val="47"/>
              <w:widowControl w:val="0"/>
              <w:ind w:firstLine="0" w:firstLineChars="0"/>
              <w:jc w:val="both"/>
              <w:rPr>
                <w:rFonts w:ascii="Times New Roman" w:hAnsi="Times New Roman" w:eastAsia="仿宋" w:cs="Times New Roman"/>
                <w:sz w:val="21"/>
                <w:lang w:eastAsia="en-US"/>
              </w:rPr>
            </w:pPr>
          </w:p>
        </w:tc>
        <w:tc>
          <w:tcPr>
            <w:tcW w:w="3066" w:type="dxa"/>
            <w:vAlign w:val="center"/>
          </w:tcPr>
          <w:p w14:paraId="0430C197">
            <w:pPr>
              <w:autoSpaceDE w:val="0"/>
              <w:autoSpaceDN w:val="0"/>
              <w:rPr>
                <w:rFonts w:ascii="Calibri" w:hAnsi="Calibri" w:eastAsia="仿宋"/>
                <w:kern w:val="0"/>
                <w:szCs w:val="21"/>
                <w:lang w:eastAsia="en-US"/>
              </w:rPr>
            </w:pPr>
          </w:p>
        </w:tc>
        <w:tc>
          <w:tcPr>
            <w:tcW w:w="1000" w:type="dxa"/>
            <w:vAlign w:val="center"/>
          </w:tcPr>
          <w:p w14:paraId="5D7F8170">
            <w:pPr>
              <w:autoSpaceDE w:val="0"/>
              <w:autoSpaceDN w:val="0"/>
              <w:rPr>
                <w:rFonts w:ascii="Calibri" w:hAnsi="Calibri" w:eastAsia="仿宋"/>
                <w:kern w:val="0"/>
                <w:szCs w:val="21"/>
                <w:lang w:eastAsia="en-US"/>
              </w:rPr>
            </w:pPr>
          </w:p>
        </w:tc>
        <w:tc>
          <w:tcPr>
            <w:tcW w:w="884" w:type="dxa"/>
            <w:vAlign w:val="center"/>
          </w:tcPr>
          <w:p w14:paraId="7F959FBE">
            <w:pPr>
              <w:autoSpaceDE w:val="0"/>
              <w:autoSpaceDN w:val="0"/>
              <w:rPr>
                <w:rFonts w:ascii="Calibri" w:hAnsi="Calibri" w:eastAsia="仿宋"/>
                <w:kern w:val="0"/>
                <w:szCs w:val="21"/>
                <w:lang w:eastAsia="en-US"/>
              </w:rPr>
            </w:pPr>
          </w:p>
        </w:tc>
      </w:tr>
    </w:tbl>
    <w:p w14:paraId="645B35DA">
      <w:pPr>
        <w:autoSpaceDE w:val="0"/>
        <w:autoSpaceDN w:val="0"/>
        <w:spacing w:before="163"/>
        <w:jc w:val="left"/>
        <w:rPr>
          <w:rFonts w:eastAsia="仿宋"/>
          <w:kern w:val="0"/>
          <w:sz w:val="24"/>
          <w:szCs w:val="24"/>
        </w:rPr>
      </w:pPr>
      <w:r>
        <w:rPr>
          <w:rFonts w:eastAsia="仿宋"/>
          <w:spacing w:val="-8"/>
          <w:kern w:val="0"/>
          <w:sz w:val="24"/>
          <w:szCs w:val="24"/>
        </w:rPr>
        <w:t>说明：如有偏离，则必须注明“偏离”；未注明偏离的，视为完全响应。</w:t>
      </w:r>
    </w:p>
    <w:p w14:paraId="1A2DE86E">
      <w:pPr>
        <w:autoSpaceDE w:val="0"/>
        <w:autoSpaceDN w:val="0"/>
        <w:jc w:val="left"/>
        <w:rPr>
          <w:rFonts w:eastAsia="仿宋"/>
          <w:kern w:val="0"/>
          <w:sz w:val="24"/>
          <w:szCs w:val="24"/>
        </w:rPr>
      </w:pPr>
    </w:p>
    <w:p w14:paraId="6E3A7D94">
      <w:pPr>
        <w:autoSpaceDE w:val="0"/>
        <w:autoSpaceDN w:val="0"/>
        <w:spacing w:before="7"/>
        <w:jc w:val="left"/>
        <w:rPr>
          <w:rFonts w:eastAsia="仿宋"/>
          <w:kern w:val="0"/>
          <w:sz w:val="24"/>
          <w:szCs w:val="24"/>
        </w:rPr>
      </w:pPr>
    </w:p>
    <w:p w14:paraId="54F08AC1">
      <w:pPr>
        <w:tabs>
          <w:tab w:val="left" w:pos="6088"/>
        </w:tabs>
        <w:autoSpaceDE w:val="0"/>
        <w:autoSpaceDN w:val="0"/>
        <w:jc w:val="left"/>
        <w:rPr>
          <w:rFonts w:eastAsia="仿宋"/>
          <w:kern w:val="0"/>
          <w:sz w:val="24"/>
          <w:szCs w:val="24"/>
        </w:rPr>
      </w:pPr>
      <w:r>
        <w:rPr>
          <w:rFonts w:eastAsia="仿宋"/>
          <w:spacing w:val="-1"/>
          <w:kern w:val="0"/>
          <w:sz w:val="24"/>
          <w:szCs w:val="24"/>
        </w:rPr>
        <w:t>供</w:t>
      </w:r>
      <w:r>
        <w:rPr>
          <w:rFonts w:eastAsia="仿宋"/>
          <w:kern w:val="0"/>
          <w:sz w:val="24"/>
          <w:szCs w:val="24"/>
        </w:rPr>
        <w:t>应商名称(公章)：</w:t>
      </w:r>
      <w:r>
        <w:rPr>
          <w:rFonts w:eastAsia="仿宋"/>
          <w:kern w:val="0"/>
          <w:sz w:val="24"/>
          <w:szCs w:val="24"/>
          <w:u w:val="single"/>
        </w:rPr>
        <w:t xml:space="preserve"> </w:t>
      </w:r>
      <w:r>
        <w:rPr>
          <w:rFonts w:eastAsia="仿宋"/>
          <w:kern w:val="0"/>
          <w:sz w:val="24"/>
          <w:szCs w:val="24"/>
          <w:u w:val="single"/>
        </w:rPr>
        <w:tab/>
      </w:r>
    </w:p>
    <w:p w14:paraId="2B07EED9">
      <w:pPr>
        <w:autoSpaceDE w:val="0"/>
        <w:autoSpaceDN w:val="0"/>
        <w:spacing w:before="8"/>
        <w:jc w:val="left"/>
        <w:rPr>
          <w:rFonts w:eastAsia="仿宋"/>
          <w:kern w:val="0"/>
          <w:sz w:val="24"/>
          <w:szCs w:val="24"/>
        </w:rPr>
      </w:pPr>
    </w:p>
    <w:p w14:paraId="6A62C16A">
      <w:pPr>
        <w:tabs>
          <w:tab w:val="left" w:pos="8008"/>
        </w:tabs>
        <w:autoSpaceDE w:val="0"/>
        <w:autoSpaceDN w:val="0"/>
        <w:spacing w:before="74"/>
        <w:jc w:val="left"/>
        <w:rPr>
          <w:rFonts w:eastAsia="仿宋"/>
          <w:kern w:val="0"/>
          <w:sz w:val="24"/>
          <w:szCs w:val="24"/>
        </w:rPr>
      </w:pPr>
      <w:r>
        <w:rPr>
          <w:rFonts w:eastAsia="仿宋"/>
          <w:kern w:val="0"/>
          <w:sz w:val="24"/>
          <w:szCs w:val="24"/>
        </w:rPr>
        <w:t>法定代表人或授权代表(签字或盖章)：</w:t>
      </w:r>
      <w:r>
        <w:rPr>
          <w:rFonts w:eastAsia="仿宋"/>
          <w:kern w:val="0"/>
          <w:sz w:val="24"/>
          <w:szCs w:val="24"/>
          <w:u w:val="single"/>
        </w:rPr>
        <w:t xml:space="preserve"> </w:t>
      </w:r>
      <w:r>
        <w:rPr>
          <w:rFonts w:eastAsia="仿宋"/>
          <w:kern w:val="0"/>
          <w:sz w:val="24"/>
          <w:szCs w:val="24"/>
          <w:u w:val="single"/>
        </w:rPr>
        <w:tab/>
      </w:r>
    </w:p>
    <w:p w14:paraId="69A2DD64">
      <w:pPr>
        <w:autoSpaceDE w:val="0"/>
        <w:autoSpaceDN w:val="0"/>
        <w:jc w:val="left"/>
        <w:rPr>
          <w:rFonts w:eastAsia="仿宋"/>
          <w:kern w:val="0"/>
          <w:sz w:val="24"/>
          <w:szCs w:val="24"/>
        </w:rPr>
      </w:pPr>
    </w:p>
    <w:p w14:paraId="28143606">
      <w:pPr>
        <w:autoSpaceDE w:val="0"/>
        <w:autoSpaceDN w:val="0"/>
        <w:jc w:val="left"/>
        <w:rPr>
          <w:rFonts w:eastAsia="仿宋"/>
          <w:kern w:val="0"/>
          <w:sz w:val="24"/>
          <w:szCs w:val="24"/>
        </w:rPr>
      </w:pPr>
    </w:p>
    <w:p w14:paraId="2A693EDA">
      <w:pPr>
        <w:autoSpaceDE w:val="0"/>
        <w:autoSpaceDN w:val="0"/>
        <w:spacing w:before="7"/>
        <w:jc w:val="left"/>
        <w:rPr>
          <w:rFonts w:eastAsia="仿宋"/>
          <w:kern w:val="0"/>
          <w:sz w:val="24"/>
          <w:szCs w:val="24"/>
        </w:rPr>
      </w:pPr>
    </w:p>
    <w:p w14:paraId="229CED4A">
      <w:pPr>
        <w:autoSpaceDE w:val="0"/>
        <w:autoSpaceDN w:val="0"/>
        <w:spacing w:before="7"/>
        <w:jc w:val="left"/>
        <w:rPr>
          <w:rFonts w:eastAsia="仿宋"/>
          <w:kern w:val="0"/>
          <w:sz w:val="24"/>
          <w:szCs w:val="24"/>
        </w:rPr>
      </w:pPr>
    </w:p>
    <w:p w14:paraId="7947FD48">
      <w:pPr>
        <w:tabs>
          <w:tab w:val="left" w:pos="720"/>
          <w:tab w:val="left" w:pos="1440"/>
          <w:tab w:val="left" w:pos="2160"/>
        </w:tabs>
        <w:autoSpaceDE w:val="0"/>
        <w:autoSpaceDN w:val="0"/>
        <w:spacing w:before="74"/>
        <w:ind w:right="500"/>
        <w:jc w:val="right"/>
        <w:rPr>
          <w:rFonts w:eastAsia="仿宋"/>
          <w:kern w:val="0"/>
          <w:sz w:val="24"/>
          <w:szCs w:val="24"/>
        </w:rPr>
      </w:pPr>
      <w:r>
        <w:rPr>
          <w:rFonts w:eastAsia="仿宋"/>
          <w:kern w:val="0"/>
          <w:sz w:val="24"/>
          <w:szCs w:val="24"/>
          <w:u w:val="single"/>
        </w:rPr>
        <w:t xml:space="preserve"> </w:t>
      </w:r>
      <w:r>
        <w:rPr>
          <w:rFonts w:eastAsia="仿宋"/>
          <w:kern w:val="0"/>
          <w:sz w:val="24"/>
          <w:szCs w:val="24"/>
          <w:u w:val="single"/>
        </w:rPr>
        <w:tab/>
      </w:r>
      <w:r>
        <w:rPr>
          <w:rFonts w:eastAsia="仿宋"/>
          <w:kern w:val="0"/>
          <w:sz w:val="24"/>
          <w:szCs w:val="24"/>
        </w:rPr>
        <w:t>年</w:t>
      </w:r>
      <w:r>
        <w:rPr>
          <w:rFonts w:eastAsia="仿宋"/>
          <w:kern w:val="0"/>
          <w:sz w:val="24"/>
          <w:szCs w:val="24"/>
          <w:u w:val="single"/>
        </w:rPr>
        <w:tab/>
      </w:r>
      <w:r>
        <w:rPr>
          <w:rFonts w:eastAsia="仿宋"/>
          <w:kern w:val="0"/>
          <w:sz w:val="24"/>
          <w:szCs w:val="24"/>
        </w:rPr>
        <w:t>月</w:t>
      </w:r>
      <w:r>
        <w:rPr>
          <w:rFonts w:eastAsia="仿宋"/>
          <w:kern w:val="0"/>
          <w:sz w:val="24"/>
          <w:szCs w:val="24"/>
          <w:u w:val="single"/>
        </w:rPr>
        <w:tab/>
      </w:r>
      <w:r>
        <w:rPr>
          <w:rFonts w:eastAsia="仿宋"/>
          <w:kern w:val="0"/>
          <w:sz w:val="24"/>
          <w:szCs w:val="24"/>
        </w:rPr>
        <w:t>日</w:t>
      </w:r>
    </w:p>
    <w:p w14:paraId="59CCA559">
      <w:pPr>
        <w:autoSpaceDE w:val="0"/>
        <w:autoSpaceDN w:val="0"/>
        <w:jc w:val="left"/>
        <w:rPr>
          <w:rFonts w:eastAsia="仿宋"/>
          <w:kern w:val="0"/>
          <w:sz w:val="24"/>
          <w:szCs w:val="24"/>
        </w:rPr>
      </w:pPr>
    </w:p>
    <w:p w14:paraId="1AF01A48">
      <w:pPr>
        <w:autoSpaceDE w:val="0"/>
        <w:autoSpaceDN w:val="0"/>
        <w:jc w:val="left"/>
        <w:rPr>
          <w:rFonts w:eastAsia="仿宋"/>
          <w:kern w:val="0"/>
          <w:sz w:val="24"/>
          <w:szCs w:val="24"/>
        </w:rPr>
      </w:pPr>
    </w:p>
    <w:p w14:paraId="082CF28F">
      <w:pPr>
        <w:autoSpaceDE w:val="0"/>
        <w:autoSpaceDN w:val="0"/>
        <w:jc w:val="left"/>
        <w:rPr>
          <w:rFonts w:eastAsia="仿宋"/>
          <w:kern w:val="0"/>
          <w:sz w:val="24"/>
          <w:szCs w:val="24"/>
        </w:rPr>
      </w:pPr>
    </w:p>
    <w:p w14:paraId="3F62067B">
      <w:pPr>
        <w:autoSpaceDE w:val="0"/>
        <w:autoSpaceDN w:val="0"/>
        <w:jc w:val="left"/>
        <w:rPr>
          <w:rFonts w:eastAsia="仿宋"/>
          <w:kern w:val="0"/>
          <w:sz w:val="24"/>
          <w:szCs w:val="24"/>
        </w:rPr>
      </w:pPr>
    </w:p>
    <w:p w14:paraId="2E9F6ECE">
      <w:pPr>
        <w:autoSpaceDE w:val="0"/>
        <w:autoSpaceDN w:val="0"/>
        <w:jc w:val="left"/>
        <w:rPr>
          <w:rFonts w:eastAsia="仿宋"/>
          <w:kern w:val="0"/>
          <w:sz w:val="24"/>
          <w:szCs w:val="24"/>
        </w:rPr>
      </w:pPr>
    </w:p>
    <w:p w14:paraId="356AB1AC">
      <w:pPr>
        <w:autoSpaceDE w:val="0"/>
        <w:autoSpaceDN w:val="0"/>
        <w:jc w:val="left"/>
        <w:rPr>
          <w:rFonts w:eastAsia="仿宋"/>
          <w:kern w:val="0"/>
          <w:sz w:val="24"/>
          <w:szCs w:val="24"/>
        </w:rPr>
      </w:pPr>
    </w:p>
    <w:p w14:paraId="592EEF58">
      <w:pPr>
        <w:autoSpaceDE w:val="0"/>
        <w:autoSpaceDN w:val="0"/>
        <w:jc w:val="left"/>
        <w:rPr>
          <w:rFonts w:eastAsia="仿宋"/>
          <w:kern w:val="0"/>
          <w:sz w:val="24"/>
          <w:szCs w:val="24"/>
        </w:rPr>
      </w:pPr>
    </w:p>
    <w:p w14:paraId="78A0F754">
      <w:pPr>
        <w:autoSpaceDE w:val="0"/>
        <w:autoSpaceDN w:val="0"/>
        <w:spacing w:before="7"/>
        <w:jc w:val="left"/>
        <w:rPr>
          <w:rFonts w:eastAsia="仿宋"/>
          <w:kern w:val="0"/>
          <w:sz w:val="24"/>
          <w:szCs w:val="24"/>
        </w:rPr>
      </w:pPr>
    </w:p>
    <w:p w14:paraId="523D5517">
      <w:pPr>
        <w:autoSpaceDE w:val="0"/>
        <w:autoSpaceDN w:val="0"/>
        <w:spacing w:before="3"/>
        <w:jc w:val="left"/>
        <w:rPr>
          <w:rFonts w:eastAsia="仿宋"/>
          <w:kern w:val="0"/>
          <w:sz w:val="24"/>
          <w:szCs w:val="24"/>
        </w:rPr>
      </w:pPr>
    </w:p>
    <w:p w14:paraId="15F62BB3">
      <w:pPr>
        <w:rPr>
          <w:rFonts w:eastAsia="仿宋"/>
          <w:b/>
          <w:bCs/>
          <w:kern w:val="0"/>
          <w:sz w:val="24"/>
          <w:szCs w:val="24"/>
        </w:rPr>
      </w:pPr>
      <w:r>
        <w:rPr>
          <w:rFonts w:eastAsia="仿宋"/>
          <w:b/>
          <w:bCs/>
          <w:kern w:val="0"/>
          <w:sz w:val="24"/>
          <w:szCs w:val="24"/>
        </w:rPr>
        <w:br w:type="page"/>
      </w:r>
    </w:p>
    <w:p w14:paraId="1FF72B6D">
      <w:pPr>
        <w:autoSpaceDE w:val="0"/>
        <w:autoSpaceDN w:val="0"/>
        <w:spacing w:before="62"/>
        <w:jc w:val="left"/>
        <w:rPr>
          <w:rFonts w:eastAsia="仿宋"/>
          <w:b/>
          <w:bCs/>
          <w:kern w:val="0"/>
          <w:sz w:val="24"/>
          <w:szCs w:val="24"/>
        </w:rPr>
      </w:pPr>
      <w:r>
        <w:rPr>
          <w:rFonts w:eastAsia="仿宋"/>
          <w:b/>
          <w:bCs/>
          <w:kern w:val="0"/>
          <w:sz w:val="24"/>
          <w:szCs w:val="24"/>
        </w:rPr>
        <w:t>4、磋商保证金</w:t>
      </w:r>
    </w:p>
    <w:p w14:paraId="6849AD51">
      <w:pPr>
        <w:autoSpaceDE w:val="0"/>
        <w:autoSpaceDN w:val="0"/>
        <w:spacing w:before="1"/>
        <w:jc w:val="left"/>
        <w:rPr>
          <w:rFonts w:eastAsia="仿宋"/>
          <w:kern w:val="0"/>
          <w:sz w:val="24"/>
          <w:szCs w:val="24"/>
        </w:rPr>
      </w:pPr>
    </w:p>
    <w:p w14:paraId="6D8AE985">
      <w:pPr>
        <w:autoSpaceDE w:val="0"/>
        <w:autoSpaceDN w:val="0"/>
        <w:spacing w:before="67"/>
        <w:ind w:right="891"/>
        <w:jc w:val="center"/>
        <w:rPr>
          <w:rFonts w:eastAsia="仿宋"/>
          <w:b/>
          <w:bCs/>
          <w:kern w:val="0"/>
          <w:sz w:val="24"/>
          <w:szCs w:val="24"/>
        </w:rPr>
      </w:pPr>
      <w:r>
        <w:rPr>
          <w:rFonts w:eastAsia="仿宋"/>
          <w:b/>
          <w:bCs/>
          <w:kern w:val="0"/>
          <w:sz w:val="24"/>
          <w:szCs w:val="24"/>
        </w:rPr>
        <w:t>保证金汇款声明函(适用银行转账)</w:t>
      </w:r>
    </w:p>
    <w:p w14:paraId="052D7F24">
      <w:pPr>
        <w:autoSpaceDE w:val="0"/>
        <w:autoSpaceDN w:val="0"/>
        <w:spacing w:before="1"/>
        <w:jc w:val="left"/>
        <w:rPr>
          <w:rFonts w:eastAsia="仿宋"/>
          <w:b/>
          <w:kern w:val="0"/>
          <w:sz w:val="24"/>
          <w:szCs w:val="24"/>
        </w:rPr>
      </w:pPr>
    </w:p>
    <w:p w14:paraId="3D734A3E">
      <w:pPr>
        <w:autoSpaceDE w:val="0"/>
        <w:autoSpaceDN w:val="0"/>
        <w:spacing w:before="66"/>
        <w:jc w:val="left"/>
        <w:rPr>
          <w:rFonts w:eastAsia="仿宋"/>
          <w:kern w:val="0"/>
          <w:sz w:val="24"/>
          <w:szCs w:val="24"/>
        </w:rPr>
      </w:pPr>
      <w:r>
        <w:rPr>
          <w:rFonts w:eastAsia="仿宋"/>
          <w:kern w:val="0"/>
          <w:sz w:val="24"/>
          <w:szCs w:val="24"/>
        </w:rPr>
        <w:t>致：</w:t>
      </w:r>
      <w:r>
        <w:rPr>
          <w:rFonts w:eastAsia="仿宋"/>
          <w:kern w:val="0"/>
          <w:sz w:val="24"/>
          <w:szCs w:val="24"/>
          <w:u w:val="single"/>
        </w:rPr>
        <w:t>采购人或采购代理机构</w:t>
      </w:r>
    </w:p>
    <w:p w14:paraId="0AF3EEEA">
      <w:pPr>
        <w:autoSpaceDE w:val="0"/>
        <w:autoSpaceDN w:val="0"/>
        <w:spacing w:before="6"/>
        <w:jc w:val="left"/>
        <w:rPr>
          <w:rFonts w:eastAsia="仿宋"/>
          <w:kern w:val="0"/>
          <w:sz w:val="24"/>
          <w:szCs w:val="24"/>
        </w:rPr>
      </w:pPr>
    </w:p>
    <w:p w14:paraId="4B2137F0">
      <w:pPr>
        <w:tabs>
          <w:tab w:val="left" w:pos="2193"/>
          <w:tab w:val="left" w:pos="3153"/>
          <w:tab w:val="left" w:pos="3753"/>
          <w:tab w:val="left" w:pos="4473"/>
          <w:tab w:val="left" w:pos="5193"/>
          <w:tab w:val="left" w:pos="6602"/>
          <w:tab w:val="left" w:pos="9603"/>
        </w:tabs>
        <w:autoSpaceDE w:val="0"/>
        <w:autoSpaceDN w:val="0"/>
        <w:spacing w:before="74" w:line="491" w:lineRule="auto"/>
        <w:ind w:right="500"/>
        <w:jc w:val="left"/>
        <w:rPr>
          <w:rFonts w:eastAsia="仿宋"/>
          <w:kern w:val="0"/>
          <w:sz w:val="24"/>
          <w:szCs w:val="24"/>
        </w:rPr>
      </w:pPr>
      <w:r>
        <w:rPr>
          <w:rFonts w:eastAsia="仿宋"/>
          <w:kern w:val="0"/>
          <w:sz w:val="24"/>
          <w:szCs w:val="24"/>
        </w:rPr>
        <w:t>我方为</w:t>
      </w:r>
      <w:r>
        <w:rPr>
          <w:rFonts w:eastAsia="仿宋"/>
          <w:kern w:val="0"/>
          <w:sz w:val="24"/>
          <w:szCs w:val="24"/>
          <w:u w:val="single"/>
        </w:rPr>
        <w:tab/>
      </w:r>
      <w:r>
        <w:rPr>
          <w:rFonts w:eastAsia="仿宋"/>
          <w:kern w:val="0"/>
          <w:sz w:val="24"/>
          <w:szCs w:val="24"/>
          <w:u w:val="single"/>
        </w:rPr>
        <w:tab/>
      </w:r>
      <w:r>
        <w:rPr>
          <w:rFonts w:eastAsia="仿宋"/>
          <w:kern w:val="0"/>
          <w:sz w:val="24"/>
          <w:szCs w:val="24"/>
        </w:rPr>
        <w:t>(项目名称)(标项号：</w:t>
      </w:r>
      <w:r>
        <w:rPr>
          <w:rFonts w:eastAsia="仿宋"/>
          <w:kern w:val="0"/>
          <w:sz w:val="24"/>
          <w:szCs w:val="24"/>
          <w:u w:val="single"/>
        </w:rPr>
        <w:t xml:space="preserve">  </w:t>
      </w:r>
      <w:r>
        <w:rPr>
          <w:rFonts w:eastAsia="仿宋"/>
          <w:kern w:val="0"/>
          <w:sz w:val="24"/>
          <w:szCs w:val="24"/>
        </w:rPr>
        <w:t>)递交保证金人民币</w:t>
      </w:r>
      <w:r>
        <w:rPr>
          <w:rFonts w:eastAsia="仿宋"/>
          <w:kern w:val="0"/>
          <w:sz w:val="24"/>
          <w:szCs w:val="24"/>
          <w:u w:val="single"/>
        </w:rPr>
        <w:t xml:space="preserve">  </w:t>
      </w:r>
      <w:r>
        <w:rPr>
          <w:rFonts w:eastAsia="仿宋"/>
          <w:spacing w:val="-1"/>
          <w:kern w:val="0"/>
          <w:sz w:val="24"/>
          <w:szCs w:val="24"/>
        </w:rPr>
        <w:t>元</w:t>
      </w:r>
      <w:r>
        <w:rPr>
          <w:rFonts w:eastAsia="仿宋"/>
          <w:kern w:val="0"/>
          <w:sz w:val="24"/>
          <w:szCs w:val="24"/>
        </w:rPr>
        <w:t>(大写人民币</w:t>
      </w:r>
      <w:r>
        <w:rPr>
          <w:rFonts w:eastAsia="仿宋"/>
          <w:kern w:val="0"/>
          <w:sz w:val="24"/>
          <w:szCs w:val="24"/>
          <w:u w:val="single"/>
        </w:rPr>
        <w:tab/>
      </w:r>
      <w:r>
        <w:rPr>
          <w:rFonts w:eastAsia="仿宋"/>
          <w:kern w:val="0"/>
          <w:sz w:val="24"/>
          <w:szCs w:val="24"/>
        </w:rPr>
        <w:t>元)已于</w:t>
      </w:r>
      <w:r>
        <w:rPr>
          <w:rFonts w:eastAsia="仿宋"/>
          <w:kern w:val="0"/>
          <w:sz w:val="24"/>
          <w:szCs w:val="24"/>
          <w:u w:val="single"/>
        </w:rPr>
        <w:tab/>
      </w:r>
      <w:r>
        <w:rPr>
          <w:rFonts w:eastAsia="仿宋"/>
          <w:kern w:val="0"/>
          <w:sz w:val="24"/>
          <w:szCs w:val="24"/>
          <w:u w:val="single"/>
        </w:rPr>
        <w:tab/>
      </w:r>
      <w:r>
        <w:rPr>
          <w:rFonts w:eastAsia="仿宋"/>
          <w:kern w:val="0"/>
          <w:sz w:val="24"/>
          <w:szCs w:val="24"/>
        </w:rPr>
        <w:t>年</w:t>
      </w:r>
      <w:r>
        <w:rPr>
          <w:rFonts w:eastAsia="仿宋"/>
          <w:kern w:val="0"/>
          <w:sz w:val="24"/>
          <w:szCs w:val="24"/>
          <w:u w:val="single"/>
        </w:rPr>
        <w:tab/>
      </w:r>
      <w:r>
        <w:rPr>
          <w:rFonts w:eastAsia="仿宋"/>
          <w:kern w:val="0"/>
          <w:sz w:val="24"/>
          <w:szCs w:val="24"/>
        </w:rPr>
        <w:t>月</w:t>
      </w:r>
      <w:r>
        <w:rPr>
          <w:rFonts w:eastAsia="仿宋"/>
          <w:kern w:val="0"/>
          <w:sz w:val="24"/>
          <w:szCs w:val="24"/>
          <w:u w:val="single"/>
        </w:rPr>
        <w:tab/>
      </w:r>
      <w:r>
        <w:rPr>
          <w:rFonts w:eastAsia="仿宋"/>
          <w:kern w:val="0"/>
          <w:sz w:val="24"/>
          <w:szCs w:val="24"/>
        </w:rPr>
        <w:t>日以银行主动划账方式划入你方账户。</w:t>
      </w:r>
    </w:p>
    <w:p w14:paraId="546BBD1D">
      <w:pPr>
        <w:autoSpaceDE w:val="0"/>
        <w:autoSpaceDN w:val="0"/>
        <w:spacing w:before="4"/>
        <w:jc w:val="left"/>
        <w:rPr>
          <w:rFonts w:eastAsia="仿宋"/>
          <w:kern w:val="0"/>
          <w:sz w:val="24"/>
          <w:szCs w:val="24"/>
        </w:rPr>
      </w:pPr>
      <w:r>
        <w:rPr>
          <w:rFonts w:eastAsia="仿宋"/>
          <w:kern w:val="0"/>
          <w:sz w:val="24"/>
          <w:szCs w:val="24"/>
        </w:rPr>
        <w:t>详见附件：银行出具的汇款单或转账凭证扫描件。</w:t>
      </w:r>
    </w:p>
    <w:p w14:paraId="4442F3F3">
      <w:pPr>
        <w:autoSpaceDE w:val="0"/>
        <w:autoSpaceDN w:val="0"/>
        <w:spacing w:before="3"/>
        <w:jc w:val="left"/>
        <w:rPr>
          <w:rFonts w:eastAsia="仿宋"/>
          <w:kern w:val="0"/>
          <w:sz w:val="24"/>
          <w:szCs w:val="24"/>
        </w:rPr>
      </w:pPr>
    </w:p>
    <w:p w14:paraId="57959920">
      <w:pPr>
        <w:autoSpaceDE w:val="0"/>
        <w:autoSpaceDN w:val="0"/>
        <w:spacing w:before="1" w:line="491" w:lineRule="auto"/>
        <w:ind w:right="499"/>
        <w:jc w:val="left"/>
        <w:rPr>
          <w:rFonts w:eastAsia="仿宋"/>
          <w:kern w:val="0"/>
          <w:sz w:val="24"/>
          <w:szCs w:val="24"/>
        </w:rPr>
      </w:pPr>
      <w:r>
        <w:rPr>
          <w:rFonts w:eastAsia="仿宋"/>
          <w:kern w:val="0"/>
          <w:sz w:val="24"/>
          <w:szCs w:val="24"/>
        </w:rPr>
        <mc:AlternateContent>
          <mc:Choice Requires="wps">
            <w:drawing>
              <wp:anchor distT="0" distB="0" distL="114300" distR="114300" simplePos="0" relativeHeight="251659264" behindDoc="1" locked="0" layoutInCell="1" allowOverlap="1">
                <wp:simplePos x="0" y="0"/>
                <wp:positionH relativeFrom="page">
                  <wp:posOffset>1283970</wp:posOffset>
                </wp:positionH>
                <wp:positionV relativeFrom="paragraph">
                  <wp:posOffset>1619250</wp:posOffset>
                </wp:positionV>
                <wp:extent cx="3623310" cy="1299210"/>
                <wp:effectExtent l="4445" t="4445" r="10795" b="10795"/>
                <wp:wrapTopAndBottom/>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3623310" cy="1299210"/>
                        </a:xfrm>
                        <a:prstGeom prst="rect">
                          <a:avLst/>
                        </a:prstGeom>
                        <a:noFill/>
                        <a:ln w="6096">
                          <a:solidFill>
                            <a:srgbClr val="000000"/>
                          </a:solidFill>
                          <a:miter lim="800000"/>
                        </a:ln>
                        <a:effectLst/>
                      </wps:spPr>
                      <wps:txbx>
                        <w:txbxContent>
                          <w:p w14:paraId="2834F1D4">
                            <w:pPr>
                              <w:pStyle w:val="2"/>
                            </w:pPr>
                          </w:p>
                          <w:p w14:paraId="122E1E25">
                            <w:pPr>
                              <w:pStyle w:val="2"/>
                              <w:rPr>
                                <w:rFonts w:hint="eastAsia" w:ascii="仿宋" w:hAnsi="仿宋" w:eastAsia="仿宋" w:cs="仿宋"/>
                                <w:szCs w:val="21"/>
                              </w:rPr>
                            </w:pPr>
                          </w:p>
                          <w:p w14:paraId="0E4739E7">
                            <w:pPr>
                              <w:pStyle w:val="2"/>
                              <w:spacing w:before="167"/>
                              <w:rPr>
                                <w:rFonts w:hint="eastAsia" w:ascii="仿宋" w:hAnsi="仿宋" w:eastAsia="仿宋" w:cs="仿宋"/>
                                <w:szCs w:val="21"/>
                              </w:rPr>
                            </w:pPr>
                            <w:r>
                              <w:rPr>
                                <w:rFonts w:hint="eastAsia" w:ascii="仿宋" w:hAnsi="仿宋" w:eastAsia="仿宋" w:cs="仿宋"/>
                                <w:szCs w:val="21"/>
                              </w:rPr>
                              <w:t>汇款单或转账凭证扫描件</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1.1pt;margin-top:127.5pt;height:102.3pt;width:285.3pt;mso-position-horizontal-relative:page;mso-wrap-distance-bottom:0pt;mso-wrap-distance-top:0pt;z-index:-251657216;mso-width-relative:page;mso-height-relative:page;" filled="f" stroked="t" coordsize="21600,21600" o:gfxdata="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aSld71wAAAAsBAAAPAAAAAAAAAAEAIAAAACIAAABkcnMvZG93&#10;bnJldi54bWxQSwECFAAUAAAACACHTuJA+qkIXjoCAABfBAAADgAAAAAAAAABACAAAAAmAQAAZHJz&#10;L2Uyb0RvYy54bWxQSwUGAAAAAAYABgBZAQAA0gUAAAAA&#10;">
                <v:fill on="f" focussize="0,0"/>
                <v:stroke weight="0.48pt" color="#000000" miterlimit="8" joinstyle="miter"/>
                <v:imagedata o:title=""/>
                <o:lock v:ext="edit" aspectratio="f"/>
                <v:textbox inset="0mm,0mm,0mm,0mm">
                  <w:txbxContent>
                    <w:p w14:paraId="2834F1D4">
                      <w:pPr>
                        <w:pStyle w:val="2"/>
                      </w:pPr>
                    </w:p>
                    <w:p w14:paraId="122E1E25">
                      <w:pPr>
                        <w:pStyle w:val="2"/>
                        <w:rPr>
                          <w:rFonts w:hint="eastAsia" w:ascii="仿宋" w:hAnsi="仿宋" w:eastAsia="仿宋" w:cs="仿宋"/>
                          <w:szCs w:val="21"/>
                        </w:rPr>
                      </w:pPr>
                    </w:p>
                    <w:p w14:paraId="0E4739E7">
                      <w:pPr>
                        <w:pStyle w:val="2"/>
                        <w:spacing w:before="167"/>
                        <w:rPr>
                          <w:rFonts w:hint="eastAsia" w:ascii="仿宋" w:hAnsi="仿宋" w:eastAsia="仿宋" w:cs="仿宋"/>
                          <w:szCs w:val="21"/>
                        </w:rPr>
                      </w:pPr>
                      <w:r>
                        <w:rPr>
                          <w:rFonts w:hint="eastAsia" w:ascii="仿宋" w:hAnsi="仿宋" w:eastAsia="仿宋" w:cs="仿宋"/>
                          <w:szCs w:val="21"/>
                        </w:rPr>
                        <w:t>汇款单或转账凭证扫描件</w:t>
                      </w:r>
                    </w:p>
                  </w:txbxContent>
                </v:textbox>
                <w10:wrap type="topAndBottom"/>
              </v:shape>
            </w:pict>
          </mc:Fallback>
        </mc:AlternateContent>
      </w:r>
      <w:r>
        <w:rPr>
          <w:rFonts w:eastAsia="仿宋"/>
          <w:kern w:val="0"/>
          <w:sz w:val="24"/>
          <w:szCs w:val="24"/>
        </w:rPr>
        <w:t>退还保证金时请按以下内容划入我方账户。若因内容不全、错误、字迹潦草模糊导致该项目保证金未能及时退还或退还过程中发生错误，我方将承担全部责任和损失。</w:t>
      </w:r>
    </w:p>
    <w:p w14:paraId="21205763">
      <w:pPr>
        <w:autoSpaceDE w:val="0"/>
        <w:autoSpaceDN w:val="0"/>
        <w:spacing w:before="2" w:line="491" w:lineRule="auto"/>
        <w:ind w:right="8511"/>
        <w:rPr>
          <w:rFonts w:eastAsia="仿宋"/>
          <w:spacing w:val="-118"/>
          <w:kern w:val="0"/>
          <w:sz w:val="24"/>
          <w:szCs w:val="24"/>
        </w:rPr>
      </w:pPr>
      <w:r>
        <w:rPr>
          <w:rFonts w:eastAsia="仿宋"/>
          <w:spacing w:val="-1"/>
          <w:kern w:val="0"/>
          <w:sz w:val="24"/>
          <w:szCs w:val="24"/>
        </w:rPr>
        <w:t>单位全称：</w:t>
      </w:r>
      <w:r>
        <w:rPr>
          <w:rFonts w:eastAsia="仿宋"/>
          <w:spacing w:val="-118"/>
          <w:kern w:val="0"/>
          <w:sz w:val="24"/>
          <w:szCs w:val="24"/>
        </w:rPr>
        <w:t xml:space="preserve"> </w:t>
      </w:r>
    </w:p>
    <w:p w14:paraId="70C546FB">
      <w:pPr>
        <w:autoSpaceDE w:val="0"/>
        <w:autoSpaceDN w:val="0"/>
        <w:spacing w:before="2" w:line="491" w:lineRule="auto"/>
        <w:ind w:right="8511"/>
        <w:rPr>
          <w:rFonts w:eastAsia="仿宋"/>
          <w:spacing w:val="-118"/>
          <w:kern w:val="0"/>
          <w:sz w:val="24"/>
          <w:szCs w:val="24"/>
        </w:rPr>
      </w:pPr>
    </w:p>
    <w:p w14:paraId="5B40F91A">
      <w:pPr>
        <w:autoSpaceDE w:val="0"/>
        <w:autoSpaceDN w:val="0"/>
        <w:spacing w:before="2" w:line="491" w:lineRule="auto"/>
        <w:ind w:right="8511"/>
        <w:rPr>
          <w:rFonts w:eastAsia="仿宋"/>
          <w:kern w:val="0"/>
          <w:sz w:val="24"/>
          <w:szCs w:val="24"/>
        </w:rPr>
      </w:pPr>
      <w:r>
        <w:rPr>
          <w:rFonts w:eastAsia="仿宋"/>
          <w:spacing w:val="-1"/>
          <w:kern w:val="0"/>
          <w:sz w:val="24"/>
          <w:szCs w:val="24"/>
        </w:rPr>
        <w:t>开户银行：</w:t>
      </w:r>
      <w:r>
        <w:rPr>
          <w:rFonts w:eastAsia="仿宋"/>
          <w:spacing w:val="-118"/>
          <w:kern w:val="0"/>
          <w:sz w:val="24"/>
          <w:szCs w:val="24"/>
        </w:rPr>
        <w:t xml:space="preserve"> </w:t>
      </w:r>
      <w:r>
        <w:rPr>
          <w:rFonts w:eastAsia="仿宋"/>
          <w:spacing w:val="-1"/>
          <w:kern w:val="0"/>
          <w:sz w:val="24"/>
          <w:szCs w:val="24"/>
        </w:rPr>
        <w:t>开户账号：</w:t>
      </w:r>
    </w:p>
    <w:p w14:paraId="66A14644">
      <w:pPr>
        <w:autoSpaceDE w:val="0"/>
        <w:autoSpaceDN w:val="0"/>
        <w:spacing w:before="2" w:line="491" w:lineRule="auto"/>
        <w:ind w:right="1280"/>
        <w:rPr>
          <w:rFonts w:eastAsia="仿宋"/>
          <w:kern w:val="0"/>
          <w:sz w:val="24"/>
          <w:szCs w:val="24"/>
        </w:rPr>
      </w:pPr>
      <w:r>
        <w:rPr>
          <w:rFonts w:eastAsia="仿宋"/>
          <w:spacing w:val="-1"/>
          <w:kern w:val="0"/>
          <w:sz w:val="24"/>
          <w:szCs w:val="24"/>
        </w:rPr>
        <w:t>供应商(公章)：</w:t>
      </w:r>
      <w:r>
        <w:rPr>
          <w:rFonts w:eastAsia="仿宋"/>
          <w:spacing w:val="-117"/>
          <w:kern w:val="0"/>
          <w:sz w:val="24"/>
          <w:szCs w:val="24"/>
        </w:rPr>
        <w:t xml:space="preserve"> </w:t>
      </w:r>
      <w:r>
        <w:rPr>
          <w:rFonts w:eastAsia="仿宋"/>
          <w:kern w:val="0"/>
          <w:sz w:val="24"/>
          <w:szCs w:val="24"/>
        </w:rPr>
        <w:t>地址：</w:t>
      </w:r>
    </w:p>
    <w:p w14:paraId="54118727">
      <w:pPr>
        <w:autoSpaceDE w:val="0"/>
        <w:autoSpaceDN w:val="0"/>
        <w:spacing w:before="5" w:line="491" w:lineRule="auto"/>
        <w:ind w:right="1520"/>
        <w:jc w:val="left"/>
        <w:rPr>
          <w:rFonts w:eastAsia="仿宋"/>
          <w:kern w:val="0"/>
          <w:sz w:val="24"/>
          <w:szCs w:val="24"/>
        </w:rPr>
      </w:pPr>
      <w:r>
        <w:rPr>
          <w:rFonts w:eastAsia="仿宋"/>
          <w:spacing w:val="-1"/>
          <w:kern w:val="0"/>
          <w:sz w:val="24"/>
          <w:szCs w:val="24"/>
        </w:rPr>
        <w:t>项目联系人：</w:t>
      </w:r>
      <w:r>
        <w:rPr>
          <w:rFonts w:eastAsia="仿宋"/>
          <w:spacing w:val="-117"/>
          <w:kern w:val="0"/>
          <w:sz w:val="24"/>
          <w:szCs w:val="24"/>
        </w:rPr>
        <w:t xml:space="preserve"> </w:t>
      </w:r>
      <w:r>
        <w:rPr>
          <w:rFonts w:eastAsia="仿宋"/>
          <w:spacing w:val="-1"/>
          <w:kern w:val="0"/>
          <w:sz w:val="24"/>
          <w:szCs w:val="24"/>
        </w:rPr>
        <w:t>电话(手机)：</w:t>
      </w:r>
    </w:p>
    <w:p w14:paraId="3F7AC4F3">
      <w:pPr>
        <w:autoSpaceDE w:val="0"/>
        <w:autoSpaceDN w:val="0"/>
        <w:spacing w:before="3"/>
        <w:jc w:val="left"/>
        <w:rPr>
          <w:rFonts w:eastAsia="仿宋"/>
          <w:kern w:val="0"/>
          <w:sz w:val="24"/>
          <w:szCs w:val="24"/>
        </w:rPr>
      </w:pPr>
    </w:p>
    <w:p w14:paraId="63E279B0">
      <w:pPr>
        <w:autoSpaceDE w:val="0"/>
        <w:autoSpaceDN w:val="0"/>
        <w:spacing w:before="3"/>
        <w:jc w:val="left"/>
        <w:rPr>
          <w:rFonts w:eastAsia="仿宋"/>
          <w:kern w:val="0"/>
          <w:sz w:val="24"/>
          <w:szCs w:val="24"/>
        </w:rPr>
      </w:pPr>
    </w:p>
    <w:p w14:paraId="026345DC">
      <w:pPr>
        <w:autoSpaceDE w:val="0"/>
        <w:autoSpaceDN w:val="0"/>
        <w:spacing w:before="3"/>
        <w:jc w:val="left"/>
        <w:rPr>
          <w:rFonts w:eastAsia="仿宋"/>
          <w:kern w:val="0"/>
          <w:sz w:val="24"/>
          <w:szCs w:val="24"/>
        </w:rPr>
      </w:pPr>
    </w:p>
    <w:p w14:paraId="357BB222">
      <w:pPr>
        <w:autoSpaceDE w:val="0"/>
        <w:autoSpaceDN w:val="0"/>
        <w:spacing w:before="3"/>
        <w:jc w:val="left"/>
        <w:rPr>
          <w:rFonts w:eastAsia="仿宋"/>
          <w:kern w:val="0"/>
          <w:sz w:val="24"/>
          <w:szCs w:val="24"/>
        </w:rPr>
      </w:pPr>
    </w:p>
    <w:p w14:paraId="656D9872">
      <w:pPr>
        <w:rPr>
          <w:rFonts w:eastAsia="仿宋"/>
          <w:b/>
          <w:bCs/>
          <w:kern w:val="0"/>
          <w:sz w:val="24"/>
          <w:szCs w:val="24"/>
        </w:rPr>
      </w:pPr>
      <w:r>
        <w:rPr>
          <w:rFonts w:eastAsia="仿宋"/>
          <w:b/>
          <w:bCs/>
          <w:kern w:val="0"/>
          <w:sz w:val="24"/>
          <w:szCs w:val="24"/>
        </w:rPr>
        <w:br w:type="page"/>
      </w:r>
    </w:p>
    <w:p w14:paraId="387E32F1">
      <w:pPr>
        <w:autoSpaceDE w:val="0"/>
        <w:autoSpaceDN w:val="0"/>
        <w:spacing w:before="62"/>
        <w:jc w:val="left"/>
        <w:rPr>
          <w:rFonts w:eastAsia="仿宋"/>
          <w:b/>
          <w:bCs/>
          <w:kern w:val="0"/>
          <w:sz w:val="24"/>
          <w:szCs w:val="24"/>
        </w:rPr>
      </w:pPr>
      <w:r>
        <w:rPr>
          <w:rFonts w:eastAsia="仿宋"/>
          <w:b/>
          <w:bCs/>
          <w:kern w:val="0"/>
          <w:sz w:val="24"/>
          <w:szCs w:val="24"/>
        </w:rPr>
        <w:t>5、供应商的资格证明材料</w:t>
      </w:r>
    </w:p>
    <w:p w14:paraId="5C75261C">
      <w:pPr>
        <w:autoSpaceDE w:val="0"/>
        <w:autoSpaceDN w:val="0"/>
        <w:spacing w:before="3"/>
        <w:jc w:val="left"/>
        <w:rPr>
          <w:rFonts w:eastAsia="仿宋"/>
          <w:kern w:val="0"/>
          <w:sz w:val="28"/>
          <w:szCs w:val="28"/>
        </w:rPr>
      </w:pPr>
    </w:p>
    <w:p w14:paraId="1543E2DB">
      <w:pPr>
        <w:pStyle w:val="29"/>
        <w:spacing w:line="540" w:lineRule="exact"/>
        <w:ind w:firstLine="560"/>
        <w:rPr>
          <w:rFonts w:ascii="Times New Roman" w:hAnsi="Times New Roman" w:eastAsia="仿宋"/>
          <w:color w:val="auto"/>
          <w:szCs w:val="22"/>
        </w:rPr>
      </w:pPr>
      <w:r>
        <w:rPr>
          <w:rFonts w:ascii="Times New Roman" w:hAnsi="Times New Roman" w:eastAsia="仿宋"/>
          <w:b/>
          <w:szCs w:val="22"/>
        </w:rPr>
        <w:t>资格证明文件内容：</w:t>
      </w:r>
      <w:r>
        <w:rPr>
          <w:rFonts w:ascii="Times New Roman" w:hAnsi="Times New Roman" w:eastAsia="仿宋"/>
          <w:color w:val="auto"/>
          <w:szCs w:val="22"/>
        </w:rPr>
        <w:t>(以下文件必须在有效期内)</w:t>
      </w:r>
    </w:p>
    <w:p w14:paraId="6862A780">
      <w:pPr>
        <w:widowControl/>
        <w:shd w:val="clear" w:color="auto" w:fill="FFFFFF"/>
        <w:snapToGrid w:val="0"/>
        <w:spacing w:line="360" w:lineRule="auto"/>
        <w:ind w:firstLine="480" w:firstLineChars="200"/>
        <w:jc w:val="left"/>
        <w:rPr>
          <w:rFonts w:eastAsia="仿宋"/>
          <w:bCs/>
          <w:color w:val="000000"/>
          <w:kern w:val="0"/>
          <w:sz w:val="24"/>
          <w:szCs w:val="22"/>
        </w:rPr>
      </w:pPr>
      <w:r>
        <w:rPr>
          <w:rFonts w:eastAsia="仿宋"/>
          <w:bCs/>
          <w:color w:val="000000"/>
          <w:kern w:val="0"/>
          <w:sz w:val="24"/>
          <w:szCs w:val="22"/>
        </w:rPr>
        <w:t>一、满足《中华人民共和国政府采购法》第二十二条规定；</w:t>
      </w:r>
    </w:p>
    <w:p w14:paraId="2BC0BF54">
      <w:pPr>
        <w:snapToGrid w:val="0"/>
        <w:spacing w:line="360" w:lineRule="auto"/>
        <w:ind w:firstLine="480" w:firstLineChars="200"/>
        <w:rPr>
          <w:rFonts w:eastAsia="仿宋"/>
          <w:kern w:val="0"/>
          <w:sz w:val="24"/>
          <w:szCs w:val="24"/>
        </w:rPr>
      </w:pPr>
      <w:r>
        <w:rPr>
          <w:rFonts w:eastAsia="仿宋"/>
          <w:kern w:val="0"/>
          <w:sz w:val="24"/>
          <w:szCs w:val="24"/>
        </w:rPr>
        <w:t>1、具有独立承担民事责任的能力；（供应商为企业（包括合伙企业）的，应提供有效的“营业执照”；供应商是非企业机构的，应提供有效的“执业许可证”、“登记证书”等证明文件;供应商是个体工商户的，应提供有效的“个体工商户营业执照”；供应商是自然人的，应提供有效的自然人身份证明。”（上述资料须复印件加盖印章）</w:t>
      </w:r>
    </w:p>
    <w:p w14:paraId="1C78CD96">
      <w:pPr>
        <w:snapToGrid w:val="0"/>
        <w:spacing w:line="360" w:lineRule="auto"/>
        <w:ind w:firstLine="480" w:firstLineChars="200"/>
        <w:rPr>
          <w:rFonts w:eastAsia="仿宋"/>
          <w:kern w:val="0"/>
          <w:sz w:val="24"/>
          <w:szCs w:val="24"/>
        </w:rPr>
      </w:pPr>
      <w:r>
        <w:rPr>
          <w:rFonts w:eastAsia="仿宋"/>
          <w:ker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p w14:paraId="6173C5B0">
      <w:pPr>
        <w:pStyle w:val="29"/>
        <w:snapToGrid w:val="0"/>
        <w:spacing w:line="360" w:lineRule="auto"/>
        <w:ind w:firstLine="480" w:firstLineChars="200"/>
        <w:rPr>
          <w:rFonts w:ascii="Times New Roman" w:hAnsi="Times New Roman" w:eastAsia="仿宋"/>
          <w:bCs/>
        </w:rPr>
      </w:pPr>
      <w:r>
        <w:rPr>
          <w:rFonts w:ascii="Times New Roman" w:hAnsi="Times New Roman" w:eastAsia="仿宋"/>
          <w:kern w:val="0"/>
        </w:rPr>
        <w:t>2、具有良好的商业信誉和健全的财务会计制度；（</w:t>
      </w:r>
      <w:r>
        <w:rPr>
          <w:rFonts w:hint="eastAsia" w:ascii="Times New Roman" w:hAnsi="Times New Roman" w:eastAsia="仿宋"/>
          <w:kern w:val="0"/>
        </w:rPr>
        <w:t>须提供本单位上一年度（2024年度或2025年度）的财务审计报告或财务报表或提供开标日前三个月内银行出具的资信证明；（供应商成立不足一年的提供截止开标前近3个月任意一个月的财务报表和截止开标前近1个月基本开户银行出具的资信证明；</w:t>
      </w:r>
      <w:r>
        <w:rPr>
          <w:rFonts w:ascii="Times New Roman" w:hAnsi="Times New Roman" w:eastAsia="仿宋"/>
          <w:kern w:val="0"/>
        </w:rPr>
        <w:t>)</w:t>
      </w:r>
    </w:p>
    <w:p w14:paraId="3173D4BE">
      <w:pPr>
        <w:snapToGrid w:val="0"/>
        <w:spacing w:line="360" w:lineRule="auto"/>
        <w:ind w:firstLine="480" w:firstLineChars="200"/>
        <w:rPr>
          <w:rFonts w:eastAsia="仿宋"/>
          <w:color w:val="000000"/>
          <w:kern w:val="0"/>
          <w:sz w:val="24"/>
          <w:szCs w:val="24"/>
        </w:rPr>
      </w:pPr>
      <w:r>
        <w:rPr>
          <w:rFonts w:eastAsia="仿宋"/>
          <w:kern w:val="0"/>
          <w:sz w:val="24"/>
          <w:szCs w:val="24"/>
        </w:rPr>
        <w:t>3、具有履行合同所</w:t>
      </w:r>
      <w:r>
        <w:rPr>
          <w:rFonts w:eastAsia="仿宋"/>
          <w:color w:val="000000"/>
          <w:kern w:val="0"/>
          <w:sz w:val="24"/>
          <w:szCs w:val="24"/>
        </w:rPr>
        <w:t>必需的设备和专业技术能力；（须提供具备履行合同所必需的设备和专业技术能力的证明材料或承诺书）</w:t>
      </w:r>
    </w:p>
    <w:p w14:paraId="43B554C4">
      <w:pPr>
        <w:snapToGrid w:val="0"/>
        <w:spacing w:line="360" w:lineRule="auto"/>
        <w:ind w:firstLine="480" w:firstLineChars="200"/>
        <w:rPr>
          <w:rFonts w:eastAsia="仿宋"/>
          <w:color w:val="000000"/>
          <w:kern w:val="0"/>
          <w:sz w:val="24"/>
          <w:szCs w:val="24"/>
        </w:rPr>
      </w:pPr>
      <w:r>
        <w:rPr>
          <w:rFonts w:eastAsia="仿宋"/>
          <w:color w:val="000000"/>
          <w:kern w:val="0"/>
          <w:sz w:val="24"/>
          <w:szCs w:val="24"/>
        </w:rPr>
        <w:t>4、有依法缴纳税收和社会保障资金的良好记录（</w:t>
      </w:r>
      <w:r>
        <w:rPr>
          <w:rFonts w:eastAsia="仿宋"/>
          <w:bCs/>
          <w:sz w:val="24"/>
          <w:szCs w:val="22"/>
        </w:rPr>
        <w:t>须提供响应文件递交截止日期之前6个月内任意一个月</w:t>
      </w:r>
      <w:r>
        <w:rPr>
          <w:rFonts w:eastAsia="仿宋"/>
          <w:color w:val="000000"/>
          <w:kern w:val="0"/>
          <w:sz w:val="24"/>
          <w:szCs w:val="24"/>
        </w:rPr>
        <w:t>的完税证明及缴纳社保记录；【</w:t>
      </w:r>
      <w:r>
        <w:rPr>
          <w:rFonts w:eastAsia="仿宋"/>
          <w:bCs/>
          <w:sz w:val="24"/>
          <w:szCs w:val="22"/>
        </w:rPr>
        <w:t>依法免税、依法不需要缴纳社会保障资金的应提供相应文件说明</w:t>
      </w:r>
      <w:r>
        <w:rPr>
          <w:rFonts w:eastAsia="仿宋"/>
          <w:color w:val="000000"/>
          <w:kern w:val="0"/>
          <w:sz w:val="24"/>
          <w:szCs w:val="24"/>
        </w:rPr>
        <w:t>】）</w:t>
      </w:r>
    </w:p>
    <w:p w14:paraId="1E81B195">
      <w:pPr>
        <w:snapToGrid w:val="0"/>
        <w:spacing w:line="360" w:lineRule="auto"/>
        <w:ind w:firstLine="480" w:firstLineChars="200"/>
        <w:rPr>
          <w:rFonts w:eastAsia="仿宋"/>
          <w:color w:val="000000"/>
          <w:kern w:val="0"/>
          <w:sz w:val="24"/>
          <w:szCs w:val="24"/>
        </w:rPr>
      </w:pPr>
      <w:r>
        <w:rPr>
          <w:rFonts w:eastAsia="仿宋"/>
          <w:color w:val="000000"/>
          <w:kern w:val="0"/>
          <w:sz w:val="24"/>
          <w:szCs w:val="24"/>
        </w:rPr>
        <w:t>5、参加政府采购活动前三年内，‌在经营活动中没有重大违法记录；（</w:t>
      </w:r>
      <w:r>
        <w:rPr>
          <w:rFonts w:eastAsia="仿宋"/>
          <w:bCs/>
          <w:sz w:val="24"/>
          <w:szCs w:val="22"/>
        </w:rPr>
        <w:t>须提供供应商声明函原件扫描件</w:t>
      </w:r>
      <w:r>
        <w:rPr>
          <w:rFonts w:eastAsia="仿宋"/>
          <w:color w:val="000000"/>
          <w:kern w:val="0"/>
          <w:sz w:val="24"/>
          <w:szCs w:val="24"/>
        </w:rPr>
        <w:t>）</w:t>
      </w:r>
    </w:p>
    <w:p w14:paraId="70865474">
      <w:pPr>
        <w:snapToGrid w:val="0"/>
        <w:spacing w:line="360" w:lineRule="auto"/>
        <w:ind w:firstLine="480" w:firstLineChars="200"/>
        <w:rPr>
          <w:rFonts w:eastAsia="仿宋"/>
          <w:color w:val="000000"/>
          <w:kern w:val="0"/>
          <w:sz w:val="24"/>
          <w:szCs w:val="24"/>
        </w:rPr>
      </w:pPr>
      <w:r>
        <w:rPr>
          <w:rFonts w:eastAsia="仿宋"/>
          <w:color w:val="000000"/>
          <w:kern w:val="0"/>
          <w:sz w:val="24"/>
          <w:szCs w:val="24"/>
        </w:rPr>
        <w:t>6、法律、行政法规规定的其他条件。（提供承诺函）</w:t>
      </w:r>
    </w:p>
    <w:p w14:paraId="6C62D03D">
      <w:pPr>
        <w:pStyle w:val="29"/>
        <w:snapToGrid w:val="0"/>
        <w:spacing w:line="360" w:lineRule="auto"/>
        <w:ind w:firstLine="480" w:firstLineChars="200"/>
        <w:rPr>
          <w:rFonts w:ascii="Times New Roman" w:hAnsi="Times New Roman" w:eastAsia="仿宋"/>
          <w:bCs/>
          <w:szCs w:val="22"/>
        </w:rPr>
      </w:pPr>
      <w:r>
        <w:rPr>
          <w:rFonts w:ascii="Times New Roman" w:hAnsi="Times New Roman" w:eastAsia="仿宋"/>
          <w:bCs/>
          <w:kern w:val="0"/>
          <w:szCs w:val="22"/>
        </w:rPr>
        <w:t>二、</w:t>
      </w:r>
      <w:r>
        <w:rPr>
          <w:rFonts w:ascii="Times New Roman" w:hAnsi="Times New Roman" w:eastAsia="仿宋"/>
          <w:bCs/>
          <w:szCs w:val="22"/>
        </w:rPr>
        <w:t>磋商保证金缴纳凭证；（磋商保证金磋商保证金以电汇、网银等转账方式缴纳的，上传汇款凭证；投标保证金以保函形式缴纳的，须上传保函扫描件，保函的有效期少于投标有效期90日历天的，其保函无效。）</w:t>
      </w:r>
    </w:p>
    <w:p w14:paraId="25DB95CB">
      <w:pPr>
        <w:pStyle w:val="29"/>
        <w:snapToGrid w:val="0"/>
        <w:spacing w:line="360" w:lineRule="auto"/>
        <w:ind w:firstLine="480" w:firstLineChars="200"/>
        <w:rPr>
          <w:rFonts w:ascii="Times New Roman" w:hAnsi="Times New Roman" w:eastAsia="仿宋"/>
          <w:bCs/>
          <w:szCs w:val="22"/>
        </w:rPr>
      </w:pPr>
      <w:r>
        <w:rPr>
          <w:rFonts w:ascii="Times New Roman" w:hAnsi="Times New Roman" w:eastAsia="仿宋"/>
          <w:bCs/>
          <w:szCs w:val="22"/>
        </w:rPr>
        <w:t>三、供应商须在“信用中国”（www.creditchina.gov.cn）和中国政府采购网（www.ccgp.gov.cn）网站上未被列入失信被执行人、重大税收违法案件当事人名单以及政府采购严重违法失信行为记录名单（查询时间为自公告发布之日后）；（提供查询结果的网页打印页作为查询记录和证据，与其他采购文件一并保存。查询结果以采购人或采购代理机构查询结果为准）</w:t>
      </w:r>
    </w:p>
    <w:p w14:paraId="740E5A4B">
      <w:pPr>
        <w:pStyle w:val="29"/>
        <w:snapToGrid w:val="0"/>
        <w:spacing w:line="360" w:lineRule="auto"/>
        <w:ind w:firstLine="480" w:firstLineChars="200"/>
        <w:rPr>
          <w:rFonts w:ascii="Times New Roman" w:hAnsi="Times New Roman" w:eastAsia="仿宋"/>
          <w:bCs/>
          <w:szCs w:val="22"/>
        </w:rPr>
      </w:pPr>
      <w:r>
        <w:rPr>
          <w:rFonts w:ascii="Times New Roman" w:hAnsi="Times New Roman" w:eastAsia="仿宋"/>
          <w:bCs/>
          <w:szCs w:val="22"/>
        </w:rPr>
        <w:t>四、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须提供供应商声明函原件扫描件）</w:t>
      </w:r>
    </w:p>
    <w:p w14:paraId="65AAEF5F">
      <w:pPr>
        <w:pStyle w:val="29"/>
        <w:snapToGrid w:val="0"/>
        <w:spacing w:line="360" w:lineRule="auto"/>
        <w:ind w:firstLine="480" w:firstLineChars="200"/>
        <w:rPr>
          <w:rFonts w:ascii="Times New Roman" w:hAnsi="Times New Roman" w:eastAsia="仿宋"/>
          <w:bCs/>
          <w:szCs w:val="22"/>
        </w:rPr>
      </w:pPr>
      <w:r>
        <w:rPr>
          <w:rFonts w:ascii="Times New Roman" w:hAnsi="Times New Roman" w:eastAsia="仿宋"/>
          <w:bCs/>
          <w:szCs w:val="22"/>
        </w:rPr>
        <w:t>五、供应商认为有必要提供的声明及其他资料。</w:t>
      </w:r>
    </w:p>
    <w:p w14:paraId="69AE00BA">
      <w:pPr>
        <w:pStyle w:val="29"/>
        <w:snapToGrid w:val="0"/>
        <w:spacing w:line="360" w:lineRule="auto"/>
        <w:ind w:firstLine="480" w:firstLineChars="200"/>
        <w:rPr>
          <w:rFonts w:ascii="Times New Roman" w:hAnsi="Times New Roman" w:eastAsia="仿宋"/>
          <w:bCs/>
          <w:szCs w:val="22"/>
        </w:rPr>
      </w:pPr>
      <w:r>
        <w:rPr>
          <w:rFonts w:ascii="Times New Roman" w:hAnsi="Times New Roman" w:eastAsia="仿宋"/>
          <w:bCs/>
          <w:szCs w:val="22"/>
        </w:rPr>
        <w:t>落实政府采购政策需满足的资格要求；（提供《中小企业声明函》原件扫描件）</w:t>
      </w:r>
    </w:p>
    <w:p w14:paraId="535ECB04">
      <w:pPr>
        <w:rPr>
          <w:rFonts w:eastAsia="仿宋"/>
          <w:kern w:val="0"/>
          <w:sz w:val="32"/>
          <w:szCs w:val="32"/>
        </w:rPr>
      </w:pPr>
    </w:p>
    <w:p w14:paraId="769F446C">
      <w:pPr>
        <w:rPr>
          <w:rFonts w:eastAsia="仿宋"/>
          <w:kern w:val="0"/>
          <w:sz w:val="32"/>
          <w:szCs w:val="32"/>
        </w:rPr>
      </w:pPr>
    </w:p>
    <w:p w14:paraId="5710D99F">
      <w:pPr>
        <w:pStyle w:val="2"/>
        <w:rPr>
          <w:rFonts w:eastAsia="仿宋"/>
          <w:kern w:val="0"/>
          <w:sz w:val="32"/>
          <w:szCs w:val="32"/>
        </w:rPr>
      </w:pPr>
    </w:p>
    <w:p w14:paraId="3C79824D">
      <w:pPr>
        <w:pStyle w:val="12"/>
        <w:ind w:firstLine="210"/>
        <w:rPr>
          <w:rFonts w:eastAsia="仿宋"/>
        </w:rPr>
      </w:pPr>
    </w:p>
    <w:p w14:paraId="1C88A023">
      <w:pPr>
        <w:rPr>
          <w:rFonts w:eastAsia="仿宋"/>
          <w:b/>
          <w:bCs/>
          <w:kern w:val="0"/>
          <w:sz w:val="28"/>
          <w:szCs w:val="28"/>
        </w:rPr>
      </w:pPr>
      <w:r>
        <w:rPr>
          <w:rFonts w:eastAsia="仿宋"/>
          <w:b/>
          <w:bCs/>
          <w:kern w:val="0"/>
          <w:sz w:val="28"/>
          <w:szCs w:val="28"/>
        </w:rPr>
        <w:br w:type="page"/>
      </w:r>
    </w:p>
    <w:p w14:paraId="4074223A">
      <w:pPr>
        <w:autoSpaceDE w:val="0"/>
        <w:autoSpaceDN w:val="0"/>
        <w:jc w:val="left"/>
        <w:rPr>
          <w:rFonts w:eastAsia="仿宋"/>
          <w:kern w:val="0"/>
          <w:sz w:val="24"/>
          <w:szCs w:val="24"/>
        </w:rPr>
      </w:pPr>
      <w:r>
        <w:rPr>
          <w:rFonts w:eastAsia="仿宋"/>
          <w:spacing w:val="-3"/>
          <w:w w:val="95"/>
          <w:kern w:val="0"/>
          <w:sz w:val="24"/>
          <w:szCs w:val="24"/>
        </w:rPr>
        <w:t xml:space="preserve">附件 </w:t>
      </w:r>
      <w:r>
        <w:rPr>
          <w:rFonts w:eastAsia="仿宋"/>
          <w:w w:val="95"/>
          <w:kern w:val="0"/>
          <w:sz w:val="24"/>
          <w:szCs w:val="24"/>
        </w:rPr>
        <w:t>5－1</w:t>
      </w:r>
    </w:p>
    <w:p w14:paraId="4251D7CC">
      <w:pPr>
        <w:autoSpaceDE w:val="0"/>
        <w:autoSpaceDN w:val="0"/>
        <w:jc w:val="left"/>
        <w:rPr>
          <w:rFonts w:eastAsia="仿宋"/>
          <w:kern w:val="0"/>
          <w:sz w:val="24"/>
          <w:szCs w:val="24"/>
        </w:rPr>
      </w:pPr>
    </w:p>
    <w:p w14:paraId="58D086F2">
      <w:pPr>
        <w:autoSpaceDE w:val="0"/>
        <w:autoSpaceDN w:val="0"/>
        <w:spacing w:before="66"/>
        <w:ind w:right="891"/>
        <w:jc w:val="center"/>
        <w:rPr>
          <w:rFonts w:eastAsia="仿宋"/>
          <w:kern w:val="0"/>
          <w:sz w:val="24"/>
          <w:szCs w:val="24"/>
        </w:rPr>
      </w:pPr>
      <w:r>
        <w:rPr>
          <w:rFonts w:eastAsia="仿宋"/>
          <w:b/>
          <w:bCs/>
          <w:kern w:val="0"/>
          <w:sz w:val="24"/>
          <w:szCs w:val="24"/>
        </w:rPr>
        <w:t>供应商基本情况表</w:t>
      </w:r>
    </w:p>
    <w:p w14:paraId="52D5E9F3">
      <w:pPr>
        <w:autoSpaceDE w:val="0"/>
        <w:autoSpaceDN w:val="0"/>
        <w:spacing w:before="1"/>
        <w:jc w:val="left"/>
        <w:rPr>
          <w:rFonts w:eastAsia="仿宋"/>
          <w:kern w:val="0"/>
          <w:sz w:val="28"/>
          <w:szCs w:val="28"/>
        </w:rPr>
      </w:pPr>
    </w:p>
    <w:p w14:paraId="737CE8AA">
      <w:pPr>
        <w:autoSpaceDE w:val="0"/>
        <w:autoSpaceDN w:val="0"/>
        <w:spacing w:before="67"/>
        <w:jc w:val="left"/>
        <w:rPr>
          <w:rFonts w:eastAsia="仿宋"/>
          <w:kern w:val="0"/>
          <w:sz w:val="24"/>
          <w:szCs w:val="24"/>
        </w:rPr>
      </w:pPr>
      <w:r>
        <w:rPr>
          <w:rFonts w:eastAsia="仿宋"/>
          <w:spacing w:val="-1"/>
          <w:kern w:val="0"/>
          <w:sz w:val="24"/>
          <w:szCs w:val="24"/>
        </w:rPr>
        <w:t>供应商：(公章)</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3921"/>
        <w:gridCol w:w="1981"/>
        <w:gridCol w:w="1966"/>
      </w:tblGrid>
      <w:tr w14:paraId="25AD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19F6B659">
            <w:pPr>
              <w:autoSpaceDE w:val="0"/>
              <w:autoSpaceDN w:val="0"/>
              <w:adjustRightInd w:val="0"/>
              <w:jc w:val="center"/>
              <w:rPr>
                <w:rFonts w:eastAsia="仿宋"/>
                <w:kern w:val="0"/>
                <w:szCs w:val="21"/>
              </w:rPr>
            </w:pPr>
            <w:r>
              <w:rPr>
                <w:rFonts w:eastAsia="仿宋"/>
                <w:kern w:val="0"/>
                <w:szCs w:val="21"/>
              </w:rPr>
              <w:t>名称</w:t>
            </w:r>
          </w:p>
        </w:tc>
        <w:tc>
          <w:tcPr>
            <w:tcW w:w="3995" w:type="pct"/>
            <w:gridSpan w:val="3"/>
            <w:vAlign w:val="center"/>
          </w:tcPr>
          <w:p w14:paraId="28BE4016">
            <w:pPr>
              <w:autoSpaceDE w:val="0"/>
              <w:autoSpaceDN w:val="0"/>
              <w:adjustRightInd w:val="0"/>
              <w:jc w:val="center"/>
              <w:rPr>
                <w:rFonts w:eastAsia="仿宋"/>
                <w:kern w:val="0"/>
                <w:szCs w:val="21"/>
              </w:rPr>
            </w:pPr>
          </w:p>
        </w:tc>
      </w:tr>
      <w:tr w14:paraId="1287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0614A5FB">
            <w:pPr>
              <w:autoSpaceDE w:val="0"/>
              <w:autoSpaceDN w:val="0"/>
              <w:adjustRightInd w:val="0"/>
              <w:jc w:val="center"/>
              <w:rPr>
                <w:rFonts w:eastAsia="仿宋"/>
                <w:kern w:val="0"/>
                <w:szCs w:val="21"/>
              </w:rPr>
            </w:pPr>
            <w:r>
              <w:rPr>
                <w:rFonts w:eastAsia="仿宋"/>
                <w:kern w:val="0"/>
                <w:szCs w:val="21"/>
              </w:rPr>
              <w:t>注册地址</w:t>
            </w:r>
          </w:p>
        </w:tc>
        <w:tc>
          <w:tcPr>
            <w:tcW w:w="3995" w:type="pct"/>
            <w:gridSpan w:val="3"/>
            <w:vAlign w:val="center"/>
          </w:tcPr>
          <w:p w14:paraId="61303C56">
            <w:pPr>
              <w:autoSpaceDE w:val="0"/>
              <w:autoSpaceDN w:val="0"/>
              <w:adjustRightInd w:val="0"/>
              <w:jc w:val="center"/>
              <w:rPr>
                <w:rFonts w:eastAsia="仿宋"/>
                <w:kern w:val="0"/>
                <w:szCs w:val="21"/>
              </w:rPr>
            </w:pPr>
          </w:p>
        </w:tc>
      </w:tr>
      <w:tr w14:paraId="6E29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79C18153">
            <w:pPr>
              <w:autoSpaceDE w:val="0"/>
              <w:autoSpaceDN w:val="0"/>
              <w:adjustRightInd w:val="0"/>
              <w:jc w:val="center"/>
              <w:rPr>
                <w:rFonts w:eastAsia="仿宋"/>
                <w:kern w:val="0"/>
                <w:szCs w:val="21"/>
              </w:rPr>
            </w:pPr>
            <w:r>
              <w:rPr>
                <w:rFonts w:eastAsia="仿宋"/>
                <w:kern w:val="0"/>
                <w:szCs w:val="21"/>
              </w:rPr>
              <w:t>办公地址</w:t>
            </w:r>
          </w:p>
        </w:tc>
        <w:tc>
          <w:tcPr>
            <w:tcW w:w="3995" w:type="pct"/>
            <w:gridSpan w:val="3"/>
            <w:vAlign w:val="center"/>
          </w:tcPr>
          <w:p w14:paraId="0F8B4D82">
            <w:pPr>
              <w:autoSpaceDE w:val="0"/>
              <w:autoSpaceDN w:val="0"/>
              <w:adjustRightInd w:val="0"/>
              <w:jc w:val="center"/>
              <w:rPr>
                <w:rFonts w:eastAsia="仿宋"/>
                <w:kern w:val="0"/>
                <w:szCs w:val="21"/>
              </w:rPr>
            </w:pPr>
          </w:p>
        </w:tc>
      </w:tr>
      <w:tr w14:paraId="5224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3CC52BFA">
            <w:pPr>
              <w:autoSpaceDE w:val="0"/>
              <w:autoSpaceDN w:val="0"/>
              <w:adjustRightInd w:val="0"/>
              <w:jc w:val="center"/>
              <w:rPr>
                <w:rFonts w:eastAsia="仿宋"/>
                <w:kern w:val="0"/>
                <w:szCs w:val="21"/>
              </w:rPr>
            </w:pPr>
            <w:r>
              <w:rPr>
                <w:rFonts w:eastAsia="仿宋"/>
                <w:kern w:val="0"/>
                <w:szCs w:val="21"/>
              </w:rPr>
              <w:t>法定代表人</w:t>
            </w:r>
          </w:p>
        </w:tc>
        <w:tc>
          <w:tcPr>
            <w:tcW w:w="1991" w:type="pct"/>
            <w:vAlign w:val="center"/>
          </w:tcPr>
          <w:p w14:paraId="7334E0AC">
            <w:pPr>
              <w:autoSpaceDE w:val="0"/>
              <w:autoSpaceDN w:val="0"/>
              <w:adjustRightInd w:val="0"/>
              <w:jc w:val="center"/>
              <w:rPr>
                <w:rFonts w:eastAsia="仿宋"/>
                <w:kern w:val="0"/>
                <w:szCs w:val="21"/>
              </w:rPr>
            </w:pPr>
          </w:p>
        </w:tc>
        <w:tc>
          <w:tcPr>
            <w:tcW w:w="1006" w:type="pct"/>
            <w:vAlign w:val="center"/>
          </w:tcPr>
          <w:p w14:paraId="4E9C11EE">
            <w:pPr>
              <w:autoSpaceDE w:val="0"/>
              <w:autoSpaceDN w:val="0"/>
              <w:adjustRightInd w:val="0"/>
              <w:jc w:val="center"/>
              <w:rPr>
                <w:rFonts w:eastAsia="仿宋"/>
                <w:kern w:val="0"/>
                <w:szCs w:val="21"/>
              </w:rPr>
            </w:pPr>
            <w:r>
              <w:rPr>
                <w:rFonts w:eastAsia="仿宋"/>
                <w:kern w:val="0"/>
                <w:szCs w:val="21"/>
              </w:rPr>
              <w:t>联系人</w:t>
            </w:r>
          </w:p>
        </w:tc>
        <w:tc>
          <w:tcPr>
            <w:tcW w:w="998" w:type="pct"/>
            <w:vAlign w:val="center"/>
          </w:tcPr>
          <w:p w14:paraId="5468C395">
            <w:pPr>
              <w:autoSpaceDE w:val="0"/>
              <w:autoSpaceDN w:val="0"/>
              <w:adjustRightInd w:val="0"/>
              <w:jc w:val="center"/>
              <w:rPr>
                <w:rFonts w:eastAsia="仿宋"/>
                <w:kern w:val="0"/>
                <w:szCs w:val="21"/>
              </w:rPr>
            </w:pPr>
          </w:p>
        </w:tc>
      </w:tr>
      <w:tr w14:paraId="42E3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4B7D88A7">
            <w:pPr>
              <w:autoSpaceDE w:val="0"/>
              <w:autoSpaceDN w:val="0"/>
              <w:adjustRightInd w:val="0"/>
              <w:jc w:val="center"/>
              <w:rPr>
                <w:rFonts w:eastAsia="仿宋"/>
                <w:kern w:val="0"/>
                <w:szCs w:val="21"/>
              </w:rPr>
            </w:pPr>
            <w:r>
              <w:rPr>
                <w:rFonts w:eastAsia="仿宋"/>
                <w:kern w:val="0"/>
                <w:szCs w:val="21"/>
              </w:rPr>
              <w:t>电话</w:t>
            </w:r>
          </w:p>
        </w:tc>
        <w:tc>
          <w:tcPr>
            <w:tcW w:w="1991" w:type="pct"/>
            <w:vAlign w:val="center"/>
          </w:tcPr>
          <w:p w14:paraId="29F04B95">
            <w:pPr>
              <w:autoSpaceDE w:val="0"/>
              <w:autoSpaceDN w:val="0"/>
              <w:adjustRightInd w:val="0"/>
              <w:jc w:val="center"/>
              <w:rPr>
                <w:rFonts w:eastAsia="仿宋"/>
                <w:kern w:val="0"/>
                <w:szCs w:val="21"/>
              </w:rPr>
            </w:pPr>
          </w:p>
        </w:tc>
        <w:tc>
          <w:tcPr>
            <w:tcW w:w="1006" w:type="pct"/>
            <w:vAlign w:val="center"/>
          </w:tcPr>
          <w:p w14:paraId="02904F9A">
            <w:pPr>
              <w:autoSpaceDE w:val="0"/>
              <w:autoSpaceDN w:val="0"/>
              <w:adjustRightInd w:val="0"/>
              <w:jc w:val="center"/>
              <w:rPr>
                <w:rFonts w:eastAsia="仿宋"/>
                <w:kern w:val="0"/>
                <w:szCs w:val="21"/>
              </w:rPr>
            </w:pPr>
            <w:r>
              <w:rPr>
                <w:rFonts w:eastAsia="仿宋"/>
                <w:kern w:val="0"/>
                <w:szCs w:val="21"/>
              </w:rPr>
              <w:t>传真</w:t>
            </w:r>
          </w:p>
        </w:tc>
        <w:tc>
          <w:tcPr>
            <w:tcW w:w="998" w:type="pct"/>
            <w:vAlign w:val="center"/>
          </w:tcPr>
          <w:p w14:paraId="754A6A75">
            <w:pPr>
              <w:autoSpaceDE w:val="0"/>
              <w:autoSpaceDN w:val="0"/>
              <w:adjustRightInd w:val="0"/>
              <w:jc w:val="center"/>
              <w:rPr>
                <w:rFonts w:eastAsia="仿宋"/>
                <w:kern w:val="0"/>
                <w:szCs w:val="21"/>
              </w:rPr>
            </w:pPr>
          </w:p>
        </w:tc>
      </w:tr>
      <w:tr w14:paraId="584B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1BAE63F7">
            <w:pPr>
              <w:autoSpaceDE w:val="0"/>
              <w:autoSpaceDN w:val="0"/>
              <w:adjustRightInd w:val="0"/>
              <w:jc w:val="center"/>
              <w:rPr>
                <w:rFonts w:eastAsia="仿宋"/>
                <w:kern w:val="0"/>
                <w:szCs w:val="21"/>
              </w:rPr>
            </w:pPr>
            <w:r>
              <w:rPr>
                <w:rFonts w:eastAsia="仿宋"/>
                <w:kern w:val="0"/>
                <w:szCs w:val="21"/>
              </w:rPr>
              <w:t>邮政编码</w:t>
            </w:r>
          </w:p>
        </w:tc>
        <w:tc>
          <w:tcPr>
            <w:tcW w:w="1991" w:type="pct"/>
            <w:vAlign w:val="center"/>
          </w:tcPr>
          <w:p w14:paraId="0C3DBCD2">
            <w:pPr>
              <w:autoSpaceDE w:val="0"/>
              <w:autoSpaceDN w:val="0"/>
              <w:adjustRightInd w:val="0"/>
              <w:jc w:val="center"/>
              <w:rPr>
                <w:rFonts w:eastAsia="仿宋"/>
                <w:kern w:val="0"/>
                <w:szCs w:val="21"/>
              </w:rPr>
            </w:pPr>
          </w:p>
        </w:tc>
        <w:tc>
          <w:tcPr>
            <w:tcW w:w="1006" w:type="pct"/>
            <w:vAlign w:val="center"/>
          </w:tcPr>
          <w:p w14:paraId="37817FB5">
            <w:pPr>
              <w:autoSpaceDE w:val="0"/>
              <w:autoSpaceDN w:val="0"/>
              <w:adjustRightInd w:val="0"/>
              <w:jc w:val="center"/>
              <w:rPr>
                <w:rFonts w:eastAsia="仿宋"/>
                <w:kern w:val="0"/>
                <w:szCs w:val="21"/>
              </w:rPr>
            </w:pPr>
            <w:r>
              <w:rPr>
                <w:rFonts w:eastAsia="仿宋"/>
                <w:kern w:val="0"/>
                <w:szCs w:val="21"/>
              </w:rPr>
              <w:t>E-Mail</w:t>
            </w:r>
          </w:p>
        </w:tc>
        <w:tc>
          <w:tcPr>
            <w:tcW w:w="998" w:type="pct"/>
            <w:vAlign w:val="center"/>
          </w:tcPr>
          <w:p w14:paraId="7E0D1E2A">
            <w:pPr>
              <w:autoSpaceDE w:val="0"/>
              <w:autoSpaceDN w:val="0"/>
              <w:adjustRightInd w:val="0"/>
              <w:jc w:val="center"/>
              <w:rPr>
                <w:rFonts w:eastAsia="仿宋"/>
                <w:kern w:val="0"/>
                <w:szCs w:val="21"/>
              </w:rPr>
            </w:pPr>
          </w:p>
        </w:tc>
      </w:tr>
      <w:tr w14:paraId="6801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556AE7FF">
            <w:pPr>
              <w:autoSpaceDE w:val="0"/>
              <w:autoSpaceDN w:val="0"/>
              <w:adjustRightInd w:val="0"/>
              <w:jc w:val="center"/>
              <w:rPr>
                <w:rFonts w:eastAsia="仿宋"/>
                <w:kern w:val="0"/>
                <w:szCs w:val="21"/>
              </w:rPr>
            </w:pPr>
            <w:r>
              <w:rPr>
                <w:rFonts w:eastAsia="仿宋"/>
                <w:kern w:val="0"/>
                <w:szCs w:val="21"/>
              </w:rPr>
              <w:t>社会统一信用代码</w:t>
            </w:r>
          </w:p>
        </w:tc>
        <w:tc>
          <w:tcPr>
            <w:tcW w:w="3995" w:type="pct"/>
            <w:gridSpan w:val="3"/>
            <w:vAlign w:val="center"/>
          </w:tcPr>
          <w:p w14:paraId="0152FEB4">
            <w:pPr>
              <w:autoSpaceDE w:val="0"/>
              <w:autoSpaceDN w:val="0"/>
              <w:adjustRightInd w:val="0"/>
              <w:jc w:val="center"/>
              <w:rPr>
                <w:rFonts w:eastAsia="仿宋"/>
                <w:kern w:val="0"/>
                <w:szCs w:val="21"/>
              </w:rPr>
            </w:pPr>
          </w:p>
        </w:tc>
      </w:tr>
      <w:tr w14:paraId="533D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2B7EDAF7">
            <w:pPr>
              <w:autoSpaceDE w:val="0"/>
              <w:autoSpaceDN w:val="0"/>
              <w:adjustRightInd w:val="0"/>
              <w:jc w:val="center"/>
              <w:rPr>
                <w:rFonts w:eastAsia="仿宋"/>
                <w:kern w:val="0"/>
                <w:szCs w:val="21"/>
              </w:rPr>
            </w:pPr>
            <w:r>
              <w:rPr>
                <w:rFonts w:eastAsia="仿宋"/>
                <w:kern w:val="0"/>
                <w:szCs w:val="21"/>
              </w:rPr>
              <w:t>资质等级</w:t>
            </w:r>
          </w:p>
        </w:tc>
        <w:tc>
          <w:tcPr>
            <w:tcW w:w="3995" w:type="pct"/>
            <w:gridSpan w:val="3"/>
            <w:vAlign w:val="center"/>
          </w:tcPr>
          <w:p w14:paraId="3CA2F92B">
            <w:pPr>
              <w:autoSpaceDE w:val="0"/>
              <w:autoSpaceDN w:val="0"/>
              <w:adjustRightInd w:val="0"/>
              <w:jc w:val="center"/>
              <w:rPr>
                <w:rFonts w:eastAsia="仿宋"/>
                <w:kern w:val="0"/>
                <w:szCs w:val="21"/>
              </w:rPr>
            </w:pPr>
          </w:p>
        </w:tc>
      </w:tr>
      <w:tr w14:paraId="440E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000AE334">
            <w:pPr>
              <w:autoSpaceDE w:val="0"/>
              <w:autoSpaceDN w:val="0"/>
              <w:adjustRightInd w:val="0"/>
              <w:jc w:val="center"/>
              <w:rPr>
                <w:rFonts w:eastAsia="仿宋"/>
                <w:kern w:val="0"/>
                <w:szCs w:val="21"/>
              </w:rPr>
            </w:pPr>
            <w:r>
              <w:rPr>
                <w:rFonts w:eastAsia="仿宋"/>
                <w:kern w:val="0"/>
                <w:szCs w:val="21"/>
              </w:rPr>
              <w:t>注册资金（万元）</w:t>
            </w:r>
          </w:p>
        </w:tc>
        <w:tc>
          <w:tcPr>
            <w:tcW w:w="1991" w:type="pct"/>
            <w:vAlign w:val="center"/>
          </w:tcPr>
          <w:p w14:paraId="3CBAECD3">
            <w:pPr>
              <w:autoSpaceDE w:val="0"/>
              <w:autoSpaceDN w:val="0"/>
              <w:adjustRightInd w:val="0"/>
              <w:jc w:val="center"/>
              <w:rPr>
                <w:rFonts w:eastAsia="仿宋"/>
                <w:kern w:val="0"/>
                <w:szCs w:val="21"/>
              </w:rPr>
            </w:pPr>
          </w:p>
        </w:tc>
        <w:tc>
          <w:tcPr>
            <w:tcW w:w="1006" w:type="pct"/>
            <w:vAlign w:val="center"/>
          </w:tcPr>
          <w:p w14:paraId="6A1C3790">
            <w:pPr>
              <w:autoSpaceDE w:val="0"/>
              <w:autoSpaceDN w:val="0"/>
              <w:adjustRightInd w:val="0"/>
              <w:jc w:val="center"/>
              <w:rPr>
                <w:rFonts w:eastAsia="仿宋"/>
                <w:kern w:val="0"/>
                <w:szCs w:val="21"/>
              </w:rPr>
            </w:pPr>
            <w:r>
              <w:rPr>
                <w:rFonts w:eastAsia="仿宋"/>
                <w:kern w:val="0"/>
                <w:szCs w:val="21"/>
              </w:rPr>
              <w:t>专业人员数量</w:t>
            </w:r>
          </w:p>
        </w:tc>
        <w:tc>
          <w:tcPr>
            <w:tcW w:w="998" w:type="pct"/>
            <w:vAlign w:val="center"/>
          </w:tcPr>
          <w:p w14:paraId="578C7FC7">
            <w:pPr>
              <w:autoSpaceDE w:val="0"/>
              <w:autoSpaceDN w:val="0"/>
              <w:adjustRightInd w:val="0"/>
              <w:jc w:val="center"/>
              <w:rPr>
                <w:rFonts w:eastAsia="仿宋"/>
                <w:kern w:val="0"/>
                <w:szCs w:val="21"/>
              </w:rPr>
            </w:pPr>
          </w:p>
        </w:tc>
      </w:tr>
      <w:tr w14:paraId="4A62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pct"/>
            <w:vAlign w:val="center"/>
          </w:tcPr>
          <w:p w14:paraId="0ADED27B">
            <w:pPr>
              <w:autoSpaceDE w:val="0"/>
              <w:autoSpaceDN w:val="0"/>
              <w:adjustRightInd w:val="0"/>
              <w:jc w:val="center"/>
              <w:rPr>
                <w:rFonts w:eastAsia="仿宋"/>
                <w:kern w:val="0"/>
                <w:szCs w:val="21"/>
              </w:rPr>
            </w:pPr>
            <w:r>
              <w:rPr>
                <w:rFonts w:eastAsia="仿宋"/>
                <w:kern w:val="0"/>
                <w:szCs w:val="21"/>
              </w:rPr>
              <w:t>经营范围</w:t>
            </w:r>
          </w:p>
        </w:tc>
        <w:tc>
          <w:tcPr>
            <w:tcW w:w="3995" w:type="pct"/>
            <w:gridSpan w:val="3"/>
            <w:vAlign w:val="center"/>
          </w:tcPr>
          <w:p w14:paraId="213D5E99">
            <w:pPr>
              <w:autoSpaceDE w:val="0"/>
              <w:autoSpaceDN w:val="0"/>
              <w:adjustRightInd w:val="0"/>
              <w:jc w:val="center"/>
              <w:rPr>
                <w:rFonts w:eastAsia="仿宋"/>
                <w:kern w:val="0"/>
                <w:szCs w:val="21"/>
              </w:rPr>
            </w:pPr>
          </w:p>
        </w:tc>
      </w:tr>
      <w:tr w14:paraId="677A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4FB6DFDB">
            <w:pPr>
              <w:autoSpaceDE w:val="0"/>
              <w:autoSpaceDN w:val="0"/>
              <w:adjustRightInd w:val="0"/>
              <w:rPr>
                <w:rFonts w:eastAsia="仿宋"/>
                <w:kern w:val="0"/>
                <w:szCs w:val="21"/>
              </w:rPr>
            </w:pPr>
            <w:r>
              <w:rPr>
                <w:rFonts w:eastAsia="仿宋"/>
                <w:kern w:val="0"/>
                <w:szCs w:val="21"/>
              </w:rPr>
              <w:t>机构简况：</w:t>
            </w:r>
          </w:p>
          <w:p w14:paraId="35B6ABB3">
            <w:pPr>
              <w:pStyle w:val="2"/>
              <w:rPr>
                <w:rFonts w:eastAsia="仿宋"/>
                <w:kern w:val="0"/>
                <w:szCs w:val="21"/>
              </w:rPr>
            </w:pPr>
          </w:p>
          <w:p w14:paraId="3BE5D562">
            <w:pPr>
              <w:pStyle w:val="12"/>
              <w:ind w:firstLine="210"/>
              <w:rPr>
                <w:rFonts w:eastAsia="仿宋"/>
                <w:kern w:val="0"/>
                <w:szCs w:val="21"/>
              </w:rPr>
            </w:pPr>
          </w:p>
          <w:p w14:paraId="7B37E4E5">
            <w:pPr>
              <w:pStyle w:val="13"/>
              <w:rPr>
                <w:rFonts w:ascii="Times New Roman" w:hAnsi="Times New Roman" w:eastAsia="仿宋"/>
                <w:kern w:val="0"/>
                <w:szCs w:val="21"/>
              </w:rPr>
            </w:pPr>
          </w:p>
          <w:p w14:paraId="2A550C4B">
            <w:pPr>
              <w:rPr>
                <w:rFonts w:eastAsia="仿宋"/>
                <w:kern w:val="0"/>
                <w:szCs w:val="21"/>
              </w:rPr>
            </w:pPr>
          </w:p>
          <w:p w14:paraId="1BC570B1">
            <w:pPr>
              <w:pStyle w:val="2"/>
              <w:rPr>
                <w:rFonts w:eastAsia="仿宋"/>
                <w:kern w:val="0"/>
                <w:szCs w:val="21"/>
              </w:rPr>
            </w:pPr>
          </w:p>
          <w:p w14:paraId="0080E8CF">
            <w:pPr>
              <w:pStyle w:val="12"/>
              <w:ind w:firstLine="210"/>
              <w:rPr>
                <w:rFonts w:eastAsia="仿宋"/>
                <w:kern w:val="0"/>
                <w:szCs w:val="21"/>
              </w:rPr>
            </w:pPr>
          </w:p>
          <w:p w14:paraId="6C6FEAA5">
            <w:pPr>
              <w:pStyle w:val="13"/>
              <w:rPr>
                <w:rFonts w:ascii="Times New Roman" w:hAnsi="Times New Roman" w:eastAsia="仿宋"/>
                <w:kern w:val="0"/>
                <w:szCs w:val="21"/>
              </w:rPr>
            </w:pPr>
          </w:p>
          <w:p w14:paraId="1C89A48C"/>
        </w:tc>
      </w:tr>
    </w:tbl>
    <w:p w14:paraId="5791F773">
      <w:pPr>
        <w:autoSpaceDE w:val="0"/>
        <w:autoSpaceDN w:val="0"/>
        <w:jc w:val="left"/>
        <w:rPr>
          <w:rFonts w:eastAsia="仿宋"/>
          <w:kern w:val="0"/>
          <w:sz w:val="28"/>
          <w:szCs w:val="28"/>
        </w:rPr>
      </w:pPr>
    </w:p>
    <w:p w14:paraId="15CED39E">
      <w:pPr>
        <w:autoSpaceDE w:val="0"/>
        <w:autoSpaceDN w:val="0"/>
        <w:jc w:val="left"/>
        <w:rPr>
          <w:rFonts w:eastAsia="仿宋"/>
          <w:kern w:val="0"/>
          <w:sz w:val="28"/>
          <w:szCs w:val="28"/>
        </w:rPr>
      </w:pPr>
    </w:p>
    <w:p w14:paraId="3A9909E6">
      <w:pPr>
        <w:autoSpaceDE w:val="0"/>
        <w:autoSpaceDN w:val="0"/>
        <w:jc w:val="left"/>
        <w:rPr>
          <w:rFonts w:eastAsia="仿宋"/>
          <w:kern w:val="0"/>
          <w:sz w:val="28"/>
          <w:szCs w:val="28"/>
        </w:rPr>
      </w:pPr>
    </w:p>
    <w:p w14:paraId="1C1D8A8F">
      <w:pPr>
        <w:autoSpaceDE w:val="0"/>
        <w:autoSpaceDN w:val="0"/>
        <w:jc w:val="left"/>
        <w:rPr>
          <w:rFonts w:eastAsia="仿宋"/>
          <w:kern w:val="0"/>
          <w:sz w:val="28"/>
          <w:szCs w:val="28"/>
        </w:rPr>
      </w:pPr>
    </w:p>
    <w:p w14:paraId="345946CC">
      <w:pPr>
        <w:rPr>
          <w:rFonts w:eastAsia="仿宋"/>
          <w:spacing w:val="-3"/>
          <w:w w:val="95"/>
          <w:kern w:val="0"/>
          <w:sz w:val="24"/>
          <w:szCs w:val="24"/>
        </w:rPr>
      </w:pPr>
      <w:r>
        <w:rPr>
          <w:rFonts w:eastAsia="仿宋"/>
          <w:spacing w:val="-3"/>
          <w:w w:val="95"/>
          <w:kern w:val="0"/>
          <w:sz w:val="24"/>
          <w:szCs w:val="24"/>
        </w:rPr>
        <w:br w:type="page"/>
      </w:r>
    </w:p>
    <w:p w14:paraId="5FFDD873">
      <w:pPr>
        <w:autoSpaceDE w:val="0"/>
        <w:autoSpaceDN w:val="0"/>
        <w:jc w:val="left"/>
        <w:rPr>
          <w:rFonts w:eastAsia="仿宋"/>
          <w:kern w:val="0"/>
          <w:sz w:val="24"/>
          <w:szCs w:val="24"/>
        </w:rPr>
      </w:pPr>
      <w:r>
        <w:rPr>
          <w:rFonts w:eastAsia="仿宋"/>
          <w:spacing w:val="-3"/>
          <w:w w:val="95"/>
          <w:kern w:val="0"/>
          <w:sz w:val="24"/>
          <w:szCs w:val="24"/>
        </w:rPr>
        <w:t xml:space="preserve">附件 </w:t>
      </w:r>
      <w:r>
        <w:rPr>
          <w:rFonts w:eastAsia="仿宋"/>
          <w:w w:val="95"/>
          <w:kern w:val="0"/>
          <w:sz w:val="24"/>
          <w:szCs w:val="24"/>
        </w:rPr>
        <w:t>5－2</w:t>
      </w:r>
    </w:p>
    <w:p w14:paraId="2865938A">
      <w:pPr>
        <w:autoSpaceDE w:val="0"/>
        <w:autoSpaceDN w:val="0"/>
        <w:jc w:val="left"/>
        <w:rPr>
          <w:rFonts w:eastAsia="仿宋"/>
          <w:kern w:val="0"/>
          <w:sz w:val="28"/>
          <w:szCs w:val="28"/>
        </w:rPr>
      </w:pPr>
    </w:p>
    <w:p w14:paraId="5BD9CDDA">
      <w:pPr>
        <w:jc w:val="center"/>
        <w:rPr>
          <w:rFonts w:eastAsia="仿宋"/>
          <w:b/>
          <w:bCs/>
          <w:kern w:val="0"/>
          <w:sz w:val="24"/>
          <w:szCs w:val="24"/>
        </w:rPr>
      </w:pPr>
      <w:r>
        <w:rPr>
          <w:rFonts w:eastAsia="仿宋"/>
          <w:b/>
          <w:bCs/>
          <w:kern w:val="0"/>
          <w:sz w:val="24"/>
          <w:szCs w:val="24"/>
        </w:rPr>
        <w:t>关于满足《中华人民共和国政府采购法》第二十二条的承诺</w:t>
      </w:r>
    </w:p>
    <w:p w14:paraId="4DBB114A">
      <w:pPr>
        <w:spacing w:line="360" w:lineRule="auto"/>
        <w:ind w:firstLine="480" w:firstLineChars="200"/>
        <w:rPr>
          <w:rFonts w:eastAsia="仿宋"/>
          <w:kern w:val="0"/>
          <w:sz w:val="24"/>
          <w:szCs w:val="24"/>
        </w:rPr>
      </w:pPr>
    </w:p>
    <w:p w14:paraId="1C932FB5">
      <w:pPr>
        <w:snapToGrid w:val="0"/>
        <w:spacing w:line="360" w:lineRule="auto"/>
        <w:rPr>
          <w:rFonts w:eastAsia="仿宋"/>
          <w:kern w:val="0"/>
          <w:sz w:val="24"/>
          <w:szCs w:val="24"/>
        </w:rPr>
      </w:pPr>
      <w:r>
        <w:rPr>
          <w:rFonts w:eastAsia="仿宋"/>
          <w:kern w:val="0"/>
          <w:sz w:val="24"/>
          <w:szCs w:val="24"/>
        </w:rPr>
        <w:t>我公司作为本次采购项目的供应商，根据磋商文件要求，现郑重承诺如下：</w:t>
      </w:r>
    </w:p>
    <w:p w14:paraId="5599F4D7">
      <w:pPr>
        <w:snapToGrid w:val="0"/>
        <w:spacing w:line="360" w:lineRule="auto"/>
        <w:ind w:firstLine="480" w:firstLineChars="200"/>
        <w:rPr>
          <w:rFonts w:eastAsia="仿宋"/>
          <w:kern w:val="0"/>
          <w:sz w:val="24"/>
          <w:szCs w:val="24"/>
        </w:rPr>
      </w:pPr>
      <w:r>
        <w:rPr>
          <w:rFonts w:eastAsia="仿宋"/>
          <w:kern w:val="0"/>
          <w:sz w:val="24"/>
          <w:szCs w:val="24"/>
        </w:rPr>
        <w:t>一、具备《中华人民共和国政府采购法》第二十二条的条件：</w:t>
      </w:r>
    </w:p>
    <w:p w14:paraId="0E52BDE4">
      <w:pPr>
        <w:snapToGrid w:val="0"/>
        <w:spacing w:line="360" w:lineRule="auto"/>
        <w:ind w:firstLine="480" w:firstLineChars="200"/>
        <w:rPr>
          <w:rFonts w:eastAsia="仿宋"/>
          <w:kern w:val="0"/>
          <w:sz w:val="24"/>
          <w:szCs w:val="24"/>
        </w:rPr>
      </w:pPr>
      <w:r>
        <w:rPr>
          <w:rFonts w:eastAsia="仿宋"/>
          <w:kern w:val="0"/>
          <w:sz w:val="24"/>
          <w:szCs w:val="24"/>
        </w:rPr>
        <w:t xml:space="preserve">（一）具有独立承担民事责任的能力； </w:t>
      </w:r>
    </w:p>
    <w:p w14:paraId="174B88E1">
      <w:pPr>
        <w:snapToGrid w:val="0"/>
        <w:spacing w:line="360" w:lineRule="auto"/>
        <w:ind w:firstLine="480" w:firstLineChars="200"/>
        <w:rPr>
          <w:rFonts w:eastAsia="仿宋"/>
          <w:kern w:val="0"/>
          <w:sz w:val="24"/>
          <w:szCs w:val="24"/>
        </w:rPr>
      </w:pPr>
      <w:r>
        <w:rPr>
          <w:rFonts w:eastAsia="仿宋"/>
          <w:kern w:val="0"/>
          <w:sz w:val="24"/>
          <w:szCs w:val="24"/>
        </w:rPr>
        <w:t xml:space="preserve">（二）具有良好的商业信誉和健全的财务会计制度； </w:t>
      </w:r>
    </w:p>
    <w:p w14:paraId="47CEEA4B">
      <w:pPr>
        <w:snapToGrid w:val="0"/>
        <w:spacing w:line="360" w:lineRule="auto"/>
        <w:ind w:firstLine="480" w:firstLineChars="200"/>
        <w:rPr>
          <w:rFonts w:eastAsia="仿宋"/>
          <w:kern w:val="0"/>
          <w:sz w:val="24"/>
          <w:szCs w:val="24"/>
        </w:rPr>
      </w:pPr>
      <w:r>
        <w:rPr>
          <w:rFonts w:eastAsia="仿宋"/>
          <w:kern w:val="0"/>
          <w:sz w:val="24"/>
          <w:szCs w:val="24"/>
        </w:rPr>
        <w:t xml:space="preserve">（三）具有履行合同所必需的设备和专业技术能力； </w:t>
      </w:r>
    </w:p>
    <w:p w14:paraId="67FF0ED1">
      <w:pPr>
        <w:snapToGrid w:val="0"/>
        <w:spacing w:line="360" w:lineRule="auto"/>
        <w:ind w:firstLine="480" w:firstLineChars="200"/>
        <w:rPr>
          <w:rFonts w:eastAsia="仿宋"/>
          <w:kern w:val="0"/>
          <w:sz w:val="24"/>
          <w:szCs w:val="24"/>
        </w:rPr>
      </w:pPr>
      <w:r>
        <w:rPr>
          <w:rFonts w:eastAsia="仿宋"/>
          <w:kern w:val="0"/>
          <w:sz w:val="24"/>
          <w:szCs w:val="24"/>
        </w:rPr>
        <w:t xml:space="preserve">（四）有依法缴纳税收和社会保障资金的良好记录； </w:t>
      </w:r>
    </w:p>
    <w:p w14:paraId="3EE86462">
      <w:pPr>
        <w:snapToGrid w:val="0"/>
        <w:spacing w:line="360" w:lineRule="auto"/>
        <w:ind w:firstLine="480" w:firstLineChars="200"/>
        <w:rPr>
          <w:rFonts w:eastAsia="仿宋"/>
          <w:kern w:val="0"/>
          <w:sz w:val="24"/>
          <w:szCs w:val="24"/>
        </w:rPr>
      </w:pPr>
      <w:r>
        <w:rPr>
          <w:rFonts w:eastAsia="仿宋"/>
          <w:kern w:val="0"/>
          <w:sz w:val="24"/>
          <w:szCs w:val="24"/>
        </w:rPr>
        <w:t>（五）在经营活动中没有重大违法记录；</w:t>
      </w:r>
    </w:p>
    <w:p w14:paraId="745FD220">
      <w:pPr>
        <w:snapToGrid w:val="0"/>
        <w:spacing w:line="360" w:lineRule="auto"/>
        <w:ind w:firstLine="480" w:firstLineChars="200"/>
        <w:rPr>
          <w:rFonts w:eastAsia="仿宋"/>
          <w:kern w:val="0"/>
          <w:sz w:val="24"/>
          <w:szCs w:val="24"/>
        </w:rPr>
      </w:pPr>
      <w:r>
        <w:rPr>
          <w:rFonts w:eastAsia="仿宋"/>
          <w:kern w:val="0"/>
          <w:sz w:val="24"/>
          <w:szCs w:val="24"/>
        </w:rPr>
        <w:t>（六）法律、行政法规规定的其他条件；</w:t>
      </w:r>
    </w:p>
    <w:p w14:paraId="1B0CFD41">
      <w:pPr>
        <w:snapToGrid w:val="0"/>
        <w:spacing w:line="360" w:lineRule="auto"/>
        <w:ind w:firstLine="480" w:firstLineChars="200"/>
        <w:rPr>
          <w:rFonts w:eastAsia="仿宋"/>
          <w:kern w:val="0"/>
          <w:sz w:val="24"/>
          <w:szCs w:val="24"/>
        </w:rPr>
      </w:pPr>
      <w:r>
        <w:rPr>
          <w:rFonts w:eastAsia="仿宋"/>
          <w:kern w:val="0"/>
          <w:sz w:val="24"/>
          <w:szCs w:val="24"/>
        </w:rPr>
        <w:t>本公司对上述承诺的内容事项真实性负责。如经查实上述承诺的内容事项存在虚假，我公司愿意接受以提供虚假材料谋取中标追究法律责任。</w:t>
      </w:r>
    </w:p>
    <w:p w14:paraId="5C5C622E">
      <w:pPr>
        <w:snapToGrid w:val="0"/>
        <w:spacing w:line="360" w:lineRule="auto"/>
        <w:ind w:firstLine="480" w:firstLineChars="200"/>
        <w:rPr>
          <w:rFonts w:eastAsia="仿宋"/>
          <w:kern w:val="0"/>
          <w:sz w:val="24"/>
          <w:szCs w:val="24"/>
        </w:rPr>
      </w:pPr>
      <w:r>
        <w:rPr>
          <w:rFonts w:eastAsia="仿宋"/>
          <w:kern w:val="0"/>
          <w:sz w:val="24"/>
          <w:szCs w:val="24"/>
        </w:rPr>
        <w:t xml:space="preserve">       </w:t>
      </w:r>
    </w:p>
    <w:p w14:paraId="5F2F680F">
      <w:pPr>
        <w:snapToGrid w:val="0"/>
        <w:spacing w:line="360" w:lineRule="auto"/>
        <w:ind w:firstLine="480" w:firstLineChars="200"/>
        <w:rPr>
          <w:rFonts w:eastAsia="仿宋"/>
          <w:kern w:val="0"/>
          <w:sz w:val="24"/>
          <w:szCs w:val="24"/>
        </w:rPr>
      </w:pPr>
      <w:r>
        <w:rPr>
          <w:rFonts w:eastAsia="仿宋"/>
          <w:kern w:val="0"/>
          <w:sz w:val="24"/>
          <w:szCs w:val="24"/>
        </w:rPr>
        <w:t>企业名称(盖公章):</w:t>
      </w:r>
    </w:p>
    <w:p w14:paraId="38B7F020">
      <w:pPr>
        <w:snapToGrid w:val="0"/>
        <w:spacing w:line="360" w:lineRule="auto"/>
        <w:ind w:firstLine="480" w:firstLineChars="200"/>
        <w:rPr>
          <w:rFonts w:eastAsia="仿宋"/>
          <w:kern w:val="0"/>
          <w:sz w:val="24"/>
          <w:szCs w:val="24"/>
        </w:rPr>
      </w:pPr>
      <w:r>
        <w:rPr>
          <w:rFonts w:eastAsia="仿宋"/>
          <w:kern w:val="0"/>
          <w:sz w:val="24"/>
          <w:szCs w:val="24"/>
        </w:rPr>
        <w:t>法定代表人(负责人)或其授权代表(签字或盖章):</w:t>
      </w:r>
    </w:p>
    <w:p w14:paraId="0383CBF4">
      <w:pPr>
        <w:snapToGrid w:val="0"/>
        <w:spacing w:line="360" w:lineRule="auto"/>
        <w:ind w:firstLine="480" w:firstLineChars="200"/>
        <w:rPr>
          <w:rFonts w:eastAsia="仿宋"/>
          <w:kern w:val="0"/>
          <w:sz w:val="24"/>
          <w:szCs w:val="24"/>
        </w:rPr>
      </w:pPr>
      <w:r>
        <w:rPr>
          <w:rFonts w:eastAsia="仿宋"/>
          <w:kern w:val="0"/>
          <w:sz w:val="24"/>
          <w:szCs w:val="24"/>
        </w:rPr>
        <w:t>日期:</w:t>
      </w:r>
    </w:p>
    <w:p w14:paraId="7233F853">
      <w:pPr>
        <w:jc w:val="center"/>
        <w:rPr>
          <w:rFonts w:eastAsia="仿宋"/>
          <w:b/>
          <w:bCs/>
          <w:kern w:val="0"/>
          <w:sz w:val="32"/>
          <w:szCs w:val="32"/>
        </w:rPr>
      </w:pPr>
    </w:p>
    <w:p w14:paraId="4ECA7A31">
      <w:pPr>
        <w:spacing w:line="360" w:lineRule="auto"/>
        <w:rPr>
          <w:rFonts w:eastAsia="仿宋"/>
        </w:rPr>
      </w:pPr>
    </w:p>
    <w:p w14:paraId="48BE9553">
      <w:pPr>
        <w:autoSpaceDE w:val="0"/>
        <w:autoSpaceDN w:val="0"/>
        <w:jc w:val="left"/>
        <w:rPr>
          <w:rFonts w:eastAsia="仿宋"/>
          <w:spacing w:val="-3"/>
          <w:w w:val="95"/>
          <w:kern w:val="0"/>
          <w:sz w:val="24"/>
          <w:szCs w:val="24"/>
        </w:rPr>
      </w:pPr>
    </w:p>
    <w:p w14:paraId="52735DBA">
      <w:pPr>
        <w:autoSpaceDE w:val="0"/>
        <w:autoSpaceDN w:val="0"/>
        <w:jc w:val="left"/>
        <w:rPr>
          <w:rFonts w:eastAsia="仿宋"/>
          <w:kern w:val="0"/>
          <w:sz w:val="28"/>
          <w:szCs w:val="28"/>
        </w:rPr>
      </w:pPr>
    </w:p>
    <w:p w14:paraId="2EDF9AD6">
      <w:pPr>
        <w:rPr>
          <w:rFonts w:eastAsia="仿宋"/>
          <w:b/>
          <w:bCs/>
          <w:kern w:val="0"/>
          <w:sz w:val="24"/>
          <w:szCs w:val="24"/>
        </w:rPr>
      </w:pPr>
      <w:r>
        <w:rPr>
          <w:rFonts w:eastAsia="仿宋"/>
          <w:b/>
          <w:bCs/>
          <w:kern w:val="0"/>
          <w:sz w:val="24"/>
          <w:szCs w:val="24"/>
        </w:rPr>
        <w:br w:type="page"/>
      </w:r>
    </w:p>
    <w:p w14:paraId="5343DDA8">
      <w:pPr>
        <w:autoSpaceDE w:val="0"/>
        <w:autoSpaceDN w:val="0"/>
        <w:spacing w:before="139"/>
        <w:jc w:val="left"/>
        <w:rPr>
          <w:rFonts w:eastAsia="仿宋"/>
          <w:b/>
          <w:bCs/>
          <w:kern w:val="0"/>
          <w:sz w:val="24"/>
          <w:szCs w:val="24"/>
        </w:rPr>
      </w:pPr>
      <w:r>
        <w:rPr>
          <w:rFonts w:eastAsia="仿宋"/>
          <w:b/>
          <w:bCs/>
          <w:kern w:val="0"/>
          <w:sz w:val="24"/>
          <w:szCs w:val="24"/>
        </w:rPr>
        <w:t>6、提供符合采购政策的证明材料</w:t>
      </w:r>
    </w:p>
    <w:p w14:paraId="6D9B4EAB">
      <w:pPr>
        <w:autoSpaceDE w:val="0"/>
        <w:autoSpaceDN w:val="0"/>
        <w:spacing w:before="12"/>
        <w:jc w:val="left"/>
        <w:rPr>
          <w:rFonts w:eastAsia="仿宋"/>
          <w:kern w:val="0"/>
          <w:sz w:val="28"/>
          <w:szCs w:val="28"/>
        </w:rPr>
      </w:pPr>
    </w:p>
    <w:p w14:paraId="7A25F1C0">
      <w:pPr>
        <w:autoSpaceDE w:val="0"/>
        <w:autoSpaceDN w:val="0"/>
        <w:snapToGrid w:val="0"/>
        <w:spacing w:line="360" w:lineRule="auto"/>
        <w:jc w:val="left"/>
        <w:rPr>
          <w:rFonts w:eastAsia="仿宋"/>
          <w:kern w:val="0"/>
          <w:sz w:val="24"/>
          <w:szCs w:val="24"/>
        </w:rPr>
      </w:pPr>
      <w:r>
        <w:rPr>
          <w:rFonts w:eastAsia="仿宋"/>
          <w:spacing w:val="-3"/>
          <w:w w:val="95"/>
          <w:kern w:val="0"/>
          <w:sz w:val="24"/>
          <w:szCs w:val="24"/>
        </w:rPr>
        <w:t xml:space="preserve">附件 </w:t>
      </w:r>
      <w:r>
        <w:rPr>
          <w:rFonts w:eastAsia="仿宋"/>
          <w:w w:val="95"/>
          <w:kern w:val="0"/>
          <w:sz w:val="24"/>
          <w:szCs w:val="24"/>
        </w:rPr>
        <w:t>6－1</w:t>
      </w:r>
    </w:p>
    <w:p w14:paraId="1CB847DE">
      <w:pPr>
        <w:snapToGrid w:val="0"/>
        <w:spacing w:before="191" w:line="360" w:lineRule="auto"/>
        <w:jc w:val="center"/>
        <w:rPr>
          <w:rFonts w:eastAsia="仿宋"/>
          <w:sz w:val="24"/>
          <w:szCs w:val="24"/>
        </w:rPr>
      </w:pPr>
      <w:r>
        <w:rPr>
          <w:rFonts w:eastAsia="仿宋"/>
          <w:spacing w:val="5"/>
          <w:sz w:val="24"/>
          <w:szCs w:val="24"/>
          <w14:textOutline w14:w="6540" w14:cap="sq" w14:cmpd="sng" w14:algn="ctr">
            <w14:solidFill>
              <w14:srgbClr w14:val="000000"/>
            </w14:solidFill>
            <w14:prstDash w14:val="solid"/>
            <w14:bevel/>
          </w14:textOutline>
        </w:rPr>
        <w:t>中小企业声明函（工程、服务）</w:t>
      </w:r>
    </w:p>
    <w:p w14:paraId="64A9BF87">
      <w:pPr>
        <w:pStyle w:val="2"/>
        <w:spacing w:before="75" w:line="306" w:lineRule="auto"/>
        <w:ind w:left="36" w:right="115" w:firstLine="640"/>
        <w:rPr>
          <w:rFonts w:eastAsia="仿宋"/>
          <w:sz w:val="24"/>
          <w:szCs w:val="24"/>
        </w:rPr>
      </w:pPr>
      <w:r>
        <w:rPr>
          <w:rFonts w:eastAsia="仿宋"/>
          <w:spacing w:val="19"/>
          <w:sz w:val="24"/>
          <w:szCs w:val="24"/>
        </w:rPr>
        <w:t>本公司（联合体）</w:t>
      </w:r>
      <w:r>
        <w:rPr>
          <w:rFonts w:eastAsia="仿宋"/>
          <w:spacing w:val="-58"/>
          <w:sz w:val="24"/>
          <w:szCs w:val="24"/>
        </w:rPr>
        <w:t xml:space="preserve"> </w:t>
      </w:r>
      <w:r>
        <w:rPr>
          <w:rFonts w:eastAsia="仿宋"/>
          <w:spacing w:val="19"/>
          <w:sz w:val="24"/>
          <w:szCs w:val="24"/>
        </w:rPr>
        <w:t>郑重声明，根据《政府采购促进中小</w:t>
      </w:r>
      <w:r>
        <w:rPr>
          <w:rFonts w:eastAsia="仿宋"/>
          <w:spacing w:val="59"/>
          <w:sz w:val="24"/>
          <w:szCs w:val="24"/>
        </w:rPr>
        <w:t xml:space="preserve"> </w:t>
      </w:r>
      <w:r>
        <w:rPr>
          <w:rFonts w:eastAsia="仿宋"/>
          <w:spacing w:val="19"/>
          <w:sz w:val="24"/>
          <w:szCs w:val="24"/>
        </w:rPr>
        <w:t>企业发展管理办法》</w:t>
      </w:r>
      <w:r>
        <w:rPr>
          <w:rFonts w:eastAsia="仿宋"/>
          <w:spacing w:val="-92"/>
          <w:sz w:val="24"/>
          <w:szCs w:val="24"/>
        </w:rPr>
        <w:t xml:space="preserve"> </w:t>
      </w:r>
      <w:r>
        <w:rPr>
          <w:rFonts w:eastAsia="仿宋"/>
          <w:spacing w:val="19"/>
          <w:sz w:val="24"/>
          <w:szCs w:val="24"/>
        </w:rPr>
        <w:t>（财</w:t>
      </w:r>
      <w:r>
        <w:rPr>
          <w:rFonts w:eastAsia="仿宋"/>
          <w:sz w:val="24"/>
          <w:szCs w:val="24"/>
        </w:rPr>
        <w:t xml:space="preserve">  </w:t>
      </w:r>
      <w:r>
        <w:rPr>
          <w:rFonts w:eastAsia="仿宋"/>
          <w:spacing w:val="3"/>
          <w:sz w:val="24"/>
          <w:szCs w:val="24"/>
        </w:rPr>
        <w:t>库﹝</w:t>
      </w:r>
      <w:r>
        <w:rPr>
          <w:rFonts w:eastAsia="仿宋"/>
          <w:spacing w:val="-76"/>
          <w:sz w:val="24"/>
          <w:szCs w:val="24"/>
        </w:rPr>
        <w:t xml:space="preserve"> </w:t>
      </w:r>
      <w:r>
        <w:rPr>
          <w:rFonts w:eastAsia="仿宋"/>
          <w:spacing w:val="3"/>
          <w:sz w:val="24"/>
          <w:szCs w:val="24"/>
        </w:rPr>
        <w:t>2020)46号）的规定，本公司（联合体）参加</w:t>
      </w:r>
      <w:r>
        <w:rPr>
          <w:rFonts w:eastAsia="仿宋"/>
          <w:spacing w:val="3"/>
          <w:sz w:val="24"/>
          <w:szCs w:val="24"/>
          <w:u w:val="single"/>
        </w:rPr>
        <w:t>（单位名称）</w:t>
      </w:r>
      <w:r>
        <w:rPr>
          <w:rFonts w:eastAsia="仿宋"/>
          <w:spacing w:val="3"/>
          <w:sz w:val="24"/>
          <w:szCs w:val="24"/>
        </w:rPr>
        <w:t>的</w:t>
      </w:r>
      <w:r>
        <w:rPr>
          <w:rFonts w:eastAsia="仿宋"/>
          <w:spacing w:val="3"/>
          <w:sz w:val="24"/>
          <w:szCs w:val="24"/>
          <w:u w:val="single"/>
        </w:rPr>
        <w:t>（项目名称）</w:t>
      </w:r>
      <w:r>
        <w:rPr>
          <w:rFonts w:eastAsia="仿宋"/>
          <w:spacing w:val="3"/>
          <w:sz w:val="24"/>
          <w:szCs w:val="24"/>
        </w:rPr>
        <w:t>采购活</w:t>
      </w:r>
      <w:r>
        <w:rPr>
          <w:rFonts w:eastAsia="仿宋"/>
          <w:spacing w:val="2"/>
          <w:sz w:val="24"/>
          <w:szCs w:val="24"/>
        </w:rPr>
        <w:t>动，</w:t>
      </w:r>
      <w:r>
        <w:rPr>
          <w:rFonts w:eastAsia="仿宋"/>
          <w:spacing w:val="21"/>
          <w:sz w:val="24"/>
          <w:szCs w:val="24"/>
        </w:rPr>
        <w:t>工程的施工单位全部为符合政策要求的中小企业（或者：服务全部由符合政策要求的中小企业承接）。相关企业（含联合体中的中小企业、签订分包意向协议的中小企</w:t>
      </w:r>
      <w:r>
        <w:rPr>
          <w:rFonts w:eastAsia="仿宋"/>
          <w:spacing w:val="20"/>
          <w:sz w:val="24"/>
          <w:szCs w:val="24"/>
        </w:rPr>
        <w:t>业）</w:t>
      </w:r>
      <w:r>
        <w:rPr>
          <w:rFonts w:eastAsia="仿宋"/>
          <w:spacing w:val="8"/>
          <w:sz w:val="24"/>
          <w:szCs w:val="24"/>
        </w:rPr>
        <w:t>的具体情况如下：</w:t>
      </w:r>
    </w:p>
    <w:p w14:paraId="5F257A81">
      <w:pPr>
        <w:pStyle w:val="2"/>
        <w:spacing w:before="91" w:line="360" w:lineRule="auto"/>
        <w:jc w:val="right"/>
        <w:rPr>
          <w:rFonts w:eastAsia="仿宋"/>
          <w:sz w:val="24"/>
          <w:szCs w:val="24"/>
        </w:rPr>
      </w:pPr>
      <w:r>
        <w:rPr>
          <w:rFonts w:eastAsia="仿宋"/>
          <w:spacing w:val="12"/>
          <w:sz w:val="24"/>
          <w:szCs w:val="24"/>
        </w:rPr>
        <w:t>1.</w:t>
      </w:r>
      <w:r>
        <w:rPr>
          <w:rFonts w:eastAsia="仿宋"/>
          <w:spacing w:val="12"/>
          <w:sz w:val="24"/>
          <w:szCs w:val="24"/>
          <w:u w:val="single"/>
        </w:rPr>
        <w:t>（标的名称</w:t>
      </w:r>
      <w:r>
        <w:rPr>
          <w:rFonts w:eastAsia="仿宋"/>
          <w:spacing w:val="-36"/>
          <w:w w:val="59"/>
          <w:sz w:val="24"/>
          <w:szCs w:val="24"/>
        </w:rPr>
        <w:t>），</w:t>
      </w:r>
      <w:r>
        <w:rPr>
          <w:rFonts w:eastAsia="仿宋"/>
          <w:spacing w:val="12"/>
          <w:sz w:val="24"/>
          <w:szCs w:val="24"/>
        </w:rPr>
        <w:t>属于</w:t>
      </w:r>
      <w:r>
        <w:rPr>
          <w:rFonts w:eastAsia="仿宋"/>
          <w:spacing w:val="12"/>
          <w:sz w:val="24"/>
          <w:szCs w:val="24"/>
          <w:u w:val="single"/>
        </w:rPr>
        <w:t>（采购文件中明确的所属行业</w:t>
      </w:r>
      <w:r>
        <w:rPr>
          <w:rFonts w:eastAsia="仿宋"/>
          <w:spacing w:val="-36"/>
          <w:w w:val="59"/>
          <w:sz w:val="24"/>
          <w:szCs w:val="24"/>
        </w:rPr>
        <w:t>）；</w:t>
      </w:r>
      <w:r>
        <w:rPr>
          <w:rFonts w:eastAsia="仿宋"/>
          <w:spacing w:val="12"/>
          <w:sz w:val="24"/>
          <w:szCs w:val="24"/>
        </w:rPr>
        <w:t>承建（承接</w:t>
      </w:r>
      <w:r>
        <w:rPr>
          <w:rFonts w:eastAsia="仿宋"/>
          <w:spacing w:val="-44"/>
          <w:sz w:val="24"/>
          <w:szCs w:val="24"/>
        </w:rPr>
        <w:t xml:space="preserve"> </w:t>
      </w:r>
      <w:r>
        <w:rPr>
          <w:rFonts w:eastAsia="仿宋"/>
          <w:spacing w:val="11"/>
          <w:sz w:val="24"/>
          <w:szCs w:val="24"/>
        </w:rPr>
        <w:t>）企业为</w:t>
      </w:r>
      <w:r>
        <w:rPr>
          <w:rFonts w:eastAsia="仿宋"/>
          <w:spacing w:val="11"/>
          <w:sz w:val="24"/>
          <w:szCs w:val="24"/>
          <w:u w:val="single"/>
        </w:rPr>
        <w:t>（企业名称</w:t>
      </w:r>
      <w:r>
        <w:rPr>
          <w:rFonts w:eastAsia="仿宋"/>
          <w:spacing w:val="-36"/>
          <w:w w:val="59"/>
          <w:sz w:val="24"/>
          <w:szCs w:val="24"/>
        </w:rPr>
        <w:t>），</w:t>
      </w:r>
    </w:p>
    <w:p w14:paraId="3BD9863F">
      <w:pPr>
        <w:pStyle w:val="2"/>
        <w:spacing w:line="360" w:lineRule="auto"/>
        <w:ind w:left="19"/>
        <w:rPr>
          <w:rFonts w:eastAsia="仿宋"/>
          <w:sz w:val="24"/>
          <w:szCs w:val="24"/>
        </w:rPr>
      </w:pPr>
      <w:r>
        <w:rPr>
          <w:rFonts w:eastAsia="仿宋"/>
          <w:spacing w:val="7"/>
          <w:sz w:val="24"/>
          <w:szCs w:val="24"/>
        </w:rPr>
        <w:t>从业人员</w:t>
      </w:r>
      <w:r>
        <w:rPr>
          <w:rFonts w:eastAsia="仿宋"/>
          <w:spacing w:val="-90"/>
          <w:sz w:val="24"/>
          <w:szCs w:val="24"/>
        </w:rPr>
        <w:t xml:space="preserve"> </w:t>
      </w:r>
      <w:r>
        <w:rPr>
          <w:rFonts w:eastAsia="仿宋"/>
          <w:spacing w:val="26"/>
          <w:sz w:val="24"/>
          <w:szCs w:val="24"/>
          <w:u w:val="single"/>
        </w:rPr>
        <w:t xml:space="preserve">    </w:t>
      </w:r>
      <w:r>
        <w:rPr>
          <w:rFonts w:eastAsia="仿宋"/>
          <w:spacing w:val="-99"/>
          <w:sz w:val="24"/>
          <w:szCs w:val="24"/>
        </w:rPr>
        <w:t xml:space="preserve"> </w:t>
      </w:r>
      <w:r>
        <w:rPr>
          <w:rFonts w:eastAsia="仿宋"/>
          <w:spacing w:val="7"/>
          <w:sz w:val="24"/>
          <w:szCs w:val="24"/>
        </w:rPr>
        <w:t>人</w:t>
      </w:r>
      <w:r>
        <w:rPr>
          <w:rFonts w:eastAsia="仿宋"/>
          <w:spacing w:val="-61"/>
          <w:sz w:val="24"/>
          <w:szCs w:val="24"/>
        </w:rPr>
        <w:t xml:space="preserve"> </w:t>
      </w:r>
      <w:r>
        <w:rPr>
          <w:rFonts w:eastAsia="仿宋"/>
          <w:spacing w:val="7"/>
          <w:sz w:val="24"/>
          <w:szCs w:val="24"/>
        </w:rPr>
        <w:t>，</w:t>
      </w:r>
      <w:r>
        <w:rPr>
          <w:rFonts w:eastAsia="仿宋"/>
          <w:spacing w:val="-67"/>
          <w:sz w:val="24"/>
          <w:szCs w:val="24"/>
        </w:rPr>
        <w:t xml:space="preserve"> </w:t>
      </w:r>
      <w:r>
        <w:rPr>
          <w:rFonts w:eastAsia="仿宋"/>
          <w:spacing w:val="7"/>
          <w:sz w:val="24"/>
          <w:szCs w:val="24"/>
        </w:rPr>
        <w:t>营业收入为</w:t>
      </w:r>
      <w:r>
        <w:rPr>
          <w:rFonts w:eastAsia="仿宋"/>
          <w:spacing w:val="-113"/>
          <w:sz w:val="24"/>
          <w:szCs w:val="24"/>
        </w:rPr>
        <w:t xml:space="preserve"> </w:t>
      </w:r>
      <w:r>
        <w:rPr>
          <w:rFonts w:eastAsia="仿宋"/>
          <w:spacing w:val="17"/>
          <w:sz w:val="24"/>
          <w:szCs w:val="24"/>
          <w:u w:val="single"/>
        </w:rPr>
        <w:t xml:space="preserve">    </w:t>
      </w:r>
      <w:r>
        <w:rPr>
          <w:rFonts w:eastAsia="仿宋"/>
          <w:spacing w:val="-97"/>
          <w:sz w:val="24"/>
          <w:szCs w:val="24"/>
        </w:rPr>
        <w:t xml:space="preserve"> </w:t>
      </w:r>
      <w:r>
        <w:rPr>
          <w:rFonts w:eastAsia="仿宋"/>
          <w:spacing w:val="7"/>
          <w:sz w:val="24"/>
          <w:szCs w:val="24"/>
        </w:rPr>
        <w:t>万元，资产总额为</w:t>
      </w:r>
      <w:r>
        <w:rPr>
          <w:rFonts w:eastAsia="仿宋"/>
          <w:spacing w:val="7"/>
          <w:sz w:val="24"/>
          <w:szCs w:val="24"/>
          <w:u w:val="single"/>
        </w:rPr>
        <w:t xml:space="preserve">    </w:t>
      </w:r>
      <w:r>
        <w:rPr>
          <w:rFonts w:eastAsia="仿宋"/>
          <w:spacing w:val="-99"/>
          <w:sz w:val="24"/>
          <w:szCs w:val="24"/>
        </w:rPr>
        <w:t xml:space="preserve"> </w:t>
      </w:r>
      <w:r>
        <w:rPr>
          <w:rFonts w:eastAsia="仿宋"/>
          <w:spacing w:val="7"/>
          <w:sz w:val="24"/>
          <w:szCs w:val="24"/>
        </w:rPr>
        <w:t>万元</w:t>
      </w:r>
      <w:r>
        <w:rPr>
          <w:rFonts w:eastAsia="仿宋"/>
          <w:spacing w:val="13"/>
          <w:sz w:val="24"/>
          <w:szCs w:val="24"/>
        </w:rPr>
        <w:t xml:space="preserve">  </w:t>
      </w:r>
      <w:r>
        <w:rPr>
          <w:rFonts w:eastAsia="仿宋"/>
          <w:spacing w:val="6"/>
          <w:sz w:val="24"/>
          <w:szCs w:val="24"/>
        </w:rPr>
        <w:t>，属于</w:t>
      </w:r>
      <w:r>
        <w:rPr>
          <w:rFonts w:eastAsia="仿宋"/>
          <w:spacing w:val="6"/>
          <w:sz w:val="24"/>
          <w:szCs w:val="24"/>
          <w:u w:val="single"/>
        </w:rPr>
        <w:t>（中型企业、小型企业、微型企业</w:t>
      </w:r>
      <w:r>
        <w:rPr>
          <w:rFonts w:eastAsia="仿宋"/>
          <w:spacing w:val="-61"/>
          <w:w w:val="98"/>
          <w:sz w:val="24"/>
          <w:szCs w:val="24"/>
        </w:rPr>
        <w:t>）；</w:t>
      </w:r>
    </w:p>
    <w:p w14:paraId="2300017F">
      <w:pPr>
        <w:pStyle w:val="2"/>
        <w:spacing w:before="204" w:line="360" w:lineRule="auto"/>
        <w:rPr>
          <w:rFonts w:eastAsia="仿宋"/>
          <w:sz w:val="24"/>
          <w:szCs w:val="24"/>
        </w:rPr>
      </w:pPr>
      <w:r>
        <w:rPr>
          <w:rFonts w:eastAsia="仿宋"/>
          <w:spacing w:val="13"/>
          <w:sz w:val="24"/>
          <w:szCs w:val="24"/>
        </w:rPr>
        <w:t>2.</w:t>
      </w:r>
      <w:r>
        <w:rPr>
          <w:rFonts w:eastAsia="仿宋"/>
          <w:spacing w:val="13"/>
          <w:sz w:val="24"/>
          <w:szCs w:val="24"/>
          <w:u w:val="single"/>
        </w:rPr>
        <w:t>（标的名称</w:t>
      </w:r>
      <w:r>
        <w:rPr>
          <w:rFonts w:eastAsia="仿宋"/>
          <w:spacing w:val="-36"/>
          <w:w w:val="59"/>
          <w:sz w:val="24"/>
          <w:szCs w:val="24"/>
        </w:rPr>
        <w:t>），</w:t>
      </w:r>
      <w:r>
        <w:rPr>
          <w:rFonts w:eastAsia="仿宋"/>
          <w:spacing w:val="13"/>
          <w:sz w:val="24"/>
          <w:szCs w:val="24"/>
        </w:rPr>
        <w:t>属于</w:t>
      </w:r>
      <w:r>
        <w:rPr>
          <w:rFonts w:eastAsia="仿宋"/>
          <w:spacing w:val="13"/>
          <w:sz w:val="24"/>
          <w:szCs w:val="24"/>
          <w:u w:val="single"/>
        </w:rPr>
        <w:t>（采购文件中明确的所属行业</w:t>
      </w:r>
      <w:r>
        <w:rPr>
          <w:rFonts w:eastAsia="仿宋"/>
          <w:spacing w:val="-36"/>
          <w:w w:val="59"/>
          <w:sz w:val="24"/>
          <w:szCs w:val="24"/>
        </w:rPr>
        <w:t>）；</w:t>
      </w:r>
      <w:r>
        <w:rPr>
          <w:rFonts w:eastAsia="仿宋"/>
          <w:spacing w:val="13"/>
          <w:sz w:val="24"/>
          <w:szCs w:val="24"/>
        </w:rPr>
        <w:t>承建（承接）企业为</w:t>
      </w:r>
      <w:r>
        <w:rPr>
          <w:rFonts w:eastAsia="仿宋"/>
          <w:spacing w:val="13"/>
          <w:sz w:val="24"/>
          <w:szCs w:val="24"/>
          <w:u w:val="single"/>
        </w:rPr>
        <w:t>（企业名称</w:t>
      </w:r>
      <w:r>
        <w:rPr>
          <w:rFonts w:eastAsia="仿宋"/>
          <w:spacing w:val="-36"/>
          <w:w w:val="59"/>
          <w:sz w:val="24"/>
          <w:szCs w:val="24"/>
        </w:rPr>
        <w:t>），</w:t>
      </w:r>
      <w:r>
        <w:rPr>
          <w:rFonts w:eastAsia="仿宋"/>
          <w:sz w:val="24"/>
          <w:szCs w:val="24"/>
        </w:rPr>
        <w:t xml:space="preserve"> </w:t>
      </w:r>
      <w:r>
        <w:rPr>
          <w:rFonts w:eastAsia="仿宋"/>
          <w:spacing w:val="11"/>
          <w:sz w:val="24"/>
          <w:szCs w:val="24"/>
        </w:rPr>
        <w:t>从业人员</w:t>
      </w:r>
      <w:r>
        <w:rPr>
          <w:rFonts w:eastAsia="仿宋"/>
          <w:spacing w:val="-95"/>
          <w:sz w:val="24"/>
          <w:szCs w:val="24"/>
        </w:rPr>
        <w:t xml:space="preserve"> </w:t>
      </w:r>
      <w:r>
        <w:rPr>
          <w:rFonts w:eastAsia="仿宋"/>
          <w:spacing w:val="24"/>
          <w:sz w:val="24"/>
          <w:szCs w:val="24"/>
          <w:u w:val="single"/>
        </w:rPr>
        <w:t xml:space="preserve">    </w:t>
      </w:r>
      <w:r>
        <w:rPr>
          <w:rFonts w:eastAsia="仿宋"/>
          <w:spacing w:val="-100"/>
          <w:sz w:val="24"/>
          <w:szCs w:val="24"/>
        </w:rPr>
        <w:t xml:space="preserve"> </w:t>
      </w:r>
      <w:r>
        <w:rPr>
          <w:rFonts w:eastAsia="仿宋"/>
          <w:spacing w:val="11"/>
          <w:sz w:val="24"/>
          <w:szCs w:val="24"/>
        </w:rPr>
        <w:t>人</w:t>
      </w:r>
      <w:r>
        <w:rPr>
          <w:rFonts w:eastAsia="仿宋"/>
          <w:spacing w:val="-62"/>
          <w:sz w:val="24"/>
          <w:szCs w:val="24"/>
        </w:rPr>
        <w:t xml:space="preserve"> </w:t>
      </w:r>
      <w:r>
        <w:rPr>
          <w:rFonts w:eastAsia="仿宋"/>
          <w:spacing w:val="11"/>
          <w:sz w:val="24"/>
          <w:szCs w:val="24"/>
        </w:rPr>
        <w:t>，营业收入为</w:t>
      </w:r>
      <w:r>
        <w:rPr>
          <w:rFonts w:eastAsia="仿宋"/>
          <w:spacing w:val="-113"/>
          <w:sz w:val="24"/>
          <w:szCs w:val="24"/>
        </w:rPr>
        <w:t xml:space="preserve"> </w:t>
      </w:r>
      <w:r>
        <w:rPr>
          <w:rFonts w:eastAsia="仿宋"/>
          <w:spacing w:val="15"/>
          <w:sz w:val="24"/>
          <w:szCs w:val="24"/>
          <w:u w:val="single"/>
        </w:rPr>
        <w:t xml:space="preserve">    </w:t>
      </w:r>
      <w:r>
        <w:rPr>
          <w:rFonts w:eastAsia="仿宋"/>
          <w:spacing w:val="-98"/>
          <w:sz w:val="24"/>
          <w:szCs w:val="24"/>
        </w:rPr>
        <w:t xml:space="preserve"> </w:t>
      </w:r>
      <w:r>
        <w:rPr>
          <w:rFonts w:eastAsia="仿宋"/>
          <w:spacing w:val="11"/>
          <w:sz w:val="24"/>
          <w:szCs w:val="24"/>
        </w:rPr>
        <w:t>万元，资产总额为</w:t>
      </w:r>
      <w:r>
        <w:rPr>
          <w:rFonts w:eastAsia="仿宋"/>
          <w:spacing w:val="-113"/>
          <w:sz w:val="24"/>
          <w:szCs w:val="24"/>
        </w:rPr>
        <w:t xml:space="preserve"> </w:t>
      </w:r>
      <w:r>
        <w:rPr>
          <w:rFonts w:eastAsia="仿宋"/>
          <w:spacing w:val="15"/>
          <w:sz w:val="24"/>
          <w:szCs w:val="24"/>
          <w:u w:val="single"/>
        </w:rPr>
        <w:t xml:space="preserve">    </w:t>
      </w:r>
      <w:r>
        <w:rPr>
          <w:rFonts w:eastAsia="仿宋"/>
          <w:spacing w:val="-99"/>
          <w:sz w:val="24"/>
          <w:szCs w:val="24"/>
        </w:rPr>
        <w:t xml:space="preserve"> </w:t>
      </w:r>
      <w:r>
        <w:rPr>
          <w:rFonts w:eastAsia="仿宋"/>
          <w:spacing w:val="11"/>
          <w:sz w:val="24"/>
          <w:szCs w:val="24"/>
        </w:rPr>
        <w:t>万元，属于</w:t>
      </w:r>
      <w:r>
        <w:rPr>
          <w:rFonts w:eastAsia="仿宋"/>
          <w:spacing w:val="11"/>
          <w:sz w:val="24"/>
          <w:szCs w:val="24"/>
          <w:u w:val="single"/>
        </w:rPr>
        <w:t>（中型企业、小型</w:t>
      </w:r>
      <w:r>
        <w:rPr>
          <w:rFonts w:eastAsia="仿宋"/>
          <w:sz w:val="24"/>
          <w:szCs w:val="24"/>
        </w:rPr>
        <w:t xml:space="preserve">  </w:t>
      </w:r>
      <w:r>
        <w:rPr>
          <w:rFonts w:eastAsia="仿宋"/>
          <w:spacing w:val="6"/>
          <w:sz w:val="24"/>
          <w:szCs w:val="24"/>
          <w:u w:val="single"/>
        </w:rPr>
        <w:t>企业、微型企业</w:t>
      </w:r>
      <w:r>
        <w:rPr>
          <w:rFonts w:eastAsia="仿宋"/>
          <w:spacing w:val="-61"/>
          <w:w w:val="99"/>
          <w:sz w:val="24"/>
          <w:szCs w:val="24"/>
        </w:rPr>
        <w:t>）；</w:t>
      </w:r>
    </w:p>
    <w:p w14:paraId="52461A1C">
      <w:pPr>
        <w:pStyle w:val="2"/>
        <w:spacing w:before="205" w:line="372" w:lineRule="exact"/>
        <w:ind w:left="703"/>
        <w:rPr>
          <w:rFonts w:eastAsia="仿宋"/>
          <w:sz w:val="24"/>
          <w:szCs w:val="24"/>
        </w:rPr>
      </w:pPr>
      <w:r>
        <w:rPr>
          <w:rFonts w:eastAsia="仿宋"/>
          <w:spacing w:val="-8"/>
          <w:position w:val="3"/>
          <w:sz w:val="24"/>
          <w:szCs w:val="24"/>
        </w:rPr>
        <w:t>……</w:t>
      </w:r>
    </w:p>
    <w:p w14:paraId="66648E1E">
      <w:pPr>
        <w:pStyle w:val="2"/>
        <w:spacing w:before="25" w:line="297" w:lineRule="auto"/>
        <w:ind w:left="35" w:right="-18" w:firstLine="704"/>
        <w:rPr>
          <w:rFonts w:eastAsia="仿宋"/>
          <w:sz w:val="24"/>
          <w:szCs w:val="24"/>
        </w:rPr>
      </w:pPr>
      <w:r>
        <w:rPr>
          <w:rFonts w:eastAsia="仿宋"/>
          <w:spacing w:val="20"/>
          <w:sz w:val="24"/>
          <w:szCs w:val="24"/>
        </w:rPr>
        <w:t>以上企业，不属于大企业的分支机构，不存在控股股东为大企业的情形，也不存</w:t>
      </w:r>
      <w:r>
        <w:rPr>
          <w:rFonts w:eastAsia="仿宋"/>
          <w:spacing w:val="21"/>
          <w:sz w:val="24"/>
          <w:szCs w:val="24"/>
        </w:rPr>
        <w:t>在与大企业的负责人为同一人的情形。</w:t>
      </w:r>
    </w:p>
    <w:p w14:paraId="3AAD0EF5">
      <w:pPr>
        <w:pStyle w:val="2"/>
        <w:spacing w:before="36" w:line="227" w:lineRule="auto"/>
        <w:ind w:left="512"/>
        <w:rPr>
          <w:sz w:val="23"/>
          <w:szCs w:val="23"/>
        </w:rPr>
      </w:pPr>
      <w:r>
        <w:rPr>
          <w:rFonts w:eastAsia="仿宋"/>
          <w:spacing w:val="20"/>
          <w:sz w:val="24"/>
          <w:szCs w:val="24"/>
        </w:rPr>
        <w:t>本企业对上述声明内容的真实性负责。如有虚假，</w:t>
      </w:r>
      <w:r>
        <w:rPr>
          <w:rFonts w:eastAsia="仿宋"/>
          <w:spacing w:val="-52"/>
          <w:sz w:val="24"/>
          <w:szCs w:val="24"/>
        </w:rPr>
        <w:t xml:space="preserve"> </w:t>
      </w:r>
      <w:r>
        <w:rPr>
          <w:rFonts w:eastAsia="仿宋"/>
          <w:spacing w:val="20"/>
          <w:sz w:val="24"/>
          <w:szCs w:val="24"/>
        </w:rPr>
        <w:t>将依法承担相应责任。</w:t>
      </w:r>
    </w:p>
    <w:p w14:paraId="1C23A2B9">
      <w:pPr>
        <w:spacing w:line="287" w:lineRule="auto"/>
      </w:pPr>
    </w:p>
    <w:p w14:paraId="1E266542">
      <w:pPr>
        <w:pStyle w:val="2"/>
        <w:spacing w:before="76" w:line="361" w:lineRule="auto"/>
        <w:ind w:left="40" w:right="7589" w:hanging="37"/>
        <w:rPr>
          <w:sz w:val="23"/>
          <w:szCs w:val="23"/>
        </w:rPr>
      </w:pPr>
      <w:r>
        <w:rPr>
          <w:sz w:val="23"/>
          <w:szCs w:val="23"/>
        </w:rPr>
        <w:t xml:space="preserve">企业名称(盖章): </w:t>
      </w:r>
    </w:p>
    <w:p w14:paraId="4207447B">
      <w:pPr>
        <w:pStyle w:val="2"/>
        <w:spacing w:before="76" w:line="361" w:lineRule="auto"/>
        <w:ind w:left="40" w:right="7589" w:hanging="37"/>
        <w:rPr>
          <w:sz w:val="23"/>
          <w:szCs w:val="23"/>
        </w:rPr>
      </w:pPr>
      <w:r>
        <w:rPr>
          <w:spacing w:val="4"/>
          <w:sz w:val="23"/>
          <w:szCs w:val="23"/>
        </w:rPr>
        <w:t>日期:</w:t>
      </w:r>
    </w:p>
    <w:p w14:paraId="2BDB02AB">
      <w:pPr>
        <w:spacing w:line="296" w:lineRule="auto"/>
      </w:pPr>
    </w:p>
    <w:p w14:paraId="0C0227C0">
      <w:pPr>
        <w:pStyle w:val="2"/>
        <w:spacing w:before="75" w:line="232" w:lineRule="auto"/>
        <w:rPr>
          <w:sz w:val="23"/>
          <w:szCs w:val="23"/>
        </w:rPr>
      </w:pPr>
      <w:r>
        <w:rPr>
          <w:spacing w:val="-13"/>
          <w:sz w:val="23"/>
          <w:szCs w:val="23"/>
        </w:rPr>
        <w:t>注：</w:t>
      </w:r>
    </w:p>
    <w:p w14:paraId="49BBAB1E">
      <w:pPr>
        <w:pStyle w:val="2"/>
        <w:spacing w:before="181" w:line="367" w:lineRule="auto"/>
        <w:ind w:right="43" w:firstLine="17"/>
        <w:rPr>
          <w:sz w:val="23"/>
          <w:szCs w:val="23"/>
        </w:rPr>
      </w:pPr>
      <w:r>
        <w:rPr>
          <w:spacing w:val="6"/>
          <w:sz w:val="23"/>
          <w:szCs w:val="23"/>
        </w:rPr>
        <w:t>1.从业人员、营业收入，资产总额填报上一年度数据，无上一年数据的新成立企业可不填报。</w:t>
      </w:r>
      <w:r>
        <w:rPr>
          <w:spacing w:val="10"/>
          <w:sz w:val="23"/>
          <w:szCs w:val="23"/>
        </w:rPr>
        <w:t>2.供应商符合《工业和信息化部、国家统计局、国家发展和改革委员会、财政部关于印发中</w:t>
      </w:r>
      <w:r>
        <w:rPr>
          <w:spacing w:val="8"/>
          <w:sz w:val="23"/>
          <w:szCs w:val="23"/>
        </w:rPr>
        <w:t>小企业划型标准规定的通知》（工信部联企业〔2011〕300号）规定的划</w:t>
      </w:r>
      <w:r>
        <w:rPr>
          <w:spacing w:val="7"/>
          <w:sz w:val="23"/>
          <w:szCs w:val="23"/>
        </w:rPr>
        <w:t>分标准为中小型企业</w:t>
      </w:r>
      <w:r>
        <w:rPr>
          <w:spacing w:val="-5"/>
          <w:sz w:val="23"/>
          <w:szCs w:val="23"/>
        </w:rPr>
        <w:t>适用。</w:t>
      </w:r>
    </w:p>
    <w:p w14:paraId="3FA08AD8">
      <w:pPr>
        <w:pStyle w:val="9"/>
        <w:snapToGrid w:val="0"/>
        <w:spacing w:line="360" w:lineRule="auto"/>
        <w:ind w:left="0"/>
        <w:rPr>
          <w:rFonts w:eastAsia="仿宋"/>
          <w:kern w:val="0"/>
          <w:sz w:val="24"/>
          <w:szCs w:val="24"/>
        </w:rPr>
      </w:pPr>
      <w:r>
        <w:rPr>
          <w:b/>
          <w:bCs/>
          <w:spacing w:val="8"/>
          <w:sz w:val="23"/>
          <w:szCs w:val="23"/>
        </w:rPr>
        <w:t>3.标的名称：填写标项名称；采购文件中明确的</w:t>
      </w:r>
      <w:r>
        <w:rPr>
          <w:b/>
          <w:bCs/>
          <w:spacing w:val="7"/>
          <w:sz w:val="23"/>
          <w:szCs w:val="23"/>
        </w:rPr>
        <w:t>所属行业：填写其他未列明行业。</w:t>
      </w:r>
    </w:p>
    <w:p w14:paraId="0CFB5E5B">
      <w:pPr>
        <w:widowControl/>
        <w:snapToGrid w:val="0"/>
        <w:spacing w:line="360" w:lineRule="auto"/>
        <w:jc w:val="center"/>
        <w:rPr>
          <w:rFonts w:eastAsia="仿宋"/>
          <w:b/>
          <w:bCs/>
          <w:kern w:val="0"/>
          <w:sz w:val="24"/>
          <w:szCs w:val="24"/>
        </w:rPr>
      </w:pPr>
      <w:r>
        <w:rPr>
          <w:rFonts w:eastAsia="仿宋"/>
          <w:b/>
          <w:bCs/>
          <w:kern w:val="0"/>
          <w:sz w:val="24"/>
          <w:szCs w:val="24"/>
        </w:rPr>
        <w:t>（2）监狱企业声明函（如有）</w:t>
      </w:r>
    </w:p>
    <w:p w14:paraId="225F9364">
      <w:pPr>
        <w:widowControl/>
        <w:snapToGrid w:val="0"/>
        <w:spacing w:line="360" w:lineRule="auto"/>
        <w:ind w:firstLine="480" w:firstLineChars="200"/>
        <w:jc w:val="center"/>
        <w:rPr>
          <w:rFonts w:eastAsia="仿宋"/>
          <w:sz w:val="24"/>
          <w:szCs w:val="24"/>
        </w:rPr>
      </w:pPr>
      <w:r>
        <w:rPr>
          <w:rFonts w:eastAsia="仿宋"/>
          <w:sz w:val="24"/>
          <w:szCs w:val="24"/>
        </w:rPr>
        <w:t>(监狱企业适用)</w:t>
      </w:r>
    </w:p>
    <w:p w14:paraId="47A61DFF">
      <w:pPr>
        <w:pStyle w:val="11"/>
        <w:tabs>
          <w:tab w:val="left" w:pos="720"/>
          <w:tab w:val="left" w:pos="900"/>
          <w:tab w:val="left" w:pos="1260"/>
          <w:tab w:val="left" w:pos="2160"/>
          <w:tab w:val="left" w:pos="2880"/>
          <w:tab w:val="left" w:pos="3600"/>
          <w:tab w:val="left" w:pos="4320"/>
          <w:tab w:val="left" w:pos="5040"/>
          <w:tab w:val="left" w:pos="5760"/>
        </w:tabs>
        <w:snapToGrid w:val="0"/>
        <w:spacing w:line="360" w:lineRule="auto"/>
        <w:ind w:firstLine="480"/>
        <w:rPr>
          <w:rFonts w:ascii="Times New Roman" w:eastAsia="仿宋"/>
          <w:kern w:val="0"/>
          <w:sz w:val="24"/>
          <w:szCs w:val="24"/>
        </w:rPr>
      </w:pPr>
    </w:p>
    <w:p w14:paraId="4AD9A218">
      <w:pPr>
        <w:snapToGrid w:val="0"/>
        <w:spacing w:line="360" w:lineRule="auto"/>
        <w:ind w:firstLine="480" w:firstLineChars="200"/>
        <w:rPr>
          <w:rFonts w:eastAsia="仿宋"/>
          <w:kern w:val="0"/>
          <w:sz w:val="24"/>
          <w:szCs w:val="24"/>
        </w:rPr>
      </w:pPr>
      <w:r>
        <w:rPr>
          <w:rFonts w:eastAsia="仿宋"/>
          <w:kern w:val="0"/>
          <w:sz w:val="24"/>
          <w:szCs w:val="24"/>
        </w:rPr>
        <w:t>监狱企业声明函【服务类，监狱企业如需享受优惠政策，还须另行提供省级以上监狱管理局、戒毒管理局（含新疆生产建设兵团）出具的监狱企业证明文件】</w:t>
      </w:r>
    </w:p>
    <w:p w14:paraId="1A2C401F">
      <w:pPr>
        <w:snapToGrid w:val="0"/>
        <w:spacing w:line="360" w:lineRule="auto"/>
        <w:rPr>
          <w:rFonts w:eastAsia="仿宋"/>
          <w:kern w:val="0"/>
          <w:sz w:val="24"/>
          <w:szCs w:val="24"/>
        </w:rPr>
      </w:pPr>
    </w:p>
    <w:p w14:paraId="2EA4B117">
      <w:pPr>
        <w:snapToGrid w:val="0"/>
        <w:spacing w:line="360" w:lineRule="auto"/>
        <w:ind w:firstLine="480" w:firstLineChars="200"/>
        <w:rPr>
          <w:rFonts w:eastAsia="仿宋"/>
          <w:kern w:val="0"/>
          <w:sz w:val="24"/>
          <w:szCs w:val="24"/>
        </w:rPr>
      </w:pPr>
      <w:r>
        <w:rPr>
          <w:rFonts w:eastAsia="仿宋"/>
          <w:kern w:val="0"/>
          <w:sz w:val="24"/>
          <w:szCs w:val="24"/>
        </w:rPr>
        <w:t>本供应商郑重声明，根据《财政部司法部关于政府采购支持监狱企业发展有关问题的通知》（财库〔2014〕68号）的规定，本供应商参加（采购人名称）的（项目名称）采购活动，服务全部由符合政策要求的监狱企业承接。相关监狱企业的具体情况如下：</w:t>
      </w:r>
    </w:p>
    <w:p w14:paraId="7F2A924C">
      <w:pPr>
        <w:snapToGrid w:val="0"/>
        <w:spacing w:line="360" w:lineRule="auto"/>
        <w:ind w:firstLine="480" w:firstLineChars="200"/>
        <w:rPr>
          <w:rFonts w:eastAsia="仿宋"/>
          <w:kern w:val="0"/>
          <w:sz w:val="24"/>
          <w:szCs w:val="24"/>
        </w:rPr>
      </w:pPr>
      <w:r>
        <w:rPr>
          <w:rFonts w:eastAsia="仿宋"/>
          <w:kern w:val="0"/>
          <w:sz w:val="24"/>
          <w:szCs w:val="24"/>
        </w:rPr>
        <w:t>1. （标的名称） ，承接单位为（企业名称），属于监狱企业；</w:t>
      </w:r>
    </w:p>
    <w:p w14:paraId="1F3B70BC">
      <w:pPr>
        <w:snapToGrid w:val="0"/>
        <w:spacing w:line="360" w:lineRule="auto"/>
        <w:ind w:firstLine="480" w:firstLineChars="200"/>
        <w:rPr>
          <w:rFonts w:eastAsia="仿宋"/>
          <w:kern w:val="0"/>
          <w:sz w:val="24"/>
          <w:szCs w:val="24"/>
        </w:rPr>
      </w:pPr>
      <w:r>
        <w:rPr>
          <w:rFonts w:eastAsia="仿宋"/>
          <w:kern w:val="0"/>
          <w:sz w:val="24"/>
          <w:szCs w:val="24"/>
        </w:rPr>
        <w:t>2. （标的名称） ，承接单位为（企业名称），属于监狱企业。</w:t>
      </w:r>
    </w:p>
    <w:p w14:paraId="4660B157">
      <w:pPr>
        <w:snapToGrid w:val="0"/>
        <w:spacing w:line="360" w:lineRule="auto"/>
        <w:ind w:firstLine="480" w:firstLineChars="200"/>
        <w:rPr>
          <w:rFonts w:eastAsia="仿宋"/>
          <w:kern w:val="0"/>
          <w:sz w:val="24"/>
          <w:szCs w:val="24"/>
        </w:rPr>
      </w:pPr>
      <w:r>
        <w:rPr>
          <w:rFonts w:eastAsia="仿宋"/>
          <w:kern w:val="0"/>
          <w:sz w:val="24"/>
          <w:szCs w:val="24"/>
        </w:rPr>
        <w:t xml:space="preserve">…… </w:t>
      </w:r>
    </w:p>
    <w:p w14:paraId="068036AB">
      <w:pPr>
        <w:snapToGrid w:val="0"/>
        <w:spacing w:line="360" w:lineRule="auto"/>
        <w:ind w:firstLine="480" w:firstLineChars="200"/>
        <w:rPr>
          <w:rFonts w:eastAsia="仿宋"/>
          <w:kern w:val="0"/>
          <w:sz w:val="24"/>
          <w:szCs w:val="24"/>
        </w:rPr>
      </w:pPr>
      <w:r>
        <w:rPr>
          <w:rFonts w:eastAsia="仿宋"/>
          <w:kern w:val="0"/>
          <w:sz w:val="24"/>
          <w:szCs w:val="24"/>
        </w:rPr>
        <w:t>本供应商对上述声明内容的真实性负责。如有虚假，将依法承担相应责任。</w:t>
      </w:r>
    </w:p>
    <w:p w14:paraId="7FBDEC59">
      <w:pPr>
        <w:snapToGrid w:val="0"/>
        <w:spacing w:line="360" w:lineRule="auto"/>
        <w:ind w:firstLine="480" w:firstLineChars="200"/>
        <w:rPr>
          <w:rFonts w:eastAsia="仿宋"/>
          <w:kern w:val="0"/>
          <w:sz w:val="24"/>
          <w:szCs w:val="24"/>
        </w:rPr>
      </w:pPr>
      <w:r>
        <w:rPr>
          <w:rFonts w:eastAsia="仿宋"/>
          <w:kern w:val="0"/>
          <w:sz w:val="24"/>
          <w:szCs w:val="24"/>
        </w:rPr>
        <w:t>附：省级以上监狱管理局、戒毒管理局（含新疆生产建设兵团）出具的监狱企业证明文件。</w:t>
      </w:r>
    </w:p>
    <w:p w14:paraId="3421154F">
      <w:pPr>
        <w:widowControl/>
        <w:snapToGrid w:val="0"/>
        <w:spacing w:line="360" w:lineRule="auto"/>
        <w:ind w:firstLine="480" w:firstLineChars="200"/>
        <w:rPr>
          <w:rFonts w:eastAsia="仿宋"/>
          <w:kern w:val="0"/>
          <w:sz w:val="24"/>
          <w:szCs w:val="24"/>
        </w:rPr>
      </w:pPr>
    </w:p>
    <w:p w14:paraId="743B3EA7">
      <w:pPr>
        <w:widowControl/>
        <w:snapToGrid w:val="0"/>
        <w:spacing w:line="360" w:lineRule="auto"/>
        <w:rPr>
          <w:rFonts w:eastAsia="仿宋"/>
          <w:kern w:val="0"/>
          <w:sz w:val="24"/>
          <w:szCs w:val="24"/>
        </w:rPr>
      </w:pPr>
    </w:p>
    <w:p w14:paraId="1FDF8D66">
      <w:pPr>
        <w:widowControl/>
        <w:snapToGrid w:val="0"/>
        <w:spacing w:line="360" w:lineRule="auto"/>
        <w:ind w:firstLine="3840" w:firstLineChars="1600"/>
        <w:rPr>
          <w:rFonts w:eastAsia="仿宋"/>
          <w:kern w:val="0"/>
          <w:sz w:val="24"/>
          <w:szCs w:val="24"/>
        </w:rPr>
      </w:pPr>
      <w:r>
        <w:rPr>
          <w:rFonts w:eastAsia="仿宋"/>
          <w:kern w:val="0"/>
          <w:sz w:val="24"/>
          <w:szCs w:val="24"/>
        </w:rPr>
        <w:t>企业名称(盖公章):</w:t>
      </w:r>
    </w:p>
    <w:p w14:paraId="5E4037ED">
      <w:pPr>
        <w:widowControl/>
        <w:snapToGrid w:val="0"/>
        <w:spacing w:line="360" w:lineRule="auto"/>
        <w:ind w:firstLine="3120" w:firstLineChars="1300"/>
        <w:rPr>
          <w:rFonts w:eastAsia="仿宋"/>
          <w:kern w:val="0"/>
          <w:sz w:val="24"/>
          <w:szCs w:val="24"/>
        </w:rPr>
      </w:pPr>
      <w:r>
        <w:rPr>
          <w:rFonts w:eastAsia="仿宋"/>
          <w:kern w:val="0"/>
          <w:sz w:val="24"/>
          <w:szCs w:val="24"/>
        </w:rPr>
        <w:t>法定代表人(负责人)或其授权代表(签字):</w:t>
      </w:r>
    </w:p>
    <w:p w14:paraId="60AE6FF0">
      <w:pPr>
        <w:widowControl/>
        <w:snapToGrid w:val="0"/>
        <w:spacing w:line="360" w:lineRule="auto"/>
        <w:ind w:firstLine="4800" w:firstLineChars="2000"/>
        <w:rPr>
          <w:rFonts w:eastAsia="仿宋"/>
          <w:kern w:val="0"/>
          <w:sz w:val="24"/>
          <w:szCs w:val="24"/>
        </w:rPr>
      </w:pPr>
      <w:r>
        <w:rPr>
          <w:rFonts w:eastAsia="仿宋"/>
          <w:kern w:val="0"/>
          <w:sz w:val="24"/>
          <w:szCs w:val="24"/>
        </w:rPr>
        <w:t>日期:</w:t>
      </w:r>
    </w:p>
    <w:p w14:paraId="1F093929">
      <w:pPr>
        <w:pStyle w:val="2"/>
        <w:rPr>
          <w:rFonts w:eastAsia="仿宋"/>
          <w:sz w:val="28"/>
          <w:szCs w:val="28"/>
        </w:rPr>
      </w:pPr>
    </w:p>
    <w:p w14:paraId="3FE28DBF">
      <w:pPr>
        <w:pStyle w:val="2"/>
        <w:rPr>
          <w:rFonts w:eastAsia="仿宋"/>
          <w:sz w:val="28"/>
          <w:szCs w:val="28"/>
        </w:rPr>
      </w:pPr>
    </w:p>
    <w:p w14:paraId="7164A689">
      <w:pPr>
        <w:pStyle w:val="2"/>
        <w:rPr>
          <w:rFonts w:eastAsia="仿宋"/>
          <w:sz w:val="28"/>
          <w:szCs w:val="28"/>
        </w:rPr>
      </w:pPr>
    </w:p>
    <w:p w14:paraId="3D55C0EB">
      <w:pPr>
        <w:pStyle w:val="2"/>
        <w:rPr>
          <w:rFonts w:eastAsia="仿宋"/>
          <w:sz w:val="28"/>
          <w:szCs w:val="28"/>
        </w:rPr>
      </w:pPr>
    </w:p>
    <w:p w14:paraId="1DD6C79F">
      <w:pPr>
        <w:pStyle w:val="2"/>
        <w:rPr>
          <w:rFonts w:eastAsia="仿宋"/>
          <w:sz w:val="28"/>
          <w:szCs w:val="28"/>
        </w:rPr>
      </w:pPr>
    </w:p>
    <w:p w14:paraId="53B4E6D8">
      <w:pPr>
        <w:pStyle w:val="2"/>
        <w:rPr>
          <w:rFonts w:eastAsia="仿宋"/>
          <w:sz w:val="28"/>
          <w:szCs w:val="28"/>
        </w:rPr>
      </w:pPr>
    </w:p>
    <w:p w14:paraId="5E08BC44">
      <w:pPr>
        <w:rPr>
          <w:rFonts w:eastAsia="仿宋"/>
        </w:rPr>
      </w:pPr>
    </w:p>
    <w:p w14:paraId="102B67B4">
      <w:pPr>
        <w:pStyle w:val="2"/>
        <w:rPr>
          <w:rFonts w:eastAsia="仿宋"/>
          <w:sz w:val="28"/>
          <w:szCs w:val="28"/>
        </w:rPr>
      </w:pPr>
    </w:p>
    <w:p w14:paraId="6C36268D">
      <w:pPr>
        <w:rPr>
          <w:rFonts w:eastAsia="仿宋"/>
          <w:sz w:val="28"/>
          <w:szCs w:val="28"/>
        </w:rPr>
      </w:pPr>
    </w:p>
    <w:p w14:paraId="7471D7F8">
      <w:pPr>
        <w:rPr>
          <w:rFonts w:eastAsia="仿宋"/>
          <w:b/>
          <w:bCs/>
          <w:kern w:val="0"/>
          <w:sz w:val="24"/>
          <w:szCs w:val="24"/>
        </w:rPr>
      </w:pPr>
      <w:r>
        <w:rPr>
          <w:rFonts w:eastAsia="仿宋"/>
          <w:b/>
          <w:bCs/>
          <w:kern w:val="0"/>
          <w:sz w:val="24"/>
          <w:szCs w:val="24"/>
        </w:rPr>
        <w:br w:type="page"/>
      </w:r>
    </w:p>
    <w:p w14:paraId="4E7742E6">
      <w:pPr>
        <w:widowControl/>
        <w:spacing w:line="360" w:lineRule="auto"/>
        <w:jc w:val="center"/>
        <w:rPr>
          <w:rFonts w:eastAsia="仿宋"/>
          <w:b/>
          <w:bCs/>
          <w:kern w:val="0"/>
          <w:sz w:val="24"/>
          <w:szCs w:val="24"/>
        </w:rPr>
      </w:pPr>
      <w:r>
        <w:rPr>
          <w:rFonts w:eastAsia="仿宋"/>
          <w:b/>
          <w:bCs/>
          <w:kern w:val="0"/>
          <w:sz w:val="24"/>
          <w:szCs w:val="24"/>
        </w:rPr>
        <w:t>（3）残疾人福利性单位声明函（如有）</w:t>
      </w:r>
    </w:p>
    <w:p w14:paraId="504E4A7E">
      <w:pPr>
        <w:widowControl/>
        <w:spacing w:line="360" w:lineRule="auto"/>
        <w:jc w:val="center"/>
        <w:rPr>
          <w:rFonts w:eastAsia="仿宋"/>
          <w:kern w:val="0"/>
          <w:sz w:val="28"/>
          <w:szCs w:val="28"/>
        </w:rPr>
      </w:pPr>
    </w:p>
    <w:p w14:paraId="668CB4EA">
      <w:pPr>
        <w:widowControl/>
        <w:spacing w:line="360" w:lineRule="auto"/>
        <w:jc w:val="center"/>
        <w:rPr>
          <w:rFonts w:eastAsia="仿宋"/>
          <w:kern w:val="0"/>
          <w:sz w:val="24"/>
          <w:szCs w:val="24"/>
        </w:rPr>
      </w:pPr>
      <w:r>
        <w:rPr>
          <w:rFonts w:eastAsia="仿宋"/>
          <w:kern w:val="0"/>
          <w:sz w:val="24"/>
          <w:szCs w:val="24"/>
        </w:rPr>
        <w:t>残疾人福利性单位声明函</w:t>
      </w:r>
    </w:p>
    <w:p w14:paraId="3F05597D">
      <w:pPr>
        <w:spacing w:line="360" w:lineRule="auto"/>
        <w:rPr>
          <w:rFonts w:eastAsia="仿宋"/>
          <w:b/>
          <w:bCs/>
          <w:sz w:val="24"/>
          <w:szCs w:val="24"/>
        </w:rPr>
      </w:pPr>
    </w:p>
    <w:p w14:paraId="4B46DA24">
      <w:pPr>
        <w:spacing w:line="360" w:lineRule="auto"/>
        <w:ind w:firstLine="480" w:firstLineChars="200"/>
        <w:rPr>
          <w:rFonts w:eastAsia="仿宋"/>
          <w:kern w:val="0"/>
          <w:sz w:val="24"/>
          <w:szCs w:val="24"/>
        </w:rPr>
      </w:pPr>
    </w:p>
    <w:p w14:paraId="782B66B9">
      <w:pPr>
        <w:spacing w:line="360" w:lineRule="auto"/>
        <w:ind w:firstLine="480" w:firstLineChars="200"/>
        <w:rPr>
          <w:rFonts w:eastAsia="仿宋"/>
          <w:kern w:val="0"/>
          <w:sz w:val="24"/>
          <w:szCs w:val="24"/>
        </w:rPr>
      </w:pPr>
      <w:r>
        <w:rPr>
          <w:rFonts w:eastAsia="仿宋"/>
          <w:kern w:val="0"/>
          <w:sz w:val="24"/>
          <w:szCs w:val="24"/>
        </w:rPr>
        <w:t>本供应商郑重声明，根据《财政部民政部中国残疾人联合会关于促进残疾人就业政府采购政策的通知》（财库〔2017〕141 号）的规定，本供应商参加（采购人名称）的（项目名称）采购活动，服务全部由符合政策要求的残疾人福利性单位承接。相关残疾人福利性单位的具体情况如下：</w:t>
      </w:r>
    </w:p>
    <w:p w14:paraId="3410CAA2">
      <w:pPr>
        <w:spacing w:line="360" w:lineRule="auto"/>
        <w:ind w:firstLine="480" w:firstLineChars="200"/>
        <w:rPr>
          <w:rFonts w:eastAsia="仿宋"/>
          <w:kern w:val="0"/>
          <w:sz w:val="24"/>
          <w:szCs w:val="24"/>
        </w:rPr>
      </w:pPr>
      <w:r>
        <w:rPr>
          <w:rFonts w:eastAsia="仿宋"/>
          <w:kern w:val="0"/>
          <w:sz w:val="24"/>
          <w:szCs w:val="24"/>
        </w:rPr>
        <w:t>1. （标的名称） ，承接企业为（单位名称），属于残疾人福利性单位；</w:t>
      </w:r>
    </w:p>
    <w:p w14:paraId="033A7369">
      <w:pPr>
        <w:spacing w:line="360" w:lineRule="auto"/>
        <w:ind w:firstLine="480" w:firstLineChars="200"/>
        <w:rPr>
          <w:rFonts w:eastAsia="仿宋"/>
          <w:kern w:val="0"/>
          <w:sz w:val="24"/>
          <w:szCs w:val="24"/>
        </w:rPr>
      </w:pPr>
      <w:r>
        <w:rPr>
          <w:rFonts w:eastAsia="仿宋"/>
          <w:kern w:val="0"/>
          <w:sz w:val="24"/>
          <w:szCs w:val="24"/>
        </w:rPr>
        <w:t>2. （标的名称） ，承接企业为（单位名称），属于残疾人福利性单位。</w:t>
      </w:r>
    </w:p>
    <w:p w14:paraId="746A2C5A">
      <w:pPr>
        <w:spacing w:line="360" w:lineRule="auto"/>
        <w:ind w:firstLine="480" w:firstLineChars="200"/>
        <w:rPr>
          <w:rFonts w:eastAsia="仿宋"/>
          <w:kern w:val="0"/>
          <w:sz w:val="24"/>
          <w:szCs w:val="24"/>
        </w:rPr>
      </w:pPr>
      <w:r>
        <w:rPr>
          <w:rFonts w:eastAsia="仿宋"/>
          <w:kern w:val="0"/>
          <w:sz w:val="24"/>
          <w:szCs w:val="24"/>
        </w:rPr>
        <w:t xml:space="preserve">…… </w:t>
      </w:r>
    </w:p>
    <w:p w14:paraId="28347528">
      <w:pPr>
        <w:spacing w:line="360" w:lineRule="auto"/>
        <w:ind w:firstLine="480" w:firstLineChars="200"/>
        <w:rPr>
          <w:rFonts w:eastAsia="仿宋"/>
          <w:kern w:val="0"/>
          <w:sz w:val="24"/>
          <w:szCs w:val="24"/>
        </w:rPr>
      </w:pPr>
      <w:r>
        <w:rPr>
          <w:rFonts w:eastAsia="仿宋"/>
          <w:kern w:val="0"/>
          <w:sz w:val="24"/>
          <w:szCs w:val="24"/>
        </w:rPr>
        <w:t>本供应商已知悉《财政部民政部中国残疾人联合会关于促进残疾人就业政府采购政策的通知》（财库〔2017〕141 号）的规定，承诺提供的声明函内容是真实的，如提供声明函内容不实，则依法追究相关法律责任。</w:t>
      </w:r>
    </w:p>
    <w:p w14:paraId="7F7F3EB1">
      <w:pPr>
        <w:spacing w:line="360" w:lineRule="auto"/>
        <w:ind w:firstLine="480" w:firstLineChars="200"/>
        <w:rPr>
          <w:rFonts w:eastAsia="仿宋"/>
          <w:kern w:val="0"/>
          <w:sz w:val="24"/>
          <w:szCs w:val="24"/>
        </w:rPr>
      </w:pPr>
    </w:p>
    <w:p w14:paraId="4F951139">
      <w:pPr>
        <w:spacing w:line="360" w:lineRule="auto"/>
        <w:ind w:firstLine="480" w:firstLineChars="200"/>
        <w:rPr>
          <w:rFonts w:eastAsia="仿宋"/>
          <w:kern w:val="0"/>
          <w:sz w:val="24"/>
          <w:szCs w:val="24"/>
        </w:rPr>
      </w:pPr>
      <w:r>
        <w:rPr>
          <w:rFonts w:eastAsia="仿宋"/>
          <w:kern w:val="0"/>
          <w:sz w:val="24"/>
          <w:szCs w:val="24"/>
        </w:rPr>
        <w:t>企业名称(盖公章):</w:t>
      </w:r>
    </w:p>
    <w:p w14:paraId="24C29A8A">
      <w:pPr>
        <w:spacing w:line="360" w:lineRule="auto"/>
        <w:ind w:firstLine="480" w:firstLineChars="200"/>
        <w:rPr>
          <w:rFonts w:eastAsia="仿宋"/>
          <w:kern w:val="0"/>
          <w:sz w:val="24"/>
          <w:szCs w:val="24"/>
        </w:rPr>
      </w:pPr>
      <w:r>
        <w:rPr>
          <w:rFonts w:eastAsia="仿宋"/>
          <w:kern w:val="0"/>
          <w:sz w:val="24"/>
          <w:szCs w:val="24"/>
        </w:rPr>
        <w:t>法定代表人(负责人)或其授权代表(签字):</w:t>
      </w:r>
    </w:p>
    <w:p w14:paraId="58AF6A03">
      <w:pPr>
        <w:spacing w:line="360" w:lineRule="auto"/>
        <w:ind w:firstLine="480" w:firstLineChars="200"/>
        <w:rPr>
          <w:rFonts w:eastAsia="仿宋"/>
          <w:kern w:val="0"/>
          <w:sz w:val="24"/>
          <w:szCs w:val="24"/>
        </w:rPr>
      </w:pPr>
      <w:r>
        <w:rPr>
          <w:rFonts w:eastAsia="仿宋"/>
          <w:kern w:val="0"/>
          <w:sz w:val="24"/>
          <w:szCs w:val="24"/>
        </w:rPr>
        <w:t>日期:</w:t>
      </w:r>
    </w:p>
    <w:p w14:paraId="5C82D2AD">
      <w:pPr>
        <w:pStyle w:val="2"/>
        <w:rPr>
          <w:rFonts w:eastAsia="仿宋"/>
          <w:sz w:val="28"/>
          <w:szCs w:val="28"/>
        </w:rPr>
      </w:pPr>
    </w:p>
    <w:p w14:paraId="21D90BAB">
      <w:pPr>
        <w:pStyle w:val="2"/>
        <w:rPr>
          <w:rFonts w:eastAsia="仿宋"/>
          <w:sz w:val="28"/>
          <w:szCs w:val="28"/>
        </w:rPr>
      </w:pPr>
    </w:p>
    <w:p w14:paraId="1EA16A47">
      <w:pPr>
        <w:spacing w:line="600" w:lineRule="exact"/>
        <w:jc w:val="center"/>
        <w:rPr>
          <w:rFonts w:eastAsia="仿宋"/>
          <w:b/>
          <w:bCs/>
          <w:sz w:val="28"/>
          <w:szCs w:val="28"/>
        </w:rPr>
      </w:pPr>
    </w:p>
    <w:p w14:paraId="3176E063">
      <w:pPr>
        <w:spacing w:line="600" w:lineRule="exact"/>
        <w:jc w:val="center"/>
        <w:rPr>
          <w:rFonts w:eastAsia="仿宋"/>
          <w:b/>
          <w:bCs/>
          <w:sz w:val="36"/>
          <w:szCs w:val="24"/>
        </w:rPr>
      </w:pPr>
    </w:p>
    <w:p w14:paraId="388B1174">
      <w:pPr>
        <w:spacing w:line="600" w:lineRule="exact"/>
        <w:jc w:val="center"/>
        <w:rPr>
          <w:rFonts w:eastAsia="仿宋"/>
          <w:b/>
          <w:bCs/>
          <w:sz w:val="36"/>
          <w:szCs w:val="24"/>
        </w:rPr>
      </w:pPr>
    </w:p>
    <w:p w14:paraId="4A2960AA">
      <w:pPr>
        <w:spacing w:line="600" w:lineRule="exact"/>
        <w:jc w:val="center"/>
        <w:rPr>
          <w:rFonts w:eastAsia="仿宋"/>
          <w:b/>
          <w:bCs/>
          <w:sz w:val="36"/>
          <w:szCs w:val="24"/>
        </w:rPr>
      </w:pPr>
    </w:p>
    <w:p w14:paraId="306E2536">
      <w:pPr>
        <w:spacing w:line="600" w:lineRule="exact"/>
        <w:jc w:val="center"/>
        <w:rPr>
          <w:rFonts w:eastAsia="仿宋"/>
          <w:b/>
          <w:bCs/>
          <w:sz w:val="36"/>
          <w:szCs w:val="24"/>
        </w:rPr>
      </w:pPr>
    </w:p>
    <w:p w14:paraId="0C965F17">
      <w:pPr>
        <w:pStyle w:val="2"/>
        <w:rPr>
          <w:rFonts w:eastAsia="仿宋"/>
          <w:b/>
          <w:bCs/>
          <w:sz w:val="36"/>
          <w:szCs w:val="24"/>
        </w:rPr>
      </w:pPr>
    </w:p>
    <w:p w14:paraId="7FCA99FE"/>
    <w:p w14:paraId="1A829EA9">
      <w:pPr>
        <w:spacing w:line="600" w:lineRule="exact"/>
        <w:jc w:val="center"/>
        <w:rPr>
          <w:rFonts w:eastAsia="仿宋"/>
          <w:b/>
          <w:bCs/>
          <w:sz w:val="36"/>
          <w:szCs w:val="24"/>
        </w:rPr>
      </w:pPr>
    </w:p>
    <w:p w14:paraId="200D76C3">
      <w:pPr>
        <w:autoSpaceDE w:val="0"/>
        <w:autoSpaceDN w:val="0"/>
        <w:spacing w:before="11"/>
        <w:jc w:val="left"/>
        <w:rPr>
          <w:rFonts w:eastAsia="仿宋"/>
          <w:kern w:val="0"/>
          <w:sz w:val="10"/>
        </w:rPr>
      </w:pPr>
    </w:p>
    <w:p w14:paraId="3F91E79D">
      <w:pPr>
        <w:widowControl/>
        <w:spacing w:line="360" w:lineRule="auto"/>
        <w:jc w:val="center"/>
        <w:rPr>
          <w:rFonts w:eastAsia="仿宋"/>
          <w:b/>
          <w:bCs/>
          <w:kern w:val="0"/>
          <w:sz w:val="24"/>
          <w:szCs w:val="24"/>
        </w:rPr>
      </w:pPr>
      <w:r>
        <w:rPr>
          <w:rFonts w:eastAsia="仿宋"/>
          <w:b/>
          <w:bCs/>
          <w:kern w:val="0"/>
          <w:sz w:val="24"/>
          <w:szCs w:val="24"/>
        </w:rPr>
        <w:t>7、供应商业绩证明材料</w:t>
      </w:r>
    </w:p>
    <w:p w14:paraId="5B6F4488">
      <w:pPr>
        <w:autoSpaceDE w:val="0"/>
        <w:autoSpaceDN w:val="0"/>
        <w:adjustRightInd w:val="0"/>
        <w:snapToGrid w:val="0"/>
        <w:spacing w:line="360" w:lineRule="auto"/>
        <w:jc w:val="left"/>
        <w:rPr>
          <w:rFonts w:eastAsia="仿宋"/>
          <w:kern w:val="0"/>
          <w:sz w:val="24"/>
          <w:szCs w:val="24"/>
          <w:u w:val="single"/>
        </w:rPr>
      </w:pPr>
      <w:r>
        <w:rPr>
          <w:rFonts w:eastAsia="仿宋"/>
          <w:kern w:val="0"/>
          <w:sz w:val="24"/>
          <w:szCs w:val="24"/>
        </w:rPr>
        <w:t>供应商名称（公章）：                                  项目编号/标项号：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548"/>
        <w:gridCol w:w="1548"/>
        <w:gridCol w:w="1548"/>
      </w:tblGrid>
      <w:tr w14:paraId="467B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6A4EEB8">
            <w:pPr>
              <w:autoSpaceDE w:val="0"/>
              <w:autoSpaceDN w:val="0"/>
              <w:adjustRightInd w:val="0"/>
              <w:snapToGrid w:val="0"/>
              <w:spacing w:line="360" w:lineRule="auto"/>
              <w:jc w:val="left"/>
              <w:rPr>
                <w:rFonts w:eastAsia="仿宋"/>
                <w:kern w:val="0"/>
                <w:szCs w:val="21"/>
                <w:u w:val="single"/>
              </w:rPr>
            </w:pPr>
            <w:r>
              <w:rPr>
                <w:rFonts w:eastAsia="仿宋"/>
                <w:kern w:val="0"/>
                <w:szCs w:val="21"/>
              </w:rPr>
              <w:t>序号</w:t>
            </w:r>
          </w:p>
        </w:tc>
        <w:tc>
          <w:tcPr>
            <w:tcW w:w="1548" w:type="dxa"/>
          </w:tcPr>
          <w:p w14:paraId="1066F678">
            <w:pPr>
              <w:autoSpaceDE w:val="0"/>
              <w:autoSpaceDN w:val="0"/>
              <w:adjustRightInd w:val="0"/>
              <w:snapToGrid w:val="0"/>
              <w:spacing w:line="360" w:lineRule="auto"/>
              <w:jc w:val="left"/>
              <w:rPr>
                <w:rFonts w:eastAsia="仿宋"/>
                <w:kern w:val="0"/>
                <w:szCs w:val="21"/>
                <w:u w:val="single"/>
              </w:rPr>
            </w:pPr>
            <w:r>
              <w:rPr>
                <w:rFonts w:eastAsia="仿宋"/>
                <w:kern w:val="0"/>
                <w:szCs w:val="21"/>
              </w:rPr>
              <w:t>项目名称</w:t>
            </w:r>
          </w:p>
        </w:tc>
        <w:tc>
          <w:tcPr>
            <w:tcW w:w="1548" w:type="dxa"/>
          </w:tcPr>
          <w:p w14:paraId="590A031A">
            <w:pPr>
              <w:autoSpaceDE w:val="0"/>
              <w:autoSpaceDN w:val="0"/>
              <w:adjustRightInd w:val="0"/>
              <w:snapToGrid w:val="0"/>
              <w:spacing w:line="360" w:lineRule="auto"/>
              <w:jc w:val="left"/>
              <w:rPr>
                <w:rFonts w:eastAsia="仿宋"/>
                <w:kern w:val="0"/>
                <w:szCs w:val="21"/>
                <w:u w:val="single"/>
              </w:rPr>
            </w:pPr>
            <w:r>
              <w:rPr>
                <w:rFonts w:eastAsia="仿宋"/>
                <w:kern w:val="0"/>
                <w:szCs w:val="21"/>
              </w:rPr>
              <w:t>发包人</w:t>
            </w:r>
          </w:p>
        </w:tc>
        <w:tc>
          <w:tcPr>
            <w:tcW w:w="1548" w:type="dxa"/>
          </w:tcPr>
          <w:p w14:paraId="7025EE69">
            <w:pPr>
              <w:autoSpaceDE w:val="0"/>
              <w:autoSpaceDN w:val="0"/>
              <w:adjustRightInd w:val="0"/>
              <w:snapToGrid w:val="0"/>
              <w:spacing w:line="360" w:lineRule="auto"/>
              <w:jc w:val="left"/>
              <w:rPr>
                <w:rFonts w:eastAsia="仿宋"/>
                <w:kern w:val="0"/>
                <w:szCs w:val="21"/>
                <w:u w:val="single"/>
              </w:rPr>
            </w:pPr>
            <w:r>
              <w:rPr>
                <w:rFonts w:eastAsia="仿宋"/>
                <w:kern w:val="0"/>
                <w:szCs w:val="21"/>
              </w:rPr>
              <w:t>主要内容</w:t>
            </w:r>
          </w:p>
        </w:tc>
        <w:tc>
          <w:tcPr>
            <w:tcW w:w="1548" w:type="dxa"/>
          </w:tcPr>
          <w:p w14:paraId="7A38168C">
            <w:pPr>
              <w:autoSpaceDE w:val="0"/>
              <w:autoSpaceDN w:val="0"/>
              <w:adjustRightInd w:val="0"/>
              <w:snapToGrid w:val="0"/>
              <w:spacing w:line="360" w:lineRule="auto"/>
              <w:jc w:val="left"/>
              <w:rPr>
                <w:rFonts w:eastAsia="仿宋"/>
                <w:kern w:val="0"/>
                <w:szCs w:val="21"/>
                <w:u w:val="single"/>
              </w:rPr>
            </w:pPr>
            <w:r>
              <w:rPr>
                <w:rFonts w:eastAsia="仿宋"/>
                <w:kern w:val="0"/>
                <w:szCs w:val="21"/>
              </w:rPr>
              <w:t>完工时间</w:t>
            </w:r>
          </w:p>
        </w:tc>
        <w:tc>
          <w:tcPr>
            <w:tcW w:w="1548" w:type="dxa"/>
          </w:tcPr>
          <w:p w14:paraId="54C5E1FC">
            <w:pPr>
              <w:autoSpaceDE w:val="0"/>
              <w:autoSpaceDN w:val="0"/>
              <w:adjustRightInd w:val="0"/>
              <w:snapToGrid w:val="0"/>
              <w:spacing w:line="360" w:lineRule="auto"/>
              <w:jc w:val="left"/>
              <w:rPr>
                <w:rFonts w:eastAsia="仿宋"/>
                <w:kern w:val="0"/>
                <w:szCs w:val="21"/>
                <w:u w:val="single"/>
              </w:rPr>
            </w:pPr>
            <w:r>
              <w:rPr>
                <w:rFonts w:eastAsia="仿宋"/>
                <w:kern w:val="0"/>
                <w:szCs w:val="21"/>
              </w:rPr>
              <w:t>备注</w:t>
            </w:r>
          </w:p>
        </w:tc>
      </w:tr>
      <w:tr w14:paraId="4A8D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46163FD">
            <w:pPr>
              <w:autoSpaceDE w:val="0"/>
              <w:autoSpaceDN w:val="0"/>
              <w:adjustRightInd w:val="0"/>
              <w:snapToGrid w:val="0"/>
              <w:spacing w:line="360" w:lineRule="auto"/>
              <w:jc w:val="left"/>
              <w:rPr>
                <w:rFonts w:eastAsia="仿宋"/>
                <w:kern w:val="0"/>
                <w:szCs w:val="21"/>
                <w:u w:val="single"/>
              </w:rPr>
            </w:pPr>
          </w:p>
        </w:tc>
        <w:tc>
          <w:tcPr>
            <w:tcW w:w="1548" w:type="dxa"/>
          </w:tcPr>
          <w:p w14:paraId="2745845A">
            <w:pPr>
              <w:autoSpaceDE w:val="0"/>
              <w:autoSpaceDN w:val="0"/>
              <w:adjustRightInd w:val="0"/>
              <w:snapToGrid w:val="0"/>
              <w:spacing w:line="360" w:lineRule="auto"/>
              <w:jc w:val="left"/>
              <w:rPr>
                <w:rFonts w:eastAsia="仿宋"/>
                <w:kern w:val="0"/>
                <w:szCs w:val="21"/>
                <w:u w:val="single"/>
              </w:rPr>
            </w:pPr>
          </w:p>
        </w:tc>
        <w:tc>
          <w:tcPr>
            <w:tcW w:w="1548" w:type="dxa"/>
          </w:tcPr>
          <w:p w14:paraId="30F34750">
            <w:pPr>
              <w:autoSpaceDE w:val="0"/>
              <w:autoSpaceDN w:val="0"/>
              <w:adjustRightInd w:val="0"/>
              <w:snapToGrid w:val="0"/>
              <w:spacing w:line="360" w:lineRule="auto"/>
              <w:jc w:val="left"/>
              <w:rPr>
                <w:rFonts w:eastAsia="仿宋"/>
                <w:kern w:val="0"/>
                <w:szCs w:val="21"/>
                <w:u w:val="single"/>
              </w:rPr>
            </w:pPr>
          </w:p>
        </w:tc>
        <w:tc>
          <w:tcPr>
            <w:tcW w:w="1548" w:type="dxa"/>
          </w:tcPr>
          <w:p w14:paraId="0003A102">
            <w:pPr>
              <w:autoSpaceDE w:val="0"/>
              <w:autoSpaceDN w:val="0"/>
              <w:adjustRightInd w:val="0"/>
              <w:snapToGrid w:val="0"/>
              <w:spacing w:line="360" w:lineRule="auto"/>
              <w:jc w:val="left"/>
              <w:rPr>
                <w:rFonts w:eastAsia="仿宋"/>
                <w:kern w:val="0"/>
                <w:szCs w:val="21"/>
                <w:u w:val="single"/>
              </w:rPr>
            </w:pPr>
          </w:p>
        </w:tc>
        <w:tc>
          <w:tcPr>
            <w:tcW w:w="1548" w:type="dxa"/>
          </w:tcPr>
          <w:p w14:paraId="26446E25">
            <w:pPr>
              <w:autoSpaceDE w:val="0"/>
              <w:autoSpaceDN w:val="0"/>
              <w:adjustRightInd w:val="0"/>
              <w:snapToGrid w:val="0"/>
              <w:spacing w:line="360" w:lineRule="auto"/>
              <w:jc w:val="left"/>
              <w:rPr>
                <w:rFonts w:eastAsia="仿宋"/>
                <w:kern w:val="0"/>
                <w:szCs w:val="21"/>
                <w:u w:val="single"/>
              </w:rPr>
            </w:pPr>
          </w:p>
        </w:tc>
        <w:tc>
          <w:tcPr>
            <w:tcW w:w="1548" w:type="dxa"/>
          </w:tcPr>
          <w:p w14:paraId="2A423F8F">
            <w:pPr>
              <w:autoSpaceDE w:val="0"/>
              <w:autoSpaceDN w:val="0"/>
              <w:adjustRightInd w:val="0"/>
              <w:snapToGrid w:val="0"/>
              <w:spacing w:line="360" w:lineRule="auto"/>
              <w:jc w:val="left"/>
              <w:rPr>
                <w:rFonts w:eastAsia="仿宋"/>
                <w:kern w:val="0"/>
                <w:szCs w:val="21"/>
                <w:u w:val="single"/>
              </w:rPr>
            </w:pPr>
          </w:p>
        </w:tc>
      </w:tr>
      <w:tr w14:paraId="712A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2457AD00">
            <w:pPr>
              <w:autoSpaceDE w:val="0"/>
              <w:autoSpaceDN w:val="0"/>
              <w:adjustRightInd w:val="0"/>
              <w:snapToGrid w:val="0"/>
              <w:spacing w:line="360" w:lineRule="auto"/>
              <w:jc w:val="left"/>
              <w:rPr>
                <w:rFonts w:eastAsia="仿宋"/>
                <w:kern w:val="0"/>
                <w:szCs w:val="21"/>
                <w:u w:val="single"/>
              </w:rPr>
            </w:pPr>
          </w:p>
        </w:tc>
        <w:tc>
          <w:tcPr>
            <w:tcW w:w="1548" w:type="dxa"/>
          </w:tcPr>
          <w:p w14:paraId="5294A9C6">
            <w:pPr>
              <w:autoSpaceDE w:val="0"/>
              <w:autoSpaceDN w:val="0"/>
              <w:adjustRightInd w:val="0"/>
              <w:snapToGrid w:val="0"/>
              <w:spacing w:line="360" w:lineRule="auto"/>
              <w:jc w:val="left"/>
              <w:rPr>
                <w:rFonts w:eastAsia="仿宋"/>
                <w:kern w:val="0"/>
                <w:szCs w:val="21"/>
                <w:u w:val="single"/>
              </w:rPr>
            </w:pPr>
          </w:p>
        </w:tc>
        <w:tc>
          <w:tcPr>
            <w:tcW w:w="1548" w:type="dxa"/>
          </w:tcPr>
          <w:p w14:paraId="2C41E36D">
            <w:pPr>
              <w:autoSpaceDE w:val="0"/>
              <w:autoSpaceDN w:val="0"/>
              <w:adjustRightInd w:val="0"/>
              <w:snapToGrid w:val="0"/>
              <w:spacing w:line="360" w:lineRule="auto"/>
              <w:jc w:val="left"/>
              <w:rPr>
                <w:rFonts w:eastAsia="仿宋"/>
                <w:kern w:val="0"/>
                <w:szCs w:val="21"/>
                <w:u w:val="single"/>
              </w:rPr>
            </w:pPr>
          </w:p>
        </w:tc>
        <w:tc>
          <w:tcPr>
            <w:tcW w:w="1548" w:type="dxa"/>
          </w:tcPr>
          <w:p w14:paraId="76BEA5E9">
            <w:pPr>
              <w:autoSpaceDE w:val="0"/>
              <w:autoSpaceDN w:val="0"/>
              <w:adjustRightInd w:val="0"/>
              <w:snapToGrid w:val="0"/>
              <w:spacing w:line="360" w:lineRule="auto"/>
              <w:jc w:val="left"/>
              <w:rPr>
                <w:rFonts w:eastAsia="仿宋"/>
                <w:kern w:val="0"/>
                <w:szCs w:val="21"/>
                <w:u w:val="single"/>
              </w:rPr>
            </w:pPr>
          </w:p>
        </w:tc>
        <w:tc>
          <w:tcPr>
            <w:tcW w:w="1548" w:type="dxa"/>
          </w:tcPr>
          <w:p w14:paraId="0AEFC945">
            <w:pPr>
              <w:autoSpaceDE w:val="0"/>
              <w:autoSpaceDN w:val="0"/>
              <w:adjustRightInd w:val="0"/>
              <w:snapToGrid w:val="0"/>
              <w:spacing w:line="360" w:lineRule="auto"/>
              <w:jc w:val="left"/>
              <w:rPr>
                <w:rFonts w:eastAsia="仿宋"/>
                <w:kern w:val="0"/>
                <w:szCs w:val="21"/>
                <w:u w:val="single"/>
              </w:rPr>
            </w:pPr>
          </w:p>
        </w:tc>
        <w:tc>
          <w:tcPr>
            <w:tcW w:w="1548" w:type="dxa"/>
          </w:tcPr>
          <w:p w14:paraId="2C0905A7">
            <w:pPr>
              <w:autoSpaceDE w:val="0"/>
              <w:autoSpaceDN w:val="0"/>
              <w:adjustRightInd w:val="0"/>
              <w:snapToGrid w:val="0"/>
              <w:spacing w:line="360" w:lineRule="auto"/>
              <w:jc w:val="left"/>
              <w:rPr>
                <w:rFonts w:eastAsia="仿宋"/>
                <w:kern w:val="0"/>
                <w:szCs w:val="21"/>
                <w:u w:val="single"/>
              </w:rPr>
            </w:pPr>
          </w:p>
        </w:tc>
      </w:tr>
      <w:tr w14:paraId="39AD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CD1C672">
            <w:pPr>
              <w:autoSpaceDE w:val="0"/>
              <w:autoSpaceDN w:val="0"/>
              <w:adjustRightInd w:val="0"/>
              <w:snapToGrid w:val="0"/>
              <w:spacing w:line="360" w:lineRule="auto"/>
              <w:jc w:val="left"/>
              <w:rPr>
                <w:rFonts w:eastAsia="仿宋"/>
                <w:kern w:val="0"/>
                <w:szCs w:val="21"/>
                <w:u w:val="single"/>
              </w:rPr>
            </w:pPr>
          </w:p>
        </w:tc>
        <w:tc>
          <w:tcPr>
            <w:tcW w:w="1548" w:type="dxa"/>
          </w:tcPr>
          <w:p w14:paraId="66B6C69F">
            <w:pPr>
              <w:autoSpaceDE w:val="0"/>
              <w:autoSpaceDN w:val="0"/>
              <w:adjustRightInd w:val="0"/>
              <w:snapToGrid w:val="0"/>
              <w:spacing w:line="360" w:lineRule="auto"/>
              <w:jc w:val="left"/>
              <w:rPr>
                <w:rFonts w:eastAsia="仿宋"/>
                <w:kern w:val="0"/>
                <w:szCs w:val="21"/>
                <w:u w:val="single"/>
              </w:rPr>
            </w:pPr>
          </w:p>
        </w:tc>
        <w:tc>
          <w:tcPr>
            <w:tcW w:w="1548" w:type="dxa"/>
          </w:tcPr>
          <w:p w14:paraId="0CEEBF58">
            <w:pPr>
              <w:autoSpaceDE w:val="0"/>
              <w:autoSpaceDN w:val="0"/>
              <w:adjustRightInd w:val="0"/>
              <w:snapToGrid w:val="0"/>
              <w:spacing w:line="360" w:lineRule="auto"/>
              <w:jc w:val="left"/>
              <w:rPr>
                <w:rFonts w:eastAsia="仿宋"/>
                <w:kern w:val="0"/>
                <w:szCs w:val="21"/>
                <w:u w:val="single"/>
              </w:rPr>
            </w:pPr>
          </w:p>
        </w:tc>
        <w:tc>
          <w:tcPr>
            <w:tcW w:w="1548" w:type="dxa"/>
          </w:tcPr>
          <w:p w14:paraId="3E2F56EE">
            <w:pPr>
              <w:autoSpaceDE w:val="0"/>
              <w:autoSpaceDN w:val="0"/>
              <w:adjustRightInd w:val="0"/>
              <w:snapToGrid w:val="0"/>
              <w:spacing w:line="360" w:lineRule="auto"/>
              <w:jc w:val="left"/>
              <w:rPr>
                <w:rFonts w:eastAsia="仿宋"/>
                <w:kern w:val="0"/>
                <w:szCs w:val="21"/>
                <w:u w:val="single"/>
              </w:rPr>
            </w:pPr>
          </w:p>
        </w:tc>
        <w:tc>
          <w:tcPr>
            <w:tcW w:w="1548" w:type="dxa"/>
          </w:tcPr>
          <w:p w14:paraId="3926B8A3">
            <w:pPr>
              <w:autoSpaceDE w:val="0"/>
              <w:autoSpaceDN w:val="0"/>
              <w:adjustRightInd w:val="0"/>
              <w:snapToGrid w:val="0"/>
              <w:spacing w:line="360" w:lineRule="auto"/>
              <w:jc w:val="left"/>
              <w:rPr>
                <w:rFonts w:eastAsia="仿宋"/>
                <w:kern w:val="0"/>
                <w:szCs w:val="21"/>
                <w:u w:val="single"/>
              </w:rPr>
            </w:pPr>
          </w:p>
        </w:tc>
        <w:tc>
          <w:tcPr>
            <w:tcW w:w="1548" w:type="dxa"/>
          </w:tcPr>
          <w:p w14:paraId="1D860654">
            <w:pPr>
              <w:autoSpaceDE w:val="0"/>
              <w:autoSpaceDN w:val="0"/>
              <w:adjustRightInd w:val="0"/>
              <w:snapToGrid w:val="0"/>
              <w:spacing w:line="360" w:lineRule="auto"/>
              <w:jc w:val="left"/>
              <w:rPr>
                <w:rFonts w:eastAsia="仿宋"/>
                <w:kern w:val="0"/>
                <w:szCs w:val="21"/>
                <w:u w:val="single"/>
              </w:rPr>
            </w:pPr>
          </w:p>
        </w:tc>
      </w:tr>
      <w:tr w14:paraId="3FB5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3BDC4F2">
            <w:pPr>
              <w:autoSpaceDE w:val="0"/>
              <w:autoSpaceDN w:val="0"/>
              <w:adjustRightInd w:val="0"/>
              <w:snapToGrid w:val="0"/>
              <w:spacing w:line="360" w:lineRule="auto"/>
              <w:jc w:val="left"/>
              <w:rPr>
                <w:rFonts w:eastAsia="仿宋"/>
                <w:kern w:val="0"/>
                <w:szCs w:val="21"/>
                <w:u w:val="single"/>
              </w:rPr>
            </w:pPr>
          </w:p>
        </w:tc>
        <w:tc>
          <w:tcPr>
            <w:tcW w:w="1548" w:type="dxa"/>
          </w:tcPr>
          <w:p w14:paraId="323963F6">
            <w:pPr>
              <w:autoSpaceDE w:val="0"/>
              <w:autoSpaceDN w:val="0"/>
              <w:adjustRightInd w:val="0"/>
              <w:snapToGrid w:val="0"/>
              <w:spacing w:line="360" w:lineRule="auto"/>
              <w:jc w:val="left"/>
              <w:rPr>
                <w:rFonts w:eastAsia="仿宋"/>
                <w:kern w:val="0"/>
                <w:szCs w:val="21"/>
                <w:u w:val="single"/>
              </w:rPr>
            </w:pPr>
          </w:p>
        </w:tc>
        <w:tc>
          <w:tcPr>
            <w:tcW w:w="1548" w:type="dxa"/>
          </w:tcPr>
          <w:p w14:paraId="5EBCAB5B">
            <w:pPr>
              <w:autoSpaceDE w:val="0"/>
              <w:autoSpaceDN w:val="0"/>
              <w:adjustRightInd w:val="0"/>
              <w:snapToGrid w:val="0"/>
              <w:spacing w:line="360" w:lineRule="auto"/>
              <w:jc w:val="left"/>
              <w:rPr>
                <w:rFonts w:eastAsia="仿宋"/>
                <w:kern w:val="0"/>
                <w:szCs w:val="21"/>
                <w:u w:val="single"/>
              </w:rPr>
            </w:pPr>
          </w:p>
        </w:tc>
        <w:tc>
          <w:tcPr>
            <w:tcW w:w="1548" w:type="dxa"/>
          </w:tcPr>
          <w:p w14:paraId="0706BDD8">
            <w:pPr>
              <w:autoSpaceDE w:val="0"/>
              <w:autoSpaceDN w:val="0"/>
              <w:adjustRightInd w:val="0"/>
              <w:snapToGrid w:val="0"/>
              <w:spacing w:line="360" w:lineRule="auto"/>
              <w:jc w:val="left"/>
              <w:rPr>
                <w:rFonts w:eastAsia="仿宋"/>
                <w:kern w:val="0"/>
                <w:szCs w:val="21"/>
                <w:u w:val="single"/>
              </w:rPr>
            </w:pPr>
          </w:p>
        </w:tc>
        <w:tc>
          <w:tcPr>
            <w:tcW w:w="1548" w:type="dxa"/>
          </w:tcPr>
          <w:p w14:paraId="28ADBDA5">
            <w:pPr>
              <w:autoSpaceDE w:val="0"/>
              <w:autoSpaceDN w:val="0"/>
              <w:adjustRightInd w:val="0"/>
              <w:snapToGrid w:val="0"/>
              <w:spacing w:line="360" w:lineRule="auto"/>
              <w:jc w:val="left"/>
              <w:rPr>
                <w:rFonts w:eastAsia="仿宋"/>
                <w:kern w:val="0"/>
                <w:szCs w:val="21"/>
                <w:u w:val="single"/>
              </w:rPr>
            </w:pPr>
          </w:p>
        </w:tc>
        <w:tc>
          <w:tcPr>
            <w:tcW w:w="1548" w:type="dxa"/>
          </w:tcPr>
          <w:p w14:paraId="2C5122EF">
            <w:pPr>
              <w:autoSpaceDE w:val="0"/>
              <w:autoSpaceDN w:val="0"/>
              <w:adjustRightInd w:val="0"/>
              <w:snapToGrid w:val="0"/>
              <w:spacing w:line="360" w:lineRule="auto"/>
              <w:jc w:val="left"/>
              <w:rPr>
                <w:rFonts w:eastAsia="仿宋"/>
                <w:kern w:val="0"/>
                <w:szCs w:val="21"/>
                <w:u w:val="single"/>
              </w:rPr>
            </w:pPr>
          </w:p>
        </w:tc>
      </w:tr>
      <w:tr w14:paraId="5CC1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3FD039A0">
            <w:pPr>
              <w:autoSpaceDE w:val="0"/>
              <w:autoSpaceDN w:val="0"/>
              <w:adjustRightInd w:val="0"/>
              <w:snapToGrid w:val="0"/>
              <w:spacing w:line="360" w:lineRule="auto"/>
              <w:jc w:val="left"/>
              <w:rPr>
                <w:rFonts w:eastAsia="仿宋"/>
                <w:kern w:val="0"/>
                <w:szCs w:val="21"/>
                <w:u w:val="single"/>
              </w:rPr>
            </w:pPr>
          </w:p>
        </w:tc>
        <w:tc>
          <w:tcPr>
            <w:tcW w:w="1548" w:type="dxa"/>
          </w:tcPr>
          <w:p w14:paraId="323F958E">
            <w:pPr>
              <w:autoSpaceDE w:val="0"/>
              <w:autoSpaceDN w:val="0"/>
              <w:adjustRightInd w:val="0"/>
              <w:snapToGrid w:val="0"/>
              <w:spacing w:line="360" w:lineRule="auto"/>
              <w:jc w:val="left"/>
              <w:rPr>
                <w:rFonts w:eastAsia="仿宋"/>
                <w:kern w:val="0"/>
                <w:szCs w:val="21"/>
                <w:u w:val="single"/>
              </w:rPr>
            </w:pPr>
          </w:p>
        </w:tc>
        <w:tc>
          <w:tcPr>
            <w:tcW w:w="1548" w:type="dxa"/>
          </w:tcPr>
          <w:p w14:paraId="4C5927AD">
            <w:pPr>
              <w:autoSpaceDE w:val="0"/>
              <w:autoSpaceDN w:val="0"/>
              <w:adjustRightInd w:val="0"/>
              <w:snapToGrid w:val="0"/>
              <w:spacing w:line="360" w:lineRule="auto"/>
              <w:jc w:val="left"/>
              <w:rPr>
                <w:rFonts w:eastAsia="仿宋"/>
                <w:kern w:val="0"/>
                <w:szCs w:val="21"/>
                <w:u w:val="single"/>
              </w:rPr>
            </w:pPr>
          </w:p>
        </w:tc>
        <w:tc>
          <w:tcPr>
            <w:tcW w:w="1548" w:type="dxa"/>
          </w:tcPr>
          <w:p w14:paraId="1353EF71">
            <w:pPr>
              <w:autoSpaceDE w:val="0"/>
              <w:autoSpaceDN w:val="0"/>
              <w:adjustRightInd w:val="0"/>
              <w:snapToGrid w:val="0"/>
              <w:spacing w:line="360" w:lineRule="auto"/>
              <w:jc w:val="left"/>
              <w:rPr>
                <w:rFonts w:eastAsia="仿宋"/>
                <w:kern w:val="0"/>
                <w:szCs w:val="21"/>
                <w:u w:val="single"/>
              </w:rPr>
            </w:pPr>
          </w:p>
        </w:tc>
        <w:tc>
          <w:tcPr>
            <w:tcW w:w="1548" w:type="dxa"/>
          </w:tcPr>
          <w:p w14:paraId="1615827E">
            <w:pPr>
              <w:autoSpaceDE w:val="0"/>
              <w:autoSpaceDN w:val="0"/>
              <w:adjustRightInd w:val="0"/>
              <w:snapToGrid w:val="0"/>
              <w:spacing w:line="360" w:lineRule="auto"/>
              <w:jc w:val="left"/>
              <w:rPr>
                <w:rFonts w:eastAsia="仿宋"/>
                <w:kern w:val="0"/>
                <w:szCs w:val="21"/>
                <w:u w:val="single"/>
              </w:rPr>
            </w:pPr>
          </w:p>
        </w:tc>
        <w:tc>
          <w:tcPr>
            <w:tcW w:w="1548" w:type="dxa"/>
          </w:tcPr>
          <w:p w14:paraId="523BD757">
            <w:pPr>
              <w:autoSpaceDE w:val="0"/>
              <w:autoSpaceDN w:val="0"/>
              <w:adjustRightInd w:val="0"/>
              <w:snapToGrid w:val="0"/>
              <w:spacing w:line="360" w:lineRule="auto"/>
              <w:jc w:val="left"/>
              <w:rPr>
                <w:rFonts w:eastAsia="仿宋"/>
                <w:kern w:val="0"/>
                <w:szCs w:val="21"/>
                <w:u w:val="single"/>
              </w:rPr>
            </w:pPr>
          </w:p>
        </w:tc>
      </w:tr>
      <w:tr w14:paraId="30F7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75413250">
            <w:pPr>
              <w:autoSpaceDE w:val="0"/>
              <w:autoSpaceDN w:val="0"/>
              <w:adjustRightInd w:val="0"/>
              <w:snapToGrid w:val="0"/>
              <w:spacing w:line="360" w:lineRule="auto"/>
              <w:jc w:val="left"/>
              <w:rPr>
                <w:rFonts w:eastAsia="仿宋"/>
                <w:kern w:val="0"/>
                <w:szCs w:val="21"/>
                <w:u w:val="single"/>
              </w:rPr>
            </w:pPr>
          </w:p>
        </w:tc>
        <w:tc>
          <w:tcPr>
            <w:tcW w:w="1548" w:type="dxa"/>
          </w:tcPr>
          <w:p w14:paraId="61341DBF">
            <w:pPr>
              <w:autoSpaceDE w:val="0"/>
              <w:autoSpaceDN w:val="0"/>
              <w:adjustRightInd w:val="0"/>
              <w:snapToGrid w:val="0"/>
              <w:spacing w:line="360" w:lineRule="auto"/>
              <w:jc w:val="left"/>
              <w:rPr>
                <w:rFonts w:eastAsia="仿宋"/>
                <w:kern w:val="0"/>
                <w:szCs w:val="21"/>
                <w:u w:val="single"/>
              </w:rPr>
            </w:pPr>
          </w:p>
        </w:tc>
        <w:tc>
          <w:tcPr>
            <w:tcW w:w="1548" w:type="dxa"/>
          </w:tcPr>
          <w:p w14:paraId="27661DCD">
            <w:pPr>
              <w:autoSpaceDE w:val="0"/>
              <w:autoSpaceDN w:val="0"/>
              <w:adjustRightInd w:val="0"/>
              <w:snapToGrid w:val="0"/>
              <w:spacing w:line="360" w:lineRule="auto"/>
              <w:jc w:val="left"/>
              <w:rPr>
                <w:rFonts w:eastAsia="仿宋"/>
                <w:kern w:val="0"/>
                <w:szCs w:val="21"/>
                <w:u w:val="single"/>
              </w:rPr>
            </w:pPr>
          </w:p>
        </w:tc>
        <w:tc>
          <w:tcPr>
            <w:tcW w:w="1548" w:type="dxa"/>
          </w:tcPr>
          <w:p w14:paraId="13920D27">
            <w:pPr>
              <w:autoSpaceDE w:val="0"/>
              <w:autoSpaceDN w:val="0"/>
              <w:adjustRightInd w:val="0"/>
              <w:snapToGrid w:val="0"/>
              <w:spacing w:line="360" w:lineRule="auto"/>
              <w:jc w:val="left"/>
              <w:rPr>
                <w:rFonts w:eastAsia="仿宋"/>
                <w:kern w:val="0"/>
                <w:szCs w:val="21"/>
                <w:u w:val="single"/>
              </w:rPr>
            </w:pPr>
          </w:p>
        </w:tc>
        <w:tc>
          <w:tcPr>
            <w:tcW w:w="1548" w:type="dxa"/>
          </w:tcPr>
          <w:p w14:paraId="650F562D">
            <w:pPr>
              <w:autoSpaceDE w:val="0"/>
              <w:autoSpaceDN w:val="0"/>
              <w:adjustRightInd w:val="0"/>
              <w:snapToGrid w:val="0"/>
              <w:spacing w:line="360" w:lineRule="auto"/>
              <w:jc w:val="left"/>
              <w:rPr>
                <w:rFonts w:eastAsia="仿宋"/>
                <w:kern w:val="0"/>
                <w:szCs w:val="21"/>
                <w:u w:val="single"/>
              </w:rPr>
            </w:pPr>
          </w:p>
        </w:tc>
        <w:tc>
          <w:tcPr>
            <w:tcW w:w="1548" w:type="dxa"/>
          </w:tcPr>
          <w:p w14:paraId="1869E15B">
            <w:pPr>
              <w:autoSpaceDE w:val="0"/>
              <w:autoSpaceDN w:val="0"/>
              <w:adjustRightInd w:val="0"/>
              <w:snapToGrid w:val="0"/>
              <w:spacing w:line="360" w:lineRule="auto"/>
              <w:jc w:val="left"/>
              <w:rPr>
                <w:rFonts w:eastAsia="仿宋"/>
                <w:kern w:val="0"/>
                <w:szCs w:val="21"/>
                <w:u w:val="single"/>
              </w:rPr>
            </w:pPr>
          </w:p>
        </w:tc>
      </w:tr>
      <w:tr w14:paraId="0A14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10DACA46">
            <w:pPr>
              <w:autoSpaceDE w:val="0"/>
              <w:autoSpaceDN w:val="0"/>
              <w:adjustRightInd w:val="0"/>
              <w:snapToGrid w:val="0"/>
              <w:spacing w:line="360" w:lineRule="auto"/>
              <w:jc w:val="left"/>
              <w:rPr>
                <w:rFonts w:eastAsia="仿宋"/>
                <w:kern w:val="0"/>
                <w:szCs w:val="21"/>
                <w:u w:val="single"/>
              </w:rPr>
            </w:pPr>
            <w:r>
              <w:rPr>
                <w:rFonts w:eastAsia="仿宋"/>
                <w:kern w:val="0"/>
                <w:szCs w:val="21"/>
                <w:u w:val="single"/>
              </w:rPr>
              <w:t>…</w:t>
            </w:r>
          </w:p>
        </w:tc>
        <w:tc>
          <w:tcPr>
            <w:tcW w:w="1548" w:type="dxa"/>
          </w:tcPr>
          <w:p w14:paraId="348E98C0">
            <w:pPr>
              <w:autoSpaceDE w:val="0"/>
              <w:autoSpaceDN w:val="0"/>
              <w:adjustRightInd w:val="0"/>
              <w:snapToGrid w:val="0"/>
              <w:spacing w:line="360" w:lineRule="auto"/>
              <w:jc w:val="left"/>
              <w:rPr>
                <w:rFonts w:eastAsia="仿宋"/>
                <w:kern w:val="0"/>
                <w:szCs w:val="21"/>
                <w:u w:val="single"/>
              </w:rPr>
            </w:pPr>
          </w:p>
        </w:tc>
        <w:tc>
          <w:tcPr>
            <w:tcW w:w="1548" w:type="dxa"/>
          </w:tcPr>
          <w:p w14:paraId="5D86D5DD">
            <w:pPr>
              <w:autoSpaceDE w:val="0"/>
              <w:autoSpaceDN w:val="0"/>
              <w:adjustRightInd w:val="0"/>
              <w:snapToGrid w:val="0"/>
              <w:spacing w:line="360" w:lineRule="auto"/>
              <w:jc w:val="left"/>
              <w:rPr>
                <w:rFonts w:eastAsia="仿宋"/>
                <w:kern w:val="0"/>
                <w:szCs w:val="21"/>
                <w:u w:val="single"/>
              </w:rPr>
            </w:pPr>
            <w:r>
              <w:rPr>
                <w:rFonts w:eastAsia="仿宋"/>
                <w:kern w:val="0"/>
                <w:szCs w:val="21"/>
                <w:u w:val="single"/>
              </w:rPr>
              <w:t>…</w:t>
            </w:r>
          </w:p>
        </w:tc>
        <w:tc>
          <w:tcPr>
            <w:tcW w:w="1548" w:type="dxa"/>
          </w:tcPr>
          <w:p w14:paraId="18C77081">
            <w:pPr>
              <w:autoSpaceDE w:val="0"/>
              <w:autoSpaceDN w:val="0"/>
              <w:adjustRightInd w:val="0"/>
              <w:snapToGrid w:val="0"/>
              <w:spacing w:line="360" w:lineRule="auto"/>
              <w:jc w:val="left"/>
              <w:rPr>
                <w:rFonts w:eastAsia="仿宋"/>
                <w:kern w:val="0"/>
                <w:szCs w:val="21"/>
                <w:u w:val="single"/>
              </w:rPr>
            </w:pPr>
            <w:r>
              <w:rPr>
                <w:rFonts w:eastAsia="仿宋"/>
                <w:kern w:val="0"/>
                <w:szCs w:val="21"/>
                <w:u w:val="single"/>
              </w:rPr>
              <w:t>…</w:t>
            </w:r>
          </w:p>
        </w:tc>
        <w:tc>
          <w:tcPr>
            <w:tcW w:w="1548" w:type="dxa"/>
          </w:tcPr>
          <w:p w14:paraId="3633C9F3">
            <w:pPr>
              <w:autoSpaceDE w:val="0"/>
              <w:autoSpaceDN w:val="0"/>
              <w:adjustRightInd w:val="0"/>
              <w:snapToGrid w:val="0"/>
              <w:spacing w:line="360" w:lineRule="auto"/>
              <w:jc w:val="left"/>
              <w:rPr>
                <w:rFonts w:eastAsia="仿宋"/>
                <w:kern w:val="0"/>
                <w:szCs w:val="21"/>
                <w:u w:val="single"/>
              </w:rPr>
            </w:pPr>
            <w:r>
              <w:rPr>
                <w:rFonts w:eastAsia="仿宋"/>
                <w:kern w:val="0"/>
                <w:szCs w:val="21"/>
                <w:u w:val="single"/>
              </w:rPr>
              <w:t>…</w:t>
            </w:r>
          </w:p>
        </w:tc>
        <w:tc>
          <w:tcPr>
            <w:tcW w:w="1548" w:type="dxa"/>
          </w:tcPr>
          <w:p w14:paraId="7BD734E2">
            <w:pPr>
              <w:autoSpaceDE w:val="0"/>
              <w:autoSpaceDN w:val="0"/>
              <w:adjustRightInd w:val="0"/>
              <w:snapToGrid w:val="0"/>
              <w:spacing w:line="360" w:lineRule="auto"/>
              <w:jc w:val="left"/>
              <w:rPr>
                <w:rFonts w:eastAsia="仿宋"/>
                <w:kern w:val="0"/>
                <w:szCs w:val="21"/>
                <w:u w:val="single"/>
              </w:rPr>
            </w:pPr>
          </w:p>
        </w:tc>
      </w:tr>
    </w:tbl>
    <w:p w14:paraId="57F66CF3">
      <w:pPr>
        <w:autoSpaceDE w:val="0"/>
        <w:autoSpaceDN w:val="0"/>
        <w:adjustRightInd w:val="0"/>
        <w:snapToGrid w:val="0"/>
        <w:spacing w:line="360" w:lineRule="auto"/>
        <w:jc w:val="left"/>
        <w:rPr>
          <w:rFonts w:eastAsia="仿宋"/>
          <w:b/>
          <w:bCs/>
          <w:spacing w:val="-5"/>
          <w:sz w:val="24"/>
          <w:szCs w:val="24"/>
        </w:rPr>
      </w:pPr>
      <w:r>
        <w:rPr>
          <w:rFonts w:eastAsia="仿宋"/>
          <w:b/>
          <w:bCs/>
          <w:spacing w:val="-5"/>
          <w:sz w:val="24"/>
          <w:szCs w:val="24"/>
        </w:rPr>
        <w:t>注：需提供清晰的中标（成交）通知书或合同扫描件并加盖供应商公章，否则不予计算业绩。</w:t>
      </w:r>
    </w:p>
    <w:p w14:paraId="23BE8271">
      <w:pPr>
        <w:autoSpaceDE w:val="0"/>
        <w:autoSpaceDN w:val="0"/>
        <w:adjustRightInd w:val="0"/>
        <w:snapToGrid w:val="0"/>
        <w:spacing w:line="360" w:lineRule="auto"/>
        <w:ind w:firstLine="480" w:firstLineChars="200"/>
        <w:jc w:val="left"/>
        <w:rPr>
          <w:rFonts w:eastAsia="仿宋"/>
          <w:kern w:val="0"/>
          <w:sz w:val="24"/>
          <w:szCs w:val="24"/>
        </w:rPr>
      </w:pPr>
      <w:r>
        <w:rPr>
          <w:rFonts w:eastAsia="仿宋"/>
          <w:kern w:val="0"/>
          <w:sz w:val="24"/>
          <w:szCs w:val="24"/>
        </w:rPr>
        <w:t>我单位承诺以上填报内容真实。如不真实，将按照有关规定接受处理。</w:t>
      </w:r>
    </w:p>
    <w:p w14:paraId="5E9EEC8F">
      <w:pPr>
        <w:autoSpaceDE w:val="0"/>
        <w:autoSpaceDN w:val="0"/>
        <w:adjustRightInd w:val="0"/>
        <w:snapToGrid w:val="0"/>
        <w:spacing w:line="360" w:lineRule="auto"/>
        <w:jc w:val="left"/>
        <w:rPr>
          <w:rFonts w:eastAsia="仿宋"/>
          <w:kern w:val="0"/>
          <w:sz w:val="24"/>
          <w:szCs w:val="24"/>
        </w:rPr>
      </w:pPr>
      <w:r>
        <w:rPr>
          <w:rFonts w:eastAsia="仿宋"/>
          <w:kern w:val="0"/>
          <w:sz w:val="24"/>
          <w:szCs w:val="24"/>
        </w:rPr>
        <w:t>注：1.按采购人要求的内容及范围提供相关类型的业绩。</w:t>
      </w:r>
    </w:p>
    <w:p w14:paraId="11E61D0B">
      <w:pPr>
        <w:autoSpaceDE w:val="0"/>
        <w:autoSpaceDN w:val="0"/>
        <w:adjustRightInd w:val="0"/>
        <w:snapToGrid w:val="0"/>
        <w:spacing w:line="360" w:lineRule="auto"/>
        <w:ind w:firstLine="480" w:firstLineChars="200"/>
        <w:jc w:val="left"/>
        <w:rPr>
          <w:rFonts w:eastAsia="仿宋"/>
          <w:kern w:val="0"/>
          <w:sz w:val="24"/>
          <w:szCs w:val="24"/>
        </w:rPr>
      </w:pPr>
      <w:r>
        <w:rPr>
          <w:rFonts w:eastAsia="仿宋"/>
          <w:kern w:val="0"/>
          <w:sz w:val="24"/>
          <w:szCs w:val="24"/>
        </w:rPr>
        <w:t>2.本表后须附清晰可辨的、真实的合同或中标（成交）通知书相关的证明材料。如未附证明材料或工作内容模糊不清的，其业绩将不予认定。有效业绩的认定详见供应商须知前附表。</w:t>
      </w:r>
    </w:p>
    <w:p w14:paraId="43F4E279">
      <w:pPr>
        <w:autoSpaceDE w:val="0"/>
        <w:autoSpaceDN w:val="0"/>
        <w:adjustRightInd w:val="0"/>
        <w:snapToGrid w:val="0"/>
        <w:spacing w:line="360" w:lineRule="auto"/>
        <w:ind w:firstLine="480" w:firstLineChars="200"/>
        <w:jc w:val="left"/>
        <w:rPr>
          <w:rFonts w:eastAsia="仿宋"/>
          <w:kern w:val="0"/>
          <w:sz w:val="24"/>
          <w:szCs w:val="24"/>
        </w:rPr>
      </w:pPr>
      <w:r>
        <w:rPr>
          <w:rFonts w:eastAsia="仿宋"/>
          <w:kern w:val="0"/>
          <w:sz w:val="24"/>
          <w:szCs w:val="24"/>
        </w:rPr>
        <w:t>3.如近年来，供应商法人机构发生合法变更或重组或法人名称变更时，应提供相关部门的合法批件或其他相关证明材料来证明其所附业绩的继承性。</w:t>
      </w:r>
    </w:p>
    <w:p w14:paraId="24A10DA2">
      <w:pPr>
        <w:autoSpaceDE w:val="0"/>
        <w:autoSpaceDN w:val="0"/>
        <w:spacing w:line="491" w:lineRule="auto"/>
        <w:ind w:right="6111"/>
        <w:jc w:val="left"/>
        <w:rPr>
          <w:rFonts w:eastAsia="仿宋"/>
          <w:spacing w:val="-1"/>
          <w:kern w:val="0"/>
          <w:sz w:val="24"/>
        </w:rPr>
      </w:pPr>
      <w:r>
        <w:rPr>
          <w:rFonts w:eastAsia="仿宋"/>
          <w:b/>
          <w:sz w:val="28"/>
          <w:szCs w:val="28"/>
        </w:rPr>
        <w:br w:type="page"/>
      </w:r>
    </w:p>
    <w:p w14:paraId="5194B2E1">
      <w:pPr>
        <w:widowControl/>
        <w:numPr>
          <w:ilvl w:val="0"/>
          <w:numId w:val="7"/>
        </w:numPr>
        <w:spacing w:line="360" w:lineRule="auto"/>
        <w:jc w:val="center"/>
        <w:rPr>
          <w:rFonts w:eastAsia="仿宋"/>
          <w:b/>
          <w:bCs/>
          <w:kern w:val="0"/>
          <w:sz w:val="24"/>
          <w:szCs w:val="24"/>
        </w:rPr>
      </w:pPr>
      <w:r>
        <w:rPr>
          <w:rFonts w:eastAsia="仿宋"/>
          <w:b/>
          <w:bCs/>
          <w:kern w:val="0"/>
          <w:sz w:val="24"/>
          <w:szCs w:val="24"/>
        </w:rPr>
        <w:t>供应商认为需提供的其他资料</w:t>
      </w:r>
    </w:p>
    <w:p w14:paraId="509F2FF6">
      <w:pPr>
        <w:pStyle w:val="2"/>
      </w:pPr>
    </w:p>
    <w:p w14:paraId="05FFE27D">
      <w:pPr>
        <w:widowControl/>
        <w:spacing w:line="360" w:lineRule="auto"/>
        <w:jc w:val="center"/>
        <w:outlineLvl w:val="1"/>
        <w:rPr>
          <w:rFonts w:eastAsia="仿宋"/>
          <w:b/>
          <w:bCs/>
          <w:kern w:val="0"/>
          <w:sz w:val="28"/>
          <w:szCs w:val="28"/>
        </w:rPr>
      </w:pPr>
    </w:p>
    <w:p w14:paraId="44A07B06">
      <w:pPr>
        <w:widowControl/>
        <w:spacing w:line="360" w:lineRule="auto"/>
        <w:jc w:val="center"/>
        <w:outlineLvl w:val="1"/>
        <w:rPr>
          <w:rFonts w:eastAsia="仿宋"/>
          <w:b/>
          <w:bCs/>
          <w:kern w:val="0"/>
          <w:sz w:val="28"/>
          <w:szCs w:val="28"/>
        </w:rPr>
      </w:pPr>
    </w:p>
    <w:p w14:paraId="5B9C7610">
      <w:pPr>
        <w:widowControl/>
        <w:spacing w:line="360" w:lineRule="auto"/>
        <w:jc w:val="center"/>
        <w:outlineLvl w:val="1"/>
        <w:rPr>
          <w:rFonts w:eastAsia="仿宋"/>
          <w:b/>
          <w:bCs/>
          <w:kern w:val="0"/>
          <w:sz w:val="28"/>
          <w:szCs w:val="28"/>
        </w:rPr>
      </w:pPr>
    </w:p>
    <w:p w14:paraId="1C6A1856">
      <w:pPr>
        <w:widowControl/>
        <w:spacing w:line="360" w:lineRule="auto"/>
        <w:jc w:val="center"/>
        <w:outlineLvl w:val="1"/>
        <w:rPr>
          <w:rFonts w:eastAsia="仿宋"/>
          <w:b/>
          <w:bCs/>
          <w:kern w:val="0"/>
          <w:sz w:val="28"/>
          <w:szCs w:val="28"/>
        </w:rPr>
      </w:pPr>
    </w:p>
    <w:p w14:paraId="2D344A86">
      <w:pPr>
        <w:widowControl/>
        <w:spacing w:line="360" w:lineRule="auto"/>
        <w:jc w:val="center"/>
        <w:outlineLvl w:val="1"/>
        <w:rPr>
          <w:rFonts w:eastAsia="仿宋"/>
          <w:b/>
          <w:bCs/>
          <w:kern w:val="0"/>
          <w:sz w:val="28"/>
          <w:szCs w:val="28"/>
        </w:rPr>
      </w:pPr>
    </w:p>
    <w:p w14:paraId="4A1BC1C2">
      <w:pPr>
        <w:widowControl/>
        <w:spacing w:line="360" w:lineRule="auto"/>
        <w:jc w:val="center"/>
        <w:outlineLvl w:val="1"/>
        <w:rPr>
          <w:rFonts w:eastAsia="仿宋"/>
          <w:b/>
          <w:bCs/>
          <w:kern w:val="0"/>
          <w:sz w:val="28"/>
          <w:szCs w:val="28"/>
        </w:rPr>
      </w:pPr>
    </w:p>
    <w:p w14:paraId="25E50978">
      <w:pPr>
        <w:widowControl/>
        <w:spacing w:line="360" w:lineRule="auto"/>
        <w:jc w:val="center"/>
        <w:outlineLvl w:val="1"/>
        <w:rPr>
          <w:rFonts w:eastAsia="仿宋"/>
          <w:b/>
          <w:bCs/>
          <w:kern w:val="0"/>
          <w:sz w:val="28"/>
          <w:szCs w:val="28"/>
        </w:rPr>
      </w:pPr>
    </w:p>
    <w:p w14:paraId="5EA8F9D6">
      <w:pPr>
        <w:widowControl/>
        <w:spacing w:line="360" w:lineRule="auto"/>
        <w:jc w:val="center"/>
        <w:outlineLvl w:val="1"/>
        <w:rPr>
          <w:rFonts w:eastAsia="仿宋"/>
          <w:b/>
          <w:bCs/>
          <w:kern w:val="0"/>
          <w:sz w:val="28"/>
          <w:szCs w:val="28"/>
        </w:rPr>
      </w:pPr>
    </w:p>
    <w:p w14:paraId="13857E41">
      <w:pPr>
        <w:widowControl/>
        <w:spacing w:line="360" w:lineRule="auto"/>
        <w:jc w:val="center"/>
        <w:outlineLvl w:val="1"/>
        <w:rPr>
          <w:rFonts w:eastAsia="仿宋"/>
          <w:b/>
          <w:bCs/>
          <w:kern w:val="0"/>
          <w:sz w:val="28"/>
          <w:szCs w:val="28"/>
        </w:rPr>
      </w:pPr>
    </w:p>
    <w:p w14:paraId="03495297">
      <w:pPr>
        <w:widowControl/>
        <w:spacing w:line="360" w:lineRule="auto"/>
        <w:jc w:val="center"/>
        <w:outlineLvl w:val="1"/>
        <w:rPr>
          <w:rFonts w:eastAsia="仿宋"/>
          <w:b/>
          <w:bCs/>
          <w:kern w:val="0"/>
          <w:sz w:val="28"/>
          <w:szCs w:val="28"/>
        </w:rPr>
      </w:pPr>
    </w:p>
    <w:p w14:paraId="2EF22F91">
      <w:pPr>
        <w:widowControl/>
        <w:spacing w:line="360" w:lineRule="auto"/>
        <w:jc w:val="center"/>
        <w:outlineLvl w:val="1"/>
        <w:rPr>
          <w:rFonts w:eastAsia="仿宋"/>
          <w:b/>
          <w:bCs/>
          <w:kern w:val="0"/>
          <w:sz w:val="28"/>
          <w:szCs w:val="28"/>
        </w:rPr>
      </w:pPr>
    </w:p>
    <w:p w14:paraId="1C1796D0">
      <w:pPr>
        <w:widowControl/>
        <w:spacing w:line="360" w:lineRule="auto"/>
        <w:jc w:val="center"/>
        <w:outlineLvl w:val="1"/>
        <w:rPr>
          <w:rFonts w:eastAsia="仿宋"/>
          <w:b/>
          <w:bCs/>
          <w:kern w:val="0"/>
          <w:sz w:val="28"/>
          <w:szCs w:val="28"/>
        </w:rPr>
      </w:pPr>
    </w:p>
    <w:p w14:paraId="50015878">
      <w:pPr>
        <w:widowControl/>
        <w:spacing w:line="360" w:lineRule="auto"/>
        <w:jc w:val="center"/>
        <w:outlineLvl w:val="1"/>
        <w:rPr>
          <w:rFonts w:eastAsia="仿宋"/>
          <w:b/>
          <w:bCs/>
          <w:kern w:val="0"/>
          <w:sz w:val="28"/>
          <w:szCs w:val="28"/>
        </w:rPr>
      </w:pPr>
    </w:p>
    <w:p w14:paraId="5EABC231">
      <w:pPr>
        <w:widowControl/>
        <w:spacing w:line="360" w:lineRule="auto"/>
        <w:jc w:val="center"/>
        <w:outlineLvl w:val="1"/>
        <w:rPr>
          <w:rFonts w:eastAsia="仿宋"/>
          <w:b/>
          <w:bCs/>
          <w:kern w:val="0"/>
          <w:sz w:val="28"/>
          <w:szCs w:val="28"/>
        </w:rPr>
      </w:pPr>
    </w:p>
    <w:p w14:paraId="7E45C064">
      <w:pPr>
        <w:widowControl/>
        <w:spacing w:line="360" w:lineRule="auto"/>
        <w:jc w:val="center"/>
        <w:outlineLvl w:val="1"/>
        <w:rPr>
          <w:rFonts w:eastAsia="仿宋"/>
          <w:b/>
          <w:bCs/>
          <w:kern w:val="0"/>
          <w:sz w:val="28"/>
          <w:szCs w:val="28"/>
        </w:rPr>
      </w:pPr>
    </w:p>
    <w:p w14:paraId="54F2C06D">
      <w:pPr>
        <w:widowControl/>
        <w:spacing w:line="360" w:lineRule="auto"/>
        <w:jc w:val="center"/>
        <w:outlineLvl w:val="1"/>
        <w:rPr>
          <w:rFonts w:eastAsia="仿宋"/>
          <w:b/>
          <w:bCs/>
          <w:kern w:val="0"/>
          <w:sz w:val="28"/>
          <w:szCs w:val="28"/>
        </w:rPr>
      </w:pPr>
    </w:p>
    <w:p w14:paraId="7FCCF86D">
      <w:pPr>
        <w:widowControl/>
        <w:spacing w:line="360" w:lineRule="auto"/>
        <w:jc w:val="center"/>
        <w:outlineLvl w:val="1"/>
        <w:rPr>
          <w:rFonts w:eastAsia="仿宋"/>
          <w:b/>
          <w:bCs/>
          <w:kern w:val="0"/>
          <w:sz w:val="28"/>
          <w:szCs w:val="28"/>
        </w:rPr>
      </w:pPr>
    </w:p>
    <w:p w14:paraId="75635DD6">
      <w:pPr>
        <w:widowControl/>
        <w:spacing w:line="360" w:lineRule="auto"/>
        <w:jc w:val="center"/>
        <w:outlineLvl w:val="1"/>
        <w:rPr>
          <w:rFonts w:eastAsia="仿宋"/>
          <w:b/>
          <w:bCs/>
          <w:kern w:val="0"/>
          <w:sz w:val="28"/>
          <w:szCs w:val="28"/>
        </w:rPr>
      </w:pPr>
    </w:p>
    <w:p w14:paraId="0013DED8">
      <w:pPr>
        <w:widowControl/>
        <w:spacing w:line="360" w:lineRule="auto"/>
        <w:jc w:val="center"/>
        <w:outlineLvl w:val="1"/>
        <w:rPr>
          <w:rFonts w:eastAsia="仿宋"/>
          <w:b/>
          <w:bCs/>
          <w:kern w:val="0"/>
          <w:sz w:val="28"/>
          <w:szCs w:val="28"/>
        </w:rPr>
      </w:pPr>
    </w:p>
    <w:p w14:paraId="1558C0F0">
      <w:pPr>
        <w:widowControl/>
        <w:spacing w:line="360" w:lineRule="auto"/>
        <w:jc w:val="center"/>
        <w:outlineLvl w:val="1"/>
        <w:rPr>
          <w:rFonts w:eastAsia="仿宋"/>
          <w:b/>
          <w:bCs/>
          <w:kern w:val="0"/>
          <w:sz w:val="28"/>
          <w:szCs w:val="28"/>
        </w:rPr>
      </w:pPr>
    </w:p>
    <w:p w14:paraId="08EE8112">
      <w:pPr>
        <w:widowControl/>
        <w:spacing w:line="360" w:lineRule="auto"/>
        <w:jc w:val="center"/>
        <w:outlineLvl w:val="1"/>
        <w:rPr>
          <w:rFonts w:eastAsia="仿宋"/>
          <w:b/>
          <w:bCs/>
          <w:kern w:val="0"/>
          <w:sz w:val="28"/>
          <w:szCs w:val="28"/>
        </w:rPr>
      </w:pPr>
    </w:p>
    <w:p w14:paraId="40DA546B">
      <w:pPr>
        <w:widowControl/>
        <w:spacing w:line="360" w:lineRule="auto"/>
        <w:jc w:val="center"/>
        <w:outlineLvl w:val="1"/>
        <w:rPr>
          <w:rFonts w:eastAsia="仿宋"/>
          <w:b/>
          <w:bCs/>
          <w:kern w:val="0"/>
          <w:sz w:val="28"/>
          <w:szCs w:val="28"/>
        </w:rPr>
      </w:pPr>
    </w:p>
    <w:p w14:paraId="12E55C18">
      <w:pPr>
        <w:widowControl/>
        <w:spacing w:line="360" w:lineRule="auto"/>
        <w:jc w:val="center"/>
        <w:outlineLvl w:val="1"/>
        <w:rPr>
          <w:rFonts w:eastAsia="仿宋"/>
          <w:b/>
          <w:bCs/>
          <w:kern w:val="0"/>
          <w:sz w:val="28"/>
          <w:szCs w:val="28"/>
        </w:rPr>
        <w:sectPr>
          <w:headerReference r:id="rId12" w:type="default"/>
          <w:footerReference r:id="rId13" w:type="default"/>
          <w:pgSz w:w="11911" w:h="16838"/>
          <w:pgMar w:top="1440" w:right="1140" w:bottom="1440" w:left="1140" w:header="850" w:footer="1088" w:gutter="0"/>
          <w:cols w:space="0" w:num="1"/>
        </w:sectPr>
      </w:pPr>
    </w:p>
    <w:p w14:paraId="040AB01B">
      <w:pPr>
        <w:widowControl/>
        <w:spacing w:line="360" w:lineRule="auto"/>
        <w:jc w:val="center"/>
        <w:outlineLvl w:val="1"/>
        <w:rPr>
          <w:rFonts w:eastAsia="仿宋"/>
          <w:b/>
          <w:bCs/>
          <w:kern w:val="0"/>
          <w:sz w:val="28"/>
          <w:szCs w:val="28"/>
        </w:rPr>
      </w:pPr>
      <w:r>
        <w:rPr>
          <w:rFonts w:eastAsia="仿宋"/>
          <w:b/>
          <w:bCs/>
          <w:kern w:val="0"/>
          <w:sz w:val="28"/>
          <w:szCs w:val="28"/>
        </w:rPr>
        <w:t>二、技术部分</w:t>
      </w:r>
    </w:p>
    <w:p w14:paraId="2912B5CE">
      <w:pPr>
        <w:adjustRightInd w:val="0"/>
        <w:snapToGrid w:val="0"/>
        <w:spacing w:line="360" w:lineRule="auto"/>
        <w:ind w:firstLine="964" w:firstLineChars="400"/>
        <w:rPr>
          <w:rFonts w:eastAsia="仿宋"/>
          <w:b/>
          <w:bCs/>
          <w:sz w:val="24"/>
          <w:szCs w:val="24"/>
        </w:rPr>
      </w:pPr>
      <w:r>
        <w:rPr>
          <w:rFonts w:eastAsia="仿宋"/>
          <w:b/>
          <w:bCs/>
          <w:sz w:val="24"/>
          <w:szCs w:val="24"/>
        </w:rPr>
        <w:t>1、技术响应与偏离表</w:t>
      </w:r>
    </w:p>
    <w:p w14:paraId="4DD569F1">
      <w:pPr>
        <w:adjustRightInd w:val="0"/>
        <w:snapToGrid w:val="0"/>
        <w:spacing w:line="360" w:lineRule="auto"/>
        <w:ind w:firstLine="964" w:firstLineChars="400"/>
        <w:rPr>
          <w:rFonts w:eastAsia="仿宋"/>
          <w:b/>
          <w:bCs/>
          <w:w w:val="95"/>
          <w:kern w:val="0"/>
          <w:sz w:val="24"/>
          <w:szCs w:val="24"/>
        </w:rPr>
        <w:sectPr>
          <w:pgSz w:w="11911" w:h="16838"/>
          <w:pgMar w:top="1440" w:right="1140" w:bottom="1440" w:left="1140" w:header="850" w:footer="1088" w:gutter="0"/>
          <w:cols w:space="0" w:num="1"/>
        </w:sectPr>
      </w:pPr>
      <w:r>
        <w:rPr>
          <w:rFonts w:eastAsia="仿宋"/>
          <w:b/>
          <w:bCs/>
          <w:sz w:val="24"/>
          <w:szCs w:val="24"/>
        </w:rPr>
        <w:t>2、供应商认为有必要提供的声明及其他资料</w:t>
      </w:r>
    </w:p>
    <w:p w14:paraId="0F4E0EAE">
      <w:pPr>
        <w:adjustRightInd w:val="0"/>
        <w:snapToGrid w:val="0"/>
        <w:spacing w:line="360" w:lineRule="auto"/>
        <w:rPr>
          <w:rFonts w:eastAsia="仿宋"/>
          <w:b/>
          <w:bCs/>
          <w:sz w:val="28"/>
          <w:szCs w:val="28"/>
        </w:rPr>
      </w:pPr>
      <w:r>
        <w:rPr>
          <w:rFonts w:eastAsia="仿宋"/>
          <w:b/>
          <w:bCs/>
          <w:sz w:val="28"/>
          <w:szCs w:val="28"/>
        </w:rPr>
        <w:t>1、技术响应与偏离表</w:t>
      </w:r>
    </w:p>
    <w:p w14:paraId="4095F1AB">
      <w:pPr>
        <w:autoSpaceDE w:val="0"/>
        <w:autoSpaceDN w:val="0"/>
        <w:jc w:val="left"/>
        <w:rPr>
          <w:rFonts w:eastAsia="仿宋"/>
          <w:b/>
          <w:kern w:val="0"/>
          <w:sz w:val="20"/>
        </w:rPr>
      </w:pPr>
    </w:p>
    <w:p w14:paraId="5364F966">
      <w:pPr>
        <w:spacing w:line="360" w:lineRule="atLeast"/>
        <w:ind w:firstLine="723"/>
        <w:jc w:val="center"/>
        <w:rPr>
          <w:rFonts w:eastAsia="仿宋"/>
          <w:color w:val="000000"/>
          <w:sz w:val="28"/>
          <w:szCs w:val="16"/>
        </w:rPr>
      </w:pPr>
      <w:r>
        <w:rPr>
          <w:rFonts w:eastAsia="仿宋"/>
          <w:color w:val="000000"/>
          <w:sz w:val="28"/>
          <w:szCs w:val="16"/>
        </w:rPr>
        <w:t>技 术 条 款 偏 离 表</w:t>
      </w:r>
    </w:p>
    <w:p w14:paraId="63C09472">
      <w:pPr>
        <w:spacing w:line="360" w:lineRule="atLeast"/>
        <w:ind w:right="352"/>
        <w:jc w:val="left"/>
        <w:rPr>
          <w:rFonts w:eastAsia="仿宋"/>
          <w:color w:val="000000"/>
          <w:sz w:val="28"/>
        </w:rPr>
      </w:pPr>
      <w:r>
        <w:rPr>
          <w:rFonts w:eastAsia="仿宋"/>
          <w:color w:val="000000"/>
          <w:sz w:val="24"/>
          <w:szCs w:val="18"/>
        </w:rPr>
        <w:t xml:space="preserve">项目编号：    </w:t>
      </w:r>
      <w:r>
        <w:rPr>
          <w:rFonts w:eastAsia="仿宋"/>
          <w:kern w:val="0"/>
          <w:sz w:val="24"/>
          <w:szCs w:val="24"/>
        </w:rPr>
        <w:t>标项号：</w:t>
      </w:r>
      <w:r>
        <w:rPr>
          <w:rFonts w:eastAsia="仿宋"/>
          <w:color w:val="000000"/>
          <w:sz w:val="24"/>
          <w:szCs w:val="18"/>
        </w:rPr>
        <w:t xml:space="preserve"> </w:t>
      </w:r>
      <w:r>
        <w:rPr>
          <w:rFonts w:eastAsia="仿宋"/>
          <w:color w:val="000000"/>
          <w:sz w:val="28"/>
        </w:rPr>
        <w:t xml:space="preserve">                                             </w:t>
      </w:r>
    </w:p>
    <w:tbl>
      <w:tblPr>
        <w:tblStyle w:val="21"/>
        <w:tblW w:w="10473" w:type="dxa"/>
        <w:jc w:val="center"/>
        <w:tblLayout w:type="fixed"/>
        <w:tblCellMar>
          <w:top w:w="0" w:type="dxa"/>
          <w:left w:w="108" w:type="dxa"/>
          <w:bottom w:w="0" w:type="dxa"/>
          <w:right w:w="108" w:type="dxa"/>
        </w:tblCellMar>
      </w:tblPr>
      <w:tblGrid>
        <w:gridCol w:w="575"/>
        <w:gridCol w:w="3570"/>
        <w:gridCol w:w="2482"/>
        <w:gridCol w:w="2278"/>
        <w:gridCol w:w="1568"/>
      </w:tblGrid>
      <w:tr w14:paraId="3096B6B5">
        <w:tblPrEx>
          <w:tblCellMar>
            <w:top w:w="0" w:type="dxa"/>
            <w:left w:w="108" w:type="dxa"/>
            <w:bottom w:w="0" w:type="dxa"/>
            <w:right w:w="108" w:type="dxa"/>
          </w:tblCellMar>
        </w:tblPrEx>
        <w:trPr>
          <w:trHeight w:val="626" w:hRule="atLeast"/>
          <w:jc w:val="center"/>
        </w:trPr>
        <w:tc>
          <w:tcPr>
            <w:tcW w:w="575" w:type="dxa"/>
            <w:tcBorders>
              <w:top w:val="single" w:color="auto" w:sz="6" w:space="0"/>
              <w:left w:val="single" w:color="auto" w:sz="6" w:space="0"/>
              <w:bottom w:val="single" w:color="auto" w:sz="6" w:space="0"/>
              <w:right w:val="single" w:color="auto" w:sz="6" w:space="0"/>
            </w:tcBorders>
            <w:vAlign w:val="center"/>
          </w:tcPr>
          <w:p w14:paraId="6E0BC3CF">
            <w:pPr>
              <w:snapToGrid w:val="0"/>
              <w:spacing w:line="360" w:lineRule="auto"/>
              <w:jc w:val="center"/>
              <w:rPr>
                <w:rFonts w:eastAsia="仿宋"/>
                <w:szCs w:val="21"/>
              </w:rPr>
            </w:pPr>
            <w:r>
              <w:rPr>
                <w:rFonts w:eastAsia="仿宋"/>
                <w:szCs w:val="21"/>
              </w:rPr>
              <w:t>序号</w:t>
            </w:r>
          </w:p>
        </w:tc>
        <w:tc>
          <w:tcPr>
            <w:tcW w:w="3570" w:type="dxa"/>
            <w:tcBorders>
              <w:top w:val="single" w:color="auto" w:sz="6" w:space="0"/>
              <w:left w:val="single" w:color="auto" w:sz="6" w:space="0"/>
              <w:bottom w:val="single" w:color="auto" w:sz="6" w:space="0"/>
              <w:right w:val="single" w:color="auto" w:sz="6" w:space="0"/>
            </w:tcBorders>
            <w:vAlign w:val="center"/>
          </w:tcPr>
          <w:p w14:paraId="5463D9B4">
            <w:pPr>
              <w:snapToGrid w:val="0"/>
              <w:spacing w:line="360" w:lineRule="auto"/>
              <w:jc w:val="center"/>
              <w:rPr>
                <w:rFonts w:eastAsia="仿宋"/>
                <w:szCs w:val="21"/>
              </w:rPr>
            </w:pPr>
            <w:r>
              <w:rPr>
                <w:rFonts w:eastAsia="仿宋"/>
                <w:szCs w:val="21"/>
              </w:rPr>
              <w:t>技术条款</w:t>
            </w:r>
          </w:p>
        </w:tc>
        <w:tc>
          <w:tcPr>
            <w:tcW w:w="2482" w:type="dxa"/>
            <w:tcBorders>
              <w:top w:val="single" w:color="auto" w:sz="6" w:space="0"/>
              <w:left w:val="single" w:color="auto" w:sz="6" w:space="0"/>
              <w:bottom w:val="single" w:color="auto" w:sz="6" w:space="0"/>
              <w:right w:val="single" w:color="auto" w:sz="6" w:space="0"/>
            </w:tcBorders>
            <w:vAlign w:val="center"/>
          </w:tcPr>
          <w:p w14:paraId="15A3B1D3">
            <w:pPr>
              <w:snapToGrid w:val="0"/>
              <w:spacing w:line="360" w:lineRule="auto"/>
              <w:jc w:val="center"/>
              <w:rPr>
                <w:rFonts w:eastAsia="仿宋"/>
                <w:szCs w:val="21"/>
              </w:rPr>
            </w:pPr>
            <w:r>
              <w:rPr>
                <w:rFonts w:eastAsia="仿宋"/>
                <w:szCs w:val="21"/>
              </w:rPr>
              <w:t>响应条款</w:t>
            </w:r>
          </w:p>
        </w:tc>
        <w:tc>
          <w:tcPr>
            <w:tcW w:w="2278" w:type="dxa"/>
            <w:tcBorders>
              <w:top w:val="single" w:color="auto" w:sz="6" w:space="0"/>
              <w:left w:val="single" w:color="auto" w:sz="6" w:space="0"/>
              <w:bottom w:val="single" w:color="auto" w:sz="6" w:space="0"/>
              <w:right w:val="single" w:color="auto" w:sz="6" w:space="0"/>
            </w:tcBorders>
            <w:vAlign w:val="center"/>
          </w:tcPr>
          <w:p w14:paraId="43E9A08D">
            <w:pPr>
              <w:snapToGrid w:val="0"/>
              <w:spacing w:line="360" w:lineRule="auto"/>
              <w:jc w:val="center"/>
              <w:rPr>
                <w:rFonts w:eastAsia="仿宋"/>
                <w:szCs w:val="21"/>
              </w:rPr>
            </w:pPr>
            <w:r>
              <w:rPr>
                <w:rFonts w:eastAsia="仿宋"/>
                <w:szCs w:val="21"/>
              </w:rPr>
              <w:t>响应/偏离</w:t>
            </w:r>
          </w:p>
        </w:tc>
        <w:tc>
          <w:tcPr>
            <w:tcW w:w="1568" w:type="dxa"/>
            <w:tcBorders>
              <w:top w:val="single" w:color="auto" w:sz="6" w:space="0"/>
              <w:left w:val="single" w:color="auto" w:sz="6" w:space="0"/>
              <w:bottom w:val="single" w:color="auto" w:sz="6" w:space="0"/>
              <w:right w:val="single" w:color="auto" w:sz="6" w:space="0"/>
            </w:tcBorders>
            <w:vAlign w:val="center"/>
          </w:tcPr>
          <w:p w14:paraId="74C12433">
            <w:pPr>
              <w:snapToGrid w:val="0"/>
              <w:spacing w:line="360" w:lineRule="auto"/>
              <w:jc w:val="center"/>
              <w:rPr>
                <w:rFonts w:eastAsia="仿宋"/>
                <w:szCs w:val="21"/>
              </w:rPr>
            </w:pPr>
            <w:r>
              <w:rPr>
                <w:rFonts w:eastAsia="仿宋"/>
                <w:szCs w:val="21"/>
              </w:rPr>
              <w:t>相关证明材料对应页码</w:t>
            </w:r>
          </w:p>
        </w:tc>
      </w:tr>
      <w:tr w14:paraId="6299BE56">
        <w:tblPrEx>
          <w:tblCellMar>
            <w:top w:w="0" w:type="dxa"/>
            <w:left w:w="108" w:type="dxa"/>
            <w:bottom w:w="0" w:type="dxa"/>
            <w:right w:w="108" w:type="dxa"/>
          </w:tblCellMar>
        </w:tblPrEx>
        <w:trPr>
          <w:trHeight w:val="891" w:hRule="atLeast"/>
          <w:jc w:val="center"/>
        </w:trPr>
        <w:tc>
          <w:tcPr>
            <w:tcW w:w="575" w:type="dxa"/>
            <w:tcBorders>
              <w:top w:val="single" w:color="auto" w:sz="6" w:space="0"/>
              <w:left w:val="single" w:color="auto" w:sz="6" w:space="0"/>
              <w:bottom w:val="single" w:color="auto" w:sz="6" w:space="0"/>
              <w:right w:val="single" w:color="auto" w:sz="6" w:space="0"/>
            </w:tcBorders>
            <w:vAlign w:val="center"/>
          </w:tcPr>
          <w:p w14:paraId="20EC1319">
            <w:pPr>
              <w:snapToGrid w:val="0"/>
              <w:spacing w:line="360" w:lineRule="auto"/>
              <w:rPr>
                <w:rFonts w:eastAsia="仿宋"/>
                <w:szCs w:val="21"/>
              </w:rPr>
            </w:pPr>
            <w:r>
              <w:rPr>
                <w:rFonts w:eastAsia="仿宋"/>
                <w:szCs w:val="21"/>
              </w:rPr>
              <w:t>1</w:t>
            </w:r>
          </w:p>
        </w:tc>
        <w:tc>
          <w:tcPr>
            <w:tcW w:w="3570" w:type="dxa"/>
            <w:tcBorders>
              <w:top w:val="single" w:color="auto" w:sz="6" w:space="0"/>
              <w:left w:val="single" w:color="auto" w:sz="6" w:space="0"/>
              <w:bottom w:val="single" w:color="auto" w:sz="6" w:space="0"/>
              <w:right w:val="single" w:color="auto" w:sz="6" w:space="0"/>
            </w:tcBorders>
            <w:vAlign w:val="center"/>
          </w:tcPr>
          <w:p w14:paraId="1BA57BA7">
            <w:pPr>
              <w:snapToGrid w:val="0"/>
              <w:spacing w:line="360" w:lineRule="auto"/>
              <w:rPr>
                <w:rFonts w:eastAsia="仿宋"/>
                <w:color w:val="000000"/>
                <w:szCs w:val="21"/>
              </w:rPr>
            </w:pPr>
          </w:p>
        </w:tc>
        <w:tc>
          <w:tcPr>
            <w:tcW w:w="2482" w:type="dxa"/>
            <w:tcBorders>
              <w:top w:val="single" w:color="auto" w:sz="6" w:space="0"/>
              <w:left w:val="single" w:color="auto" w:sz="6" w:space="0"/>
              <w:bottom w:val="single" w:color="auto" w:sz="6" w:space="0"/>
              <w:right w:val="single" w:color="auto" w:sz="6" w:space="0"/>
            </w:tcBorders>
            <w:vAlign w:val="center"/>
          </w:tcPr>
          <w:p w14:paraId="368579C7">
            <w:pPr>
              <w:snapToGrid w:val="0"/>
              <w:spacing w:line="360" w:lineRule="auto"/>
              <w:ind w:firstLine="420"/>
              <w:rPr>
                <w:rFonts w:eastAsia="仿宋"/>
                <w:color w:val="000000"/>
                <w:szCs w:val="21"/>
              </w:rPr>
            </w:pPr>
          </w:p>
        </w:tc>
        <w:tc>
          <w:tcPr>
            <w:tcW w:w="2278" w:type="dxa"/>
            <w:tcBorders>
              <w:top w:val="single" w:color="auto" w:sz="6" w:space="0"/>
              <w:left w:val="single" w:color="auto" w:sz="6" w:space="0"/>
              <w:bottom w:val="single" w:color="auto" w:sz="6" w:space="0"/>
              <w:right w:val="single" w:color="auto" w:sz="6" w:space="0"/>
            </w:tcBorders>
            <w:vAlign w:val="center"/>
          </w:tcPr>
          <w:p w14:paraId="399DA567">
            <w:pPr>
              <w:snapToGrid w:val="0"/>
              <w:spacing w:line="360" w:lineRule="auto"/>
              <w:rPr>
                <w:rFonts w:eastAsia="仿宋"/>
                <w:color w:val="000000"/>
                <w:szCs w:val="21"/>
              </w:rPr>
            </w:pPr>
          </w:p>
        </w:tc>
        <w:tc>
          <w:tcPr>
            <w:tcW w:w="1568" w:type="dxa"/>
            <w:tcBorders>
              <w:top w:val="single" w:color="auto" w:sz="6" w:space="0"/>
              <w:left w:val="single" w:color="auto" w:sz="6" w:space="0"/>
              <w:bottom w:val="single" w:color="auto" w:sz="6" w:space="0"/>
              <w:right w:val="single" w:color="auto" w:sz="6" w:space="0"/>
            </w:tcBorders>
            <w:vAlign w:val="center"/>
          </w:tcPr>
          <w:p w14:paraId="6FDF3FA6">
            <w:pPr>
              <w:snapToGrid w:val="0"/>
              <w:spacing w:line="360" w:lineRule="auto"/>
              <w:rPr>
                <w:rFonts w:eastAsia="仿宋"/>
                <w:color w:val="000000"/>
                <w:szCs w:val="21"/>
              </w:rPr>
            </w:pPr>
          </w:p>
        </w:tc>
      </w:tr>
      <w:tr w14:paraId="38B5E4FD">
        <w:tblPrEx>
          <w:tblCellMar>
            <w:top w:w="0" w:type="dxa"/>
            <w:left w:w="108" w:type="dxa"/>
            <w:bottom w:w="0" w:type="dxa"/>
            <w:right w:w="108" w:type="dxa"/>
          </w:tblCellMar>
        </w:tblPrEx>
        <w:trPr>
          <w:trHeight w:val="839" w:hRule="atLeast"/>
          <w:jc w:val="center"/>
        </w:trPr>
        <w:tc>
          <w:tcPr>
            <w:tcW w:w="575" w:type="dxa"/>
            <w:tcBorders>
              <w:top w:val="single" w:color="auto" w:sz="6" w:space="0"/>
              <w:left w:val="single" w:color="auto" w:sz="6" w:space="0"/>
              <w:bottom w:val="single" w:color="auto" w:sz="6" w:space="0"/>
              <w:right w:val="single" w:color="auto" w:sz="6" w:space="0"/>
            </w:tcBorders>
            <w:vAlign w:val="center"/>
          </w:tcPr>
          <w:p w14:paraId="3F27CCF9">
            <w:pPr>
              <w:snapToGrid w:val="0"/>
              <w:spacing w:line="360" w:lineRule="auto"/>
              <w:rPr>
                <w:rFonts w:eastAsia="仿宋"/>
                <w:szCs w:val="21"/>
              </w:rPr>
            </w:pPr>
            <w:r>
              <w:rPr>
                <w:rFonts w:eastAsia="仿宋"/>
                <w:szCs w:val="21"/>
              </w:rPr>
              <w:t>2</w:t>
            </w:r>
          </w:p>
        </w:tc>
        <w:tc>
          <w:tcPr>
            <w:tcW w:w="3570" w:type="dxa"/>
            <w:tcBorders>
              <w:top w:val="single" w:color="auto" w:sz="6" w:space="0"/>
              <w:left w:val="single" w:color="auto" w:sz="6" w:space="0"/>
              <w:bottom w:val="single" w:color="auto" w:sz="6" w:space="0"/>
              <w:right w:val="single" w:color="auto" w:sz="6" w:space="0"/>
            </w:tcBorders>
            <w:vAlign w:val="center"/>
          </w:tcPr>
          <w:p w14:paraId="74EF3D3A">
            <w:pPr>
              <w:snapToGrid w:val="0"/>
              <w:spacing w:line="360" w:lineRule="auto"/>
              <w:rPr>
                <w:rFonts w:eastAsia="仿宋"/>
                <w:color w:val="000000"/>
                <w:szCs w:val="21"/>
              </w:rPr>
            </w:pPr>
          </w:p>
        </w:tc>
        <w:tc>
          <w:tcPr>
            <w:tcW w:w="2482" w:type="dxa"/>
            <w:tcBorders>
              <w:top w:val="single" w:color="auto" w:sz="6" w:space="0"/>
              <w:left w:val="single" w:color="auto" w:sz="6" w:space="0"/>
              <w:bottom w:val="single" w:color="auto" w:sz="6" w:space="0"/>
              <w:right w:val="single" w:color="auto" w:sz="6" w:space="0"/>
            </w:tcBorders>
            <w:vAlign w:val="center"/>
          </w:tcPr>
          <w:p w14:paraId="190CD2EF">
            <w:pPr>
              <w:snapToGrid w:val="0"/>
              <w:spacing w:line="360" w:lineRule="auto"/>
              <w:ind w:firstLine="420"/>
              <w:rPr>
                <w:rFonts w:eastAsia="仿宋"/>
                <w:color w:val="000000"/>
                <w:szCs w:val="21"/>
              </w:rPr>
            </w:pPr>
          </w:p>
        </w:tc>
        <w:tc>
          <w:tcPr>
            <w:tcW w:w="2278" w:type="dxa"/>
            <w:tcBorders>
              <w:top w:val="single" w:color="auto" w:sz="6" w:space="0"/>
              <w:left w:val="single" w:color="auto" w:sz="6" w:space="0"/>
              <w:bottom w:val="single" w:color="auto" w:sz="6" w:space="0"/>
              <w:right w:val="single" w:color="auto" w:sz="6" w:space="0"/>
            </w:tcBorders>
            <w:vAlign w:val="center"/>
          </w:tcPr>
          <w:p w14:paraId="1C04CDDA">
            <w:pPr>
              <w:snapToGrid w:val="0"/>
              <w:spacing w:line="360" w:lineRule="auto"/>
              <w:rPr>
                <w:rFonts w:eastAsia="仿宋"/>
                <w:color w:val="000000"/>
                <w:szCs w:val="21"/>
              </w:rPr>
            </w:pPr>
          </w:p>
        </w:tc>
        <w:tc>
          <w:tcPr>
            <w:tcW w:w="1568" w:type="dxa"/>
            <w:tcBorders>
              <w:top w:val="single" w:color="auto" w:sz="6" w:space="0"/>
              <w:left w:val="single" w:color="auto" w:sz="6" w:space="0"/>
              <w:bottom w:val="single" w:color="auto" w:sz="6" w:space="0"/>
              <w:right w:val="single" w:color="auto" w:sz="6" w:space="0"/>
            </w:tcBorders>
            <w:vAlign w:val="center"/>
          </w:tcPr>
          <w:p w14:paraId="7F59F26B">
            <w:pPr>
              <w:snapToGrid w:val="0"/>
              <w:spacing w:line="360" w:lineRule="auto"/>
              <w:rPr>
                <w:rFonts w:eastAsia="仿宋"/>
                <w:color w:val="000000"/>
                <w:szCs w:val="21"/>
              </w:rPr>
            </w:pPr>
          </w:p>
        </w:tc>
      </w:tr>
      <w:tr w14:paraId="4B65C4DC">
        <w:tblPrEx>
          <w:tblCellMar>
            <w:top w:w="0" w:type="dxa"/>
            <w:left w:w="108" w:type="dxa"/>
            <w:bottom w:w="0" w:type="dxa"/>
            <w:right w:w="108" w:type="dxa"/>
          </w:tblCellMar>
        </w:tblPrEx>
        <w:trPr>
          <w:trHeight w:val="923" w:hRule="atLeast"/>
          <w:jc w:val="center"/>
        </w:trPr>
        <w:tc>
          <w:tcPr>
            <w:tcW w:w="575" w:type="dxa"/>
            <w:tcBorders>
              <w:top w:val="single" w:color="auto" w:sz="6" w:space="0"/>
              <w:left w:val="single" w:color="auto" w:sz="6" w:space="0"/>
              <w:bottom w:val="single" w:color="auto" w:sz="6" w:space="0"/>
              <w:right w:val="single" w:color="auto" w:sz="6" w:space="0"/>
            </w:tcBorders>
            <w:vAlign w:val="center"/>
          </w:tcPr>
          <w:p w14:paraId="351E89F7">
            <w:pPr>
              <w:snapToGrid w:val="0"/>
              <w:spacing w:line="360" w:lineRule="auto"/>
              <w:rPr>
                <w:rFonts w:eastAsia="仿宋"/>
                <w:szCs w:val="21"/>
              </w:rPr>
            </w:pPr>
            <w:r>
              <w:rPr>
                <w:rFonts w:eastAsia="仿宋"/>
                <w:szCs w:val="21"/>
              </w:rPr>
              <w:t>3</w:t>
            </w:r>
          </w:p>
        </w:tc>
        <w:tc>
          <w:tcPr>
            <w:tcW w:w="3570" w:type="dxa"/>
            <w:tcBorders>
              <w:top w:val="single" w:color="auto" w:sz="6" w:space="0"/>
              <w:left w:val="single" w:color="auto" w:sz="6" w:space="0"/>
              <w:bottom w:val="single" w:color="auto" w:sz="6" w:space="0"/>
              <w:right w:val="single" w:color="auto" w:sz="6" w:space="0"/>
            </w:tcBorders>
            <w:vAlign w:val="center"/>
          </w:tcPr>
          <w:p w14:paraId="6F9F8A37">
            <w:pPr>
              <w:snapToGrid w:val="0"/>
              <w:spacing w:line="360" w:lineRule="auto"/>
              <w:rPr>
                <w:rFonts w:eastAsia="仿宋"/>
                <w:szCs w:val="21"/>
              </w:rPr>
            </w:pPr>
          </w:p>
        </w:tc>
        <w:tc>
          <w:tcPr>
            <w:tcW w:w="2482" w:type="dxa"/>
            <w:tcBorders>
              <w:top w:val="single" w:color="auto" w:sz="6" w:space="0"/>
              <w:left w:val="single" w:color="auto" w:sz="6" w:space="0"/>
              <w:bottom w:val="single" w:color="auto" w:sz="6" w:space="0"/>
              <w:right w:val="single" w:color="auto" w:sz="6" w:space="0"/>
            </w:tcBorders>
            <w:vAlign w:val="center"/>
          </w:tcPr>
          <w:p w14:paraId="568656BE">
            <w:pPr>
              <w:snapToGrid w:val="0"/>
              <w:spacing w:line="360" w:lineRule="auto"/>
              <w:ind w:firstLine="420"/>
              <w:rPr>
                <w:rFonts w:eastAsia="仿宋"/>
                <w:color w:val="000000"/>
                <w:szCs w:val="21"/>
              </w:rPr>
            </w:pPr>
          </w:p>
        </w:tc>
        <w:tc>
          <w:tcPr>
            <w:tcW w:w="2278" w:type="dxa"/>
            <w:tcBorders>
              <w:top w:val="single" w:color="auto" w:sz="6" w:space="0"/>
              <w:left w:val="single" w:color="auto" w:sz="6" w:space="0"/>
              <w:bottom w:val="single" w:color="auto" w:sz="6" w:space="0"/>
              <w:right w:val="single" w:color="auto" w:sz="6" w:space="0"/>
            </w:tcBorders>
            <w:vAlign w:val="center"/>
          </w:tcPr>
          <w:p w14:paraId="7ABA8D1D">
            <w:pPr>
              <w:snapToGrid w:val="0"/>
              <w:spacing w:line="360" w:lineRule="auto"/>
              <w:rPr>
                <w:rFonts w:eastAsia="仿宋"/>
                <w:color w:val="000000"/>
                <w:szCs w:val="21"/>
              </w:rPr>
            </w:pPr>
          </w:p>
        </w:tc>
        <w:tc>
          <w:tcPr>
            <w:tcW w:w="1568" w:type="dxa"/>
            <w:tcBorders>
              <w:top w:val="single" w:color="auto" w:sz="6" w:space="0"/>
              <w:left w:val="single" w:color="auto" w:sz="6" w:space="0"/>
              <w:bottom w:val="single" w:color="auto" w:sz="6" w:space="0"/>
              <w:right w:val="single" w:color="auto" w:sz="6" w:space="0"/>
            </w:tcBorders>
            <w:vAlign w:val="center"/>
          </w:tcPr>
          <w:p w14:paraId="61C4866C">
            <w:pPr>
              <w:snapToGrid w:val="0"/>
              <w:spacing w:line="360" w:lineRule="auto"/>
              <w:rPr>
                <w:rFonts w:eastAsia="仿宋"/>
                <w:color w:val="000000"/>
                <w:szCs w:val="21"/>
              </w:rPr>
            </w:pPr>
          </w:p>
        </w:tc>
      </w:tr>
      <w:tr w14:paraId="59A36DAC">
        <w:tblPrEx>
          <w:tblCellMar>
            <w:top w:w="0" w:type="dxa"/>
            <w:left w:w="108" w:type="dxa"/>
            <w:bottom w:w="0" w:type="dxa"/>
            <w:right w:w="108" w:type="dxa"/>
          </w:tblCellMar>
        </w:tblPrEx>
        <w:trPr>
          <w:trHeight w:val="804" w:hRule="atLeast"/>
          <w:jc w:val="center"/>
        </w:trPr>
        <w:tc>
          <w:tcPr>
            <w:tcW w:w="10473" w:type="dxa"/>
            <w:gridSpan w:val="5"/>
            <w:tcBorders>
              <w:top w:val="single" w:color="auto" w:sz="6" w:space="0"/>
              <w:left w:val="single" w:color="auto" w:sz="6" w:space="0"/>
              <w:bottom w:val="single" w:color="auto" w:sz="6" w:space="0"/>
              <w:right w:val="single" w:color="auto" w:sz="6" w:space="0"/>
            </w:tcBorders>
            <w:vAlign w:val="center"/>
          </w:tcPr>
          <w:p w14:paraId="1A3E0DC8">
            <w:pPr>
              <w:snapToGrid w:val="0"/>
              <w:spacing w:line="360" w:lineRule="auto"/>
              <w:rPr>
                <w:rFonts w:eastAsia="仿宋"/>
                <w:color w:val="000000"/>
                <w:szCs w:val="21"/>
              </w:rPr>
            </w:pPr>
            <w:r>
              <w:rPr>
                <w:rFonts w:eastAsia="仿宋"/>
                <w:b/>
                <w:bCs/>
                <w:szCs w:val="21"/>
                <w:lang w:bidi="ar"/>
              </w:rPr>
              <w:t>（备注：所有技术指标按本表响应内容为准，不接受负偏离，否则视为未实质性响应采购文件要求，将被否决磋商）</w:t>
            </w:r>
          </w:p>
        </w:tc>
      </w:tr>
    </w:tbl>
    <w:p w14:paraId="6DB34C47">
      <w:pPr>
        <w:snapToGrid w:val="0"/>
        <w:spacing w:line="360" w:lineRule="auto"/>
        <w:ind w:firstLine="620"/>
        <w:rPr>
          <w:rFonts w:eastAsia="仿宋"/>
          <w:color w:val="000000"/>
          <w:sz w:val="24"/>
          <w:szCs w:val="24"/>
        </w:rPr>
      </w:pPr>
      <w:r>
        <w:rPr>
          <w:rFonts w:eastAsia="仿宋"/>
          <w:color w:val="000000"/>
          <w:sz w:val="24"/>
          <w:szCs w:val="24"/>
        </w:rPr>
        <w:t>说明：</w:t>
      </w:r>
      <w:r>
        <w:rPr>
          <w:rFonts w:eastAsia="仿宋"/>
          <w:b/>
          <w:bCs/>
          <w:color w:val="000000"/>
          <w:sz w:val="24"/>
          <w:szCs w:val="24"/>
        </w:rPr>
        <w:t>按照磋商文件第五部分采购需求中的技术条款逐条响应</w:t>
      </w:r>
      <w:r>
        <w:rPr>
          <w:rFonts w:eastAsia="仿宋"/>
          <w:color w:val="000000"/>
          <w:sz w:val="24"/>
          <w:szCs w:val="24"/>
        </w:rPr>
        <w:t>，如有偏离，则必须注明“偏离”；未注明偏离的，视为完全响应。</w:t>
      </w:r>
    </w:p>
    <w:p w14:paraId="1282361C">
      <w:pPr>
        <w:snapToGrid w:val="0"/>
        <w:spacing w:line="360" w:lineRule="auto"/>
        <w:ind w:firstLine="620"/>
        <w:rPr>
          <w:rFonts w:eastAsia="仿宋"/>
          <w:color w:val="000000"/>
          <w:sz w:val="24"/>
          <w:szCs w:val="24"/>
        </w:rPr>
      </w:pPr>
    </w:p>
    <w:p w14:paraId="28627C75">
      <w:pPr>
        <w:snapToGrid w:val="0"/>
        <w:spacing w:line="360" w:lineRule="auto"/>
        <w:ind w:right="10" w:firstLine="560"/>
        <w:rPr>
          <w:rFonts w:eastAsia="仿宋"/>
          <w:color w:val="000000"/>
          <w:sz w:val="24"/>
          <w:szCs w:val="24"/>
        </w:rPr>
      </w:pPr>
      <w:r>
        <w:rPr>
          <w:rFonts w:eastAsia="仿宋"/>
          <w:color w:val="000000"/>
          <w:sz w:val="24"/>
          <w:szCs w:val="24"/>
        </w:rPr>
        <w:t xml:space="preserve">供应商法定代表人签字或盖章：                                          </w:t>
      </w:r>
    </w:p>
    <w:p w14:paraId="654D5564">
      <w:pPr>
        <w:snapToGrid w:val="0"/>
        <w:spacing w:line="360" w:lineRule="auto"/>
        <w:ind w:right="10" w:firstLine="560"/>
        <w:rPr>
          <w:rFonts w:eastAsia="仿宋"/>
          <w:color w:val="000000"/>
          <w:sz w:val="24"/>
          <w:szCs w:val="24"/>
        </w:rPr>
        <w:sectPr>
          <w:footerReference r:id="rId16" w:type="first"/>
          <w:headerReference r:id="rId14" w:type="default"/>
          <w:footerReference r:id="rId15" w:type="default"/>
          <w:pgSz w:w="11911" w:h="16838"/>
          <w:pgMar w:top="1440" w:right="1140" w:bottom="1440" w:left="1140" w:header="850" w:footer="1088" w:gutter="0"/>
          <w:cols w:space="0" w:num="1"/>
          <w:docGrid w:linePitch="312" w:charSpace="0"/>
        </w:sectPr>
      </w:pPr>
      <w:r>
        <w:rPr>
          <w:rFonts w:eastAsia="仿宋"/>
          <w:color w:val="000000"/>
          <w:sz w:val="24"/>
          <w:szCs w:val="24"/>
        </w:rPr>
        <w:t>供应商公章：</w:t>
      </w:r>
    </w:p>
    <w:p w14:paraId="62D1C2B4">
      <w:pPr>
        <w:adjustRightInd w:val="0"/>
        <w:snapToGrid w:val="0"/>
        <w:spacing w:line="360" w:lineRule="auto"/>
        <w:rPr>
          <w:rFonts w:eastAsia="仿宋"/>
          <w:b/>
          <w:bCs/>
          <w:sz w:val="24"/>
          <w:szCs w:val="24"/>
        </w:rPr>
      </w:pPr>
      <w:r>
        <w:rPr>
          <w:rFonts w:eastAsia="仿宋"/>
          <w:b/>
          <w:bCs/>
          <w:sz w:val="24"/>
          <w:szCs w:val="24"/>
        </w:rPr>
        <w:t>2、供应商认为有必要提供的声明及其他资料</w:t>
      </w:r>
    </w:p>
    <w:p w14:paraId="24276A61">
      <w:pPr>
        <w:autoSpaceDE w:val="0"/>
        <w:autoSpaceDN w:val="0"/>
        <w:snapToGrid w:val="0"/>
        <w:spacing w:line="360" w:lineRule="auto"/>
        <w:ind w:left="420" w:leftChars="200"/>
        <w:jc w:val="left"/>
        <w:rPr>
          <w:rFonts w:eastAsia="仿宋"/>
          <w:b/>
          <w:bCs/>
          <w:w w:val="95"/>
          <w:kern w:val="0"/>
          <w:sz w:val="24"/>
          <w:szCs w:val="24"/>
        </w:rPr>
      </w:pPr>
    </w:p>
    <w:p w14:paraId="1728CFCD">
      <w:pPr>
        <w:autoSpaceDE w:val="0"/>
        <w:autoSpaceDN w:val="0"/>
        <w:snapToGrid w:val="0"/>
        <w:spacing w:line="360" w:lineRule="auto"/>
        <w:ind w:left="420" w:leftChars="200"/>
        <w:jc w:val="left"/>
        <w:rPr>
          <w:rFonts w:eastAsia="仿宋"/>
          <w:b/>
          <w:bCs/>
          <w:w w:val="95"/>
          <w:kern w:val="0"/>
          <w:sz w:val="24"/>
          <w:szCs w:val="24"/>
        </w:rPr>
      </w:pPr>
    </w:p>
    <w:p w14:paraId="13B8A6AB">
      <w:pPr>
        <w:autoSpaceDE w:val="0"/>
        <w:autoSpaceDN w:val="0"/>
        <w:snapToGrid w:val="0"/>
        <w:spacing w:line="360" w:lineRule="auto"/>
        <w:ind w:left="420" w:leftChars="200"/>
        <w:jc w:val="left"/>
        <w:rPr>
          <w:rFonts w:eastAsia="仿宋"/>
          <w:b/>
          <w:bCs/>
          <w:w w:val="95"/>
          <w:kern w:val="0"/>
          <w:sz w:val="24"/>
          <w:szCs w:val="24"/>
        </w:rPr>
      </w:pPr>
      <w:r>
        <w:rPr>
          <w:rFonts w:eastAsia="仿宋"/>
          <w:b/>
          <w:bCs/>
          <w:w w:val="95"/>
          <w:kern w:val="0"/>
          <w:sz w:val="24"/>
          <w:szCs w:val="24"/>
        </w:rPr>
        <w:t>特别注意：</w:t>
      </w:r>
    </w:p>
    <w:p w14:paraId="2DDEB4A1">
      <w:pPr>
        <w:autoSpaceDE w:val="0"/>
        <w:autoSpaceDN w:val="0"/>
        <w:snapToGrid w:val="0"/>
        <w:spacing w:line="360" w:lineRule="auto"/>
        <w:ind w:left="420" w:leftChars="200"/>
        <w:jc w:val="left"/>
        <w:rPr>
          <w:rFonts w:eastAsia="仿宋"/>
          <w:b/>
          <w:bCs/>
          <w:w w:val="95"/>
          <w:kern w:val="0"/>
          <w:sz w:val="24"/>
          <w:szCs w:val="24"/>
        </w:rPr>
      </w:pPr>
      <w:r>
        <w:rPr>
          <w:rFonts w:eastAsia="仿宋"/>
          <w:b/>
          <w:bCs/>
          <w:w w:val="95"/>
          <w:kern w:val="0"/>
          <w:sz w:val="24"/>
          <w:szCs w:val="24"/>
        </w:rPr>
        <w:t>请各供应商仔细阅读并理解磋商文件的相关说明，严格按照磋商文件要求制作响应文件，如未按要求提供相关材料及承诺，视为不响应竞争性磋商文件，做无效磋商处理，</w:t>
      </w:r>
    </w:p>
    <w:p w14:paraId="53C45B67">
      <w:pPr>
        <w:autoSpaceDE w:val="0"/>
        <w:autoSpaceDN w:val="0"/>
        <w:snapToGrid w:val="0"/>
        <w:spacing w:line="360" w:lineRule="auto"/>
        <w:ind w:left="420" w:leftChars="200"/>
        <w:jc w:val="left"/>
        <w:rPr>
          <w:rFonts w:eastAsia="仿宋"/>
          <w:b/>
          <w:bCs/>
          <w:w w:val="95"/>
          <w:kern w:val="0"/>
          <w:sz w:val="24"/>
          <w:szCs w:val="24"/>
        </w:rPr>
      </w:pPr>
      <w:r>
        <w:rPr>
          <w:rFonts w:eastAsia="仿宋"/>
          <w:b/>
          <w:bCs/>
          <w:w w:val="95"/>
          <w:kern w:val="0"/>
          <w:sz w:val="24"/>
          <w:szCs w:val="24"/>
        </w:rPr>
        <w:t>1、供应商对所附表格中要求的资料和询问应做出肯定的回答。</w:t>
      </w:r>
    </w:p>
    <w:p w14:paraId="2EF3733C">
      <w:pPr>
        <w:autoSpaceDE w:val="0"/>
        <w:autoSpaceDN w:val="0"/>
        <w:snapToGrid w:val="0"/>
        <w:spacing w:line="360" w:lineRule="auto"/>
        <w:ind w:left="420" w:leftChars="200"/>
        <w:jc w:val="left"/>
        <w:rPr>
          <w:rFonts w:eastAsia="仿宋"/>
          <w:b/>
          <w:bCs/>
          <w:w w:val="95"/>
          <w:kern w:val="0"/>
          <w:sz w:val="24"/>
          <w:szCs w:val="24"/>
        </w:rPr>
      </w:pPr>
      <w:r>
        <w:rPr>
          <w:rFonts w:eastAsia="仿宋"/>
          <w:b/>
          <w:bCs/>
          <w:w w:val="95"/>
          <w:kern w:val="0"/>
          <w:sz w:val="24"/>
          <w:szCs w:val="24"/>
        </w:rPr>
        <w:t>2、响应文件的签字人应保证他所做的声明及对一切问题的回答的真实性和准确性。</w:t>
      </w:r>
    </w:p>
    <w:p w14:paraId="4C987F17">
      <w:pPr>
        <w:autoSpaceDE w:val="0"/>
        <w:autoSpaceDN w:val="0"/>
        <w:snapToGrid w:val="0"/>
        <w:spacing w:line="360" w:lineRule="auto"/>
        <w:ind w:left="420" w:leftChars="200"/>
        <w:jc w:val="left"/>
        <w:rPr>
          <w:rFonts w:eastAsia="仿宋"/>
          <w:b/>
          <w:bCs/>
          <w:w w:val="95"/>
          <w:kern w:val="0"/>
          <w:sz w:val="24"/>
          <w:szCs w:val="24"/>
        </w:rPr>
      </w:pPr>
      <w:r>
        <w:rPr>
          <w:rFonts w:eastAsia="仿宋"/>
          <w:b/>
          <w:bCs/>
          <w:w w:val="95"/>
          <w:kern w:val="0"/>
          <w:sz w:val="24"/>
          <w:szCs w:val="24"/>
        </w:rPr>
        <w:t>3、供应商提供的响应文件将由采购人使用，并据此进行评价和判断，确定供应商的能力。</w:t>
      </w:r>
    </w:p>
    <w:p w14:paraId="11507B56">
      <w:pPr>
        <w:autoSpaceDE w:val="0"/>
        <w:autoSpaceDN w:val="0"/>
        <w:snapToGrid w:val="0"/>
        <w:spacing w:line="360" w:lineRule="auto"/>
        <w:ind w:left="420" w:leftChars="200"/>
        <w:jc w:val="left"/>
        <w:rPr>
          <w:rFonts w:eastAsia="仿宋"/>
          <w:b/>
          <w:bCs/>
          <w:w w:val="95"/>
          <w:kern w:val="0"/>
          <w:sz w:val="24"/>
          <w:szCs w:val="24"/>
        </w:rPr>
      </w:pPr>
      <w:r>
        <w:rPr>
          <w:rFonts w:eastAsia="仿宋"/>
          <w:b/>
          <w:bCs/>
          <w:w w:val="95"/>
          <w:kern w:val="0"/>
          <w:sz w:val="24"/>
          <w:szCs w:val="24"/>
        </w:rPr>
        <w:t>4、供应商提交的文件将给予保密，但不退还。</w:t>
      </w:r>
    </w:p>
    <w:p w14:paraId="57984DE2">
      <w:pPr>
        <w:autoSpaceDE w:val="0"/>
        <w:autoSpaceDN w:val="0"/>
        <w:spacing w:line="440" w:lineRule="exact"/>
        <w:ind w:left="420" w:leftChars="200"/>
        <w:jc w:val="left"/>
        <w:rPr>
          <w:rFonts w:eastAsia="仿宋"/>
          <w:b/>
          <w:bCs/>
          <w:w w:val="95"/>
          <w:kern w:val="0"/>
          <w:sz w:val="28"/>
          <w:szCs w:val="28"/>
        </w:rPr>
      </w:pPr>
    </w:p>
    <w:p w14:paraId="08F0C76C">
      <w:pPr>
        <w:spacing w:line="360" w:lineRule="auto"/>
        <w:rPr>
          <w:rFonts w:eastAsia="仿宋"/>
        </w:rPr>
      </w:pPr>
    </w:p>
    <w:p w14:paraId="181F386D">
      <w:pPr>
        <w:spacing w:line="360" w:lineRule="auto"/>
        <w:rPr>
          <w:rFonts w:eastAsia="仿宋"/>
        </w:rPr>
      </w:pPr>
    </w:p>
    <w:p w14:paraId="00C47E4D">
      <w:pPr>
        <w:spacing w:line="360" w:lineRule="auto"/>
        <w:rPr>
          <w:rFonts w:eastAsia="仿宋"/>
        </w:rPr>
      </w:pPr>
    </w:p>
    <w:p w14:paraId="0D2DF524">
      <w:pPr>
        <w:spacing w:line="360" w:lineRule="auto"/>
        <w:rPr>
          <w:rFonts w:eastAsia="仿宋"/>
        </w:rPr>
      </w:pPr>
    </w:p>
    <w:p w14:paraId="37221D27">
      <w:pPr>
        <w:spacing w:line="360" w:lineRule="auto"/>
        <w:rPr>
          <w:rFonts w:eastAsia="仿宋"/>
        </w:rPr>
      </w:pPr>
    </w:p>
    <w:p w14:paraId="32C5338E">
      <w:pPr>
        <w:spacing w:line="360" w:lineRule="auto"/>
        <w:rPr>
          <w:rFonts w:eastAsia="仿宋"/>
        </w:rPr>
      </w:pPr>
    </w:p>
    <w:p w14:paraId="52578A3A">
      <w:pPr>
        <w:spacing w:line="360" w:lineRule="auto"/>
        <w:rPr>
          <w:rFonts w:eastAsia="仿宋"/>
        </w:rPr>
      </w:pPr>
    </w:p>
    <w:p w14:paraId="035EC364">
      <w:pPr>
        <w:spacing w:line="360" w:lineRule="auto"/>
        <w:rPr>
          <w:rFonts w:eastAsia="仿宋"/>
        </w:rPr>
      </w:pPr>
    </w:p>
    <w:p w14:paraId="657A9184">
      <w:pPr>
        <w:spacing w:line="360" w:lineRule="auto"/>
        <w:rPr>
          <w:rFonts w:eastAsia="仿宋"/>
        </w:rPr>
      </w:pPr>
    </w:p>
    <w:p w14:paraId="2A2D6C04">
      <w:pPr>
        <w:pStyle w:val="2"/>
        <w:rPr>
          <w:rFonts w:eastAsia="仿宋"/>
        </w:rPr>
      </w:pPr>
    </w:p>
    <w:p w14:paraId="2B95A0FB">
      <w:pPr>
        <w:pStyle w:val="12"/>
        <w:ind w:firstLine="210"/>
        <w:rPr>
          <w:rFonts w:eastAsia="仿宋"/>
        </w:rPr>
      </w:pPr>
    </w:p>
    <w:p w14:paraId="264D9A9F">
      <w:pPr>
        <w:pStyle w:val="12"/>
        <w:ind w:firstLine="210"/>
        <w:rPr>
          <w:rFonts w:eastAsia="仿宋"/>
        </w:rPr>
      </w:pPr>
    </w:p>
    <w:p w14:paraId="0A318CA6">
      <w:pPr>
        <w:pStyle w:val="12"/>
        <w:ind w:firstLine="210"/>
        <w:rPr>
          <w:rFonts w:eastAsia="仿宋"/>
        </w:rPr>
      </w:pPr>
    </w:p>
    <w:p w14:paraId="29ED6957">
      <w:pPr>
        <w:pStyle w:val="12"/>
        <w:ind w:firstLine="210"/>
        <w:rPr>
          <w:rFonts w:eastAsia="仿宋"/>
        </w:rPr>
      </w:pPr>
    </w:p>
    <w:p w14:paraId="13EEE874">
      <w:pPr>
        <w:spacing w:line="360" w:lineRule="auto"/>
        <w:rPr>
          <w:rFonts w:eastAsia="仿宋"/>
        </w:rPr>
      </w:pPr>
    </w:p>
    <w:p w14:paraId="4F58664F">
      <w:pPr>
        <w:spacing w:line="360" w:lineRule="auto"/>
        <w:rPr>
          <w:rFonts w:eastAsia="仿宋"/>
        </w:rPr>
      </w:pPr>
    </w:p>
    <w:p w14:paraId="0D59B912">
      <w:pPr>
        <w:rPr>
          <w:rFonts w:eastAsia="仿宋"/>
          <w:b/>
          <w:sz w:val="28"/>
        </w:rPr>
      </w:pPr>
    </w:p>
    <w:sectPr>
      <w:headerReference r:id="rId18" w:type="first"/>
      <w:headerReference r:id="rId17" w:type="default"/>
      <w:pgSz w:w="11911" w:h="16838"/>
      <w:pgMar w:top="1440" w:right="1140" w:bottom="1440" w:left="1140" w:header="850" w:footer="1088"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CG Times">
    <w:altName w:val="Times New Roman"/>
    <w:panose1 w:val="00000000000000000000"/>
    <w:charset w:val="00"/>
    <w:family w:val="roman"/>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723E">
    <w:pPr>
      <w:pStyle w:val="15"/>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8E45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6E8E45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D50A7">
    <w:pPr>
      <w:pStyle w:val="15"/>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144F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F9144F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6FA6">
    <w:pPr>
      <w:pStyle w:val="15"/>
      <w:ind w:right="360"/>
      <w:jc w:val="cente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FDC2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BCFDC2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273E">
    <w:pPr>
      <w:pStyle w:val="2"/>
      <w:spacing w:line="14" w:lineRule="auto"/>
      <w:rPr>
        <w:sz w:val="20"/>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457DA">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0457DA">
                    <w:pPr>
                      <w:pStyle w:val="15"/>
                    </w:pPr>
                    <w:r>
                      <w:fldChar w:fldCharType="begin"/>
                    </w:r>
                    <w:r>
                      <w:instrText xml:space="preserve"> PAGE  \* MERGEFORMAT </w:instrText>
                    </w:r>
                    <w:r>
                      <w:fldChar w:fldCharType="separate"/>
                    </w:r>
                    <w:r>
                      <w:t>51</w:t>
                    </w:r>
                    <w:r>
                      <w:fldChar w:fldCharType="end"/>
                    </w:r>
                  </w:p>
                </w:txbxContent>
              </v:textbox>
            </v:shape>
          </w:pict>
        </mc:Fallback>
      </mc:AlternateContent>
    </w:r>
    <w:r>
      <w:drawing>
        <wp:anchor distT="0" distB="0" distL="114300" distR="114300" simplePos="0" relativeHeight="251664384" behindDoc="1" locked="0" layoutInCell="1" allowOverlap="1">
          <wp:simplePos x="0" y="0"/>
          <wp:positionH relativeFrom="page">
            <wp:posOffset>6846570</wp:posOffset>
          </wp:positionH>
          <wp:positionV relativeFrom="page">
            <wp:posOffset>10003155</wp:posOffset>
          </wp:positionV>
          <wp:extent cx="44450" cy="38100"/>
          <wp:effectExtent l="0" t="0" r="12700" b="0"/>
          <wp:wrapNone/>
          <wp:docPr id="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4"/>
                  <pic:cNvPicPr>
                    <a:picLocks noChangeAspect="1"/>
                  </pic:cNvPicPr>
                </pic:nvPicPr>
                <pic:blipFill>
                  <a:blip r:embed="rId1"/>
                  <a:stretch>
                    <a:fillRect/>
                  </a:stretch>
                </pic:blipFill>
                <pic:spPr>
                  <a:xfrm>
                    <a:off x="0" y="0"/>
                    <a:ext cx="44450" cy="38100"/>
                  </a:xfrm>
                  <a:prstGeom prst="rect">
                    <a:avLst/>
                  </a:prstGeom>
                  <a:noFill/>
                  <a:ln>
                    <a:noFill/>
                  </a:ln>
                </pic:spPr>
              </pic:pic>
            </a:graphicData>
          </a:graphic>
        </wp:anchor>
      </w:drawing>
    </w:r>
    <w:r>
      <mc:AlternateContent>
        <mc:Choice Requires="wps">
          <w:drawing>
            <wp:anchor distT="0" distB="0" distL="114300" distR="114300" simplePos="0" relativeHeight="251665408" behindDoc="1" locked="0" layoutInCell="1" allowOverlap="1">
              <wp:simplePos x="0" y="0"/>
              <wp:positionH relativeFrom="page">
                <wp:posOffset>1011555</wp:posOffset>
              </wp:positionH>
              <wp:positionV relativeFrom="page">
                <wp:posOffset>9556115</wp:posOffset>
              </wp:positionV>
              <wp:extent cx="3835400" cy="17780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3835400" cy="177800"/>
                      </a:xfrm>
                      <a:prstGeom prst="rect">
                        <a:avLst/>
                      </a:prstGeom>
                      <a:noFill/>
                      <a:ln>
                        <a:noFill/>
                      </a:ln>
                      <a:effectLst/>
                    </wps:spPr>
                    <wps:txbx>
                      <w:txbxContent>
                        <w:p w14:paraId="33CB2408">
                          <w:pPr>
                            <w:pStyle w:val="2"/>
                            <w:spacing w:line="280" w:lineRule="exact"/>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9.65pt;margin-top:752.45pt;height:14pt;width:302pt;mso-position-horizontal-relative:page;mso-position-vertical-relative:page;z-index:-251651072;mso-width-relative:page;mso-height-relative:page;" filled="f" stroked="f" coordsize="21600,21600" o:gfxdata="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kyhOtkAAAANAQAADwAAAAAA&#10;AAABACAAAAAiAAAAZHJzL2Rvd25yZXYueG1sUEsBAhQAFAAAAAgAh07iQNqrpv8SAgAAFQQAAA4A&#10;AAAAAAAAAQAgAAAAKAEAAGRycy9lMm9Eb2MueG1sUEsFBgAAAAAGAAYAWQEAAKwFAAAAAA==&#10;">
              <v:fill on="f" focussize="0,0"/>
              <v:stroke on="f"/>
              <v:imagedata o:title=""/>
              <o:lock v:ext="edit" aspectratio="f"/>
              <v:textbox inset="0mm,0mm,0mm,0mm">
                <w:txbxContent>
                  <w:p w14:paraId="33CB2408">
                    <w:pPr>
                      <w:pStyle w:val="2"/>
                      <w:spacing w:line="280" w:lineRule="exact"/>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ADE9">
    <w:pPr>
      <w:pStyle w:val="2"/>
      <w:spacing w:line="14" w:lineRule="auto"/>
      <w:rPr>
        <w:sz w:val="20"/>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21C71">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4221C71">
                    <w:pPr>
                      <w:pStyle w:val="15"/>
                    </w:pPr>
                    <w:r>
                      <w:fldChar w:fldCharType="begin"/>
                    </w:r>
                    <w:r>
                      <w:instrText xml:space="preserve"> PAGE  \* MERGEFORMAT </w:instrText>
                    </w:r>
                    <w:r>
                      <w:fldChar w:fldCharType="separate"/>
                    </w:r>
                    <w:r>
                      <w:t>68</w:t>
                    </w:r>
                    <w:r>
                      <w:fldChar w:fldCharType="end"/>
                    </w:r>
                  </w:p>
                </w:txbxContent>
              </v:textbox>
            </v:shape>
          </w:pict>
        </mc:Fallback>
      </mc:AlternateContent>
    </w:r>
    <w:r>
      <w:drawing>
        <wp:anchor distT="0" distB="0" distL="114300" distR="114300" simplePos="0" relativeHeight="251666432" behindDoc="1" locked="0" layoutInCell="1" allowOverlap="1">
          <wp:simplePos x="0" y="0"/>
          <wp:positionH relativeFrom="page">
            <wp:posOffset>6846570</wp:posOffset>
          </wp:positionH>
          <wp:positionV relativeFrom="page">
            <wp:posOffset>10003155</wp:posOffset>
          </wp:positionV>
          <wp:extent cx="44450" cy="38100"/>
          <wp:effectExtent l="0" t="0" r="12700" b="0"/>
          <wp:wrapNone/>
          <wp:docPr id="1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pic:cNvPicPr>
                    <a:picLocks noChangeAspect="1"/>
                  </pic:cNvPicPr>
                </pic:nvPicPr>
                <pic:blipFill>
                  <a:blip r:embed="rId1"/>
                  <a:stretch>
                    <a:fillRect/>
                  </a:stretch>
                </pic:blipFill>
                <pic:spPr>
                  <a:xfrm>
                    <a:off x="0" y="0"/>
                    <a:ext cx="44450" cy="38100"/>
                  </a:xfrm>
                  <a:prstGeom prst="rect">
                    <a:avLst/>
                  </a:prstGeom>
                  <a:noFill/>
                  <a:ln>
                    <a:noFill/>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A28FE">
    <w:pPr>
      <w:pStyle w:val="2"/>
      <w:spacing w:line="14" w:lineRule="auto"/>
      <w:rPr>
        <w:sz w:val="20"/>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45CD8">
                          <w:pPr>
                            <w:pStyle w:val="1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445CD8">
                    <w:pPr>
                      <w:pStyle w:val="15"/>
                    </w:pPr>
                    <w:r>
                      <w:fldChar w:fldCharType="begin"/>
                    </w:r>
                    <w:r>
                      <w:instrText xml:space="preserve"> PAGE  \* MERGEFORMAT </w:instrText>
                    </w:r>
                    <w:r>
                      <w:fldChar w:fldCharType="separate"/>
                    </w:r>
                    <w:r>
                      <w:t>80</w:t>
                    </w:r>
                    <w:r>
                      <w:fldChar w:fldCharType="end"/>
                    </w:r>
                  </w:p>
                </w:txbxContent>
              </v:textbox>
            </v:shape>
          </w:pict>
        </mc:Fallback>
      </mc:AlternateContent>
    </w:r>
    <w:r>
      <w:drawing>
        <wp:anchor distT="0" distB="0" distL="114300" distR="114300" simplePos="0" relativeHeight="251670528" behindDoc="1" locked="0" layoutInCell="1" allowOverlap="1">
          <wp:simplePos x="0" y="0"/>
          <wp:positionH relativeFrom="page">
            <wp:posOffset>701040</wp:posOffset>
          </wp:positionH>
          <wp:positionV relativeFrom="page">
            <wp:posOffset>10003155</wp:posOffset>
          </wp:positionV>
          <wp:extent cx="73025" cy="38100"/>
          <wp:effectExtent l="0" t="0" r="3175" b="0"/>
          <wp:wrapNone/>
          <wp:docPr id="2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2"/>
                  <pic:cNvPicPr>
                    <a:picLocks noChangeAspect="1"/>
                  </pic:cNvPicPr>
                </pic:nvPicPr>
                <pic:blipFill>
                  <a:blip r:embed="rId1"/>
                  <a:stretch>
                    <a:fillRect/>
                  </a:stretch>
                </pic:blipFill>
                <pic:spPr>
                  <a:xfrm>
                    <a:off x="0" y="0"/>
                    <a:ext cx="73025" cy="38100"/>
                  </a:xfrm>
                  <a:prstGeom prst="rect">
                    <a:avLst/>
                  </a:prstGeom>
                  <a:noFill/>
                  <a:ln>
                    <a:noFill/>
                  </a:ln>
                </pic:spPr>
              </pic:pic>
            </a:graphicData>
          </a:graphic>
        </wp:anchor>
      </w:drawing>
    </w:r>
    <w:r>
      <w:drawing>
        <wp:anchor distT="0" distB="0" distL="114300" distR="114300" simplePos="0" relativeHeight="251671552" behindDoc="1" locked="0" layoutInCell="1" allowOverlap="1">
          <wp:simplePos x="0" y="0"/>
          <wp:positionH relativeFrom="page">
            <wp:posOffset>6846570</wp:posOffset>
          </wp:positionH>
          <wp:positionV relativeFrom="page">
            <wp:posOffset>10003155</wp:posOffset>
          </wp:positionV>
          <wp:extent cx="44450" cy="38100"/>
          <wp:effectExtent l="0" t="0" r="12700" b="0"/>
          <wp:wrapNone/>
          <wp:docPr id="2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3"/>
                  <pic:cNvPicPr>
                    <a:picLocks noChangeAspect="1"/>
                  </pic:cNvPicPr>
                </pic:nvPicPr>
                <pic:blipFill>
                  <a:blip r:embed="rId2"/>
                  <a:stretch>
                    <a:fillRect/>
                  </a:stretch>
                </pic:blipFill>
                <pic:spPr>
                  <a:xfrm>
                    <a:off x="0" y="0"/>
                    <a:ext cx="44450" cy="38100"/>
                  </a:xfrm>
                  <a:prstGeom prst="rect">
                    <a:avLst/>
                  </a:prstGeom>
                  <a:noFill/>
                  <a:ln>
                    <a:noFill/>
                  </a:ln>
                </pic:spPr>
              </pic:pic>
            </a:graphicData>
          </a:graphic>
        </wp:anchor>
      </w:drawing>
    </w:r>
    <w:r>
      <mc:AlternateContent>
        <mc:Choice Requires="wps">
          <w:drawing>
            <wp:anchor distT="0" distB="0" distL="114300" distR="114300" simplePos="0" relativeHeight="251672576" behindDoc="1" locked="0" layoutInCell="1" allowOverlap="1">
              <wp:simplePos x="0" y="0"/>
              <wp:positionH relativeFrom="page">
                <wp:posOffset>1011555</wp:posOffset>
              </wp:positionH>
              <wp:positionV relativeFrom="page">
                <wp:posOffset>9556115</wp:posOffset>
              </wp:positionV>
              <wp:extent cx="3835400" cy="1778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835400" cy="177800"/>
                      </a:xfrm>
                      <a:prstGeom prst="rect">
                        <a:avLst/>
                      </a:prstGeom>
                      <a:noFill/>
                      <a:ln>
                        <a:noFill/>
                      </a:ln>
                      <a:effectLst/>
                    </wps:spPr>
                    <wps:txbx>
                      <w:txbxContent>
                        <w:p w14:paraId="7BF07019">
                          <w:pPr>
                            <w:pStyle w:val="2"/>
                            <w:spacing w:line="280" w:lineRule="exact"/>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9.65pt;margin-top:752.45pt;height:14pt;width:302pt;mso-position-horizontal-relative:page;mso-position-vertical-relative:page;z-index:-251643904;mso-width-relative:page;mso-height-relative:page;" filled="f" stroked="f" coordsize="21600,21600" o:gfxdata="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JMoTrZAAAADQEAAA8AAAAAAAAA&#10;AQAgAAAAIgAAAGRycy9kb3ducmV2LnhtbFBLAQIUABQAAAAIAIdO4kDSfvI6EAIAABMEAAAOAAAA&#10;AAAAAAEAIAAAACgBAABkcnMvZTJvRG9jLnhtbFBLBQYAAAAABgAGAFkBAACqBQAAAAA=&#10;">
              <v:fill on="f" focussize="0,0"/>
              <v:stroke on="f"/>
              <v:imagedata o:title=""/>
              <o:lock v:ext="edit" aspectratio="f"/>
              <v:textbox inset="0mm,0mm,0mm,0mm">
                <w:txbxContent>
                  <w:p w14:paraId="7BF07019">
                    <w:pPr>
                      <w:pStyle w:val="2"/>
                      <w:spacing w:line="280" w:lineRule="exact"/>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C1E5">
    <w:pPr>
      <w:pStyle w:val="15"/>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895D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0C895D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70410">
    <w:pPr>
      <w:snapToGrid w:val="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97DA">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EC597DA">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E887">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8D74">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EA9A">
    <w:pPr>
      <w:pStyle w:val="2"/>
      <w:spacing w:line="14" w:lineRule="auto"/>
      <w:rPr>
        <w:sz w:val="20"/>
      </w:rPr>
    </w:pPr>
    <w:r>
      <w:drawing>
        <wp:anchor distT="0" distB="0" distL="114300" distR="114300" simplePos="0" relativeHeight="251661312" behindDoc="1" locked="0" layoutInCell="1" allowOverlap="1">
          <wp:simplePos x="0" y="0"/>
          <wp:positionH relativeFrom="page">
            <wp:posOffset>6846570</wp:posOffset>
          </wp:positionH>
          <wp:positionV relativeFrom="page">
            <wp:posOffset>540385</wp:posOffset>
          </wp:positionV>
          <wp:extent cx="44450" cy="38100"/>
          <wp:effectExtent l="0" t="0" r="12700" b="0"/>
          <wp:wrapNone/>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a:picLocks noChangeAspect="1"/>
                  </pic:cNvPicPr>
                </pic:nvPicPr>
                <pic:blipFill>
                  <a:blip r:embed="rId1"/>
                  <a:stretch>
                    <a:fillRect/>
                  </a:stretch>
                </pic:blipFill>
                <pic:spPr>
                  <a:xfrm>
                    <a:off x="0" y="0"/>
                    <a:ext cx="44450" cy="38100"/>
                  </a:xfrm>
                  <a:prstGeom prst="rect">
                    <a:avLst/>
                  </a:prstGeom>
                  <a:noFill/>
                  <a:ln>
                    <a:noFill/>
                  </a:ln>
                </pic:spPr>
              </pic:pic>
            </a:graphicData>
          </a:graphic>
        </wp:anchor>
      </w:drawing>
    </w:r>
    <w:r>
      <mc:AlternateContent>
        <mc:Choice Requires="wps">
          <w:drawing>
            <wp:anchor distT="0" distB="0" distL="114300" distR="114300" simplePos="0" relativeHeight="251662336" behindDoc="1" locked="0" layoutInCell="1" allowOverlap="1">
              <wp:simplePos x="0" y="0"/>
              <wp:positionH relativeFrom="page">
                <wp:posOffset>706755</wp:posOffset>
              </wp:positionH>
              <wp:positionV relativeFrom="page">
                <wp:posOffset>584835</wp:posOffset>
              </wp:positionV>
              <wp:extent cx="2082800" cy="174625"/>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2082800" cy="174625"/>
                      </a:xfrm>
                      <a:prstGeom prst="rect">
                        <a:avLst/>
                      </a:prstGeom>
                      <a:noFill/>
                      <a:ln>
                        <a:noFill/>
                      </a:ln>
                      <a:effectLst/>
                    </wps:spPr>
                    <wps:txbx>
                      <w:txbxContent>
                        <w:p w14:paraId="3687888A">
                          <w:pPr>
                            <w:spacing w:line="274" w:lineRule="exact"/>
                            <w:rPr>
                              <w:rFonts w:ascii="华文楷体" w:eastAsia="华文楷体"/>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65pt;margin-top:46.05pt;height:13.75pt;width:164pt;mso-position-horizontal-relative:page;mso-position-vertical-relative:page;z-index:-251654144;mso-width-relative:page;mso-height-relative:page;" filled="f" stroked="f" coordsize="21600,21600" o:gfxdata="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q3mL1wAAAAoBAAAPAAAAAAAA&#10;AAEAIAAAACIAAABkcnMvZG93bnJldi54bWxQSwECFAAUAAAACACHTuJAsi1SxRMCAAAVBAAADgAA&#10;AAAAAAABACAAAAAmAQAAZHJzL2Uyb0RvYy54bWxQSwUGAAAAAAYABgBZAQAAqwUAAAAA&#10;">
              <v:fill on="f" focussize="0,0"/>
              <v:stroke on="f"/>
              <v:imagedata o:title=""/>
              <o:lock v:ext="edit" aspectratio="f"/>
              <v:textbox inset="0mm,0mm,0mm,0mm">
                <w:txbxContent>
                  <w:p w14:paraId="3687888A">
                    <w:pPr>
                      <w:spacing w:line="274" w:lineRule="exact"/>
                      <w:rPr>
                        <w:rFonts w:ascii="华文楷体" w:eastAsia="华文楷体"/>
                        <w:sz w:val="18"/>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5396865</wp:posOffset>
              </wp:positionH>
              <wp:positionV relativeFrom="page">
                <wp:posOffset>584835</wp:posOffset>
              </wp:positionV>
              <wp:extent cx="1431290" cy="174625"/>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1431290" cy="174625"/>
                      </a:xfrm>
                      <a:prstGeom prst="rect">
                        <a:avLst/>
                      </a:prstGeom>
                      <a:noFill/>
                      <a:ln>
                        <a:noFill/>
                      </a:ln>
                      <a:effectLst/>
                    </wps:spPr>
                    <wps:txbx>
                      <w:txbxContent>
                        <w:p w14:paraId="44EEDB27">
                          <w:pPr>
                            <w:spacing w:line="274" w:lineRule="exact"/>
                            <w:rPr>
                              <w:rFonts w:ascii="华文楷体" w:eastAsia="华文楷体"/>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24.95pt;margin-top:46.05pt;height:13.75pt;width:112.7pt;mso-position-horizontal-relative:page;mso-position-vertical-relative:page;z-index:-251653120;mso-width-relative:page;mso-height-relative:page;" filled="f" stroked="f" coordsize="21600,21600" o:gfxdata="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hub2gAAAAsBAAAPAAAA&#10;AAAAAAEAIAAAACIAAABkcnMvZG93bnJldi54bWxQSwECFAAUAAAACACHTuJAnkBUchMCAAAVBAAA&#10;DgAAAAAAAAABACAAAAApAQAAZHJzL2Uyb0RvYy54bWxQSwUGAAAAAAYABgBZAQAArgUAAAAA&#10;">
              <v:fill on="f" focussize="0,0"/>
              <v:stroke on="f"/>
              <v:imagedata o:title=""/>
              <o:lock v:ext="edit" aspectratio="f"/>
              <v:textbox inset="0mm,0mm,0mm,0mm">
                <w:txbxContent>
                  <w:p w14:paraId="44EEDB27">
                    <w:pPr>
                      <w:spacing w:line="274" w:lineRule="exact"/>
                      <w:rPr>
                        <w:rFonts w:ascii="华文楷体" w:eastAsia="华文楷体"/>
                        <w:sz w:val="18"/>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9EE1">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40C41">
    <w:pPr>
      <w:pStyle w:val="2"/>
      <w:spacing w:line="14" w:lineRule="auto"/>
      <w:rPr>
        <w:sz w:val="20"/>
      </w:rPr>
    </w:pPr>
    <w:r>
      <w:drawing>
        <wp:anchor distT="0" distB="0" distL="114300" distR="114300" simplePos="0" relativeHeight="251667456" behindDoc="1" locked="0" layoutInCell="1" allowOverlap="1">
          <wp:simplePos x="0" y="0"/>
          <wp:positionH relativeFrom="page">
            <wp:posOffset>6846570</wp:posOffset>
          </wp:positionH>
          <wp:positionV relativeFrom="page">
            <wp:posOffset>540385</wp:posOffset>
          </wp:positionV>
          <wp:extent cx="44450" cy="38100"/>
          <wp:effectExtent l="0" t="0" r="12700" b="0"/>
          <wp:wrapNone/>
          <wp:docPr id="2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
                  <pic:cNvPicPr>
                    <a:picLocks noChangeAspect="1"/>
                  </pic:cNvPicPr>
                </pic:nvPicPr>
                <pic:blipFill>
                  <a:blip r:embed="rId1"/>
                  <a:stretch>
                    <a:fillRect/>
                  </a:stretch>
                </pic:blipFill>
                <pic:spPr>
                  <a:xfrm>
                    <a:off x="0" y="0"/>
                    <a:ext cx="44450" cy="38100"/>
                  </a:xfrm>
                  <a:prstGeom prst="rect">
                    <a:avLst/>
                  </a:prstGeom>
                  <a:noFill/>
                  <a:ln>
                    <a:noFill/>
                  </a:ln>
                </pic:spPr>
              </pic:pic>
            </a:graphicData>
          </a:graphic>
        </wp:anchor>
      </w:drawing>
    </w:r>
    <w:r>
      <mc:AlternateContent>
        <mc:Choice Requires="wps">
          <w:drawing>
            <wp:anchor distT="0" distB="0" distL="114300" distR="114300" simplePos="0" relativeHeight="251668480" behindDoc="1" locked="0" layoutInCell="1" allowOverlap="1">
              <wp:simplePos x="0" y="0"/>
              <wp:positionH relativeFrom="page">
                <wp:posOffset>706755</wp:posOffset>
              </wp:positionH>
              <wp:positionV relativeFrom="page">
                <wp:posOffset>584835</wp:posOffset>
              </wp:positionV>
              <wp:extent cx="2082800" cy="17462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82800" cy="174625"/>
                      </a:xfrm>
                      <a:prstGeom prst="rect">
                        <a:avLst/>
                      </a:prstGeom>
                      <a:noFill/>
                      <a:ln>
                        <a:noFill/>
                      </a:ln>
                      <a:effectLst/>
                    </wps:spPr>
                    <wps:txbx>
                      <w:txbxContent>
                        <w:p w14:paraId="2EEE857D">
                          <w:pPr>
                            <w:spacing w:line="274" w:lineRule="exact"/>
                            <w:rPr>
                              <w:rFonts w:ascii="华文楷体" w:eastAsia="华文楷体"/>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65pt;margin-top:46.05pt;height:13.75pt;width:164pt;mso-position-horizontal-relative:page;mso-position-vertical-relative:page;z-index:-251648000;mso-width-relative:page;mso-height-relative:page;" filled="f" stroked="f" coordsize="21600,21600" o:gfxdata="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SreYvXAAAACgEAAA8AAAAAAAAA&#10;AQAgAAAAIgAAAGRycy9kb3ducmV2LnhtbFBLAQIUABQAAAAIAIdO4kCHvfidEgIAABMEAAAOAAAA&#10;AAAAAAEAIAAAACYBAABkcnMvZTJvRG9jLnhtbFBLBQYAAAAABgAGAFkBAACqBQAAAAA=&#10;">
              <v:fill on="f" focussize="0,0"/>
              <v:stroke on="f"/>
              <v:imagedata o:title=""/>
              <o:lock v:ext="edit" aspectratio="f"/>
              <v:textbox inset="0mm,0mm,0mm,0mm">
                <w:txbxContent>
                  <w:p w14:paraId="2EEE857D">
                    <w:pPr>
                      <w:spacing w:line="274" w:lineRule="exact"/>
                      <w:rPr>
                        <w:rFonts w:ascii="华文楷体" w:eastAsia="华文楷体"/>
                        <w:sz w:val="18"/>
                      </w:rPr>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5396865</wp:posOffset>
              </wp:positionH>
              <wp:positionV relativeFrom="page">
                <wp:posOffset>584835</wp:posOffset>
              </wp:positionV>
              <wp:extent cx="1431290" cy="17462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431290" cy="174625"/>
                      </a:xfrm>
                      <a:prstGeom prst="rect">
                        <a:avLst/>
                      </a:prstGeom>
                      <a:noFill/>
                      <a:ln>
                        <a:noFill/>
                      </a:ln>
                      <a:effectLst/>
                    </wps:spPr>
                    <wps:txbx>
                      <w:txbxContent>
                        <w:p w14:paraId="507B8A10">
                          <w:pPr>
                            <w:spacing w:line="274" w:lineRule="exact"/>
                            <w:rPr>
                              <w:rFonts w:ascii="华文楷体" w:eastAsia="华文楷体"/>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24.95pt;margin-top:46.05pt;height:13.75pt;width:112.7pt;mso-position-horizontal-relative:page;mso-position-vertical-relative:page;z-index:-251646976;mso-width-relative:page;mso-height-relative:page;" filled="f" stroked="f" coordsize="21600,21600" o:gfxdata="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7+G5vaAAAACwEAAA8AAAAA&#10;AAAAAQAgAAAAIgAAAGRycy9kb3ducmV2LnhtbFBLAQIUABQAAAAIAIdO4kAF+xgdEgIAABMEAAAO&#10;AAAAAAAAAAEAIAAAACkBAABkcnMvZTJvRG9jLnhtbFBLBQYAAAAABgAGAFkBAACtBQAAAAA=&#10;">
              <v:fill on="f" focussize="0,0"/>
              <v:stroke on="f"/>
              <v:imagedata o:title=""/>
              <o:lock v:ext="edit" aspectratio="f"/>
              <v:textbox inset="0mm,0mm,0mm,0mm">
                <w:txbxContent>
                  <w:p w14:paraId="507B8A10">
                    <w:pPr>
                      <w:spacing w:line="274" w:lineRule="exact"/>
                      <w:rPr>
                        <w:rFonts w:ascii="华文楷体" w:eastAsia="华文楷体"/>
                        <w:sz w:val="18"/>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151E0">
    <w:pPr>
      <w:pStyle w:val="16"/>
      <w:pBdr>
        <w:bottom w:val="none" w:color="auto" w:sz="0" w:space="1"/>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7CC5">
    <w:pPr>
      <w:pStyle w:val="1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658C">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2CDF3"/>
    <w:multiLevelType w:val="multilevel"/>
    <w:tmpl w:val="9462CDF3"/>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452"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0000002"/>
    <w:multiLevelType w:val="singleLevel"/>
    <w:tmpl w:val="00000002"/>
    <w:lvl w:ilvl="0" w:tentative="0">
      <w:start w:val="1"/>
      <w:numFmt w:val="upperLetter"/>
      <w:pStyle w:val="4"/>
      <w:lvlText w:val="%1."/>
      <w:lvlJc w:val="left"/>
      <w:pPr>
        <w:tabs>
          <w:tab w:val="left" w:pos="330"/>
        </w:tabs>
        <w:ind w:left="330" w:hanging="330"/>
      </w:pPr>
    </w:lvl>
  </w:abstractNum>
  <w:abstractNum w:abstractNumId="2">
    <w:nsid w:val="0053208E"/>
    <w:multiLevelType w:val="multilevel"/>
    <w:tmpl w:val="0053208E"/>
    <w:lvl w:ilvl="0" w:tentative="0">
      <w:start w:val="1"/>
      <w:numFmt w:val="upperLetter"/>
      <w:pStyle w:val="5"/>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42C5E60"/>
    <w:multiLevelType w:val="singleLevel"/>
    <w:tmpl w:val="242C5E60"/>
    <w:lvl w:ilvl="0" w:tentative="0">
      <w:start w:val="8"/>
      <w:numFmt w:val="decimal"/>
      <w:suff w:val="nothing"/>
      <w:lvlText w:val="%1、"/>
      <w:lvlJc w:val="left"/>
    </w:lvl>
  </w:abstractNum>
  <w:abstractNum w:abstractNumId="4">
    <w:nsid w:val="2960518C"/>
    <w:multiLevelType w:val="singleLevel"/>
    <w:tmpl w:val="2960518C"/>
    <w:lvl w:ilvl="0" w:tentative="0">
      <w:start w:val="1"/>
      <w:numFmt w:val="decimal"/>
      <w:suff w:val="nothing"/>
      <w:lvlText w:val="(%1)"/>
      <w:lvlJc w:val="left"/>
      <w:pPr>
        <w:ind w:left="425" w:hanging="425"/>
      </w:pPr>
      <w:rPr>
        <w:rFonts w:hint="default"/>
      </w:rPr>
    </w:lvl>
  </w:abstractNum>
  <w:abstractNum w:abstractNumId="5">
    <w:nsid w:val="31A53C86"/>
    <w:multiLevelType w:val="multilevel"/>
    <w:tmpl w:val="31A53C86"/>
    <w:lvl w:ilvl="0" w:tentative="0">
      <w:start w:val="1"/>
      <w:numFmt w:val="decimal"/>
      <w:suff w:val="nothing"/>
      <w:lvlText w:val="%1."/>
      <w:lvlJc w:val="left"/>
      <w:pPr>
        <w:ind w:left="1130"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45B62463"/>
    <w:multiLevelType w:val="multilevel"/>
    <w:tmpl w:val="45B62463"/>
    <w:lvl w:ilvl="0" w:tentative="0">
      <w:start w:val="1"/>
      <w:numFmt w:val="japaneseCounting"/>
      <w:lvlText w:val="（%1）"/>
      <w:lvlJc w:val="left"/>
      <w:pPr>
        <w:ind w:left="1580" w:hanging="870"/>
      </w:pPr>
      <w:rPr>
        <w:rFonts w:hint="default"/>
      </w:rPr>
    </w:lvl>
    <w:lvl w:ilvl="1" w:tentative="0">
      <w:start w:val="1"/>
      <w:numFmt w:val="lowerLetter"/>
      <w:lvlText w:val="%2)"/>
      <w:lvlJc w:val="left"/>
      <w:pPr>
        <w:ind w:left="1590" w:hanging="440"/>
      </w:pPr>
    </w:lvl>
    <w:lvl w:ilvl="2" w:tentative="0">
      <w:start w:val="1"/>
      <w:numFmt w:val="lowerRoman"/>
      <w:lvlText w:val="%3."/>
      <w:lvlJc w:val="right"/>
      <w:pPr>
        <w:ind w:left="2030" w:hanging="440"/>
      </w:pPr>
    </w:lvl>
    <w:lvl w:ilvl="3" w:tentative="0">
      <w:start w:val="1"/>
      <w:numFmt w:val="decimal"/>
      <w:lvlText w:val="%4."/>
      <w:lvlJc w:val="left"/>
      <w:pPr>
        <w:ind w:left="2470" w:hanging="440"/>
      </w:pPr>
    </w:lvl>
    <w:lvl w:ilvl="4" w:tentative="0">
      <w:start w:val="1"/>
      <w:numFmt w:val="lowerLetter"/>
      <w:lvlText w:val="%5)"/>
      <w:lvlJc w:val="left"/>
      <w:pPr>
        <w:ind w:left="2910" w:hanging="440"/>
      </w:pPr>
    </w:lvl>
    <w:lvl w:ilvl="5" w:tentative="0">
      <w:start w:val="1"/>
      <w:numFmt w:val="lowerRoman"/>
      <w:lvlText w:val="%6."/>
      <w:lvlJc w:val="right"/>
      <w:pPr>
        <w:ind w:left="3350" w:hanging="440"/>
      </w:pPr>
    </w:lvl>
    <w:lvl w:ilvl="6" w:tentative="0">
      <w:start w:val="1"/>
      <w:numFmt w:val="decimal"/>
      <w:lvlText w:val="%7."/>
      <w:lvlJc w:val="left"/>
      <w:pPr>
        <w:ind w:left="3790" w:hanging="440"/>
      </w:pPr>
    </w:lvl>
    <w:lvl w:ilvl="7" w:tentative="0">
      <w:start w:val="1"/>
      <w:numFmt w:val="lowerLetter"/>
      <w:lvlText w:val="%8)"/>
      <w:lvlJc w:val="left"/>
      <w:pPr>
        <w:ind w:left="4230" w:hanging="440"/>
      </w:pPr>
    </w:lvl>
    <w:lvl w:ilvl="8" w:tentative="0">
      <w:start w:val="1"/>
      <w:numFmt w:val="lowerRoman"/>
      <w:lvlText w:val="%9."/>
      <w:lvlJc w:val="right"/>
      <w:pPr>
        <w:ind w:left="4670" w:hanging="440"/>
      </w:pPr>
    </w:lvl>
  </w:abstractNum>
  <w:num w:numId="1">
    <w:abstractNumId w:val="1"/>
  </w:num>
  <w:num w:numId="2">
    <w:abstractNumId w:val="2"/>
  </w:num>
  <w:num w:numId="3">
    <w:abstractNumId w:val="6"/>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dit="readOnly" w:enforcement="1" w:cryptProviderType="rsaFull" w:cryptAlgorithmClass="hash" w:cryptAlgorithmType="typeAny" w:cryptAlgorithmSid="4" w:cryptSpinCount="0" w:hash="7aZtjwZRafwlvohVJZAJBPz87rI=" w:salt="FmoC9ngw0OvC8MOPYDMStg=="/>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ZDdiODk5YmY4ZGI2ZTliZWMzZTAzZTU2MWVmODEifQ=="/>
  </w:docVars>
  <w:rsids>
    <w:rsidRoot w:val="00E74A13"/>
    <w:rsid w:val="00010625"/>
    <w:rsid w:val="00011274"/>
    <w:rsid w:val="000C2D80"/>
    <w:rsid w:val="000E258B"/>
    <w:rsid w:val="000F33C2"/>
    <w:rsid w:val="001104EF"/>
    <w:rsid w:val="00121584"/>
    <w:rsid w:val="00130AD2"/>
    <w:rsid w:val="00254D2C"/>
    <w:rsid w:val="002F44CE"/>
    <w:rsid w:val="00380D19"/>
    <w:rsid w:val="003874B9"/>
    <w:rsid w:val="00397D3E"/>
    <w:rsid w:val="003B5DAF"/>
    <w:rsid w:val="003E0E68"/>
    <w:rsid w:val="004E638A"/>
    <w:rsid w:val="005304B9"/>
    <w:rsid w:val="00596A5F"/>
    <w:rsid w:val="006333AB"/>
    <w:rsid w:val="00692036"/>
    <w:rsid w:val="006A4E16"/>
    <w:rsid w:val="006F5F1F"/>
    <w:rsid w:val="007131BB"/>
    <w:rsid w:val="0071544C"/>
    <w:rsid w:val="007F0D3F"/>
    <w:rsid w:val="0082648C"/>
    <w:rsid w:val="008601BE"/>
    <w:rsid w:val="008C6408"/>
    <w:rsid w:val="00AA067D"/>
    <w:rsid w:val="00AB1073"/>
    <w:rsid w:val="00B00776"/>
    <w:rsid w:val="00B24F2C"/>
    <w:rsid w:val="00C573C7"/>
    <w:rsid w:val="00C87A7C"/>
    <w:rsid w:val="00D21DF6"/>
    <w:rsid w:val="00D70859"/>
    <w:rsid w:val="00D9012D"/>
    <w:rsid w:val="00DF0E48"/>
    <w:rsid w:val="00E25B4C"/>
    <w:rsid w:val="00E74A13"/>
    <w:rsid w:val="00FE3E47"/>
    <w:rsid w:val="031E451D"/>
    <w:rsid w:val="03265180"/>
    <w:rsid w:val="03B629A7"/>
    <w:rsid w:val="051C4A8C"/>
    <w:rsid w:val="058C648E"/>
    <w:rsid w:val="062B1CFE"/>
    <w:rsid w:val="06304C93"/>
    <w:rsid w:val="07951FE7"/>
    <w:rsid w:val="08430582"/>
    <w:rsid w:val="08774BDA"/>
    <w:rsid w:val="0A324BF0"/>
    <w:rsid w:val="0ACB4F8A"/>
    <w:rsid w:val="0B3568A8"/>
    <w:rsid w:val="0B6149B5"/>
    <w:rsid w:val="0BF978D5"/>
    <w:rsid w:val="0C1864E7"/>
    <w:rsid w:val="0C436DA2"/>
    <w:rsid w:val="0CFA522B"/>
    <w:rsid w:val="0D042A38"/>
    <w:rsid w:val="0E037770"/>
    <w:rsid w:val="0E7E7932"/>
    <w:rsid w:val="0FC24482"/>
    <w:rsid w:val="10501A8E"/>
    <w:rsid w:val="124B69B1"/>
    <w:rsid w:val="12676B1C"/>
    <w:rsid w:val="128E0F2A"/>
    <w:rsid w:val="13086650"/>
    <w:rsid w:val="131E2317"/>
    <w:rsid w:val="13F50CB0"/>
    <w:rsid w:val="15612E9D"/>
    <w:rsid w:val="16761C0B"/>
    <w:rsid w:val="16CD208A"/>
    <w:rsid w:val="171C5F5E"/>
    <w:rsid w:val="18100480"/>
    <w:rsid w:val="18DC65B5"/>
    <w:rsid w:val="19324427"/>
    <w:rsid w:val="19371A3D"/>
    <w:rsid w:val="1AE602DC"/>
    <w:rsid w:val="1B0B3C0E"/>
    <w:rsid w:val="1C297D63"/>
    <w:rsid w:val="1CFD2F9D"/>
    <w:rsid w:val="1DB47B00"/>
    <w:rsid w:val="1DCB54E1"/>
    <w:rsid w:val="1DDF5484"/>
    <w:rsid w:val="1EC45B21"/>
    <w:rsid w:val="20656E27"/>
    <w:rsid w:val="20CC6F0F"/>
    <w:rsid w:val="20CC7DDC"/>
    <w:rsid w:val="21601A4E"/>
    <w:rsid w:val="22244B28"/>
    <w:rsid w:val="22716E90"/>
    <w:rsid w:val="22845011"/>
    <w:rsid w:val="22AB7EB5"/>
    <w:rsid w:val="23604669"/>
    <w:rsid w:val="23E97DD8"/>
    <w:rsid w:val="2406377F"/>
    <w:rsid w:val="240A4E83"/>
    <w:rsid w:val="24637B8A"/>
    <w:rsid w:val="24C41239"/>
    <w:rsid w:val="24C9636D"/>
    <w:rsid w:val="24D5148C"/>
    <w:rsid w:val="253024AD"/>
    <w:rsid w:val="25F85588"/>
    <w:rsid w:val="276A001E"/>
    <w:rsid w:val="27BD7C90"/>
    <w:rsid w:val="28101DD7"/>
    <w:rsid w:val="289B3D96"/>
    <w:rsid w:val="28AB00FE"/>
    <w:rsid w:val="28B879F7"/>
    <w:rsid w:val="29183639"/>
    <w:rsid w:val="2973261D"/>
    <w:rsid w:val="29AE7AF9"/>
    <w:rsid w:val="29CF181E"/>
    <w:rsid w:val="2A8F6327"/>
    <w:rsid w:val="2BBE4084"/>
    <w:rsid w:val="2D4D226C"/>
    <w:rsid w:val="2D607AB3"/>
    <w:rsid w:val="2DA01E4F"/>
    <w:rsid w:val="2EE535B7"/>
    <w:rsid w:val="2FA31782"/>
    <w:rsid w:val="3041586B"/>
    <w:rsid w:val="314D6F7A"/>
    <w:rsid w:val="317038E6"/>
    <w:rsid w:val="31E2086A"/>
    <w:rsid w:val="31FD7870"/>
    <w:rsid w:val="331C6AE0"/>
    <w:rsid w:val="33DB6B53"/>
    <w:rsid w:val="34B34C66"/>
    <w:rsid w:val="360D479A"/>
    <w:rsid w:val="364D77DE"/>
    <w:rsid w:val="36E52680"/>
    <w:rsid w:val="38536B21"/>
    <w:rsid w:val="385F449D"/>
    <w:rsid w:val="391B05DB"/>
    <w:rsid w:val="3ABE56C2"/>
    <w:rsid w:val="3B0A4DAB"/>
    <w:rsid w:val="3B6F738F"/>
    <w:rsid w:val="3C355E58"/>
    <w:rsid w:val="3CEA3F3E"/>
    <w:rsid w:val="3D36369F"/>
    <w:rsid w:val="3D7521C3"/>
    <w:rsid w:val="3D7D6EF6"/>
    <w:rsid w:val="3DA602E4"/>
    <w:rsid w:val="3E5B2B00"/>
    <w:rsid w:val="3F650B29"/>
    <w:rsid w:val="3F6525B0"/>
    <w:rsid w:val="3FF91CB6"/>
    <w:rsid w:val="40C5233E"/>
    <w:rsid w:val="41452699"/>
    <w:rsid w:val="41BA22E4"/>
    <w:rsid w:val="44A1052F"/>
    <w:rsid w:val="44CE6E4A"/>
    <w:rsid w:val="44E623E5"/>
    <w:rsid w:val="455C6B0D"/>
    <w:rsid w:val="462C02CC"/>
    <w:rsid w:val="46E53D45"/>
    <w:rsid w:val="483B0352"/>
    <w:rsid w:val="48735D3E"/>
    <w:rsid w:val="49ED4E6D"/>
    <w:rsid w:val="4A764942"/>
    <w:rsid w:val="4AC76815"/>
    <w:rsid w:val="4B5D76C0"/>
    <w:rsid w:val="4B6A19AB"/>
    <w:rsid w:val="4C481290"/>
    <w:rsid w:val="4C520360"/>
    <w:rsid w:val="4C5E75E1"/>
    <w:rsid w:val="4CAA1F4A"/>
    <w:rsid w:val="4CC80356"/>
    <w:rsid w:val="4CEC2563"/>
    <w:rsid w:val="4DC81F0C"/>
    <w:rsid w:val="5151508A"/>
    <w:rsid w:val="517321A0"/>
    <w:rsid w:val="51746C3D"/>
    <w:rsid w:val="51A96C75"/>
    <w:rsid w:val="530103EA"/>
    <w:rsid w:val="54233F54"/>
    <w:rsid w:val="54A20958"/>
    <w:rsid w:val="556D43E3"/>
    <w:rsid w:val="56361AEC"/>
    <w:rsid w:val="5741772B"/>
    <w:rsid w:val="574772B7"/>
    <w:rsid w:val="58CC5A31"/>
    <w:rsid w:val="59D32AE1"/>
    <w:rsid w:val="5A110BE4"/>
    <w:rsid w:val="5AA93ED3"/>
    <w:rsid w:val="5BA06E2C"/>
    <w:rsid w:val="5BD01CC8"/>
    <w:rsid w:val="5C551101"/>
    <w:rsid w:val="5C5619C5"/>
    <w:rsid w:val="5C6118BB"/>
    <w:rsid w:val="5E8A7865"/>
    <w:rsid w:val="5E930A90"/>
    <w:rsid w:val="5EAC3900"/>
    <w:rsid w:val="60784F38"/>
    <w:rsid w:val="62755D04"/>
    <w:rsid w:val="627D7A0F"/>
    <w:rsid w:val="63400ABB"/>
    <w:rsid w:val="63B0096C"/>
    <w:rsid w:val="64BE61B5"/>
    <w:rsid w:val="64CF20F6"/>
    <w:rsid w:val="6574630C"/>
    <w:rsid w:val="65DE4480"/>
    <w:rsid w:val="675F3C06"/>
    <w:rsid w:val="68E819D9"/>
    <w:rsid w:val="698740BC"/>
    <w:rsid w:val="699822C8"/>
    <w:rsid w:val="6AB951E2"/>
    <w:rsid w:val="6B9B0F84"/>
    <w:rsid w:val="6CE46821"/>
    <w:rsid w:val="6D97577B"/>
    <w:rsid w:val="6EF56BFD"/>
    <w:rsid w:val="6FF60E7F"/>
    <w:rsid w:val="70A71B01"/>
    <w:rsid w:val="70B15687"/>
    <w:rsid w:val="71BF65F1"/>
    <w:rsid w:val="73BA21C4"/>
    <w:rsid w:val="73E23AB5"/>
    <w:rsid w:val="740C5E91"/>
    <w:rsid w:val="743E1546"/>
    <w:rsid w:val="747405C4"/>
    <w:rsid w:val="748E5B2A"/>
    <w:rsid w:val="78FB12B4"/>
    <w:rsid w:val="793B3DA7"/>
    <w:rsid w:val="79444A09"/>
    <w:rsid w:val="7B3049AD"/>
    <w:rsid w:val="7BC17119"/>
    <w:rsid w:val="7C633AF0"/>
    <w:rsid w:val="7D6D21BF"/>
    <w:rsid w:val="7EBD2AC8"/>
    <w:rsid w:val="7F0A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0"/>
    <w:pPr>
      <w:keepNext/>
      <w:jc w:val="center"/>
      <w:outlineLvl w:val="0"/>
    </w:pPr>
    <w:rPr>
      <w:rFonts w:ascii="仿宋_GB2312" w:eastAsia="仿宋_GB2312"/>
      <w:kern w:val="0"/>
      <w:sz w:val="28"/>
    </w:rPr>
  </w:style>
  <w:style w:type="paragraph" w:styleId="4">
    <w:name w:val="heading 2"/>
    <w:basedOn w:val="1"/>
    <w:next w:val="1"/>
    <w:qFormat/>
    <w:uiPriority w:val="0"/>
    <w:pPr>
      <w:keepNext/>
      <w:numPr>
        <w:ilvl w:val="0"/>
        <w:numId w:val="1"/>
      </w:numPr>
      <w:tabs>
        <w:tab w:val="left" w:pos="420"/>
        <w:tab w:val="clear" w:pos="330"/>
      </w:tabs>
      <w:spacing w:line="360" w:lineRule="auto"/>
      <w:outlineLvl w:val="1"/>
    </w:pPr>
    <w:rPr>
      <w:b/>
      <w:kern w:val="0"/>
      <w:sz w:val="24"/>
      <w:szCs w:val="24"/>
    </w:rPr>
  </w:style>
  <w:style w:type="paragraph" w:styleId="5">
    <w:name w:val="heading 3"/>
    <w:basedOn w:val="1"/>
    <w:next w:val="1"/>
    <w:link w:val="49"/>
    <w:qFormat/>
    <w:uiPriority w:val="0"/>
    <w:pPr>
      <w:numPr>
        <w:ilvl w:val="0"/>
        <w:numId w:val="2"/>
      </w:numPr>
      <w:outlineLvl w:val="2"/>
    </w:pPr>
    <w:rPr>
      <w:bCs/>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0"/>
    <w:pPr>
      <w:spacing w:before="120"/>
    </w:pPr>
    <w:rPr>
      <w:rFonts w:ascii="Cambria" w:hAnsi="Cambria"/>
      <w:sz w:val="24"/>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Indent"/>
    <w:basedOn w:val="1"/>
    <w:next w:val="11"/>
    <w:qFormat/>
    <w:uiPriority w:val="0"/>
    <w:pPr>
      <w:spacing w:line="800" w:lineRule="exact"/>
      <w:ind w:left="315" w:leftChars="150" w:firstLine="664" w:firstLineChars="237"/>
    </w:pPr>
    <w:rPr>
      <w:rFonts w:ascii="仿宋_GB2312" w:eastAsia="仿宋_GB2312"/>
      <w:sz w:val="28"/>
    </w:rPr>
  </w:style>
  <w:style w:type="paragraph" w:styleId="11">
    <w:name w:val="Body Text First Indent 2"/>
    <w:basedOn w:val="10"/>
    <w:next w:val="12"/>
    <w:qFormat/>
    <w:uiPriority w:val="0"/>
    <w:pPr>
      <w:spacing w:after="120"/>
      <w:ind w:left="420" w:leftChars="200" w:firstLine="420" w:firstLineChars="200"/>
    </w:pPr>
  </w:style>
  <w:style w:type="paragraph" w:styleId="12">
    <w:name w:val="Body Text First Indent"/>
    <w:basedOn w:val="2"/>
    <w:next w:val="13"/>
    <w:qFormat/>
    <w:uiPriority w:val="0"/>
    <w:pPr>
      <w:ind w:firstLine="420" w:firstLineChars="100"/>
    </w:pPr>
  </w:style>
  <w:style w:type="paragraph" w:styleId="13">
    <w:name w:val="toc 6"/>
    <w:basedOn w:val="1"/>
    <w:next w:val="1"/>
    <w:qFormat/>
    <w:uiPriority w:val="0"/>
    <w:pPr>
      <w:ind w:left="2100" w:leftChars="1000"/>
    </w:pPr>
    <w:rPr>
      <w:rFonts w:ascii="Calibri" w:hAnsi="Calibri"/>
    </w:rPr>
  </w:style>
  <w:style w:type="paragraph" w:styleId="14">
    <w:name w:val="Plain Text"/>
    <w:basedOn w:val="1"/>
    <w:qFormat/>
    <w:uiPriority w:val="0"/>
    <w:rPr>
      <w:rFonts w:ascii="宋体" w:hAnsi="宋体"/>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style>
  <w:style w:type="paragraph" w:styleId="18">
    <w:name w:val="footnote text"/>
    <w:basedOn w:val="1"/>
    <w:qFormat/>
    <w:uiPriority w:val="0"/>
    <w:pPr>
      <w:snapToGrid w:val="0"/>
      <w:spacing w:line="312" w:lineRule="atLeast"/>
    </w:pPr>
    <w:rPr>
      <w:sz w:val="18"/>
      <w:szCs w:val="18"/>
    </w:rPr>
  </w:style>
  <w:style w:type="paragraph" w:styleId="19">
    <w:name w:val="HTML Preformatted"/>
    <w:basedOn w:val="1"/>
    <w:unhideWhenUsed/>
    <w:qFormat/>
    <w:uiPriority w:val="99"/>
    <w:rPr>
      <w:rFonts w:ascii="Courier New" w:hAnsi="Courier New" w:cs="Courier New"/>
      <w:sz w:val="20"/>
    </w:rPr>
  </w:style>
  <w:style w:type="paragraph" w:styleId="20">
    <w:name w:val="Normal (Web)"/>
    <w:basedOn w:val="1"/>
    <w:qFormat/>
    <w:uiPriority w:val="0"/>
    <w:pPr>
      <w:widowControl/>
      <w:jc w:val="left"/>
    </w:pPr>
    <w:rPr>
      <w:rFonts w:ascii="宋体" w:hAnsi="宋体" w:cs="宋体"/>
      <w:kern w:val="0"/>
      <w:sz w:val="24"/>
      <w:szCs w:val="24"/>
    </w:rPr>
  </w:style>
  <w:style w:type="table" w:styleId="22">
    <w:name w:val="Table Grid"/>
    <w:basedOn w:val="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Emphasis"/>
    <w:basedOn w:val="23"/>
    <w:qFormat/>
    <w:uiPriority w:val="0"/>
    <w:rPr>
      <w:i/>
    </w:rPr>
  </w:style>
  <w:style w:type="character" w:styleId="26">
    <w:name w:val="Hyperlink"/>
    <w:qFormat/>
    <w:uiPriority w:val="0"/>
    <w:rPr>
      <w:color w:val="0000FF"/>
      <w:u w:val="single"/>
    </w:rPr>
  </w:style>
  <w:style w:type="character" w:styleId="27">
    <w:name w:val="HTML Sample"/>
    <w:basedOn w:val="23"/>
    <w:qFormat/>
    <w:uiPriority w:val="0"/>
    <w:rPr>
      <w:rFonts w:ascii="Courier New" w:hAnsi="Courier New"/>
    </w:rPr>
  </w:style>
  <w:style w:type="paragraph" w:customStyle="1" w:styleId="28">
    <w:name w:val="表格文字"/>
    <w:basedOn w:val="1"/>
    <w:next w:val="2"/>
    <w:qFormat/>
    <w:uiPriority w:val="0"/>
    <w:pPr>
      <w:spacing w:before="25" w:after="25"/>
      <w:jc w:val="left"/>
    </w:pPr>
    <w:rPr>
      <w:bCs/>
      <w:spacing w:val="10"/>
      <w:kern w:val="0"/>
      <w:sz w:val="24"/>
    </w:rPr>
  </w:style>
  <w:style w:type="paragraph" w:customStyle="1" w:styleId="29">
    <w:name w:val="Default Text"/>
    <w:basedOn w:val="30"/>
    <w:qFormat/>
    <w:uiPriority w:val="0"/>
    <w:pPr>
      <w:autoSpaceDE w:val="0"/>
      <w:autoSpaceDN w:val="0"/>
      <w:adjustRightInd w:val="0"/>
    </w:pPr>
    <w:rPr>
      <w:color w:val="000000"/>
      <w:sz w:val="24"/>
    </w:rPr>
  </w:style>
  <w:style w:type="paragraph" w:customStyle="1" w:styleId="30">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31">
    <w:name w:val="标题 1 字符"/>
    <w:link w:val="3"/>
    <w:qFormat/>
    <w:uiPriority w:val="0"/>
    <w:rPr>
      <w:rFonts w:ascii="仿宋_GB2312" w:eastAsia="仿宋_GB2312"/>
      <w:kern w:val="0"/>
      <w:sz w:val="28"/>
    </w:rPr>
  </w:style>
  <w:style w:type="paragraph" w:customStyle="1" w:styleId="32">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3">
    <w:name w:val="case31"/>
    <w:qFormat/>
    <w:uiPriority w:val="0"/>
    <w:rPr>
      <w:rFonts w:ascii="ˎ̥" w:hAnsi="ˎ̥"/>
      <w:sz w:val="21"/>
      <w:szCs w:val="21"/>
    </w:rPr>
  </w:style>
  <w:style w:type="paragraph" w:customStyle="1" w:styleId="34">
    <w:name w:val="【正文】"/>
    <w:basedOn w:val="1"/>
    <w:qFormat/>
    <w:uiPriority w:val="0"/>
    <w:pPr>
      <w:spacing w:line="360" w:lineRule="auto"/>
      <w:ind w:firstLine="200" w:firstLineChars="200"/>
    </w:pPr>
    <w:rPr>
      <w:rFonts w:cs="黑体"/>
      <w:sz w:val="24"/>
    </w:rPr>
  </w:style>
  <w:style w:type="paragraph" w:customStyle="1" w:styleId="35">
    <w:name w:val="正文缩进_0"/>
    <w:basedOn w:val="30"/>
    <w:unhideWhenUsed/>
    <w:qFormat/>
    <w:uiPriority w:val="0"/>
    <w:pPr>
      <w:ind w:firstLine="420" w:firstLineChars="200"/>
    </w:pPr>
    <w:rPr>
      <w:szCs w:val="22"/>
    </w:rPr>
  </w:style>
  <w:style w:type="paragraph" w:customStyle="1" w:styleId="36">
    <w:name w:val="标题 3_0_0"/>
    <w:basedOn w:val="37"/>
    <w:next w:val="37"/>
    <w:qFormat/>
    <w:uiPriority w:val="0"/>
    <w:pPr>
      <w:widowControl w:val="0"/>
      <w:autoSpaceDE w:val="0"/>
      <w:autoSpaceDN w:val="0"/>
      <w:adjustRightInd w:val="0"/>
      <w:spacing w:before="0" w:after="0" w:line="500" w:lineRule="exact"/>
      <w:ind w:left="0" w:firstLine="0"/>
      <w:jc w:val="center"/>
      <w:outlineLvl w:val="2"/>
    </w:pPr>
    <w:rPr>
      <w:rFonts w:ascii="宋体" w:hAnsi="宋体"/>
      <w:b/>
      <w:kern w:val="0"/>
      <w:sz w:val="28"/>
      <w:szCs w:val="28"/>
    </w:rPr>
  </w:style>
  <w:style w:type="paragraph" w:customStyle="1" w:styleId="37">
    <w:name w:val="正文_1_0"/>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38">
    <w:name w:val="È±Ê¡ÎÄ±¾"/>
    <w:basedOn w:val="1"/>
    <w:qFormat/>
    <w:uiPriority w:val="0"/>
    <w:pPr>
      <w:widowControl/>
      <w:overflowPunct w:val="0"/>
      <w:autoSpaceDE w:val="0"/>
      <w:autoSpaceDN w:val="0"/>
      <w:adjustRightInd w:val="0"/>
      <w:jc w:val="left"/>
    </w:pPr>
    <w:rPr>
      <w:kern w:val="0"/>
      <w:sz w:val="24"/>
    </w:rPr>
  </w:style>
  <w:style w:type="paragraph" w:customStyle="1" w:styleId="39">
    <w:name w:val="正文1"/>
    <w:basedOn w:val="40"/>
    <w:qFormat/>
    <w:uiPriority w:val="0"/>
    <w:pPr>
      <w:tabs>
        <w:tab w:val="left" w:pos="425"/>
      </w:tabs>
    </w:pPr>
    <w:rPr>
      <w:rFonts w:ascii="Times New Roman" w:eastAsia="Times New Roman"/>
    </w:rPr>
  </w:style>
  <w:style w:type="paragraph" w:customStyle="1" w:styleId="40">
    <w:name w:val="样式1"/>
    <w:basedOn w:val="1"/>
    <w:qFormat/>
    <w:uiPriority w:val="0"/>
    <w:pPr>
      <w:tabs>
        <w:tab w:val="left" w:pos="425"/>
      </w:tabs>
      <w:adjustRightInd w:val="0"/>
      <w:spacing w:line="480" w:lineRule="exact"/>
      <w:ind w:left="330" w:hanging="330"/>
      <w:textAlignment w:val="baseline"/>
    </w:pPr>
    <w:rPr>
      <w:rFonts w:ascii="宋体"/>
      <w:b/>
      <w:color w:val="0000FF"/>
      <w:spacing w:val="4"/>
      <w:kern w:val="0"/>
      <w:sz w:val="24"/>
    </w:rPr>
  </w:style>
  <w:style w:type="paragraph" w:customStyle="1" w:styleId="41">
    <w:name w:val="列表段落1"/>
    <w:basedOn w:val="1"/>
    <w:qFormat/>
    <w:uiPriority w:val="34"/>
    <w:pPr>
      <w:ind w:firstLine="420" w:firstLineChars="200"/>
    </w:pPr>
  </w:style>
  <w:style w:type="paragraph" w:customStyle="1" w:styleId="42">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styleId="44">
    <w:name w:val="List Paragraph"/>
    <w:basedOn w:val="1"/>
    <w:unhideWhenUsed/>
    <w:qFormat/>
    <w:uiPriority w:val="99"/>
    <w:pPr>
      <w:ind w:firstLine="420" w:firstLineChars="200"/>
    </w:pPr>
  </w:style>
  <w:style w:type="table" w:customStyle="1" w:styleId="45">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46">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8">
    <w:name w:val="列出段落1"/>
    <w:basedOn w:val="1"/>
    <w:qFormat/>
    <w:uiPriority w:val="0"/>
    <w:pPr>
      <w:ind w:firstLine="420" w:firstLineChars="200"/>
    </w:pPr>
    <w:rPr>
      <w:szCs w:val="21"/>
    </w:rPr>
  </w:style>
  <w:style w:type="character" w:customStyle="1" w:styleId="49">
    <w:name w:val="标题 3 字符"/>
    <w:link w:val="5"/>
    <w:qFormat/>
    <w:uiPriority w:val="0"/>
    <w:rPr>
      <w:bCs/>
      <w:sz w:val="28"/>
    </w:rPr>
  </w:style>
  <w:style w:type="character" w:customStyle="1" w:styleId="50">
    <w:name w:val="font21"/>
    <w:basedOn w:val="23"/>
    <w:qFormat/>
    <w:uiPriority w:val="0"/>
    <w:rPr>
      <w:rFonts w:hint="eastAsia" w:ascii="宋体" w:hAnsi="宋体" w:eastAsia="宋体" w:cs="宋体"/>
      <w:color w:val="000000"/>
      <w:sz w:val="20"/>
      <w:szCs w:val="20"/>
      <w:u w:val="none"/>
    </w:rPr>
  </w:style>
  <w:style w:type="character" w:customStyle="1" w:styleId="51">
    <w:name w:val="font51"/>
    <w:basedOn w:val="23"/>
    <w:qFormat/>
    <w:uiPriority w:val="0"/>
    <w:rPr>
      <w:rFonts w:hint="eastAsia" w:ascii="宋体" w:hAnsi="宋体" w:eastAsia="宋体" w:cs="宋体"/>
      <w:color w:val="FF0000"/>
      <w:sz w:val="20"/>
      <w:szCs w:val="20"/>
      <w:u w:val="none"/>
    </w:rPr>
  </w:style>
  <w:style w:type="character" w:customStyle="1" w:styleId="52">
    <w:name w:val="font01"/>
    <w:basedOn w:val="23"/>
    <w:qFormat/>
    <w:uiPriority w:val="0"/>
    <w:rPr>
      <w:rFonts w:hint="eastAsia" w:ascii="宋体" w:hAnsi="宋体" w:eastAsia="宋体" w:cs="宋体"/>
      <w:color w:val="000000"/>
      <w:sz w:val="22"/>
      <w:szCs w:val="22"/>
      <w:u w:val="none"/>
    </w:rPr>
  </w:style>
  <w:style w:type="paragraph" w:customStyle="1" w:styleId="53">
    <w:name w:val="目录 53"/>
    <w:basedOn w:val="1"/>
    <w:next w:val="1"/>
    <w:qFormat/>
    <w:uiPriority w:val="0"/>
    <w:pPr>
      <w:ind w:left="840"/>
    </w:pPr>
    <w:rPr>
      <w:sz w:val="18"/>
    </w:rPr>
  </w:style>
  <w:style w:type="paragraph" w:customStyle="1" w:styleId="54">
    <w:name w:val="正文2"/>
    <w:qFormat/>
    <w:uiPriority w:val="0"/>
    <w:rPr>
      <w:rFonts w:ascii="Times New Roman" w:hAnsi="Times New Roman" w:eastAsia="Times New Roman" w:cs="Times New Roman"/>
      <w:sz w:val="24"/>
      <w:szCs w:val="24"/>
      <w:lang w:val="en-US" w:eastAsia="zh-CN" w:bidi="ar-SA"/>
    </w:rPr>
  </w:style>
  <w:style w:type="paragraph" w:customStyle="1" w:styleId="55">
    <w:name w:val="正文缩进1"/>
    <w:basedOn w:val="56"/>
    <w:qFormat/>
    <w:uiPriority w:val="0"/>
    <w:pPr>
      <w:autoSpaceDE w:val="0"/>
      <w:autoSpaceDN w:val="0"/>
      <w:adjustRightInd w:val="0"/>
      <w:ind w:firstLine="420"/>
    </w:pPr>
    <w:rPr>
      <w:rFonts w:ascii="宋体"/>
      <w:szCs w:val="20"/>
    </w:rPr>
  </w:style>
  <w:style w:type="paragraph" w:customStyle="1" w:styleId="56">
    <w:name w:val="正文21"/>
    <w:next w:val="55"/>
    <w:qFormat/>
    <w:uiPriority w:val="0"/>
    <w:rPr>
      <w:rFonts w:ascii="Times New Roman" w:hAnsi="Times New Roman" w:eastAsia="Times New Roman" w:cs="Times New Roman"/>
      <w:sz w:val="24"/>
      <w:szCs w:val="24"/>
      <w:lang w:val="en-US" w:eastAsia="zh-CN" w:bidi="ar-SA"/>
    </w:rPr>
  </w:style>
  <w:style w:type="paragraph" w:customStyle="1" w:styleId="57">
    <w:name w:val="索引 11"/>
    <w:basedOn w:val="1"/>
    <w:next w:val="1"/>
    <w:qFormat/>
    <w:uiPriority w:val="0"/>
    <w:pPr>
      <w:spacing w:line="360" w:lineRule="auto"/>
    </w:pPr>
    <w:rPr>
      <w:rFonts w:ascii="仿宋_GB2312" w:eastAsia="仿宋_GB2312"/>
      <w:sz w:val="24"/>
    </w:rPr>
  </w:style>
  <w:style w:type="paragraph" w:customStyle="1" w:styleId="58">
    <w:name w:val="纯文本1"/>
    <w:basedOn w:val="1"/>
    <w:qFormat/>
    <w:uiPriority w:val="0"/>
    <w:rPr>
      <w:rFonts w:ascii="宋体" w:hAnsi="Courier New"/>
      <w:kern w:val="0"/>
      <w:sz w:val="20"/>
    </w:rPr>
  </w:style>
  <w:style w:type="paragraph" w:customStyle="1" w:styleId="59">
    <w:name w:val="Table Text"/>
    <w:basedOn w:val="1"/>
    <w:semiHidden/>
    <w:qFormat/>
    <w:uiPriority w:val="0"/>
    <w:rPr>
      <w:rFonts w:ascii="CG Times" w:hAnsi="CG Times" w:eastAsia="CG Times" w:cs="CG Times"/>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18619</Words>
  <Characters>20090</Characters>
  <Lines>300</Lines>
  <Paragraphs>84</Paragraphs>
  <TotalTime>25</TotalTime>
  <ScaleCrop>false</ScaleCrop>
  <LinksUpToDate>false</LinksUpToDate>
  <CharactersWithSpaces>20240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2023-08-28T09:28:00Z</dcterms:created>
  <dc:creator>aCER</dc:creator>
  <cp:lastModifiedBy>月色温柔i</cp:lastModifiedBy>
  <dcterms:modified xsi:type="dcterms:W3CDTF">2026-05-15T02:44:06Z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C8BEB869937D4D51BBA90FD07A3E2604_13</vt:lpwstr>
  </property>
  <property fmtid="{D5CDD505-2E9C-101B-9397-08002B2CF9AE}" pid="4" name="KSOTemplateDocerSaveRecord">
    <vt:lpwstr>eyJoZGlkIjoiMjliMmFhZWFmM2QxODYyNjI4NDE5NGE4ZGY1OTM2ZDIiLCJ1c2VySWQiOiIzMzMzNzYyMjgifQ==</vt:lpwstr>
  </property>
</Properties>
</file>