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5B6D">
      <w:pPr>
        <w:shd w:val="clear"/>
        <w:rPr>
          <w:rFonts w:hint="eastAsia" w:ascii="仿宋_GB2312" w:hAnsi="仿宋_GB2312" w:eastAsia="仿宋_GB2312" w:cs="仿宋_GB2312"/>
          <w:highlight w:val="none"/>
          <w:lang w:val="en-US" w:eastAsia="zh-CN"/>
        </w:rPr>
      </w:pPr>
    </w:p>
    <w:p w14:paraId="1C82A1E0">
      <w:pPr>
        <w:shd w:val="clear"/>
        <w:rPr>
          <w:rFonts w:hint="eastAsia" w:ascii="仿宋_GB2312" w:hAnsi="仿宋_GB2312" w:eastAsia="仿宋_GB2312" w:cs="仿宋_GB2312"/>
          <w:highlight w:val="none"/>
        </w:rPr>
      </w:pPr>
    </w:p>
    <w:p w14:paraId="21A7ADDF">
      <w:pPr>
        <w:shd w:val="clear"/>
        <w:tabs>
          <w:tab w:val="left" w:pos="5196"/>
        </w:tabs>
        <w:jc w:val="left"/>
        <w:rPr>
          <w:rFonts w:hint="eastAsia" w:ascii="仿宋_GB2312" w:hAnsi="仿宋_GB2312" w:eastAsia="仿宋_GB2312" w:cs="仿宋_GB2312"/>
          <w:sz w:val="36"/>
          <w:szCs w:val="36"/>
          <w:highlight w:val="none"/>
          <w:lang w:eastAsia="zh-CN"/>
        </w:rPr>
      </w:pPr>
      <w:r>
        <w:rPr>
          <w:rFonts w:hint="eastAsia" w:ascii="仿宋_GB2312" w:hAnsi="仿宋_GB2312" w:eastAsia="仿宋_GB2312" w:cs="仿宋_GB2312"/>
          <w:sz w:val="36"/>
          <w:szCs w:val="36"/>
          <w:highlight w:val="none"/>
          <w:lang w:eastAsia="zh-CN"/>
        </w:rPr>
        <w:tab/>
      </w:r>
    </w:p>
    <w:p w14:paraId="44F7271E">
      <w:pPr>
        <w:shd w:val="clear"/>
        <w:jc w:val="center"/>
        <w:rPr>
          <w:rFonts w:hint="eastAsia" w:ascii="仿宋_GB2312" w:hAnsi="仿宋_GB2312" w:eastAsia="仿宋_GB2312" w:cs="仿宋_GB2312"/>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2C353">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网络安全风险评估服务项目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（项目编号：SJX-2026-390）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38E2C353">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网络安全风险评估服务项目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（项目编号：SJX-2026-390）</w:t>
                      </w:r>
                    </w:p>
                  </w:txbxContent>
                </v:textbox>
              </v:shape>
            </w:pict>
          </mc:Fallback>
        </mc:AlternateContent>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54BEF">
                            <w:pPr>
                              <w:pStyle w:val="3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D954BEF">
                      <w:pPr>
                        <w:pStyle w:val="3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日期：2026年03月12日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日期：2026年03月12日</w:t>
                      </w:r>
                    </w:p>
                  </w:txbxContent>
                </v:textbox>
              </v:shape>
            </w:pict>
          </mc:Fallback>
        </mc:AlternateContent>
      </w:r>
      <w:r>
        <w:rPr>
          <w:rFonts w:hint="eastAsia" w:eastAsiaTheme="minorEastAsia"/>
          <w:color w:val="auto"/>
          <w:highlight w:val="none"/>
          <w:lang w:eastAsia="zh-CN"/>
        </w:rPr>
        <w:drawing>
          <wp:anchor distT="0" distB="0" distL="114300" distR="114300" simplePos="0" relativeHeight="251667456" behindDoc="0" locked="0" layoutInCell="1" allowOverlap="1">
            <wp:simplePos x="0" y="0"/>
            <wp:positionH relativeFrom="column">
              <wp:posOffset>2927350</wp:posOffset>
            </wp:positionH>
            <wp:positionV relativeFrom="page">
              <wp:posOffset>7818120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8"/>
                    <a:srcRect l="22113" t="29394" r="21666" b="28715"/>
                    <a:stretch>
                      <a:fillRect/>
                    </a:stretch>
                  </pic:blipFill>
                  <pic:spPr>
                    <a:xfrm>
                      <a:off x="0" y="0"/>
                      <a:ext cx="1417320" cy="1410970"/>
                    </a:xfrm>
                    <a:prstGeom prst="rect">
                      <a:avLst/>
                    </a:prstGeom>
                  </pic:spPr>
                </pic:pic>
              </a:graphicData>
            </a:graphic>
          </wp:anchor>
        </w:drawing>
      </w:r>
      <w:r>
        <w:rPr>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64CE517">
      <w:pPr>
        <w:shd w:val="clear"/>
        <w:jc w:val="center"/>
        <w:rPr>
          <w:rFonts w:hint="eastAsia" w:ascii="方正公文小标宋" w:hAnsi="方正公文小标宋" w:eastAsia="方正公文小标宋" w:cs="方正公文小标宋"/>
          <w:sz w:val="32"/>
          <w:szCs w:val="32"/>
          <w:highlight w:val="none"/>
          <w:lang w:val="en-US" w:eastAsia="zh-CN"/>
        </w:rPr>
      </w:pPr>
      <w:r>
        <w:rPr>
          <w:rFonts w:hint="eastAsia" w:ascii="方正公文小标宋" w:hAnsi="方正公文小标宋" w:eastAsia="方正公文小标宋" w:cs="方正公文小标宋"/>
          <w:sz w:val="32"/>
          <w:szCs w:val="32"/>
          <w:highlight w:val="none"/>
          <w:lang w:val="en-US" w:eastAsia="zh-CN"/>
        </w:rPr>
        <w:t>目 录</w:t>
      </w:r>
    </w:p>
    <w:p w14:paraId="2BF7A6DB">
      <w:pPr>
        <w:shd w:val="clear"/>
        <w:jc w:val="both"/>
        <w:rPr>
          <w:rFonts w:hint="eastAsia" w:ascii="仿宋_GB2312" w:hAnsi="仿宋_GB2312" w:eastAsia="仿宋_GB2312" w:cs="仿宋_GB2312"/>
          <w:sz w:val="24"/>
          <w:szCs w:val="24"/>
          <w:highlight w:val="none"/>
          <w:lang w:val="en-US" w:eastAsia="zh-CN"/>
        </w:rPr>
      </w:pPr>
    </w:p>
    <w:sdt>
      <w:sdtPr>
        <w:rPr>
          <w:rFonts w:ascii="宋体" w:hAnsi="宋体" w:eastAsia="宋体" w:cs="Times New Roman"/>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highlight w:val="none"/>
          <w:lang w:val="en-US" w:eastAsia="zh-CN" w:bidi="ar-SA"/>
        </w:rPr>
      </w:sdtEndPr>
      <w:sdtContent>
        <w:p w14:paraId="258ED389">
          <w:pPr>
            <w:shd w:val="clear"/>
            <w:jc w:val="both"/>
            <w:rPr>
              <w:rFonts w:hint="eastAsia" w:ascii="仿宋_GB2312" w:hAnsi="仿宋_GB2312" w:eastAsia="仿宋_GB2312" w:cs="仿宋_GB2312"/>
              <w:b/>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TOC \o "1-2" \h \u </w:instrText>
          </w:r>
          <w:r>
            <w:rPr>
              <w:rFonts w:hint="eastAsia" w:ascii="仿宋_GB2312" w:hAnsi="仿宋_GB2312" w:eastAsia="仿宋_GB2312" w:cs="仿宋_GB2312"/>
              <w:sz w:val="24"/>
              <w:szCs w:val="24"/>
              <w:highlight w:val="none"/>
              <w:lang w:val="en-US" w:eastAsia="zh-CN"/>
            </w:rPr>
            <w:fldChar w:fldCharType="separate"/>
          </w:r>
        </w:p>
        <w:p w14:paraId="0E6CAD9A">
          <w:pPr>
            <w:pStyle w:val="24"/>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_Toc24832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rPr>
            <w:t xml:space="preserve">第一章 </w:t>
          </w:r>
          <w:r>
            <w:rPr>
              <w:rFonts w:hint="eastAsia" w:ascii="方正仿宋_GB2312" w:hAnsi="方正仿宋_GB2312" w:eastAsia="方正仿宋_GB2312" w:cs="方正仿宋_GB2312"/>
              <w:szCs w:val="32"/>
              <w:highlight w:val="none"/>
              <w:lang w:val="en-US" w:eastAsia="zh-CN"/>
            </w:rPr>
            <w:t>竞争性磋商</w:t>
          </w:r>
          <w:r>
            <w:rPr>
              <w:rFonts w:hint="eastAsia" w:ascii="方正仿宋_GB2312" w:hAnsi="方正仿宋_GB2312" w:eastAsia="方正仿宋_GB2312" w:cs="方正仿宋_GB2312"/>
              <w:szCs w:val="32"/>
              <w:highlight w:val="none"/>
            </w:rPr>
            <w:t>公告</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22380641">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_Toc15783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_Toc15783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27F061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_Toc22187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_Toc22187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7CC600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_Toc24234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_Toc24234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5B07CD59">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_Toc28094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_Toc28094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F346C3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_Toc10942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_Toc10942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1A3B4F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_Toc22200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公告期限</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_Toc22200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A9C5297">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_Toc1229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七、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_Toc1229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2905BF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_Toc5047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八、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_Toc5047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7EF95E7">
          <w:pPr>
            <w:pStyle w:val="24"/>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_Toc19946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_Toc19946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691BBFD">
          <w:pPr>
            <w:pStyle w:val="24"/>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_Toc4905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_Toc4905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EFEFA17">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_Toc11730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_Toc11730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658FDF6">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_Toc3286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_Toc3286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AE380A8">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_Toc22592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_Toc22592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583193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_Toc7253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_Toc7253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692BFD6">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_Toc32267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开标及评标</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_Toc32267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05554D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_Toc11319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_Toc11319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401EE42">
          <w:pPr>
            <w:pStyle w:val="24"/>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_Toc20533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_Toc20533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26</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2C05E119">
          <w:pPr>
            <w:pStyle w:val="24"/>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_Toc8038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_Toc8038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D21335A">
          <w:pPr>
            <w:pStyle w:val="24"/>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_Toc27718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_Toc27718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582A78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_Toc21122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1. 评标方法</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_Toc21122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094002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_Toc1193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2. 评标原则</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_Toc1193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DAC3AB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_Toc7505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3. 资格审查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_Toc7505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BD77A0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_Toc27889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highlight w:val="none"/>
              <w:lang w:val="en-US" w:eastAsia="zh-CN"/>
            </w:rPr>
            <w:t xml:space="preserve">4. </w:t>
          </w:r>
          <w:r>
            <w:rPr>
              <w:rFonts w:hint="eastAsia" w:ascii="方正仿宋_GB2312" w:hAnsi="方正仿宋_GB2312" w:eastAsia="方正仿宋_GB2312" w:cs="方正仿宋_GB2312"/>
              <w:bCs/>
              <w:szCs w:val="24"/>
              <w:highlight w:val="none"/>
              <w:lang w:val="en-US" w:eastAsia="zh-CN"/>
            </w:rPr>
            <w:t>符合性审查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_Toc27889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DE27320">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_Toc31864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5. 响应文件澄清</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_Toc31864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CC7677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_Toc12580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24"/>
              <w:highlight w:val="none"/>
              <w:lang w:val="en-US" w:eastAsia="zh-CN"/>
            </w:rPr>
            <w:t xml:space="preserve">7. </w:t>
          </w:r>
          <w:r>
            <w:rPr>
              <w:rFonts w:hint="eastAsia" w:ascii="方正仿宋_GB2312" w:hAnsi="方正仿宋_GB2312" w:eastAsia="方正仿宋_GB2312" w:cs="方正仿宋_GB2312"/>
              <w:bCs/>
              <w:szCs w:val="24"/>
              <w:highlight w:val="none"/>
              <w:lang w:val="en-US" w:eastAsia="zh-CN"/>
            </w:rPr>
            <w:t>磋商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_Toc12580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8C96FB1">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_Toc3596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8. 最后报价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_Toc3596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D9B508F">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_Toc22657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9. 详细评审</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_Toc22657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BDA66C9">
          <w:pPr>
            <w:pStyle w:val="24"/>
            <w:shd w:val="clear"/>
            <w:tabs>
              <w:tab w:val="right" w:leader="dot" w:pos="8306"/>
            </w:tabs>
            <w:rPr>
              <w:rFonts w:hint="eastAsia" w:ascii="仿宋_GB2312" w:hAnsi="仿宋_GB2312" w:eastAsia="仿宋_GB2312" w:cs="仿宋_GB2312"/>
              <w:sz w:val="24"/>
              <w:szCs w:val="24"/>
              <w:highlight w:val="none"/>
              <w:lang w:val="en-US" w:eastAsia="zh-CN"/>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_Toc8139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3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_Toc8139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52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r>
            <w:rPr>
              <w:rFonts w:hint="eastAsia" w:ascii="仿宋_GB2312" w:hAnsi="仿宋_GB2312" w:eastAsia="仿宋_GB2312" w:cs="仿宋_GB2312"/>
              <w:b/>
              <w:szCs w:val="24"/>
              <w:highlight w:val="none"/>
              <w:lang w:val="en-US" w:eastAsia="zh-CN"/>
            </w:rPr>
            <w:fldChar w:fldCharType="end"/>
          </w:r>
        </w:p>
      </w:sdtContent>
    </w:sdt>
    <w:p w14:paraId="2B462FDB">
      <w:pPr>
        <w:pStyle w:val="3"/>
        <w:numPr>
          <w:ilvl w:val="0"/>
          <w:numId w:val="1"/>
        </w:numPr>
        <w:shd w:val="clear"/>
        <w:bidi w:val="0"/>
        <w:jc w:val="center"/>
        <w:rPr>
          <w:rFonts w:hint="eastAsia" w:ascii="仿宋_GB2312" w:hAnsi="仿宋_GB2312" w:eastAsia="仿宋_GB2312" w:cs="仿宋_GB2312"/>
          <w:sz w:val="32"/>
          <w:szCs w:val="32"/>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3CA8293C">
      <w:pPr>
        <w:pStyle w:val="3"/>
        <w:numPr>
          <w:ilvl w:val="0"/>
          <w:numId w:val="1"/>
        </w:numPr>
        <w:shd w:val="clear"/>
        <w:bidi w:val="0"/>
        <w:jc w:val="center"/>
        <w:rPr>
          <w:rFonts w:hint="eastAsia" w:ascii="方正公文小标宋" w:hAnsi="方正公文小标宋" w:eastAsia="方正公文小标宋" w:cs="方正公文小标宋"/>
          <w:sz w:val="32"/>
          <w:szCs w:val="32"/>
          <w:highlight w:val="none"/>
        </w:rPr>
      </w:pPr>
      <w:bookmarkStart w:id="0" w:name="_Toc24832"/>
      <w:r>
        <w:rPr>
          <w:rFonts w:hint="eastAsia" w:ascii="方正公文小标宋" w:hAnsi="方正公文小标宋" w:eastAsia="方正公文小标宋" w:cs="方正公文小标宋"/>
          <w:sz w:val="32"/>
          <w:szCs w:val="32"/>
          <w:highlight w:val="none"/>
          <w:lang w:val="en-US" w:eastAsia="zh-CN"/>
        </w:rPr>
        <w:t>采购</w:t>
      </w:r>
      <w:r>
        <w:rPr>
          <w:rFonts w:hint="eastAsia" w:ascii="方正公文小标宋" w:hAnsi="方正公文小标宋" w:eastAsia="方正公文小标宋" w:cs="方正公文小标宋"/>
          <w:sz w:val="32"/>
          <w:szCs w:val="32"/>
          <w:highlight w:val="none"/>
        </w:rPr>
        <w:t>公告</w:t>
      </w:r>
      <w:bookmarkEnd w:id="0"/>
    </w:p>
    <w:p w14:paraId="27F3001C">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15783"/>
      <w:r>
        <w:rPr>
          <w:rFonts w:hint="eastAsia" w:ascii="方正仿宋_GB2312" w:hAnsi="方正仿宋_GB2312" w:eastAsia="方正仿宋_GB2312" w:cs="方正仿宋_GB2312"/>
          <w:b/>
          <w:bCs/>
          <w:sz w:val="24"/>
          <w:szCs w:val="24"/>
          <w:highlight w:val="none"/>
        </w:rPr>
        <w:t>项目基本情况</w:t>
      </w:r>
      <w:bookmarkEnd w:id="1"/>
    </w:p>
    <w:p w14:paraId="7BAF89F5">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项目编号：SJX-2026-390</w:t>
      </w:r>
    </w:p>
    <w:p w14:paraId="7DB2D7F0">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网络安全风险评估服务项目</w:t>
      </w:r>
    </w:p>
    <w:p w14:paraId="58C4CD26">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竞争性磋商</w:t>
      </w:r>
    </w:p>
    <w:p w14:paraId="1DBDA6C0">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1620000.00</w:t>
      </w:r>
    </w:p>
    <w:p w14:paraId="47C1451E">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w:t>
      </w:r>
      <w:r>
        <w:rPr>
          <w:rFonts w:hint="eastAsia" w:ascii="方正仿宋_GB2312" w:hAnsi="方正仿宋_GB2312" w:eastAsia="方正仿宋_GB2312" w:cs="方正仿宋_GB2312"/>
          <w:sz w:val="24"/>
          <w:szCs w:val="24"/>
          <w:highlight w:val="none"/>
          <w:lang w:val="en-US" w:eastAsia="zh-CN"/>
        </w:rPr>
        <w:t>1620000.00元</w:t>
      </w:r>
    </w:p>
    <w:p w14:paraId="0A03CB11">
      <w:pPr>
        <w:shd w:val="clear"/>
        <w:spacing w:line="500" w:lineRule="exact"/>
        <w:rPr>
          <w:rFonts w:hint="eastAsia" w:ascii="方正仿宋_GB2312" w:hAnsi="方正仿宋_GB2312" w:eastAsia="方正仿宋_GB2312" w:cs="方正仿宋_GB2312"/>
          <w:color w:val="000000" w:themeColor="text1"/>
          <w:highlight w:val="none"/>
          <w14:textFill>
            <w14:solidFill>
              <w14:schemeClr w14:val="tx1"/>
            </w14:solidFill>
          </w14:textFill>
        </w:rPr>
      </w:pPr>
      <w:r>
        <w:rPr>
          <w:rFonts w:hint="eastAsia" w:ascii="方正仿宋_GB2312" w:hAnsi="方正仿宋_GB2312" w:eastAsia="方正仿宋_GB2312" w:cs="方正仿宋_GB2312"/>
          <w:sz w:val="24"/>
          <w:szCs w:val="24"/>
          <w:highlight w:val="none"/>
        </w:rPr>
        <w:t>采购需求：组织</w:t>
      </w:r>
      <w:r>
        <w:rPr>
          <w:rFonts w:hint="eastAsia" w:ascii="方正仿宋_GB2312" w:hAnsi="方正仿宋_GB2312" w:eastAsia="方正仿宋_GB2312" w:cs="方正仿宋_GB2312"/>
          <w:sz w:val="24"/>
          <w:szCs w:val="24"/>
          <w:highlight w:val="none"/>
          <w:lang w:val="en-US" w:eastAsia="zh-CN"/>
        </w:rPr>
        <w:t>开展</w:t>
      </w:r>
      <w:r>
        <w:rPr>
          <w:rFonts w:hint="eastAsia" w:ascii="方正仿宋_GB2312" w:hAnsi="方正仿宋_GB2312" w:eastAsia="方正仿宋_GB2312" w:cs="方正仿宋_GB2312"/>
          <w:sz w:val="24"/>
          <w:szCs w:val="24"/>
          <w:highlight w:val="none"/>
        </w:rPr>
        <w:t>中心在用云网资源环境中的公共资源交易平台、数据交换中心、服务效能管理平台、工程建设招投标交易系统、财务内控一体化系统、数字证书实体CA互认平台、见证服务平台、公共服务平台、专家评审劳务费及场地费管理系统、短信发送服务平台、数据汇集检测监测平台、智能存储服务平台、专家库/主体库、数字证书移动CA互认平台</w:t>
      </w:r>
      <w:r>
        <w:rPr>
          <w:rFonts w:hint="eastAsia" w:ascii="方正仿宋_GB2312" w:hAnsi="方正仿宋_GB2312" w:eastAsia="方正仿宋_GB2312" w:cs="方正仿宋_GB2312"/>
          <w:sz w:val="24"/>
          <w:szCs w:val="24"/>
          <w:highlight w:val="none"/>
          <w:lang w:val="en-US" w:eastAsia="zh-CN"/>
        </w:rPr>
        <w:t>等</w:t>
      </w:r>
      <w:r>
        <w:rPr>
          <w:rFonts w:hint="eastAsia" w:ascii="方正仿宋_GB2312" w:hAnsi="方正仿宋_GB2312" w:eastAsia="方正仿宋_GB2312" w:cs="方正仿宋_GB2312"/>
          <w:sz w:val="24"/>
          <w:szCs w:val="24"/>
          <w:highlight w:val="none"/>
        </w:rPr>
        <w:t>14个系统及办公网（电子政务外网）、WiFi接入网（互联网出口）2个办公接入网络，开展常态化网络安全风险评估服务，提供网络安全检测、网络安全风险评估、网络流量及日志安全分析、网络安全培训及配套技术支撑服务</w:t>
      </w:r>
      <w:r>
        <w:rPr>
          <w:rFonts w:hint="eastAsia" w:ascii="方正仿宋_GB2312" w:hAnsi="方正仿宋_GB2312" w:eastAsia="方正仿宋_GB2312" w:cs="方正仿宋_GB2312"/>
          <w:highlight w:val="none"/>
        </w:rPr>
        <w:t>。</w:t>
      </w:r>
      <w:r>
        <w:rPr>
          <w:rFonts w:hint="eastAsia" w:ascii="方正仿宋_GB2312" w:hAnsi="方正仿宋_GB2312" w:eastAsia="方正仿宋_GB2312" w:cs="方正仿宋_GB2312"/>
          <w:color w:val="000000" w:themeColor="text1"/>
          <w:highlight w:val="none"/>
          <w14:textFill>
            <w14:solidFill>
              <w14:schemeClr w14:val="tx1"/>
            </w14:solidFill>
          </w14:textFill>
        </w:rPr>
        <w:t>具体</w:t>
      </w:r>
      <w:r>
        <w:rPr>
          <w:rFonts w:hint="eastAsia" w:ascii="方正仿宋_GB2312" w:hAnsi="方正仿宋_GB2312" w:eastAsia="方正仿宋_GB2312" w:cs="方正仿宋_GB2312"/>
          <w:color w:val="000000" w:themeColor="text1"/>
          <w:highlight w:val="none"/>
          <w:lang w:val="en-US" w:eastAsia="zh-CN"/>
          <w14:textFill>
            <w14:solidFill>
              <w14:schemeClr w14:val="tx1"/>
            </w14:solidFill>
          </w14:textFill>
        </w:rPr>
        <w:t>服务内容</w:t>
      </w:r>
      <w:r>
        <w:rPr>
          <w:rFonts w:hint="eastAsia" w:ascii="方正仿宋_GB2312" w:hAnsi="方正仿宋_GB2312" w:eastAsia="方正仿宋_GB2312" w:cs="方正仿宋_GB2312"/>
          <w:color w:val="000000" w:themeColor="text1"/>
          <w:highlight w:val="none"/>
          <w14:textFill>
            <w14:solidFill>
              <w14:schemeClr w14:val="tx1"/>
            </w14:solidFill>
          </w14:textFill>
        </w:rPr>
        <w:t>详见</w:t>
      </w:r>
      <w:r>
        <w:rPr>
          <w:rFonts w:hint="eastAsia" w:ascii="方正仿宋_GB2312" w:hAnsi="方正仿宋_GB2312" w:eastAsia="方正仿宋_GB2312" w:cs="方正仿宋_GB2312"/>
          <w:color w:val="000000" w:themeColor="text1"/>
          <w:highlight w:val="none"/>
          <w:lang w:val="en-US" w:eastAsia="zh-CN"/>
          <w14:textFill>
            <w14:solidFill>
              <w14:schemeClr w14:val="tx1"/>
            </w14:solidFill>
          </w14:textFill>
        </w:rPr>
        <w:t>第五章采购需求</w:t>
      </w:r>
      <w:r>
        <w:rPr>
          <w:rFonts w:hint="eastAsia" w:ascii="方正仿宋_GB2312" w:hAnsi="方正仿宋_GB2312" w:eastAsia="方正仿宋_GB2312" w:cs="方正仿宋_GB2312"/>
          <w:color w:val="000000" w:themeColor="text1"/>
          <w:highlight w:val="none"/>
          <w14:textFill>
            <w14:solidFill>
              <w14:schemeClr w14:val="tx1"/>
            </w14:solidFill>
          </w14:textFill>
        </w:rPr>
        <w:t>。</w:t>
      </w:r>
    </w:p>
    <w:p w14:paraId="6ABFDC4C">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11602C96">
      <w:pPr>
        <w:shd w:val="clear"/>
        <w:spacing w:line="500" w:lineRule="exact"/>
        <w:rPr>
          <w:rFonts w:hint="eastAsia" w:ascii="方正仿宋_GB2312" w:hAnsi="方正仿宋_GB2312" w:eastAsia="方正仿宋_GB2312" w:cs="方正仿宋_GB2312"/>
          <w:highlight w:val="none"/>
          <w:lang w:eastAsia="zh-CN"/>
        </w:rPr>
      </w:pPr>
      <w:bookmarkStart w:id="2" w:name="_Toc22187"/>
      <w:r>
        <w:rPr>
          <w:rFonts w:hint="eastAsia" w:ascii="方正仿宋_GB2312" w:hAnsi="方正仿宋_GB2312" w:eastAsia="方正仿宋_GB2312" w:cs="方正仿宋_GB2312"/>
          <w:highlight w:val="none"/>
        </w:rPr>
        <w:t>标项名称：</w:t>
      </w:r>
      <w:r>
        <w:rPr>
          <w:rFonts w:hint="eastAsia" w:ascii="方正仿宋_GB2312" w:hAnsi="方正仿宋_GB2312" w:eastAsia="方正仿宋_GB2312" w:cs="方正仿宋_GB2312"/>
          <w:highlight w:val="none"/>
          <w:lang w:val="en-US" w:eastAsia="zh-CN"/>
        </w:rPr>
        <w:t>网络安全风险评估服务项目</w:t>
      </w:r>
    </w:p>
    <w:p w14:paraId="405C8945">
      <w:pPr>
        <w:shd w:val="clear"/>
        <w:spacing w:line="500" w:lineRule="exact"/>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rPr>
        <w:t>数量：1</w:t>
      </w:r>
      <w:r>
        <w:rPr>
          <w:rFonts w:hint="eastAsia" w:ascii="方正仿宋_GB2312" w:hAnsi="方正仿宋_GB2312" w:eastAsia="方正仿宋_GB2312" w:cs="方正仿宋_GB2312"/>
          <w:highlight w:val="none"/>
          <w:lang w:val="en-US" w:eastAsia="zh-CN"/>
        </w:rPr>
        <w:t>项</w:t>
      </w:r>
    </w:p>
    <w:p w14:paraId="4AB96B9E">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预算金额（元）：</w:t>
      </w:r>
      <w:r>
        <w:rPr>
          <w:rFonts w:hint="eastAsia" w:ascii="方正仿宋_GB2312" w:hAnsi="方正仿宋_GB2312" w:eastAsia="方正仿宋_GB2312" w:cs="方正仿宋_GB2312"/>
          <w:highlight w:val="none"/>
          <w:lang w:val="en-US" w:eastAsia="zh-CN"/>
        </w:rPr>
        <w:t>1620000.00</w:t>
      </w:r>
    </w:p>
    <w:p w14:paraId="0C6B4CDE">
      <w:pPr>
        <w:shd w:val="clear"/>
        <w:spacing w:line="500" w:lineRule="exact"/>
        <w:rPr>
          <w:rFonts w:hint="eastAsia" w:ascii="方正仿宋_GB2312" w:hAnsi="方正仿宋_GB2312" w:eastAsia="方正仿宋_GB2312" w:cs="方正仿宋_GB2312"/>
          <w:color w:val="000000" w:themeColor="text1"/>
          <w:highlight w:val="none"/>
          <w14:textFill>
            <w14:solidFill>
              <w14:schemeClr w14:val="tx1"/>
            </w14:solidFill>
          </w14:textFill>
        </w:rPr>
      </w:pPr>
      <w:r>
        <w:rPr>
          <w:rFonts w:hint="eastAsia" w:ascii="方正仿宋_GB2312" w:hAnsi="方正仿宋_GB2312" w:eastAsia="方正仿宋_GB2312" w:cs="方正仿宋_GB2312"/>
          <w:highlight w:val="none"/>
        </w:rPr>
        <w:t>简要规格描述或项目基本概况介绍、用途：组织</w:t>
      </w:r>
      <w:r>
        <w:rPr>
          <w:rFonts w:hint="eastAsia" w:ascii="方正仿宋_GB2312" w:hAnsi="方正仿宋_GB2312" w:eastAsia="方正仿宋_GB2312" w:cs="方正仿宋_GB2312"/>
          <w:highlight w:val="none"/>
          <w:lang w:val="en-US" w:eastAsia="zh-CN"/>
        </w:rPr>
        <w:t>开展</w:t>
      </w:r>
      <w:r>
        <w:rPr>
          <w:rFonts w:hint="eastAsia" w:ascii="方正仿宋_GB2312" w:hAnsi="方正仿宋_GB2312" w:eastAsia="方正仿宋_GB2312" w:cs="方正仿宋_GB2312"/>
          <w:highlight w:val="none"/>
        </w:rPr>
        <w:t>中心在用云网资源环境中的公共资源交易平台、数据交换中心、服务效能管理平台、工程建设招投标交易系统、财务内控一体化系统、数字证书实体CA互认平台、见证服务平台、公共服务平台、专家评审劳务费及场地费管理系统、短信发送服务平台、数据汇集检测监测平台、智能存储服务平台、专家库/主体库、数字证书移动CA互认平台</w:t>
      </w:r>
      <w:r>
        <w:rPr>
          <w:rFonts w:hint="eastAsia" w:ascii="方正仿宋_GB2312" w:hAnsi="方正仿宋_GB2312" w:eastAsia="方正仿宋_GB2312" w:cs="方正仿宋_GB2312"/>
          <w:highlight w:val="none"/>
          <w:lang w:val="en-US" w:eastAsia="zh-CN"/>
        </w:rPr>
        <w:t>等</w:t>
      </w:r>
      <w:r>
        <w:rPr>
          <w:rFonts w:hint="eastAsia" w:ascii="方正仿宋_GB2312" w:hAnsi="方正仿宋_GB2312" w:eastAsia="方正仿宋_GB2312" w:cs="方正仿宋_GB2312"/>
          <w:highlight w:val="none"/>
        </w:rPr>
        <w:t>14个系统及办公网（电子政务外网）、WiFi接入网（互联网出口）2个办公接入网络，开展常态化网络安全风险评估服务，提供网络安全检测、网络安全风险评估、网络流量及日志安全分析、网络安全培训及配套技术支撑服务。具体</w:t>
      </w:r>
      <w:r>
        <w:rPr>
          <w:rFonts w:hint="eastAsia" w:ascii="方正仿宋_GB2312" w:hAnsi="方正仿宋_GB2312" w:eastAsia="方正仿宋_GB2312" w:cs="方正仿宋_GB2312"/>
          <w:highlight w:val="none"/>
          <w:lang w:val="en-US" w:eastAsia="zh-CN"/>
        </w:rPr>
        <w:t>服务内容</w:t>
      </w:r>
      <w:r>
        <w:rPr>
          <w:rFonts w:hint="eastAsia" w:ascii="方正仿宋_GB2312" w:hAnsi="方正仿宋_GB2312" w:eastAsia="方正仿宋_GB2312" w:cs="方正仿宋_GB2312"/>
          <w:highlight w:val="none"/>
        </w:rPr>
        <w:t>详见</w:t>
      </w:r>
      <w:r>
        <w:rPr>
          <w:rFonts w:hint="eastAsia" w:ascii="方正仿宋_GB2312" w:hAnsi="方正仿宋_GB2312" w:eastAsia="方正仿宋_GB2312" w:cs="方正仿宋_GB2312"/>
          <w:highlight w:val="none"/>
          <w:lang w:val="en-US" w:eastAsia="zh-CN"/>
        </w:rPr>
        <w:t>第五章采购需求</w:t>
      </w:r>
      <w:r>
        <w:rPr>
          <w:rFonts w:hint="eastAsia" w:ascii="方正仿宋_GB2312" w:hAnsi="方正仿宋_GB2312" w:eastAsia="方正仿宋_GB2312" w:cs="方正仿宋_GB2312"/>
          <w:color w:val="000000" w:themeColor="text1"/>
          <w:highlight w:val="none"/>
          <w14:textFill>
            <w14:solidFill>
              <w14:schemeClr w14:val="tx1"/>
            </w14:solidFill>
          </w14:textFill>
        </w:rPr>
        <w:t>。</w:t>
      </w:r>
    </w:p>
    <w:p w14:paraId="1C15D8FB">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备注：/</w:t>
      </w:r>
    </w:p>
    <w:p w14:paraId="6DCD5BC7">
      <w:pPr>
        <w:shd w:val="clear"/>
        <w:spacing w:line="500" w:lineRule="exact"/>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rPr>
        <w:t>合同履约期限：</w:t>
      </w:r>
      <w:r>
        <w:rPr>
          <w:rFonts w:hint="eastAsia" w:ascii="方正仿宋_GB2312" w:hAnsi="方正仿宋_GB2312" w:eastAsia="方正仿宋_GB2312" w:cs="方正仿宋_GB2312"/>
          <w:highlight w:val="none"/>
          <w:lang w:val="en-US" w:eastAsia="zh-CN"/>
        </w:rPr>
        <w:t>每次</w:t>
      </w:r>
      <w:r>
        <w:rPr>
          <w:rFonts w:hint="eastAsia" w:ascii="方正仿宋_GB2312" w:hAnsi="方正仿宋_GB2312" w:eastAsia="方正仿宋_GB2312" w:cs="方正仿宋_GB2312"/>
          <w:highlight w:val="none"/>
        </w:rPr>
        <w:t>自合同签订起</w:t>
      </w:r>
      <w:r>
        <w:rPr>
          <w:rFonts w:hint="eastAsia" w:ascii="方正仿宋_GB2312" w:hAnsi="方正仿宋_GB2312" w:eastAsia="方正仿宋_GB2312" w:cs="方正仿宋_GB2312"/>
          <w:highlight w:val="none"/>
          <w:lang w:val="en-US" w:eastAsia="zh-CN"/>
        </w:rPr>
        <w:t>365</w:t>
      </w:r>
      <w:r>
        <w:rPr>
          <w:rFonts w:hint="eastAsia" w:ascii="方正仿宋_GB2312" w:hAnsi="方正仿宋_GB2312" w:eastAsia="方正仿宋_GB2312" w:cs="方正仿宋_GB2312"/>
          <w:highlight w:val="none"/>
        </w:rPr>
        <w:t>日历天内完成全部工作内容，并通过验收。本项目采取一次招标三年沿用、实行一年一考核一签合同，每年合同期满后，采购人根据财库[2014]37 号文件《财政部关于推进和完善服务项目政府采购有关问题的通知》中第三条规定以及中标人服务质量与中标人续签下一年合同，累计续签不得超过 2 次</w:t>
      </w:r>
      <w:r>
        <w:rPr>
          <w:rFonts w:hint="eastAsia" w:ascii="方正仿宋_GB2312" w:hAnsi="方正仿宋_GB2312" w:eastAsia="方正仿宋_GB2312" w:cs="方正仿宋_GB2312"/>
          <w:highlight w:val="none"/>
          <w:lang w:eastAsia="zh-CN"/>
        </w:rPr>
        <w:t>，每次续签期限不得超过一年，中标单价不予调整。一年合同期满但采购人未获得预算批复或需求取消，则经采购人提前书面通知供应商后，合同到期终止，不再续签</w:t>
      </w:r>
      <w:r>
        <w:rPr>
          <w:rFonts w:hint="eastAsia" w:ascii="方正仿宋_GB2312" w:hAnsi="方正仿宋_GB2312" w:eastAsia="方正仿宋_GB2312" w:cs="方正仿宋_GB2312"/>
          <w:highlight w:val="none"/>
        </w:rPr>
        <w:t>。</w:t>
      </w:r>
    </w:p>
    <w:p w14:paraId="2D0F611C">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本项目（否）接受联合体投标。</w:t>
      </w:r>
    </w:p>
    <w:p w14:paraId="631A3C75">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申请人的资格要求：</w:t>
      </w:r>
      <w:bookmarkEnd w:id="2"/>
    </w:p>
    <w:p w14:paraId="5975FF30">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1.满足《中华人民共和国政府采购法》第二十二条规定；</w:t>
      </w:r>
    </w:p>
    <w:p w14:paraId="2361B824">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2.落实政府采购政策需满足的资格要求：本项目专门面向</w:t>
      </w:r>
      <w:r>
        <w:rPr>
          <w:rFonts w:hint="eastAsia" w:ascii="方正仿宋_GB2312" w:hAnsi="方正仿宋_GB2312" w:eastAsia="方正仿宋_GB2312" w:cs="方正仿宋_GB2312"/>
          <w:b/>
          <w:bCs/>
          <w:highlight w:val="none"/>
          <w:lang w:val="en-US" w:eastAsia="zh-CN"/>
        </w:rPr>
        <w:t>中小</w:t>
      </w:r>
      <w:r>
        <w:rPr>
          <w:rFonts w:hint="eastAsia" w:ascii="方正仿宋_GB2312" w:hAnsi="方正仿宋_GB2312" w:eastAsia="方正仿宋_GB2312" w:cs="方正仿宋_GB2312"/>
          <w:highlight w:val="none"/>
        </w:rPr>
        <w:t>企业</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sz w:val="24"/>
          <w:highlight w:val="none"/>
          <w:lang w:val="en-US" w:eastAsia="zh-CN"/>
        </w:rPr>
        <w:t>服务的承接商应符合《政府采购促进中小企业发展管理办法》(财库〔2020〕46号) 第四条规定的情形，且应当提供《政府采购促进中小企业发展管理办法》(财库〔2020〕46号)规定的《中小企业声明函》</w:t>
      </w:r>
      <w:r>
        <w:rPr>
          <w:rFonts w:hint="eastAsia" w:ascii="方正仿宋_GB2312" w:hAnsi="方正仿宋_GB2312" w:eastAsia="方正仿宋_GB2312" w:cs="方正仿宋_GB2312"/>
          <w:highlight w:val="none"/>
        </w:rPr>
        <w:t>；</w:t>
      </w:r>
    </w:p>
    <w:p w14:paraId="2CE37176">
      <w:pPr>
        <w:shd w:val="clear"/>
        <w:spacing w:line="500" w:lineRule="exact"/>
        <w:rPr>
          <w:rFonts w:hint="eastAsia" w:ascii="方正仿宋_GB2312" w:hAnsi="方正仿宋_GB2312" w:eastAsia="方正仿宋_GB2312" w:cs="方正仿宋_GB2312"/>
          <w:kern w:val="0"/>
          <w:szCs w:val="22"/>
          <w:highlight w:val="none"/>
          <w:lang w:val="zh-CN" w:bidi="zh-CN"/>
        </w:rPr>
      </w:pPr>
      <w:r>
        <w:rPr>
          <w:rFonts w:hint="eastAsia" w:ascii="方正仿宋_GB2312" w:hAnsi="方正仿宋_GB2312" w:eastAsia="方正仿宋_GB2312" w:cs="方正仿宋_GB2312"/>
          <w:kern w:val="0"/>
          <w:szCs w:val="22"/>
          <w:highlight w:val="none"/>
          <w:lang w:val="zh-CN" w:bidi="zh-CN"/>
        </w:rPr>
        <w:t>3.本项目的特定资格要求：</w:t>
      </w:r>
    </w:p>
    <w:p w14:paraId="797776D0">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A9A978F">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3B3768BB">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 w:name="_Toc24234"/>
      <w:r>
        <w:rPr>
          <w:rFonts w:hint="eastAsia" w:ascii="方正仿宋_GB2312" w:hAnsi="方正仿宋_GB2312" w:eastAsia="方正仿宋_GB2312" w:cs="方正仿宋_GB2312"/>
          <w:b/>
          <w:bCs/>
          <w:sz w:val="24"/>
          <w:szCs w:val="24"/>
          <w:highlight w:val="none"/>
          <w:lang w:val="en-US" w:eastAsia="zh-CN"/>
        </w:rPr>
        <w:t>获取采购文件</w:t>
      </w:r>
      <w:bookmarkEnd w:id="3"/>
    </w:p>
    <w:p w14:paraId="4BE2AFE9">
      <w:pPr>
        <w:shd w:val="clear"/>
        <w:spacing w:line="500" w:lineRule="exact"/>
        <w:rPr>
          <w:rFonts w:hint="eastAsia" w:ascii="方正仿宋_GB2312" w:hAnsi="方正仿宋_GB2312" w:eastAsia="方正仿宋_GB2312" w:cs="方正仿宋_GB2312"/>
          <w:highlight w:val="none"/>
        </w:rPr>
      </w:pPr>
      <w:bookmarkStart w:id="4" w:name="_Toc28094"/>
      <w:r>
        <w:rPr>
          <w:rFonts w:hint="eastAsia" w:ascii="方正仿宋_GB2312" w:hAnsi="方正仿宋_GB2312" w:eastAsia="方正仿宋_GB2312" w:cs="方正仿宋_GB2312"/>
          <w:highlight w:val="none"/>
        </w:rPr>
        <w:t>时间：202</w:t>
      </w:r>
      <w:r>
        <w:rPr>
          <w:rFonts w:hint="eastAsia" w:ascii="方正仿宋_GB2312" w:hAnsi="方正仿宋_GB2312" w:eastAsia="方正仿宋_GB2312" w:cs="方正仿宋_GB2312"/>
          <w:highlight w:val="none"/>
          <w:lang w:val="en-US" w:eastAsia="zh-CN"/>
        </w:rPr>
        <w:t>6</w:t>
      </w:r>
      <w:r>
        <w:rPr>
          <w:rFonts w:hint="eastAsia" w:ascii="方正仿宋_GB2312" w:hAnsi="方正仿宋_GB2312" w:eastAsia="方正仿宋_GB2312" w:cs="方正仿宋_GB2312"/>
          <w:highlight w:val="none"/>
        </w:rPr>
        <w:t>年</w:t>
      </w:r>
      <w:r>
        <w:rPr>
          <w:rFonts w:hint="eastAsia" w:ascii="方正仿宋_GB2312" w:hAnsi="方正仿宋_GB2312" w:eastAsia="方正仿宋_GB2312" w:cs="方正仿宋_GB2312"/>
          <w:highlight w:val="none"/>
          <w:lang w:val="en-US" w:eastAsia="zh-CN"/>
        </w:rPr>
        <w:t>05</w:t>
      </w:r>
      <w:r>
        <w:rPr>
          <w:rFonts w:hint="eastAsia" w:ascii="方正仿宋_GB2312" w:hAnsi="方正仿宋_GB2312" w:eastAsia="方正仿宋_GB2312" w:cs="方正仿宋_GB2312"/>
          <w:highlight w:val="none"/>
        </w:rPr>
        <w:t>月</w:t>
      </w:r>
      <w:r>
        <w:rPr>
          <w:rFonts w:hint="eastAsia" w:ascii="方正仿宋_GB2312" w:hAnsi="方正仿宋_GB2312" w:eastAsia="方正仿宋_GB2312" w:cs="方正仿宋_GB2312"/>
          <w:highlight w:val="none"/>
          <w:lang w:val="en-US" w:eastAsia="zh-CN"/>
        </w:rPr>
        <w:t>14</w:t>
      </w:r>
      <w:r>
        <w:rPr>
          <w:rFonts w:hint="eastAsia" w:ascii="方正仿宋_GB2312" w:hAnsi="方正仿宋_GB2312" w:eastAsia="方正仿宋_GB2312" w:cs="方正仿宋_GB2312"/>
          <w:highlight w:val="none"/>
        </w:rPr>
        <w:t>日至202</w:t>
      </w:r>
      <w:r>
        <w:rPr>
          <w:rFonts w:hint="eastAsia" w:ascii="方正仿宋_GB2312" w:hAnsi="方正仿宋_GB2312" w:eastAsia="方正仿宋_GB2312" w:cs="方正仿宋_GB2312"/>
          <w:highlight w:val="none"/>
          <w:lang w:val="en-US" w:eastAsia="zh-CN"/>
        </w:rPr>
        <w:t>6</w:t>
      </w:r>
      <w:r>
        <w:rPr>
          <w:rFonts w:hint="eastAsia" w:ascii="方正仿宋_GB2312" w:hAnsi="方正仿宋_GB2312" w:eastAsia="方正仿宋_GB2312" w:cs="方正仿宋_GB2312"/>
          <w:highlight w:val="none"/>
        </w:rPr>
        <w:t>年</w:t>
      </w:r>
      <w:r>
        <w:rPr>
          <w:rFonts w:hint="eastAsia" w:ascii="方正仿宋_GB2312" w:hAnsi="方正仿宋_GB2312" w:eastAsia="方正仿宋_GB2312" w:cs="方正仿宋_GB2312"/>
          <w:highlight w:val="none"/>
          <w:lang w:val="en-US" w:eastAsia="zh-CN"/>
        </w:rPr>
        <w:t>05</w:t>
      </w:r>
      <w:r>
        <w:rPr>
          <w:rFonts w:hint="eastAsia" w:ascii="方正仿宋_GB2312" w:hAnsi="方正仿宋_GB2312" w:eastAsia="方正仿宋_GB2312" w:cs="方正仿宋_GB2312"/>
          <w:highlight w:val="none"/>
        </w:rPr>
        <w:t>月</w:t>
      </w:r>
      <w:r>
        <w:rPr>
          <w:rFonts w:hint="eastAsia" w:ascii="方正仿宋_GB2312" w:hAnsi="方正仿宋_GB2312" w:eastAsia="方正仿宋_GB2312" w:cs="方正仿宋_GB2312"/>
          <w:highlight w:val="none"/>
          <w:lang w:val="en-US" w:eastAsia="zh-CN"/>
        </w:rPr>
        <w:t>21</w:t>
      </w:r>
      <w:r>
        <w:rPr>
          <w:rFonts w:hint="eastAsia" w:ascii="方正仿宋_GB2312" w:hAnsi="方正仿宋_GB2312" w:eastAsia="方正仿宋_GB2312" w:cs="方正仿宋_GB2312"/>
          <w:highlight w:val="none"/>
        </w:rPr>
        <w:t>日，每天上午00:00至14:00，14:00至23:59（北京时间，法定节假日除外）</w:t>
      </w:r>
    </w:p>
    <w:p w14:paraId="12351F60">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地点：政采云平台（https://www.zcygov.cn/）</w:t>
      </w:r>
    </w:p>
    <w:p w14:paraId="0F948EC5">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方式：供应商登录政采云平台https://www.zcygov.cn/在线申请获取磋商文件（进入“项目采购”应用，在获取磋商文件菜单中选择项目，申请获取磋商文件）</w:t>
      </w:r>
    </w:p>
    <w:p w14:paraId="40518610">
      <w:pPr>
        <w:shd w:val="clear"/>
        <w:spacing w:line="500" w:lineRule="exact"/>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highlight w:val="none"/>
        </w:rPr>
        <w:t xml:space="preserve">售价（元）：0元 </w:t>
      </w:r>
    </w:p>
    <w:p w14:paraId="4FDF3FA0">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lang w:val="en-US" w:eastAsia="zh-CN"/>
        </w:rPr>
        <w:t>响应文件提交</w:t>
      </w:r>
      <w:bookmarkEnd w:id="4"/>
      <w:r>
        <w:rPr>
          <w:rFonts w:hint="eastAsia" w:ascii="方正仿宋_GB2312" w:hAnsi="方正仿宋_GB2312" w:eastAsia="方正仿宋_GB2312" w:cs="方正仿宋_GB2312"/>
          <w:b/>
          <w:bCs/>
          <w:sz w:val="24"/>
          <w:szCs w:val="24"/>
          <w:highlight w:val="none"/>
          <w:lang w:val="en-US" w:eastAsia="zh-CN"/>
        </w:rPr>
        <w:t xml:space="preserve"> </w:t>
      </w:r>
    </w:p>
    <w:p w14:paraId="2CFBCEE8">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w:t>
      </w:r>
      <w:r>
        <w:rPr>
          <w:rFonts w:hint="eastAsia" w:ascii="方正仿宋_GB2312" w:hAnsi="方正仿宋_GB2312" w:eastAsia="方正仿宋_GB2312" w:cs="方正仿宋_GB2312"/>
          <w:highlight w:val="none"/>
        </w:rPr>
        <w:t>202</w:t>
      </w:r>
      <w:r>
        <w:rPr>
          <w:rFonts w:hint="eastAsia" w:ascii="方正仿宋_GB2312" w:hAnsi="方正仿宋_GB2312" w:eastAsia="方正仿宋_GB2312" w:cs="方正仿宋_GB2312"/>
          <w:highlight w:val="none"/>
          <w:lang w:val="en-US" w:eastAsia="zh-CN"/>
        </w:rPr>
        <w:t>6</w:t>
      </w:r>
      <w:r>
        <w:rPr>
          <w:rFonts w:hint="eastAsia" w:ascii="方正仿宋_GB2312" w:hAnsi="方正仿宋_GB2312" w:eastAsia="方正仿宋_GB2312" w:cs="方正仿宋_GB2312"/>
          <w:highlight w:val="none"/>
        </w:rPr>
        <w:t>年</w:t>
      </w:r>
      <w:r>
        <w:rPr>
          <w:rFonts w:hint="eastAsia" w:ascii="方正仿宋_GB2312" w:hAnsi="方正仿宋_GB2312" w:eastAsia="方正仿宋_GB2312" w:cs="方正仿宋_GB2312"/>
          <w:highlight w:val="none"/>
          <w:lang w:val="en-US" w:eastAsia="zh-CN"/>
        </w:rPr>
        <w:t>05</w:t>
      </w:r>
      <w:r>
        <w:rPr>
          <w:rFonts w:hint="eastAsia" w:ascii="方正仿宋_GB2312" w:hAnsi="方正仿宋_GB2312" w:eastAsia="方正仿宋_GB2312" w:cs="方正仿宋_GB2312"/>
          <w:highlight w:val="none"/>
        </w:rPr>
        <w:t>月</w:t>
      </w:r>
      <w:r>
        <w:rPr>
          <w:rFonts w:hint="eastAsia" w:ascii="方正仿宋_GB2312" w:hAnsi="方正仿宋_GB2312" w:eastAsia="方正仿宋_GB2312" w:cs="方正仿宋_GB2312"/>
          <w:highlight w:val="none"/>
          <w:lang w:val="en-US" w:eastAsia="zh-CN"/>
        </w:rPr>
        <w:t>25</w:t>
      </w:r>
      <w:r>
        <w:rPr>
          <w:rFonts w:hint="eastAsia" w:ascii="方正仿宋_GB2312" w:hAnsi="方正仿宋_GB2312" w:eastAsia="方正仿宋_GB2312" w:cs="方正仿宋_GB2312"/>
          <w:highlight w:val="none"/>
        </w:rPr>
        <w:t>日1</w:t>
      </w:r>
      <w:r>
        <w:rPr>
          <w:rFonts w:hint="eastAsia" w:ascii="方正仿宋_GB2312" w:hAnsi="方正仿宋_GB2312" w:eastAsia="方正仿宋_GB2312" w:cs="方正仿宋_GB2312"/>
          <w:highlight w:val="none"/>
          <w:lang w:val="en-US" w:eastAsia="zh-CN"/>
        </w:rPr>
        <w:t>6</w:t>
      </w:r>
      <w:r>
        <w:rPr>
          <w:rFonts w:hint="eastAsia" w:ascii="方正仿宋_GB2312" w:hAnsi="方正仿宋_GB2312" w:eastAsia="方正仿宋_GB2312" w:cs="方正仿宋_GB2312"/>
          <w:highlight w:val="none"/>
        </w:rPr>
        <w:t>:00（北京时间）</w:t>
      </w:r>
    </w:p>
    <w:p w14:paraId="46AB5A47">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6FD6702E">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5" w:name="_Toc10942"/>
      <w:r>
        <w:rPr>
          <w:rFonts w:hint="eastAsia" w:ascii="方正仿宋_GB2312" w:hAnsi="方正仿宋_GB2312" w:eastAsia="方正仿宋_GB2312" w:cs="方正仿宋_GB2312"/>
          <w:b/>
          <w:bCs/>
          <w:sz w:val="24"/>
          <w:szCs w:val="24"/>
          <w:highlight w:val="none"/>
          <w:lang w:val="en-US" w:eastAsia="zh-CN"/>
        </w:rPr>
        <w:t>响应文件开启</w:t>
      </w:r>
      <w:bookmarkEnd w:id="5"/>
    </w:p>
    <w:p w14:paraId="621E5F0A">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w:t>
      </w:r>
      <w:r>
        <w:rPr>
          <w:rFonts w:hint="eastAsia" w:ascii="方正仿宋_GB2312" w:hAnsi="方正仿宋_GB2312" w:eastAsia="方正仿宋_GB2312" w:cs="方正仿宋_GB2312"/>
          <w:highlight w:val="none"/>
        </w:rPr>
        <w:t>202</w:t>
      </w:r>
      <w:r>
        <w:rPr>
          <w:rFonts w:hint="eastAsia" w:ascii="方正仿宋_GB2312" w:hAnsi="方正仿宋_GB2312" w:eastAsia="方正仿宋_GB2312" w:cs="方正仿宋_GB2312"/>
          <w:highlight w:val="none"/>
          <w:lang w:val="en-US" w:eastAsia="zh-CN"/>
        </w:rPr>
        <w:t>6</w:t>
      </w:r>
      <w:r>
        <w:rPr>
          <w:rFonts w:hint="eastAsia" w:ascii="方正仿宋_GB2312" w:hAnsi="方正仿宋_GB2312" w:eastAsia="方正仿宋_GB2312" w:cs="方正仿宋_GB2312"/>
          <w:highlight w:val="none"/>
        </w:rPr>
        <w:t>年</w:t>
      </w:r>
      <w:r>
        <w:rPr>
          <w:rFonts w:hint="eastAsia" w:ascii="方正仿宋_GB2312" w:hAnsi="方正仿宋_GB2312" w:eastAsia="方正仿宋_GB2312" w:cs="方正仿宋_GB2312"/>
          <w:highlight w:val="none"/>
          <w:lang w:val="en-US" w:eastAsia="zh-CN"/>
        </w:rPr>
        <w:t>05</w:t>
      </w:r>
      <w:r>
        <w:rPr>
          <w:rFonts w:hint="eastAsia" w:ascii="方正仿宋_GB2312" w:hAnsi="方正仿宋_GB2312" w:eastAsia="方正仿宋_GB2312" w:cs="方正仿宋_GB2312"/>
          <w:highlight w:val="none"/>
        </w:rPr>
        <w:t>月</w:t>
      </w:r>
      <w:r>
        <w:rPr>
          <w:rFonts w:hint="eastAsia" w:ascii="方正仿宋_GB2312" w:hAnsi="方正仿宋_GB2312" w:eastAsia="方正仿宋_GB2312" w:cs="方正仿宋_GB2312"/>
          <w:highlight w:val="none"/>
          <w:lang w:val="en-US" w:eastAsia="zh-CN"/>
        </w:rPr>
        <w:t>25</w:t>
      </w:r>
      <w:r>
        <w:rPr>
          <w:rFonts w:hint="eastAsia" w:ascii="方正仿宋_GB2312" w:hAnsi="方正仿宋_GB2312" w:eastAsia="方正仿宋_GB2312" w:cs="方正仿宋_GB2312"/>
          <w:highlight w:val="none"/>
        </w:rPr>
        <w:t>日1</w:t>
      </w:r>
      <w:r>
        <w:rPr>
          <w:rFonts w:hint="eastAsia" w:ascii="方正仿宋_GB2312" w:hAnsi="方正仿宋_GB2312" w:eastAsia="方正仿宋_GB2312" w:cs="方正仿宋_GB2312"/>
          <w:highlight w:val="none"/>
          <w:lang w:val="en-US" w:eastAsia="zh-CN"/>
        </w:rPr>
        <w:t>6</w:t>
      </w:r>
      <w:r>
        <w:rPr>
          <w:rFonts w:hint="eastAsia" w:ascii="方正仿宋_GB2312" w:hAnsi="方正仿宋_GB2312" w:eastAsia="方正仿宋_GB2312" w:cs="方正仿宋_GB2312"/>
          <w:highlight w:val="none"/>
        </w:rPr>
        <w:t>:00（北京时间）</w:t>
      </w:r>
    </w:p>
    <w:p w14:paraId="1574994B">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5A02C5E1">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200"/>
      <w:r>
        <w:rPr>
          <w:rFonts w:hint="eastAsia" w:ascii="方正仿宋_GB2312" w:hAnsi="方正仿宋_GB2312" w:eastAsia="方正仿宋_GB2312" w:cs="方正仿宋_GB2312"/>
          <w:b/>
          <w:bCs/>
          <w:sz w:val="24"/>
          <w:szCs w:val="24"/>
          <w:highlight w:val="none"/>
          <w:lang w:val="en-US" w:eastAsia="zh-CN"/>
        </w:rPr>
        <w:t>公告期限</w:t>
      </w:r>
      <w:bookmarkEnd w:id="6"/>
      <w:r>
        <w:rPr>
          <w:rFonts w:hint="eastAsia" w:ascii="方正仿宋_GB2312" w:hAnsi="方正仿宋_GB2312" w:eastAsia="方正仿宋_GB2312" w:cs="方正仿宋_GB2312"/>
          <w:b/>
          <w:bCs/>
          <w:sz w:val="24"/>
          <w:szCs w:val="24"/>
          <w:highlight w:val="none"/>
          <w:lang w:val="en-US" w:eastAsia="zh-CN"/>
        </w:rPr>
        <w:t xml:space="preserve"> </w:t>
      </w:r>
    </w:p>
    <w:p w14:paraId="6B2D444C">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自本公告发布之日起</w:t>
      </w:r>
      <w:r>
        <w:rPr>
          <w:rFonts w:hint="eastAsia" w:ascii="方正仿宋_GB2312" w:hAnsi="方正仿宋_GB2312" w:eastAsia="方正仿宋_GB2312" w:cs="方正仿宋_GB2312"/>
          <w:b w:val="0"/>
          <w:bCs w:val="0"/>
          <w:sz w:val="24"/>
          <w:szCs w:val="24"/>
          <w:highlight w:val="none"/>
          <w:lang w:val="en-US" w:eastAsia="zh-CN"/>
        </w:rPr>
        <w:t>3</w:t>
      </w:r>
      <w:r>
        <w:rPr>
          <w:rFonts w:hint="eastAsia" w:ascii="方正仿宋_GB2312" w:hAnsi="方正仿宋_GB2312" w:eastAsia="方正仿宋_GB2312" w:cs="方正仿宋_GB2312"/>
          <w:b w:val="0"/>
          <w:bCs w:val="0"/>
          <w:sz w:val="24"/>
          <w:szCs w:val="24"/>
          <w:highlight w:val="none"/>
        </w:rPr>
        <w:t>个工作日。</w:t>
      </w:r>
    </w:p>
    <w:p w14:paraId="7D77C4A3">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7" w:name="_Toc1229"/>
      <w:r>
        <w:rPr>
          <w:rFonts w:hint="eastAsia" w:ascii="方正仿宋_GB2312" w:hAnsi="方正仿宋_GB2312" w:eastAsia="方正仿宋_GB2312" w:cs="方正仿宋_GB2312"/>
          <w:b/>
          <w:bCs/>
          <w:sz w:val="24"/>
          <w:szCs w:val="24"/>
          <w:highlight w:val="none"/>
          <w:lang w:val="en-US" w:eastAsia="zh-CN"/>
        </w:rPr>
        <w:t>其他补充事宜</w:t>
      </w:r>
      <w:bookmarkEnd w:id="7"/>
      <w:r>
        <w:rPr>
          <w:rFonts w:hint="eastAsia" w:ascii="方正仿宋_GB2312" w:hAnsi="方正仿宋_GB2312" w:eastAsia="方正仿宋_GB2312" w:cs="方正仿宋_GB2312"/>
          <w:b/>
          <w:bCs/>
          <w:sz w:val="24"/>
          <w:szCs w:val="24"/>
          <w:highlight w:val="none"/>
          <w:lang w:val="en-US" w:eastAsia="zh-CN"/>
        </w:rPr>
        <w:t xml:space="preserve"> </w:t>
      </w:r>
    </w:p>
    <w:p w14:paraId="68D96F15">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w:t>
      </w:r>
      <w:r>
        <w:rPr>
          <w:rFonts w:hint="eastAsia" w:ascii="方正仿宋_GB2312" w:hAnsi="方正仿宋_GB2312" w:eastAsia="方正仿宋_GB2312" w:cs="方正仿宋_GB2312"/>
          <w:b/>
          <w:bCs/>
          <w:sz w:val="24"/>
          <w:szCs w:val="24"/>
          <w:highlight w:val="none"/>
        </w:rPr>
        <w:t>新疆政府采购网</w:t>
      </w:r>
      <w:r>
        <w:rPr>
          <w:rFonts w:hint="eastAsia" w:ascii="方正仿宋_GB2312" w:hAnsi="方正仿宋_GB2312" w:eastAsia="方正仿宋_GB2312" w:cs="方正仿宋_GB2312"/>
          <w:sz w:val="24"/>
          <w:szCs w:val="24"/>
          <w:highlight w:val="none"/>
        </w:rPr>
        <w:t>（http://www.ccgp-xinjiang.gov.cn）</w:t>
      </w:r>
      <w:r>
        <w:rPr>
          <w:rFonts w:hint="eastAsia" w:ascii="方正仿宋_GB2312" w:hAnsi="方正仿宋_GB2312" w:eastAsia="方正仿宋_GB2312" w:cs="方正仿宋_GB2312"/>
          <w:b w:val="0"/>
          <w:bCs w:val="0"/>
          <w:sz w:val="24"/>
          <w:szCs w:val="24"/>
          <w:highlight w:val="none"/>
        </w:rPr>
        <w:t>发布。</w:t>
      </w:r>
    </w:p>
    <w:p w14:paraId="78C3EECF">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w:t>
      </w:r>
      <w:r>
        <w:rPr>
          <w:rFonts w:hint="eastAsia" w:ascii="方正仿宋_GB2312" w:hAnsi="方正仿宋_GB2312" w:eastAsia="方正仿宋_GB2312" w:cs="方正仿宋_GB2312"/>
          <w:b w:val="0"/>
          <w:bCs w:val="0"/>
          <w:sz w:val="24"/>
          <w:szCs w:val="24"/>
          <w:highlight w:val="none"/>
          <w:lang w:eastAsia="zh-CN"/>
        </w:rPr>
        <w:t>磋商</w:t>
      </w:r>
      <w:r>
        <w:rPr>
          <w:rFonts w:hint="eastAsia" w:ascii="方正仿宋_GB2312" w:hAnsi="方正仿宋_GB2312" w:eastAsia="方正仿宋_GB2312" w:cs="方正仿宋_GB2312"/>
          <w:b w:val="0"/>
          <w:bCs w:val="0"/>
          <w:sz w:val="24"/>
          <w:szCs w:val="24"/>
          <w:highlight w:val="none"/>
        </w:rPr>
        <w:t>供应商随时关注本项目的澄清、答疑、变更事项。</w:t>
      </w:r>
    </w:p>
    <w:p w14:paraId="4FB98347">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w:t>
      </w:r>
      <w:r>
        <w:rPr>
          <w:rFonts w:hint="eastAsia" w:ascii="方正仿宋_GB2312" w:hAnsi="方正仿宋_GB2312" w:eastAsia="方正仿宋_GB2312" w:cs="方正仿宋_GB2312"/>
          <w:b w:val="0"/>
          <w:bCs w:val="0"/>
          <w:sz w:val="24"/>
          <w:szCs w:val="24"/>
          <w:highlight w:val="none"/>
          <w:lang w:eastAsia="zh-CN"/>
        </w:rPr>
        <w:t>采购文件</w:t>
      </w:r>
      <w:r>
        <w:rPr>
          <w:rFonts w:hint="eastAsia" w:ascii="方正仿宋_GB2312" w:hAnsi="方正仿宋_GB2312" w:eastAsia="方正仿宋_GB2312" w:cs="方正仿宋_GB2312"/>
          <w:b w:val="0"/>
          <w:bCs w:val="0"/>
          <w:sz w:val="24"/>
          <w:szCs w:val="24"/>
          <w:highlight w:val="none"/>
        </w:rPr>
        <w:t>，并通过政采云电子投标客户端制作响应文件，同时自行承担与投标有关的一切费用。</w:t>
      </w:r>
    </w:p>
    <w:p w14:paraId="63A6E986">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3E5975AB">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14B82D7">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5047"/>
      <w:r>
        <w:rPr>
          <w:rFonts w:hint="eastAsia" w:ascii="方正仿宋_GB2312" w:hAnsi="方正仿宋_GB2312" w:eastAsia="方正仿宋_GB2312" w:cs="方正仿宋_GB2312"/>
          <w:b/>
          <w:bCs/>
          <w:sz w:val="24"/>
          <w:szCs w:val="24"/>
          <w:highlight w:val="none"/>
        </w:rPr>
        <w:t>对本次采购提出询问，请按以下方式联系</w:t>
      </w:r>
      <w:bookmarkEnd w:id="8"/>
    </w:p>
    <w:p w14:paraId="129671D4">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1.采购人信息</w:t>
      </w:r>
    </w:p>
    <w:p w14:paraId="1ED49CB4">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名称：</w:t>
      </w:r>
      <w:r>
        <w:rPr>
          <w:rFonts w:hint="eastAsia" w:ascii="方正仿宋_GB2312" w:hAnsi="方正仿宋_GB2312" w:eastAsia="方正仿宋_GB2312" w:cs="方正仿宋_GB2312"/>
          <w:highlight w:val="none"/>
          <w:lang w:val="en-US" w:eastAsia="zh-CN"/>
        </w:rPr>
        <w:t>新疆维吾尔自治区政务服务和公共资源交易中心</w:t>
      </w:r>
    </w:p>
    <w:p w14:paraId="519A9DA4">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地址：乌鲁木齐市水磨沟区</w:t>
      </w:r>
      <w:r>
        <w:rPr>
          <w:rFonts w:hint="eastAsia" w:ascii="方正仿宋_GB2312" w:hAnsi="方正仿宋_GB2312" w:eastAsia="方正仿宋_GB2312" w:cs="方正仿宋_GB2312"/>
          <w:highlight w:val="none"/>
          <w:lang w:val="en-US" w:eastAsia="zh-CN"/>
        </w:rPr>
        <w:t>准噶尔街299号</w:t>
      </w:r>
      <w:r>
        <w:rPr>
          <w:rFonts w:hint="eastAsia" w:ascii="方正仿宋_GB2312" w:hAnsi="方正仿宋_GB2312" w:eastAsia="方正仿宋_GB2312" w:cs="方正仿宋_GB2312"/>
          <w:highlight w:val="none"/>
        </w:rPr>
        <w:t>益民大厦</w:t>
      </w:r>
    </w:p>
    <w:p w14:paraId="18780785">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联系方式：</w:t>
      </w:r>
      <w:r>
        <w:rPr>
          <w:rFonts w:hint="eastAsia" w:ascii="方正仿宋_GB2312" w:hAnsi="方正仿宋_GB2312" w:eastAsia="方正仿宋_GB2312" w:cs="方正仿宋_GB2312"/>
          <w:highlight w:val="none"/>
          <w:lang w:val="en-US" w:eastAsia="zh-CN"/>
        </w:rPr>
        <w:t>麦工    0991-3552013</w:t>
      </w:r>
    </w:p>
    <w:p w14:paraId="687E5E82">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2.采购代理机构信息</w:t>
      </w:r>
    </w:p>
    <w:p w14:paraId="361B1F18">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名 称：新疆世纪星工程咨询有限公司</w:t>
      </w:r>
    </w:p>
    <w:p w14:paraId="14C33BCE">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地 址：乌鲁木齐经济技术开发区二期黄山街一品九点阳光德港大厦B座20楼</w:t>
      </w:r>
    </w:p>
    <w:p w14:paraId="1E307C34">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联系方式：0991-3678303</w:t>
      </w:r>
    </w:p>
    <w:p w14:paraId="1443EE93">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3.项目联系方式</w:t>
      </w:r>
    </w:p>
    <w:p w14:paraId="09F2F9AB">
      <w:pPr>
        <w:shd w:val="clear"/>
        <w:autoSpaceDE w:val="0"/>
        <w:autoSpaceDN w:val="0"/>
        <w:adjustRightInd w:val="0"/>
        <w:snapToGrid w:val="0"/>
        <w:spacing w:line="440" w:lineRule="exact"/>
        <w:jc w:val="left"/>
        <w:rPr>
          <w:rFonts w:hint="eastAsia" w:ascii="方正仿宋_GB2312" w:hAnsi="方正仿宋_GB2312" w:eastAsia="方正仿宋_GB2312" w:cs="方正仿宋_GB2312"/>
          <w:kern w:val="0"/>
          <w:szCs w:val="22"/>
          <w:highlight w:val="none"/>
          <w:lang w:val="en-US" w:eastAsia="zh-CN" w:bidi="zh-CN"/>
        </w:rPr>
      </w:pPr>
      <w:r>
        <w:rPr>
          <w:rFonts w:hint="eastAsia" w:ascii="方正仿宋_GB2312" w:hAnsi="方正仿宋_GB2312" w:eastAsia="方正仿宋_GB2312" w:cs="方正仿宋_GB2312"/>
          <w:kern w:val="0"/>
          <w:szCs w:val="22"/>
          <w:highlight w:val="none"/>
          <w:lang w:val="zh-CN" w:bidi="zh-CN"/>
        </w:rPr>
        <w:t>项目联系人：</w:t>
      </w:r>
      <w:r>
        <w:rPr>
          <w:rFonts w:hint="eastAsia" w:ascii="方正仿宋_GB2312" w:hAnsi="方正仿宋_GB2312" w:eastAsia="方正仿宋_GB2312" w:cs="方正仿宋_GB2312"/>
          <w:highlight w:val="none"/>
        </w:rPr>
        <w:t>李梦媛、李航、杜萍</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范艳娥</w:t>
      </w:r>
    </w:p>
    <w:p w14:paraId="44C0D6C3">
      <w:pPr>
        <w:shd w:val="clea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电 话：0991-3678303</w:t>
      </w:r>
    </w:p>
    <w:p w14:paraId="4B54C175">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p>
    <w:p w14:paraId="284D3E0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641333FE">
      <w:p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27E4E383">
      <w:pPr>
        <w:pStyle w:val="3"/>
        <w:numPr>
          <w:ilvl w:val="0"/>
          <w:numId w:val="3"/>
        </w:numPr>
        <w:shd w:val="clear"/>
        <w:bidi w:val="0"/>
        <w:jc w:val="center"/>
        <w:rPr>
          <w:rFonts w:hint="eastAsia" w:ascii="方正小标宋简体" w:hAnsi="方正小标宋简体" w:eastAsia="方正小标宋简体" w:cs="方正小标宋简体"/>
          <w:sz w:val="32"/>
          <w:szCs w:val="32"/>
          <w:highlight w:val="none"/>
          <w:lang w:val="en-US" w:eastAsia="zh-CN"/>
        </w:rPr>
      </w:pPr>
      <w:bookmarkStart w:id="9" w:name="_Toc19946"/>
      <w:r>
        <w:rPr>
          <w:rFonts w:hint="eastAsia" w:ascii="方正小标宋简体" w:hAnsi="方正小标宋简体" w:eastAsia="方正小标宋简体" w:cs="方正小标宋简体"/>
          <w:sz w:val="32"/>
          <w:szCs w:val="32"/>
          <w:highlight w:val="none"/>
          <w:lang w:val="en-US" w:eastAsia="zh-CN"/>
        </w:rPr>
        <w:t>供应商须知前附表</w:t>
      </w:r>
      <w:bookmarkEnd w:id="9"/>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432924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E77B4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6FD399C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36830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3231DE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204E3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采购人：</w:t>
            </w:r>
            <w:r>
              <w:rPr>
                <w:rFonts w:hint="eastAsia" w:ascii="方正仿宋_GB2312" w:hAnsi="方正仿宋_GB2312" w:eastAsia="方正仿宋_GB2312" w:cs="方正仿宋_GB2312"/>
                <w:sz w:val="21"/>
                <w:szCs w:val="21"/>
                <w:highlight w:val="none"/>
                <w:vertAlign w:val="baseline"/>
                <w:lang w:val="en-US" w:eastAsia="zh-CN"/>
              </w:rPr>
              <w:t>新疆维吾尔自治区政务服务和公共资源交易中心</w:t>
            </w:r>
          </w:p>
          <w:p w14:paraId="7AD14DE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地址：乌鲁木齐市水磨沟区</w:t>
            </w:r>
            <w:r>
              <w:rPr>
                <w:rFonts w:hint="eastAsia" w:ascii="方正仿宋_GB2312" w:hAnsi="方正仿宋_GB2312" w:eastAsia="方正仿宋_GB2312" w:cs="方正仿宋_GB2312"/>
                <w:sz w:val="21"/>
                <w:szCs w:val="21"/>
                <w:highlight w:val="none"/>
                <w:vertAlign w:val="baseline"/>
                <w:lang w:val="en-US" w:eastAsia="zh-CN"/>
              </w:rPr>
              <w:t>准噶尔街299号</w:t>
            </w:r>
            <w:r>
              <w:rPr>
                <w:rFonts w:hint="eastAsia" w:ascii="方正仿宋_GB2312" w:hAnsi="方正仿宋_GB2312" w:eastAsia="方正仿宋_GB2312" w:cs="方正仿宋_GB2312"/>
                <w:sz w:val="21"/>
                <w:szCs w:val="21"/>
                <w:highlight w:val="none"/>
                <w:vertAlign w:val="baseline"/>
              </w:rPr>
              <w:t>益民大厦</w:t>
            </w:r>
          </w:p>
          <w:p w14:paraId="187C086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联系人</w:t>
            </w:r>
            <w:r>
              <w:rPr>
                <w:rFonts w:hint="eastAsia" w:ascii="方正仿宋_GB2312" w:hAnsi="方正仿宋_GB2312" w:eastAsia="方正仿宋_GB2312" w:cs="方正仿宋_GB2312"/>
                <w:sz w:val="21"/>
                <w:szCs w:val="21"/>
                <w:highlight w:val="none"/>
                <w:vertAlign w:val="baseline"/>
              </w:rPr>
              <w:t>：麦工</w:t>
            </w:r>
          </w:p>
          <w:p w14:paraId="73A5436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联系电话：0991-3552013</w:t>
            </w:r>
          </w:p>
        </w:tc>
      </w:tr>
      <w:tr w14:paraId="66D55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4FD73D">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01F9E1B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采购代理机构：新疆世纪星工程咨询有限公司</w:t>
            </w:r>
          </w:p>
          <w:p w14:paraId="6E4512B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地址：乌鲁木齐经济技术开发区二期黄山街一品九点阳光德港大厦B座20楼</w:t>
            </w:r>
          </w:p>
          <w:p w14:paraId="7D377C4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业务联系人：李梦媛</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电话：0991-3678303</w:t>
            </w:r>
          </w:p>
          <w:p w14:paraId="7DF4349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415485763</w:t>
            </w:r>
            <w:r>
              <w:rPr>
                <w:rFonts w:hint="eastAsia" w:ascii="方正仿宋_GB2312" w:hAnsi="方正仿宋_GB2312" w:eastAsia="方正仿宋_GB2312" w:cs="方正仿宋_GB2312"/>
                <w:sz w:val="21"/>
                <w:szCs w:val="21"/>
                <w:highlight w:val="none"/>
                <w:vertAlign w:val="baseline"/>
              </w:rPr>
              <w:t>@qq.com</w:t>
            </w:r>
          </w:p>
        </w:tc>
      </w:tr>
      <w:tr w14:paraId="4B0EA3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0DEE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6B040C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w:t>
            </w:r>
            <w:r>
              <w:rPr>
                <w:rFonts w:hint="eastAsia" w:ascii="方正仿宋_GB2312" w:hAnsi="方正仿宋_GB2312" w:eastAsia="方正仿宋_GB2312" w:cs="方正仿宋_GB2312"/>
                <w:b/>
                <w:bCs/>
                <w:sz w:val="21"/>
                <w:szCs w:val="21"/>
                <w:highlight w:val="none"/>
                <w:vertAlign w:val="baseline"/>
                <w:lang w:val="en-US" w:eastAsia="zh-CN"/>
              </w:rPr>
              <w:t>供应商</w:t>
            </w:r>
            <w:r>
              <w:rPr>
                <w:rFonts w:hint="eastAsia" w:ascii="方正仿宋_GB2312" w:hAnsi="方正仿宋_GB2312" w:eastAsia="方正仿宋_GB2312" w:cs="方正仿宋_GB2312"/>
                <w:b/>
                <w:bCs/>
                <w:sz w:val="21"/>
                <w:szCs w:val="21"/>
                <w:highlight w:val="none"/>
                <w:vertAlign w:val="baseline"/>
              </w:rPr>
              <w:t>的其他资格要求：</w:t>
            </w:r>
          </w:p>
          <w:p w14:paraId="5FCD25D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0B1887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方正仿宋_GB2312" w:hAnsi="方正仿宋_GB2312" w:eastAsia="方正仿宋_GB2312" w:cs="方正仿宋_GB2312"/>
                <w:sz w:val="21"/>
                <w:szCs w:val="21"/>
                <w:highlight w:val="none"/>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0DFD4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1EC009">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498A1C9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是否允许采购进口产品：否</w:t>
            </w:r>
          </w:p>
          <w:p w14:paraId="51B809F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57D88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76F2E0">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7D24C70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本项目采购标的对应的中小企业划分标准所属行业：</w:t>
            </w:r>
          </w:p>
          <w:p w14:paraId="2AA8FA42">
            <w:pPr>
              <w:pStyle w:val="7"/>
              <w:keepNext w:val="0"/>
              <w:keepLines w:val="0"/>
              <w:pageBreakBefore w:val="0"/>
              <w:widowControl w:val="0"/>
              <w:shd w:val="clear"/>
              <w:kinsoku/>
              <w:wordWrap/>
              <w:overflowPunct/>
              <w:topLinePunct w:val="0"/>
              <w:bidi w:val="0"/>
              <w:snapToGrid/>
              <w:spacing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sz w:val="21"/>
                <w:szCs w:val="21"/>
                <w:highlight w:val="none"/>
                <w:u w:val="none"/>
              </w:rPr>
              <w:t>采购标的</w:t>
            </w:r>
            <w:r>
              <w:rPr>
                <w:rFonts w:hint="eastAsia" w:ascii="方正仿宋_GB2312" w:hAnsi="方正仿宋_GB2312" w:eastAsia="方正仿宋_GB2312" w:cs="方正仿宋_GB2312"/>
                <w:b/>
                <w:bCs/>
                <w:sz w:val="21"/>
                <w:szCs w:val="21"/>
                <w:highlight w:val="none"/>
                <w:u w:val="none"/>
                <w:lang w:eastAsia="zh-CN"/>
              </w:rPr>
              <w:t>：</w:t>
            </w:r>
            <w:r>
              <w:rPr>
                <w:rFonts w:hint="eastAsia" w:ascii="方正仿宋_GB2312" w:hAnsi="方正仿宋_GB2312" w:eastAsia="方正仿宋_GB2312" w:cs="方正仿宋_GB2312"/>
                <w:b/>
                <w:bCs/>
                <w:sz w:val="21"/>
                <w:szCs w:val="21"/>
                <w:highlight w:val="none"/>
                <w:u w:val="single"/>
                <w:lang w:val="en-US" w:eastAsia="zh-CN"/>
              </w:rPr>
              <w:t xml:space="preserve">网络安全风险评估服务项目 </w:t>
            </w:r>
            <w:r>
              <w:rPr>
                <w:rFonts w:hint="eastAsia" w:ascii="方正仿宋_GB2312" w:hAnsi="方正仿宋_GB2312" w:eastAsia="方正仿宋_GB2312" w:cs="方正仿宋_GB2312"/>
                <w:b/>
                <w:bCs/>
                <w:sz w:val="21"/>
                <w:szCs w:val="21"/>
                <w:highlight w:val="none"/>
                <w:u w:val="none"/>
              </w:rPr>
              <w:t>按照</w:t>
            </w:r>
            <w:r>
              <w:rPr>
                <w:rFonts w:hint="eastAsia" w:ascii="方正仿宋_GB2312" w:hAnsi="方正仿宋_GB2312" w:eastAsia="方正仿宋_GB2312" w:cs="方正仿宋_GB2312"/>
                <w:b/>
                <w:bCs/>
                <w:sz w:val="21"/>
                <w:szCs w:val="21"/>
                <w:highlight w:val="none"/>
                <w:u w:val="none"/>
                <w:lang w:val="en-US" w:eastAsia="zh-CN"/>
              </w:rPr>
              <w:t xml:space="preserve"> </w:t>
            </w:r>
            <w:r>
              <w:rPr>
                <w:rFonts w:hint="eastAsia" w:ascii="方正仿宋_GB2312" w:hAnsi="方正仿宋_GB2312" w:eastAsia="方正仿宋_GB2312" w:cs="方正仿宋_GB2312"/>
                <w:b/>
                <w:bCs/>
                <w:sz w:val="21"/>
                <w:szCs w:val="21"/>
                <w:highlight w:val="none"/>
                <w:u w:val="single"/>
                <w:lang w:val="en-US" w:eastAsia="zh-CN"/>
              </w:rPr>
              <w:t xml:space="preserve">软件和信息技术服务业 </w:t>
            </w:r>
            <w:r>
              <w:rPr>
                <w:rFonts w:hint="eastAsia" w:ascii="方正仿宋_GB2312" w:hAnsi="方正仿宋_GB2312" w:eastAsia="方正仿宋_GB2312" w:cs="方正仿宋_GB2312"/>
                <w:b/>
                <w:bCs/>
                <w:sz w:val="21"/>
                <w:szCs w:val="21"/>
                <w:highlight w:val="none"/>
                <w:u w:val="none"/>
              </w:rPr>
              <w:t>认定企业类型标准。</w:t>
            </w:r>
          </w:p>
        </w:tc>
      </w:tr>
      <w:tr w14:paraId="146C1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7CA13E">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tl2br w:val="nil"/>
              <w:tr2bl w:val="nil"/>
            </w:tcBorders>
            <w:vAlign w:val="center"/>
          </w:tcPr>
          <w:p w14:paraId="5859C2A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3B443A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441CC6E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企业承接。（依据《政府采购促进中小企业发展管理办法》第二条：</w:t>
            </w:r>
            <w:r>
              <w:rPr>
                <w:rFonts w:hint="eastAsia" w:ascii="方正仿宋_GB2312" w:hAnsi="方正仿宋_GB2312" w:eastAsia="方正仿宋_GB2312" w:cs="方正仿宋_GB2312"/>
                <w:b/>
                <w:bCs/>
                <w:sz w:val="21"/>
                <w:szCs w:val="21"/>
                <w:highlight w:val="none"/>
                <w:vertAlign w:val="baseline"/>
                <w:lang w:val="en-US" w:eastAsia="zh-CN"/>
              </w:rPr>
              <w:t>中小企业，是指在中华人民共和国境内依法设立，依据国务院批准的中小企业划分标准确定的中型企业、小型企业和微型企业</w:t>
            </w:r>
            <w:r>
              <w:rPr>
                <w:rFonts w:hint="eastAsia" w:ascii="方正仿宋_GB2312" w:hAnsi="方正仿宋_GB2312" w:eastAsia="方正仿宋_GB2312" w:cs="方正仿宋_GB2312"/>
                <w:sz w:val="21"/>
                <w:szCs w:val="21"/>
                <w:highlight w:val="none"/>
                <w:vertAlign w:val="baseline"/>
                <w:lang w:val="en-US" w:eastAsia="zh-CN"/>
              </w:rPr>
              <w:t>，但与大企业的负责人为同一人，或者与大企业存在直接控股、管理关系的除外。 符合中小企业划分标准的个体工商户，在政府采购活动中视同中小企业。）</w:t>
            </w:r>
          </w:p>
          <w:p w14:paraId="32CCD8F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7CE3B0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761C5C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1.11</w:t>
            </w:r>
          </w:p>
        </w:tc>
        <w:tc>
          <w:tcPr>
            <w:tcW w:w="6652" w:type="dxa"/>
            <w:tcBorders>
              <w:tl2br w:val="nil"/>
              <w:tr2bl w:val="nil"/>
            </w:tcBorders>
            <w:vAlign w:val="center"/>
          </w:tcPr>
          <w:p w14:paraId="1C2E3E6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本项目是否适用本国产品价格评审优惠政策：</w:t>
            </w:r>
          </w:p>
          <w:p w14:paraId="3929A7A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38288F7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4CB7130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4E7BF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37C275">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18E629D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是否允许联合体参加</w:t>
            </w:r>
            <w:r>
              <w:rPr>
                <w:rFonts w:hint="eastAsia" w:ascii="方正仿宋_GB2312" w:hAnsi="方正仿宋_GB2312" w:eastAsia="方正仿宋_GB2312" w:cs="方正仿宋_GB2312"/>
                <w:sz w:val="21"/>
                <w:szCs w:val="21"/>
                <w:highlight w:val="none"/>
                <w:vertAlign w:val="baseline"/>
                <w:lang w:eastAsia="zh-CN"/>
              </w:rPr>
              <w:t>磋商</w:t>
            </w:r>
            <w:r>
              <w:rPr>
                <w:rFonts w:hint="eastAsia" w:ascii="方正仿宋_GB2312" w:hAnsi="方正仿宋_GB2312" w:eastAsia="方正仿宋_GB2312" w:cs="方正仿宋_GB2312"/>
                <w:sz w:val="21"/>
                <w:szCs w:val="21"/>
                <w:highlight w:val="none"/>
                <w:vertAlign w:val="baseline"/>
              </w:rPr>
              <w:t>：否</w:t>
            </w:r>
          </w:p>
          <w:p w14:paraId="3F7CB79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36DFF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07C1A7C">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FE7368F">
            <w:pPr>
              <w:shd w:val="clear"/>
              <w:spacing w:line="500" w:lineRule="exact"/>
              <w:rPr>
                <w:rFonts w:hint="default"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rPr>
              <w:t>项目预算金额：</w:t>
            </w:r>
            <w:r>
              <w:rPr>
                <w:rFonts w:hint="eastAsia" w:ascii="方正仿宋_GB2312" w:hAnsi="方正仿宋_GB2312" w:eastAsia="方正仿宋_GB2312" w:cs="方正仿宋_GB2312"/>
                <w:sz w:val="21"/>
                <w:szCs w:val="21"/>
                <w:highlight w:val="none"/>
                <w:lang w:val="en-US" w:eastAsia="zh-CN"/>
              </w:rPr>
              <w:t>162万元</w:t>
            </w:r>
          </w:p>
          <w:p w14:paraId="24B0B48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rPr>
              <w:t>最高限价：</w:t>
            </w:r>
            <w:r>
              <w:rPr>
                <w:rFonts w:hint="eastAsia" w:ascii="方正仿宋_GB2312" w:hAnsi="方正仿宋_GB2312" w:eastAsia="方正仿宋_GB2312" w:cs="方正仿宋_GB2312"/>
                <w:sz w:val="21"/>
                <w:szCs w:val="21"/>
                <w:highlight w:val="none"/>
                <w:lang w:val="en-US" w:eastAsia="zh-CN"/>
              </w:rPr>
              <w:t>162万元</w:t>
            </w:r>
          </w:p>
        </w:tc>
      </w:tr>
      <w:tr w14:paraId="1878D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2D56B">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7055DED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4EBD4C4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26F02D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6E633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4C24CF1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是否需要提供样品（演示）：</w:t>
            </w:r>
            <w:r>
              <w:rPr>
                <w:rFonts w:hint="eastAsia" w:ascii="方正仿宋_GB2312" w:hAnsi="方正仿宋_GB2312" w:eastAsia="方正仿宋_GB2312" w:cs="方正仿宋_GB2312"/>
                <w:sz w:val="21"/>
                <w:szCs w:val="21"/>
                <w:highlight w:val="none"/>
                <w:vertAlign w:val="baseline"/>
                <w:lang w:val="en-US" w:eastAsia="zh-CN"/>
              </w:rPr>
              <w:t>否</w:t>
            </w:r>
            <w:r>
              <w:rPr>
                <w:rFonts w:hint="eastAsia" w:ascii="方正仿宋_GB2312" w:hAnsi="方正仿宋_GB2312" w:eastAsia="方正仿宋_GB2312" w:cs="方正仿宋_GB2312"/>
                <w:sz w:val="21"/>
                <w:szCs w:val="21"/>
                <w:highlight w:val="none"/>
                <w:vertAlign w:val="baseline"/>
              </w:rPr>
              <w:t xml:space="preserve"> </w:t>
            </w:r>
          </w:p>
          <w:p w14:paraId="29C5337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31A10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C7B554">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26D0875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w:t>
            </w:r>
            <w:r>
              <w:rPr>
                <w:rFonts w:hint="eastAsia" w:ascii="方正仿宋_GB2312" w:hAnsi="方正仿宋_GB2312" w:eastAsia="方正仿宋_GB2312" w:cs="方正仿宋_GB2312"/>
                <w:sz w:val="21"/>
                <w:szCs w:val="21"/>
                <w:highlight w:val="none"/>
                <w:vertAlign w:val="baseline"/>
                <w:lang w:val="en-US" w:eastAsia="zh-CN"/>
              </w:rPr>
              <w:t>供应商</w:t>
            </w:r>
            <w:r>
              <w:rPr>
                <w:rFonts w:hint="eastAsia" w:ascii="方正仿宋_GB2312" w:hAnsi="方正仿宋_GB2312" w:eastAsia="方正仿宋_GB2312" w:cs="方正仿宋_GB2312"/>
                <w:sz w:val="21"/>
                <w:szCs w:val="21"/>
                <w:highlight w:val="none"/>
                <w:vertAlign w:val="baseline"/>
              </w:rPr>
              <w:t>对</w:t>
            </w:r>
            <w:r>
              <w:rPr>
                <w:rFonts w:hint="eastAsia" w:ascii="方正仿宋_GB2312" w:hAnsi="方正仿宋_GB2312" w:eastAsia="方正仿宋_GB2312" w:cs="方正仿宋_GB2312"/>
                <w:b/>
                <w:bCs/>
                <w:sz w:val="21"/>
                <w:szCs w:val="21"/>
                <w:highlight w:val="none"/>
                <w:vertAlign w:val="baseline"/>
              </w:rPr>
              <w:t>多</w:t>
            </w:r>
            <w:r>
              <w:rPr>
                <w:rFonts w:hint="eastAsia" w:ascii="方正仿宋_GB2312" w:hAnsi="方正仿宋_GB2312" w:eastAsia="方正仿宋_GB2312" w:cs="方正仿宋_GB2312"/>
                <w:sz w:val="21"/>
                <w:szCs w:val="21"/>
                <w:highlight w:val="none"/>
                <w:vertAlign w:val="baseline"/>
              </w:rPr>
              <w:t>个包进行</w:t>
            </w:r>
            <w:r>
              <w:rPr>
                <w:rFonts w:hint="eastAsia" w:ascii="方正仿宋_GB2312" w:hAnsi="方正仿宋_GB2312" w:eastAsia="方正仿宋_GB2312" w:cs="方正仿宋_GB2312"/>
                <w:sz w:val="21"/>
                <w:szCs w:val="21"/>
                <w:highlight w:val="none"/>
                <w:vertAlign w:val="baseline"/>
                <w:lang w:val="en-US" w:eastAsia="zh-CN"/>
              </w:rPr>
              <w:t>磋商响应</w:t>
            </w:r>
            <w:r>
              <w:rPr>
                <w:rFonts w:hint="eastAsia" w:ascii="方正仿宋_GB2312" w:hAnsi="方正仿宋_GB2312" w:eastAsia="方正仿宋_GB2312" w:cs="方正仿宋_GB2312"/>
                <w:sz w:val="21"/>
                <w:szCs w:val="21"/>
                <w:highlight w:val="none"/>
                <w:vertAlign w:val="baseline"/>
              </w:rPr>
              <w:t>，可以</w:t>
            </w:r>
            <w:r>
              <w:rPr>
                <w:rFonts w:hint="eastAsia" w:ascii="方正仿宋_GB2312" w:hAnsi="方正仿宋_GB2312" w:eastAsia="方正仿宋_GB2312" w:cs="方正仿宋_GB2312"/>
                <w:sz w:val="21"/>
                <w:szCs w:val="21"/>
                <w:highlight w:val="none"/>
                <w:vertAlign w:val="baseline"/>
                <w:lang w:val="en-US" w:eastAsia="zh-CN"/>
              </w:rPr>
              <w:t>成交</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BC1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266A2D">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4718189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投标（响应）保证金金额及要求：</w:t>
            </w:r>
          </w:p>
          <w:p w14:paraId="64C069D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5143C3A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69C3256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7366DEF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保证金数额：</w:t>
            </w:r>
            <w:r>
              <w:rPr>
                <w:rFonts w:hint="eastAsia" w:ascii="方正仿宋_GB2312" w:hAnsi="方正仿宋_GB2312" w:eastAsia="方正仿宋_GB2312" w:cs="方正仿宋_GB2312"/>
                <w:sz w:val="21"/>
                <w:szCs w:val="21"/>
                <w:highlight w:val="none"/>
                <w:vertAlign w:val="baseline"/>
                <w:lang w:val="en-US" w:eastAsia="zh-CN"/>
              </w:rPr>
              <w:t>¥32400.00</w:t>
            </w:r>
            <w:r>
              <w:rPr>
                <w:rFonts w:hint="eastAsia" w:ascii="方正仿宋_GB2312" w:hAnsi="方正仿宋_GB2312" w:eastAsia="方正仿宋_GB2312" w:cs="方正仿宋_GB2312"/>
                <w:sz w:val="21"/>
                <w:szCs w:val="21"/>
                <w:highlight w:val="none"/>
                <w:vertAlign w:val="baseline"/>
              </w:rPr>
              <w:t xml:space="preserve">元 </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人民币叁万贰仟肆佰圆整</w:t>
            </w:r>
            <w:r>
              <w:rPr>
                <w:rFonts w:hint="eastAsia" w:ascii="方正仿宋_GB2312" w:hAnsi="方正仿宋_GB2312" w:eastAsia="方正仿宋_GB2312" w:cs="方正仿宋_GB2312"/>
                <w:sz w:val="21"/>
                <w:szCs w:val="21"/>
                <w:highlight w:val="none"/>
                <w:vertAlign w:val="baseline"/>
                <w:lang w:eastAsia="zh-CN"/>
              </w:rPr>
              <w:t>）</w:t>
            </w:r>
          </w:p>
          <w:p w14:paraId="621FBB4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投标保证金递交方式：</w:t>
            </w:r>
          </w:p>
          <w:p w14:paraId="2C4AE02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402AF1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45AEE9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343BAD0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（磋商保证金专户，不作他用）</w:t>
            </w:r>
          </w:p>
          <w:p w14:paraId="6EBADD2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以电汇或银行转账形式缴纳保证金的供应商注意事项：</w:t>
            </w:r>
          </w:p>
          <w:p w14:paraId="0FE1DDF8">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在汇款附言（或银行摘要）中，标明项目编号。</w:t>
            </w:r>
          </w:p>
          <w:p w14:paraId="7D90EF4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投标保证金到账（保函提交）截止时间同投标截止时间。</w:t>
            </w:r>
          </w:p>
          <w:p w14:paraId="0AB6C83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以支票、汇票、本票、网上银行支付等形式提交投标保证金的，应在投标截止时间前到账；</w:t>
            </w:r>
          </w:p>
          <w:p w14:paraId="674C2CB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投标保函提交方式：</w:t>
            </w:r>
            <w:r>
              <w:rPr>
                <w:rFonts w:hint="eastAsia" w:ascii="方正仿宋_GB2312" w:hAnsi="方正仿宋_GB2312" w:eastAsia="方正仿宋_GB2312" w:cs="方正仿宋_GB2312"/>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5EF4FB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由于到账时间晚于投标截止时间的，或者票据错误、印鉴不清等原因导致不能到账的，其投标无效。</w:t>
            </w:r>
          </w:p>
          <w:p w14:paraId="1AEF6E6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投标保证金（投标保函）有效期与投标有效期一致。</w:t>
            </w:r>
          </w:p>
          <w:p w14:paraId="050203A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58118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8DD31B3">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59F48D7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w:t>
            </w:r>
            <w:r>
              <w:rPr>
                <w:rFonts w:hint="eastAsia" w:ascii="方正仿宋_GB2312" w:hAnsi="方正仿宋_GB2312" w:eastAsia="方正仿宋_GB2312" w:cs="方正仿宋_GB2312"/>
                <w:b w:val="0"/>
                <w:bCs w:val="0"/>
                <w:sz w:val="21"/>
                <w:szCs w:val="21"/>
                <w:highlight w:val="none"/>
                <w:vertAlign w:val="baseline"/>
              </w:rPr>
              <w:t>有效期：从提交投标（响应）文件的截止之日起90日历天</w:t>
            </w:r>
          </w:p>
        </w:tc>
      </w:tr>
      <w:tr w14:paraId="76E477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526EB3">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09C359E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响应截止时间：2026 年05月25日16:00（北京时间）</w:t>
            </w:r>
          </w:p>
          <w:p w14:paraId="4EF4057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投标人需在响应截止时间前，将加密投标（响应）文件上传至</w:t>
            </w:r>
            <w:r>
              <w:rPr>
                <w:rFonts w:hint="eastAsia" w:ascii="方正仿宋_GB2312" w:hAnsi="方正仿宋_GB2312" w:eastAsia="方正仿宋_GB2312" w:cs="方正仿宋_GB2312"/>
                <w:b/>
                <w:bCs/>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bCs/>
                <w:sz w:val="21"/>
                <w:szCs w:val="21"/>
                <w:highlight w:val="none"/>
                <w:vertAlign w:val="baseline"/>
                <w:lang w:val="en-US" w:eastAsia="zh-CN"/>
              </w:rPr>
              <w:t>项目采购系统中，逾期上传或错误方式投递送达将导致投标（响应）无效。</w:t>
            </w:r>
          </w:p>
        </w:tc>
      </w:tr>
      <w:tr w14:paraId="110621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2008F2">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485E66F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 xml:space="preserve">开标时间：同响应截止时间 </w:t>
            </w:r>
          </w:p>
          <w:p w14:paraId="7A2063C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开标地点：政采云平台（https://www.zcygov.cn/）不见面开标系统</w:t>
            </w:r>
          </w:p>
        </w:tc>
      </w:tr>
      <w:tr w14:paraId="2AC00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285A6AD6">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5F1B465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4298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15C076C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27BA401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项目是否允许分包：</w:t>
            </w:r>
          </w:p>
          <w:p w14:paraId="058C3A2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6500C5F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4EFF9E3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7652B92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52CBBE4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02657C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96687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4042834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提交履约保证金的时间：/</w:t>
            </w:r>
          </w:p>
          <w:p w14:paraId="1FED1C28">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履约保证金金额：/ </w:t>
            </w:r>
          </w:p>
          <w:p w14:paraId="2575754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p>
        </w:tc>
      </w:tr>
      <w:tr w14:paraId="0EB50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5" w:hRule="atLeast"/>
        </w:trPr>
        <w:tc>
          <w:tcPr>
            <w:tcW w:w="1870" w:type="dxa"/>
            <w:tcBorders>
              <w:bottom w:val="single" w:color="auto" w:sz="8" w:space="0"/>
            </w:tcBorders>
            <w:vAlign w:val="center"/>
          </w:tcPr>
          <w:p w14:paraId="29FC9462">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8" w:space="0"/>
            </w:tcBorders>
            <w:vAlign w:val="center"/>
          </w:tcPr>
          <w:p w14:paraId="267E1D7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 xml:space="preserve">是否由中标人缴纳招标代理费：是 </w:t>
            </w:r>
          </w:p>
          <w:p w14:paraId="2F36BEF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按照采购文件第三章投标须知24.2条收费标准规定“服务类”计费标准计算。（计算依据为成交金额*服务年限）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 </w:t>
            </w:r>
          </w:p>
          <w:p w14:paraId="4692419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支付形式：支票、电汇等形式 </w:t>
            </w:r>
          </w:p>
          <w:p w14:paraId="1093537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60D364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招标代理服务费账户（勿汇错至保证金专户）：</w:t>
            </w:r>
          </w:p>
          <w:p w14:paraId="31D726F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324C7A4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300EDD3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3706D8B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4D7415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710633CB">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8" w:space="0"/>
              <w:tl2br w:val="nil"/>
              <w:tr2bl w:val="nil"/>
            </w:tcBorders>
            <w:vAlign w:val="center"/>
          </w:tcPr>
          <w:p w14:paraId="1011FB0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接收询问和质疑的联系方式：</w:t>
            </w:r>
          </w:p>
          <w:p w14:paraId="722838B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97E747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联系部门、联系电话、通讯地址：见第一章《采购公告》中的采购代理机构信息和项目联系方式。</w:t>
            </w:r>
          </w:p>
          <w:p w14:paraId="21F85BC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3FB7823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4C6C5F3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37D3A9A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41F6F6E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p w14:paraId="4EF9222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注：供应商在法定质疑期内一次性提出针对同一采购程序环节的质疑，本项目不接受供应商多次/反复质疑。</w:t>
            </w:r>
          </w:p>
        </w:tc>
      </w:tr>
      <w:tr w14:paraId="10F89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2B29DA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适用于本供应商须知的额外增加的变动：</w:t>
            </w:r>
          </w:p>
        </w:tc>
      </w:tr>
      <w:tr w14:paraId="2C83F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A3C46A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核心产品：</w:t>
            </w:r>
          </w:p>
          <w:p w14:paraId="2EBCD0A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☑本项目不适用。</w:t>
            </w:r>
          </w:p>
          <w:p w14:paraId="552C2F0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68AF6F5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4DA151F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64536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9F838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187AF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85FCB3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项目属性：服务</w:t>
            </w:r>
          </w:p>
        </w:tc>
      </w:tr>
      <w:tr w14:paraId="12ECD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6A373786">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适用于本投标人须知的额外增加的变动：</w:t>
            </w:r>
          </w:p>
          <w:p w14:paraId="141EA7AC">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1、关于本项目所有公告、公示在</w:t>
            </w:r>
            <w:r>
              <w:rPr>
                <w:rFonts w:hint="eastAsia" w:ascii="方正仿宋_GB2312" w:hAnsi="方正仿宋_GB2312" w:eastAsia="方正仿宋_GB2312" w:cs="方正仿宋_GB2312"/>
                <w:b/>
                <w:bCs/>
                <w:sz w:val="21"/>
                <w:szCs w:val="21"/>
                <w:highlight w:val="none"/>
                <w:lang w:val="en-US" w:eastAsia="zh-CN"/>
              </w:rPr>
              <w:t>新疆政府采购网（http://www.ccgp-xinjiang.gov.cn）</w:t>
            </w:r>
            <w:r>
              <w:rPr>
                <w:rFonts w:hint="eastAsia" w:ascii="方正仿宋_GB2312" w:hAnsi="方正仿宋_GB2312" w:eastAsia="方正仿宋_GB2312" w:cs="方正仿宋_GB2312"/>
                <w:sz w:val="21"/>
                <w:szCs w:val="21"/>
                <w:highlight w:val="none"/>
                <w:lang w:val="en-US" w:eastAsia="zh-CN"/>
              </w:rPr>
              <w:t>发布。</w:t>
            </w:r>
          </w:p>
          <w:p w14:paraId="73555B4D">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2、请投标单位随时关注本项目的澄清、答疑、变更事项。</w:t>
            </w:r>
          </w:p>
          <w:p w14:paraId="1C3E962C">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3、本项目实行电子招投标，供应商须登录政采云平台申请获取采购文件，并通过政采云电子投标客户端制作投标（响应）文件，同时自行承担与投标有关的一切费用。</w:t>
            </w:r>
          </w:p>
          <w:p w14:paraId="01885C7A">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41354AD6">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5、有意向参与本项目的供应商，可访问新疆数字证书认证中心官方网站（https://www.xjca.com.cn/）或下载“新疆政务通”APP自行进行申领CA锁。如需咨询，请联系新疆CA服务热线0991-2819290。</w:t>
            </w:r>
          </w:p>
          <w:p w14:paraId="2966B3BF">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6、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11017B8A">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7、</w:t>
            </w:r>
            <w:r>
              <w:rPr>
                <w:rFonts w:hint="eastAsia" w:ascii="方正仿宋_GB2312" w:hAnsi="方正仿宋_GB2312" w:eastAsia="方正仿宋_GB2312" w:cs="方正仿宋_GB2312"/>
                <w:b/>
                <w:bCs/>
                <w:sz w:val="21"/>
                <w:szCs w:val="21"/>
                <w:highlight w:val="none"/>
                <w:lang w:val="en-US" w:eastAsia="zh-CN"/>
              </w:rPr>
              <w:t>本项目采用不见面开标，供应商须在投标截止时间前通过CA在政采云平台上传加密的电子投标（响应）文件。</w:t>
            </w:r>
            <w:r>
              <w:rPr>
                <w:rFonts w:hint="eastAsia" w:ascii="方正仿宋_GB2312" w:hAnsi="方正仿宋_GB2312" w:eastAsia="方正仿宋_GB2312" w:cs="方正仿宋_GB2312"/>
                <w:sz w:val="21"/>
                <w:szCs w:val="21"/>
                <w:highlight w:val="no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D858DA">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8、供应商在开标前须提前配置好电脑浏览器（建议使用360浏览器或谷歌浏览器），开标时请使用制作加密电子投标（响应）文件的CA锁进行解密及报价确认。</w:t>
            </w:r>
            <w:r>
              <w:rPr>
                <w:rFonts w:hint="eastAsia" w:ascii="方正仿宋_GB2312" w:hAnsi="方正仿宋_GB2312" w:eastAsia="方正仿宋_GB2312" w:cs="方正仿宋_GB2312"/>
                <w:b/>
                <w:bCs/>
                <w:sz w:val="21"/>
                <w:szCs w:val="21"/>
                <w:highlight w:val="none"/>
                <w:lang w:val="en-US" w:eastAsia="zh-CN"/>
              </w:rPr>
              <w:t>本项目投标（响应）文件解密时间定为30分钟，如供应商因自身原因导致在规定的时间未能成功解密的视为放弃投标（响应）。</w:t>
            </w:r>
          </w:p>
          <w:p w14:paraId="7235908C">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9、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308AE14C">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10、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581A0C01">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 xml:space="preserve">11、本须知前附表是对供应商须知正文部分对应条款的补充、细化，供应商阅读时应与正文部分一并阅读，供应商须知前附表与正文部分不一致处，应以供应商须知前附表为准。 </w:t>
            </w:r>
          </w:p>
          <w:p w14:paraId="4A21760A">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12、“☑”符号表示本采购文件选定的内容；“□”符号表示本采购文件未选定的内容；空格中的“/”表示没有具体内容。供应商投标（响应）时请按“☑符号”选定的内容和要求参加投标（响应）。</w:t>
            </w:r>
          </w:p>
          <w:p w14:paraId="32FAE036">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13、与合同履行有关条款中注明的“甲方”、“买方”，在招标投标阶段按“采购人、招标人”理解；注明的“乙方”、“卖方”，按“投标人、供应商”理解。</w:t>
            </w:r>
          </w:p>
          <w:p w14:paraId="2E23E520">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14、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p w14:paraId="49EABAA4">
            <w:pPr>
              <w:pStyle w:val="29"/>
              <w:shd w:val="clear"/>
              <w:ind w:left="0" w:leftChars="0" w:firstLine="0" w:firstLineChars="0"/>
              <w:rPr>
                <w:rFonts w:hint="default"/>
                <w:highlight w:val="none"/>
                <w:lang w:val="en-US" w:eastAsia="zh-CN"/>
              </w:rPr>
            </w:pPr>
            <w:r>
              <w:rPr>
                <w:rFonts w:hint="eastAsia" w:ascii="方正仿宋_GB2312" w:hAnsi="方正仿宋_GB2312" w:eastAsia="方正仿宋_GB2312" w:cs="方正仿宋_GB2312"/>
                <w:sz w:val="21"/>
                <w:szCs w:val="21"/>
                <w:highlight w:val="none"/>
                <w:lang w:val="en-US" w:eastAsia="zh-CN"/>
              </w:rPr>
              <w:t>15、报价构成：包含完成本项目采购需求所需要的全部费用，包括但不限于各项服务以及其他有关费用等。</w:t>
            </w:r>
          </w:p>
        </w:tc>
      </w:tr>
    </w:tbl>
    <w:p w14:paraId="438F8B21">
      <w:p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09E02B6D">
      <w:pPr>
        <w:pStyle w:val="3"/>
        <w:numPr>
          <w:ilvl w:val="0"/>
          <w:numId w:val="4"/>
        </w:numPr>
        <w:shd w:val="clear"/>
        <w:bidi w:val="0"/>
        <w:jc w:val="center"/>
        <w:rPr>
          <w:rFonts w:hint="eastAsia" w:ascii="方正小标宋简体" w:hAnsi="方正小标宋简体" w:eastAsia="方正小标宋简体" w:cs="方正小标宋简体"/>
          <w:sz w:val="32"/>
          <w:szCs w:val="32"/>
          <w:highlight w:val="none"/>
          <w:lang w:val="en-US" w:eastAsia="zh-CN"/>
        </w:rPr>
      </w:pPr>
      <w:bookmarkStart w:id="10" w:name="_Toc4905"/>
      <w:r>
        <w:rPr>
          <w:rFonts w:hint="eastAsia" w:ascii="方正小标宋简体" w:hAnsi="方正小标宋简体" w:eastAsia="方正小标宋简体" w:cs="方正小标宋简体"/>
          <w:sz w:val="32"/>
          <w:szCs w:val="32"/>
          <w:highlight w:val="none"/>
          <w:lang w:val="en-US" w:eastAsia="zh-CN"/>
        </w:rPr>
        <w:t>供应商须知</w:t>
      </w:r>
      <w:bookmarkEnd w:id="10"/>
    </w:p>
    <w:p w14:paraId="328F5CCC">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方正仿宋_GB2312" w:hAnsi="方正仿宋_GB2312" w:eastAsia="方正仿宋_GB2312" w:cs="方正仿宋_GB2312"/>
          <w:b/>
          <w:bCs/>
          <w:sz w:val="24"/>
          <w:szCs w:val="24"/>
          <w:highlight w:val="none"/>
        </w:rPr>
      </w:pPr>
      <w:bookmarkStart w:id="11" w:name="_Toc11730"/>
      <w:r>
        <w:rPr>
          <w:rFonts w:hint="eastAsia" w:ascii="方正仿宋_GB2312" w:hAnsi="方正仿宋_GB2312" w:eastAsia="方正仿宋_GB2312" w:cs="方正仿宋_GB2312"/>
          <w:b/>
          <w:bCs/>
          <w:sz w:val="24"/>
          <w:szCs w:val="24"/>
          <w:highlight w:val="none"/>
        </w:rPr>
        <w:t>说 明</w:t>
      </w:r>
      <w:bookmarkEnd w:id="11"/>
    </w:p>
    <w:p w14:paraId="36629D18">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4B9BCB5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621E9717">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5ADE3DF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供应商（也称“投标人”、“申请人”、“乙方”）：指向采购人提供货物、工程或者服务的法人、其他组织或者自然人。</w:t>
      </w:r>
    </w:p>
    <w:p w14:paraId="3BCC56B6">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3EEDE3B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57BB3E0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6363AF3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0D88367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59188CDE">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2D745B1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884147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写明专门面向中小或小微企业采购的，如供应商所提供的货物为非中小或小微企业制造，或提供的服务、工程为非中小或小微企业承接，其投标（响应）将被认定为无效。若供应商须知前附表中写明本项目预留部分采购项目预算专门面向中小企业采购的，本项目面向中小企业采购预留份额、措施及比例见投标须知前附表，未达到上述比例的响应将被认定为响应无效。承接企业如为监狱企业或残疾人福利性单位的，视同为小型、微型企业。</w:t>
      </w:r>
    </w:p>
    <w:p w14:paraId="1E1F116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5B4C1BC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41D4011D">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C36CA88">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3169BACB">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230F66A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386CC27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7E1E54F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25737A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6A34E358">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3901CE79">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2EC42A2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19C52D7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3FC58C9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61D11D39">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0FF231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0BB628F2">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政府采购节能产品、环境标志产品（如涉及）</w:t>
      </w:r>
    </w:p>
    <w:p w14:paraId="548244E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DF0575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44A170D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07C72AD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4672CBD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支持乡村产业振兴管理（如涉及）</w:t>
      </w:r>
    </w:p>
    <w:p w14:paraId="3ED8794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11CBE9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正版软件（如涉及）</w:t>
      </w:r>
    </w:p>
    <w:p w14:paraId="13588D1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31CB32B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1A7ECA8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3E6B659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4F757DA7">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网络安全专用产品（如涉及）</w:t>
      </w:r>
    </w:p>
    <w:p w14:paraId="51B082F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077E0D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5554EC28">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见供应商须知前附表</w:t>
      </w:r>
      <w:r>
        <w:rPr>
          <w:rFonts w:hint="eastAsia" w:ascii="方正仿宋_GB2312" w:hAnsi="方正仿宋_GB2312" w:eastAsia="方正仿宋_GB2312" w:cs="方正仿宋_GB2312"/>
          <w:b w:val="0"/>
          <w:bCs w:val="0"/>
          <w:sz w:val="24"/>
          <w:szCs w:val="24"/>
          <w:highlight w:val="none"/>
          <w:u w:val="single"/>
          <w:lang w:val="en-US" w:eastAsia="zh-CN"/>
        </w:rPr>
        <w:t>。</w:t>
      </w:r>
    </w:p>
    <w:p w14:paraId="24A2C0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2E40578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62097462">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1EE33DE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两个以上供应商可以组成一个联合体，以一个供应商的身份参加采购活动。</w:t>
      </w:r>
    </w:p>
    <w:p w14:paraId="216E180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127CCE1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188590B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694E94A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795EEDE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059A1C9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12A69211">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66DDB81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2F40A3FA">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15139179">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3E9FD7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3DE3A0E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供应商最后报价超过采购文件规定的预算金额或者最高限价的，其响应文件将被认定为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1D61E6F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0114259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79C42E2D">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57A5DBA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2C40582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sz w:val="24"/>
          <w:szCs w:val="24"/>
          <w:highlight w:val="none"/>
          <w:lang w:val="en-US" w:eastAsia="zh-CN"/>
        </w:rPr>
      </w:pPr>
    </w:p>
    <w:p w14:paraId="6BDE190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2" w:name="_Toc3286"/>
      <w:r>
        <w:rPr>
          <w:rFonts w:hint="eastAsia" w:ascii="方正仿宋_GB2312" w:hAnsi="方正仿宋_GB2312" w:eastAsia="方正仿宋_GB2312" w:cs="方正仿宋_GB2312"/>
          <w:b/>
          <w:bCs/>
          <w:sz w:val="24"/>
          <w:szCs w:val="24"/>
          <w:highlight w:val="none"/>
          <w:lang w:val="en-US" w:eastAsia="zh-CN"/>
        </w:rPr>
        <w:t>采购文件</w:t>
      </w:r>
      <w:bookmarkEnd w:id="12"/>
    </w:p>
    <w:p w14:paraId="35AB52C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4C6432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18A855E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采购公告 </w:t>
      </w:r>
    </w:p>
    <w:p w14:paraId="37AA280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051535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72A5173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2612F29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7EA217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4B125FE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279424C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响应无效。</w:t>
      </w:r>
    </w:p>
    <w:p w14:paraId="1CBB476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C84F51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1FC77BE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采购人召开答疑会的，将在采购文件提供期限截止后以书面形式通知所有获取采购文件的潜在投标人。</w:t>
      </w:r>
    </w:p>
    <w:p w14:paraId="28E653F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样品（演示）</w:t>
      </w:r>
    </w:p>
    <w:p w14:paraId="760DCEF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如需提供样品（演示），对样品（演示）相关要求</w:t>
      </w:r>
      <w:r>
        <w:rPr>
          <w:rFonts w:hint="eastAsia" w:ascii="方正仿宋_GB2312" w:hAnsi="方正仿宋_GB2312" w:eastAsia="方正仿宋_GB2312" w:cs="方正仿宋_GB2312"/>
          <w:b w:val="0"/>
          <w:bCs w:val="0"/>
          <w:sz w:val="24"/>
          <w:szCs w:val="24"/>
          <w:highlight w:val="none"/>
          <w:u w:val="single"/>
          <w:lang w:val="en-US" w:eastAsia="zh-CN"/>
        </w:rPr>
        <w:t>见供应商须知前附表</w:t>
      </w:r>
      <w:r>
        <w:rPr>
          <w:rFonts w:hint="eastAsia" w:ascii="方正仿宋_GB2312" w:hAnsi="方正仿宋_GB2312" w:eastAsia="方正仿宋_GB2312" w:cs="方正仿宋_GB2312"/>
          <w:b w:val="0"/>
          <w:bCs w:val="0"/>
          <w:sz w:val="24"/>
          <w:szCs w:val="24"/>
          <w:highlight w:val="none"/>
          <w:lang w:val="en-US" w:eastAsia="zh-CN"/>
        </w:rPr>
        <w:t>，对样品（演示）的评审方法及评审标准见采购文件第六章《评标程序、评标方法和评标标准》。</w:t>
      </w:r>
    </w:p>
    <w:p w14:paraId="73425DF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采购文件规定供应商提交样品的，样品属于投标（响应）文件的组成部分。样品的生产、运输、安装、保全等一切费用由供应商自理。</w:t>
      </w:r>
    </w:p>
    <w:p w14:paraId="5F727F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响应截止时间前，供应商应将样品送达至指定地点。若需要现场演示的，供应商应提前做好演示准备（包括演示设备）。</w:t>
      </w:r>
    </w:p>
    <w:p w14:paraId="4C1191E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采购人组织现场考察的，所有供应商应按《供应商须知前附表》规定的时间、地点前往参加现场考察活动。供应商如不参加，其风险由供应商自行承担，采购人不承担任何责任。</w:t>
      </w:r>
    </w:p>
    <w:p w14:paraId="4796D24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19CE47D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供应商现场考察发生的费用由其自理。</w:t>
      </w:r>
    </w:p>
    <w:p w14:paraId="2713DA2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3B9872F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1C0836E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714C91E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625AED8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6A5470D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如更正公告有重新发布电子采购文件的，供应商应登录电子招投标平台下载最新发布的电子采购文件制作响应文件。</w:t>
      </w:r>
    </w:p>
    <w:p w14:paraId="44E6A6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5189DC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769A12EE">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3" w:name="_Toc22592"/>
      <w:r>
        <w:rPr>
          <w:rFonts w:hint="eastAsia" w:ascii="方正仿宋_GB2312" w:hAnsi="方正仿宋_GB2312" w:eastAsia="方正仿宋_GB2312" w:cs="方正仿宋_GB2312"/>
          <w:b/>
          <w:bCs/>
          <w:sz w:val="24"/>
          <w:szCs w:val="24"/>
          <w:highlight w:val="none"/>
          <w:lang w:val="en-US" w:eastAsia="zh-CN"/>
        </w:rPr>
        <w:t>响应文件的编制</w:t>
      </w:r>
      <w:bookmarkEnd w:id="13"/>
    </w:p>
    <w:p w14:paraId="79B383F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响应范围、响应文件中计量单位的使用及磋商语言</w:t>
      </w:r>
    </w:p>
    <w:p w14:paraId="07010E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供应商可对采购文件中一个或几个包（标项）进行响应，除非在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 xml:space="preserve">中另有规定。 </w:t>
      </w:r>
    </w:p>
    <w:p w14:paraId="6661C30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供应商应当对所投采购包（标项）对应第五章《采购需求》所列的全部内容进行响应，如仅响应采购包（标项）中的部分内容，其该包（标项）响应文件将被认定为</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09E1188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219C8AB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除采购文件有特殊要求外，本项目磋商所使用的计量单位，应采用中华人民共和国法定计量单位。</w:t>
      </w:r>
    </w:p>
    <w:p w14:paraId="7D82E54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00FCE19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162C67F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5D7B62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32F39FD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043E842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供应商认为应附的其他材料。</w:t>
      </w:r>
    </w:p>
    <w:p w14:paraId="5085D28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02175D2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0AD5D7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供应商所提供的货物和服务均应以人民币报价，除在采购文件另有规定外（如：报折扣、报优惠率等）。</w:t>
      </w:r>
    </w:p>
    <w:p w14:paraId="476B83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0D10BC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4F6B2E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03070B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磋商保证金</w:t>
      </w:r>
    </w:p>
    <w:p w14:paraId="3B5B108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中规定的金额及要求交纳保证金，并作为其响应文件的一部分，任何未提交或提交无效的磋商保证金的响应，将按无效响应处理。</w:t>
      </w:r>
    </w:p>
    <w:p w14:paraId="255E4FC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3E1F22F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7CA7905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66E4264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3873C5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联合体磋商的，可以由联合体中的一方或者共同提交保证金，以一方名义提交磋商保证金（保函）的，对联合体各方均具有约束力。</w:t>
      </w:r>
    </w:p>
    <w:p w14:paraId="63CDE72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7DB5532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6B47484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成交人的磋商保证金，自采购合同签订之日起 5 个工作日内退还中标人。 </w:t>
      </w:r>
    </w:p>
    <w:p w14:paraId="27EFB44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未成交人的磋商保证金，自成交通知书发出之日起 5 个工作日内退还未成交人。</w:t>
      </w:r>
    </w:p>
    <w:p w14:paraId="3615521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终止采购活动的项目已经收取磋商保证金的，自终止采购活动后 5 个工作日内退还已收取的磋商保证金。</w:t>
      </w:r>
    </w:p>
    <w:p w14:paraId="3FA8C71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有下列情形之一的，采购人或采购代理机构可以不予退还磋商保证金：</w:t>
      </w:r>
    </w:p>
    <w:p w14:paraId="6886540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6707A95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5948C6D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1146454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734FFE1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B18223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6E868C8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6F4EECA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663612B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0E0251F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79ADDEA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114CD9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响应），请充分考虑设备、网络环境、人员对系统熟悉度等因素，合理安排响应文件制作、提交时间，建议至少提前一天完成制作、提交工作。</w:t>
      </w:r>
    </w:p>
    <w:p w14:paraId="7E3FE7E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3C0AF6C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如有对多个采购包（标项）响应的，要对每个采购包（标项）独立制作电子响应文件。</w:t>
      </w:r>
    </w:p>
    <w:p w14:paraId="72806A0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01CA1A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采购文件中，凡标有“※”的地方均为实质性响应条款，供应商若有一项带“※”的条款未响应或不满足，将按响应无效处理。</w:t>
      </w:r>
    </w:p>
    <w:p w14:paraId="4F3BB36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9CEFB1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4" w:name="_Toc7253"/>
      <w:r>
        <w:rPr>
          <w:rFonts w:hint="eastAsia" w:ascii="方正仿宋_GB2312" w:hAnsi="方正仿宋_GB2312" w:eastAsia="方正仿宋_GB2312" w:cs="方正仿宋_GB2312"/>
          <w:b/>
          <w:bCs/>
          <w:sz w:val="24"/>
          <w:szCs w:val="24"/>
          <w:highlight w:val="none"/>
          <w:lang w:val="en-US" w:eastAsia="zh-CN"/>
        </w:rPr>
        <w:t>响应文件的提交</w:t>
      </w:r>
      <w:bookmarkEnd w:id="14"/>
    </w:p>
    <w:p w14:paraId="740D18DE">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24B3A5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47CC1AC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193D05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0E91A22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57DE784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0B3613A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39A0675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D5FF28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25F4D20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2B5AF21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C94724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5" w:name="_Toc32267"/>
      <w:r>
        <w:rPr>
          <w:rFonts w:hint="eastAsia" w:ascii="方正仿宋_GB2312" w:hAnsi="方正仿宋_GB2312" w:eastAsia="方正仿宋_GB2312" w:cs="方正仿宋_GB2312"/>
          <w:b/>
          <w:bCs/>
          <w:sz w:val="24"/>
          <w:szCs w:val="24"/>
          <w:highlight w:val="none"/>
          <w:lang w:val="en-US" w:eastAsia="zh-CN"/>
        </w:rPr>
        <w:t>开标及评标</w:t>
      </w:r>
      <w:bookmarkEnd w:id="15"/>
    </w:p>
    <w:p w14:paraId="61233F5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开标</w:t>
      </w:r>
    </w:p>
    <w:p w14:paraId="55D0063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中规定的开标时间和地点组织公开开标并邀请所有供应商代表参加。开标为远程电子开标。</w:t>
      </w:r>
    </w:p>
    <w:p w14:paraId="0762F79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采用远程电子开标的：</w:t>
      </w:r>
    </w:p>
    <w:p w14:paraId="6076A87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开标程序在政采云平台进行，所有上传投标文件的投标人应登陆政采云平台参加开标。电子开标步骤均按照政采云平台的规定进行操作。</w:t>
      </w:r>
    </w:p>
    <w:p w14:paraId="63A4875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F9AC47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供应商应当使用编制本项目（采购包）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处理（如采购云平台开标程序有变化的，以最新的操作程序为准）。</w:t>
      </w:r>
    </w:p>
    <w:p w14:paraId="158CD41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47732AF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响应截止时间后，供应商不足3家的，不得开标。同时，本次采购活动结束。</w:t>
      </w:r>
    </w:p>
    <w:p w14:paraId="5C9D5E3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64A6C5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22B0FF3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磋商小组依据法律法规和采购文件中规定的内容，对供应商及其投标（响应）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77E1F8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67C5C0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0D397BD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磋商小组</w:t>
      </w:r>
    </w:p>
    <w:p w14:paraId="5B31BE8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磋商小组根据政府采购有关规定和本次采购项目的特点进行组建，并负责具体评标事务，独立履行职责。</w:t>
      </w:r>
    </w:p>
    <w:p w14:paraId="4AA5B1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任何单位和个人都不得干扰、影响评标活动的正常进行。供应商在评标过程中所进行的试图影响评标结果的一切不符合法律或招标规定的活动，都可能导致其响应被拒绝。</w:t>
      </w:r>
    </w:p>
    <w:p w14:paraId="5EEDD65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89C42B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5B141B1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D3F808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5F3CD18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6" w:name="_Toc11319"/>
      <w:r>
        <w:rPr>
          <w:rFonts w:hint="eastAsia" w:ascii="方正仿宋_GB2312" w:hAnsi="方正仿宋_GB2312" w:eastAsia="方正仿宋_GB2312" w:cs="方正仿宋_GB2312"/>
          <w:b/>
          <w:bCs/>
          <w:sz w:val="24"/>
          <w:szCs w:val="24"/>
          <w:highlight w:val="none"/>
          <w:lang w:val="en-US" w:eastAsia="zh-CN"/>
        </w:rPr>
        <w:t>确定成交</w:t>
      </w:r>
      <w:bookmarkEnd w:id="16"/>
    </w:p>
    <w:p w14:paraId="0C5F833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169CEE0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5722EBC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7BA82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18AC03C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4E154E8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所有在开标会上被接受的投标文件都将作为档案保存,不论中标与否，采购人均不退回投标文件。</w:t>
      </w:r>
    </w:p>
    <w:p w14:paraId="317D81B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731B1B3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67BE6D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2F92A98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61C8640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2C3CAD7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6D59523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法律、法规规定的其他情形。</w:t>
      </w:r>
    </w:p>
    <w:p w14:paraId="7D35220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10A9E0F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56E846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45A83B7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184BEBD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2DD770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政府采购合同分包履行的，应当在响应文件中载明分包承担主体，分包承担主体应当具备相应资质条件且不得再次分包，否则响应无效。成交人就采购项目和分包项目向采购人负责，分包供应商就分包项目承担责任。</w:t>
      </w:r>
    </w:p>
    <w:p w14:paraId="5370B9D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620A871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1C7451E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0118D2A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51AD620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2CEC35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6E28CADB">
      <w:pPr>
        <w:pStyle w:val="30"/>
        <w:numPr>
          <w:ilvl w:val="1"/>
          <w:numId w:val="10"/>
        </w:numPr>
        <w:ind w:left="0" w:leftChars="0" w:firstLine="0" w:firstLineChars="0"/>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收费标准</w:t>
      </w:r>
    </w:p>
    <w:p w14:paraId="0A8202B3">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31"/>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3779ADF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1FE4E5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5AED37A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53F9AD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6242176F">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52842F2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08BB25D">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49DF23D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55BF9BA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546CCAD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0EB13D9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F2AE1FD">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810358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120414EF">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6BC327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7A0D069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6C0F80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5BF4C95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64C650E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7F883B5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77B7951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1A4A6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7C8CBC0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318E89C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4BF04BBD">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6E0206A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93F8E9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29266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315E034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3F07CCA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1AF470E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7C7C9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640F26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28DB53A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190AB41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217610C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3E8ECB6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B761F6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27008D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3B7EDED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7AC4B50F">
      <w:pPr>
        <w:pStyle w:val="29"/>
        <w:numPr>
          <w:ilvl w:val="0"/>
          <w:numId w:val="0"/>
        </w:numPr>
        <w:ind w:leftChars="0" w:right="0" w:rightChars="0"/>
        <w:rPr>
          <w:rFonts w:hint="eastAsia" w:ascii="方正仿宋_GB2312" w:hAnsi="方正仿宋_GB2312" w:eastAsia="方正仿宋_GB2312" w:cs="方正仿宋_GB2312"/>
          <w:highlight w:val="none"/>
          <w:lang w:val="en-US" w:eastAsia="zh-CN"/>
        </w:rPr>
      </w:pPr>
    </w:p>
    <w:p w14:paraId="1DB1FD4E">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7722D56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75D4287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40DB2B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A4F604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0254F41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1E264A0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2C1B404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227549D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（3）对成交结果提出质疑的，为成交结果公告期限届满之日。</w:t>
      </w:r>
    </w:p>
    <w:p w14:paraId="1C08856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58957C1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304E82B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质疑函应当包括下列内容： </w:t>
      </w:r>
    </w:p>
    <w:p w14:paraId="0044ABC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（1）投标人名称、地址、邮编、联系人及联系电话； </w:t>
      </w:r>
    </w:p>
    <w:p w14:paraId="336A4B0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（2）质疑项目的名称、编号； </w:t>
      </w:r>
    </w:p>
    <w:p w14:paraId="7E9ABA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（3）具体、明确的质疑事项和与质疑事项相关的请求； </w:t>
      </w:r>
    </w:p>
    <w:p w14:paraId="70D1D2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（4）事实依据； </w:t>
      </w:r>
    </w:p>
    <w:p w14:paraId="04B0BAE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（5）必要的法律依据； </w:t>
      </w:r>
    </w:p>
    <w:p w14:paraId="34E6CA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（6）提出质疑的日期。</w:t>
      </w:r>
    </w:p>
    <w:p w14:paraId="3C8A0A1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5D1179C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7CF4E2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73F662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602F7F5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575BD0F">
      <w:pPr>
        <w:keepNext w:val="0"/>
        <w:keepLines w:val="0"/>
        <w:pageBreakBefore w:val="0"/>
        <w:widowControl w:val="0"/>
        <w:numPr>
          <w:ilvl w:val="1"/>
          <w:numId w:val="10"/>
        </w:numPr>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34BAD7FE">
      <w:pPr>
        <w:rPr>
          <w:rFonts w:hint="eastAsia" w:ascii="方正仿宋_GB2312" w:hAnsi="方正仿宋_GB2312" w:eastAsia="方正仿宋_GB2312" w:cs="方正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B132F2F">
      <w:pPr>
        <w:pStyle w:val="3"/>
        <w:numPr>
          <w:ilvl w:val="0"/>
          <w:numId w:val="4"/>
        </w:numPr>
        <w:shd w:val="clear"/>
        <w:bidi w:val="0"/>
        <w:jc w:val="center"/>
        <w:rPr>
          <w:rFonts w:hint="eastAsia" w:ascii="方正小标宋简体" w:hAnsi="方正小标宋简体" w:eastAsia="方正小标宋简体" w:cs="方正小标宋简体"/>
          <w:sz w:val="32"/>
          <w:szCs w:val="32"/>
          <w:highlight w:val="none"/>
          <w:lang w:val="en-US" w:eastAsia="zh-CN"/>
        </w:rPr>
      </w:pPr>
      <w:bookmarkStart w:id="17" w:name="_Toc20533"/>
      <w:r>
        <w:rPr>
          <w:rFonts w:hint="eastAsia" w:ascii="方正小标宋简体" w:hAnsi="方正小标宋简体" w:eastAsia="方正小标宋简体" w:cs="方正小标宋简体"/>
          <w:sz w:val="32"/>
          <w:szCs w:val="32"/>
          <w:highlight w:val="none"/>
          <w:lang w:val="en-US" w:eastAsia="zh-CN"/>
        </w:rPr>
        <w:t>政府采购合同</w:t>
      </w:r>
      <w:bookmarkEnd w:id="17"/>
    </w:p>
    <w:p w14:paraId="548BBBAF">
      <w:pPr>
        <w:shd w:val="clear"/>
        <w:spacing w:line="400" w:lineRule="exact"/>
        <w:ind w:firstLine="480" w:firstLineChars="200"/>
        <w:rPr>
          <w:rFonts w:ascii="仿宋" w:hAnsi="仿宋" w:eastAsia="仿宋" w:cs="仿宋"/>
          <w:bCs/>
          <w:highlight w:val="none"/>
        </w:rPr>
      </w:pPr>
      <w:r>
        <w:rPr>
          <w:rFonts w:hint="eastAsia" w:ascii="仿宋" w:hAnsi="仿宋" w:eastAsia="仿宋" w:cs="仿宋"/>
          <w:bCs/>
          <w:highlight w:val="none"/>
        </w:rPr>
        <w:t>（根据《政府采购法》和《中华人民共和国民法典》。采购人和供应商之间的权利和义务，应当按照平等的原则以合同方式约定。</w:t>
      </w:r>
      <w:r>
        <w:rPr>
          <w:rFonts w:hint="eastAsia" w:ascii="仿宋" w:hAnsi="仿宋" w:eastAsia="仿宋" w:cs="仿宋"/>
          <w:b/>
          <w:highlight w:val="none"/>
        </w:rPr>
        <w:t>此合同书仅作为签订正式合同时的参考</w:t>
      </w:r>
      <w:r>
        <w:rPr>
          <w:rFonts w:hint="eastAsia" w:ascii="仿宋" w:hAnsi="仿宋" w:eastAsia="仿宋" w:cs="仿宋"/>
          <w:b/>
          <w:highlight w:val="none"/>
          <w:lang w:eastAsia="zh-CN"/>
        </w:rPr>
        <w:t>，</w:t>
      </w:r>
      <w:r>
        <w:rPr>
          <w:rFonts w:hint="eastAsia" w:ascii="仿宋" w:hAnsi="仿宋" w:eastAsia="仿宋" w:cs="仿宋"/>
          <w:b/>
          <w:highlight w:val="none"/>
          <w:lang w:val="en-US" w:eastAsia="zh-CN"/>
        </w:rPr>
        <w:t>具体以实际签订为准。</w:t>
      </w:r>
      <w:r>
        <w:rPr>
          <w:rFonts w:hint="eastAsia" w:ascii="仿宋" w:hAnsi="仿宋" w:eastAsia="仿宋" w:cs="仿宋"/>
          <w:bCs/>
          <w:highlight w:val="none"/>
        </w:rPr>
        <w:t>）</w:t>
      </w:r>
    </w:p>
    <w:p w14:paraId="74CEA69E">
      <w:pPr>
        <w:shd w:val="clear"/>
        <w:spacing w:line="400" w:lineRule="exact"/>
        <w:rPr>
          <w:rFonts w:ascii="仿宋" w:hAnsi="仿宋" w:eastAsia="仿宋" w:cs="仿宋"/>
          <w:b/>
          <w:highlight w:val="none"/>
        </w:rPr>
      </w:pPr>
      <w:r>
        <w:rPr>
          <w:rFonts w:hint="eastAsia" w:ascii="仿宋" w:hAnsi="仿宋" w:eastAsia="仿宋" w:cs="仿宋"/>
          <w:b/>
          <w:highlight w:val="none"/>
        </w:rPr>
        <w:t>1. 合同文件</w:t>
      </w:r>
    </w:p>
    <w:p w14:paraId="10675F45">
      <w:pPr>
        <w:shd w:val="clear"/>
        <w:spacing w:line="440" w:lineRule="exact"/>
        <w:ind w:firstLine="480" w:firstLineChars="200"/>
        <w:rPr>
          <w:rFonts w:ascii="仿宋" w:hAnsi="仿宋" w:eastAsia="仿宋" w:cs="仿宋"/>
          <w:bCs/>
          <w:highlight w:val="none"/>
        </w:rPr>
      </w:pPr>
      <w:r>
        <w:rPr>
          <w:rFonts w:hint="eastAsia" w:ascii="仿宋" w:hAnsi="仿宋" w:eastAsia="仿宋" w:cs="仿宋"/>
          <w:bCs/>
          <w:highlight w:val="none"/>
        </w:rPr>
        <w:t>本合同所附下列文件是构成本合同不可分割的部分：</w:t>
      </w:r>
    </w:p>
    <w:p w14:paraId="1ACB414A">
      <w:pPr>
        <w:shd w:val="clear"/>
        <w:spacing w:line="440" w:lineRule="exact"/>
        <w:ind w:left="560"/>
        <w:rPr>
          <w:rFonts w:ascii="仿宋" w:hAnsi="仿宋" w:eastAsia="仿宋" w:cs="仿宋"/>
          <w:bCs/>
          <w:highlight w:val="none"/>
        </w:rPr>
      </w:pPr>
      <w:r>
        <w:rPr>
          <w:rFonts w:hint="eastAsia" w:ascii="仿宋" w:hAnsi="仿宋" w:eastAsia="仿宋" w:cs="仿宋"/>
          <w:bCs/>
          <w:highlight w:val="none"/>
        </w:rPr>
        <w:t>(1)采购文件</w:t>
      </w:r>
    </w:p>
    <w:p w14:paraId="67EAC3A9">
      <w:pPr>
        <w:shd w:val="clear"/>
        <w:spacing w:line="440" w:lineRule="exact"/>
        <w:ind w:left="560"/>
        <w:rPr>
          <w:rFonts w:ascii="仿宋" w:hAnsi="仿宋" w:eastAsia="仿宋" w:cs="仿宋"/>
          <w:bCs/>
          <w:highlight w:val="none"/>
        </w:rPr>
      </w:pPr>
      <w:r>
        <w:rPr>
          <w:rFonts w:hint="eastAsia" w:ascii="仿宋" w:hAnsi="仿宋" w:eastAsia="仿宋" w:cs="仿宋"/>
          <w:bCs/>
          <w:highlight w:val="none"/>
        </w:rPr>
        <w:t>(2)合同条款</w:t>
      </w:r>
    </w:p>
    <w:p w14:paraId="49791D1D">
      <w:pPr>
        <w:shd w:val="clear"/>
        <w:spacing w:line="440" w:lineRule="exact"/>
        <w:ind w:left="560"/>
        <w:rPr>
          <w:rFonts w:ascii="仿宋" w:hAnsi="仿宋" w:eastAsia="仿宋" w:cs="仿宋"/>
          <w:bCs/>
          <w:highlight w:val="none"/>
        </w:rPr>
      </w:pPr>
      <w:r>
        <w:rPr>
          <w:rFonts w:hint="eastAsia" w:ascii="仿宋" w:hAnsi="仿宋" w:eastAsia="仿宋" w:cs="仿宋"/>
          <w:bCs/>
          <w:highlight w:val="none"/>
        </w:rPr>
        <w:t>(3)成交供应商提交的响应文件</w:t>
      </w:r>
    </w:p>
    <w:p w14:paraId="59EF08E4">
      <w:pPr>
        <w:shd w:val="clear"/>
        <w:spacing w:line="440" w:lineRule="exact"/>
        <w:ind w:left="560"/>
        <w:rPr>
          <w:rFonts w:ascii="仿宋" w:hAnsi="仿宋" w:eastAsia="仿宋" w:cs="仿宋"/>
          <w:bCs/>
          <w:highlight w:val="none"/>
        </w:rPr>
      </w:pPr>
      <w:r>
        <w:rPr>
          <w:rFonts w:hint="eastAsia" w:ascii="仿宋" w:hAnsi="仿宋" w:eastAsia="仿宋" w:cs="仿宋"/>
          <w:bCs/>
          <w:highlight w:val="none"/>
        </w:rPr>
        <w:t>(4)技术规格（包括图纸，如果有的话）</w:t>
      </w:r>
    </w:p>
    <w:p w14:paraId="1D89768F">
      <w:pPr>
        <w:shd w:val="clear"/>
        <w:spacing w:line="440" w:lineRule="exact"/>
        <w:ind w:left="560"/>
        <w:rPr>
          <w:rFonts w:ascii="仿宋" w:hAnsi="仿宋" w:eastAsia="仿宋" w:cs="仿宋"/>
          <w:bCs/>
          <w:highlight w:val="none"/>
        </w:rPr>
      </w:pPr>
      <w:r>
        <w:rPr>
          <w:rFonts w:hint="eastAsia" w:ascii="仿宋" w:hAnsi="仿宋" w:eastAsia="仿宋" w:cs="仿宋"/>
          <w:bCs/>
          <w:highlight w:val="none"/>
        </w:rPr>
        <w:t>(5)中标/成交通知书</w:t>
      </w:r>
    </w:p>
    <w:p w14:paraId="7A50CE4E">
      <w:pPr>
        <w:shd w:val="clear"/>
        <w:spacing w:line="440" w:lineRule="exact"/>
        <w:ind w:firstLine="482" w:firstLineChars="200"/>
        <w:rPr>
          <w:rFonts w:ascii="仿宋" w:hAnsi="仿宋" w:eastAsia="仿宋" w:cs="仿宋"/>
          <w:b/>
          <w:highlight w:val="none"/>
        </w:rPr>
      </w:pPr>
      <w:r>
        <w:rPr>
          <w:rFonts w:hint="eastAsia" w:ascii="仿宋" w:hAnsi="仿宋" w:eastAsia="仿宋" w:cs="仿宋"/>
          <w:b/>
          <w:highlight w:val="none"/>
        </w:rPr>
        <w:t>2．合同范围和条件</w:t>
      </w:r>
    </w:p>
    <w:p w14:paraId="1224A359">
      <w:pPr>
        <w:shd w:val="clear"/>
        <w:spacing w:line="440" w:lineRule="exact"/>
        <w:ind w:firstLine="480" w:firstLineChars="200"/>
        <w:rPr>
          <w:rFonts w:ascii="仿宋" w:hAnsi="仿宋" w:eastAsia="仿宋" w:cs="仿宋"/>
          <w:bCs/>
          <w:highlight w:val="none"/>
        </w:rPr>
      </w:pPr>
      <w:r>
        <w:rPr>
          <w:rFonts w:hint="eastAsia" w:ascii="仿宋" w:hAnsi="仿宋" w:eastAsia="仿宋" w:cs="仿宋"/>
          <w:bCs/>
          <w:highlight w:val="none"/>
        </w:rPr>
        <w:t>本合同的范围和条件与上述文件的规定相一致。</w:t>
      </w:r>
    </w:p>
    <w:p w14:paraId="10E021A7">
      <w:pPr>
        <w:shd w:val="clear"/>
        <w:spacing w:line="440" w:lineRule="exact"/>
        <w:ind w:firstLine="482" w:firstLineChars="200"/>
        <w:rPr>
          <w:rFonts w:ascii="仿宋" w:hAnsi="仿宋" w:eastAsia="仿宋" w:cs="仿宋"/>
          <w:b/>
          <w:highlight w:val="none"/>
        </w:rPr>
      </w:pPr>
      <w:r>
        <w:rPr>
          <w:rFonts w:hint="eastAsia" w:ascii="仿宋" w:hAnsi="仿宋" w:eastAsia="仿宋" w:cs="仿宋"/>
          <w:b/>
          <w:highlight w:val="none"/>
        </w:rPr>
        <w:t>3．货物及数量</w:t>
      </w:r>
    </w:p>
    <w:p w14:paraId="5D74C58A">
      <w:pPr>
        <w:shd w:val="clear"/>
        <w:spacing w:line="440" w:lineRule="exact"/>
        <w:ind w:firstLine="480" w:firstLineChars="200"/>
        <w:rPr>
          <w:rFonts w:ascii="仿宋" w:hAnsi="仿宋" w:eastAsia="仿宋" w:cs="仿宋"/>
          <w:bCs/>
          <w:highlight w:val="none"/>
        </w:rPr>
      </w:pPr>
      <w:r>
        <w:rPr>
          <w:rFonts w:hint="eastAsia" w:ascii="仿宋" w:hAnsi="仿宋" w:eastAsia="仿宋" w:cs="仿宋"/>
          <w:bCs/>
          <w:highlight w:val="none"/>
        </w:rPr>
        <w:t>本合同所提供的货物数量/服务详见文件“第四章</w:t>
      </w:r>
      <w:r>
        <w:rPr>
          <w:rFonts w:hint="eastAsia" w:ascii="仿宋" w:hAnsi="仿宋" w:eastAsia="仿宋" w:cs="仿宋"/>
          <w:highlight w:val="none"/>
        </w:rPr>
        <w:t>采购项目技术规格、参数及要求</w:t>
      </w:r>
      <w:r>
        <w:rPr>
          <w:rFonts w:hint="eastAsia" w:ascii="仿宋" w:hAnsi="仿宋" w:eastAsia="仿宋" w:cs="仿宋"/>
          <w:bCs/>
          <w:highlight w:val="none"/>
        </w:rPr>
        <w:t>”。</w:t>
      </w:r>
    </w:p>
    <w:p w14:paraId="2C320C0D">
      <w:pPr>
        <w:shd w:val="clear"/>
        <w:spacing w:line="440" w:lineRule="exact"/>
        <w:ind w:firstLine="482" w:firstLineChars="200"/>
        <w:rPr>
          <w:rFonts w:ascii="仿宋" w:hAnsi="仿宋" w:eastAsia="仿宋" w:cs="仿宋"/>
          <w:b/>
          <w:highlight w:val="none"/>
        </w:rPr>
      </w:pPr>
      <w:r>
        <w:rPr>
          <w:rFonts w:hint="eastAsia" w:ascii="仿宋" w:hAnsi="仿宋" w:eastAsia="仿宋" w:cs="仿宋"/>
          <w:b/>
          <w:highlight w:val="none"/>
        </w:rPr>
        <w:t>4．合同金额</w:t>
      </w:r>
    </w:p>
    <w:p w14:paraId="6DF46773">
      <w:pPr>
        <w:shd w:val="clear"/>
        <w:spacing w:line="440" w:lineRule="exact"/>
        <w:ind w:firstLine="480" w:firstLineChars="200"/>
        <w:rPr>
          <w:rFonts w:ascii="仿宋" w:hAnsi="仿宋" w:eastAsia="仿宋" w:cs="仿宋"/>
          <w:bCs/>
          <w:highlight w:val="none"/>
        </w:rPr>
      </w:pPr>
      <w:r>
        <w:rPr>
          <w:rFonts w:hint="eastAsia" w:ascii="仿宋" w:hAnsi="仿宋" w:eastAsia="仿宋" w:cs="仿宋"/>
          <w:bCs/>
          <w:highlight w:val="none"/>
        </w:rPr>
        <w:t>合同总金额为元人民币，分项价格见响应文件按报价明细表。</w:t>
      </w:r>
    </w:p>
    <w:p w14:paraId="02C13E5C">
      <w:pPr>
        <w:shd w:val="clear"/>
        <w:spacing w:line="440" w:lineRule="exact"/>
        <w:ind w:firstLine="482" w:firstLineChars="200"/>
        <w:rPr>
          <w:rFonts w:ascii="仿宋" w:hAnsi="仿宋" w:eastAsia="仿宋" w:cs="仿宋"/>
          <w:b/>
          <w:highlight w:val="none"/>
        </w:rPr>
      </w:pPr>
      <w:r>
        <w:rPr>
          <w:rFonts w:hint="eastAsia" w:ascii="仿宋" w:hAnsi="仿宋" w:eastAsia="仿宋" w:cs="仿宋"/>
          <w:b/>
          <w:highlight w:val="none"/>
        </w:rPr>
        <w:t>5．合同生效及支付条件和方式</w:t>
      </w:r>
    </w:p>
    <w:p w14:paraId="675E0C9B">
      <w:pPr>
        <w:shd w:val="clear"/>
        <w:spacing w:line="440" w:lineRule="exact"/>
        <w:ind w:firstLine="482" w:firstLineChars="200"/>
        <w:rPr>
          <w:rFonts w:ascii="仿宋" w:hAnsi="仿宋" w:eastAsia="仿宋" w:cs="仿宋"/>
          <w:b/>
          <w:highlight w:val="none"/>
        </w:rPr>
      </w:pPr>
      <w:r>
        <w:rPr>
          <w:rFonts w:hint="eastAsia" w:ascii="仿宋" w:hAnsi="仿宋" w:eastAsia="仿宋" w:cs="仿宋"/>
          <w:b/>
          <w:highlight w:val="none"/>
        </w:rPr>
        <w:t>6．交货时间和交货地点</w:t>
      </w:r>
    </w:p>
    <w:p w14:paraId="518220DC">
      <w:pPr>
        <w:shd w:val="clear"/>
        <w:spacing w:line="440" w:lineRule="exact"/>
        <w:ind w:firstLine="480" w:firstLineChars="200"/>
        <w:rPr>
          <w:rFonts w:ascii="仿宋" w:hAnsi="仿宋" w:eastAsia="仿宋" w:cs="仿宋"/>
          <w:bCs/>
          <w:highlight w:val="none"/>
        </w:rPr>
      </w:pPr>
      <w:r>
        <w:rPr>
          <w:rFonts w:hint="eastAsia" w:ascii="仿宋" w:hAnsi="仿宋" w:eastAsia="仿宋" w:cs="仿宋"/>
          <w:bCs/>
          <w:highlight w:val="none"/>
        </w:rPr>
        <w:t xml:space="preserve">本合同货物的交货时间和交货地点按文件“第四章 </w:t>
      </w:r>
      <w:r>
        <w:rPr>
          <w:rFonts w:hint="eastAsia" w:ascii="仿宋" w:hAnsi="仿宋" w:eastAsia="仿宋" w:cs="仿宋"/>
          <w:highlight w:val="none"/>
        </w:rPr>
        <w:t>采购需求</w:t>
      </w:r>
      <w:r>
        <w:rPr>
          <w:rFonts w:hint="eastAsia" w:ascii="仿宋" w:hAnsi="仿宋" w:eastAsia="仿宋" w:cs="仿宋"/>
          <w:bCs/>
          <w:highlight w:val="none"/>
        </w:rPr>
        <w:t>”执行。</w:t>
      </w:r>
    </w:p>
    <w:p w14:paraId="279ECFB3">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采购人（盖章）：</w:t>
      </w:r>
      <w:r>
        <w:rPr>
          <w:rFonts w:hint="eastAsia" w:ascii="仿宋" w:hAnsi="仿宋" w:eastAsia="仿宋" w:cs="仿宋"/>
          <w:highlight w:val="none"/>
        </w:rPr>
        <w:tab/>
      </w:r>
      <w:r>
        <w:rPr>
          <w:rFonts w:hint="eastAsia" w:ascii="仿宋" w:hAnsi="仿宋" w:eastAsia="仿宋" w:cs="仿宋"/>
          <w:highlight w:val="none"/>
        </w:rPr>
        <w:t xml:space="preserve">                     供　　方（盖章）：</w:t>
      </w:r>
    </w:p>
    <w:p w14:paraId="203D809A">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单位地址：</w:t>
      </w:r>
      <w:r>
        <w:rPr>
          <w:rFonts w:hint="eastAsia" w:ascii="仿宋" w:hAnsi="仿宋" w:eastAsia="仿宋" w:cs="仿宋"/>
          <w:highlight w:val="none"/>
        </w:rPr>
        <w:tab/>
      </w:r>
      <w:r>
        <w:rPr>
          <w:rFonts w:hint="eastAsia" w:ascii="仿宋" w:hAnsi="仿宋" w:eastAsia="仿宋" w:cs="仿宋"/>
          <w:highlight w:val="none"/>
        </w:rPr>
        <w:t xml:space="preserve">                         单位地址：</w:t>
      </w:r>
    </w:p>
    <w:p w14:paraId="5A43EF65">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法人代表授权人(签字)：</w:t>
      </w:r>
      <w:r>
        <w:rPr>
          <w:rFonts w:hint="eastAsia" w:ascii="仿宋" w:hAnsi="仿宋" w:eastAsia="仿宋" w:cs="仿宋"/>
          <w:highlight w:val="none"/>
        </w:rPr>
        <w:tab/>
      </w:r>
      <w:r>
        <w:rPr>
          <w:rFonts w:hint="eastAsia" w:ascii="仿宋" w:hAnsi="仿宋" w:eastAsia="仿宋" w:cs="仿宋"/>
          <w:highlight w:val="none"/>
        </w:rPr>
        <w:t xml:space="preserve">              法人代表授权人(签字)：</w:t>
      </w:r>
    </w:p>
    <w:p w14:paraId="7046CAF3">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联 系 人：</w:t>
      </w:r>
      <w:r>
        <w:rPr>
          <w:rFonts w:hint="eastAsia" w:ascii="仿宋" w:hAnsi="仿宋" w:eastAsia="仿宋" w:cs="仿宋"/>
          <w:highlight w:val="none"/>
        </w:rPr>
        <w:tab/>
      </w:r>
      <w:r>
        <w:rPr>
          <w:rFonts w:hint="eastAsia" w:ascii="仿宋" w:hAnsi="仿宋" w:eastAsia="仿宋" w:cs="仿宋"/>
          <w:highlight w:val="none"/>
        </w:rPr>
        <w:t xml:space="preserve">                         联 系 人：</w:t>
      </w:r>
    </w:p>
    <w:p w14:paraId="03D53FA4">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电　　话：</w:t>
      </w:r>
      <w:r>
        <w:rPr>
          <w:rFonts w:hint="eastAsia" w:ascii="仿宋" w:hAnsi="仿宋" w:eastAsia="仿宋" w:cs="仿宋"/>
          <w:highlight w:val="none"/>
        </w:rPr>
        <w:tab/>
      </w:r>
      <w:r>
        <w:rPr>
          <w:rFonts w:hint="eastAsia" w:ascii="仿宋" w:hAnsi="仿宋" w:eastAsia="仿宋" w:cs="仿宋"/>
          <w:highlight w:val="none"/>
        </w:rPr>
        <w:t xml:space="preserve">                         电　　话：</w:t>
      </w:r>
    </w:p>
    <w:p w14:paraId="36ACE250">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传　　真：</w:t>
      </w:r>
      <w:r>
        <w:rPr>
          <w:rFonts w:hint="eastAsia" w:ascii="仿宋" w:hAnsi="仿宋" w:eastAsia="仿宋" w:cs="仿宋"/>
          <w:highlight w:val="none"/>
        </w:rPr>
        <w:tab/>
      </w:r>
      <w:r>
        <w:rPr>
          <w:rFonts w:hint="eastAsia" w:ascii="仿宋" w:hAnsi="仿宋" w:eastAsia="仿宋" w:cs="仿宋"/>
          <w:highlight w:val="none"/>
        </w:rPr>
        <w:t xml:space="preserve">                         传　　真：</w:t>
      </w:r>
    </w:p>
    <w:p w14:paraId="5ED051C5">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邮政编码：</w:t>
      </w:r>
      <w:r>
        <w:rPr>
          <w:rFonts w:hint="eastAsia" w:ascii="仿宋" w:hAnsi="仿宋" w:eastAsia="仿宋" w:cs="仿宋"/>
          <w:highlight w:val="none"/>
        </w:rPr>
        <w:tab/>
      </w:r>
      <w:r>
        <w:rPr>
          <w:rFonts w:hint="eastAsia" w:ascii="仿宋" w:hAnsi="仿宋" w:eastAsia="仿宋" w:cs="仿宋"/>
          <w:highlight w:val="none"/>
        </w:rPr>
        <w:t xml:space="preserve">                         邮政编码：</w:t>
      </w:r>
    </w:p>
    <w:p w14:paraId="6C589239">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开户银行：</w:t>
      </w:r>
      <w:r>
        <w:rPr>
          <w:rFonts w:hint="eastAsia" w:ascii="仿宋" w:hAnsi="仿宋" w:eastAsia="仿宋" w:cs="仿宋"/>
          <w:highlight w:val="none"/>
        </w:rPr>
        <w:tab/>
      </w:r>
      <w:r>
        <w:rPr>
          <w:rFonts w:hint="eastAsia" w:ascii="仿宋" w:hAnsi="仿宋" w:eastAsia="仿宋" w:cs="仿宋"/>
          <w:highlight w:val="none"/>
        </w:rPr>
        <w:t xml:space="preserve">                         开户银行：</w:t>
      </w:r>
    </w:p>
    <w:p w14:paraId="4407EB74">
      <w:pPr>
        <w:shd w:val="clear"/>
        <w:adjustRightInd w:val="0"/>
        <w:spacing w:line="500" w:lineRule="exact"/>
        <w:ind w:firstLine="480" w:firstLineChars="200"/>
        <w:rPr>
          <w:rFonts w:ascii="仿宋" w:hAnsi="仿宋" w:eastAsia="仿宋" w:cs="仿宋"/>
          <w:highlight w:val="none"/>
        </w:rPr>
      </w:pPr>
      <w:r>
        <w:rPr>
          <w:rFonts w:hint="eastAsia" w:ascii="仿宋" w:hAnsi="仿宋" w:eastAsia="仿宋" w:cs="仿宋"/>
          <w:highlight w:val="none"/>
        </w:rPr>
        <w:t>帐　　号：</w:t>
      </w:r>
      <w:r>
        <w:rPr>
          <w:rFonts w:hint="eastAsia" w:ascii="仿宋" w:hAnsi="仿宋" w:eastAsia="仿宋" w:cs="仿宋"/>
          <w:highlight w:val="none"/>
        </w:rPr>
        <w:tab/>
      </w:r>
      <w:r>
        <w:rPr>
          <w:rFonts w:hint="eastAsia" w:ascii="仿宋" w:hAnsi="仿宋" w:eastAsia="仿宋" w:cs="仿宋"/>
          <w:highlight w:val="none"/>
        </w:rPr>
        <w:t xml:space="preserve">                         帐　　号：</w:t>
      </w:r>
    </w:p>
    <w:p w14:paraId="1375BDE3">
      <w:pPr>
        <w:shd w:val="clear"/>
        <w:spacing w:line="500" w:lineRule="exact"/>
        <w:jc w:val="center"/>
        <w:rPr>
          <w:rFonts w:ascii="仿宋" w:hAnsi="仿宋" w:eastAsia="仿宋" w:cs="仿宋"/>
          <w:b/>
          <w:highlight w:val="none"/>
        </w:rPr>
      </w:pPr>
      <w:bookmarkStart w:id="18" w:name="_Hlk450145418"/>
      <w:r>
        <w:rPr>
          <w:rFonts w:hint="eastAsia" w:ascii="仿宋" w:hAnsi="仿宋" w:eastAsia="仿宋" w:cs="仿宋"/>
          <w:b/>
          <w:spacing w:val="120"/>
          <w:highlight w:val="none"/>
        </w:rPr>
        <w:t>合同条</w:t>
      </w:r>
      <w:r>
        <w:rPr>
          <w:rFonts w:hint="eastAsia" w:ascii="仿宋" w:hAnsi="仿宋" w:eastAsia="仿宋" w:cs="仿宋"/>
          <w:b/>
          <w:highlight w:val="none"/>
        </w:rPr>
        <w:t>款</w:t>
      </w:r>
    </w:p>
    <w:p w14:paraId="58A22E4B">
      <w:pPr>
        <w:shd w:val="clear"/>
        <w:spacing w:line="500" w:lineRule="exact"/>
        <w:rPr>
          <w:rFonts w:ascii="仿宋" w:hAnsi="仿宋" w:eastAsia="仿宋" w:cs="仿宋"/>
          <w:b/>
          <w:highlight w:val="none"/>
        </w:rPr>
      </w:pPr>
      <w:r>
        <w:rPr>
          <w:rFonts w:hint="eastAsia" w:ascii="仿宋" w:hAnsi="仿宋" w:eastAsia="仿宋" w:cs="仿宋"/>
          <w:b/>
          <w:highlight w:val="none"/>
        </w:rPr>
        <w:t>1．有关概念</w:t>
      </w:r>
    </w:p>
    <w:p w14:paraId="2E5E540C">
      <w:pPr>
        <w:shd w:val="clear"/>
        <w:spacing w:line="500" w:lineRule="exact"/>
        <w:rPr>
          <w:rFonts w:ascii="仿宋" w:hAnsi="仿宋" w:eastAsia="仿宋" w:cs="仿宋"/>
          <w:bCs/>
          <w:highlight w:val="none"/>
        </w:rPr>
      </w:pPr>
      <w:r>
        <w:rPr>
          <w:rFonts w:hint="eastAsia" w:ascii="仿宋" w:hAnsi="仿宋" w:eastAsia="仿宋" w:cs="仿宋"/>
          <w:bCs/>
          <w:highlight w:val="none"/>
        </w:rPr>
        <w:t>本合同下列术语应解释为：</w:t>
      </w:r>
    </w:p>
    <w:p w14:paraId="4D5E3C54">
      <w:pPr>
        <w:shd w:val="clear"/>
        <w:spacing w:line="500" w:lineRule="exact"/>
        <w:ind w:left="485" w:hanging="484" w:hangingChars="202"/>
        <w:rPr>
          <w:rFonts w:ascii="仿宋" w:hAnsi="仿宋" w:eastAsia="仿宋" w:cs="仿宋"/>
          <w:bCs/>
          <w:highlight w:val="none"/>
        </w:rPr>
      </w:pPr>
      <w:r>
        <w:rPr>
          <w:rFonts w:hint="eastAsia" w:ascii="仿宋" w:hAnsi="仿宋" w:eastAsia="仿宋" w:cs="仿宋"/>
          <w:highlight w:val="none"/>
        </w:rPr>
        <w:t>1.1</w:t>
      </w:r>
      <w:r>
        <w:rPr>
          <w:rFonts w:hint="eastAsia" w:ascii="仿宋" w:hAnsi="仿宋" w:eastAsia="仿宋" w:cs="仿宋"/>
          <w:bCs/>
          <w:highlight w:val="none"/>
        </w:rPr>
        <w:t>“合同”，系指买供双方签署的、合同格式中载明的买供双方所达成的协议，包括所有的附件、附录和上述文件所提到的构成合同的所有文件。</w:t>
      </w:r>
    </w:p>
    <w:p w14:paraId="4C7BAA76">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1.2“合同价”，系指根据合同规定供方在正确地履行合同义务后采购人应支付给供方的价格。</w:t>
      </w:r>
    </w:p>
    <w:p w14:paraId="59445C26">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1.3“货物”，系指供方根据合同规定须向采购人提供的各种形态和种类的物品，包括产品、设备、配件等。</w:t>
      </w:r>
    </w:p>
    <w:p w14:paraId="5F1156BB">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1.4“服务”，系指伴随本项目产生的，根据合同规定由供方承担的与供货有关的辅助服务，例如安装、调试、技术援助、培训、售后服务等以及合同中规定供方应承担的所有其它类似义务。</w:t>
      </w:r>
    </w:p>
    <w:p w14:paraId="17B148D5">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1.5“采购人”，系指文件中所述购买货物和服务的单位。</w:t>
      </w:r>
    </w:p>
    <w:p w14:paraId="2254867E">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1.6“供方”，系指文件中所述提供货物和服务的公司或实体，亦即中标人。</w:t>
      </w:r>
    </w:p>
    <w:p w14:paraId="2DCD93D9">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1.7“天”，系日历天数。</w:t>
      </w:r>
    </w:p>
    <w:p w14:paraId="17A5C6EA">
      <w:pPr>
        <w:shd w:val="clear"/>
        <w:spacing w:line="500" w:lineRule="exact"/>
        <w:rPr>
          <w:rFonts w:ascii="仿宋" w:hAnsi="仿宋" w:eastAsia="仿宋" w:cs="仿宋"/>
          <w:b/>
          <w:highlight w:val="none"/>
        </w:rPr>
      </w:pPr>
      <w:r>
        <w:rPr>
          <w:rFonts w:hint="eastAsia" w:ascii="仿宋" w:hAnsi="仿宋" w:eastAsia="仿宋" w:cs="仿宋"/>
          <w:b/>
          <w:highlight w:val="none"/>
        </w:rPr>
        <w:t>2．技术规格</w:t>
      </w:r>
    </w:p>
    <w:p w14:paraId="62D0FB96">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2.1交付货物的技术规格应与响应文件规定的技术规格以及所附的技术规格响应表相一致。</w:t>
      </w:r>
    </w:p>
    <w:p w14:paraId="3809D4A1">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2.2除技术规格另有规定外，计量单位均使用中华人民共和国法定计量单位。</w:t>
      </w:r>
    </w:p>
    <w:p w14:paraId="73AEAE6B">
      <w:pPr>
        <w:shd w:val="clear"/>
        <w:spacing w:line="500" w:lineRule="exact"/>
        <w:rPr>
          <w:rFonts w:ascii="仿宋" w:hAnsi="仿宋" w:eastAsia="仿宋" w:cs="仿宋"/>
          <w:b/>
          <w:highlight w:val="none"/>
        </w:rPr>
      </w:pPr>
      <w:r>
        <w:rPr>
          <w:rFonts w:hint="eastAsia" w:ascii="仿宋" w:hAnsi="仿宋" w:eastAsia="仿宋" w:cs="仿宋"/>
          <w:b/>
          <w:highlight w:val="none"/>
        </w:rPr>
        <w:t>3．专利权</w:t>
      </w:r>
    </w:p>
    <w:p w14:paraId="30CF53AC">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3.1供方应保证采购人在使用该货物或其任何一部分时免受第三方提出侵犯其专利权、商标权或工业设计权的起诉。若由此出现侵权诉讼，由供方承担全部责任。</w:t>
      </w:r>
    </w:p>
    <w:p w14:paraId="3599EEEB">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3.2供方按合同要求为采购人提交的设计方案，其所有权、使用权等所有权力均转为采购人所拥有，供方放弃拥有关于设计方案的所有权力。</w:t>
      </w:r>
    </w:p>
    <w:p w14:paraId="5A3F89B5">
      <w:pPr>
        <w:shd w:val="clear"/>
        <w:spacing w:line="500" w:lineRule="exact"/>
        <w:rPr>
          <w:rFonts w:ascii="仿宋" w:hAnsi="仿宋" w:eastAsia="仿宋" w:cs="仿宋"/>
          <w:b/>
          <w:highlight w:val="none"/>
        </w:rPr>
      </w:pPr>
      <w:r>
        <w:rPr>
          <w:rFonts w:hint="eastAsia" w:ascii="仿宋" w:hAnsi="仿宋" w:eastAsia="仿宋" w:cs="仿宋"/>
          <w:b/>
          <w:highlight w:val="none"/>
        </w:rPr>
        <w:t>4.包装要求</w:t>
      </w:r>
    </w:p>
    <w:p w14:paraId="46160E49">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4.1除合同另有规定外，供方提供的所有单独包装的货物都应具有原始的、完好的标准包装。如遇交付前已拆封货物，采购人有权拒绝接受或要求更换。</w:t>
      </w:r>
    </w:p>
    <w:p w14:paraId="68A4BF4A">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4.2每个包装箱内的装箱清单、使用说明书、质量证书、保修卡及软件使用说明等所有资料均须齐全。</w:t>
      </w:r>
    </w:p>
    <w:p w14:paraId="6EF11A45">
      <w:pPr>
        <w:shd w:val="clear"/>
        <w:spacing w:line="500" w:lineRule="exact"/>
        <w:rPr>
          <w:rFonts w:ascii="仿宋" w:hAnsi="仿宋" w:eastAsia="仿宋" w:cs="仿宋"/>
          <w:b/>
          <w:highlight w:val="none"/>
        </w:rPr>
      </w:pPr>
      <w:r>
        <w:rPr>
          <w:rFonts w:hint="eastAsia" w:ascii="仿宋" w:hAnsi="仿宋" w:eastAsia="仿宋" w:cs="仿宋"/>
          <w:b/>
          <w:highlight w:val="none"/>
        </w:rPr>
        <w:t>5. 装运条件</w:t>
      </w:r>
    </w:p>
    <w:p w14:paraId="6216BA59">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5.1供方负责安排运输，运输费由供方承担。</w:t>
      </w:r>
    </w:p>
    <w:p w14:paraId="4A92F3A4">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5.2提单日期应视为实际交货日期。</w:t>
      </w:r>
    </w:p>
    <w:p w14:paraId="6DC1E189">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5.3供方装运的货物不得超过合同规定的数量或重量。否则，供方应对超运数量或重量而产生的一切后果负责。</w:t>
      </w:r>
    </w:p>
    <w:p w14:paraId="42F09A26">
      <w:pPr>
        <w:shd w:val="clear"/>
        <w:spacing w:line="500" w:lineRule="exact"/>
        <w:rPr>
          <w:rFonts w:ascii="仿宋" w:hAnsi="仿宋" w:eastAsia="仿宋" w:cs="仿宋"/>
          <w:b/>
          <w:highlight w:val="none"/>
        </w:rPr>
      </w:pPr>
      <w:r>
        <w:rPr>
          <w:rFonts w:hint="eastAsia" w:ascii="仿宋" w:hAnsi="仿宋" w:eastAsia="仿宋" w:cs="仿宋"/>
          <w:b/>
          <w:highlight w:val="none"/>
        </w:rPr>
        <w:t>6. 付款</w:t>
      </w:r>
    </w:p>
    <w:p w14:paraId="611AC1F4">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6.1本合同以人民币支付。</w:t>
      </w:r>
    </w:p>
    <w:p w14:paraId="3876F1CC">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6.2供方按照合同规定交货。交货后供方把下列单据提交给采购人,采购人按合同规定审核后办理付款手续：</w:t>
      </w:r>
    </w:p>
    <w:p w14:paraId="36DCABF9">
      <w:pPr>
        <w:shd w:val="clear"/>
        <w:spacing w:line="500" w:lineRule="exact"/>
        <w:ind w:left="646" w:leftChars="269" w:firstLine="1"/>
        <w:rPr>
          <w:rFonts w:ascii="仿宋" w:hAnsi="仿宋" w:eastAsia="仿宋" w:cs="仿宋"/>
          <w:highlight w:val="none"/>
        </w:rPr>
      </w:pPr>
      <w:r>
        <w:rPr>
          <w:rFonts w:hint="eastAsia" w:ascii="仿宋" w:hAnsi="仿宋" w:eastAsia="仿宋" w:cs="仿宋"/>
          <w:highlight w:val="none"/>
        </w:rPr>
        <w:t>（1）发票</w:t>
      </w:r>
    </w:p>
    <w:p w14:paraId="1E48C337">
      <w:pPr>
        <w:shd w:val="clear"/>
        <w:spacing w:line="500" w:lineRule="exact"/>
        <w:ind w:left="646" w:leftChars="269" w:firstLine="1"/>
        <w:rPr>
          <w:rFonts w:ascii="仿宋" w:hAnsi="仿宋" w:eastAsia="仿宋" w:cs="仿宋"/>
          <w:highlight w:val="none"/>
        </w:rPr>
      </w:pPr>
      <w:r>
        <w:rPr>
          <w:rFonts w:hint="eastAsia" w:ascii="仿宋" w:hAnsi="仿宋" w:eastAsia="仿宋" w:cs="仿宋"/>
          <w:highlight w:val="none"/>
        </w:rPr>
        <w:t>（2）质量证书</w:t>
      </w:r>
    </w:p>
    <w:p w14:paraId="48236F53">
      <w:pPr>
        <w:shd w:val="clear"/>
        <w:spacing w:line="500" w:lineRule="exact"/>
        <w:ind w:left="646" w:leftChars="269" w:firstLine="1"/>
        <w:rPr>
          <w:rFonts w:ascii="仿宋" w:hAnsi="仿宋" w:eastAsia="仿宋" w:cs="仿宋"/>
          <w:highlight w:val="none"/>
        </w:rPr>
      </w:pPr>
      <w:r>
        <w:rPr>
          <w:rFonts w:hint="eastAsia" w:ascii="仿宋" w:hAnsi="仿宋" w:eastAsia="仿宋" w:cs="仿宋"/>
          <w:highlight w:val="none"/>
        </w:rPr>
        <w:t>（3）详细配置、数量清单</w:t>
      </w:r>
    </w:p>
    <w:p w14:paraId="6507EA3A">
      <w:pPr>
        <w:shd w:val="clear"/>
        <w:spacing w:line="500" w:lineRule="exact"/>
        <w:ind w:left="646" w:leftChars="269" w:firstLine="1"/>
        <w:rPr>
          <w:rFonts w:ascii="仿宋" w:hAnsi="仿宋" w:eastAsia="仿宋" w:cs="仿宋"/>
          <w:highlight w:val="none"/>
        </w:rPr>
      </w:pPr>
      <w:r>
        <w:rPr>
          <w:rFonts w:hint="eastAsia" w:ascii="仿宋" w:hAnsi="仿宋" w:eastAsia="仿宋" w:cs="仿宋"/>
          <w:highlight w:val="none"/>
        </w:rPr>
        <w:t>（4）检验报告</w:t>
      </w:r>
    </w:p>
    <w:p w14:paraId="5E9F2BA3">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6.3采购人按合同规定的合同生效及支付条件和方式安排付款。</w:t>
      </w:r>
    </w:p>
    <w:p w14:paraId="22023EB3">
      <w:pPr>
        <w:shd w:val="clear"/>
        <w:spacing w:line="500" w:lineRule="exact"/>
        <w:rPr>
          <w:rFonts w:ascii="仿宋" w:hAnsi="仿宋" w:eastAsia="仿宋" w:cs="仿宋"/>
          <w:b/>
          <w:highlight w:val="none"/>
        </w:rPr>
      </w:pPr>
      <w:r>
        <w:rPr>
          <w:rFonts w:hint="eastAsia" w:ascii="仿宋" w:hAnsi="仿宋" w:eastAsia="仿宋" w:cs="仿宋"/>
          <w:b/>
          <w:highlight w:val="none"/>
        </w:rPr>
        <w:t>7．伴随服务</w:t>
      </w:r>
    </w:p>
    <w:p w14:paraId="78656615">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7.1供方随同货物提交所供货物的技术资料。包括相应每套货物的中文技术文件，如：产品目录、操作手册、使用说明、维护手册或服务指南等。</w:t>
      </w:r>
    </w:p>
    <w:p w14:paraId="009991E4">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7.2供方应提供下列服务：</w:t>
      </w:r>
    </w:p>
    <w:p w14:paraId="1A0D367B">
      <w:pPr>
        <w:shd w:val="clear"/>
        <w:spacing w:line="500" w:lineRule="exact"/>
        <w:ind w:left="646" w:leftChars="269" w:firstLine="1"/>
        <w:rPr>
          <w:rFonts w:ascii="仿宋" w:hAnsi="仿宋" w:eastAsia="仿宋" w:cs="仿宋"/>
          <w:highlight w:val="none"/>
        </w:rPr>
      </w:pPr>
      <w:r>
        <w:rPr>
          <w:rFonts w:hint="eastAsia" w:ascii="仿宋" w:hAnsi="仿宋" w:eastAsia="仿宋" w:cs="仿宋"/>
          <w:highlight w:val="none"/>
        </w:rPr>
        <w:t>（1）货物的现场安装和启动监督；</w:t>
      </w:r>
    </w:p>
    <w:p w14:paraId="18E2B77E">
      <w:pPr>
        <w:shd w:val="clear"/>
        <w:spacing w:line="500" w:lineRule="exact"/>
        <w:ind w:left="646" w:leftChars="269" w:firstLine="1"/>
        <w:rPr>
          <w:rFonts w:ascii="仿宋" w:hAnsi="仿宋" w:eastAsia="仿宋" w:cs="仿宋"/>
          <w:highlight w:val="none"/>
        </w:rPr>
      </w:pPr>
      <w:r>
        <w:rPr>
          <w:rFonts w:hint="eastAsia" w:ascii="仿宋" w:hAnsi="仿宋" w:eastAsia="仿宋" w:cs="仿宋"/>
          <w:highlight w:val="none"/>
        </w:rPr>
        <w:t>（2）提供货物组装和维修所必须的工具；</w:t>
      </w:r>
    </w:p>
    <w:p w14:paraId="4D082ADD">
      <w:pPr>
        <w:shd w:val="clear"/>
        <w:spacing w:line="500" w:lineRule="exact"/>
        <w:ind w:left="646" w:leftChars="269" w:firstLine="1"/>
        <w:rPr>
          <w:rFonts w:ascii="仿宋" w:hAnsi="仿宋" w:eastAsia="仿宋" w:cs="仿宋"/>
          <w:highlight w:val="none"/>
        </w:rPr>
      </w:pPr>
      <w:r>
        <w:rPr>
          <w:rFonts w:hint="eastAsia" w:ascii="仿宋" w:hAnsi="仿宋" w:eastAsia="仿宋" w:cs="仿宋"/>
          <w:highlight w:val="none"/>
        </w:rPr>
        <w:t>（3）在项目现场就货物的安装、启动、运行和维护，按采购人的要求提供技术培训。</w:t>
      </w:r>
    </w:p>
    <w:p w14:paraId="4650F913">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7.3伴随服务的费用含在合同价中，不另行支付。</w:t>
      </w:r>
    </w:p>
    <w:p w14:paraId="563F52CE">
      <w:pPr>
        <w:shd w:val="clear"/>
        <w:spacing w:line="500" w:lineRule="exact"/>
        <w:rPr>
          <w:rFonts w:ascii="仿宋" w:hAnsi="仿宋" w:eastAsia="仿宋" w:cs="仿宋"/>
          <w:b/>
          <w:highlight w:val="none"/>
        </w:rPr>
      </w:pPr>
      <w:r>
        <w:rPr>
          <w:rFonts w:hint="eastAsia" w:ascii="仿宋" w:hAnsi="仿宋" w:eastAsia="仿宋" w:cs="仿宋"/>
          <w:bCs/>
          <w:highlight w:val="none"/>
        </w:rPr>
        <w:t>8.</w:t>
      </w:r>
      <w:r>
        <w:rPr>
          <w:rFonts w:hint="eastAsia" w:ascii="仿宋" w:hAnsi="仿宋" w:eastAsia="仿宋" w:cs="仿宋"/>
          <w:b/>
          <w:highlight w:val="none"/>
        </w:rPr>
        <w:t>备品备件</w:t>
      </w:r>
    </w:p>
    <w:p w14:paraId="55F3D360">
      <w:pPr>
        <w:shd w:val="clear"/>
        <w:spacing w:line="500" w:lineRule="exact"/>
        <w:ind w:left="485" w:hanging="484" w:hangingChars="202"/>
        <w:rPr>
          <w:rFonts w:ascii="仿宋" w:hAnsi="仿宋" w:eastAsia="仿宋" w:cs="仿宋"/>
          <w:highlight w:val="none"/>
        </w:rPr>
      </w:pPr>
      <w:r>
        <w:rPr>
          <w:rFonts w:hint="eastAsia" w:ascii="仿宋" w:hAnsi="仿宋" w:eastAsia="仿宋" w:cs="仿宋"/>
          <w:bCs/>
          <w:highlight w:val="none"/>
        </w:rPr>
        <w:t>8.1</w:t>
      </w:r>
      <w:r>
        <w:rPr>
          <w:rFonts w:hint="eastAsia" w:ascii="仿宋" w:hAnsi="仿宋" w:eastAsia="仿宋" w:cs="仿宋"/>
          <w:highlight w:val="none"/>
        </w:rPr>
        <w:t>供</w:t>
      </w:r>
      <w:r>
        <w:rPr>
          <w:rFonts w:hint="eastAsia" w:ascii="仿宋" w:hAnsi="仿宋" w:eastAsia="仿宋" w:cs="仿宋"/>
          <w:bCs/>
          <w:highlight w:val="none"/>
        </w:rPr>
        <w:t>方可能被要</w:t>
      </w:r>
      <w:r>
        <w:rPr>
          <w:rFonts w:hint="eastAsia" w:ascii="仿宋" w:hAnsi="仿宋" w:eastAsia="仿宋" w:cs="仿宋"/>
          <w:highlight w:val="none"/>
        </w:rPr>
        <w:t>求提供下列与备件有关的材料、通知和资料：</w:t>
      </w:r>
    </w:p>
    <w:p w14:paraId="696EBB69">
      <w:pPr>
        <w:shd w:val="clear"/>
        <w:spacing w:line="500" w:lineRule="exact"/>
        <w:ind w:left="648" w:leftChars="270"/>
        <w:rPr>
          <w:rFonts w:ascii="仿宋" w:hAnsi="仿宋" w:eastAsia="仿宋" w:cs="仿宋"/>
          <w:highlight w:val="none"/>
        </w:rPr>
      </w:pPr>
      <w:r>
        <w:rPr>
          <w:rFonts w:hint="eastAsia" w:ascii="仿宋" w:hAnsi="仿宋" w:eastAsia="仿宋" w:cs="仿宋"/>
          <w:highlight w:val="none"/>
        </w:rPr>
        <w:t>（1）采购方从供方选购备件，但前提条件是该选购并不能免除供方在合同保证期内所承担的义务；</w:t>
      </w:r>
    </w:p>
    <w:p w14:paraId="449638A6">
      <w:pPr>
        <w:shd w:val="clear"/>
        <w:spacing w:line="500" w:lineRule="exact"/>
        <w:ind w:left="648" w:leftChars="270"/>
        <w:rPr>
          <w:rFonts w:ascii="仿宋" w:hAnsi="仿宋" w:eastAsia="仿宋" w:cs="仿宋"/>
          <w:highlight w:val="none"/>
        </w:rPr>
      </w:pPr>
      <w:r>
        <w:rPr>
          <w:rFonts w:hint="eastAsia" w:ascii="仿宋" w:hAnsi="仿宋" w:eastAsia="仿宋" w:cs="仿宋"/>
          <w:highlight w:val="none"/>
        </w:rPr>
        <w:t>（2）在备件停止生产的情况下，供方应事先将要停止生产的计划通知买方有足够的时间采购所需的备件；</w:t>
      </w:r>
    </w:p>
    <w:p w14:paraId="2F6EAB4B">
      <w:pPr>
        <w:shd w:val="clear"/>
        <w:spacing w:line="500" w:lineRule="exact"/>
        <w:ind w:left="648" w:leftChars="270"/>
        <w:rPr>
          <w:rFonts w:ascii="仿宋" w:hAnsi="仿宋" w:eastAsia="仿宋" w:cs="仿宋"/>
          <w:highlight w:val="none"/>
        </w:rPr>
      </w:pPr>
      <w:r>
        <w:rPr>
          <w:rFonts w:hint="eastAsia" w:ascii="仿宋" w:hAnsi="仿宋" w:eastAsia="仿宋" w:cs="仿宋"/>
          <w:highlight w:val="none"/>
        </w:rPr>
        <w:t>（3）在备件停止生产后，如果采购方要求，供方应免费向采购方提供备件的蓝图、图纸和规格。</w:t>
      </w:r>
    </w:p>
    <w:p w14:paraId="0599CF12">
      <w:pPr>
        <w:shd w:val="clear"/>
        <w:tabs>
          <w:tab w:val="left" w:pos="-540"/>
          <w:tab w:val="left" w:pos="0"/>
          <w:tab w:val="left" w:pos="420"/>
          <w:tab w:val="left" w:pos="840"/>
          <w:tab w:val="left" w:pos="1260"/>
          <w:tab w:val="left" w:pos="1680"/>
          <w:tab w:val="left" w:pos="2250"/>
        </w:tabs>
        <w:spacing w:line="500" w:lineRule="exact"/>
        <w:rPr>
          <w:rFonts w:ascii="仿宋" w:hAnsi="仿宋" w:eastAsia="仿宋" w:cs="仿宋"/>
          <w:b/>
          <w:highlight w:val="none"/>
        </w:rPr>
      </w:pPr>
      <w:r>
        <w:rPr>
          <w:rFonts w:hint="eastAsia" w:ascii="仿宋" w:hAnsi="仿宋" w:eastAsia="仿宋" w:cs="仿宋"/>
          <w:b/>
          <w:highlight w:val="none"/>
        </w:rPr>
        <w:t>9、质量保证及售后服务</w:t>
      </w:r>
    </w:p>
    <w:p w14:paraId="5AC68841">
      <w:pPr>
        <w:shd w:val="clear"/>
        <w:tabs>
          <w:tab w:val="left" w:pos="-540"/>
          <w:tab w:val="left" w:pos="0"/>
          <w:tab w:val="left" w:pos="420"/>
          <w:tab w:val="left" w:pos="840"/>
          <w:tab w:val="left" w:pos="1260"/>
          <w:tab w:val="left" w:pos="1680"/>
          <w:tab w:val="left" w:pos="2250"/>
        </w:tabs>
        <w:spacing w:line="500" w:lineRule="exact"/>
        <w:rPr>
          <w:rFonts w:ascii="仿宋" w:hAnsi="仿宋" w:eastAsia="仿宋" w:cs="仿宋"/>
          <w:b/>
          <w:highlight w:val="none"/>
        </w:rPr>
      </w:pPr>
      <w:r>
        <w:rPr>
          <w:rFonts w:hint="eastAsia" w:ascii="仿宋" w:hAnsi="仿宋" w:eastAsia="仿宋" w:cs="仿宋"/>
          <w:b/>
          <w:highlight w:val="none"/>
        </w:rPr>
        <w:t>（一）质量保证</w:t>
      </w:r>
    </w:p>
    <w:p w14:paraId="12BBF058">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9.1供方保证所提供的货物是全新的、未使用过的，是完全符合合同规定的质量、规格和性能要求的。保证货物在正常使用和保养条件下，在其使用寿命内具有满意的性能。在质保期内供方免费提供货物正常使用情况下发生故障的维修服务和更换配件服务。在供方或制造商承诺的货物质量保证期内，供方对由于设计工艺或材料的缺陷而产生的故障负责；货物无质保期的，供方在两年内对由于设计工艺或材料的缺陷而产生的故障负责。</w:t>
      </w:r>
    </w:p>
    <w:p w14:paraId="4C2CC6BE">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9.2在质保期内或货物无质保期的则在两年内，如果货物的数量、质量或规格与合同不符，或证实货物有缺陷的，采购人可尽快以书面形式向供方提出本保证下的索赔。</w:t>
      </w:r>
    </w:p>
    <w:p w14:paraId="0E97444E">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9.3供方在收到索赔通知后十日内须免费更换有缺陷的货物或部件。</w:t>
      </w:r>
    </w:p>
    <w:p w14:paraId="354BEE42">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9.4供方在收到索赔通知后十日内没有弥补缺陷，采购人可采取必要的补救措施，其风险和费用将由供方承担，采购人根据合同规定向供方行使的其它权利不受影响。</w:t>
      </w:r>
    </w:p>
    <w:p w14:paraId="6CDD8AEE">
      <w:pPr>
        <w:shd w:val="clear"/>
        <w:tabs>
          <w:tab w:val="left" w:pos="-540"/>
          <w:tab w:val="left" w:pos="0"/>
          <w:tab w:val="left" w:pos="420"/>
          <w:tab w:val="left" w:pos="840"/>
          <w:tab w:val="left" w:pos="1260"/>
          <w:tab w:val="left" w:pos="1680"/>
          <w:tab w:val="left" w:pos="2250"/>
        </w:tabs>
        <w:spacing w:line="500" w:lineRule="exact"/>
        <w:rPr>
          <w:rFonts w:ascii="仿宋" w:hAnsi="仿宋" w:eastAsia="仿宋" w:cs="仿宋"/>
          <w:b/>
          <w:highlight w:val="none"/>
        </w:rPr>
      </w:pPr>
      <w:r>
        <w:rPr>
          <w:rFonts w:hint="eastAsia" w:ascii="仿宋" w:hAnsi="仿宋" w:eastAsia="仿宋" w:cs="仿宋"/>
          <w:b/>
          <w:highlight w:val="none"/>
        </w:rPr>
        <w:t>(二)质量保证期后服务</w:t>
      </w:r>
    </w:p>
    <w:p w14:paraId="2121393E">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9.5 质保期满后，若有零部件出现故障，经权威部门鉴定属于寿命异常问题（明显短于该零部件正常寿命时），则由供方负责免费更换及维修。</w:t>
      </w:r>
    </w:p>
    <w:p w14:paraId="36C49FAE">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9.6 质保期满后，应采购方要求，供方应按投标时的价格与采购方签订定期维修保养合同及提供采购方所需零配件，若投标时的价格高于市场价，则按市场价与与采购方签订定期维修保养合同及提供采购方所需零配件。</w:t>
      </w:r>
    </w:p>
    <w:p w14:paraId="2D908000">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9.7 乙方交货后，若设备发生故障，乙方应在甲方报修后24小时内到达。</w:t>
      </w:r>
    </w:p>
    <w:p w14:paraId="1B9E61C4">
      <w:pPr>
        <w:shd w:val="clear"/>
        <w:spacing w:line="500" w:lineRule="exact"/>
        <w:rPr>
          <w:rFonts w:ascii="仿宋" w:hAnsi="仿宋" w:eastAsia="仿宋" w:cs="仿宋"/>
          <w:b/>
          <w:highlight w:val="none"/>
        </w:rPr>
      </w:pPr>
      <w:r>
        <w:rPr>
          <w:rFonts w:hint="eastAsia" w:ascii="仿宋" w:hAnsi="仿宋" w:eastAsia="仿宋" w:cs="仿宋"/>
          <w:b/>
          <w:highlight w:val="none"/>
        </w:rPr>
        <w:t>10．检验</w:t>
      </w:r>
    </w:p>
    <w:p w14:paraId="7264C8F4">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10.1在交货前，供方应对货物的质量、规格、性能、数量等进行详细全面的检验，并出具一份证明货物符合合同规定要求的检验报告。检验报告是付款必要的文件组成部分，但不作为对有关质量、规格、数量的最终检验。</w:t>
      </w:r>
    </w:p>
    <w:p w14:paraId="0859E404">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10.2货物交付后，采购人申请有关部门对货物的质量、数量等进行检验并出具检验证书。</w:t>
      </w:r>
    </w:p>
    <w:p w14:paraId="08E47BB7">
      <w:pPr>
        <w:shd w:val="clear"/>
        <w:spacing w:line="500" w:lineRule="exact"/>
        <w:rPr>
          <w:rFonts w:ascii="仿宋" w:hAnsi="仿宋" w:eastAsia="仿宋" w:cs="仿宋"/>
          <w:b/>
          <w:highlight w:val="none"/>
        </w:rPr>
      </w:pPr>
      <w:r>
        <w:rPr>
          <w:rFonts w:hint="eastAsia" w:ascii="仿宋" w:hAnsi="仿宋" w:eastAsia="仿宋" w:cs="仿宋"/>
          <w:b/>
          <w:highlight w:val="none"/>
        </w:rPr>
        <w:t>11．索赔</w:t>
      </w:r>
    </w:p>
    <w:p w14:paraId="7BECBDC2">
      <w:pPr>
        <w:shd w:val="clear"/>
        <w:spacing w:line="500" w:lineRule="exact"/>
        <w:ind w:left="485" w:hanging="484" w:hangingChars="202"/>
        <w:rPr>
          <w:rFonts w:ascii="仿宋" w:hAnsi="仿宋" w:eastAsia="仿宋" w:cs="仿宋"/>
          <w:highlight w:val="none"/>
        </w:rPr>
      </w:pPr>
      <w:r>
        <w:rPr>
          <w:rFonts w:hint="eastAsia" w:ascii="仿宋" w:hAnsi="仿宋" w:eastAsia="仿宋" w:cs="仿宋"/>
          <w:bCs/>
          <w:highlight w:val="none"/>
        </w:rPr>
        <w:t>1</w:t>
      </w:r>
      <w:r>
        <w:rPr>
          <w:rFonts w:hint="eastAsia" w:ascii="仿宋" w:hAnsi="仿宋" w:eastAsia="仿宋" w:cs="仿宋"/>
          <w:highlight w:val="none"/>
        </w:rPr>
        <w:t>1.1采购人有权根据有关部门出具的检验证书向供方提出索赔。</w:t>
      </w:r>
    </w:p>
    <w:p w14:paraId="54E72ED1">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11.2在合同条款第8条规定的质保期内，如果供方对差异负有责任而采购人提出索赔，供方应按照采购人的损失程度进行赔偿。</w:t>
      </w:r>
    </w:p>
    <w:p w14:paraId="53B86F7D">
      <w:pPr>
        <w:shd w:val="clear"/>
        <w:spacing w:line="500" w:lineRule="exact"/>
        <w:rPr>
          <w:rFonts w:ascii="仿宋" w:hAnsi="仿宋" w:eastAsia="仿宋" w:cs="仿宋"/>
          <w:b/>
          <w:highlight w:val="none"/>
        </w:rPr>
      </w:pPr>
      <w:r>
        <w:rPr>
          <w:rFonts w:hint="eastAsia" w:ascii="仿宋" w:hAnsi="仿宋" w:eastAsia="仿宋" w:cs="仿宋"/>
          <w:b/>
          <w:highlight w:val="none"/>
        </w:rPr>
        <w:t>12．</w:t>
      </w:r>
      <w:r>
        <w:rPr>
          <w:rFonts w:hint="eastAsia" w:ascii="仿宋" w:hAnsi="仿宋" w:eastAsia="仿宋" w:cs="仿宋"/>
          <w:b/>
          <w:bCs/>
          <w:highlight w:val="none"/>
        </w:rPr>
        <w:t>供</w:t>
      </w:r>
      <w:r>
        <w:rPr>
          <w:rFonts w:hint="eastAsia" w:ascii="仿宋" w:hAnsi="仿宋" w:eastAsia="仿宋" w:cs="仿宋"/>
          <w:b/>
          <w:highlight w:val="none"/>
        </w:rPr>
        <w:t>方履约延误</w:t>
      </w:r>
    </w:p>
    <w:p w14:paraId="2BDB30BA">
      <w:pPr>
        <w:shd w:val="clear"/>
        <w:spacing w:line="500" w:lineRule="exact"/>
        <w:ind w:left="485" w:hanging="484" w:hangingChars="202"/>
        <w:rPr>
          <w:rFonts w:ascii="仿宋" w:hAnsi="仿宋" w:eastAsia="仿宋" w:cs="仿宋"/>
          <w:bCs/>
          <w:highlight w:val="none"/>
        </w:rPr>
      </w:pPr>
      <w:r>
        <w:rPr>
          <w:rFonts w:hint="eastAsia" w:ascii="仿宋" w:hAnsi="仿宋" w:eastAsia="仿宋" w:cs="仿宋"/>
          <w:bCs/>
          <w:highlight w:val="none"/>
        </w:rPr>
        <w:t>12.1</w:t>
      </w:r>
      <w:r>
        <w:rPr>
          <w:rFonts w:hint="eastAsia" w:ascii="仿宋" w:hAnsi="仿宋" w:eastAsia="仿宋" w:cs="仿宋"/>
          <w:highlight w:val="none"/>
        </w:rPr>
        <w:t>供</w:t>
      </w:r>
      <w:r>
        <w:rPr>
          <w:rFonts w:hint="eastAsia" w:ascii="仿宋" w:hAnsi="仿宋" w:eastAsia="仿宋" w:cs="仿宋"/>
          <w:bCs/>
          <w:highlight w:val="none"/>
        </w:rPr>
        <w:t>方应</w:t>
      </w:r>
      <w:r>
        <w:rPr>
          <w:rFonts w:hint="eastAsia" w:ascii="仿宋" w:hAnsi="仿宋" w:eastAsia="仿宋" w:cs="仿宋"/>
          <w:highlight w:val="none"/>
        </w:rPr>
        <w:t>按规定</w:t>
      </w:r>
      <w:r>
        <w:rPr>
          <w:rFonts w:hint="eastAsia" w:ascii="仿宋" w:hAnsi="仿宋" w:eastAsia="仿宋" w:cs="仿宋"/>
          <w:bCs/>
          <w:highlight w:val="none"/>
        </w:rPr>
        <w:t>的时间交货和提供服务。</w:t>
      </w:r>
    </w:p>
    <w:p w14:paraId="6C286952">
      <w:pPr>
        <w:shd w:val="clear"/>
        <w:spacing w:line="500" w:lineRule="exact"/>
        <w:ind w:left="617" w:hanging="616" w:hangingChars="257"/>
        <w:rPr>
          <w:rFonts w:ascii="仿宋" w:hAnsi="仿宋" w:eastAsia="仿宋" w:cs="仿宋"/>
          <w:highlight w:val="none"/>
        </w:rPr>
      </w:pPr>
      <w:r>
        <w:rPr>
          <w:rFonts w:hint="eastAsia" w:ascii="仿宋" w:hAnsi="仿宋" w:eastAsia="仿宋" w:cs="仿宋"/>
          <w:bCs/>
          <w:highlight w:val="none"/>
        </w:rPr>
        <w:t>12.2如</w:t>
      </w:r>
      <w:r>
        <w:rPr>
          <w:rFonts w:hint="eastAsia" w:ascii="仿宋" w:hAnsi="仿宋" w:eastAsia="仿宋" w:cs="仿宋"/>
          <w:highlight w:val="none"/>
        </w:rPr>
        <w:t>供方无正当理由而拖延交货，采购人将从货款中扣除误期赔偿费而不影响合同项下的其他补救方法，赔偿费按每周迟交货物交货价或未提供服务费用的百分之一（1%）计收，直至交货或提供服务为止。误期赔偿费的最高限额不超过误期货物或服务合同价的百分之五（5%）。一周按七（7）天计算，不足七（7）天按一周计算。一旦达到误期赔偿费的最高限额，采购人有权终止合同。</w:t>
      </w:r>
    </w:p>
    <w:p w14:paraId="53F1B166">
      <w:pPr>
        <w:shd w:val="clear"/>
        <w:spacing w:line="500" w:lineRule="exact"/>
        <w:ind w:left="485" w:hanging="484" w:hangingChars="202"/>
        <w:rPr>
          <w:rFonts w:ascii="仿宋" w:hAnsi="仿宋" w:eastAsia="仿宋" w:cs="仿宋"/>
          <w:highlight w:val="none"/>
        </w:rPr>
      </w:pPr>
      <w:r>
        <w:rPr>
          <w:rFonts w:hint="eastAsia" w:ascii="仿宋" w:hAnsi="仿宋" w:eastAsia="仿宋" w:cs="仿宋"/>
          <w:bCs/>
          <w:highlight w:val="none"/>
        </w:rPr>
        <w:t>12.3在履行</w:t>
      </w:r>
      <w:r>
        <w:rPr>
          <w:rFonts w:hint="eastAsia" w:ascii="仿宋" w:hAnsi="仿宋" w:eastAsia="仿宋" w:cs="仿宋"/>
          <w:highlight w:val="none"/>
        </w:rPr>
        <w:t>合同过程中，如果供方遇到可能妨碍按时交货和提供服务的情况时，应及时以书面形式将拖延的事实、可能拖延的期限和理由通知采购人。采购人在收到通知后，要尽快对情况进行评价，并确定是否通过修改合同酌情延长交货时间以及是否收取误期赔偿费。延期应通过修改合同的方式由双方认可。</w:t>
      </w:r>
    </w:p>
    <w:p w14:paraId="37DBA65E">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12.4供方交付的货物不符合文件、响应文件和本合同规定的，采购方有权拒收，并且供方需向采购方支付本合同总价10%的违约金。</w:t>
      </w:r>
    </w:p>
    <w:p w14:paraId="21D75B07">
      <w:pPr>
        <w:shd w:val="clear"/>
        <w:spacing w:line="500" w:lineRule="exact"/>
        <w:rPr>
          <w:rFonts w:ascii="仿宋" w:hAnsi="仿宋" w:eastAsia="仿宋" w:cs="仿宋"/>
          <w:b/>
          <w:highlight w:val="none"/>
        </w:rPr>
      </w:pPr>
      <w:r>
        <w:rPr>
          <w:rFonts w:hint="eastAsia" w:ascii="仿宋" w:hAnsi="仿宋" w:eastAsia="仿宋" w:cs="仿宋"/>
          <w:b/>
          <w:highlight w:val="none"/>
        </w:rPr>
        <w:t>13．不可抗力</w:t>
      </w:r>
    </w:p>
    <w:p w14:paraId="7A1A4E65">
      <w:pPr>
        <w:shd w:val="clear"/>
        <w:spacing w:line="500" w:lineRule="exact"/>
        <w:ind w:left="485" w:hanging="484" w:hangingChars="202"/>
        <w:rPr>
          <w:rFonts w:ascii="仿宋" w:hAnsi="仿宋" w:eastAsia="仿宋" w:cs="仿宋"/>
          <w:highlight w:val="none"/>
        </w:rPr>
      </w:pPr>
      <w:r>
        <w:rPr>
          <w:rFonts w:hint="eastAsia" w:ascii="仿宋" w:hAnsi="仿宋" w:eastAsia="仿宋" w:cs="仿宋"/>
          <w:bCs/>
          <w:highlight w:val="none"/>
        </w:rPr>
        <w:t>13.1如果双</w:t>
      </w:r>
      <w:r>
        <w:rPr>
          <w:rFonts w:hint="eastAsia" w:ascii="仿宋" w:hAnsi="仿宋" w:eastAsia="仿宋" w:cs="仿宋"/>
          <w:highlight w:val="none"/>
        </w:rPr>
        <w:t>方任何一方由于经双方认可属于不可抗力的事故，致使影响合同履行时，履行合同的期限予以延长，延长的期限应相当于事故所影响的时间。不可抗力事件是指买供双方在缔结合同时所不能预见、并且它的发生及其后果是无法避免及无法克服的事件，比如战争、严重火灾、洪水、台风、地震等。</w:t>
      </w:r>
    </w:p>
    <w:p w14:paraId="02D9CAEB">
      <w:pPr>
        <w:shd w:val="clear"/>
        <w:spacing w:line="500" w:lineRule="exact"/>
        <w:ind w:left="485" w:hanging="484" w:hangingChars="202"/>
        <w:rPr>
          <w:rFonts w:ascii="仿宋" w:hAnsi="仿宋" w:eastAsia="仿宋" w:cs="仿宋"/>
          <w:highlight w:val="none"/>
        </w:rPr>
      </w:pPr>
      <w:r>
        <w:rPr>
          <w:rFonts w:hint="eastAsia" w:ascii="仿宋" w:hAnsi="仿宋" w:eastAsia="仿宋" w:cs="仿宋"/>
          <w:highlight w:val="none"/>
        </w:rPr>
        <w:t>13.2受事故影响的一方应在不可抗力发生后尽快以传真、电报通知另一方，并在事故发生后14天内，将有关部门出具的证明文件用特快专递或挂号信寄给另一方。如果不可抗力影响时间延续90天以上时，双方可通过友好协商在合理的时间内达成进一步履行或解除合同的协议。</w:t>
      </w:r>
    </w:p>
    <w:p w14:paraId="0762C710">
      <w:pPr>
        <w:shd w:val="clear"/>
        <w:spacing w:line="500" w:lineRule="exact"/>
        <w:rPr>
          <w:rFonts w:ascii="仿宋" w:hAnsi="仿宋" w:eastAsia="仿宋" w:cs="仿宋"/>
          <w:b/>
          <w:highlight w:val="none"/>
        </w:rPr>
      </w:pPr>
      <w:r>
        <w:rPr>
          <w:rFonts w:hint="eastAsia" w:ascii="仿宋" w:hAnsi="仿宋" w:eastAsia="仿宋" w:cs="仿宋"/>
          <w:b/>
          <w:highlight w:val="none"/>
        </w:rPr>
        <w:t>14．税费</w:t>
      </w:r>
    </w:p>
    <w:p w14:paraId="74F6C02B">
      <w:pPr>
        <w:shd w:val="clear"/>
        <w:spacing w:line="500" w:lineRule="exact"/>
        <w:ind w:left="485" w:hanging="484" w:hangingChars="202"/>
        <w:rPr>
          <w:rFonts w:ascii="仿宋" w:hAnsi="仿宋" w:eastAsia="仿宋" w:cs="仿宋"/>
          <w:bCs/>
          <w:highlight w:val="none"/>
        </w:rPr>
      </w:pPr>
      <w:r>
        <w:rPr>
          <w:rFonts w:hint="eastAsia" w:ascii="仿宋" w:hAnsi="仿宋" w:eastAsia="仿宋" w:cs="仿宋"/>
          <w:bCs/>
          <w:highlight w:val="none"/>
        </w:rPr>
        <w:t>14.1政府根据现行税法对</w:t>
      </w:r>
      <w:r>
        <w:rPr>
          <w:rFonts w:hint="eastAsia" w:ascii="仿宋" w:hAnsi="仿宋" w:eastAsia="仿宋" w:cs="仿宋"/>
          <w:highlight w:val="none"/>
        </w:rPr>
        <w:t>供</w:t>
      </w:r>
      <w:r>
        <w:rPr>
          <w:rFonts w:hint="eastAsia" w:ascii="仿宋" w:hAnsi="仿宋" w:eastAsia="仿宋" w:cs="仿宋"/>
          <w:bCs/>
          <w:highlight w:val="none"/>
        </w:rPr>
        <w:t>方征收的与本合同有关的一切税费均由</w:t>
      </w:r>
      <w:r>
        <w:rPr>
          <w:rFonts w:hint="eastAsia" w:ascii="仿宋" w:hAnsi="仿宋" w:eastAsia="仿宋" w:cs="仿宋"/>
          <w:highlight w:val="none"/>
        </w:rPr>
        <w:t>供</w:t>
      </w:r>
      <w:r>
        <w:rPr>
          <w:rFonts w:hint="eastAsia" w:ascii="仿宋" w:hAnsi="仿宋" w:eastAsia="仿宋" w:cs="仿宋"/>
          <w:bCs/>
          <w:highlight w:val="none"/>
        </w:rPr>
        <w:t>方负担。</w:t>
      </w:r>
    </w:p>
    <w:p w14:paraId="77467960">
      <w:pPr>
        <w:shd w:val="clear"/>
        <w:spacing w:line="500" w:lineRule="exact"/>
        <w:rPr>
          <w:rFonts w:ascii="仿宋" w:hAnsi="仿宋" w:eastAsia="仿宋" w:cs="仿宋"/>
          <w:b/>
          <w:highlight w:val="none"/>
        </w:rPr>
      </w:pPr>
      <w:r>
        <w:rPr>
          <w:rFonts w:hint="eastAsia" w:ascii="仿宋" w:hAnsi="仿宋" w:eastAsia="仿宋" w:cs="仿宋"/>
          <w:b/>
          <w:highlight w:val="none"/>
        </w:rPr>
        <w:t>15．违约终止合同</w:t>
      </w:r>
    </w:p>
    <w:p w14:paraId="5FB34E4F">
      <w:pPr>
        <w:shd w:val="clear"/>
        <w:spacing w:line="500" w:lineRule="exact"/>
        <w:ind w:left="617" w:hanging="616" w:hangingChars="257"/>
        <w:rPr>
          <w:rFonts w:ascii="仿宋" w:hAnsi="仿宋" w:eastAsia="仿宋" w:cs="仿宋"/>
          <w:bCs/>
          <w:highlight w:val="none"/>
        </w:rPr>
      </w:pPr>
      <w:r>
        <w:rPr>
          <w:rFonts w:hint="eastAsia" w:ascii="仿宋" w:hAnsi="仿宋" w:eastAsia="仿宋" w:cs="仿宋"/>
          <w:bCs/>
          <w:highlight w:val="none"/>
        </w:rPr>
        <w:t>15.1出现下</w:t>
      </w:r>
      <w:r>
        <w:rPr>
          <w:rFonts w:hint="eastAsia" w:ascii="仿宋" w:hAnsi="仿宋" w:eastAsia="仿宋" w:cs="仿宋"/>
          <w:highlight w:val="none"/>
        </w:rPr>
        <w:t>列情况之一，采购人在对供方违约而采取的任何补救措施不受影响的情况下，可向供方发出终止部分或全部合同的书面通知书。</w:t>
      </w:r>
    </w:p>
    <w:p w14:paraId="1ECB4ED5">
      <w:pPr>
        <w:shd w:val="clear"/>
        <w:tabs>
          <w:tab w:val="left" w:pos="3210"/>
        </w:tabs>
        <w:spacing w:line="500" w:lineRule="exact"/>
        <w:ind w:left="809" w:leftChars="337" w:firstLine="1"/>
        <w:rPr>
          <w:rFonts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bCs/>
          <w:highlight w:val="none"/>
        </w:rPr>
        <w:t>如果</w:t>
      </w:r>
      <w:r>
        <w:rPr>
          <w:rFonts w:hint="eastAsia" w:ascii="仿宋" w:hAnsi="仿宋" w:eastAsia="仿宋" w:cs="仿宋"/>
          <w:highlight w:val="none"/>
        </w:rPr>
        <w:t>供方未能按合同规定的期限或采购人同意延长的限期内提供部分或全部货物（服务）、完成工程施工；</w:t>
      </w:r>
    </w:p>
    <w:p w14:paraId="3B2B6A28">
      <w:pPr>
        <w:shd w:val="clear"/>
        <w:tabs>
          <w:tab w:val="left" w:pos="3210"/>
        </w:tabs>
        <w:spacing w:line="500" w:lineRule="exact"/>
        <w:ind w:left="809" w:leftChars="337" w:firstLine="1"/>
        <w:rPr>
          <w:rFonts w:ascii="仿宋" w:hAnsi="仿宋" w:eastAsia="仿宋" w:cs="仿宋"/>
          <w:highlight w:val="none"/>
        </w:rPr>
      </w:pPr>
      <w:r>
        <w:rPr>
          <w:rFonts w:hint="eastAsia" w:ascii="仿宋" w:hAnsi="仿宋" w:eastAsia="仿宋" w:cs="仿宋"/>
          <w:highlight w:val="none"/>
        </w:rPr>
        <w:t>（2）供方在收到采购人发出的违约通知后20天内，或经采购人书面认可延长的时间内未能纠正其过失；</w:t>
      </w:r>
    </w:p>
    <w:p w14:paraId="0EB6CFCE">
      <w:pPr>
        <w:shd w:val="clear"/>
        <w:tabs>
          <w:tab w:val="left" w:pos="3210"/>
        </w:tabs>
        <w:spacing w:line="500" w:lineRule="exact"/>
        <w:ind w:left="809" w:leftChars="337" w:firstLine="1"/>
        <w:rPr>
          <w:rFonts w:ascii="仿宋" w:hAnsi="仿宋" w:eastAsia="仿宋" w:cs="仿宋"/>
          <w:bCs/>
          <w:highlight w:val="none"/>
        </w:rPr>
      </w:pPr>
      <w:r>
        <w:rPr>
          <w:rFonts w:hint="eastAsia" w:ascii="仿宋" w:hAnsi="仿宋" w:eastAsia="仿宋" w:cs="仿宋"/>
          <w:highlight w:val="none"/>
        </w:rPr>
        <w:t>（3）如果供方未能履行合同规定</w:t>
      </w:r>
      <w:r>
        <w:rPr>
          <w:rFonts w:hint="eastAsia" w:ascii="仿宋" w:hAnsi="仿宋" w:eastAsia="仿宋" w:cs="仿宋"/>
          <w:bCs/>
          <w:highlight w:val="none"/>
        </w:rPr>
        <w:t>的其它任何义务。</w:t>
      </w:r>
    </w:p>
    <w:p w14:paraId="1668F4EA">
      <w:pPr>
        <w:shd w:val="clear"/>
        <w:spacing w:line="500" w:lineRule="exact"/>
        <w:ind w:left="617" w:hanging="616" w:hangingChars="257"/>
        <w:rPr>
          <w:rFonts w:ascii="仿宋" w:hAnsi="仿宋" w:eastAsia="仿宋" w:cs="仿宋"/>
          <w:highlight w:val="none"/>
        </w:rPr>
      </w:pPr>
      <w:r>
        <w:rPr>
          <w:rFonts w:hint="eastAsia" w:ascii="仿宋" w:hAnsi="仿宋" w:eastAsia="仿宋" w:cs="仿宋"/>
          <w:bCs/>
          <w:highlight w:val="none"/>
        </w:rPr>
        <w:t>15.2在采购人</w:t>
      </w:r>
      <w:r>
        <w:rPr>
          <w:rFonts w:hint="eastAsia" w:ascii="仿宋" w:hAnsi="仿宋" w:eastAsia="仿宋" w:cs="仿宋"/>
          <w:highlight w:val="none"/>
        </w:rPr>
        <w:t>根据上述第15.1条规定，终止了全部或部分合同后，采购人可以依其认为适当的条件和方法购买类似未交的货物、服务或进行工程施工，供方应对采购人购买类似货物、服务或进行工程施工所超出的费用部分负责，并继续执行合同中未终止部分。</w:t>
      </w:r>
    </w:p>
    <w:p w14:paraId="3E467943">
      <w:pPr>
        <w:shd w:val="clear"/>
        <w:spacing w:line="500" w:lineRule="exact"/>
        <w:rPr>
          <w:rFonts w:ascii="仿宋" w:hAnsi="仿宋" w:eastAsia="仿宋" w:cs="仿宋"/>
          <w:b/>
          <w:highlight w:val="none"/>
        </w:rPr>
      </w:pPr>
      <w:r>
        <w:rPr>
          <w:rFonts w:hint="eastAsia" w:ascii="仿宋" w:hAnsi="仿宋" w:eastAsia="仿宋" w:cs="仿宋"/>
          <w:b/>
          <w:highlight w:val="none"/>
        </w:rPr>
        <w:t>16．破产终止合同</w:t>
      </w:r>
    </w:p>
    <w:p w14:paraId="1A7336F4">
      <w:pPr>
        <w:shd w:val="clear"/>
        <w:spacing w:line="500" w:lineRule="exact"/>
        <w:ind w:left="617" w:hanging="616" w:hangingChars="257"/>
        <w:rPr>
          <w:rFonts w:ascii="仿宋" w:hAnsi="仿宋" w:eastAsia="仿宋" w:cs="仿宋"/>
          <w:bCs/>
          <w:highlight w:val="none"/>
        </w:rPr>
      </w:pPr>
      <w:r>
        <w:rPr>
          <w:rFonts w:hint="eastAsia" w:ascii="仿宋" w:hAnsi="仿宋" w:eastAsia="仿宋" w:cs="仿宋"/>
          <w:bCs/>
          <w:highlight w:val="none"/>
        </w:rPr>
        <w:t>16.1如果供</w:t>
      </w:r>
      <w:r>
        <w:rPr>
          <w:rFonts w:hint="eastAsia" w:ascii="仿宋" w:hAnsi="仿宋" w:eastAsia="仿宋" w:cs="仿宋"/>
          <w:highlight w:val="none"/>
        </w:rPr>
        <w:t>方破产或无清偿能力时，采购人可在任何时候以书面形式通知供方终止合同而无须给供方补偿。终止该合同将不损害或影响采购人</w:t>
      </w:r>
      <w:r>
        <w:rPr>
          <w:rFonts w:hint="eastAsia" w:ascii="仿宋" w:hAnsi="仿宋" w:eastAsia="仿宋" w:cs="仿宋"/>
          <w:bCs/>
          <w:highlight w:val="none"/>
        </w:rPr>
        <w:t>已经采取或将要采取的补救措施的权利。</w:t>
      </w:r>
    </w:p>
    <w:p w14:paraId="5CDEE57C">
      <w:pPr>
        <w:shd w:val="clear"/>
        <w:spacing w:line="500" w:lineRule="exact"/>
        <w:rPr>
          <w:rFonts w:ascii="仿宋" w:hAnsi="仿宋" w:eastAsia="仿宋" w:cs="仿宋"/>
          <w:b/>
          <w:highlight w:val="none"/>
        </w:rPr>
      </w:pPr>
      <w:r>
        <w:rPr>
          <w:rFonts w:hint="eastAsia" w:ascii="仿宋" w:hAnsi="仿宋" w:eastAsia="仿宋" w:cs="仿宋"/>
          <w:b/>
          <w:highlight w:val="none"/>
        </w:rPr>
        <w:t>17．转让</w:t>
      </w:r>
    </w:p>
    <w:p w14:paraId="181E403D">
      <w:pPr>
        <w:shd w:val="clear"/>
        <w:spacing w:line="500" w:lineRule="exact"/>
        <w:ind w:left="617" w:hanging="616" w:hangingChars="257"/>
        <w:rPr>
          <w:rFonts w:ascii="仿宋" w:hAnsi="仿宋" w:eastAsia="仿宋" w:cs="仿宋"/>
          <w:bCs/>
          <w:highlight w:val="none"/>
        </w:rPr>
      </w:pPr>
      <w:r>
        <w:rPr>
          <w:rFonts w:hint="eastAsia" w:ascii="仿宋" w:hAnsi="仿宋" w:eastAsia="仿宋" w:cs="仿宋"/>
          <w:bCs/>
          <w:highlight w:val="none"/>
        </w:rPr>
        <w:t>17.1除采</w:t>
      </w:r>
      <w:r>
        <w:rPr>
          <w:rFonts w:hint="eastAsia" w:ascii="仿宋" w:hAnsi="仿宋" w:eastAsia="仿宋" w:cs="仿宋"/>
          <w:highlight w:val="none"/>
        </w:rPr>
        <w:t>购人事先书面同意外，供方不得部分转让或全部转让其应履行的合</w:t>
      </w:r>
      <w:r>
        <w:rPr>
          <w:rFonts w:hint="eastAsia" w:ascii="仿宋" w:hAnsi="仿宋" w:eastAsia="仿宋" w:cs="仿宋"/>
          <w:bCs/>
          <w:highlight w:val="none"/>
        </w:rPr>
        <w:t>同义务。</w:t>
      </w:r>
    </w:p>
    <w:p w14:paraId="2E19616C">
      <w:pPr>
        <w:shd w:val="clear"/>
        <w:spacing w:line="500" w:lineRule="exact"/>
        <w:rPr>
          <w:rFonts w:ascii="仿宋" w:hAnsi="仿宋" w:eastAsia="仿宋" w:cs="仿宋"/>
          <w:b/>
          <w:highlight w:val="none"/>
        </w:rPr>
      </w:pPr>
      <w:r>
        <w:rPr>
          <w:rFonts w:hint="eastAsia" w:ascii="仿宋" w:hAnsi="仿宋" w:eastAsia="仿宋" w:cs="仿宋"/>
          <w:b/>
          <w:highlight w:val="none"/>
        </w:rPr>
        <w:t>18．适用法律</w:t>
      </w:r>
    </w:p>
    <w:p w14:paraId="5D9D57AB">
      <w:pPr>
        <w:shd w:val="clear"/>
        <w:spacing w:line="500" w:lineRule="exact"/>
        <w:rPr>
          <w:rFonts w:ascii="仿宋" w:hAnsi="仿宋" w:eastAsia="仿宋" w:cs="仿宋"/>
          <w:bCs/>
          <w:highlight w:val="none"/>
        </w:rPr>
      </w:pPr>
      <w:r>
        <w:rPr>
          <w:rFonts w:hint="eastAsia" w:ascii="仿宋" w:hAnsi="仿宋" w:eastAsia="仿宋" w:cs="仿宋"/>
          <w:bCs/>
          <w:highlight w:val="none"/>
        </w:rPr>
        <w:t>18.1本合同应按中华人民共和国的法律进行解释。</w:t>
      </w:r>
    </w:p>
    <w:p w14:paraId="11F7EDC4">
      <w:pPr>
        <w:shd w:val="clear"/>
        <w:spacing w:line="500" w:lineRule="exact"/>
        <w:rPr>
          <w:rFonts w:ascii="仿宋" w:hAnsi="仿宋" w:eastAsia="仿宋" w:cs="仿宋"/>
          <w:b/>
          <w:highlight w:val="none"/>
        </w:rPr>
      </w:pPr>
      <w:r>
        <w:rPr>
          <w:rFonts w:hint="eastAsia" w:ascii="仿宋" w:hAnsi="仿宋" w:eastAsia="仿宋" w:cs="仿宋"/>
          <w:b/>
          <w:highlight w:val="none"/>
        </w:rPr>
        <w:t>19．合同生效</w:t>
      </w:r>
    </w:p>
    <w:p w14:paraId="4A8F438E">
      <w:pPr>
        <w:shd w:val="clear"/>
        <w:spacing w:line="500" w:lineRule="exact"/>
        <w:rPr>
          <w:rFonts w:ascii="仿宋" w:hAnsi="仿宋" w:eastAsia="仿宋" w:cs="仿宋"/>
          <w:bCs/>
          <w:highlight w:val="none"/>
        </w:rPr>
      </w:pPr>
      <w:r>
        <w:rPr>
          <w:rFonts w:hint="eastAsia" w:ascii="仿宋" w:hAnsi="仿宋" w:eastAsia="仿宋" w:cs="仿宋"/>
          <w:bCs/>
          <w:highlight w:val="none"/>
        </w:rPr>
        <w:t>19.1合同在双方授权代表签字并盖章后生效。</w:t>
      </w:r>
    </w:p>
    <w:p w14:paraId="737E2D0A">
      <w:pPr>
        <w:shd w:val="clear"/>
        <w:spacing w:line="500" w:lineRule="exact"/>
        <w:ind w:left="617" w:hanging="616" w:hangingChars="257"/>
        <w:rPr>
          <w:rFonts w:ascii="仿宋" w:hAnsi="仿宋" w:eastAsia="仿宋" w:cs="仿宋"/>
          <w:highlight w:val="none"/>
        </w:rPr>
      </w:pPr>
      <w:r>
        <w:rPr>
          <w:rFonts w:hint="eastAsia" w:ascii="仿宋" w:hAnsi="仿宋" w:eastAsia="仿宋" w:cs="仿宋"/>
          <w:bCs/>
          <w:highlight w:val="none"/>
        </w:rPr>
        <w:t>19.2本</w:t>
      </w:r>
      <w:r>
        <w:rPr>
          <w:rFonts w:hint="eastAsia" w:ascii="仿宋" w:hAnsi="仿宋" w:eastAsia="仿宋" w:cs="仿宋"/>
          <w:highlight w:val="none"/>
        </w:rPr>
        <w:t>合同一式四份，以中文书写，采购人、供方、采购中心、政府采购监管部门各执一份。</w:t>
      </w:r>
    </w:p>
    <w:p w14:paraId="1DF30B81">
      <w:pPr>
        <w:shd w:val="clear"/>
        <w:spacing w:line="500" w:lineRule="exact"/>
        <w:rPr>
          <w:rFonts w:ascii="仿宋" w:hAnsi="仿宋" w:eastAsia="仿宋" w:cs="仿宋"/>
          <w:b/>
          <w:highlight w:val="none"/>
        </w:rPr>
      </w:pPr>
      <w:r>
        <w:rPr>
          <w:rFonts w:hint="eastAsia" w:ascii="仿宋" w:hAnsi="仿宋" w:eastAsia="仿宋" w:cs="仿宋"/>
          <w:b/>
          <w:highlight w:val="none"/>
        </w:rPr>
        <w:t>20.  争议解决方式</w:t>
      </w:r>
    </w:p>
    <w:p w14:paraId="4B6F2F9F">
      <w:pPr>
        <w:shd w:val="clear"/>
        <w:spacing w:line="500" w:lineRule="exact"/>
        <w:rPr>
          <w:rFonts w:ascii="仿宋" w:hAnsi="仿宋" w:eastAsia="仿宋" w:cs="仿宋"/>
          <w:bCs/>
          <w:highlight w:val="none"/>
        </w:rPr>
      </w:pPr>
      <w:r>
        <w:rPr>
          <w:rFonts w:hint="eastAsia" w:ascii="仿宋" w:hAnsi="仿宋" w:eastAsia="仿宋" w:cs="仿宋"/>
          <w:bCs/>
          <w:highlight w:val="none"/>
        </w:rPr>
        <w:t>20.1 合同</w:t>
      </w:r>
      <w:r>
        <w:rPr>
          <w:rFonts w:hint="eastAsia" w:ascii="仿宋" w:hAnsi="仿宋" w:eastAsia="仿宋" w:cs="仿宋"/>
          <w:highlight w:val="none"/>
        </w:rPr>
        <w:t>实施或与合同有关的一切争议应通过双方协商解决。若协商不成，则向采购人所在地法院提起诉讼</w:t>
      </w:r>
      <w:r>
        <w:rPr>
          <w:rFonts w:hint="eastAsia" w:ascii="仿宋" w:hAnsi="仿宋" w:eastAsia="仿宋" w:cs="仿宋"/>
          <w:bCs/>
          <w:highlight w:val="none"/>
        </w:rPr>
        <w:t>。</w:t>
      </w:r>
    </w:p>
    <w:p w14:paraId="4F6D7920">
      <w:pPr>
        <w:shd w:val="clear"/>
        <w:spacing w:line="500" w:lineRule="exact"/>
        <w:rPr>
          <w:rFonts w:ascii="仿宋" w:hAnsi="仿宋" w:eastAsia="仿宋" w:cs="仿宋"/>
          <w:b/>
          <w:highlight w:val="none"/>
        </w:rPr>
      </w:pPr>
      <w:r>
        <w:rPr>
          <w:rFonts w:hint="eastAsia" w:ascii="仿宋" w:hAnsi="仿宋" w:eastAsia="仿宋" w:cs="仿宋"/>
          <w:b/>
          <w:highlight w:val="none"/>
        </w:rPr>
        <w:t>21．合同修改</w:t>
      </w:r>
    </w:p>
    <w:p w14:paraId="0061D591">
      <w:pPr>
        <w:shd w:val="clear"/>
        <w:spacing w:line="500" w:lineRule="exact"/>
        <w:rPr>
          <w:rFonts w:ascii="仿宋" w:hAnsi="仿宋" w:eastAsia="仿宋" w:cs="仿宋"/>
          <w:highlight w:val="none"/>
        </w:rPr>
      </w:pPr>
      <w:r>
        <w:rPr>
          <w:rFonts w:hint="eastAsia" w:ascii="仿宋" w:hAnsi="仿宋" w:eastAsia="仿宋" w:cs="仿宋"/>
          <w:highlight w:val="none"/>
        </w:rPr>
        <w:t>21.1除双方签署书面修改协议，并成为本合同不可分割的一部分的情况之外，本合同不得有任何变化或修改。</w:t>
      </w:r>
      <w:bookmarkEnd w:id="18"/>
    </w:p>
    <w:p w14:paraId="7153FE17">
      <w:pPr>
        <w:shd w:val="clear"/>
        <w:spacing w:line="500" w:lineRule="exact"/>
        <w:ind w:firstLine="480" w:firstLineChars="200"/>
        <w:rPr>
          <w:rFonts w:ascii="仿宋" w:hAnsi="仿宋" w:eastAsia="仿宋" w:cs="仿宋_GB2312"/>
          <w:highlight w:val="none"/>
        </w:rPr>
      </w:pPr>
    </w:p>
    <w:p w14:paraId="3E479CFC">
      <w:pPr>
        <w:shd w:val="clear"/>
        <w:spacing w:line="500" w:lineRule="exact"/>
        <w:ind w:firstLine="480" w:firstLineChars="200"/>
        <w:rPr>
          <w:rFonts w:ascii="仿宋" w:hAnsi="仿宋" w:eastAsia="仿宋" w:cs="仿宋_GB2312"/>
          <w:highlight w:val="none"/>
        </w:rPr>
      </w:pPr>
    </w:p>
    <w:p w14:paraId="7BFBF76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FF0000"/>
          <w:sz w:val="24"/>
          <w:szCs w:val="24"/>
          <w:highlight w:val="none"/>
          <w:lang w:val="en-US" w:eastAsia="zh-CN"/>
        </w:rPr>
      </w:pPr>
      <w:r>
        <w:rPr>
          <w:rFonts w:hint="eastAsia" w:ascii="仿宋" w:hAnsi="仿宋" w:eastAsia="仿宋" w:cs="仿宋"/>
          <w:color w:val="FF0000"/>
          <w:sz w:val="24"/>
          <w:szCs w:val="24"/>
          <w:highlight w:val="none"/>
        </w:rPr>
        <w:t>以上为合同参考模板，具体以</w:t>
      </w:r>
      <w:r>
        <w:rPr>
          <w:rFonts w:hint="eastAsia" w:ascii="仿宋" w:hAnsi="仿宋" w:eastAsia="仿宋" w:cs="仿宋"/>
          <w:color w:val="FF0000"/>
          <w:sz w:val="24"/>
          <w:szCs w:val="24"/>
          <w:highlight w:val="none"/>
          <w:lang w:val="en-US" w:eastAsia="zh-CN"/>
        </w:rPr>
        <w:t>实际签订</w:t>
      </w:r>
      <w:r>
        <w:rPr>
          <w:rFonts w:hint="eastAsia" w:ascii="仿宋" w:hAnsi="仿宋" w:eastAsia="仿宋" w:cs="仿宋"/>
          <w:color w:val="FF0000"/>
          <w:sz w:val="24"/>
          <w:szCs w:val="24"/>
          <w:highlight w:val="none"/>
        </w:rPr>
        <w:t>为准。</w:t>
      </w:r>
    </w:p>
    <w:p w14:paraId="29C376D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sz w:val="24"/>
          <w:szCs w:val="24"/>
          <w:highlight w:val="none"/>
          <w:lang w:val="en-US" w:eastAsia="zh-CN"/>
        </w:rPr>
      </w:pPr>
    </w:p>
    <w:p w14:paraId="74A6B329">
      <w:pPr>
        <w:shd w:val="clear"/>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sz w:val="24"/>
          <w:szCs w:val="24"/>
          <w:highlight w:val="none"/>
          <w:lang w:val="en-US" w:eastAsia="zh-CN"/>
        </w:rPr>
        <w:br w:type="page"/>
      </w:r>
    </w:p>
    <w:p w14:paraId="3BBF059F">
      <w:pPr>
        <w:pStyle w:val="3"/>
        <w:numPr>
          <w:ilvl w:val="0"/>
          <w:numId w:val="4"/>
        </w:numPr>
        <w:shd w:val="clear"/>
        <w:bidi w:val="0"/>
        <w:jc w:val="center"/>
        <w:rPr>
          <w:rFonts w:hint="eastAsia" w:ascii="方正小标宋简体" w:hAnsi="方正小标宋简体" w:eastAsia="方正小标宋简体" w:cs="方正小标宋简体"/>
          <w:sz w:val="32"/>
          <w:szCs w:val="32"/>
          <w:highlight w:val="none"/>
          <w:lang w:val="en-US" w:eastAsia="zh-CN"/>
        </w:rPr>
      </w:pPr>
      <w:bookmarkStart w:id="19" w:name="_Toc8038"/>
      <w:r>
        <w:rPr>
          <w:rFonts w:hint="eastAsia" w:ascii="方正小标宋简体" w:hAnsi="方正小标宋简体" w:eastAsia="方正小标宋简体" w:cs="方正小标宋简体"/>
          <w:sz w:val="32"/>
          <w:szCs w:val="32"/>
          <w:highlight w:val="none"/>
          <w:lang w:val="en-US" w:eastAsia="zh-CN"/>
        </w:rPr>
        <w:t>采购需求</w:t>
      </w:r>
      <w:bookmarkEnd w:id="19"/>
    </w:p>
    <w:p w14:paraId="2193503B">
      <w:pPr>
        <w:ind w:firstLine="480" w:firstLineChars="20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随着《中华人民共和国网络安全法》《中华人民共和国数据安全法》《关键信息基础设施安全保护条例》《网络数据安全管理条例》《新疆维吾尔自治区网络安全管理条例》等相关法律法规的相继出台，对关键信息基础设施的网络安全提出了明确的要求。自治区公共资源交易中心（以下简称“中心”）作为重要的公共服务平台，其网络系统的安全性直接关系到公共资源交易的公平、公正以及数据的安全性。当前，网络安全攻击手段日益复杂且智能化，新威胁不断出现。通过网络安全风险评估，能够及时发现网络安全隐患，保护公民、企业和国家的重要数据资产，也是保障国家安全及社会稳定、公共利益的需要。</w:t>
      </w:r>
    </w:p>
    <w:p w14:paraId="3E0157BB">
      <w:pPr>
        <w:ind w:firstLine="480" w:firstLineChars="20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根据《中华人民共和国网络安全法》中“第三章网络运行安全 第三十八条关键信息基础设施的运营者应当自行或者委托网络安全服务机构对其网络的安全性和可能存在的风险每年至少进行一次检测评估”。《关键信息基础设施安全保护条例》中“第三章运营者责任义务 第十七条运营者应当自行或者委托网络安全服务机构对关键信息基础设施每年至少进行一次网络安全检测和风险评估，对发现的安全问题及时整改，并按照保护工作部门要求报送情况”。《网络数据安全管理条例》中“第四章重要数据安全 第三十三条重要数据的处理者应当每年度对其网络数据处理活动开展风险评估。”《新疆维吾尔自治区网络安全管理条例》第二十四条 “关键信息基础设施的运营者应当对网络的安全性自行检测，并且委托网络安全服务机构对其网络的安全性每年至少进行一次风险评估，对发现的问题应当及时整改”等相关条款要求实施网络安全风险评估服务项目。</w:t>
      </w:r>
      <w:bookmarkStart w:id="20" w:name="_Toc534816637"/>
      <w:bookmarkStart w:id="21" w:name="_Toc534725608"/>
    </w:p>
    <w:bookmarkEnd w:id="20"/>
    <w:bookmarkEnd w:id="21"/>
    <w:p w14:paraId="221C491C">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82" w:firstLineChars="200"/>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（一）采购范围与服务内容</w:t>
      </w:r>
    </w:p>
    <w:p w14:paraId="4DBAD947">
      <w:pPr>
        <w:pStyle w:val="2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方正仿宋_GB2312" w:hAnsi="方正仿宋_GB2312" w:eastAsia="方正仿宋_GB2312" w:cs="方正仿宋_GB2312"/>
          <w:color w:val="auto"/>
          <w:kern w:val="2"/>
          <w:sz w:val="24"/>
          <w:szCs w:val="21"/>
          <w:highlight w:val="none"/>
          <w:lang w:val="en-US" w:eastAsia="zh-CN" w:bidi="ar-SA"/>
        </w:rPr>
      </w:pPr>
      <w:r>
        <w:rPr>
          <w:rFonts w:hint="eastAsia" w:ascii="方正仿宋_GB2312" w:hAnsi="方正仿宋_GB2312" w:eastAsia="方正仿宋_GB2312" w:cs="方正仿宋_GB2312"/>
          <w:color w:val="auto"/>
          <w:kern w:val="2"/>
          <w:sz w:val="24"/>
          <w:szCs w:val="21"/>
          <w:highlight w:val="none"/>
          <w:lang w:val="en-US" w:eastAsia="zh-CN" w:bidi="ar-SA"/>
        </w:rPr>
        <w:t>组织对部署于中心在用云网资源环境中的公共资源交易平台、数据交换中心、服务效能管理平台、工程建设招投标交易系统、财务内控一体化系统、数字证书实体CA互认平台、见证服务平台、公共服务平台、专家评审劳务费及场地费管理系统、短信发送服务平台、数据汇集检测监测平台、智能存储服务平台、专家库/主体库、数字证书移动CA互认平台14个系统及办公网（电子政务外网）、WiFi接入网（互联网出口）2个办公接入网络（以下简称“16项内容”），开展常态化网络安全风险评估服务，提供网络安全检测、网络安全风险评估、网络流量及日志安全分析、网络安全培训及配套技术支撑五大类服务。配套技术支撑服务包括：提供两个主流品牌的商用漏洞扫描工具服务，用于识别操作系统、数据库、中间件、网络及安全设备等资产的脆弱性；提供定制化开发部署流量监控平台服务，实现对关键业务服务器流量与安全状态的实时采集与可用性风险监测；提供定制开发基于蜜罐系统的部署服务，增强对未知威胁的感知、分析与溯源能力，支撑项目各项安全服务高效落地，项目配备2名驻场服务人员。</w:t>
      </w:r>
    </w:p>
    <w:p w14:paraId="4FCB85AD">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82" w:firstLineChars="200"/>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（二）服务项目清单</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091"/>
        <w:gridCol w:w="2333"/>
        <w:gridCol w:w="1520"/>
        <w:gridCol w:w="1716"/>
      </w:tblGrid>
      <w:tr w14:paraId="2FF0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4" w:type="pct"/>
            <w:noWrap w:val="0"/>
            <w:vAlign w:val="center"/>
          </w:tcPr>
          <w:p w14:paraId="68515AFF">
            <w:pPr>
              <w:spacing w:line="240" w:lineRule="auto"/>
              <w:jc w:val="center"/>
              <w:rPr>
                <w:rFonts w:hint="eastAsia" w:ascii="方正仿宋_GB2312" w:hAnsi="方正仿宋_GB2312" w:eastAsia="方正仿宋_GB2312" w:cs="方正仿宋_GB2312"/>
                <w:b/>
                <w:bCs w:val="0"/>
                <w:sz w:val="24"/>
                <w:highlight w:val="none"/>
                <w:lang w:val="en-US" w:eastAsia="zh-CN"/>
              </w:rPr>
            </w:pPr>
            <w:r>
              <w:rPr>
                <w:rFonts w:hint="eastAsia" w:ascii="方正仿宋_GB2312" w:hAnsi="方正仿宋_GB2312" w:eastAsia="方正仿宋_GB2312" w:cs="方正仿宋_GB2312"/>
                <w:b/>
                <w:bCs w:val="0"/>
                <w:sz w:val="24"/>
                <w:highlight w:val="none"/>
                <w:lang w:val="en-US" w:eastAsia="zh-CN"/>
              </w:rPr>
              <w:t>序号</w:t>
            </w:r>
          </w:p>
        </w:tc>
        <w:tc>
          <w:tcPr>
            <w:tcW w:w="1227" w:type="pct"/>
            <w:noWrap w:val="0"/>
            <w:vAlign w:val="center"/>
          </w:tcPr>
          <w:p w14:paraId="1EC0BEBB">
            <w:pPr>
              <w:spacing w:line="240" w:lineRule="auto"/>
              <w:jc w:val="center"/>
              <w:rPr>
                <w:rFonts w:hint="eastAsia" w:ascii="方正仿宋_GB2312" w:hAnsi="方正仿宋_GB2312" w:eastAsia="方正仿宋_GB2312" w:cs="方正仿宋_GB2312"/>
                <w:b/>
                <w:bCs w:val="0"/>
                <w:sz w:val="24"/>
                <w:highlight w:val="none"/>
                <w:lang w:val="en-US" w:eastAsia="zh-CN"/>
              </w:rPr>
            </w:pPr>
            <w:r>
              <w:rPr>
                <w:rFonts w:hint="eastAsia" w:ascii="方正仿宋_GB2312" w:hAnsi="方正仿宋_GB2312" w:eastAsia="方正仿宋_GB2312" w:cs="方正仿宋_GB2312"/>
                <w:b/>
                <w:bCs w:val="0"/>
                <w:sz w:val="24"/>
                <w:highlight w:val="none"/>
                <w:lang w:val="en-US" w:eastAsia="zh-CN"/>
              </w:rPr>
              <w:t>采购计划编号</w:t>
            </w:r>
          </w:p>
        </w:tc>
        <w:tc>
          <w:tcPr>
            <w:tcW w:w="1369" w:type="pct"/>
            <w:noWrap w:val="0"/>
            <w:vAlign w:val="center"/>
          </w:tcPr>
          <w:p w14:paraId="441A0A2A">
            <w:pPr>
              <w:spacing w:line="240" w:lineRule="auto"/>
              <w:jc w:val="center"/>
              <w:rPr>
                <w:rFonts w:hint="eastAsia" w:ascii="方正仿宋_GB2312" w:hAnsi="方正仿宋_GB2312" w:eastAsia="方正仿宋_GB2312" w:cs="方正仿宋_GB2312"/>
                <w:b/>
                <w:bCs w:val="0"/>
                <w:sz w:val="24"/>
                <w:highlight w:val="none"/>
                <w:lang w:val="en-US" w:eastAsia="zh-CN"/>
              </w:rPr>
            </w:pPr>
            <w:r>
              <w:rPr>
                <w:rFonts w:hint="eastAsia" w:ascii="方正仿宋_GB2312" w:hAnsi="方正仿宋_GB2312" w:eastAsia="方正仿宋_GB2312" w:cs="方正仿宋_GB2312"/>
                <w:b/>
                <w:bCs w:val="0"/>
                <w:sz w:val="24"/>
                <w:highlight w:val="none"/>
                <w:lang w:val="en-US" w:eastAsia="zh-CN"/>
              </w:rPr>
              <w:t>服务名称</w:t>
            </w:r>
          </w:p>
        </w:tc>
        <w:tc>
          <w:tcPr>
            <w:tcW w:w="892" w:type="pct"/>
            <w:noWrap w:val="0"/>
            <w:vAlign w:val="center"/>
          </w:tcPr>
          <w:p w14:paraId="6E207A06">
            <w:pPr>
              <w:spacing w:line="240" w:lineRule="auto"/>
              <w:jc w:val="center"/>
              <w:rPr>
                <w:rFonts w:hint="eastAsia" w:ascii="方正仿宋_GB2312" w:hAnsi="方正仿宋_GB2312" w:eastAsia="方正仿宋_GB2312" w:cs="方正仿宋_GB2312"/>
                <w:b/>
                <w:bCs w:val="0"/>
                <w:sz w:val="24"/>
                <w:highlight w:val="none"/>
                <w:lang w:val="en-US" w:eastAsia="zh-CN"/>
              </w:rPr>
            </w:pPr>
            <w:r>
              <w:rPr>
                <w:rFonts w:hint="eastAsia" w:ascii="方正仿宋_GB2312" w:hAnsi="方正仿宋_GB2312" w:eastAsia="方正仿宋_GB2312" w:cs="方正仿宋_GB2312"/>
                <w:b/>
                <w:bCs w:val="0"/>
                <w:sz w:val="24"/>
                <w:highlight w:val="none"/>
                <w:lang w:val="en-US" w:eastAsia="zh-CN"/>
              </w:rPr>
              <w:t>预算金额</w:t>
            </w:r>
          </w:p>
        </w:tc>
        <w:tc>
          <w:tcPr>
            <w:tcW w:w="1006" w:type="pct"/>
            <w:noWrap w:val="0"/>
            <w:vAlign w:val="center"/>
          </w:tcPr>
          <w:p w14:paraId="58CCC4B8">
            <w:pPr>
              <w:spacing w:line="240" w:lineRule="auto"/>
              <w:jc w:val="center"/>
              <w:rPr>
                <w:rFonts w:hint="eastAsia" w:ascii="方正仿宋_GB2312" w:hAnsi="方正仿宋_GB2312" w:eastAsia="方正仿宋_GB2312" w:cs="方正仿宋_GB2312"/>
                <w:b/>
                <w:bCs w:val="0"/>
                <w:sz w:val="24"/>
                <w:highlight w:val="none"/>
                <w:lang w:val="en-US" w:eastAsia="zh-CN"/>
              </w:rPr>
            </w:pPr>
            <w:r>
              <w:rPr>
                <w:rFonts w:hint="eastAsia" w:ascii="方正仿宋_GB2312" w:hAnsi="方正仿宋_GB2312" w:eastAsia="方正仿宋_GB2312" w:cs="方正仿宋_GB2312"/>
                <w:b/>
                <w:bCs w:val="0"/>
                <w:sz w:val="24"/>
                <w:highlight w:val="none"/>
                <w:lang w:val="en-US" w:eastAsia="zh-CN"/>
              </w:rPr>
              <w:t>所属行业</w:t>
            </w:r>
          </w:p>
        </w:tc>
      </w:tr>
      <w:tr w14:paraId="3FF9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04" w:type="pct"/>
            <w:noWrap w:val="0"/>
            <w:vAlign w:val="center"/>
          </w:tcPr>
          <w:p w14:paraId="29E3D7EF">
            <w:pPr>
              <w:spacing w:line="240" w:lineRule="auto"/>
              <w:jc w:val="center"/>
              <w:rPr>
                <w:rFonts w:hint="eastAsia" w:ascii="方正仿宋_GB2312" w:hAnsi="方正仿宋_GB2312" w:eastAsia="方正仿宋_GB2312" w:cs="方正仿宋_GB2312"/>
                <w:b w:val="0"/>
                <w:bCs/>
                <w:sz w:val="24"/>
                <w:highlight w:val="none"/>
                <w:lang w:val="en-US" w:eastAsia="zh-CN"/>
              </w:rPr>
            </w:pPr>
            <w:r>
              <w:rPr>
                <w:rFonts w:hint="eastAsia" w:ascii="方正仿宋_GB2312" w:hAnsi="方正仿宋_GB2312" w:eastAsia="方正仿宋_GB2312" w:cs="方正仿宋_GB2312"/>
                <w:b w:val="0"/>
                <w:bCs/>
                <w:sz w:val="24"/>
                <w:highlight w:val="none"/>
                <w:lang w:val="en-US" w:eastAsia="zh-CN"/>
              </w:rPr>
              <w:t>1</w:t>
            </w:r>
          </w:p>
        </w:tc>
        <w:tc>
          <w:tcPr>
            <w:tcW w:w="1227" w:type="pct"/>
            <w:noWrap w:val="0"/>
            <w:vAlign w:val="center"/>
          </w:tcPr>
          <w:p w14:paraId="2F18C375">
            <w:pPr>
              <w:spacing w:line="240" w:lineRule="auto"/>
              <w:jc w:val="center"/>
              <w:rPr>
                <w:rFonts w:hint="eastAsia" w:ascii="方正仿宋_GB2312" w:hAnsi="方正仿宋_GB2312" w:eastAsia="方正仿宋_GB2312" w:cs="方正仿宋_GB2312"/>
                <w:b w:val="0"/>
                <w:bCs/>
                <w:sz w:val="24"/>
                <w:highlight w:val="none"/>
                <w:lang w:val="en-US" w:eastAsia="zh-CN"/>
              </w:rPr>
            </w:pPr>
            <w:r>
              <w:rPr>
                <w:rFonts w:hint="eastAsia" w:ascii="方正仿宋_GB2312" w:hAnsi="方正仿宋_GB2312" w:eastAsia="方正仿宋_GB2312" w:cs="方正仿宋_GB2312"/>
                <w:b w:val="0"/>
                <w:bCs/>
                <w:sz w:val="24"/>
                <w:highlight w:val="none"/>
                <w:lang w:val="en-US" w:eastAsia="zh-CN"/>
              </w:rPr>
              <w:t>[2026]4702号</w:t>
            </w:r>
          </w:p>
        </w:tc>
        <w:tc>
          <w:tcPr>
            <w:tcW w:w="1369" w:type="pct"/>
            <w:noWrap w:val="0"/>
            <w:vAlign w:val="center"/>
          </w:tcPr>
          <w:p w14:paraId="44BD5516">
            <w:pPr>
              <w:spacing w:line="240" w:lineRule="auto"/>
              <w:jc w:val="center"/>
              <w:rPr>
                <w:rFonts w:hint="eastAsia" w:ascii="方正仿宋_GB2312" w:hAnsi="方正仿宋_GB2312" w:eastAsia="方正仿宋_GB2312" w:cs="方正仿宋_GB2312"/>
                <w:b w:val="0"/>
                <w:bCs/>
                <w:sz w:val="24"/>
                <w:highlight w:val="none"/>
                <w:lang w:val="en-US" w:eastAsia="zh-CN"/>
              </w:rPr>
            </w:pPr>
            <w:r>
              <w:rPr>
                <w:rFonts w:hint="eastAsia" w:ascii="方正仿宋_GB2312" w:hAnsi="方正仿宋_GB2312" w:eastAsia="方正仿宋_GB2312" w:cs="方正仿宋_GB2312"/>
                <w:b w:val="0"/>
                <w:bCs/>
                <w:sz w:val="24"/>
                <w:highlight w:val="none"/>
                <w:lang w:val="en-US" w:eastAsia="zh-CN"/>
              </w:rPr>
              <w:t>网络安全风险评估服务项目</w:t>
            </w:r>
          </w:p>
        </w:tc>
        <w:tc>
          <w:tcPr>
            <w:tcW w:w="892" w:type="pct"/>
            <w:noWrap w:val="0"/>
            <w:vAlign w:val="center"/>
          </w:tcPr>
          <w:p w14:paraId="2B5853DF">
            <w:pPr>
              <w:spacing w:line="240" w:lineRule="auto"/>
              <w:jc w:val="center"/>
              <w:rPr>
                <w:rFonts w:hint="eastAsia" w:ascii="方正仿宋_GB2312" w:hAnsi="方正仿宋_GB2312" w:eastAsia="方正仿宋_GB2312" w:cs="方正仿宋_GB2312"/>
                <w:b w:val="0"/>
                <w:bCs/>
                <w:sz w:val="24"/>
                <w:highlight w:val="none"/>
                <w:lang w:val="en-US" w:eastAsia="zh-CN"/>
              </w:rPr>
            </w:pPr>
            <w:r>
              <w:rPr>
                <w:rFonts w:hint="eastAsia" w:ascii="方正仿宋_GB2312" w:hAnsi="方正仿宋_GB2312" w:eastAsia="方正仿宋_GB2312" w:cs="方正仿宋_GB2312"/>
                <w:b w:val="0"/>
                <w:bCs/>
                <w:sz w:val="24"/>
                <w:highlight w:val="none"/>
                <w:lang w:val="en-US" w:eastAsia="zh-CN"/>
              </w:rPr>
              <w:t>162万元</w:t>
            </w:r>
          </w:p>
        </w:tc>
        <w:tc>
          <w:tcPr>
            <w:tcW w:w="1006" w:type="pct"/>
            <w:noWrap w:val="0"/>
            <w:vAlign w:val="center"/>
          </w:tcPr>
          <w:p w14:paraId="34D6BDDB">
            <w:pPr>
              <w:spacing w:line="240" w:lineRule="auto"/>
              <w:jc w:val="center"/>
              <w:rPr>
                <w:rFonts w:hint="eastAsia" w:ascii="方正仿宋_GB2312" w:hAnsi="方正仿宋_GB2312" w:eastAsia="方正仿宋_GB2312" w:cs="方正仿宋_GB2312"/>
                <w:b w:val="0"/>
                <w:bCs/>
                <w:sz w:val="24"/>
                <w:highlight w:val="none"/>
                <w:lang w:val="en-US" w:eastAsia="zh-CN"/>
              </w:rPr>
            </w:pPr>
            <w:r>
              <w:rPr>
                <w:rFonts w:hint="eastAsia" w:ascii="方正仿宋_GB2312" w:hAnsi="方正仿宋_GB2312" w:eastAsia="方正仿宋_GB2312" w:cs="方正仿宋_GB2312"/>
                <w:b w:val="0"/>
                <w:bCs/>
                <w:sz w:val="24"/>
                <w:highlight w:val="none"/>
                <w:lang w:val="en-US" w:eastAsia="zh-CN"/>
              </w:rPr>
              <w:t>软件与信息技术服务业</w:t>
            </w:r>
          </w:p>
        </w:tc>
      </w:tr>
    </w:tbl>
    <w:p w14:paraId="520BC029">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82" w:firstLineChars="200"/>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（三）项目技术要求</w:t>
      </w:r>
    </w:p>
    <w:p w14:paraId="4C765C6E">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（一）网络安全检测服务</w:t>
      </w:r>
    </w:p>
    <w:p w14:paraId="5FA765F2">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为全面、动态掌握中心在网信息资产底数，运用网络扫描、服务探测等技术手段，开展互联网暴露面及内部网络资产开展常态化主动探测，优先选择具有同类软件定制开发能力，深入核查资产存活状态、开放端口、服务类型及系统信息，识别并清理未登记、违规接入，杜绝资产管理盲区。</w:t>
      </w:r>
    </w:p>
    <w:p w14:paraId="51912AE4">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服务频率：定期汇总更新，形成年度资产清单。</w:t>
      </w:r>
    </w:p>
    <w:p w14:paraId="56C611F0">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本工作交付物：《中心在网信息资产清单（年度汇总）》《互联网端口资产清单（年度汇总》</w:t>
      </w:r>
    </w:p>
    <w:p w14:paraId="75D729BF">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网络安全运行优化建议服务：结合实际运行环境与安全防护需求，围绕网络拓扑设计合理性、安全域划分有效性、边界防护强度等方面，排查安全策略管理中存在的薄弱环节，包括但不限于：策略缺失、规则冗余、过期未废止、权限过度开放、访问控制粒度不足等问题。基于评估发现，提出针对性强、可操作、贴合业务场景的优化建议，助力提升安全体系的合规性、健壮性与运维效率。</w:t>
      </w:r>
    </w:p>
    <w:p w14:paraId="7AEB5A17">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服务频率：编制并提交正式《网络安全运行优化建议报告》，全年不少于12份。</w:t>
      </w:r>
    </w:p>
    <w:p w14:paraId="1C626B14">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本工作交付物：《网络安全运行优化建议报告》</w:t>
      </w:r>
    </w:p>
    <w:p w14:paraId="13D55419">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3.开展“日常+专项”相结合的安全检查。</w:t>
      </w:r>
    </w:p>
    <w:p w14:paraId="69F60BA3">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常态化检查：每日进行自动化与人工结合的安全巡检，优先选择具有定制开发同类软件能力，可覆盖主机配置、中间件、数据库、Web应用、开放端口等层面，及时发现新增或复发风险；</w:t>
      </w:r>
    </w:p>
    <w:p w14:paraId="14913E43">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上线前检查：对拟上线或重大变更的功能模块，按需开展专项安全检测，重点识别主机漏洞、应用逻辑缺陷、数据库注入、身份认证绕过等隐患，并在责任单位完成整改加固后组织复测验证。</w:t>
      </w:r>
    </w:p>
    <w:p w14:paraId="4BFE11D0">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w:t>
      </w:r>
    </w:p>
    <w:p w14:paraId="52AB2ACE">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常态化网络安全检查：汇总形成《网络安全检查报告》全年52份；</w:t>
      </w:r>
    </w:p>
    <w:p w14:paraId="3D2B5F01">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上线前网络安全检查：按需开展，全年不少于50次；</w:t>
      </w:r>
    </w:p>
    <w:p w14:paraId="0C6F2A4F">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网络安全漏洞台账：实时动态更新，年底形成年度汇总版。</w:t>
      </w:r>
    </w:p>
    <w:p w14:paraId="50156706">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本工作交付物：《系统上线前网络安全检查情况说明》《系统上线前网络安全检查报告》《系统上线前网络安全检查接口清单》《网络安全检查报告》《网络安全漏洞台账（年度汇总）》</w:t>
      </w:r>
    </w:p>
    <w:p w14:paraId="1B79976F">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4.提供7×24小时全天候安全应急响应与专业安全咨询服务。在接到需求后，通过“本地驻场+远程协同”相结合的方式快速响应，确保高效、处置安全事件。如发生突发紧急安全事件，立即指派具备CISP-PTE、CISP-CISE或同等资质的网络安全工程师赶赴现场，开展应急处置、攻击溯源、影响评估、系统恢复及加固支持，最大限度降低业务影响与数据损失。提供月度安全咨询服务，涵盖安全策略优化、最新漏洞与威胁预警解读、安全合规建议、安全体系建设指导等。</w:t>
      </w:r>
    </w:p>
    <w:p w14:paraId="0E0E4BFD">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w:t>
      </w:r>
    </w:p>
    <w:p w14:paraId="5008D19A">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安全应急响应：按需提供；</w:t>
      </w:r>
    </w:p>
    <w:p w14:paraId="741A17A0">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安全咨询服务：全年共12次。</w:t>
      </w:r>
    </w:p>
    <w:p w14:paraId="2FA7E4CF">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本工作交付物：《应急响应处置报告》、《月度安全咨询报告》</w:t>
      </w:r>
    </w:p>
    <w:p w14:paraId="4CA3FD58">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5.在国家法定节假日、全国“两会”、自治区重大会议及活动、肉孜节、古尔邦节、重大项目开评标等重要时期，提供专项网络安全重保服务。依托流量监控平台，对关键业务系统实施重点监控，通过7×24小时远程值守+必要时现场人工值班相结合的方式，开展实时日志分析、异常行为研判、漏洞风险排查及应急事件处置。</w:t>
      </w:r>
    </w:p>
    <w:p w14:paraId="247396B4">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服务频率：全年不少于10个重点保障时段（包括元旦、春节、全国“两会”、清明、劳动节、端午、肉孜节、古尔邦节、中秋、国庆等）。</w:t>
      </w:r>
    </w:p>
    <w:p w14:paraId="6F3FA818">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本工作交付物：《网络安全保障值班安排表》《网络安全保障总结报告》</w:t>
      </w:r>
    </w:p>
    <w:p w14:paraId="78F88DE7">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6.定期开展网络安全信息汇总、分析与发布工作。涵盖监测发现的高危漏洞（如CVE公告、在野利用风险）、典型攻击事件、资产暴露面变化、风险趋势研判等，并结合中心实际业务场景，提出针对性强、可操作的安全防护建议与整改指引，推动风险识别—通报—整改—验证的闭环管理。</w:t>
      </w:r>
    </w:p>
    <w:p w14:paraId="7BF1EF2F">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服务频率：《网络与信息安全简报》全年共12期；《网络安全预警通报》：全年共52期。</w:t>
      </w:r>
    </w:p>
    <w:p w14:paraId="232C9F89">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本工作交付物：《网络与信息安全简报》《网络安全预警通报》</w:t>
      </w:r>
    </w:p>
    <w:p w14:paraId="100CD104">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（二）网络安全风险评估</w:t>
      </w:r>
    </w:p>
    <w:p w14:paraId="3BEC40E1">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开展年度网络安全风险评估服务。对信息资产价值、面临威胁、脆弱性（包括技术漏洞与管理短板）以及现有安全控制措施的有效性进行综合分析。评估覆盖网络架构、主机安全、应用安全等维度，根据实际业务场景，识别高风险环节，提出可落地、分优先级的整改建议与加固路径，切实提升整体安全防护水平和风险应对能力。</w:t>
      </w:r>
    </w:p>
    <w:p w14:paraId="6A69DD44">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服务频率：全年开展1次全面网络安全风险评估。</w:t>
      </w:r>
    </w:p>
    <w:p w14:paraId="204A7732">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本工作交付物：《网络安全风险评估实施方案》《网络安全风险评估报告》</w:t>
      </w:r>
    </w:p>
    <w:p w14:paraId="38008059">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以人工渗透为主、自动化工具为辅，开展安全测试，模拟真实攻击者视角，全面探测系统在设计、开发与部署环节存在的安全风险。测试严格遵循行业规范与最小影响原则，覆盖信息收集、端口与服务识别、Web应用漏洞利用（如SQL注入、XSS、文件上传、越权访问等）、身份认证与会话管理缺陷、中间件及数据库提权、客户端攻击、社会工程辅助测试等多种技术手段，重点验证黑客可能利用的入侵路径和业务逻辑漏洞。</w:t>
      </w:r>
    </w:p>
    <w:p w14:paraId="4093DB0D">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服务频率：全年共4次；</w:t>
      </w:r>
    </w:p>
    <w:p w14:paraId="631DE57E">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如遇重大版本更新、新系统上线或重要保障期，可按需增加专项测试。</w:t>
      </w:r>
    </w:p>
    <w:p w14:paraId="4F28FC1C">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本工作交付物：《渗透测试报告》</w:t>
      </w:r>
    </w:p>
    <w:p w14:paraId="52F27996">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（三）网络流量及日志安全分析服务</w:t>
      </w:r>
    </w:p>
    <w:p w14:paraId="67ACD8C2">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为保障主中心私有云上关键业务系统的网络稳定性与安全性，提供网络流量实时监测分析服务。优先选择具有同类软件研发能力，实现对核心业务链路的流量吞吐、协议分布、会话行为、异常连接进行持续采集与智能分析，及时识别潜在安全威胁，并触发分级预警，支撑快速响应与处置，有效防范业务中断风险。</w:t>
      </w:r>
    </w:p>
    <w:p w14:paraId="31784FE9">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服务频率：全年共12份。</w:t>
      </w:r>
    </w:p>
    <w:p w14:paraId="282F6CE9">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本工作交付物：《网络流量监测预警分析报告》</w:t>
      </w:r>
    </w:p>
    <w:p w14:paraId="087F2724">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（四）网络安全培训服务</w:t>
      </w:r>
    </w:p>
    <w:p w14:paraId="01F3B117">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为切实提升中心运维及技术人员的网络安全意识与实战能力，结合现有人员技术基础与业务系统安全需求，开展定制化网络安全技能培训。培训内容涵盖网络安全基础知识、主流攻防技术原理、安全事件应急响应流程等内容，采用“理论讲解+实操演练+典型案例复盘”相结合的方式，重点强化对16项内容常见风险的识别、处置与防范能力，推动安全能力从“被动响应”向“主动防御”转变。</w:t>
      </w:r>
    </w:p>
    <w:p w14:paraId="61E2583B">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服务频率：全年组织开展2次。</w:t>
      </w:r>
    </w:p>
    <w:p w14:paraId="38324C38">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本工作交付物：《网络安全技术培训讲义》《网络安全技术培训报告》</w:t>
      </w:r>
    </w:p>
    <w:p w14:paraId="56790DBB">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（五）网络安全风险评估支撑服务</w:t>
      </w:r>
    </w:p>
    <w:p w14:paraId="392A8813">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提供漏洞扫描工具服务：为支撑中心网络安全风险评估工作，提供两个主流品牌的商用漏洞扫描工具服务，确保脆弱性识别的全面性与准确性。工具支持对操作系统、数据库、中间件、网络设备、安全设备及常用应用软件等主流信息系统组件进行自动化检测，覆盖CVE、CNNVD、CNVD等国内外权威漏洞库，并基于国际通用的CVSS（通用漏洞评分系统）标准进行风险量化评估，有效支撑风险评估中“全面脆弱点发现”环节的技术需求。</w:t>
      </w:r>
    </w:p>
    <w:p w14:paraId="25FEC92F">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服务频率：工具平台全年可用，按需调用；</w:t>
      </w:r>
    </w:p>
    <w:p w14:paraId="40224371">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本工作交付物：《漏洞扫描系统界面功能截图》</w:t>
      </w:r>
    </w:p>
    <w:p w14:paraId="762FEA66">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 定制开发部署安全运营平台</w:t>
      </w:r>
    </w:p>
    <w:p w14:paraId="24D54E3D">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为提升网络安全风险评估的全面性与准确性，定制开发并部署流量监控平台，作为风险评估工作的核心技术支撑工具。通过Agent实时采集服务器的流量数据和安全状态数据，动态监测因资源过载或异常行为引发的服务中断风险，并在发现异常时实时推送告警，补充风险评估可用性风险分析。</w:t>
      </w:r>
    </w:p>
    <w:p w14:paraId="767BEDC8">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服务频率：平台7×24小时持续运行；出具《流量监控平台运行报告》，全年共12份。</w:t>
      </w:r>
    </w:p>
    <w:p w14:paraId="24BA3238">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本工作交付物：《流量监控平台部署及配置文档》《流量监控平台运行报告》</w:t>
      </w:r>
    </w:p>
    <w:p w14:paraId="4C335A9E">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3.部署蜜罐系统</w:t>
      </w:r>
    </w:p>
    <w:p w14:paraId="5267BFED">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为增强网络安全检测能力，部署蜜罐系统，针对中心业务实际，定制开发模拟真实业务环境中的资产（如服务器、数据库、中间件），诱捕并分析外部攻击行为，提升对未知威胁的感知与溯源能力，作为网络安全检测服务和网络流量日志安全分析的技术支撑，有效识别潜在攻击路径，提供详细的攻击者行为分析。</w:t>
      </w:r>
    </w:p>
    <w:p w14:paraId="56C98513">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服务频率：系统7×24小时持续运行；出具《蜜罐系统运行与威胁监测周报》，全年52份。</w:t>
      </w:r>
    </w:p>
    <w:p w14:paraId="2E5B91F1">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本工作交付物：《蜜罐系统部署方案》《蜜罐系统运行与威胁监测周报》。</w:t>
      </w:r>
    </w:p>
    <w:p w14:paraId="6E064D46">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项目需要按国家及自治区相关文件要求全面国产化适配，并充分考虑融入中心同步实施的“公共资源交易平台能力提升项目”所产生的建设内容及时序调整。</w:t>
      </w:r>
    </w:p>
    <w:p w14:paraId="66857F3C">
      <w:pPr>
        <w:pStyle w:val="7"/>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4.科创课题申报</w:t>
      </w:r>
    </w:p>
    <w:p w14:paraId="79BF9BEE">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供应商须具备网络安全软件开发能力及科创课题研究申报能力，协助业主方申报自治区网信办、自治区科技厅等各类科技创新课题。</w:t>
      </w:r>
    </w:p>
    <w:p w14:paraId="7AD8D770">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服务频率：每年至少一次；</w:t>
      </w:r>
    </w:p>
    <w:p w14:paraId="30CA74BA">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本工作交付物：《XX课题申报书》。</w:t>
      </w:r>
    </w:p>
    <w:p w14:paraId="42434FB1">
      <w:pPr>
        <w:pStyle w:val="7"/>
        <w:numPr>
          <w:ilvl w:val="0"/>
          <w:numId w:val="11"/>
        </w:numPr>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服务团队要求</w:t>
      </w:r>
    </w:p>
    <w:p w14:paraId="597A9549">
      <w:pPr>
        <w:pStyle w:val="7"/>
        <w:numPr>
          <w:ilvl w:val="0"/>
          <w:numId w:val="0"/>
        </w:numPr>
        <w:ind w:left="420" w:leftChars="0" w:right="0" w:right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投标人需提供8人服务团队，其中包含1名项目经理、2名驻场人员、5名二线支撑人员。</w:t>
      </w:r>
    </w:p>
    <w:p w14:paraId="2B6BA5E7">
      <w:pPr>
        <w:pStyle w:val="7"/>
        <w:numPr>
          <w:ilvl w:val="0"/>
          <w:numId w:val="0"/>
        </w:numPr>
        <w:ind w:left="420" w:leftChars="0" w:right="0" w:rightChars="0"/>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项目经理需具备国家软考的《信息系统项目管理师》证书；</w:t>
      </w:r>
    </w:p>
    <w:p w14:paraId="521AF546">
      <w:pPr>
        <w:pStyle w:val="7"/>
        <w:numPr>
          <w:ilvl w:val="0"/>
          <w:numId w:val="0"/>
        </w:numPr>
        <w:ind w:left="420" w:leftChars="0" w:right="0" w:rightChars="0"/>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服务团队人员需具备CISP证书、CISP-PTE证书、CISP-PTS证书、CISI证书等应对采购需求的资质证明。</w:t>
      </w:r>
    </w:p>
    <w:p w14:paraId="32E80176">
      <w:pPr>
        <w:pStyle w:val="5"/>
        <w:numPr>
          <w:ilvl w:val="2"/>
          <w:numId w:val="0"/>
        </w:numPr>
        <w:tabs>
          <w:tab w:val="left" w:pos="432"/>
        </w:tabs>
        <w:ind w:leftChars="0" w:firstLine="720" w:firstLineChars="300"/>
        <w:jc w:val="both"/>
        <w:rPr>
          <w:rFonts w:hint="eastAsia" w:ascii="方正仿宋_GB2312" w:hAnsi="方正仿宋_GB2312" w:eastAsia="方正仿宋_GB2312" w:cs="方正仿宋_GB2312"/>
          <w:b w:val="0"/>
          <w:bCs w:val="0"/>
          <w:color w:val="auto"/>
          <w:sz w:val="24"/>
          <w:szCs w:val="24"/>
          <w:highlight w:val="none"/>
          <w:lang w:val="en-US" w:eastAsia="zh-CN"/>
        </w:rPr>
      </w:pPr>
      <w:bookmarkStart w:id="22" w:name="_Toc534816638"/>
      <w:bookmarkStart w:id="23" w:name="_Toc534725609"/>
      <w:r>
        <w:rPr>
          <w:rFonts w:hint="eastAsia" w:ascii="方正仿宋_GB2312" w:hAnsi="方正仿宋_GB2312" w:eastAsia="方正仿宋_GB2312" w:cs="方正仿宋_GB2312"/>
          <w:b w:val="0"/>
          <w:bCs w:val="0"/>
          <w:color w:val="auto"/>
          <w:sz w:val="24"/>
          <w:szCs w:val="24"/>
          <w:highlight w:val="none"/>
          <w:lang w:val="en-US" w:eastAsia="zh-CN"/>
        </w:rPr>
        <w:t>二、商务条款</w:t>
      </w:r>
      <w:bookmarkEnd w:id="22"/>
      <w:bookmarkEnd w:id="23"/>
    </w:p>
    <w:p w14:paraId="5C4B55F4">
      <w:pPr>
        <w:pStyle w:val="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投标人必须是在中华人民共和国境内注册的，具有独立法人资格的企业。单位负责人为同一人或者存在直接控股、管理关系的不同供应商，不得参加同一合同项下的政府采购活动。</w:t>
      </w:r>
    </w:p>
    <w:p w14:paraId="60EE6509">
      <w:pPr>
        <w:pStyle w:val="6"/>
        <w:numPr>
          <w:ilvl w:val="3"/>
          <w:numId w:val="0"/>
        </w:numPr>
        <w:ind w:left="422" w:leftChars="0" w:firstLine="240" w:firstLineChars="100"/>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1.</w:t>
      </w:r>
      <w:r>
        <w:rPr>
          <w:rFonts w:hint="eastAsia" w:ascii="方正仿宋_GB2312" w:hAnsi="方正仿宋_GB2312" w:eastAsia="方正仿宋_GB2312" w:cs="方正仿宋_GB2312"/>
          <w:b w:val="0"/>
          <w:bCs w:val="0"/>
          <w:color w:val="auto"/>
          <w:sz w:val="24"/>
          <w:szCs w:val="24"/>
          <w:highlight w:val="none"/>
          <w:lang w:val="en-US" w:eastAsia="zh-CN"/>
        </w:rPr>
        <w:t>服务</w:t>
      </w:r>
      <w:r>
        <w:rPr>
          <w:rFonts w:hint="eastAsia" w:ascii="方正仿宋_GB2312" w:hAnsi="方正仿宋_GB2312" w:eastAsia="方正仿宋_GB2312" w:cs="方正仿宋_GB2312"/>
          <w:b w:val="0"/>
          <w:bCs w:val="0"/>
          <w:color w:val="auto"/>
          <w:sz w:val="24"/>
          <w:szCs w:val="24"/>
          <w:highlight w:val="none"/>
        </w:rPr>
        <w:t>期</w:t>
      </w:r>
    </w:p>
    <w:p w14:paraId="265BE0F0">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_GB2312"/>
          <w:highlight w:val="none"/>
          <w:lang w:val="en-US" w:eastAsia="zh-CN"/>
        </w:rPr>
      </w:pPr>
      <w:r>
        <w:rPr>
          <w:rFonts w:hint="eastAsia" w:ascii="仿宋" w:hAnsi="仿宋" w:eastAsia="仿宋" w:cs="仿宋_GB2312"/>
          <w:highlight w:val="none"/>
          <w:lang w:val="en-US" w:eastAsia="zh-CN"/>
        </w:rPr>
        <w:t>每次</w:t>
      </w:r>
      <w:r>
        <w:rPr>
          <w:rFonts w:hint="eastAsia" w:ascii="仿宋" w:hAnsi="仿宋" w:eastAsia="仿宋" w:cs="仿宋_GB2312"/>
          <w:highlight w:val="none"/>
        </w:rPr>
        <w:t>自合同签订起</w:t>
      </w:r>
      <w:r>
        <w:rPr>
          <w:rFonts w:hint="eastAsia" w:ascii="仿宋" w:hAnsi="仿宋" w:eastAsia="仿宋" w:cs="仿宋_GB2312"/>
          <w:highlight w:val="none"/>
          <w:lang w:val="en-US" w:eastAsia="zh-CN"/>
        </w:rPr>
        <w:t>365</w:t>
      </w:r>
      <w:r>
        <w:rPr>
          <w:rFonts w:hint="eastAsia" w:ascii="仿宋" w:hAnsi="仿宋" w:eastAsia="仿宋" w:cs="仿宋_GB2312"/>
          <w:highlight w:val="none"/>
        </w:rPr>
        <w:t>日历天内完成全部工作内容，并通过验收。本项目采取一次招标三年沿用、实行一年一考核一签合同，每年合同期满后，采购人根据财库[2014]37 号文件《财政部关于推进和完善服务项目政府采购有关问题的通知》中第三条规定以及中标人服务质量与中标人续签下一年合同，累计续签不得超过 2 次</w:t>
      </w:r>
      <w:r>
        <w:rPr>
          <w:rFonts w:hint="eastAsia" w:ascii="仿宋" w:hAnsi="仿宋" w:eastAsia="仿宋" w:cs="仿宋_GB2312"/>
          <w:highlight w:val="none"/>
          <w:lang w:eastAsia="zh-CN"/>
        </w:rPr>
        <w:t>，每次续签期限不得超过一年，中标单价不予调整。一年合同期满但采购人未获得预算批复或需求取消，则经采购人提前书面通知供应商后，合同到期终止，不再续签</w:t>
      </w:r>
      <w:r>
        <w:rPr>
          <w:rFonts w:hint="eastAsia" w:ascii="仿宋" w:hAnsi="仿宋" w:eastAsia="仿宋" w:cs="仿宋_GB2312"/>
          <w:highlight w:val="none"/>
        </w:rPr>
        <w:t>。</w:t>
      </w:r>
    </w:p>
    <w:p w14:paraId="619E2465">
      <w:pPr>
        <w:pStyle w:val="6"/>
        <w:numPr>
          <w:ilvl w:val="3"/>
          <w:numId w:val="0"/>
        </w:numPr>
        <w:ind w:left="422" w:leftChars="0" w:firstLine="240" w:firstLineChars="100"/>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en-US" w:eastAsia="zh-CN"/>
        </w:rPr>
        <w:t>2.</w:t>
      </w:r>
      <w:r>
        <w:rPr>
          <w:rFonts w:hint="eastAsia" w:ascii="方正仿宋_GB2312" w:hAnsi="方正仿宋_GB2312" w:eastAsia="方正仿宋_GB2312" w:cs="方正仿宋_GB2312"/>
          <w:b w:val="0"/>
          <w:bCs w:val="0"/>
          <w:color w:val="auto"/>
          <w:sz w:val="24"/>
          <w:szCs w:val="24"/>
          <w:highlight w:val="none"/>
        </w:rPr>
        <w:t>交付方式及交付地点</w:t>
      </w:r>
    </w:p>
    <w:p w14:paraId="3EABB6D9">
      <w:pPr>
        <w:pStyle w:val="20"/>
        <w:snapToGrid w:val="0"/>
        <w:spacing w:before="120" w:after="120"/>
        <w:ind w:firstLine="480" w:firstLineChars="200"/>
        <w:rPr>
          <w:rFonts w:hint="eastAsia" w:ascii="方正仿宋_GB2312" w:hAnsi="方正仿宋_GB2312" w:eastAsia="方正仿宋_GB2312" w:cs="方正仿宋_GB2312"/>
          <w:b w:val="0"/>
          <w:bCs w:val="0"/>
          <w:i/>
          <w:iCs/>
          <w:color w:val="auto"/>
          <w:sz w:val="24"/>
          <w:szCs w:val="24"/>
          <w:highlight w:val="none"/>
          <w:u w:val="single"/>
        </w:rPr>
      </w:pPr>
      <w:r>
        <w:rPr>
          <w:rFonts w:hint="eastAsia" w:ascii="方正仿宋_GB2312" w:hAnsi="方正仿宋_GB2312" w:eastAsia="方正仿宋_GB2312" w:cs="方正仿宋_GB2312"/>
          <w:b w:val="0"/>
          <w:bCs w:val="0"/>
          <w:i/>
          <w:iCs/>
          <w:color w:val="auto"/>
          <w:sz w:val="24"/>
          <w:szCs w:val="24"/>
          <w:highlight w:val="none"/>
          <w:u w:val="single"/>
          <w:lang w:val="en-US" w:eastAsia="zh-CN"/>
        </w:rPr>
        <w:t>2</w:t>
      </w:r>
      <w:r>
        <w:rPr>
          <w:rFonts w:hint="eastAsia" w:ascii="方正仿宋_GB2312" w:hAnsi="方正仿宋_GB2312" w:eastAsia="方正仿宋_GB2312" w:cs="方正仿宋_GB2312"/>
          <w:b w:val="0"/>
          <w:bCs w:val="0"/>
          <w:i/>
          <w:iCs/>
          <w:color w:val="auto"/>
          <w:sz w:val="24"/>
          <w:szCs w:val="24"/>
          <w:highlight w:val="none"/>
          <w:u w:val="single"/>
        </w:rPr>
        <w:t>.1 交付方式：</w:t>
      </w:r>
      <w:r>
        <w:rPr>
          <w:rFonts w:hint="eastAsia" w:ascii="方正仿宋_GB2312" w:hAnsi="方正仿宋_GB2312" w:eastAsia="方正仿宋_GB2312" w:cs="方正仿宋_GB2312"/>
          <w:b w:val="0"/>
          <w:bCs w:val="0"/>
          <w:i/>
          <w:iCs/>
          <w:color w:val="auto"/>
          <w:sz w:val="24"/>
          <w:szCs w:val="24"/>
          <w:highlight w:val="none"/>
          <w:u w:val="single"/>
          <w:lang w:val="en-US" w:eastAsia="zh-CN"/>
        </w:rPr>
        <w:t>工作交付物</w:t>
      </w:r>
    </w:p>
    <w:tbl>
      <w:tblPr>
        <w:tblStyle w:val="43"/>
        <w:tblW w:w="503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5"/>
        <w:gridCol w:w="4303"/>
        <w:gridCol w:w="1377"/>
        <w:gridCol w:w="1055"/>
        <w:gridCol w:w="945"/>
      </w:tblGrid>
      <w:tr w14:paraId="54CCB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15" w:type="pct"/>
            <w:noWrap w:val="0"/>
            <w:vAlign w:val="top"/>
          </w:tcPr>
          <w:p w14:paraId="71936124">
            <w:pPr>
              <w:pStyle w:val="42"/>
              <w:spacing w:before="0" w:line="240" w:lineRule="auto"/>
              <w:ind w:left="0"/>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bCs/>
                <w:spacing w:val="-1"/>
                <w:sz w:val="23"/>
                <w:szCs w:val="23"/>
                <w:highlight w:val="none"/>
              </w:rPr>
              <w:t>序号</w:t>
            </w:r>
          </w:p>
        </w:tc>
        <w:tc>
          <w:tcPr>
            <w:tcW w:w="2569" w:type="pct"/>
            <w:noWrap w:val="0"/>
            <w:vAlign w:val="top"/>
          </w:tcPr>
          <w:p w14:paraId="7DC5D8B1">
            <w:pPr>
              <w:pStyle w:val="42"/>
              <w:spacing w:before="0"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b/>
                <w:bCs/>
                <w:spacing w:val="3"/>
                <w:sz w:val="23"/>
                <w:szCs w:val="23"/>
                <w:highlight w:val="none"/>
                <w:lang w:val="en-US" w:eastAsia="zh-CN"/>
              </w:rPr>
              <w:t>工作交付物名称</w:t>
            </w:r>
          </w:p>
        </w:tc>
        <w:tc>
          <w:tcPr>
            <w:tcW w:w="822" w:type="pct"/>
            <w:noWrap w:val="0"/>
            <w:vAlign w:val="top"/>
          </w:tcPr>
          <w:p w14:paraId="5C711CD8">
            <w:pPr>
              <w:pStyle w:val="42"/>
              <w:spacing w:before="0" w:line="240" w:lineRule="auto"/>
              <w:ind w:left="0"/>
              <w:jc w:val="center"/>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b/>
                <w:bCs/>
                <w:spacing w:val="3"/>
                <w:sz w:val="23"/>
                <w:szCs w:val="23"/>
                <w:highlight w:val="none"/>
                <w:lang w:val="en-US" w:eastAsia="zh-CN"/>
              </w:rPr>
              <w:t>单位</w:t>
            </w:r>
          </w:p>
        </w:tc>
        <w:tc>
          <w:tcPr>
            <w:tcW w:w="630" w:type="pct"/>
            <w:noWrap w:val="0"/>
            <w:vAlign w:val="top"/>
          </w:tcPr>
          <w:p w14:paraId="1E158864">
            <w:pPr>
              <w:pStyle w:val="42"/>
              <w:spacing w:before="0" w:line="240" w:lineRule="auto"/>
              <w:ind w:left="0"/>
              <w:jc w:val="center"/>
              <w:rPr>
                <w:rFonts w:hint="eastAsia" w:ascii="方正仿宋_GB2312" w:hAnsi="方正仿宋_GB2312" w:eastAsia="方正仿宋_GB2312" w:cs="方正仿宋_GB2312"/>
                <w:b/>
                <w:bCs/>
                <w:spacing w:val="3"/>
                <w:sz w:val="23"/>
                <w:szCs w:val="23"/>
                <w:highlight w:val="none"/>
                <w:lang w:val="en-US" w:eastAsia="zh-CN"/>
              </w:rPr>
            </w:pPr>
            <w:r>
              <w:rPr>
                <w:rFonts w:hint="eastAsia" w:ascii="方正仿宋_GB2312" w:hAnsi="方正仿宋_GB2312" w:eastAsia="方正仿宋_GB2312" w:cs="方正仿宋_GB2312"/>
                <w:b/>
                <w:bCs/>
                <w:spacing w:val="3"/>
                <w:sz w:val="23"/>
                <w:szCs w:val="23"/>
                <w:highlight w:val="none"/>
                <w:lang w:val="en-US" w:eastAsia="zh-CN"/>
              </w:rPr>
              <w:t>数量</w:t>
            </w:r>
          </w:p>
        </w:tc>
        <w:tc>
          <w:tcPr>
            <w:tcW w:w="563" w:type="pct"/>
            <w:noWrap w:val="0"/>
            <w:vAlign w:val="top"/>
          </w:tcPr>
          <w:p w14:paraId="46E42FBE">
            <w:pPr>
              <w:pStyle w:val="42"/>
              <w:spacing w:before="0" w:line="240" w:lineRule="auto"/>
              <w:ind w:left="0"/>
              <w:jc w:val="center"/>
              <w:rPr>
                <w:rFonts w:hint="eastAsia" w:ascii="方正仿宋_GB2312" w:hAnsi="方正仿宋_GB2312" w:eastAsia="方正仿宋_GB2312" w:cs="方正仿宋_GB2312"/>
                <w:b/>
                <w:bCs/>
                <w:spacing w:val="3"/>
                <w:sz w:val="23"/>
                <w:szCs w:val="23"/>
                <w:highlight w:val="none"/>
                <w:lang w:val="en-US" w:eastAsia="zh-CN"/>
              </w:rPr>
            </w:pPr>
            <w:r>
              <w:rPr>
                <w:rFonts w:hint="eastAsia" w:ascii="方正仿宋_GB2312" w:hAnsi="方正仿宋_GB2312" w:eastAsia="方正仿宋_GB2312" w:cs="方正仿宋_GB2312"/>
                <w:b/>
                <w:bCs/>
                <w:spacing w:val="3"/>
                <w:sz w:val="23"/>
                <w:szCs w:val="23"/>
                <w:highlight w:val="none"/>
                <w:lang w:val="en-US" w:eastAsia="zh-CN"/>
              </w:rPr>
              <w:t>备注</w:t>
            </w:r>
          </w:p>
        </w:tc>
      </w:tr>
      <w:tr w14:paraId="5EB3D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000" w:type="pct"/>
            <w:gridSpan w:val="5"/>
            <w:noWrap w:val="0"/>
            <w:vAlign w:val="center"/>
          </w:tcPr>
          <w:p w14:paraId="344A5A74">
            <w:pPr>
              <w:pStyle w:val="42"/>
              <w:spacing w:before="0" w:line="240" w:lineRule="auto"/>
              <w:ind w:left="181"/>
              <w:jc w:val="left"/>
              <w:rPr>
                <w:rFonts w:hint="eastAsia" w:ascii="方正仿宋_GB2312" w:hAnsi="方正仿宋_GB2312" w:eastAsia="方正仿宋_GB2312" w:cs="方正仿宋_GB2312"/>
                <w:spacing w:val="0"/>
                <w:sz w:val="23"/>
                <w:szCs w:val="23"/>
                <w:highlight w:val="none"/>
              </w:rPr>
            </w:pPr>
            <w:r>
              <w:rPr>
                <w:rFonts w:hint="eastAsia" w:ascii="方正仿宋_GB2312" w:hAnsi="方正仿宋_GB2312" w:eastAsia="方正仿宋_GB2312" w:cs="方正仿宋_GB2312"/>
                <w:spacing w:val="-10"/>
                <w:sz w:val="23"/>
                <w:szCs w:val="23"/>
                <w:highlight w:val="none"/>
                <w:lang w:val="en-US" w:eastAsia="zh-CN"/>
              </w:rPr>
              <w:t>一、</w:t>
            </w:r>
            <w:r>
              <w:rPr>
                <w:rFonts w:hint="eastAsia" w:ascii="方正仿宋_GB2312" w:hAnsi="方正仿宋_GB2312" w:eastAsia="方正仿宋_GB2312" w:cs="方正仿宋_GB2312"/>
                <w:sz w:val="23"/>
                <w:szCs w:val="23"/>
                <w:highlight w:val="none"/>
              </w:rPr>
              <w:t>网络安全检测服务</w:t>
            </w:r>
          </w:p>
        </w:tc>
      </w:tr>
      <w:tr w14:paraId="37045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15" w:type="pct"/>
            <w:vMerge w:val="restart"/>
            <w:noWrap w:val="0"/>
            <w:vAlign w:val="center"/>
          </w:tcPr>
          <w:p w14:paraId="5C85F2F5">
            <w:pPr>
              <w:pStyle w:val="42"/>
              <w:spacing w:before="0" w:line="240" w:lineRule="auto"/>
              <w:ind w:left="181"/>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1</w:t>
            </w:r>
          </w:p>
        </w:tc>
        <w:tc>
          <w:tcPr>
            <w:tcW w:w="2569" w:type="pct"/>
            <w:noWrap w:val="0"/>
            <w:vAlign w:val="center"/>
          </w:tcPr>
          <w:p w14:paraId="4D3DA619">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《中心在网信息资产清单</w:t>
            </w:r>
            <w:r>
              <w:rPr>
                <w:rFonts w:hint="eastAsia" w:ascii="方正仿宋_GB2312" w:hAnsi="方正仿宋_GB2312" w:eastAsia="方正仿宋_GB2312" w:cs="方正仿宋_GB2312"/>
                <w:sz w:val="23"/>
                <w:szCs w:val="23"/>
                <w:highlight w:val="none"/>
                <w:lang w:val="en-US" w:eastAsia="zh-CN"/>
              </w:rPr>
              <w:t>(年度汇总）</w:t>
            </w:r>
            <w:r>
              <w:rPr>
                <w:rFonts w:hint="eastAsia" w:ascii="方正仿宋_GB2312" w:hAnsi="方正仿宋_GB2312" w:eastAsia="方正仿宋_GB2312" w:cs="方正仿宋_GB2312"/>
                <w:sz w:val="23"/>
                <w:szCs w:val="23"/>
                <w:highlight w:val="none"/>
              </w:rPr>
              <w:t>》</w:t>
            </w:r>
          </w:p>
        </w:tc>
        <w:tc>
          <w:tcPr>
            <w:tcW w:w="822" w:type="pct"/>
            <w:noWrap w:val="0"/>
            <w:vAlign w:val="center"/>
          </w:tcPr>
          <w:p w14:paraId="137F7FE7">
            <w:pPr>
              <w:pStyle w:val="42"/>
              <w:spacing w:before="0" w:line="240" w:lineRule="auto"/>
              <w:ind w:left="0"/>
              <w:jc w:val="center"/>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pacing w:val="0"/>
                <w:sz w:val="23"/>
                <w:szCs w:val="23"/>
                <w:highlight w:val="none"/>
                <w:lang w:val="en-US" w:eastAsia="zh-CN"/>
              </w:rPr>
              <w:t>份</w:t>
            </w:r>
          </w:p>
        </w:tc>
        <w:tc>
          <w:tcPr>
            <w:tcW w:w="630" w:type="pct"/>
            <w:noWrap w:val="0"/>
            <w:vAlign w:val="center"/>
          </w:tcPr>
          <w:p w14:paraId="507641CF">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w:t>
            </w:r>
          </w:p>
        </w:tc>
        <w:tc>
          <w:tcPr>
            <w:tcW w:w="563" w:type="pct"/>
            <w:noWrap w:val="0"/>
            <w:vAlign w:val="center"/>
          </w:tcPr>
          <w:p w14:paraId="2DC14B76">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2FB0E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15" w:type="pct"/>
            <w:vMerge w:val="continue"/>
            <w:noWrap w:val="0"/>
            <w:vAlign w:val="center"/>
          </w:tcPr>
          <w:p w14:paraId="3826683F">
            <w:pPr>
              <w:pStyle w:val="42"/>
              <w:spacing w:before="0" w:line="240" w:lineRule="auto"/>
              <w:ind w:left="181"/>
              <w:jc w:val="center"/>
              <w:rPr>
                <w:rFonts w:hint="eastAsia" w:ascii="方正仿宋_GB2312" w:hAnsi="方正仿宋_GB2312" w:eastAsia="方正仿宋_GB2312" w:cs="方正仿宋_GB2312"/>
                <w:spacing w:val="-10"/>
                <w:sz w:val="23"/>
                <w:szCs w:val="23"/>
                <w:highlight w:val="none"/>
              </w:rPr>
            </w:pPr>
          </w:p>
        </w:tc>
        <w:tc>
          <w:tcPr>
            <w:tcW w:w="2569" w:type="pct"/>
            <w:noWrap w:val="0"/>
            <w:vAlign w:val="center"/>
          </w:tcPr>
          <w:p w14:paraId="51653AD1">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《互联网端口资产清单</w:t>
            </w:r>
            <w:r>
              <w:rPr>
                <w:rFonts w:hint="eastAsia" w:ascii="方正仿宋_GB2312" w:hAnsi="方正仿宋_GB2312" w:eastAsia="方正仿宋_GB2312" w:cs="方正仿宋_GB2312"/>
                <w:sz w:val="23"/>
                <w:szCs w:val="23"/>
                <w:highlight w:val="none"/>
                <w:lang w:eastAsia="zh-CN"/>
              </w:rPr>
              <w:t>（</w:t>
            </w:r>
            <w:r>
              <w:rPr>
                <w:rFonts w:hint="eastAsia" w:ascii="方正仿宋_GB2312" w:hAnsi="方正仿宋_GB2312" w:eastAsia="方正仿宋_GB2312" w:cs="方正仿宋_GB2312"/>
                <w:sz w:val="23"/>
                <w:szCs w:val="23"/>
                <w:highlight w:val="none"/>
                <w:lang w:val="en-US" w:eastAsia="zh-CN"/>
              </w:rPr>
              <w:t>年度汇总）</w:t>
            </w:r>
            <w:r>
              <w:rPr>
                <w:rFonts w:hint="eastAsia" w:ascii="方正仿宋_GB2312" w:hAnsi="方正仿宋_GB2312" w:eastAsia="方正仿宋_GB2312" w:cs="方正仿宋_GB2312"/>
                <w:sz w:val="23"/>
                <w:szCs w:val="23"/>
                <w:highlight w:val="none"/>
              </w:rPr>
              <w:t>》</w:t>
            </w:r>
          </w:p>
        </w:tc>
        <w:tc>
          <w:tcPr>
            <w:tcW w:w="822" w:type="pct"/>
            <w:noWrap w:val="0"/>
            <w:vAlign w:val="center"/>
          </w:tcPr>
          <w:p w14:paraId="5D725700">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份</w:t>
            </w:r>
          </w:p>
        </w:tc>
        <w:tc>
          <w:tcPr>
            <w:tcW w:w="630" w:type="pct"/>
            <w:noWrap w:val="0"/>
            <w:vAlign w:val="center"/>
          </w:tcPr>
          <w:p w14:paraId="26A4027B">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w:t>
            </w:r>
          </w:p>
        </w:tc>
        <w:tc>
          <w:tcPr>
            <w:tcW w:w="563" w:type="pct"/>
            <w:noWrap w:val="0"/>
            <w:vAlign w:val="center"/>
          </w:tcPr>
          <w:p w14:paraId="1C844717">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19271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5" w:type="pct"/>
            <w:noWrap w:val="0"/>
            <w:vAlign w:val="center"/>
          </w:tcPr>
          <w:p w14:paraId="26B4020D">
            <w:pPr>
              <w:pStyle w:val="42"/>
              <w:spacing w:before="0" w:line="240" w:lineRule="auto"/>
              <w:ind w:left="167"/>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2"/>
                <w:sz w:val="23"/>
                <w:szCs w:val="23"/>
                <w:highlight w:val="none"/>
              </w:rPr>
              <w:t>2</w:t>
            </w:r>
          </w:p>
        </w:tc>
        <w:tc>
          <w:tcPr>
            <w:tcW w:w="2569" w:type="pct"/>
            <w:noWrap w:val="0"/>
            <w:vAlign w:val="center"/>
          </w:tcPr>
          <w:p w14:paraId="3E255EEB">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《网络安全运行优化建议</w:t>
            </w:r>
            <w:r>
              <w:rPr>
                <w:rFonts w:hint="eastAsia" w:ascii="方正仿宋_GB2312" w:hAnsi="方正仿宋_GB2312" w:eastAsia="方正仿宋_GB2312" w:cs="方正仿宋_GB2312"/>
                <w:spacing w:val="7"/>
                <w:sz w:val="23"/>
                <w:szCs w:val="23"/>
                <w:highlight w:val="none"/>
                <w:lang w:val="en-US" w:eastAsia="zh-CN"/>
              </w:rPr>
              <w:t>报告</w:t>
            </w:r>
            <w:r>
              <w:rPr>
                <w:rFonts w:hint="eastAsia" w:ascii="方正仿宋_GB2312" w:hAnsi="方正仿宋_GB2312" w:eastAsia="方正仿宋_GB2312" w:cs="方正仿宋_GB2312"/>
                <w:spacing w:val="7"/>
                <w:sz w:val="23"/>
                <w:szCs w:val="23"/>
                <w:highlight w:val="none"/>
              </w:rPr>
              <w:t>》</w:t>
            </w:r>
          </w:p>
        </w:tc>
        <w:tc>
          <w:tcPr>
            <w:tcW w:w="822" w:type="pct"/>
            <w:noWrap w:val="0"/>
            <w:vAlign w:val="center"/>
          </w:tcPr>
          <w:p w14:paraId="5015020E">
            <w:pPr>
              <w:pStyle w:val="42"/>
              <w:spacing w:before="0" w:line="240" w:lineRule="auto"/>
              <w:ind w:left="0"/>
              <w:jc w:val="center"/>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pacing w:val="0"/>
                <w:sz w:val="23"/>
                <w:szCs w:val="23"/>
                <w:highlight w:val="none"/>
                <w:lang w:val="en-US" w:eastAsia="zh-CN"/>
              </w:rPr>
              <w:t>份</w:t>
            </w:r>
          </w:p>
        </w:tc>
        <w:tc>
          <w:tcPr>
            <w:tcW w:w="630" w:type="pct"/>
            <w:noWrap w:val="0"/>
            <w:vAlign w:val="center"/>
          </w:tcPr>
          <w:p w14:paraId="4F4D40F8">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12</w:t>
            </w:r>
          </w:p>
        </w:tc>
        <w:tc>
          <w:tcPr>
            <w:tcW w:w="563" w:type="pct"/>
            <w:noWrap w:val="0"/>
            <w:vAlign w:val="center"/>
          </w:tcPr>
          <w:p w14:paraId="114271F0">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58952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5" w:type="pct"/>
            <w:vMerge w:val="restart"/>
            <w:noWrap w:val="0"/>
            <w:vAlign w:val="center"/>
          </w:tcPr>
          <w:p w14:paraId="51895A7D">
            <w:pPr>
              <w:pStyle w:val="42"/>
              <w:spacing w:before="0" w:line="240" w:lineRule="auto"/>
              <w:ind w:left="168"/>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3"/>
                <w:sz w:val="23"/>
                <w:szCs w:val="23"/>
                <w:highlight w:val="none"/>
              </w:rPr>
              <w:t>3</w:t>
            </w:r>
          </w:p>
        </w:tc>
        <w:tc>
          <w:tcPr>
            <w:tcW w:w="2569" w:type="pct"/>
            <w:noWrap w:val="0"/>
            <w:vAlign w:val="center"/>
          </w:tcPr>
          <w:p w14:paraId="6EB67091">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《系统上线前网络安全检查情况说明》</w:t>
            </w:r>
          </w:p>
        </w:tc>
        <w:tc>
          <w:tcPr>
            <w:tcW w:w="822" w:type="pct"/>
            <w:noWrap w:val="0"/>
            <w:vAlign w:val="center"/>
          </w:tcPr>
          <w:p w14:paraId="240DA199">
            <w:pPr>
              <w:pStyle w:val="42"/>
              <w:spacing w:before="0" w:line="240" w:lineRule="auto"/>
              <w:ind w:left="0" w:leftChars="0"/>
              <w:jc w:val="center"/>
              <w:rPr>
                <w:rFonts w:hint="eastAsia" w:ascii="方正仿宋_GB2312" w:hAnsi="方正仿宋_GB2312" w:eastAsia="方正仿宋_GB2312" w:cs="方正仿宋_GB2312"/>
                <w:kern w:val="2"/>
                <w:sz w:val="23"/>
                <w:szCs w:val="23"/>
                <w:highlight w:val="none"/>
                <w:lang w:val="en-US" w:eastAsia="zh-CN" w:bidi="ar-SA"/>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2EAD2654">
            <w:pPr>
              <w:pStyle w:val="42"/>
              <w:spacing w:before="0" w:line="240" w:lineRule="auto"/>
              <w:ind w:left="0" w:leftChars="0"/>
              <w:jc w:val="center"/>
              <w:rPr>
                <w:rFonts w:hint="eastAsia" w:ascii="方正仿宋_GB2312" w:hAnsi="方正仿宋_GB2312" w:eastAsia="方正仿宋_GB2312" w:cs="方正仿宋_GB2312"/>
                <w:spacing w:val="0"/>
                <w:kern w:val="2"/>
                <w:sz w:val="23"/>
                <w:szCs w:val="23"/>
                <w:highlight w:val="none"/>
                <w:lang w:val="en-US" w:eastAsia="zh-CN" w:bidi="ar-SA"/>
              </w:rPr>
            </w:pPr>
            <w:r>
              <w:rPr>
                <w:rFonts w:hint="eastAsia" w:ascii="方正仿宋_GB2312" w:hAnsi="方正仿宋_GB2312" w:eastAsia="方正仿宋_GB2312" w:cs="方正仿宋_GB2312"/>
                <w:spacing w:val="0"/>
                <w:sz w:val="23"/>
                <w:szCs w:val="23"/>
                <w:highlight w:val="none"/>
                <w:lang w:val="en-US" w:eastAsia="zh-CN"/>
              </w:rPr>
              <w:t>≥50</w:t>
            </w:r>
          </w:p>
        </w:tc>
        <w:tc>
          <w:tcPr>
            <w:tcW w:w="563" w:type="pct"/>
            <w:noWrap w:val="0"/>
            <w:vAlign w:val="center"/>
          </w:tcPr>
          <w:p w14:paraId="4074B477">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5DE4E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5" w:type="pct"/>
            <w:vMerge w:val="continue"/>
            <w:noWrap w:val="0"/>
            <w:vAlign w:val="center"/>
          </w:tcPr>
          <w:p w14:paraId="28B37312">
            <w:pPr>
              <w:pStyle w:val="42"/>
              <w:spacing w:before="0" w:line="240" w:lineRule="auto"/>
              <w:ind w:left="168"/>
              <w:jc w:val="center"/>
              <w:rPr>
                <w:rFonts w:hint="eastAsia" w:ascii="方正仿宋_GB2312" w:hAnsi="方正仿宋_GB2312" w:eastAsia="方正仿宋_GB2312" w:cs="方正仿宋_GB2312"/>
                <w:sz w:val="23"/>
                <w:szCs w:val="23"/>
                <w:highlight w:val="none"/>
              </w:rPr>
            </w:pPr>
          </w:p>
        </w:tc>
        <w:tc>
          <w:tcPr>
            <w:tcW w:w="2569" w:type="pct"/>
            <w:noWrap w:val="0"/>
            <w:vAlign w:val="center"/>
          </w:tcPr>
          <w:p w14:paraId="5776F827">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《系统上线前网络安全检查报告》</w:t>
            </w:r>
          </w:p>
        </w:tc>
        <w:tc>
          <w:tcPr>
            <w:tcW w:w="822" w:type="pct"/>
            <w:noWrap w:val="0"/>
            <w:vAlign w:val="center"/>
          </w:tcPr>
          <w:p w14:paraId="23AC4C01">
            <w:pPr>
              <w:pStyle w:val="42"/>
              <w:spacing w:before="0" w:line="240" w:lineRule="auto"/>
              <w:ind w:left="0"/>
              <w:jc w:val="center"/>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1D5B34A9">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≥50</w:t>
            </w:r>
          </w:p>
        </w:tc>
        <w:tc>
          <w:tcPr>
            <w:tcW w:w="563" w:type="pct"/>
            <w:noWrap w:val="0"/>
            <w:vAlign w:val="center"/>
          </w:tcPr>
          <w:p w14:paraId="3E9C2ADD">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6EBC3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5" w:type="pct"/>
            <w:vMerge w:val="continue"/>
            <w:noWrap w:val="0"/>
            <w:vAlign w:val="center"/>
          </w:tcPr>
          <w:p w14:paraId="26EAEF20">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rPr>
            </w:pPr>
          </w:p>
        </w:tc>
        <w:tc>
          <w:tcPr>
            <w:tcW w:w="2569" w:type="pct"/>
            <w:noWrap w:val="0"/>
            <w:vAlign w:val="center"/>
          </w:tcPr>
          <w:p w14:paraId="315FEE1D">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《系统上线前网络安全检查接口清单》</w:t>
            </w:r>
          </w:p>
        </w:tc>
        <w:tc>
          <w:tcPr>
            <w:tcW w:w="822" w:type="pct"/>
            <w:noWrap w:val="0"/>
            <w:vAlign w:val="center"/>
          </w:tcPr>
          <w:p w14:paraId="4CD12CD2">
            <w:pPr>
              <w:pStyle w:val="42"/>
              <w:spacing w:before="0" w:line="240" w:lineRule="auto"/>
              <w:ind w:left="0" w:leftChars="0"/>
              <w:jc w:val="center"/>
              <w:rPr>
                <w:rFonts w:hint="eastAsia" w:ascii="方正仿宋_GB2312" w:hAnsi="方正仿宋_GB2312" w:eastAsia="方正仿宋_GB2312" w:cs="方正仿宋_GB2312"/>
                <w:kern w:val="2"/>
                <w:sz w:val="23"/>
                <w:szCs w:val="23"/>
                <w:highlight w:val="none"/>
                <w:lang w:val="en-US" w:eastAsia="zh-CN" w:bidi="ar-SA"/>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140FDA7C">
            <w:pPr>
              <w:pStyle w:val="42"/>
              <w:spacing w:before="0" w:line="240" w:lineRule="auto"/>
              <w:ind w:left="0" w:leftChars="0"/>
              <w:jc w:val="center"/>
              <w:rPr>
                <w:rFonts w:hint="eastAsia" w:ascii="方正仿宋_GB2312" w:hAnsi="方正仿宋_GB2312" w:eastAsia="方正仿宋_GB2312" w:cs="方正仿宋_GB2312"/>
                <w:spacing w:val="0"/>
                <w:kern w:val="2"/>
                <w:sz w:val="23"/>
                <w:szCs w:val="23"/>
                <w:highlight w:val="none"/>
                <w:lang w:val="en-US" w:eastAsia="zh-CN" w:bidi="ar-SA"/>
              </w:rPr>
            </w:pPr>
            <w:r>
              <w:rPr>
                <w:rFonts w:hint="eastAsia" w:ascii="方正仿宋_GB2312" w:hAnsi="方正仿宋_GB2312" w:eastAsia="方正仿宋_GB2312" w:cs="方正仿宋_GB2312"/>
                <w:spacing w:val="0"/>
                <w:sz w:val="23"/>
                <w:szCs w:val="23"/>
                <w:highlight w:val="none"/>
                <w:lang w:val="en-US" w:eastAsia="zh-CN"/>
              </w:rPr>
              <w:t>≥50</w:t>
            </w:r>
          </w:p>
        </w:tc>
        <w:tc>
          <w:tcPr>
            <w:tcW w:w="563" w:type="pct"/>
            <w:noWrap w:val="0"/>
            <w:vAlign w:val="center"/>
          </w:tcPr>
          <w:p w14:paraId="686308F4">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7A3E9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5" w:type="pct"/>
            <w:vMerge w:val="continue"/>
            <w:noWrap w:val="0"/>
            <w:vAlign w:val="center"/>
          </w:tcPr>
          <w:p w14:paraId="4642E0E3">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rPr>
            </w:pPr>
          </w:p>
        </w:tc>
        <w:tc>
          <w:tcPr>
            <w:tcW w:w="2569" w:type="pct"/>
            <w:noWrap w:val="0"/>
            <w:vAlign w:val="center"/>
          </w:tcPr>
          <w:p w14:paraId="54CEBD32">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《网络安全检查报告》</w:t>
            </w:r>
          </w:p>
        </w:tc>
        <w:tc>
          <w:tcPr>
            <w:tcW w:w="822" w:type="pct"/>
            <w:noWrap w:val="0"/>
            <w:vAlign w:val="center"/>
          </w:tcPr>
          <w:p w14:paraId="35C69836">
            <w:pPr>
              <w:pStyle w:val="42"/>
              <w:spacing w:before="0"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1F55FE08">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52</w:t>
            </w:r>
          </w:p>
        </w:tc>
        <w:tc>
          <w:tcPr>
            <w:tcW w:w="563" w:type="pct"/>
            <w:noWrap w:val="0"/>
            <w:vAlign w:val="center"/>
          </w:tcPr>
          <w:p w14:paraId="7F27B292">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39A2A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5" w:type="pct"/>
            <w:vMerge w:val="continue"/>
            <w:noWrap w:val="0"/>
            <w:vAlign w:val="center"/>
          </w:tcPr>
          <w:p w14:paraId="0F781723">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rPr>
            </w:pPr>
          </w:p>
        </w:tc>
        <w:tc>
          <w:tcPr>
            <w:tcW w:w="2569" w:type="pct"/>
            <w:noWrap w:val="0"/>
            <w:vAlign w:val="center"/>
          </w:tcPr>
          <w:p w14:paraId="763B4F9A">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《网络安全漏洞台账（年度汇总）》</w:t>
            </w:r>
          </w:p>
        </w:tc>
        <w:tc>
          <w:tcPr>
            <w:tcW w:w="822" w:type="pct"/>
            <w:noWrap w:val="0"/>
            <w:vAlign w:val="center"/>
          </w:tcPr>
          <w:p w14:paraId="635D77A6">
            <w:pPr>
              <w:pStyle w:val="42"/>
              <w:spacing w:before="0"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6F73C8A1">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w:t>
            </w:r>
          </w:p>
        </w:tc>
        <w:tc>
          <w:tcPr>
            <w:tcW w:w="563" w:type="pct"/>
            <w:noWrap w:val="0"/>
            <w:vAlign w:val="center"/>
          </w:tcPr>
          <w:p w14:paraId="7E730174">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0ECF0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5" w:type="pct"/>
            <w:vMerge w:val="restart"/>
            <w:noWrap w:val="0"/>
            <w:vAlign w:val="center"/>
          </w:tcPr>
          <w:p w14:paraId="2278EFD8">
            <w:pPr>
              <w:pStyle w:val="42"/>
              <w:spacing w:before="0" w:line="240" w:lineRule="auto"/>
              <w:ind w:left="163"/>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4</w:t>
            </w:r>
          </w:p>
        </w:tc>
        <w:tc>
          <w:tcPr>
            <w:tcW w:w="2569" w:type="pct"/>
            <w:noWrap w:val="0"/>
            <w:vAlign w:val="center"/>
          </w:tcPr>
          <w:p w14:paraId="5684E177">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《应急响应处置报告》</w:t>
            </w:r>
          </w:p>
        </w:tc>
        <w:tc>
          <w:tcPr>
            <w:tcW w:w="822" w:type="pct"/>
            <w:noWrap w:val="0"/>
            <w:vAlign w:val="center"/>
          </w:tcPr>
          <w:p w14:paraId="3C9D7A91">
            <w:pPr>
              <w:pStyle w:val="42"/>
              <w:spacing w:before="0" w:line="240" w:lineRule="auto"/>
              <w:ind w:left="0"/>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685E15EA">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r>
              <w:rPr>
                <w:rFonts w:hint="eastAsia" w:ascii="方正仿宋_GB2312" w:hAnsi="方正仿宋_GB2312" w:eastAsia="方正仿宋_GB2312" w:cs="方正仿宋_GB2312"/>
                <w:spacing w:val="0"/>
                <w:sz w:val="23"/>
                <w:szCs w:val="23"/>
                <w:highlight w:val="none"/>
                <w:lang w:val="en-US" w:eastAsia="zh-CN"/>
              </w:rPr>
              <w:t>≥1</w:t>
            </w:r>
          </w:p>
        </w:tc>
        <w:tc>
          <w:tcPr>
            <w:tcW w:w="563" w:type="pct"/>
            <w:noWrap w:val="0"/>
            <w:vAlign w:val="center"/>
          </w:tcPr>
          <w:p w14:paraId="5DFD6882">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r>
              <w:rPr>
                <w:rFonts w:hint="eastAsia" w:ascii="方正仿宋_GB2312" w:hAnsi="方正仿宋_GB2312" w:eastAsia="方正仿宋_GB2312" w:cs="方正仿宋_GB2312"/>
                <w:spacing w:val="0"/>
                <w:sz w:val="23"/>
                <w:szCs w:val="23"/>
                <w:highlight w:val="none"/>
                <w:lang w:val="en-US" w:eastAsia="zh-CN"/>
              </w:rPr>
              <w:t>按需提供</w:t>
            </w:r>
          </w:p>
        </w:tc>
      </w:tr>
      <w:tr w14:paraId="21BB6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5" w:type="pct"/>
            <w:vMerge w:val="continue"/>
            <w:noWrap w:val="0"/>
            <w:vAlign w:val="center"/>
          </w:tcPr>
          <w:p w14:paraId="58AA7EB1">
            <w:pPr>
              <w:pStyle w:val="42"/>
              <w:spacing w:before="0" w:line="240" w:lineRule="auto"/>
              <w:ind w:left="163"/>
              <w:jc w:val="center"/>
              <w:rPr>
                <w:rFonts w:hint="eastAsia" w:ascii="方正仿宋_GB2312" w:hAnsi="方正仿宋_GB2312" w:eastAsia="方正仿宋_GB2312" w:cs="方正仿宋_GB2312"/>
                <w:sz w:val="23"/>
                <w:szCs w:val="23"/>
                <w:highlight w:val="none"/>
              </w:rPr>
            </w:pPr>
          </w:p>
        </w:tc>
        <w:tc>
          <w:tcPr>
            <w:tcW w:w="2569" w:type="pct"/>
            <w:noWrap w:val="0"/>
            <w:vAlign w:val="center"/>
          </w:tcPr>
          <w:p w14:paraId="6A360220">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《月度安全咨询报告》</w:t>
            </w:r>
          </w:p>
        </w:tc>
        <w:tc>
          <w:tcPr>
            <w:tcW w:w="822" w:type="pct"/>
            <w:noWrap w:val="0"/>
            <w:vAlign w:val="center"/>
          </w:tcPr>
          <w:p w14:paraId="7F9EC162">
            <w:pPr>
              <w:pStyle w:val="42"/>
              <w:spacing w:before="0"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0423DFE7">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12</w:t>
            </w:r>
          </w:p>
        </w:tc>
        <w:tc>
          <w:tcPr>
            <w:tcW w:w="563" w:type="pct"/>
            <w:noWrap w:val="0"/>
            <w:vAlign w:val="center"/>
          </w:tcPr>
          <w:p w14:paraId="1E0F4196">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16DC9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vMerge w:val="restart"/>
            <w:noWrap w:val="0"/>
            <w:vAlign w:val="center"/>
          </w:tcPr>
          <w:p w14:paraId="1DD839D3">
            <w:pPr>
              <w:pStyle w:val="42"/>
              <w:spacing w:before="0" w:line="240" w:lineRule="auto"/>
              <w:ind w:left="168"/>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3"/>
                <w:sz w:val="23"/>
                <w:szCs w:val="23"/>
                <w:highlight w:val="none"/>
              </w:rPr>
              <w:t>5</w:t>
            </w:r>
          </w:p>
        </w:tc>
        <w:tc>
          <w:tcPr>
            <w:tcW w:w="2569" w:type="pct"/>
            <w:noWrap w:val="0"/>
            <w:vAlign w:val="center"/>
          </w:tcPr>
          <w:p w14:paraId="6B80EAF5">
            <w:pPr>
              <w:pStyle w:val="42"/>
              <w:spacing w:before="0" w:line="240" w:lineRule="auto"/>
              <w:ind w:left="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《网络安全保障值班安排表》</w:t>
            </w:r>
          </w:p>
        </w:tc>
        <w:tc>
          <w:tcPr>
            <w:tcW w:w="822" w:type="pct"/>
            <w:noWrap w:val="0"/>
            <w:vAlign w:val="center"/>
          </w:tcPr>
          <w:p w14:paraId="111F19C1">
            <w:pPr>
              <w:pStyle w:val="42"/>
              <w:spacing w:before="0" w:line="240" w:lineRule="auto"/>
              <w:ind w:left="0"/>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069BA915">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rPr>
            </w:pPr>
            <w:r>
              <w:rPr>
                <w:rFonts w:hint="eastAsia" w:ascii="方正仿宋_GB2312" w:hAnsi="方正仿宋_GB2312" w:eastAsia="方正仿宋_GB2312" w:cs="方正仿宋_GB2312"/>
                <w:spacing w:val="0"/>
                <w:sz w:val="23"/>
                <w:szCs w:val="23"/>
                <w:highlight w:val="none"/>
                <w:lang w:val="en-US" w:eastAsia="zh-CN"/>
              </w:rPr>
              <w:t>≥10</w:t>
            </w:r>
          </w:p>
        </w:tc>
        <w:tc>
          <w:tcPr>
            <w:tcW w:w="563" w:type="pct"/>
            <w:noWrap w:val="0"/>
            <w:vAlign w:val="center"/>
          </w:tcPr>
          <w:p w14:paraId="078D15C0">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0E9DA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vMerge w:val="continue"/>
            <w:noWrap w:val="0"/>
            <w:vAlign w:val="center"/>
          </w:tcPr>
          <w:p w14:paraId="52197051">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rPr>
            </w:pPr>
          </w:p>
        </w:tc>
        <w:tc>
          <w:tcPr>
            <w:tcW w:w="2569" w:type="pct"/>
            <w:noWrap w:val="0"/>
            <w:vAlign w:val="center"/>
          </w:tcPr>
          <w:p w14:paraId="3818C533">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《网络安全保障总结报告》</w:t>
            </w:r>
          </w:p>
        </w:tc>
        <w:tc>
          <w:tcPr>
            <w:tcW w:w="822" w:type="pct"/>
            <w:noWrap w:val="0"/>
            <w:vAlign w:val="center"/>
          </w:tcPr>
          <w:p w14:paraId="4CBF0E0F">
            <w:pPr>
              <w:pStyle w:val="42"/>
              <w:spacing w:before="0"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07F0BDB6">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≥10</w:t>
            </w:r>
          </w:p>
        </w:tc>
        <w:tc>
          <w:tcPr>
            <w:tcW w:w="563" w:type="pct"/>
            <w:noWrap w:val="0"/>
            <w:vAlign w:val="center"/>
          </w:tcPr>
          <w:p w14:paraId="3467DD32">
            <w:pPr>
              <w:pStyle w:val="42"/>
              <w:spacing w:before="0" w:line="240" w:lineRule="auto"/>
              <w:ind w:left="0"/>
              <w:jc w:val="center"/>
              <w:rPr>
                <w:rFonts w:hint="eastAsia" w:ascii="方正仿宋_GB2312" w:hAnsi="方正仿宋_GB2312" w:eastAsia="方正仿宋_GB2312" w:cs="方正仿宋_GB2312"/>
                <w:spacing w:val="0"/>
                <w:sz w:val="23"/>
                <w:szCs w:val="23"/>
                <w:highlight w:val="none"/>
              </w:rPr>
            </w:pPr>
          </w:p>
        </w:tc>
      </w:tr>
      <w:tr w14:paraId="7B861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15" w:type="pct"/>
            <w:vMerge w:val="restart"/>
            <w:noWrap w:val="0"/>
            <w:vAlign w:val="center"/>
          </w:tcPr>
          <w:p w14:paraId="4710ACD5">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6</w:t>
            </w:r>
          </w:p>
        </w:tc>
        <w:tc>
          <w:tcPr>
            <w:tcW w:w="2569" w:type="pct"/>
            <w:noWrap w:val="0"/>
            <w:vAlign w:val="center"/>
          </w:tcPr>
          <w:p w14:paraId="00DDB56D">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《网络与信息安全简报》</w:t>
            </w:r>
          </w:p>
        </w:tc>
        <w:tc>
          <w:tcPr>
            <w:tcW w:w="822" w:type="pct"/>
            <w:noWrap w:val="0"/>
            <w:vAlign w:val="center"/>
          </w:tcPr>
          <w:p w14:paraId="0A2D907B">
            <w:pPr>
              <w:pStyle w:val="42"/>
              <w:spacing w:before="0" w:line="240" w:lineRule="auto"/>
              <w:ind w:left="0"/>
              <w:jc w:val="center"/>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lang w:val="en-US" w:eastAsia="zh-CN"/>
              </w:rPr>
              <w:t>份</w:t>
            </w:r>
          </w:p>
        </w:tc>
        <w:tc>
          <w:tcPr>
            <w:tcW w:w="630" w:type="pct"/>
            <w:noWrap w:val="0"/>
            <w:vAlign w:val="center"/>
          </w:tcPr>
          <w:p w14:paraId="1C30A3C1">
            <w:pPr>
              <w:pStyle w:val="42"/>
              <w:spacing w:before="0" w:line="240" w:lineRule="auto"/>
              <w:ind w:left="0"/>
              <w:jc w:val="center"/>
              <w:rPr>
                <w:rFonts w:hint="eastAsia" w:ascii="方正仿宋_GB2312" w:hAnsi="方正仿宋_GB2312" w:eastAsia="方正仿宋_GB2312" w:cs="方正仿宋_GB2312"/>
                <w:spacing w:val="6"/>
                <w:sz w:val="23"/>
                <w:szCs w:val="23"/>
                <w:highlight w:val="none"/>
                <w:lang w:eastAsia="zh-CN"/>
              </w:rPr>
            </w:pPr>
            <w:r>
              <w:rPr>
                <w:rFonts w:hint="eastAsia" w:ascii="方正仿宋_GB2312" w:hAnsi="方正仿宋_GB2312" w:eastAsia="方正仿宋_GB2312" w:cs="方正仿宋_GB2312"/>
                <w:spacing w:val="6"/>
                <w:sz w:val="23"/>
                <w:szCs w:val="23"/>
                <w:highlight w:val="none"/>
                <w:lang w:val="en-US" w:eastAsia="zh-CN"/>
              </w:rPr>
              <w:t>12</w:t>
            </w:r>
          </w:p>
        </w:tc>
        <w:tc>
          <w:tcPr>
            <w:tcW w:w="563" w:type="pct"/>
            <w:noWrap w:val="0"/>
            <w:vAlign w:val="center"/>
          </w:tcPr>
          <w:p w14:paraId="435C07CF">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p>
        </w:tc>
      </w:tr>
      <w:tr w14:paraId="48181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vMerge w:val="continue"/>
            <w:noWrap w:val="0"/>
            <w:vAlign w:val="center"/>
          </w:tcPr>
          <w:p w14:paraId="0AD488C7">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p>
        </w:tc>
        <w:tc>
          <w:tcPr>
            <w:tcW w:w="2569" w:type="pct"/>
            <w:noWrap w:val="0"/>
            <w:vAlign w:val="center"/>
          </w:tcPr>
          <w:p w14:paraId="76BB722C">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《网络安全预警通报》</w:t>
            </w:r>
          </w:p>
        </w:tc>
        <w:tc>
          <w:tcPr>
            <w:tcW w:w="822" w:type="pct"/>
            <w:noWrap w:val="0"/>
            <w:vAlign w:val="center"/>
          </w:tcPr>
          <w:p w14:paraId="24D31D63">
            <w:pPr>
              <w:pStyle w:val="42"/>
              <w:spacing w:before="0" w:line="240" w:lineRule="auto"/>
              <w:ind w:left="0"/>
              <w:jc w:val="center"/>
              <w:rPr>
                <w:rFonts w:hint="eastAsia" w:ascii="方正仿宋_GB2312" w:hAnsi="方正仿宋_GB2312" w:eastAsia="方正仿宋_GB2312" w:cs="方正仿宋_GB2312"/>
                <w:spacing w:val="6"/>
                <w:sz w:val="23"/>
                <w:szCs w:val="23"/>
                <w:highlight w:val="none"/>
                <w:lang w:val="en-US" w:eastAsia="zh-CN"/>
              </w:rPr>
            </w:pPr>
            <w:r>
              <w:rPr>
                <w:rFonts w:hint="eastAsia" w:ascii="方正仿宋_GB2312" w:hAnsi="方正仿宋_GB2312" w:eastAsia="方正仿宋_GB2312" w:cs="方正仿宋_GB2312"/>
                <w:spacing w:val="6"/>
                <w:sz w:val="23"/>
                <w:szCs w:val="23"/>
                <w:highlight w:val="none"/>
                <w:lang w:val="en-US" w:eastAsia="zh-CN"/>
              </w:rPr>
              <w:t>份</w:t>
            </w:r>
          </w:p>
        </w:tc>
        <w:tc>
          <w:tcPr>
            <w:tcW w:w="630" w:type="pct"/>
            <w:noWrap w:val="0"/>
            <w:vAlign w:val="center"/>
          </w:tcPr>
          <w:p w14:paraId="7184A0CF">
            <w:pPr>
              <w:pStyle w:val="42"/>
              <w:spacing w:before="0" w:line="240" w:lineRule="auto"/>
              <w:ind w:left="0"/>
              <w:jc w:val="center"/>
              <w:rPr>
                <w:rFonts w:hint="eastAsia" w:ascii="方正仿宋_GB2312" w:hAnsi="方正仿宋_GB2312" w:eastAsia="方正仿宋_GB2312" w:cs="方正仿宋_GB2312"/>
                <w:spacing w:val="6"/>
                <w:sz w:val="23"/>
                <w:szCs w:val="23"/>
                <w:highlight w:val="none"/>
                <w:lang w:val="en-US" w:eastAsia="zh-CN"/>
              </w:rPr>
            </w:pPr>
            <w:r>
              <w:rPr>
                <w:rFonts w:hint="eastAsia" w:ascii="方正仿宋_GB2312" w:hAnsi="方正仿宋_GB2312" w:eastAsia="方正仿宋_GB2312" w:cs="方正仿宋_GB2312"/>
                <w:spacing w:val="6"/>
                <w:sz w:val="23"/>
                <w:szCs w:val="23"/>
                <w:highlight w:val="none"/>
                <w:lang w:val="en-US" w:eastAsia="zh-CN"/>
              </w:rPr>
              <w:t>52</w:t>
            </w:r>
          </w:p>
        </w:tc>
        <w:tc>
          <w:tcPr>
            <w:tcW w:w="563" w:type="pct"/>
            <w:noWrap w:val="0"/>
            <w:vAlign w:val="center"/>
          </w:tcPr>
          <w:p w14:paraId="57BD54FC">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p>
        </w:tc>
      </w:tr>
      <w:tr w14:paraId="70B1A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000" w:type="pct"/>
            <w:gridSpan w:val="5"/>
            <w:noWrap w:val="0"/>
            <w:vAlign w:val="center"/>
          </w:tcPr>
          <w:p w14:paraId="36697F55">
            <w:pPr>
              <w:pStyle w:val="42"/>
              <w:spacing w:line="240" w:lineRule="auto"/>
              <w:ind w:left="168"/>
              <w:jc w:val="left"/>
              <w:rPr>
                <w:rFonts w:hint="eastAsia" w:ascii="方正仿宋_GB2312" w:hAnsi="方正仿宋_GB2312" w:eastAsia="方正仿宋_GB2312" w:cs="方正仿宋_GB2312"/>
                <w:spacing w:val="0"/>
                <w:sz w:val="23"/>
                <w:szCs w:val="23"/>
                <w:highlight w:val="none"/>
              </w:rPr>
            </w:pPr>
            <w:r>
              <w:rPr>
                <w:rFonts w:hint="eastAsia" w:ascii="方正仿宋_GB2312" w:hAnsi="方正仿宋_GB2312" w:eastAsia="方正仿宋_GB2312" w:cs="方正仿宋_GB2312"/>
                <w:spacing w:val="-3"/>
                <w:sz w:val="23"/>
                <w:szCs w:val="23"/>
                <w:highlight w:val="none"/>
                <w:lang w:val="en-US" w:eastAsia="zh-CN"/>
              </w:rPr>
              <w:t>二、</w:t>
            </w:r>
            <w:r>
              <w:rPr>
                <w:rFonts w:hint="eastAsia" w:ascii="方正仿宋_GB2312" w:hAnsi="方正仿宋_GB2312" w:eastAsia="方正仿宋_GB2312" w:cs="方正仿宋_GB2312"/>
                <w:spacing w:val="6"/>
                <w:sz w:val="23"/>
                <w:szCs w:val="23"/>
                <w:highlight w:val="none"/>
                <w:lang w:val="en-US" w:eastAsia="zh-CN"/>
              </w:rPr>
              <w:t>网络安全风险评估</w:t>
            </w:r>
          </w:p>
        </w:tc>
      </w:tr>
      <w:tr w14:paraId="4C5AA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vMerge w:val="restart"/>
            <w:noWrap w:val="0"/>
            <w:vAlign w:val="center"/>
          </w:tcPr>
          <w:p w14:paraId="63DCFB8D">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7</w:t>
            </w:r>
          </w:p>
        </w:tc>
        <w:tc>
          <w:tcPr>
            <w:tcW w:w="2569" w:type="pct"/>
            <w:noWrap w:val="0"/>
            <w:vAlign w:val="center"/>
          </w:tcPr>
          <w:p w14:paraId="23555CD2">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《网络安全风险评估实施方案》</w:t>
            </w:r>
          </w:p>
        </w:tc>
        <w:tc>
          <w:tcPr>
            <w:tcW w:w="822" w:type="pct"/>
            <w:noWrap w:val="0"/>
            <w:vAlign w:val="center"/>
          </w:tcPr>
          <w:p w14:paraId="6DAE5CC0">
            <w:pPr>
              <w:pStyle w:val="42"/>
              <w:spacing w:line="240" w:lineRule="auto"/>
              <w:ind w:left="0"/>
              <w:jc w:val="center"/>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488EC2B4">
            <w:pPr>
              <w:pStyle w:val="42"/>
              <w:spacing w:line="240" w:lineRule="auto"/>
              <w:ind w:left="0"/>
              <w:jc w:val="center"/>
              <w:rPr>
                <w:rFonts w:hint="eastAsia" w:ascii="方正仿宋_GB2312" w:hAnsi="方正仿宋_GB2312" w:eastAsia="方正仿宋_GB2312" w:cs="方正仿宋_GB2312"/>
                <w:spacing w:val="0"/>
                <w:sz w:val="23"/>
                <w:szCs w:val="23"/>
                <w:highlight w:val="none"/>
                <w:lang w:eastAsia="zh-CN"/>
              </w:rPr>
            </w:pPr>
            <w:r>
              <w:rPr>
                <w:rFonts w:hint="eastAsia" w:ascii="方正仿宋_GB2312" w:hAnsi="方正仿宋_GB2312" w:eastAsia="方正仿宋_GB2312" w:cs="方正仿宋_GB2312"/>
                <w:spacing w:val="0"/>
                <w:sz w:val="23"/>
                <w:szCs w:val="23"/>
                <w:highlight w:val="none"/>
                <w:lang w:val="en-US" w:eastAsia="zh-CN"/>
              </w:rPr>
              <w:t>1</w:t>
            </w:r>
          </w:p>
        </w:tc>
        <w:tc>
          <w:tcPr>
            <w:tcW w:w="563" w:type="pct"/>
            <w:noWrap w:val="0"/>
            <w:vAlign w:val="center"/>
          </w:tcPr>
          <w:p w14:paraId="55922215">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r w14:paraId="5A9A2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vMerge w:val="continue"/>
            <w:noWrap w:val="0"/>
            <w:vAlign w:val="center"/>
          </w:tcPr>
          <w:p w14:paraId="24ADE9BB">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p>
        </w:tc>
        <w:tc>
          <w:tcPr>
            <w:tcW w:w="2569" w:type="pct"/>
            <w:noWrap w:val="0"/>
            <w:vAlign w:val="center"/>
          </w:tcPr>
          <w:p w14:paraId="1BD320D0">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《网络安全风险评估报告》</w:t>
            </w:r>
          </w:p>
        </w:tc>
        <w:tc>
          <w:tcPr>
            <w:tcW w:w="822" w:type="pct"/>
            <w:noWrap w:val="0"/>
            <w:vAlign w:val="center"/>
          </w:tcPr>
          <w:p w14:paraId="58917BAF">
            <w:pPr>
              <w:pStyle w:val="42"/>
              <w:spacing w:before="0" w:line="240" w:lineRule="auto"/>
              <w:ind w:left="0"/>
              <w:jc w:val="center"/>
              <w:rPr>
                <w:rFonts w:hint="eastAsia" w:ascii="方正仿宋_GB2312" w:hAnsi="方正仿宋_GB2312" w:eastAsia="方正仿宋_GB2312" w:cs="方正仿宋_GB2312"/>
                <w:spacing w:val="6"/>
                <w:sz w:val="23"/>
                <w:szCs w:val="23"/>
                <w:highlight w:val="none"/>
                <w:lang w:val="en-US" w:eastAsia="zh-CN"/>
              </w:rPr>
            </w:pPr>
            <w:r>
              <w:rPr>
                <w:rFonts w:hint="eastAsia" w:ascii="方正仿宋_GB2312" w:hAnsi="方正仿宋_GB2312" w:eastAsia="方正仿宋_GB2312" w:cs="方正仿宋_GB2312"/>
                <w:spacing w:val="6"/>
                <w:sz w:val="23"/>
                <w:szCs w:val="23"/>
                <w:highlight w:val="none"/>
                <w:lang w:val="en-US" w:eastAsia="zh-CN"/>
              </w:rPr>
              <w:t>份</w:t>
            </w:r>
          </w:p>
        </w:tc>
        <w:tc>
          <w:tcPr>
            <w:tcW w:w="630" w:type="pct"/>
            <w:noWrap w:val="0"/>
            <w:vAlign w:val="center"/>
          </w:tcPr>
          <w:p w14:paraId="00F3899E">
            <w:pPr>
              <w:pStyle w:val="42"/>
              <w:spacing w:before="0" w:line="240" w:lineRule="auto"/>
              <w:ind w:left="0"/>
              <w:jc w:val="center"/>
              <w:rPr>
                <w:rFonts w:hint="eastAsia" w:ascii="方正仿宋_GB2312" w:hAnsi="方正仿宋_GB2312" w:eastAsia="方正仿宋_GB2312" w:cs="方正仿宋_GB2312"/>
                <w:spacing w:val="6"/>
                <w:sz w:val="23"/>
                <w:szCs w:val="23"/>
                <w:highlight w:val="none"/>
                <w:lang w:val="en-US" w:eastAsia="zh-CN"/>
              </w:rPr>
            </w:pPr>
            <w:r>
              <w:rPr>
                <w:rFonts w:hint="eastAsia" w:ascii="方正仿宋_GB2312" w:hAnsi="方正仿宋_GB2312" w:eastAsia="方正仿宋_GB2312" w:cs="方正仿宋_GB2312"/>
                <w:spacing w:val="6"/>
                <w:sz w:val="23"/>
                <w:szCs w:val="23"/>
                <w:highlight w:val="none"/>
                <w:lang w:val="en-US" w:eastAsia="zh-CN"/>
              </w:rPr>
              <w:t>1</w:t>
            </w:r>
          </w:p>
        </w:tc>
        <w:tc>
          <w:tcPr>
            <w:tcW w:w="563" w:type="pct"/>
            <w:noWrap w:val="0"/>
            <w:vAlign w:val="center"/>
          </w:tcPr>
          <w:p w14:paraId="27F4C17A">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p>
        </w:tc>
      </w:tr>
      <w:tr w14:paraId="64ACE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44781C05">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8</w:t>
            </w:r>
          </w:p>
        </w:tc>
        <w:tc>
          <w:tcPr>
            <w:tcW w:w="2569" w:type="pct"/>
            <w:noWrap w:val="0"/>
            <w:vAlign w:val="center"/>
          </w:tcPr>
          <w:p w14:paraId="0C03AB36">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《渗透测试报告》</w:t>
            </w:r>
          </w:p>
        </w:tc>
        <w:tc>
          <w:tcPr>
            <w:tcW w:w="822" w:type="pct"/>
            <w:noWrap w:val="0"/>
            <w:vAlign w:val="center"/>
          </w:tcPr>
          <w:p w14:paraId="0659A158">
            <w:pPr>
              <w:pStyle w:val="42"/>
              <w:spacing w:before="0" w:line="240" w:lineRule="auto"/>
              <w:ind w:left="0"/>
              <w:jc w:val="center"/>
              <w:rPr>
                <w:rFonts w:hint="eastAsia" w:ascii="方正仿宋_GB2312" w:hAnsi="方正仿宋_GB2312" w:eastAsia="方正仿宋_GB2312" w:cs="方正仿宋_GB2312"/>
                <w:spacing w:val="6"/>
                <w:sz w:val="23"/>
                <w:szCs w:val="23"/>
                <w:highlight w:val="none"/>
                <w:lang w:eastAsia="zh-CN"/>
              </w:rPr>
            </w:pPr>
            <w:r>
              <w:rPr>
                <w:rFonts w:hint="eastAsia" w:ascii="方正仿宋_GB2312" w:hAnsi="方正仿宋_GB2312" w:eastAsia="方正仿宋_GB2312" w:cs="方正仿宋_GB2312"/>
                <w:spacing w:val="6"/>
                <w:sz w:val="23"/>
                <w:szCs w:val="23"/>
                <w:highlight w:val="none"/>
                <w:lang w:val="en-US" w:eastAsia="zh-CN"/>
              </w:rPr>
              <w:t>份</w:t>
            </w:r>
          </w:p>
        </w:tc>
        <w:tc>
          <w:tcPr>
            <w:tcW w:w="630" w:type="pct"/>
            <w:noWrap w:val="0"/>
            <w:vAlign w:val="center"/>
          </w:tcPr>
          <w:p w14:paraId="536239C9">
            <w:pPr>
              <w:pStyle w:val="42"/>
              <w:spacing w:before="0" w:line="240" w:lineRule="auto"/>
              <w:ind w:left="0"/>
              <w:jc w:val="center"/>
              <w:rPr>
                <w:rFonts w:hint="eastAsia" w:ascii="方正仿宋_GB2312" w:hAnsi="方正仿宋_GB2312" w:eastAsia="方正仿宋_GB2312" w:cs="方正仿宋_GB2312"/>
                <w:spacing w:val="6"/>
                <w:sz w:val="23"/>
                <w:szCs w:val="23"/>
                <w:highlight w:val="none"/>
                <w:lang w:val="en-US" w:eastAsia="zh-CN"/>
              </w:rPr>
            </w:pPr>
            <w:r>
              <w:rPr>
                <w:rFonts w:hint="eastAsia" w:ascii="方正仿宋_GB2312" w:hAnsi="方正仿宋_GB2312" w:eastAsia="方正仿宋_GB2312" w:cs="方正仿宋_GB2312"/>
                <w:spacing w:val="6"/>
                <w:sz w:val="23"/>
                <w:szCs w:val="23"/>
                <w:highlight w:val="none"/>
                <w:lang w:val="en-US" w:eastAsia="zh-CN"/>
              </w:rPr>
              <w:t>4</w:t>
            </w:r>
          </w:p>
        </w:tc>
        <w:tc>
          <w:tcPr>
            <w:tcW w:w="563" w:type="pct"/>
            <w:noWrap w:val="0"/>
            <w:vAlign w:val="center"/>
          </w:tcPr>
          <w:p w14:paraId="543D69CA">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p>
        </w:tc>
      </w:tr>
      <w:tr w14:paraId="139B2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000" w:type="pct"/>
            <w:gridSpan w:val="5"/>
            <w:noWrap w:val="0"/>
            <w:vAlign w:val="center"/>
          </w:tcPr>
          <w:p w14:paraId="6F4978FC">
            <w:pPr>
              <w:pStyle w:val="42"/>
              <w:spacing w:line="240" w:lineRule="auto"/>
              <w:ind w:left="168"/>
              <w:jc w:val="left"/>
              <w:rPr>
                <w:rFonts w:hint="eastAsia" w:ascii="方正仿宋_GB2312" w:hAnsi="方正仿宋_GB2312" w:eastAsia="方正仿宋_GB2312" w:cs="方正仿宋_GB2312"/>
                <w:spacing w:val="0"/>
                <w:sz w:val="23"/>
                <w:szCs w:val="23"/>
                <w:highlight w:val="none"/>
              </w:rPr>
            </w:pPr>
            <w:r>
              <w:rPr>
                <w:rFonts w:hint="eastAsia" w:ascii="方正仿宋_GB2312" w:hAnsi="方正仿宋_GB2312" w:eastAsia="方正仿宋_GB2312" w:cs="方正仿宋_GB2312"/>
                <w:spacing w:val="-3"/>
                <w:sz w:val="23"/>
                <w:szCs w:val="23"/>
                <w:highlight w:val="none"/>
                <w:lang w:val="en-US" w:eastAsia="zh-CN"/>
              </w:rPr>
              <w:t>三、</w:t>
            </w:r>
            <w:r>
              <w:rPr>
                <w:rFonts w:hint="eastAsia" w:ascii="方正仿宋_GB2312" w:hAnsi="方正仿宋_GB2312" w:eastAsia="方正仿宋_GB2312" w:cs="方正仿宋_GB2312"/>
                <w:spacing w:val="6"/>
                <w:sz w:val="23"/>
                <w:szCs w:val="23"/>
                <w:highlight w:val="none"/>
              </w:rPr>
              <w:t>网络流量及日志安全分析服务</w:t>
            </w:r>
          </w:p>
        </w:tc>
      </w:tr>
      <w:tr w14:paraId="0B060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1D1288A5">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9</w:t>
            </w:r>
          </w:p>
        </w:tc>
        <w:tc>
          <w:tcPr>
            <w:tcW w:w="2569" w:type="pct"/>
            <w:noWrap w:val="0"/>
            <w:vAlign w:val="center"/>
          </w:tcPr>
          <w:p w14:paraId="44EFD7CD">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《网络流量监测预警分析报告》</w:t>
            </w:r>
          </w:p>
        </w:tc>
        <w:tc>
          <w:tcPr>
            <w:tcW w:w="822" w:type="pct"/>
            <w:noWrap w:val="0"/>
            <w:vAlign w:val="center"/>
          </w:tcPr>
          <w:p w14:paraId="3946350B">
            <w:pPr>
              <w:pStyle w:val="42"/>
              <w:spacing w:line="240" w:lineRule="auto"/>
              <w:ind w:left="0"/>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4B80D0D0">
            <w:pPr>
              <w:pStyle w:val="42"/>
              <w:spacing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12</w:t>
            </w:r>
          </w:p>
        </w:tc>
        <w:tc>
          <w:tcPr>
            <w:tcW w:w="563" w:type="pct"/>
            <w:noWrap w:val="0"/>
            <w:vAlign w:val="center"/>
          </w:tcPr>
          <w:p w14:paraId="5BE7F667">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r w14:paraId="6C6F4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000" w:type="pct"/>
            <w:gridSpan w:val="5"/>
            <w:noWrap w:val="0"/>
            <w:vAlign w:val="center"/>
          </w:tcPr>
          <w:p w14:paraId="24C80379">
            <w:pPr>
              <w:pStyle w:val="42"/>
              <w:spacing w:line="240" w:lineRule="auto"/>
              <w:ind w:left="168"/>
              <w:jc w:val="left"/>
              <w:rPr>
                <w:rFonts w:hint="eastAsia" w:ascii="方正仿宋_GB2312" w:hAnsi="方正仿宋_GB2312" w:eastAsia="方正仿宋_GB2312" w:cs="方正仿宋_GB2312"/>
                <w:spacing w:val="0"/>
                <w:sz w:val="23"/>
                <w:szCs w:val="23"/>
                <w:highlight w:val="none"/>
                <w:lang w:val="en-US"/>
              </w:rPr>
            </w:pPr>
            <w:r>
              <w:rPr>
                <w:rFonts w:hint="eastAsia" w:ascii="方正仿宋_GB2312" w:hAnsi="方正仿宋_GB2312" w:eastAsia="方正仿宋_GB2312" w:cs="方正仿宋_GB2312"/>
                <w:spacing w:val="-3"/>
                <w:sz w:val="23"/>
                <w:szCs w:val="23"/>
                <w:highlight w:val="none"/>
                <w:lang w:val="en-US" w:eastAsia="zh-CN"/>
              </w:rPr>
              <w:t>四、网络安全培训服务</w:t>
            </w:r>
          </w:p>
        </w:tc>
      </w:tr>
      <w:tr w14:paraId="1E30E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5DA8DE23">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10</w:t>
            </w:r>
          </w:p>
        </w:tc>
        <w:tc>
          <w:tcPr>
            <w:tcW w:w="2569" w:type="pct"/>
            <w:noWrap w:val="0"/>
            <w:vAlign w:val="center"/>
          </w:tcPr>
          <w:p w14:paraId="662F9635">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《网络安全技术培训讲义》</w:t>
            </w:r>
          </w:p>
        </w:tc>
        <w:tc>
          <w:tcPr>
            <w:tcW w:w="822" w:type="pct"/>
            <w:noWrap w:val="0"/>
            <w:vAlign w:val="center"/>
          </w:tcPr>
          <w:p w14:paraId="05AF15A3">
            <w:pPr>
              <w:pStyle w:val="42"/>
              <w:spacing w:line="240" w:lineRule="auto"/>
              <w:ind w:left="0"/>
              <w:jc w:val="center"/>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2F099BE9">
            <w:pPr>
              <w:pStyle w:val="42"/>
              <w:spacing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2</w:t>
            </w:r>
          </w:p>
        </w:tc>
        <w:tc>
          <w:tcPr>
            <w:tcW w:w="563" w:type="pct"/>
            <w:noWrap w:val="0"/>
            <w:vAlign w:val="center"/>
          </w:tcPr>
          <w:p w14:paraId="77934D52">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r w14:paraId="7B7E3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562B4224">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11</w:t>
            </w:r>
          </w:p>
        </w:tc>
        <w:tc>
          <w:tcPr>
            <w:tcW w:w="2569" w:type="pct"/>
            <w:noWrap w:val="0"/>
            <w:vAlign w:val="center"/>
          </w:tcPr>
          <w:p w14:paraId="57C28B6E">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《网络安全技术培训报告》</w:t>
            </w:r>
          </w:p>
        </w:tc>
        <w:tc>
          <w:tcPr>
            <w:tcW w:w="822" w:type="pct"/>
            <w:noWrap w:val="0"/>
            <w:vAlign w:val="center"/>
          </w:tcPr>
          <w:p w14:paraId="03B77BDB">
            <w:pPr>
              <w:pStyle w:val="42"/>
              <w:spacing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6F8D11F7">
            <w:pPr>
              <w:pStyle w:val="42"/>
              <w:spacing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2</w:t>
            </w:r>
          </w:p>
        </w:tc>
        <w:tc>
          <w:tcPr>
            <w:tcW w:w="563" w:type="pct"/>
            <w:noWrap w:val="0"/>
            <w:vAlign w:val="center"/>
          </w:tcPr>
          <w:p w14:paraId="2DE9E623">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r w14:paraId="630FA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000" w:type="pct"/>
            <w:gridSpan w:val="5"/>
            <w:noWrap w:val="0"/>
            <w:vAlign w:val="center"/>
          </w:tcPr>
          <w:p w14:paraId="4A9601A2">
            <w:pPr>
              <w:pStyle w:val="42"/>
              <w:spacing w:line="240" w:lineRule="auto"/>
              <w:ind w:left="168"/>
              <w:jc w:val="left"/>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五、网络安全风险评估支撑服务</w:t>
            </w:r>
          </w:p>
        </w:tc>
      </w:tr>
      <w:tr w14:paraId="353B4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0976AEEC">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12</w:t>
            </w:r>
          </w:p>
        </w:tc>
        <w:tc>
          <w:tcPr>
            <w:tcW w:w="2569" w:type="pct"/>
            <w:noWrap w:val="0"/>
            <w:vAlign w:val="center"/>
          </w:tcPr>
          <w:p w14:paraId="5F720DFD">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《漏洞扫描系统界面功能截图》</w:t>
            </w:r>
          </w:p>
        </w:tc>
        <w:tc>
          <w:tcPr>
            <w:tcW w:w="822" w:type="pct"/>
            <w:noWrap w:val="0"/>
            <w:vAlign w:val="center"/>
          </w:tcPr>
          <w:p w14:paraId="1ADCAB1B">
            <w:pPr>
              <w:pStyle w:val="42"/>
              <w:spacing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4A0600E0">
            <w:pPr>
              <w:pStyle w:val="42"/>
              <w:spacing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w:t>
            </w:r>
          </w:p>
        </w:tc>
        <w:tc>
          <w:tcPr>
            <w:tcW w:w="563" w:type="pct"/>
            <w:noWrap w:val="0"/>
            <w:vAlign w:val="center"/>
          </w:tcPr>
          <w:p w14:paraId="2581BD3F">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r w14:paraId="20472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4645F455">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13</w:t>
            </w:r>
          </w:p>
        </w:tc>
        <w:tc>
          <w:tcPr>
            <w:tcW w:w="2569" w:type="pct"/>
            <w:noWrap w:val="0"/>
            <w:vAlign w:val="center"/>
          </w:tcPr>
          <w:p w14:paraId="3D9517FC">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《流量监控平台部署及配置文档》</w:t>
            </w:r>
          </w:p>
        </w:tc>
        <w:tc>
          <w:tcPr>
            <w:tcW w:w="822" w:type="pct"/>
            <w:noWrap w:val="0"/>
            <w:vAlign w:val="center"/>
          </w:tcPr>
          <w:p w14:paraId="2C9F9DCB">
            <w:pPr>
              <w:pStyle w:val="42"/>
              <w:spacing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4202C924">
            <w:pPr>
              <w:pStyle w:val="42"/>
              <w:spacing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w:t>
            </w:r>
          </w:p>
        </w:tc>
        <w:tc>
          <w:tcPr>
            <w:tcW w:w="563" w:type="pct"/>
            <w:noWrap w:val="0"/>
            <w:vAlign w:val="center"/>
          </w:tcPr>
          <w:p w14:paraId="4B4B97B2">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r w14:paraId="38E89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2EAF5707">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14</w:t>
            </w:r>
          </w:p>
        </w:tc>
        <w:tc>
          <w:tcPr>
            <w:tcW w:w="2569" w:type="pct"/>
            <w:noWrap w:val="0"/>
            <w:vAlign w:val="center"/>
          </w:tcPr>
          <w:p w14:paraId="3DBCA050">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《流量监控平台运行报告》</w:t>
            </w:r>
          </w:p>
        </w:tc>
        <w:tc>
          <w:tcPr>
            <w:tcW w:w="822" w:type="pct"/>
            <w:noWrap w:val="0"/>
            <w:vAlign w:val="center"/>
          </w:tcPr>
          <w:p w14:paraId="4F4473A4">
            <w:pPr>
              <w:pStyle w:val="42"/>
              <w:spacing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26EBD81D">
            <w:pPr>
              <w:pStyle w:val="42"/>
              <w:spacing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12</w:t>
            </w:r>
          </w:p>
        </w:tc>
        <w:tc>
          <w:tcPr>
            <w:tcW w:w="563" w:type="pct"/>
            <w:noWrap w:val="0"/>
            <w:vAlign w:val="center"/>
          </w:tcPr>
          <w:p w14:paraId="1C721349">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r w14:paraId="1C696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3DF09CE1">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15</w:t>
            </w:r>
          </w:p>
        </w:tc>
        <w:tc>
          <w:tcPr>
            <w:tcW w:w="2569" w:type="pct"/>
            <w:noWrap w:val="0"/>
            <w:vAlign w:val="center"/>
          </w:tcPr>
          <w:p w14:paraId="51ACE2E3">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《蜜罐系统部署方案》</w:t>
            </w:r>
          </w:p>
        </w:tc>
        <w:tc>
          <w:tcPr>
            <w:tcW w:w="822" w:type="pct"/>
            <w:noWrap w:val="0"/>
            <w:vAlign w:val="center"/>
          </w:tcPr>
          <w:p w14:paraId="0B2629C3">
            <w:pPr>
              <w:pStyle w:val="42"/>
              <w:spacing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747BFD96">
            <w:pPr>
              <w:pStyle w:val="42"/>
              <w:spacing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1</w:t>
            </w:r>
          </w:p>
        </w:tc>
        <w:tc>
          <w:tcPr>
            <w:tcW w:w="563" w:type="pct"/>
            <w:noWrap w:val="0"/>
            <w:vAlign w:val="center"/>
          </w:tcPr>
          <w:p w14:paraId="09AB981D">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r w14:paraId="4D20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5" w:type="pct"/>
            <w:noWrap w:val="0"/>
            <w:vAlign w:val="center"/>
          </w:tcPr>
          <w:p w14:paraId="328FAF40">
            <w:pPr>
              <w:pStyle w:val="42"/>
              <w:spacing w:before="0" w:line="240" w:lineRule="auto"/>
              <w:ind w:left="168"/>
              <w:jc w:val="center"/>
              <w:rPr>
                <w:rFonts w:hint="eastAsia" w:ascii="方正仿宋_GB2312" w:hAnsi="方正仿宋_GB2312" w:eastAsia="方正仿宋_GB2312" w:cs="方正仿宋_GB2312"/>
                <w:spacing w:val="-3"/>
                <w:sz w:val="23"/>
                <w:szCs w:val="23"/>
                <w:highlight w:val="none"/>
                <w:lang w:val="en-US" w:eastAsia="zh-CN"/>
              </w:rPr>
            </w:pPr>
            <w:r>
              <w:rPr>
                <w:rFonts w:hint="eastAsia" w:ascii="方正仿宋_GB2312" w:hAnsi="方正仿宋_GB2312" w:eastAsia="方正仿宋_GB2312" w:cs="方正仿宋_GB2312"/>
                <w:spacing w:val="-3"/>
                <w:sz w:val="23"/>
                <w:szCs w:val="23"/>
                <w:highlight w:val="none"/>
                <w:lang w:val="en-US" w:eastAsia="zh-CN"/>
              </w:rPr>
              <w:t>16</w:t>
            </w:r>
          </w:p>
        </w:tc>
        <w:tc>
          <w:tcPr>
            <w:tcW w:w="2569" w:type="pct"/>
            <w:noWrap w:val="0"/>
            <w:vAlign w:val="center"/>
          </w:tcPr>
          <w:p w14:paraId="2B0F7737">
            <w:pPr>
              <w:pStyle w:val="42"/>
              <w:spacing w:before="0" w:line="240" w:lineRule="auto"/>
              <w:ind w:left="0"/>
              <w:jc w:val="left"/>
              <w:rPr>
                <w:rFonts w:hint="eastAsia" w:ascii="方正仿宋_GB2312" w:hAnsi="方正仿宋_GB2312" w:eastAsia="方正仿宋_GB2312" w:cs="方正仿宋_GB2312"/>
                <w:spacing w:val="6"/>
                <w:sz w:val="23"/>
                <w:szCs w:val="23"/>
                <w:highlight w:val="none"/>
              </w:rPr>
            </w:pPr>
            <w:r>
              <w:rPr>
                <w:rFonts w:hint="eastAsia" w:ascii="方正仿宋_GB2312" w:hAnsi="方正仿宋_GB2312" w:eastAsia="方正仿宋_GB2312" w:cs="方正仿宋_GB2312"/>
                <w:spacing w:val="6"/>
                <w:sz w:val="23"/>
                <w:szCs w:val="23"/>
                <w:highlight w:val="none"/>
              </w:rPr>
              <w:t>《蜜罐系统运行与威胁监测周报》</w:t>
            </w:r>
          </w:p>
        </w:tc>
        <w:tc>
          <w:tcPr>
            <w:tcW w:w="822" w:type="pct"/>
            <w:noWrap w:val="0"/>
            <w:vAlign w:val="center"/>
          </w:tcPr>
          <w:p w14:paraId="420E70AB">
            <w:pPr>
              <w:pStyle w:val="42"/>
              <w:spacing w:line="240" w:lineRule="auto"/>
              <w:ind w:left="0"/>
              <w:jc w:val="center"/>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份</w:t>
            </w:r>
          </w:p>
        </w:tc>
        <w:tc>
          <w:tcPr>
            <w:tcW w:w="630" w:type="pct"/>
            <w:noWrap w:val="0"/>
            <w:vAlign w:val="center"/>
          </w:tcPr>
          <w:p w14:paraId="7628C3E0">
            <w:pPr>
              <w:pStyle w:val="42"/>
              <w:spacing w:line="240" w:lineRule="auto"/>
              <w:ind w:left="0"/>
              <w:jc w:val="center"/>
              <w:rPr>
                <w:rFonts w:hint="eastAsia" w:ascii="方正仿宋_GB2312" w:hAnsi="方正仿宋_GB2312" w:eastAsia="方正仿宋_GB2312" w:cs="方正仿宋_GB2312"/>
                <w:spacing w:val="0"/>
                <w:sz w:val="23"/>
                <w:szCs w:val="23"/>
                <w:highlight w:val="none"/>
                <w:lang w:val="en-US" w:eastAsia="zh-CN"/>
              </w:rPr>
            </w:pPr>
            <w:r>
              <w:rPr>
                <w:rFonts w:hint="eastAsia" w:ascii="方正仿宋_GB2312" w:hAnsi="方正仿宋_GB2312" w:eastAsia="方正仿宋_GB2312" w:cs="方正仿宋_GB2312"/>
                <w:spacing w:val="0"/>
                <w:sz w:val="23"/>
                <w:szCs w:val="23"/>
                <w:highlight w:val="none"/>
                <w:lang w:val="en-US" w:eastAsia="zh-CN"/>
              </w:rPr>
              <w:t>52</w:t>
            </w:r>
          </w:p>
        </w:tc>
        <w:tc>
          <w:tcPr>
            <w:tcW w:w="563" w:type="pct"/>
            <w:noWrap w:val="0"/>
            <w:vAlign w:val="center"/>
          </w:tcPr>
          <w:p w14:paraId="05F00463">
            <w:pPr>
              <w:pStyle w:val="42"/>
              <w:spacing w:line="240" w:lineRule="auto"/>
              <w:ind w:left="0"/>
              <w:jc w:val="center"/>
              <w:rPr>
                <w:rFonts w:hint="eastAsia" w:ascii="方正仿宋_GB2312" w:hAnsi="方正仿宋_GB2312" w:eastAsia="方正仿宋_GB2312" w:cs="方正仿宋_GB2312"/>
                <w:spacing w:val="0"/>
                <w:sz w:val="23"/>
                <w:szCs w:val="23"/>
                <w:highlight w:val="none"/>
              </w:rPr>
            </w:pPr>
          </w:p>
        </w:tc>
      </w:tr>
    </w:tbl>
    <w:p w14:paraId="446A688D">
      <w:pPr>
        <w:rPr>
          <w:rFonts w:hint="eastAsia" w:ascii="方正仿宋_GB2312" w:hAnsi="方正仿宋_GB2312" w:eastAsia="方正仿宋_GB2312" w:cs="方正仿宋_GB2312"/>
          <w:b w:val="0"/>
          <w:bCs w:val="0"/>
          <w:i/>
          <w:iCs/>
          <w:color w:val="auto"/>
          <w:sz w:val="24"/>
          <w:szCs w:val="24"/>
          <w:highlight w:val="none"/>
          <w:u w:val="single"/>
        </w:rPr>
      </w:pPr>
    </w:p>
    <w:p w14:paraId="634C0752">
      <w:pPr>
        <w:pStyle w:val="20"/>
        <w:snapToGrid w:val="0"/>
        <w:spacing w:before="120" w:after="120"/>
        <w:ind w:firstLine="480" w:firstLineChars="200"/>
        <w:rPr>
          <w:rFonts w:hint="eastAsia" w:ascii="方正仿宋_GB2312" w:hAnsi="方正仿宋_GB2312" w:eastAsia="方正仿宋_GB2312" w:cs="方正仿宋_GB2312"/>
          <w:b w:val="0"/>
          <w:bCs w:val="0"/>
          <w:i/>
          <w:iCs/>
          <w:color w:val="auto"/>
          <w:sz w:val="24"/>
          <w:szCs w:val="24"/>
          <w:highlight w:val="none"/>
          <w:u w:val="single"/>
        </w:rPr>
      </w:pPr>
      <w:r>
        <w:rPr>
          <w:rFonts w:hint="eastAsia" w:ascii="方正仿宋_GB2312" w:hAnsi="方正仿宋_GB2312" w:eastAsia="方正仿宋_GB2312" w:cs="方正仿宋_GB2312"/>
          <w:b w:val="0"/>
          <w:bCs w:val="0"/>
          <w:i/>
          <w:iCs/>
          <w:color w:val="auto"/>
          <w:sz w:val="24"/>
          <w:szCs w:val="24"/>
          <w:highlight w:val="none"/>
          <w:u w:val="single"/>
          <w:lang w:val="en-US" w:eastAsia="zh-CN"/>
        </w:rPr>
        <w:t>2</w:t>
      </w:r>
      <w:r>
        <w:rPr>
          <w:rFonts w:hint="eastAsia" w:ascii="方正仿宋_GB2312" w:hAnsi="方正仿宋_GB2312" w:eastAsia="方正仿宋_GB2312" w:cs="方正仿宋_GB2312"/>
          <w:b w:val="0"/>
          <w:bCs w:val="0"/>
          <w:i/>
          <w:iCs/>
          <w:color w:val="auto"/>
          <w:sz w:val="24"/>
          <w:szCs w:val="24"/>
          <w:highlight w:val="none"/>
          <w:u w:val="single"/>
        </w:rPr>
        <w:t>.</w:t>
      </w:r>
      <w:r>
        <w:rPr>
          <w:rFonts w:hint="eastAsia" w:ascii="方正仿宋_GB2312" w:hAnsi="方正仿宋_GB2312" w:eastAsia="方正仿宋_GB2312" w:cs="方正仿宋_GB2312"/>
          <w:b w:val="0"/>
          <w:bCs w:val="0"/>
          <w:i/>
          <w:iCs/>
          <w:color w:val="auto"/>
          <w:sz w:val="24"/>
          <w:szCs w:val="24"/>
          <w:highlight w:val="none"/>
          <w:u w:val="single"/>
          <w:lang w:val="en-US" w:eastAsia="zh-CN"/>
        </w:rPr>
        <w:t>2</w:t>
      </w:r>
      <w:r>
        <w:rPr>
          <w:rFonts w:hint="eastAsia" w:ascii="方正仿宋_GB2312" w:hAnsi="方正仿宋_GB2312" w:eastAsia="方正仿宋_GB2312" w:cs="方正仿宋_GB2312"/>
          <w:b w:val="0"/>
          <w:bCs w:val="0"/>
          <w:i/>
          <w:iCs/>
          <w:color w:val="auto"/>
          <w:sz w:val="24"/>
          <w:szCs w:val="24"/>
          <w:highlight w:val="none"/>
          <w:u w:val="single"/>
        </w:rPr>
        <w:t xml:space="preserve"> 交付地点：采购人指定。</w:t>
      </w:r>
    </w:p>
    <w:p w14:paraId="23FF8423">
      <w:pPr>
        <w:pStyle w:val="6"/>
        <w:numPr>
          <w:ilvl w:val="3"/>
          <w:numId w:val="0"/>
        </w:numPr>
        <w:ind w:left="422" w:leftChars="0" w:firstLine="240" w:firstLineChars="100"/>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en-US" w:eastAsia="zh-CN"/>
        </w:rPr>
        <w:t>3.付款条件</w:t>
      </w:r>
    </w:p>
    <w:p w14:paraId="45774760">
      <w:pPr>
        <w:pStyle w:val="20"/>
        <w:snapToGrid w:val="0"/>
        <w:spacing w:before="120" w:after="120"/>
        <w:ind w:firstLine="480" w:firstLineChars="200"/>
        <w:rPr>
          <w:rFonts w:hint="eastAsia" w:ascii="方正仿宋_GB2312" w:hAnsi="方正仿宋_GB2312" w:eastAsia="方正仿宋_GB2312" w:cs="方正仿宋_GB2312"/>
          <w:b w:val="0"/>
          <w:bCs w:val="0"/>
          <w:i/>
          <w:iCs/>
          <w:color w:val="auto"/>
          <w:sz w:val="24"/>
          <w:szCs w:val="24"/>
          <w:highlight w:val="none"/>
          <w:u w:val="single"/>
        </w:rPr>
      </w:pPr>
      <w:r>
        <w:rPr>
          <w:rFonts w:hint="eastAsia" w:ascii="方正仿宋_GB2312" w:hAnsi="方正仿宋_GB2312" w:eastAsia="方正仿宋_GB2312" w:cs="方正仿宋_GB2312"/>
          <w:b w:val="0"/>
          <w:bCs w:val="0"/>
          <w:i/>
          <w:iCs/>
          <w:color w:val="auto"/>
          <w:sz w:val="24"/>
          <w:szCs w:val="24"/>
          <w:highlight w:val="none"/>
          <w:u w:val="single"/>
          <w:lang w:val="en-US" w:eastAsia="zh-CN"/>
        </w:rPr>
        <w:t>3</w:t>
      </w:r>
      <w:r>
        <w:rPr>
          <w:rFonts w:hint="eastAsia" w:ascii="方正仿宋_GB2312" w:hAnsi="方正仿宋_GB2312" w:eastAsia="方正仿宋_GB2312" w:cs="方正仿宋_GB2312"/>
          <w:b w:val="0"/>
          <w:bCs w:val="0"/>
          <w:i/>
          <w:iCs/>
          <w:color w:val="auto"/>
          <w:sz w:val="24"/>
          <w:szCs w:val="24"/>
          <w:highlight w:val="none"/>
          <w:u w:val="single"/>
        </w:rPr>
        <w:t>.1 第一次付款：</w:t>
      </w:r>
      <w:r>
        <w:rPr>
          <w:rFonts w:hint="eastAsia" w:ascii="方正仿宋_GB2312" w:hAnsi="方正仿宋_GB2312" w:eastAsia="方正仿宋_GB2312" w:cs="方正仿宋_GB2312"/>
          <w:b w:val="0"/>
          <w:bCs w:val="0"/>
          <w:i/>
          <w:iCs/>
          <w:color w:val="auto"/>
          <w:sz w:val="24"/>
          <w:szCs w:val="24"/>
          <w:highlight w:val="none"/>
          <w:u w:val="single"/>
          <w:lang w:val="en-US" w:eastAsia="zh-CN"/>
        </w:rPr>
        <w:t>签订合同后5天内</w:t>
      </w:r>
      <w:r>
        <w:rPr>
          <w:rFonts w:hint="eastAsia" w:ascii="方正仿宋_GB2312" w:hAnsi="方正仿宋_GB2312" w:eastAsia="方正仿宋_GB2312" w:cs="方正仿宋_GB2312"/>
          <w:b w:val="0"/>
          <w:bCs w:val="0"/>
          <w:i/>
          <w:iCs/>
          <w:color w:val="auto"/>
          <w:sz w:val="24"/>
          <w:szCs w:val="24"/>
          <w:highlight w:val="none"/>
          <w:u w:val="single"/>
        </w:rPr>
        <w:t>，支付合同金额的</w:t>
      </w:r>
      <w:r>
        <w:rPr>
          <w:rFonts w:hint="eastAsia" w:ascii="方正仿宋_GB2312" w:hAnsi="方正仿宋_GB2312" w:eastAsia="方正仿宋_GB2312" w:cs="方正仿宋_GB2312"/>
          <w:b w:val="0"/>
          <w:bCs w:val="0"/>
          <w:i/>
          <w:iCs/>
          <w:color w:val="auto"/>
          <w:sz w:val="24"/>
          <w:szCs w:val="24"/>
          <w:highlight w:val="none"/>
          <w:u w:val="single"/>
          <w:lang w:val="en-US" w:eastAsia="zh-CN"/>
        </w:rPr>
        <w:t>60</w:t>
      </w:r>
      <w:r>
        <w:rPr>
          <w:rFonts w:hint="eastAsia" w:ascii="方正仿宋_GB2312" w:hAnsi="方正仿宋_GB2312" w:eastAsia="方正仿宋_GB2312" w:cs="方正仿宋_GB2312"/>
          <w:b w:val="0"/>
          <w:bCs w:val="0"/>
          <w:i/>
          <w:iCs/>
          <w:color w:val="auto"/>
          <w:sz w:val="24"/>
          <w:szCs w:val="24"/>
          <w:highlight w:val="none"/>
          <w:u w:val="single"/>
        </w:rPr>
        <w:t>%</w:t>
      </w:r>
      <w:r>
        <w:rPr>
          <w:rFonts w:hint="eastAsia" w:ascii="方正仿宋_GB2312" w:hAnsi="方正仿宋_GB2312" w:eastAsia="方正仿宋_GB2312" w:cs="方正仿宋_GB2312"/>
          <w:b w:val="0"/>
          <w:bCs w:val="0"/>
          <w:i/>
          <w:iCs/>
          <w:color w:val="auto"/>
          <w:sz w:val="24"/>
          <w:szCs w:val="24"/>
          <w:highlight w:val="none"/>
          <w:u w:val="single"/>
          <w:lang w:eastAsia="zh-CN"/>
        </w:rPr>
        <w:t>的</w:t>
      </w:r>
      <w:r>
        <w:rPr>
          <w:rFonts w:hint="eastAsia" w:ascii="方正仿宋_GB2312" w:hAnsi="方正仿宋_GB2312" w:eastAsia="方正仿宋_GB2312" w:cs="方正仿宋_GB2312"/>
          <w:b w:val="0"/>
          <w:bCs w:val="0"/>
          <w:i/>
          <w:iCs/>
          <w:color w:val="auto"/>
          <w:sz w:val="24"/>
          <w:szCs w:val="24"/>
          <w:highlight w:val="none"/>
          <w:u w:val="single"/>
          <w:lang w:val="en-US" w:eastAsia="zh-CN"/>
        </w:rPr>
        <w:t>预付款</w:t>
      </w:r>
      <w:r>
        <w:rPr>
          <w:rFonts w:hint="eastAsia" w:ascii="方正仿宋_GB2312" w:hAnsi="方正仿宋_GB2312" w:eastAsia="方正仿宋_GB2312" w:cs="方正仿宋_GB2312"/>
          <w:b w:val="0"/>
          <w:bCs w:val="0"/>
          <w:i/>
          <w:iCs/>
          <w:color w:val="auto"/>
          <w:sz w:val="24"/>
          <w:szCs w:val="24"/>
          <w:highlight w:val="none"/>
          <w:u w:val="single"/>
        </w:rPr>
        <w:t>。</w:t>
      </w:r>
    </w:p>
    <w:p w14:paraId="7A777780">
      <w:pPr>
        <w:spacing w:line="360" w:lineRule="auto"/>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b w:val="0"/>
          <w:bCs w:val="0"/>
          <w:i/>
          <w:iCs/>
          <w:color w:val="auto"/>
          <w:sz w:val="24"/>
          <w:szCs w:val="24"/>
          <w:highlight w:val="none"/>
          <w:u w:val="single"/>
          <w:lang w:val="en-US" w:eastAsia="zh-CN"/>
        </w:rPr>
        <w:t>3</w:t>
      </w:r>
      <w:r>
        <w:rPr>
          <w:rFonts w:hint="eastAsia" w:ascii="方正仿宋_GB2312" w:hAnsi="方正仿宋_GB2312" w:eastAsia="方正仿宋_GB2312" w:cs="方正仿宋_GB2312"/>
          <w:b w:val="0"/>
          <w:bCs w:val="0"/>
          <w:i/>
          <w:iCs/>
          <w:color w:val="auto"/>
          <w:sz w:val="24"/>
          <w:szCs w:val="24"/>
          <w:highlight w:val="none"/>
          <w:u w:val="single"/>
        </w:rPr>
        <w:t>.2 第二次付款：</w:t>
      </w:r>
      <w:r>
        <w:rPr>
          <w:rFonts w:hint="eastAsia" w:ascii="方正仿宋_GB2312" w:hAnsi="方正仿宋_GB2312" w:eastAsia="方正仿宋_GB2312" w:cs="方正仿宋_GB2312"/>
          <w:b w:val="0"/>
          <w:bCs w:val="0"/>
          <w:i/>
          <w:iCs/>
          <w:color w:val="auto"/>
          <w:sz w:val="24"/>
          <w:szCs w:val="24"/>
          <w:highlight w:val="none"/>
          <w:u w:val="single"/>
          <w:lang w:val="en-US" w:eastAsia="zh-CN"/>
        </w:rPr>
        <w:t>合同签订后365日历天内，乙方提交全部工作交付物，通过甲方组织的验收后15个工作日内，支付至合同金额的100%</w:t>
      </w:r>
      <w:r>
        <w:rPr>
          <w:rFonts w:hint="eastAsia" w:ascii="方正仿宋_GB2312" w:hAnsi="方正仿宋_GB2312" w:eastAsia="方正仿宋_GB2312" w:cs="方正仿宋_GB2312"/>
          <w:b w:val="0"/>
          <w:bCs w:val="0"/>
          <w:i/>
          <w:iCs/>
          <w:color w:val="auto"/>
          <w:sz w:val="24"/>
          <w:szCs w:val="24"/>
          <w:highlight w:val="none"/>
          <w:u w:val="single"/>
        </w:rPr>
        <w:t>。</w:t>
      </w:r>
    </w:p>
    <w:p w14:paraId="70959D9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sz w:val="24"/>
          <w:szCs w:val="24"/>
          <w:highlight w:val="none"/>
          <w:lang w:val="en-US" w:eastAsia="zh-CN"/>
        </w:rPr>
      </w:pPr>
    </w:p>
    <w:p w14:paraId="0D479342">
      <w:pPr>
        <w:shd w:val="clear"/>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sz w:val="24"/>
          <w:szCs w:val="24"/>
          <w:highlight w:val="none"/>
          <w:lang w:val="en-US" w:eastAsia="zh-CN"/>
        </w:rPr>
        <w:br w:type="page"/>
      </w:r>
    </w:p>
    <w:p w14:paraId="4F6930D2">
      <w:pPr>
        <w:pStyle w:val="3"/>
        <w:numPr>
          <w:ilvl w:val="0"/>
          <w:numId w:val="4"/>
        </w:numPr>
        <w:shd w:val="clear"/>
        <w:bidi w:val="0"/>
        <w:jc w:val="center"/>
        <w:rPr>
          <w:rFonts w:hint="eastAsia" w:ascii="仿宋_GB2312" w:hAnsi="仿宋_GB2312" w:eastAsia="仿宋_GB2312" w:cs="仿宋_GB2312"/>
          <w:sz w:val="32"/>
          <w:szCs w:val="32"/>
          <w:highlight w:val="none"/>
          <w:lang w:val="en-US" w:eastAsia="zh-CN"/>
        </w:rPr>
      </w:pPr>
      <w:bookmarkStart w:id="24" w:name="_Toc27718"/>
      <w:r>
        <w:rPr>
          <w:rFonts w:hint="eastAsia" w:ascii="仿宋_GB2312" w:hAnsi="仿宋_GB2312" w:eastAsia="仿宋_GB2312" w:cs="仿宋_GB2312"/>
          <w:sz w:val="32"/>
          <w:szCs w:val="32"/>
          <w:highlight w:val="none"/>
          <w:lang w:val="en-US" w:eastAsia="zh-CN"/>
        </w:rPr>
        <w:t>评标程序、评标方法和评标标准</w:t>
      </w:r>
      <w:bookmarkEnd w:id="24"/>
    </w:p>
    <w:p w14:paraId="0CD51359">
      <w:pPr>
        <w:keepNext w:val="0"/>
        <w:keepLines w:val="0"/>
        <w:pageBreakBefore w:val="0"/>
        <w:widowControl w:val="0"/>
        <w:numPr>
          <w:ilvl w:val="0"/>
          <w:numId w:val="12"/>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21122"/>
      <w:r>
        <w:rPr>
          <w:rFonts w:hint="eastAsia" w:ascii="方正仿宋_GB2312" w:hAnsi="方正仿宋_GB2312" w:eastAsia="方正仿宋_GB2312" w:cs="方正仿宋_GB2312"/>
          <w:b/>
          <w:bCs/>
          <w:sz w:val="24"/>
          <w:szCs w:val="24"/>
          <w:highlight w:val="none"/>
          <w:lang w:val="en-US" w:eastAsia="zh-CN"/>
        </w:rPr>
        <w:t>评标方法</w:t>
      </w:r>
      <w:bookmarkEnd w:id="25"/>
      <w:r>
        <w:rPr>
          <w:rFonts w:hint="eastAsia" w:ascii="方正仿宋_GB2312" w:hAnsi="方正仿宋_GB2312" w:eastAsia="方正仿宋_GB2312" w:cs="方正仿宋_GB2312"/>
          <w:b/>
          <w:bCs/>
          <w:sz w:val="24"/>
          <w:szCs w:val="24"/>
          <w:highlight w:val="none"/>
          <w:lang w:val="en-US" w:eastAsia="zh-CN"/>
        </w:rPr>
        <w:t xml:space="preserve"> </w:t>
      </w:r>
    </w:p>
    <w:p w14:paraId="6329B66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1822A64D">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6" w:name="_Toc1193"/>
      <w:r>
        <w:rPr>
          <w:rFonts w:hint="eastAsia" w:ascii="方正仿宋_GB2312" w:hAnsi="方正仿宋_GB2312" w:eastAsia="方正仿宋_GB2312" w:cs="方正仿宋_GB2312"/>
          <w:b/>
          <w:bCs/>
          <w:sz w:val="24"/>
          <w:szCs w:val="24"/>
          <w:highlight w:val="none"/>
          <w:lang w:val="en-US" w:eastAsia="zh-CN"/>
        </w:rPr>
        <w:t>评标原则</w:t>
      </w:r>
      <w:bookmarkEnd w:id="26"/>
    </w:p>
    <w:p w14:paraId="71692E4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14:paraId="7012B405">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370A3F2A">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评标应遵守下列评标纪律：</w:t>
      </w:r>
    </w:p>
    <w:p w14:paraId="0BB004C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（1）评标情况不得私自外泄，有关信息由采购人、代理机构统一对外发布。</w:t>
      </w:r>
    </w:p>
    <w:p w14:paraId="1BC1342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（2）对采购人或代理机构或投标人提供的要求保密的资料，不得摘记翻印和外传。</w:t>
      </w:r>
    </w:p>
    <w:p w14:paraId="1B45800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2A31474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（4）全体评委应按照采购文件规定进行评标，一切认定事项应查有实据且不得弄虚作假。</w:t>
      </w:r>
    </w:p>
    <w:p w14:paraId="024623C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267CA4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（6）法律法规及采购文件规定的其他情形。</w:t>
      </w:r>
    </w:p>
    <w:p w14:paraId="66BAA4B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对违反评标纪律的评委，将取消其评委资格，对评标工作造成严重损失者将予以通报批评乃至追究法律责任。</w:t>
      </w:r>
    </w:p>
    <w:p w14:paraId="3C8804E2">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7505"/>
      <w:r>
        <w:rPr>
          <w:rFonts w:hint="eastAsia" w:ascii="方正仿宋_GB2312" w:hAnsi="方正仿宋_GB2312" w:eastAsia="方正仿宋_GB2312" w:cs="方正仿宋_GB2312"/>
          <w:b/>
          <w:bCs/>
          <w:sz w:val="24"/>
          <w:szCs w:val="24"/>
          <w:highlight w:val="none"/>
          <w:lang w:val="en-US" w:eastAsia="zh-CN"/>
        </w:rPr>
        <w:t>资格审查</w:t>
      </w:r>
      <w:bookmarkEnd w:id="27"/>
    </w:p>
    <w:p w14:paraId="706B1871">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750826C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p>
    <w:p w14:paraId="4DEDF7B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06C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FA200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1935" w:type="dxa"/>
            <w:vAlign w:val="center"/>
          </w:tcPr>
          <w:p w14:paraId="6D7AFF1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829" w:type="dxa"/>
            <w:vAlign w:val="center"/>
          </w:tcPr>
          <w:p w14:paraId="2AFA093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7532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A5DF07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1935" w:type="dxa"/>
            <w:vAlign w:val="center"/>
          </w:tcPr>
          <w:p w14:paraId="7394CA1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829" w:type="dxa"/>
            <w:vAlign w:val="center"/>
          </w:tcPr>
          <w:p w14:paraId="67F1122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上述资料须复印件加盖公章）</w:t>
            </w:r>
          </w:p>
          <w:p w14:paraId="6432364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E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34628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1935" w:type="dxa"/>
            <w:vAlign w:val="center"/>
          </w:tcPr>
          <w:p w14:paraId="519A2F8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23FD1194">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方正仿宋_GB2312" w:hAnsi="方正仿宋_GB2312" w:eastAsia="方正仿宋_GB2312" w:cs="方正仿宋_GB2312"/>
                <w:b/>
                <w:bCs/>
                <w:color w:val="000000"/>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2B6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3215B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1935" w:type="dxa"/>
            <w:vAlign w:val="center"/>
          </w:tcPr>
          <w:p w14:paraId="6B068DA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057A443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须提供具备履行合同所必需的设备和专业技术能力的资格声明书加盖电子公章</w:t>
            </w:r>
          </w:p>
        </w:tc>
      </w:tr>
      <w:tr w14:paraId="230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4981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1935" w:type="dxa"/>
            <w:vAlign w:val="center"/>
          </w:tcPr>
          <w:p w14:paraId="02C1B44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47FA22A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须提供投标（响应）文件递交截止日期之前六个月内（含投标（响应）截止时间当月）任何一期的依法缴纳税收的相关证明材料扫描件加盖电子公章（如供应商缴纳的增值税、所得税、印花税等我国现行税种中任意一项即可），依法免税的应提供相应文件说明。</w:t>
            </w:r>
          </w:p>
          <w:p w14:paraId="42FDB41E">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6CD8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58" w:type="dxa"/>
            <w:tcBorders>
              <w:bottom w:val="single" w:color="auto" w:sz="4" w:space="0"/>
            </w:tcBorders>
            <w:vAlign w:val="center"/>
          </w:tcPr>
          <w:p w14:paraId="30D0E7C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7E346FE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32B84DD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采购活动前3年内，在经营活动中没有重大违法记录，提供供应商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A60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1EE40A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1007FE9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DB6FDF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不存在违反国家法律、法规规定的其他情形</w:t>
            </w:r>
          </w:p>
        </w:tc>
      </w:tr>
      <w:tr w14:paraId="02B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20789E9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1D5481D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投标保证金</w:t>
            </w:r>
          </w:p>
        </w:tc>
        <w:tc>
          <w:tcPr>
            <w:tcW w:w="5829" w:type="dxa"/>
            <w:tcBorders>
              <w:top w:val="single" w:color="auto" w:sz="4" w:space="0"/>
              <w:bottom w:val="single" w:color="auto" w:sz="4" w:space="0"/>
            </w:tcBorders>
            <w:vAlign w:val="center"/>
          </w:tcPr>
          <w:p w14:paraId="225F186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按照采购文件的规定提交投标保证金</w:t>
            </w:r>
          </w:p>
        </w:tc>
      </w:tr>
      <w:tr w14:paraId="7E58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789B1AD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1935" w:type="dxa"/>
            <w:tcBorders>
              <w:top w:val="single" w:color="auto" w:sz="4" w:space="0"/>
              <w:bottom w:val="single" w:color="auto" w:sz="4" w:space="0"/>
            </w:tcBorders>
            <w:vAlign w:val="center"/>
          </w:tcPr>
          <w:p w14:paraId="4A5CEA5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落实政府采购政策的资格要求</w:t>
            </w:r>
          </w:p>
        </w:tc>
        <w:tc>
          <w:tcPr>
            <w:tcW w:w="5829" w:type="dxa"/>
            <w:tcBorders>
              <w:top w:val="single" w:color="auto" w:sz="4" w:space="0"/>
              <w:bottom w:val="single" w:color="auto" w:sz="4" w:space="0"/>
            </w:tcBorders>
            <w:vAlign w:val="center"/>
          </w:tcPr>
          <w:p w14:paraId="53968B0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p w14:paraId="7B20024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供应商请根据要求单独上传《中小企业声明函》，格式以磋商文件要求为准。</w:t>
            </w:r>
          </w:p>
        </w:tc>
      </w:tr>
      <w:tr w14:paraId="1E9F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3BDDCE9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1935" w:type="dxa"/>
            <w:tcBorders>
              <w:top w:val="single" w:color="auto" w:sz="4" w:space="0"/>
            </w:tcBorders>
            <w:vAlign w:val="center"/>
          </w:tcPr>
          <w:p w14:paraId="70267F2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本项目的特定资格要求（1）</w:t>
            </w:r>
          </w:p>
        </w:tc>
        <w:tc>
          <w:tcPr>
            <w:tcW w:w="5829" w:type="dxa"/>
            <w:tcBorders>
              <w:top w:val="single" w:color="auto" w:sz="4" w:space="0"/>
            </w:tcBorders>
            <w:vAlign w:val="center"/>
          </w:tcPr>
          <w:p w14:paraId="083E28C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3ED6242E">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00ABD4D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017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4C5D7AC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10</w:t>
            </w:r>
          </w:p>
        </w:tc>
        <w:tc>
          <w:tcPr>
            <w:tcW w:w="1935" w:type="dxa"/>
            <w:vAlign w:val="center"/>
          </w:tcPr>
          <w:p w14:paraId="3B3B98B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本项目的特定资格要求（2）</w:t>
            </w:r>
          </w:p>
        </w:tc>
        <w:tc>
          <w:tcPr>
            <w:tcW w:w="5829" w:type="dxa"/>
            <w:vAlign w:val="center"/>
          </w:tcPr>
          <w:p w14:paraId="1EE3953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检测等服务的供应商，不得再参与本项目投标（响应）。提供供应商资格声明书。</w:t>
            </w:r>
          </w:p>
        </w:tc>
      </w:tr>
    </w:tbl>
    <w:p w14:paraId="5A303D83">
      <w:pPr>
        <w:pStyle w:val="29"/>
        <w:widowControl w:val="0"/>
        <w:numPr>
          <w:ilvl w:val="0"/>
          <w:numId w:val="0"/>
        </w:numPr>
        <w:shd w:val="clea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987B38E">
      <w:pPr>
        <w:pStyle w:val="29"/>
        <w:keepNext w:val="0"/>
        <w:keepLines w:val="0"/>
        <w:pageBreakBefore w:val="0"/>
        <w:widowControl w:val="0"/>
        <w:numPr>
          <w:ilvl w:val="0"/>
          <w:numId w:val="12"/>
        </w:numPr>
        <w:shd w:val="clea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方正仿宋_GB2312" w:hAnsi="方正仿宋_GB2312" w:eastAsia="方正仿宋_GB2312" w:cs="方正仿宋_GB2312"/>
          <w:sz w:val="24"/>
          <w:szCs w:val="24"/>
          <w:highlight w:val="none"/>
          <w:lang w:val="en-US" w:eastAsia="zh-CN"/>
        </w:rPr>
      </w:pPr>
      <w:bookmarkStart w:id="28" w:name="_Toc27889"/>
      <w:r>
        <w:rPr>
          <w:rFonts w:hint="eastAsia" w:ascii="方正仿宋_GB2312" w:hAnsi="方正仿宋_GB2312" w:eastAsia="方正仿宋_GB2312" w:cs="方正仿宋_GB2312"/>
          <w:b/>
          <w:bCs/>
          <w:sz w:val="24"/>
          <w:szCs w:val="24"/>
          <w:highlight w:val="none"/>
          <w:lang w:val="en-US" w:eastAsia="zh-CN"/>
        </w:rPr>
        <w:t>符合性审查</w:t>
      </w:r>
      <w:bookmarkEnd w:id="28"/>
    </w:p>
    <w:p w14:paraId="781FBA8C">
      <w:pPr>
        <w:keepNext w:val="0"/>
        <w:keepLines w:val="0"/>
        <w:pageBreakBefore w:val="0"/>
        <w:widowControl w:val="0"/>
        <w:numPr>
          <w:ilvl w:val="1"/>
          <w:numId w:val="12"/>
        </w:numPr>
        <w:shd w:val="clear"/>
        <w:kinsoku/>
        <w:wordWrap/>
        <w:overflowPunct/>
        <w:topLinePunct w:val="0"/>
        <w:bidi w:val="0"/>
        <w:adjustRightInd/>
        <w:snapToGrid/>
        <w:spacing w:line="44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9A163E1">
      <w:pPr>
        <w:pStyle w:val="29"/>
        <w:keepNext w:val="0"/>
        <w:keepLines w:val="0"/>
        <w:pageBreakBefore w:val="0"/>
        <w:widowControl w:val="0"/>
        <w:shd w:val="clear"/>
        <w:kinsoku/>
        <w:wordWrap/>
        <w:overflowPunct/>
        <w:topLinePunct w:val="0"/>
        <w:bidi w:val="0"/>
        <w:adjustRightInd/>
        <w:snapToGrid/>
        <w:spacing w:line="440" w:lineRule="exact"/>
        <w:jc w:val="center"/>
        <w:textAlignment w:val="auto"/>
        <w:rPr>
          <w:rFonts w:hint="eastAsia" w:ascii="方正仿宋_GB2312" w:hAnsi="方正仿宋_GB2312" w:eastAsia="方正仿宋_GB2312" w:cs="方正仿宋_GB2312"/>
          <w:b/>
          <w:bCs/>
          <w:sz w:val="24"/>
          <w:szCs w:val="24"/>
          <w:highlight w:val="none"/>
          <w:lang w:val="en-US" w:eastAsia="zh-CN"/>
        </w:rPr>
      </w:pPr>
    </w:p>
    <w:p w14:paraId="3D01363E">
      <w:pPr>
        <w:pStyle w:val="29"/>
        <w:keepNext w:val="0"/>
        <w:keepLines w:val="0"/>
        <w:pageBreakBefore w:val="0"/>
        <w:widowControl w:val="0"/>
        <w:shd w:val="clear"/>
        <w:kinsoku/>
        <w:wordWrap/>
        <w:overflowPunct/>
        <w:topLinePunct w:val="0"/>
        <w:bidi w:val="0"/>
        <w:adjustRightInd/>
        <w:snapToGrid/>
        <w:spacing w:line="44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FF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67D3955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7A29495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210DD42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562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B6DEF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3168116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6A66194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A35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5A38C31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6F16AA3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5CFD816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3A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B3288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2A0164A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A1DDF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最后报价未超过磋商文件中规定的采购品目单价预算金额/单价最高限价或项目/采购包（标项）预算金额或者项目/采购包（标项）最高限价；</w:t>
            </w:r>
          </w:p>
        </w:tc>
      </w:tr>
      <w:tr w14:paraId="3AD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C66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A4F973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590D39E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CD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F6AA7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35146A6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366C194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7B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29645ED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4F760B3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24995C2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5FE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3BCBAC0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7C62F97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40D231F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响应文件满足采购文件中※号条款要求的（本项目无※号条款）</w:t>
            </w:r>
          </w:p>
        </w:tc>
      </w:tr>
      <w:tr w14:paraId="6C0F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shd w:val="clear" w:color="auto" w:fill="auto"/>
            <w:vAlign w:val="center"/>
          </w:tcPr>
          <w:p w14:paraId="1AD79F1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F8C68B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00F3481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报价合理，或报价通过磋商小组异常低价投标(响应)审查</w:t>
            </w:r>
          </w:p>
        </w:tc>
      </w:tr>
      <w:tr w14:paraId="3331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shd w:val="clear" w:color="auto" w:fill="auto"/>
            <w:vAlign w:val="center"/>
          </w:tcPr>
          <w:p w14:paraId="583F18D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144B7F9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0999766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643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DAD4C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7F8FDC5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2D210E8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5DEC43D">
      <w:pPr>
        <w:pStyle w:val="29"/>
        <w:shd w:val="clear"/>
        <w:ind w:left="0" w:leftChars="0" w:firstLine="0" w:firstLineChars="0"/>
        <w:rPr>
          <w:rFonts w:hint="eastAsia" w:ascii="方正仿宋_GB2312" w:hAnsi="方正仿宋_GB2312" w:eastAsia="方正仿宋_GB2312" w:cs="方正仿宋_GB2312"/>
          <w:highlight w:val="none"/>
          <w:lang w:val="en-US" w:eastAsia="zh-CN"/>
        </w:rPr>
      </w:pPr>
    </w:p>
    <w:p w14:paraId="19376780">
      <w:pPr>
        <w:keepNext w:val="0"/>
        <w:keepLines w:val="0"/>
        <w:pageBreakBefore w:val="0"/>
        <w:widowControl w:val="0"/>
        <w:numPr>
          <w:ilvl w:val="0"/>
          <w:numId w:val="12"/>
        </w:numPr>
        <w:shd w:val="clea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9" w:name="_Toc31864"/>
      <w:r>
        <w:rPr>
          <w:rFonts w:hint="eastAsia" w:ascii="方正仿宋_GB2312" w:hAnsi="方正仿宋_GB2312" w:eastAsia="方正仿宋_GB2312" w:cs="方正仿宋_GB2312"/>
          <w:b/>
          <w:bCs/>
          <w:sz w:val="24"/>
          <w:szCs w:val="24"/>
          <w:highlight w:val="none"/>
          <w:lang w:val="en-US" w:eastAsia="zh-CN"/>
        </w:rPr>
        <w:t>响应文件澄清</w:t>
      </w:r>
      <w:bookmarkEnd w:id="29"/>
    </w:p>
    <w:p w14:paraId="4545EF1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评标过程中，磋商小组将以书面形式要求供应商对其投标（响应）文件中含义不明确、同类问题表述不一致或者有明显文字和计算错误的内容，作出必要的澄清、说明或者补正。代理机构可根据开标环节记录的授权代表人联系方式电话告知供应商，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投标（响应）文件的范围或者改变投标（响应）文件的实质性内容。澄清文件将作为投标（响应）文件内容的一部分。</w:t>
      </w:r>
    </w:p>
    <w:p w14:paraId="5EBE0B8D">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异常低价审查：依据《关于推动解决政府采购异常低价问题的通知》（财库〔2026〕2号）政府采购评审中出现下列情形之一的，磋商小组应当启动异常低价投标（响应）审查程序：</w:t>
      </w:r>
    </w:p>
    <w:p w14:paraId="55FEE7A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3A3CFBA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0DCE01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（3）投标（响应）报价低于采购项目最高限价45%的，即投标（响应）报价＜采购项目最高限价×45%；</w:t>
      </w:r>
    </w:p>
    <w:p w14:paraId="45E20C6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（4）评审委员会基于专业判断，认为供应商报价过低，有可能影响产品质量或者不能诚信履约的其他情形。</w:t>
      </w:r>
    </w:p>
    <w:p w14:paraId="63E6241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C241B7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9F30BC4">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磋商小组不接受供应商主动提出的澄清、说明或补正。</w:t>
      </w:r>
    </w:p>
    <w:p w14:paraId="21BFE7A1">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磋商小组对供应商提交的澄清、说明或补正有疑问的，可以要求供应商进一步澄清、说明或补正。</w:t>
      </w:r>
    </w:p>
    <w:p w14:paraId="26EAF2D0">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sz w:val="24"/>
          <w:szCs w:val="24"/>
          <w:highlight w:val="none"/>
          <w:lang w:val="en-US" w:eastAsia="zh-CN"/>
        </w:rPr>
      </w:pPr>
      <w:bookmarkStart w:id="30" w:name="_Toc12580"/>
      <w:r>
        <w:rPr>
          <w:rFonts w:hint="eastAsia" w:ascii="方正仿宋_GB2312" w:hAnsi="方正仿宋_GB2312" w:eastAsia="方正仿宋_GB2312" w:cs="方正仿宋_GB2312"/>
          <w:b/>
          <w:bCs/>
          <w:sz w:val="24"/>
          <w:szCs w:val="24"/>
          <w:highlight w:val="none"/>
          <w:lang w:val="en-US" w:eastAsia="zh-CN"/>
        </w:rPr>
        <w:t>磋商</w:t>
      </w:r>
      <w:bookmarkEnd w:id="30"/>
    </w:p>
    <w:p w14:paraId="1B5CD39A">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磋商小组所有成员应当集中与单一供应商分别进行磋商，并给予所有参加磋商的供应商平等的磋商机会。</w:t>
      </w:r>
    </w:p>
    <w:p w14:paraId="109EC09B">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0E865B00">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对采购文件作出的实质性变动是采购文件的有效组成部分，磋商小组应当及时、同时通知所有参加磋商的供应商。</w:t>
      </w:r>
    </w:p>
    <w:p w14:paraId="46BAC681">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bookmarkStart w:id="91" w:name="_GoBack"/>
      <w:bookmarkEnd w:id="91"/>
    </w:p>
    <w:p w14:paraId="2A21C9C2">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1" w:name="_Toc3596"/>
      <w:r>
        <w:rPr>
          <w:rFonts w:hint="eastAsia" w:ascii="方正仿宋_GB2312" w:hAnsi="方正仿宋_GB2312" w:eastAsia="方正仿宋_GB2312" w:cs="方正仿宋_GB2312"/>
          <w:b/>
          <w:bCs/>
          <w:sz w:val="24"/>
          <w:szCs w:val="24"/>
          <w:highlight w:val="none"/>
          <w:lang w:val="en-US" w:eastAsia="zh-CN"/>
        </w:rPr>
        <w:t>最后报价</w:t>
      </w:r>
      <w:bookmarkEnd w:id="31"/>
    </w:p>
    <w:p w14:paraId="0526A0B0">
      <w:pPr>
        <w:pStyle w:val="29"/>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磋商结束后，磋商小组应当要求所有实质性响应的供应商在规定时间内提交最后报价。最后报价是供应商响应文件的有效组成部分。</w:t>
      </w:r>
      <w:r>
        <w:rPr>
          <w:rFonts w:hint="eastAsia" w:ascii="方正仿宋_GB2312" w:hAnsi="方正仿宋_GB2312" w:eastAsia="方正仿宋_GB2312" w:cs="方正仿宋_GB2312"/>
          <w:b/>
          <w:bCs/>
          <w:highlight w:val="none"/>
          <w:lang w:val="en-US" w:eastAsia="zh-CN"/>
        </w:rPr>
        <w:t>最后报价时间为谈判小组指定的时间，具体时间根据谈判进度另行通知。</w:t>
      </w:r>
    </w:p>
    <w:p w14:paraId="644E35EF">
      <w:pPr>
        <w:pStyle w:val="29"/>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已提交响应文件的供应商，在提交最后报价之前，可以根据磋商情况退出磋商。</w:t>
      </w:r>
    </w:p>
    <w:p w14:paraId="5774253A">
      <w:pPr>
        <w:pStyle w:val="29"/>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除法规规定的特殊性情形外，提交最后报价的供应商不得少于3家。</w:t>
      </w:r>
    </w:p>
    <w:p w14:paraId="5D1D1449">
      <w:pPr>
        <w:pStyle w:val="29"/>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方正仿宋_GB2312" w:hAnsi="方正仿宋_GB2312" w:eastAsia="方正仿宋_GB2312" w:cs="方正仿宋_GB2312"/>
          <w:b/>
          <w:bCs/>
          <w:highlight w:val="none"/>
          <w:lang w:val="en-US" w:eastAsia="zh-CN"/>
        </w:rPr>
        <w:t>响应无效</w:t>
      </w:r>
      <w:r>
        <w:rPr>
          <w:rFonts w:hint="eastAsia" w:ascii="方正仿宋_GB2312" w:hAnsi="方正仿宋_GB2312" w:eastAsia="方正仿宋_GB2312" w:cs="方正仿宋_GB2312"/>
          <w:highlight w:val="none"/>
          <w:lang w:val="en-US" w:eastAsia="zh-CN"/>
        </w:rPr>
        <w:t>。</w:t>
      </w:r>
      <w:bookmarkStart w:id="32" w:name="_Toc22657"/>
    </w:p>
    <w:p w14:paraId="1707201C">
      <w:pPr>
        <w:keepNext w:val="0"/>
        <w:keepLines w:val="0"/>
        <w:pageBreakBefore w:val="0"/>
        <w:widowControl w:val="0"/>
        <w:numPr>
          <w:ilvl w:val="0"/>
          <w:numId w:val="12"/>
        </w:numPr>
        <w:kinsoku/>
        <w:wordWrap/>
        <w:overflowPunct/>
        <w:topLinePunct w:val="0"/>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详细评审</w:t>
      </w:r>
      <w:bookmarkEnd w:id="32"/>
    </w:p>
    <w:p w14:paraId="7EB5C8C7">
      <w:pPr>
        <w:pStyle w:val="29"/>
        <w:keepNext w:val="0"/>
        <w:keepLines w:val="0"/>
        <w:pageBreakBefore w:val="0"/>
        <w:widowControl w:val="0"/>
        <w:numPr>
          <w:ilvl w:val="1"/>
          <w:numId w:val="12"/>
        </w:numPr>
        <w:shd w:val="clea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磋商小组对提交最后报价的供应商的响应文件和最后报价，对其技术部分、商务部分及报价部分作进一步的综合比较和评价。详细评审标准如下</w:t>
      </w:r>
      <w:r>
        <w:rPr>
          <w:rFonts w:hint="eastAsia" w:ascii="方正仿宋_GB2312" w:hAnsi="方正仿宋_GB2312" w:eastAsia="方正仿宋_GB2312" w:cs="方正仿宋_GB2312"/>
          <w:highlight w:val="none"/>
          <w:lang w:val="en-US" w:eastAsia="zh-CN"/>
        </w:rPr>
        <w:t>：</w:t>
      </w:r>
    </w:p>
    <w:p w14:paraId="63188EC9">
      <w:pPr>
        <w:pStyle w:val="29"/>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420" w:lineRule="exact"/>
        <w:ind w:right="0" w:rightChars="0"/>
        <w:jc w:val="left"/>
        <w:textAlignment w:val="auto"/>
        <w:rPr>
          <w:rFonts w:hint="eastAsia" w:ascii="方正仿宋_GB2312" w:hAnsi="方正仿宋_GB2312" w:eastAsia="方正仿宋_GB2312" w:cs="方正仿宋_GB2312"/>
          <w:highlight w:val="none"/>
          <w:lang w:val="en-US" w:eastAsia="zh-CN"/>
        </w:rPr>
      </w:pPr>
    </w:p>
    <w:p w14:paraId="33BFFF2D">
      <w:pPr>
        <w:pStyle w:val="29"/>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420" w:lineRule="exact"/>
        <w:ind w:right="0" w:rightChars="0"/>
        <w:jc w:val="left"/>
        <w:textAlignment w:val="auto"/>
        <w:rPr>
          <w:rFonts w:hint="eastAsia" w:ascii="方正仿宋_GB2312" w:hAnsi="方正仿宋_GB2312" w:eastAsia="方正仿宋_GB2312" w:cs="方正仿宋_GB2312"/>
          <w:highlight w:val="none"/>
          <w:lang w:val="en-US" w:eastAsia="zh-CN"/>
        </w:rPr>
      </w:pPr>
    </w:p>
    <w:p w14:paraId="1AA23967">
      <w:pPr>
        <w:pStyle w:val="29"/>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420" w:lineRule="exact"/>
        <w:ind w:right="0" w:rightChars="0"/>
        <w:jc w:val="left"/>
        <w:textAlignment w:val="auto"/>
        <w:rPr>
          <w:rFonts w:hint="eastAsia" w:ascii="方正仿宋_GB2312" w:hAnsi="方正仿宋_GB2312" w:eastAsia="方正仿宋_GB2312" w:cs="方正仿宋_GB2312"/>
          <w:highlight w:val="none"/>
          <w:lang w:val="en-US" w:eastAsia="zh-CN"/>
        </w:rPr>
      </w:pPr>
    </w:p>
    <w:p w14:paraId="2A3E8F27">
      <w:pPr>
        <w:pStyle w:val="29"/>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420" w:lineRule="exact"/>
        <w:ind w:right="0" w:rightChars="0"/>
        <w:jc w:val="left"/>
        <w:textAlignment w:val="auto"/>
        <w:rPr>
          <w:rFonts w:hint="eastAsia" w:ascii="方正仿宋_GB2312" w:hAnsi="方正仿宋_GB2312" w:eastAsia="方正仿宋_GB2312" w:cs="方正仿宋_GB2312"/>
          <w:highlight w:val="none"/>
          <w:lang w:val="en-US" w:eastAsia="zh-CN"/>
        </w:rPr>
      </w:pPr>
    </w:p>
    <w:p w14:paraId="1B732C84">
      <w:pPr>
        <w:pStyle w:val="29"/>
        <w:keepNext w:val="0"/>
        <w:keepLines w:val="0"/>
        <w:pageBreakBefore w:val="0"/>
        <w:widowControl w:val="0"/>
        <w:numPr>
          <w:ilvl w:val="0"/>
          <w:numId w:val="0"/>
        </w:numPr>
        <w:shd w:val="clear"/>
        <w:kinsoku/>
        <w:wordWrap/>
        <w:overflowPunct/>
        <w:topLinePunct w:val="0"/>
        <w:bidi w:val="0"/>
        <w:adjustRightInd/>
        <w:snapToGrid/>
        <w:spacing w:line="420" w:lineRule="exact"/>
        <w:ind w:leftChars="0" w:right="0" w:rightChars="0"/>
        <w:jc w:val="center"/>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详细评审标准</w:t>
      </w:r>
    </w:p>
    <w:tbl>
      <w:tblPr>
        <w:tblStyle w:val="3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990"/>
        <w:gridCol w:w="566"/>
        <w:gridCol w:w="6132"/>
      </w:tblGrid>
      <w:tr w14:paraId="77B0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09" w:type="dxa"/>
            <w:gridSpan w:val="2"/>
            <w:vAlign w:val="center"/>
          </w:tcPr>
          <w:p w14:paraId="37FDBCB7">
            <w:pPr>
              <w:pStyle w:val="22"/>
              <w:shd w:val="clear"/>
              <w:ind w:right="-36" w:rightChars="-15"/>
              <w:jc w:val="center"/>
              <w:rPr>
                <w:rFonts w:hint="eastAsia" w:ascii="方正仿宋_GB2312" w:hAnsi="方正仿宋_GB2312" w:eastAsia="方正仿宋_GB2312" w:cs="方正仿宋_GB2312"/>
                <w:b/>
                <w:color w:val="000000"/>
                <w:sz w:val="21"/>
                <w:szCs w:val="21"/>
                <w:highlight w:val="none"/>
              </w:rPr>
            </w:pPr>
            <w:r>
              <w:rPr>
                <w:rFonts w:hint="eastAsia" w:ascii="方正仿宋_GB2312" w:hAnsi="方正仿宋_GB2312" w:eastAsia="方正仿宋_GB2312" w:cs="方正仿宋_GB2312"/>
                <w:b/>
                <w:color w:val="000000"/>
                <w:sz w:val="21"/>
                <w:szCs w:val="21"/>
                <w:highlight w:val="none"/>
              </w:rPr>
              <w:t>评分因素</w:t>
            </w:r>
          </w:p>
        </w:tc>
        <w:tc>
          <w:tcPr>
            <w:tcW w:w="567" w:type="dxa"/>
            <w:vAlign w:val="center"/>
          </w:tcPr>
          <w:p w14:paraId="3D374A2C">
            <w:pPr>
              <w:pStyle w:val="22"/>
              <w:shd w:val="clear"/>
              <w:ind w:right="-36" w:rightChars="-15"/>
              <w:jc w:val="center"/>
              <w:rPr>
                <w:rFonts w:hint="eastAsia" w:ascii="方正仿宋_GB2312" w:hAnsi="方正仿宋_GB2312" w:eastAsia="方正仿宋_GB2312" w:cs="方正仿宋_GB2312"/>
                <w:b/>
                <w:color w:val="000000"/>
                <w:sz w:val="21"/>
                <w:szCs w:val="21"/>
                <w:highlight w:val="none"/>
              </w:rPr>
            </w:pPr>
            <w:r>
              <w:rPr>
                <w:rFonts w:hint="eastAsia" w:ascii="方正仿宋_GB2312" w:hAnsi="方正仿宋_GB2312" w:eastAsia="方正仿宋_GB2312" w:cs="方正仿宋_GB2312"/>
                <w:b/>
                <w:color w:val="000000"/>
                <w:sz w:val="21"/>
                <w:szCs w:val="21"/>
                <w:highlight w:val="none"/>
              </w:rPr>
              <w:t>分值</w:t>
            </w:r>
          </w:p>
        </w:tc>
        <w:tc>
          <w:tcPr>
            <w:tcW w:w="6145" w:type="dxa"/>
            <w:vAlign w:val="center"/>
          </w:tcPr>
          <w:p w14:paraId="10F573A9">
            <w:pPr>
              <w:pStyle w:val="22"/>
              <w:shd w:val="clear"/>
              <w:ind w:right="-36" w:rightChars="-15"/>
              <w:jc w:val="center"/>
              <w:rPr>
                <w:rFonts w:hint="eastAsia" w:ascii="方正仿宋_GB2312" w:hAnsi="方正仿宋_GB2312" w:eastAsia="方正仿宋_GB2312" w:cs="方正仿宋_GB2312"/>
                <w:b/>
                <w:color w:val="000000"/>
                <w:sz w:val="21"/>
                <w:szCs w:val="21"/>
                <w:highlight w:val="none"/>
              </w:rPr>
            </w:pPr>
            <w:r>
              <w:rPr>
                <w:rFonts w:hint="eastAsia" w:ascii="方正仿宋_GB2312" w:hAnsi="方正仿宋_GB2312" w:eastAsia="方正仿宋_GB2312" w:cs="方正仿宋_GB2312"/>
                <w:b/>
                <w:color w:val="000000"/>
                <w:sz w:val="21"/>
                <w:szCs w:val="21"/>
                <w:highlight w:val="none"/>
              </w:rPr>
              <w:t>评分细则</w:t>
            </w:r>
          </w:p>
        </w:tc>
      </w:tr>
      <w:tr w14:paraId="72A9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809" w:type="dxa"/>
            <w:gridSpan w:val="2"/>
            <w:vAlign w:val="center"/>
          </w:tcPr>
          <w:p w14:paraId="772D04A6">
            <w:pPr>
              <w:pStyle w:val="22"/>
              <w:shd w:val="clear"/>
              <w:ind w:right="-36" w:rightChars="-15"/>
              <w:jc w:val="both"/>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分值构成</w:t>
            </w:r>
          </w:p>
        </w:tc>
        <w:tc>
          <w:tcPr>
            <w:tcW w:w="6712" w:type="dxa"/>
            <w:gridSpan w:val="2"/>
            <w:vAlign w:val="center"/>
          </w:tcPr>
          <w:p w14:paraId="0E2A2AD6">
            <w:pPr>
              <w:pStyle w:val="22"/>
              <w:shd w:val="clear"/>
              <w:ind w:right="-36" w:rightChars="-15"/>
              <w:jc w:val="both"/>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商务部分</w:t>
            </w:r>
            <w:r>
              <w:rPr>
                <w:rFonts w:hint="eastAsia" w:ascii="方正仿宋_GB2312" w:hAnsi="方正仿宋_GB2312" w:eastAsia="方正仿宋_GB2312" w:cs="方正仿宋_GB2312"/>
                <w:color w:val="000000"/>
                <w:sz w:val="21"/>
                <w:szCs w:val="21"/>
                <w:highlight w:val="none"/>
                <w:lang w:val="en-US" w:eastAsia="zh-CN"/>
              </w:rPr>
              <w:t>15</w:t>
            </w:r>
            <w:r>
              <w:rPr>
                <w:rFonts w:hint="eastAsia" w:ascii="方正仿宋_GB2312" w:hAnsi="方正仿宋_GB2312" w:eastAsia="方正仿宋_GB2312" w:cs="方正仿宋_GB2312"/>
                <w:color w:val="000000"/>
                <w:sz w:val="21"/>
                <w:szCs w:val="21"/>
                <w:highlight w:val="none"/>
              </w:rPr>
              <w:t>.0分</w:t>
            </w:r>
          </w:p>
          <w:p w14:paraId="0518A337">
            <w:pPr>
              <w:pStyle w:val="22"/>
              <w:shd w:val="clear"/>
              <w:ind w:right="-36" w:rightChars="-15"/>
              <w:jc w:val="both"/>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技术部分</w:t>
            </w:r>
            <w:r>
              <w:rPr>
                <w:rFonts w:hint="eastAsia" w:ascii="方正仿宋_GB2312" w:hAnsi="方正仿宋_GB2312" w:eastAsia="方正仿宋_GB2312" w:cs="方正仿宋_GB2312"/>
                <w:color w:val="000000"/>
                <w:sz w:val="21"/>
                <w:szCs w:val="21"/>
                <w:highlight w:val="none"/>
                <w:lang w:val="en-US" w:eastAsia="zh-CN"/>
              </w:rPr>
              <w:t>75</w:t>
            </w:r>
            <w:r>
              <w:rPr>
                <w:rFonts w:hint="eastAsia" w:ascii="方正仿宋_GB2312" w:hAnsi="方正仿宋_GB2312" w:eastAsia="方正仿宋_GB2312" w:cs="方正仿宋_GB2312"/>
                <w:color w:val="000000"/>
                <w:sz w:val="21"/>
                <w:szCs w:val="21"/>
                <w:highlight w:val="none"/>
              </w:rPr>
              <w:t>.0分</w:t>
            </w:r>
          </w:p>
          <w:p w14:paraId="208ACAA9">
            <w:pPr>
              <w:pStyle w:val="22"/>
              <w:shd w:val="clear"/>
              <w:ind w:right="-36" w:rightChars="-15"/>
              <w:jc w:val="both"/>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报价得分</w:t>
            </w:r>
            <w:r>
              <w:rPr>
                <w:rFonts w:hint="eastAsia" w:ascii="方正仿宋_GB2312" w:hAnsi="方正仿宋_GB2312" w:eastAsia="方正仿宋_GB2312" w:cs="方正仿宋_GB2312"/>
                <w:color w:val="000000"/>
                <w:sz w:val="21"/>
                <w:szCs w:val="21"/>
                <w:highlight w:val="none"/>
                <w:lang w:val="en-US" w:eastAsia="zh-CN"/>
              </w:rPr>
              <w:t>1</w:t>
            </w:r>
            <w:r>
              <w:rPr>
                <w:rFonts w:hint="eastAsia" w:ascii="方正仿宋_GB2312" w:hAnsi="方正仿宋_GB2312" w:eastAsia="方正仿宋_GB2312" w:cs="方正仿宋_GB2312"/>
                <w:color w:val="000000"/>
                <w:sz w:val="21"/>
                <w:szCs w:val="21"/>
                <w:highlight w:val="none"/>
                <w:lang w:val="en-US"/>
              </w:rPr>
              <w:t>0</w:t>
            </w:r>
            <w:r>
              <w:rPr>
                <w:rFonts w:hint="eastAsia" w:ascii="方正仿宋_GB2312" w:hAnsi="方正仿宋_GB2312" w:eastAsia="方正仿宋_GB2312" w:cs="方正仿宋_GB2312"/>
                <w:color w:val="000000"/>
                <w:sz w:val="21"/>
                <w:szCs w:val="21"/>
                <w:highlight w:val="none"/>
              </w:rPr>
              <w:t>.0分</w:t>
            </w:r>
          </w:p>
        </w:tc>
      </w:tr>
      <w:tr w14:paraId="2E5D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809" w:type="dxa"/>
            <w:gridSpan w:val="2"/>
            <w:vAlign w:val="center"/>
          </w:tcPr>
          <w:p w14:paraId="3E2CD299">
            <w:pPr>
              <w:pStyle w:val="22"/>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rPr>
              <w:t>报价</w:t>
            </w:r>
            <w:r>
              <w:rPr>
                <w:rFonts w:hint="eastAsia" w:ascii="方正仿宋_GB2312" w:hAnsi="方正仿宋_GB2312" w:eastAsia="方正仿宋_GB2312" w:cs="方正仿宋_GB2312"/>
                <w:sz w:val="21"/>
                <w:szCs w:val="21"/>
                <w:highlight w:val="none"/>
              </w:rPr>
              <w:t>部分</w:t>
            </w:r>
          </w:p>
          <w:p w14:paraId="2CDABE40">
            <w:pPr>
              <w:pStyle w:val="22"/>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w:t>
            </w:r>
            <w:r>
              <w:rPr>
                <w:rFonts w:hint="eastAsia" w:ascii="方正仿宋_GB2312" w:hAnsi="方正仿宋_GB2312" w:eastAsia="方正仿宋_GB2312" w:cs="方正仿宋_GB2312"/>
                <w:sz w:val="21"/>
                <w:szCs w:val="21"/>
                <w:highlight w:val="none"/>
                <w:lang w:val="en-US" w:eastAsia="zh-CN"/>
              </w:rPr>
              <w:t>1</w:t>
            </w:r>
            <w:r>
              <w:rPr>
                <w:rFonts w:hint="eastAsia" w:ascii="方正仿宋_GB2312" w:hAnsi="方正仿宋_GB2312" w:eastAsia="方正仿宋_GB2312" w:cs="方正仿宋_GB2312"/>
                <w:sz w:val="21"/>
                <w:szCs w:val="21"/>
                <w:highlight w:val="none"/>
                <w:lang w:val="en-US"/>
              </w:rPr>
              <w:t>0</w:t>
            </w:r>
            <w:r>
              <w:rPr>
                <w:rFonts w:hint="eastAsia" w:ascii="方正仿宋_GB2312" w:hAnsi="方正仿宋_GB2312" w:eastAsia="方正仿宋_GB2312" w:cs="方正仿宋_GB2312"/>
                <w:sz w:val="21"/>
                <w:szCs w:val="21"/>
                <w:highlight w:val="none"/>
              </w:rPr>
              <w:t>分）</w:t>
            </w:r>
          </w:p>
        </w:tc>
        <w:tc>
          <w:tcPr>
            <w:tcW w:w="567" w:type="dxa"/>
            <w:vAlign w:val="center"/>
          </w:tcPr>
          <w:p w14:paraId="3F50AA4C">
            <w:pPr>
              <w:pStyle w:val="22"/>
              <w:shd w:val="clear"/>
              <w:jc w:val="center"/>
              <w:rPr>
                <w:rFonts w:hint="eastAsia" w:ascii="方正仿宋_GB2312" w:hAnsi="方正仿宋_GB2312" w:eastAsia="方正仿宋_GB2312" w:cs="方正仿宋_GB2312"/>
                <w:sz w:val="21"/>
                <w:szCs w:val="21"/>
                <w:highlight w:val="none"/>
                <w:lang w:val="en-US"/>
              </w:rPr>
            </w:pPr>
            <w:r>
              <w:rPr>
                <w:rFonts w:hint="eastAsia" w:ascii="方正仿宋_GB2312" w:hAnsi="方正仿宋_GB2312" w:eastAsia="方正仿宋_GB2312" w:cs="方正仿宋_GB2312"/>
                <w:sz w:val="21"/>
                <w:szCs w:val="21"/>
                <w:highlight w:val="none"/>
                <w:lang w:val="en-US" w:eastAsia="zh-CN"/>
              </w:rPr>
              <w:t>1</w:t>
            </w:r>
            <w:r>
              <w:rPr>
                <w:rFonts w:hint="eastAsia" w:ascii="方正仿宋_GB2312" w:hAnsi="方正仿宋_GB2312" w:eastAsia="方正仿宋_GB2312" w:cs="方正仿宋_GB2312"/>
                <w:sz w:val="21"/>
                <w:szCs w:val="21"/>
                <w:highlight w:val="none"/>
                <w:lang w:val="en-US"/>
              </w:rPr>
              <w:t>0</w:t>
            </w:r>
          </w:p>
        </w:tc>
        <w:tc>
          <w:tcPr>
            <w:tcW w:w="6145" w:type="dxa"/>
          </w:tcPr>
          <w:p w14:paraId="1EB3F38C">
            <w:pPr>
              <w:pStyle w:val="22"/>
              <w:shd w:val="clear"/>
              <w:jc w:val="both"/>
              <w:rPr>
                <w:rFonts w:hint="eastAsia" w:ascii="方正仿宋_GB2312" w:hAnsi="方正仿宋_GB2312" w:eastAsia="方正仿宋_GB2312" w:cs="方正仿宋_GB2312"/>
                <w:sz w:val="21"/>
                <w:szCs w:val="21"/>
                <w:highlight w:val="none"/>
                <w:lang w:val="en-US"/>
              </w:rPr>
            </w:pPr>
            <w:r>
              <w:rPr>
                <w:rFonts w:hint="eastAsia" w:ascii="方正仿宋_GB2312" w:hAnsi="方正仿宋_GB2312" w:eastAsia="方正仿宋_GB2312" w:cs="方正仿宋_GB2312"/>
                <w:sz w:val="21"/>
                <w:szCs w:val="21"/>
                <w:highlight w:val="none"/>
                <w:lang w:val="en-US" w:eastAsia="zh-CN"/>
              </w:rPr>
              <w:t>价格分采用低价优先法计算，即满足本磋商文件要求且最后报价最低的供应商的价格为磋商基准价，其价格分为满分，其它供应商的价格分统一按照下列公式计算:磋商报价得分=(磋商基准价/最后磋商报价)x价格分分值(精确到小数点后两位)。超过了采购项目预算或最高限价的，为无效响应。</w:t>
            </w:r>
          </w:p>
        </w:tc>
      </w:tr>
      <w:tr w14:paraId="5D48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17564037">
            <w:pPr>
              <w:pStyle w:val="22"/>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商务部分</w:t>
            </w:r>
          </w:p>
          <w:p w14:paraId="31B16CBF">
            <w:pPr>
              <w:pStyle w:val="22"/>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w:t>
            </w:r>
            <w:r>
              <w:rPr>
                <w:rFonts w:hint="eastAsia" w:ascii="方正仿宋_GB2312" w:hAnsi="方正仿宋_GB2312" w:eastAsia="方正仿宋_GB2312" w:cs="方正仿宋_GB2312"/>
                <w:sz w:val="21"/>
                <w:szCs w:val="21"/>
                <w:highlight w:val="none"/>
                <w:lang w:val="en-US" w:eastAsia="zh-CN"/>
              </w:rPr>
              <w:t>15</w:t>
            </w:r>
            <w:r>
              <w:rPr>
                <w:rFonts w:hint="eastAsia" w:ascii="方正仿宋_GB2312" w:hAnsi="方正仿宋_GB2312" w:eastAsia="方正仿宋_GB2312" w:cs="方正仿宋_GB2312"/>
                <w:sz w:val="21"/>
                <w:szCs w:val="21"/>
                <w:highlight w:val="none"/>
              </w:rPr>
              <w:t>分）</w:t>
            </w:r>
          </w:p>
        </w:tc>
        <w:tc>
          <w:tcPr>
            <w:tcW w:w="992" w:type="dxa"/>
            <w:tcBorders>
              <w:left w:val="single" w:color="000000" w:sz="4" w:space="0"/>
            </w:tcBorders>
            <w:vAlign w:val="center"/>
          </w:tcPr>
          <w:p w14:paraId="2B4629E7">
            <w:pPr>
              <w:pStyle w:val="22"/>
              <w:shd w:val="clear"/>
              <w:jc w:val="cente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企业</w:t>
            </w:r>
            <w:r>
              <w:rPr>
                <w:rFonts w:hint="eastAsia" w:ascii="方正仿宋_GB2312" w:hAnsi="方正仿宋_GB2312" w:eastAsia="方正仿宋_GB2312" w:cs="方正仿宋_GB2312"/>
                <w:sz w:val="21"/>
                <w:szCs w:val="21"/>
                <w:highlight w:val="none"/>
                <w:lang w:val="en-US" w:eastAsia="zh-CN"/>
              </w:rPr>
              <w:t>能力</w:t>
            </w:r>
          </w:p>
        </w:tc>
        <w:tc>
          <w:tcPr>
            <w:tcW w:w="567" w:type="dxa"/>
            <w:vAlign w:val="center"/>
          </w:tcPr>
          <w:p w14:paraId="472D8A84">
            <w:pPr>
              <w:pStyle w:val="22"/>
              <w:shd w:val="clear"/>
              <w:jc w:val="center"/>
              <w:rPr>
                <w:rFonts w:hint="default"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8</w:t>
            </w:r>
          </w:p>
        </w:tc>
        <w:tc>
          <w:tcPr>
            <w:tcW w:w="6145" w:type="dxa"/>
            <w:vAlign w:val="center"/>
          </w:tcPr>
          <w:p w14:paraId="36920CF9">
            <w:pPr>
              <w:pStyle w:val="2"/>
              <w:numPr>
                <w:ilvl w:val="0"/>
                <w:numId w:val="13"/>
              </w:numPr>
              <w:spacing w:line="240" w:lineRule="auto"/>
              <w:ind w:left="0" w:leftChars="0" w:firstLine="0" w:firstLineChars="0"/>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为确保投标企业交付的技术服务符合国家及行业质量、信息安全、信息技术服务管理标准，投标人具备完善的质量管理、信息安全管理、信息技术服务管理体系：</w:t>
            </w:r>
          </w:p>
          <w:p w14:paraId="41CDFB2C">
            <w:pPr>
              <w:pStyle w:val="2"/>
              <w:numPr>
                <w:numId w:val="0"/>
              </w:numPr>
              <w:spacing w:line="240" w:lineRule="auto"/>
              <w:ind w:leftChars="0"/>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1. 具备完善质量管理体系（可提供对应体系认证证书或完整制度文件、管控流程），得1分；</w:t>
            </w:r>
          </w:p>
          <w:p w14:paraId="5687A7AF">
            <w:pPr>
              <w:pStyle w:val="2"/>
              <w:numPr>
                <w:numId w:val="0"/>
              </w:numPr>
              <w:spacing w:line="240" w:lineRule="auto"/>
              <w:ind w:leftChars="0"/>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2. 具备完善信息安全管理体系（可提供对应体系认证证书或完整制度文件、管控流程），得1分；</w:t>
            </w:r>
          </w:p>
          <w:p w14:paraId="04DFF897">
            <w:pPr>
              <w:pStyle w:val="2"/>
              <w:numPr>
                <w:numId w:val="0"/>
              </w:numPr>
              <w:spacing w:line="240" w:lineRule="auto"/>
              <w:ind w:leftChars="0"/>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3. 具备完善信息技术服务管理体系（可提供对应体系认证证书或完整制度文件、管控流程），得1分；</w:t>
            </w:r>
          </w:p>
          <w:p w14:paraId="406705D0">
            <w:pPr>
              <w:pStyle w:val="2"/>
              <w:numPr>
                <w:numId w:val="0"/>
              </w:numPr>
              <w:spacing w:line="240" w:lineRule="auto"/>
              <w:ind w:leftChars="0"/>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本项最高3分。</w:t>
            </w:r>
          </w:p>
          <w:p w14:paraId="7DF36524">
            <w:pPr>
              <w:pStyle w:val="2"/>
              <w:numPr>
                <w:ilvl w:val="0"/>
                <w:numId w:val="13"/>
              </w:numPr>
              <w:spacing w:line="240" w:lineRule="auto"/>
              <w:ind w:left="0" w:leftChars="0" w:firstLine="0" w:firstLineChars="0"/>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为确保投标企业服务质量与服务能力，投标企业能够落实采购需求服务内容，供应商需提供信息安全风险评估类、信息安全应急处置类、信息系统安全运维类、信息安全工程类等相关资质，每提供一个与服务内容贴合的安全服务资质证书得1分，最高得5分。（资质证书需为国家认可的有效证书</w:t>
            </w:r>
            <w:r>
              <w:rPr>
                <w:rFonts w:hint="eastAsia" w:ascii="方正仿宋_GB2312" w:hAnsi="方正仿宋_GB2312" w:eastAsia="方正仿宋_GB2312" w:cs="方正仿宋_GB2312"/>
                <w:color w:val="auto"/>
                <w:kern w:val="2"/>
                <w:sz w:val="21"/>
                <w:szCs w:val="21"/>
                <w:highlight w:val="none"/>
                <w:lang w:val="en-US" w:eastAsia="zh-CN" w:bidi="ar-SA"/>
              </w:rPr>
              <w:t>，提供证书扫描件并加盖公章。）</w:t>
            </w:r>
          </w:p>
        </w:tc>
      </w:tr>
      <w:tr w14:paraId="4CDD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Merge w:val="continue"/>
            <w:tcBorders>
              <w:right w:val="single" w:color="000000" w:sz="4" w:space="0"/>
            </w:tcBorders>
            <w:vAlign w:val="center"/>
          </w:tcPr>
          <w:p w14:paraId="4ABBBD3C">
            <w:pPr>
              <w:pStyle w:val="22"/>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vAlign w:val="top"/>
          </w:tcPr>
          <w:p w14:paraId="5F1EF614">
            <w:pPr>
              <w:shd w:val="clear"/>
              <w:tabs>
                <w:tab w:val="center" w:pos="4153"/>
                <w:tab w:val="right" w:pos="8306"/>
              </w:tabs>
              <w:snapToGrid w:val="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企业</w:t>
            </w:r>
          </w:p>
          <w:p w14:paraId="248CB336">
            <w:pPr>
              <w:shd w:val="clear"/>
              <w:tabs>
                <w:tab w:val="center" w:pos="4153"/>
                <w:tab w:val="right" w:pos="8306"/>
              </w:tabs>
              <w:snapToGrid w:val="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业绩</w:t>
            </w:r>
          </w:p>
        </w:tc>
        <w:tc>
          <w:tcPr>
            <w:tcW w:w="567" w:type="dxa"/>
            <w:vAlign w:val="top"/>
          </w:tcPr>
          <w:p w14:paraId="23401679">
            <w:pPr>
              <w:shd w:val="clear"/>
              <w:tabs>
                <w:tab w:val="center" w:pos="4153"/>
                <w:tab w:val="right" w:pos="8306"/>
              </w:tabs>
              <w:snapToGrid w:val="0"/>
              <w:jc w:val="center"/>
              <w:rPr>
                <w:rFonts w:hint="default"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7</w:t>
            </w:r>
          </w:p>
        </w:tc>
        <w:tc>
          <w:tcPr>
            <w:tcW w:w="6145" w:type="dxa"/>
            <w:vAlign w:val="center"/>
          </w:tcPr>
          <w:p w14:paraId="2E49E9B4">
            <w:pPr>
              <w:widowControl/>
              <w:spacing w:line="240" w:lineRule="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供应商自2023年</w:t>
            </w:r>
            <w:r>
              <w:rPr>
                <w:rFonts w:hint="eastAsia" w:ascii="方正仿宋_GB2312" w:hAnsi="方正仿宋_GB2312" w:eastAsia="方正仿宋_GB2312" w:cs="方正仿宋_GB2312"/>
                <w:color w:val="auto"/>
                <w:sz w:val="21"/>
                <w:szCs w:val="21"/>
                <w:highlight w:val="none"/>
                <w:lang w:val="en-US" w:eastAsia="zh-CN"/>
              </w:rPr>
              <w:t>3</w:t>
            </w:r>
            <w:r>
              <w:rPr>
                <w:rFonts w:hint="eastAsia" w:ascii="方正仿宋_GB2312" w:hAnsi="方正仿宋_GB2312" w:eastAsia="方正仿宋_GB2312" w:cs="方正仿宋_GB2312"/>
                <w:color w:val="auto"/>
                <w:sz w:val="21"/>
                <w:szCs w:val="21"/>
                <w:highlight w:val="none"/>
              </w:rPr>
              <w:t>月至今，具有类似业绩，提供合同等证明材料，每个合同得</w:t>
            </w:r>
            <w:r>
              <w:rPr>
                <w:rFonts w:hint="eastAsia" w:ascii="方正仿宋_GB2312" w:hAnsi="方正仿宋_GB2312" w:eastAsia="方正仿宋_GB2312" w:cs="方正仿宋_GB2312"/>
                <w:color w:val="auto"/>
                <w:sz w:val="21"/>
                <w:szCs w:val="21"/>
                <w:highlight w:val="none"/>
                <w:lang w:val="en-US" w:eastAsia="zh-CN"/>
              </w:rPr>
              <w:t>1</w:t>
            </w:r>
            <w:r>
              <w:rPr>
                <w:rFonts w:hint="eastAsia" w:ascii="方正仿宋_GB2312" w:hAnsi="方正仿宋_GB2312" w:eastAsia="方正仿宋_GB2312" w:cs="方正仿宋_GB2312"/>
                <w:color w:val="auto"/>
                <w:sz w:val="21"/>
                <w:szCs w:val="21"/>
                <w:highlight w:val="none"/>
              </w:rPr>
              <w:t>分，最多</w:t>
            </w:r>
            <w:r>
              <w:rPr>
                <w:rFonts w:hint="eastAsia" w:ascii="方正仿宋_GB2312" w:hAnsi="方正仿宋_GB2312" w:eastAsia="方正仿宋_GB2312" w:cs="方正仿宋_GB2312"/>
                <w:color w:val="auto"/>
                <w:sz w:val="21"/>
                <w:szCs w:val="21"/>
                <w:highlight w:val="none"/>
                <w:lang w:val="en-US" w:eastAsia="zh-CN"/>
              </w:rPr>
              <w:t>4</w:t>
            </w:r>
            <w:r>
              <w:rPr>
                <w:rFonts w:hint="eastAsia" w:ascii="方正仿宋_GB2312" w:hAnsi="方正仿宋_GB2312" w:eastAsia="方正仿宋_GB2312" w:cs="方正仿宋_GB2312"/>
                <w:color w:val="auto"/>
                <w:sz w:val="21"/>
                <w:szCs w:val="21"/>
                <w:highlight w:val="none"/>
              </w:rPr>
              <w:t>分；另需要1个</w:t>
            </w:r>
            <w:r>
              <w:rPr>
                <w:rFonts w:hint="eastAsia" w:ascii="方正仿宋_GB2312" w:hAnsi="方正仿宋_GB2312" w:eastAsia="方正仿宋_GB2312" w:cs="方正仿宋_GB2312"/>
                <w:color w:val="auto"/>
                <w:sz w:val="21"/>
                <w:szCs w:val="21"/>
                <w:highlight w:val="none"/>
                <w:lang w:val="en-US" w:eastAsia="zh-CN"/>
              </w:rPr>
              <w:t>自主申报或与高校、科研院所、委办厅局联合申报的网络安全方向</w:t>
            </w:r>
            <w:r>
              <w:rPr>
                <w:rFonts w:hint="eastAsia" w:ascii="方正仿宋_GB2312" w:hAnsi="方正仿宋_GB2312" w:eastAsia="方正仿宋_GB2312" w:cs="方正仿宋_GB2312"/>
                <w:color w:val="auto"/>
                <w:sz w:val="21"/>
                <w:szCs w:val="21"/>
                <w:highlight w:val="none"/>
              </w:rPr>
              <w:t>科创课题业绩，提供合同或结题证明等证明材料，得</w:t>
            </w:r>
            <w:r>
              <w:rPr>
                <w:rFonts w:hint="eastAsia" w:ascii="方正仿宋_GB2312" w:hAnsi="方正仿宋_GB2312" w:eastAsia="方正仿宋_GB2312" w:cs="方正仿宋_GB2312"/>
                <w:color w:val="auto"/>
                <w:sz w:val="21"/>
                <w:szCs w:val="21"/>
                <w:highlight w:val="none"/>
                <w:lang w:val="en-US" w:eastAsia="zh-CN"/>
              </w:rPr>
              <w:t>3</w:t>
            </w:r>
            <w:r>
              <w:rPr>
                <w:rFonts w:hint="eastAsia" w:ascii="方正仿宋_GB2312" w:hAnsi="方正仿宋_GB2312" w:eastAsia="方正仿宋_GB2312" w:cs="方正仿宋_GB2312"/>
                <w:color w:val="auto"/>
                <w:sz w:val="21"/>
                <w:szCs w:val="21"/>
                <w:highlight w:val="none"/>
              </w:rPr>
              <w:t>分。此项共计</w:t>
            </w:r>
            <w:r>
              <w:rPr>
                <w:rFonts w:hint="eastAsia" w:ascii="方正仿宋_GB2312" w:hAnsi="方正仿宋_GB2312" w:eastAsia="方正仿宋_GB2312" w:cs="方正仿宋_GB2312"/>
                <w:color w:val="auto"/>
                <w:sz w:val="21"/>
                <w:szCs w:val="21"/>
                <w:highlight w:val="none"/>
                <w:lang w:val="en-US" w:eastAsia="zh-CN"/>
              </w:rPr>
              <w:t>7</w:t>
            </w:r>
            <w:r>
              <w:rPr>
                <w:rFonts w:hint="eastAsia" w:ascii="方正仿宋_GB2312" w:hAnsi="方正仿宋_GB2312" w:eastAsia="方正仿宋_GB2312" w:cs="方正仿宋_GB2312"/>
                <w:color w:val="auto"/>
                <w:sz w:val="21"/>
                <w:szCs w:val="21"/>
                <w:highlight w:val="none"/>
              </w:rPr>
              <w:t>分。</w:t>
            </w:r>
          </w:p>
          <w:p w14:paraId="356CF048">
            <w:pPr>
              <w:pStyle w:val="2"/>
              <w:rPr>
                <w:rFonts w:hint="default" w:eastAsia="方正仿宋_GB2312"/>
                <w:highlight w:val="none"/>
                <w:lang w:val="en-US" w:eastAsia="zh-CN"/>
              </w:rPr>
            </w:pPr>
            <w:r>
              <w:rPr>
                <w:rFonts w:hint="eastAsia" w:ascii="方正仿宋_GB2312" w:hAnsi="方正仿宋_GB2312" w:eastAsia="方正仿宋_GB2312" w:cs="方正仿宋_GB2312"/>
                <w:color w:val="auto"/>
                <w:kern w:val="2"/>
                <w:sz w:val="21"/>
                <w:szCs w:val="21"/>
                <w:highlight w:val="none"/>
                <w:vertAlign w:val="baseline"/>
                <w:lang w:val="en-US" w:eastAsia="zh-CN" w:bidi="ar-SA"/>
              </w:rPr>
              <w:t>类似业绩指：与采购标的功能属性相同，基础服务内容相似的过往履约成果。</w:t>
            </w:r>
          </w:p>
        </w:tc>
      </w:tr>
      <w:tr w14:paraId="39C2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817" w:type="dxa"/>
            <w:vMerge w:val="restart"/>
            <w:tcBorders>
              <w:right w:val="single" w:color="000000" w:sz="4" w:space="0"/>
            </w:tcBorders>
            <w:vAlign w:val="center"/>
          </w:tcPr>
          <w:p w14:paraId="278B7C64">
            <w:pPr>
              <w:pStyle w:val="22"/>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技术部分 （</w:t>
            </w:r>
            <w:r>
              <w:rPr>
                <w:rFonts w:hint="eastAsia" w:ascii="方正仿宋_GB2312" w:hAnsi="方正仿宋_GB2312" w:eastAsia="方正仿宋_GB2312" w:cs="方正仿宋_GB2312"/>
                <w:sz w:val="21"/>
                <w:szCs w:val="21"/>
                <w:highlight w:val="none"/>
                <w:lang w:val="en-US" w:eastAsia="zh-CN"/>
              </w:rPr>
              <w:t>75</w:t>
            </w:r>
            <w:r>
              <w:rPr>
                <w:rFonts w:hint="eastAsia" w:ascii="方正仿宋_GB2312" w:hAnsi="方正仿宋_GB2312" w:eastAsia="方正仿宋_GB2312" w:cs="方正仿宋_GB2312"/>
                <w:sz w:val="21"/>
                <w:szCs w:val="21"/>
                <w:highlight w:val="none"/>
              </w:rPr>
              <w:t>分）</w:t>
            </w:r>
          </w:p>
        </w:tc>
        <w:tc>
          <w:tcPr>
            <w:tcW w:w="992" w:type="dxa"/>
            <w:tcBorders>
              <w:left w:val="single" w:color="000000" w:sz="4" w:space="0"/>
            </w:tcBorders>
            <w:vAlign w:val="center"/>
          </w:tcPr>
          <w:p w14:paraId="07485D5E">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方正仿宋_GB2312" w:hAnsi="方正仿宋_GB2312" w:eastAsia="方正仿宋_GB2312" w:cs="方正仿宋_GB2312"/>
                <w:color w:val="auto"/>
                <w:kern w:val="2"/>
                <w:sz w:val="21"/>
                <w:szCs w:val="21"/>
                <w:highlight w:val="none"/>
                <w:lang w:val="zh-CN"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技术方案</w:t>
            </w:r>
          </w:p>
        </w:tc>
        <w:tc>
          <w:tcPr>
            <w:tcW w:w="567" w:type="dxa"/>
            <w:vAlign w:val="center"/>
          </w:tcPr>
          <w:p w14:paraId="6BB594D8">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default"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15</w:t>
            </w:r>
          </w:p>
        </w:tc>
        <w:tc>
          <w:tcPr>
            <w:tcW w:w="6145" w:type="dxa"/>
            <w:vAlign w:val="center"/>
          </w:tcPr>
          <w:p w14:paraId="26A301DE">
            <w:pPr>
              <w:pStyle w:val="20"/>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综合考虑投标人针对本项目的技术方案包括：网络安全检测方案、网络安全风险评估方案、网络流量及日志分析服务方案、网络安全培训方案、网络安全风险评估支撑服务方案等5方面内容进行评审：上述5项内容全部完整提供得15分；每缺少1 项内容的，扣3 分；每1项内容存在1处缺陷的，扣1.5分，每1项3分扣完为止。</w:t>
            </w:r>
          </w:p>
          <w:p w14:paraId="316D06B4">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default"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3388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817" w:type="dxa"/>
            <w:vMerge w:val="continue"/>
            <w:tcBorders>
              <w:right w:val="single" w:color="000000" w:sz="4" w:space="0"/>
            </w:tcBorders>
            <w:vAlign w:val="center"/>
          </w:tcPr>
          <w:p w14:paraId="19627A88">
            <w:pPr>
              <w:pStyle w:val="22"/>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vAlign w:val="center"/>
          </w:tcPr>
          <w:p w14:paraId="57EB130F">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default"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服务体系</w:t>
            </w:r>
          </w:p>
        </w:tc>
        <w:tc>
          <w:tcPr>
            <w:tcW w:w="567" w:type="dxa"/>
            <w:vAlign w:val="center"/>
          </w:tcPr>
          <w:p w14:paraId="7434661C">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default"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8</w:t>
            </w:r>
          </w:p>
        </w:tc>
        <w:tc>
          <w:tcPr>
            <w:tcW w:w="6145" w:type="dxa"/>
            <w:vAlign w:val="center"/>
          </w:tcPr>
          <w:p w14:paraId="2D6A0265">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投标人具有完备的服务体系，包括完善的服务质量监督体系、技术服务管理制度及人员考核机制、标准规范的服务流程、服务操作手册等4方面内容进行评审：上述4项内容全部完整提供得8分；每缺少1 项内容的，扣2分；每1项内容存在1处缺陷的，扣1分，每1项2分扣完为止。</w:t>
            </w:r>
          </w:p>
          <w:p w14:paraId="5103CBE5">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lang w:val="zh-CN"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7548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17" w:type="dxa"/>
            <w:vMerge w:val="continue"/>
            <w:tcBorders>
              <w:right w:val="single" w:color="000000" w:sz="4" w:space="0"/>
            </w:tcBorders>
            <w:vAlign w:val="center"/>
          </w:tcPr>
          <w:p w14:paraId="70628E15">
            <w:pPr>
              <w:pStyle w:val="22"/>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vAlign w:val="center"/>
          </w:tcPr>
          <w:p w14:paraId="267E0937">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方正仿宋_GB2312" w:hAnsi="方正仿宋_GB2312" w:eastAsia="方正仿宋_GB2312" w:cs="方正仿宋_GB2312"/>
                <w:color w:val="auto"/>
                <w:kern w:val="2"/>
                <w:sz w:val="21"/>
                <w:szCs w:val="21"/>
                <w:highlight w:val="none"/>
                <w:lang w:val="zh-CN"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突发应急预案</w:t>
            </w:r>
          </w:p>
        </w:tc>
        <w:tc>
          <w:tcPr>
            <w:tcW w:w="567" w:type="dxa"/>
            <w:vAlign w:val="center"/>
          </w:tcPr>
          <w:p w14:paraId="660939FC">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default"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9</w:t>
            </w:r>
          </w:p>
        </w:tc>
        <w:tc>
          <w:tcPr>
            <w:tcW w:w="6145" w:type="dxa"/>
            <w:vAlign w:val="center"/>
          </w:tcPr>
          <w:p w14:paraId="197C84ED">
            <w:pPr>
              <w:pStyle w:val="20"/>
              <w:keepNext w:val="0"/>
              <w:keepLines w:val="0"/>
              <w:pageBreakBefore w:val="0"/>
              <w:widowControl w:val="0"/>
              <w:kinsoku/>
              <w:wordWrap/>
              <w:overflowPunct/>
              <w:topLinePunct w:val="0"/>
              <w:autoSpaceDE/>
              <w:autoSpaceDN/>
              <w:bidi w:val="0"/>
              <w:adjustRightInd/>
              <w:spacing w:line="240" w:lineRule="auto"/>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制定突发应急预案，包括突发情况控制手段、处理措施，以及响应预案等3方面内容进行评审，上述3项内容全部完整提供得9分；每缺少1 项内容的，扣3 分；每1项内容存在1处缺陷的，扣1.5分，每1项3分扣完为止。</w:t>
            </w:r>
          </w:p>
          <w:p w14:paraId="0DD5CA1D">
            <w:pPr>
              <w:pStyle w:val="2"/>
              <w:keepNext w:val="0"/>
              <w:keepLines w:val="0"/>
              <w:pageBreakBefore w:val="0"/>
              <w:widowControl w:val="0"/>
              <w:kinsoku/>
              <w:wordWrap/>
              <w:overflowPunct/>
              <w:topLinePunct w:val="0"/>
              <w:autoSpaceDE/>
              <w:autoSpaceDN/>
              <w:bidi w:val="0"/>
              <w:adjustRightInd/>
              <w:spacing w:line="240" w:lineRule="auto"/>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04B3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817" w:type="dxa"/>
            <w:vMerge w:val="continue"/>
            <w:tcBorders>
              <w:right w:val="single" w:color="000000" w:sz="4" w:space="0"/>
            </w:tcBorders>
            <w:vAlign w:val="center"/>
          </w:tcPr>
          <w:p w14:paraId="030A92D0">
            <w:pPr>
              <w:pStyle w:val="22"/>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vAlign w:val="center"/>
          </w:tcPr>
          <w:p w14:paraId="0196DF46">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质量控制措施</w:t>
            </w:r>
          </w:p>
        </w:tc>
        <w:tc>
          <w:tcPr>
            <w:tcW w:w="567" w:type="dxa"/>
            <w:vAlign w:val="center"/>
          </w:tcPr>
          <w:p w14:paraId="79D84E57">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default"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15</w:t>
            </w:r>
          </w:p>
        </w:tc>
        <w:tc>
          <w:tcPr>
            <w:tcW w:w="6145" w:type="dxa"/>
            <w:vAlign w:val="center"/>
          </w:tcPr>
          <w:p w14:paraId="07B15EA2">
            <w:pPr>
              <w:pStyle w:val="20"/>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制定质量控制措施，包括人员保障、质量管理制度、质量保障措施、安全技术培训、安全咨询等5方面内容进行评审：上述5项内容全部完整提供得15分；每缺少1 项内容的，扣3 分；每1项内容存在1处缺陷的，扣1.5分，每1项3分扣完为止。</w:t>
            </w:r>
          </w:p>
          <w:p w14:paraId="56353A77">
            <w:pPr>
              <w:pStyle w:val="2"/>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26FB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817" w:type="dxa"/>
            <w:vMerge w:val="continue"/>
            <w:tcBorders>
              <w:right w:val="single" w:color="000000" w:sz="4" w:space="0"/>
            </w:tcBorders>
            <w:vAlign w:val="center"/>
          </w:tcPr>
          <w:p w14:paraId="3811BE15">
            <w:pPr>
              <w:pStyle w:val="22"/>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shd w:val="clear" w:color="auto" w:fill="auto"/>
            <w:vAlign w:val="center"/>
          </w:tcPr>
          <w:p w14:paraId="0F82BDE5">
            <w:pPr>
              <w:spacing w:beforeLines="0" w:afterLines="0"/>
              <w:jc w:val="center"/>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服务能力</w:t>
            </w:r>
          </w:p>
        </w:tc>
        <w:tc>
          <w:tcPr>
            <w:tcW w:w="567" w:type="dxa"/>
            <w:shd w:val="clear" w:color="auto" w:fill="auto"/>
            <w:vAlign w:val="center"/>
          </w:tcPr>
          <w:p w14:paraId="3D360FB4">
            <w:pPr>
              <w:spacing w:beforeLines="0" w:afterLines="0"/>
              <w:jc w:val="center"/>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13</w:t>
            </w:r>
          </w:p>
        </w:tc>
        <w:tc>
          <w:tcPr>
            <w:tcW w:w="6145" w:type="dxa"/>
            <w:shd w:val="clear" w:color="auto" w:fill="auto"/>
            <w:vAlign w:val="top"/>
          </w:tcPr>
          <w:p w14:paraId="16D85E82">
            <w:pPr>
              <w:pStyle w:val="22"/>
              <w:keepNext w:val="0"/>
              <w:keepLines w:val="0"/>
              <w:pageBreakBefore w:val="0"/>
              <w:widowControl w:val="0"/>
              <w:kinsoku/>
              <w:wordWrap/>
              <w:overflowPunct/>
              <w:topLinePunct w:val="0"/>
              <w:bidi w:val="0"/>
              <w:adjustRightInd/>
              <w:ind w:left="0" w:leftChars="0" w:right="0" w:rightChars="0"/>
              <w:textAlignment w:val="auto"/>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color w:val="auto"/>
                <w:kern w:val="2"/>
                <w:sz w:val="21"/>
                <w:szCs w:val="21"/>
                <w:highlight w:val="none"/>
                <w:lang w:val="en-US" w:eastAsia="zh-CN" w:bidi="ar-SA"/>
              </w:rPr>
              <w:t>1、为确保采购需求中（三）项目技术要求中服务内容的有效落实，</w:t>
            </w:r>
            <w:r>
              <w:rPr>
                <w:rFonts w:hint="eastAsia" w:ascii="方正仿宋_GB2312" w:hAnsi="方正仿宋_GB2312" w:eastAsia="方正仿宋_GB2312" w:cs="方正仿宋_GB2312"/>
                <w:kern w:val="2"/>
                <w:sz w:val="21"/>
                <w:szCs w:val="21"/>
                <w:highlight w:val="none"/>
                <w:lang w:val="zh-CN" w:eastAsia="zh-CN" w:bidi="zh-CN"/>
              </w:rPr>
              <w:t>供应商技术团队应具有CISP</w:t>
            </w:r>
            <w:r>
              <w:rPr>
                <w:rFonts w:hint="eastAsia" w:ascii="方正仿宋_GB2312" w:hAnsi="方正仿宋_GB2312" w:eastAsia="方正仿宋_GB2312" w:cs="方正仿宋_GB2312"/>
                <w:kern w:val="2"/>
                <w:sz w:val="21"/>
                <w:szCs w:val="21"/>
                <w:highlight w:val="none"/>
                <w:lang w:val="en-US" w:eastAsia="zh-CN" w:bidi="zh-CN"/>
              </w:rPr>
              <w:t>-PTE渗透测试工程师证书或CISP-PTS渗透测试专家</w:t>
            </w:r>
            <w:r>
              <w:rPr>
                <w:rFonts w:hint="eastAsia" w:ascii="方正仿宋_GB2312" w:hAnsi="方正仿宋_GB2312" w:eastAsia="方正仿宋_GB2312" w:cs="方正仿宋_GB2312"/>
                <w:kern w:val="2"/>
                <w:sz w:val="21"/>
                <w:szCs w:val="21"/>
                <w:highlight w:val="none"/>
                <w:lang w:val="zh-CN" w:eastAsia="zh-CN" w:bidi="zh-CN"/>
              </w:rPr>
              <w:t>证书，</w:t>
            </w:r>
            <w:r>
              <w:rPr>
                <w:rFonts w:hint="eastAsia" w:ascii="方正仿宋_GB2312" w:hAnsi="方正仿宋_GB2312" w:eastAsia="方正仿宋_GB2312" w:cs="方正仿宋_GB2312"/>
                <w:kern w:val="2"/>
                <w:sz w:val="21"/>
                <w:szCs w:val="21"/>
                <w:highlight w:val="none"/>
                <w:lang w:val="en-US" w:eastAsia="zh-CN" w:bidi="zh-CN"/>
              </w:rPr>
              <w:t>每有1人得1分，最高得8分；</w:t>
            </w:r>
          </w:p>
          <w:p w14:paraId="73A5DEBA">
            <w:pPr>
              <w:pStyle w:val="22"/>
              <w:keepNext w:val="0"/>
              <w:keepLines w:val="0"/>
              <w:pageBreakBefore w:val="0"/>
              <w:widowControl w:val="0"/>
              <w:kinsoku/>
              <w:wordWrap/>
              <w:overflowPunct/>
              <w:topLinePunct w:val="0"/>
              <w:bidi w:val="0"/>
              <w:adjustRightInd/>
              <w:ind w:left="0" w:leftChars="0" w:right="0" w:rightChars="0"/>
              <w:textAlignment w:val="auto"/>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zh-CN" w:eastAsia="zh-CN" w:bidi="zh-CN"/>
              </w:rPr>
              <w:t>2、上述安全服务团队需至少派驻2人驻场，</w:t>
            </w:r>
            <w:r>
              <w:rPr>
                <w:rFonts w:hint="eastAsia" w:ascii="方正仿宋_GB2312" w:hAnsi="方正仿宋_GB2312" w:eastAsia="方正仿宋_GB2312" w:cs="方正仿宋_GB2312"/>
                <w:kern w:val="2"/>
                <w:sz w:val="21"/>
                <w:szCs w:val="21"/>
                <w:highlight w:val="none"/>
                <w:lang w:val="en-US" w:eastAsia="zh-CN" w:bidi="zh-CN"/>
              </w:rPr>
              <w:t>驻场人员还</w:t>
            </w:r>
            <w:r>
              <w:rPr>
                <w:rFonts w:hint="eastAsia" w:ascii="方正仿宋_GB2312" w:hAnsi="方正仿宋_GB2312" w:eastAsia="方正仿宋_GB2312" w:cs="方正仿宋_GB2312"/>
                <w:kern w:val="2"/>
                <w:sz w:val="21"/>
                <w:szCs w:val="21"/>
                <w:highlight w:val="none"/>
                <w:lang w:val="zh-CN" w:eastAsia="zh-CN" w:bidi="zh-CN"/>
              </w:rPr>
              <w:t>需具备</w:t>
            </w:r>
            <w:r>
              <w:rPr>
                <w:rFonts w:hint="eastAsia" w:ascii="方正仿宋_GB2312" w:hAnsi="方正仿宋_GB2312" w:eastAsia="方正仿宋_GB2312" w:cs="方正仿宋_GB2312"/>
                <w:kern w:val="2"/>
                <w:sz w:val="21"/>
                <w:szCs w:val="21"/>
                <w:highlight w:val="none"/>
                <w:lang w:val="en-US" w:eastAsia="zh-CN" w:bidi="zh-CN"/>
              </w:rPr>
              <w:t>CISP注册信息安全工程师</w:t>
            </w:r>
            <w:r>
              <w:rPr>
                <w:rFonts w:hint="eastAsia" w:ascii="方正仿宋_GB2312" w:hAnsi="方正仿宋_GB2312" w:eastAsia="方正仿宋_GB2312" w:cs="方正仿宋_GB2312"/>
                <w:kern w:val="2"/>
                <w:sz w:val="21"/>
                <w:szCs w:val="21"/>
                <w:highlight w:val="none"/>
                <w:lang w:val="zh-CN" w:eastAsia="zh-CN" w:bidi="zh-CN"/>
              </w:rPr>
              <w:t>证书，每人得</w:t>
            </w:r>
            <w:r>
              <w:rPr>
                <w:rFonts w:hint="eastAsia" w:ascii="方正仿宋_GB2312" w:hAnsi="方正仿宋_GB2312" w:eastAsia="方正仿宋_GB2312" w:cs="方正仿宋_GB2312"/>
                <w:kern w:val="2"/>
                <w:sz w:val="21"/>
                <w:szCs w:val="21"/>
                <w:highlight w:val="none"/>
                <w:lang w:val="en-US" w:eastAsia="zh-CN" w:bidi="zh-CN"/>
              </w:rPr>
              <w:t>2</w:t>
            </w:r>
            <w:r>
              <w:rPr>
                <w:rFonts w:hint="eastAsia" w:ascii="方正仿宋_GB2312" w:hAnsi="方正仿宋_GB2312" w:eastAsia="方正仿宋_GB2312" w:cs="方正仿宋_GB2312"/>
                <w:kern w:val="2"/>
                <w:sz w:val="21"/>
                <w:szCs w:val="21"/>
                <w:highlight w:val="none"/>
                <w:lang w:val="zh-CN" w:eastAsia="zh-CN" w:bidi="zh-CN"/>
              </w:rPr>
              <w:t>分，最多得</w:t>
            </w:r>
            <w:r>
              <w:rPr>
                <w:rFonts w:hint="eastAsia" w:ascii="方正仿宋_GB2312" w:hAnsi="方正仿宋_GB2312" w:eastAsia="方正仿宋_GB2312" w:cs="方正仿宋_GB2312"/>
                <w:kern w:val="2"/>
                <w:sz w:val="21"/>
                <w:szCs w:val="21"/>
                <w:highlight w:val="none"/>
                <w:lang w:val="en-US" w:eastAsia="zh-CN" w:bidi="zh-CN"/>
              </w:rPr>
              <w:t>4</w:t>
            </w:r>
            <w:r>
              <w:rPr>
                <w:rFonts w:hint="eastAsia" w:ascii="方正仿宋_GB2312" w:hAnsi="方正仿宋_GB2312" w:eastAsia="方正仿宋_GB2312" w:cs="方正仿宋_GB2312"/>
                <w:kern w:val="2"/>
                <w:sz w:val="21"/>
                <w:szCs w:val="21"/>
                <w:highlight w:val="none"/>
                <w:lang w:val="zh-CN" w:eastAsia="zh-CN" w:bidi="zh-CN"/>
              </w:rPr>
              <w:t>分；</w:t>
            </w:r>
          </w:p>
          <w:p w14:paraId="1B4B0C54">
            <w:pPr>
              <w:pStyle w:val="22"/>
              <w:keepNext w:val="0"/>
              <w:keepLines w:val="0"/>
              <w:pageBreakBefore w:val="0"/>
              <w:widowControl w:val="0"/>
              <w:kinsoku/>
              <w:wordWrap/>
              <w:overflowPunct/>
              <w:topLinePunct w:val="0"/>
              <w:bidi w:val="0"/>
              <w:adjustRightInd/>
              <w:ind w:left="0" w:leftChars="0" w:right="0" w:rightChars="0"/>
              <w:textAlignment w:val="auto"/>
              <w:rPr>
                <w:rFonts w:hint="default"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3、</w:t>
            </w:r>
            <w:r>
              <w:rPr>
                <w:rFonts w:hint="eastAsia" w:ascii="方正仿宋_GB2312" w:hAnsi="方正仿宋_GB2312" w:eastAsia="方正仿宋_GB2312" w:cs="方正仿宋_GB2312"/>
                <w:kern w:val="2"/>
                <w:sz w:val="21"/>
                <w:szCs w:val="21"/>
                <w:highlight w:val="none"/>
                <w:lang w:val="zh-CN" w:eastAsia="zh-CN" w:bidi="zh-CN"/>
              </w:rPr>
              <w:t>供应商技术团队应具有“注册信息安全讲师（CISI）”证书，</w:t>
            </w:r>
            <w:r>
              <w:rPr>
                <w:rFonts w:hint="eastAsia" w:ascii="方正仿宋_GB2312" w:hAnsi="方正仿宋_GB2312" w:eastAsia="方正仿宋_GB2312" w:cs="方正仿宋_GB2312"/>
                <w:kern w:val="2"/>
                <w:sz w:val="21"/>
                <w:szCs w:val="21"/>
                <w:highlight w:val="none"/>
                <w:lang w:val="en-US" w:eastAsia="zh-CN" w:bidi="zh-CN"/>
              </w:rPr>
              <w:t>每有1人得1分，最高得1分。</w:t>
            </w:r>
          </w:p>
        </w:tc>
      </w:tr>
      <w:tr w14:paraId="4B31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Merge w:val="continue"/>
            <w:tcBorders>
              <w:right w:val="single" w:color="000000" w:sz="4" w:space="0"/>
            </w:tcBorders>
            <w:vAlign w:val="center"/>
          </w:tcPr>
          <w:p w14:paraId="0AEA3F50">
            <w:pPr>
              <w:pStyle w:val="22"/>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shd w:val="clear" w:color="auto" w:fill="auto"/>
            <w:vAlign w:val="top"/>
          </w:tcPr>
          <w:p w14:paraId="50BC4114">
            <w:pPr>
              <w:spacing w:beforeLines="0" w:afterLines="0"/>
              <w:jc w:val="center"/>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项目实施能力</w:t>
            </w:r>
          </w:p>
        </w:tc>
        <w:tc>
          <w:tcPr>
            <w:tcW w:w="567" w:type="dxa"/>
            <w:shd w:val="clear" w:color="auto" w:fill="auto"/>
            <w:vAlign w:val="top"/>
          </w:tcPr>
          <w:p w14:paraId="041724D3">
            <w:pPr>
              <w:spacing w:beforeLines="0" w:afterLines="0"/>
              <w:jc w:val="center"/>
              <w:rPr>
                <w:rFonts w:hint="default"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10</w:t>
            </w:r>
          </w:p>
        </w:tc>
        <w:tc>
          <w:tcPr>
            <w:tcW w:w="6145" w:type="dxa"/>
            <w:shd w:val="clear" w:color="auto" w:fill="auto"/>
            <w:vAlign w:val="top"/>
          </w:tcPr>
          <w:p w14:paraId="00D56300">
            <w:pPr>
              <w:keepNext w:val="0"/>
              <w:keepLines w:val="0"/>
              <w:pageBreakBefore w:val="0"/>
              <w:widowControl w:val="0"/>
              <w:kinsoku/>
              <w:wordWrap/>
              <w:overflowPunct/>
              <w:topLinePunct w:val="0"/>
              <w:bidi w:val="0"/>
              <w:adjustRightInd/>
              <w:spacing w:beforeLines="0" w:afterLines="0"/>
              <w:jc w:val="left"/>
              <w:textAlignment w:val="auto"/>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本项目经理应具有：</w:t>
            </w:r>
          </w:p>
          <w:p w14:paraId="54B2C693">
            <w:pPr>
              <w:keepNext w:val="0"/>
              <w:keepLines w:val="0"/>
              <w:pageBreakBefore w:val="0"/>
              <w:widowControl w:val="0"/>
              <w:numPr>
                <w:ilvl w:val="0"/>
                <w:numId w:val="14"/>
              </w:numPr>
              <w:kinsoku/>
              <w:wordWrap/>
              <w:overflowPunct/>
              <w:topLinePunct w:val="0"/>
              <w:bidi w:val="0"/>
              <w:adjustRightInd/>
              <w:spacing w:beforeLines="0" w:afterLines="0"/>
              <w:jc w:val="left"/>
              <w:textAlignment w:val="auto"/>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具有</w:t>
            </w:r>
            <w:r>
              <w:rPr>
                <w:rFonts w:hint="eastAsia" w:ascii="方正仿宋_GB2312" w:hAnsi="方正仿宋_GB2312" w:eastAsia="方正仿宋_GB2312" w:cs="方正仿宋_GB2312"/>
                <w:kern w:val="2"/>
                <w:sz w:val="21"/>
                <w:szCs w:val="21"/>
                <w:highlight w:val="none"/>
                <w:lang w:val="en-US" w:eastAsia="zh-CN" w:bidi="zh-CN"/>
              </w:rPr>
              <w:t>国家软考高级《信息系统项目管理师》证书得2分，不提供不得分；</w:t>
            </w:r>
          </w:p>
          <w:p w14:paraId="0EF3A5FD">
            <w:pPr>
              <w:keepNext w:val="0"/>
              <w:keepLines w:val="0"/>
              <w:pageBreakBefore w:val="0"/>
              <w:widowControl w:val="0"/>
              <w:numPr>
                <w:ilvl w:val="0"/>
                <w:numId w:val="14"/>
              </w:numPr>
              <w:kinsoku/>
              <w:wordWrap/>
              <w:overflowPunct/>
              <w:topLinePunct w:val="0"/>
              <w:bidi w:val="0"/>
              <w:adjustRightInd/>
              <w:spacing w:beforeLines="0" w:afterLines="0"/>
              <w:jc w:val="left"/>
              <w:textAlignment w:val="auto"/>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为确保项目经理专业服务能力，项目经理每多提供</w:t>
            </w:r>
            <w:r>
              <w:rPr>
                <w:rFonts w:hint="eastAsia" w:ascii="方正仿宋_GB2312" w:hAnsi="方正仿宋_GB2312" w:eastAsia="方正仿宋_GB2312" w:cs="方正仿宋_GB2312"/>
                <w:kern w:val="2"/>
                <w:sz w:val="21"/>
                <w:szCs w:val="21"/>
                <w:highlight w:val="none"/>
                <w:lang w:val="en-US" w:eastAsia="zh-CN" w:bidi="zh-CN"/>
              </w:rPr>
              <w:t>一个与服务内容相贴合的信息安全、网络工程相关资质证书（如：国家软考、CISP系列证书、CCRC系列证书）得1分，最多得5分；</w:t>
            </w:r>
          </w:p>
          <w:p w14:paraId="2BBB3F58">
            <w:pPr>
              <w:keepNext w:val="0"/>
              <w:keepLines w:val="0"/>
              <w:pageBreakBefore w:val="0"/>
              <w:widowControl w:val="0"/>
              <w:numPr>
                <w:ilvl w:val="0"/>
                <w:numId w:val="14"/>
              </w:numPr>
              <w:kinsoku/>
              <w:wordWrap/>
              <w:overflowPunct/>
              <w:topLinePunct w:val="0"/>
              <w:bidi w:val="0"/>
              <w:adjustRightInd/>
              <w:spacing w:beforeLines="0" w:afterLines="0"/>
              <w:jc w:val="left"/>
              <w:textAlignment w:val="auto"/>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以项目经理身份承担过不少于 3 个类似业绩项目的管理工作。每提供一个有效证明材料</w:t>
            </w:r>
            <w:r>
              <w:rPr>
                <w:rFonts w:hint="eastAsia" w:ascii="方正仿宋_GB2312" w:hAnsi="方正仿宋_GB2312" w:eastAsia="方正仿宋_GB2312" w:cs="方正仿宋_GB2312"/>
                <w:kern w:val="2"/>
                <w:sz w:val="21"/>
                <w:szCs w:val="21"/>
                <w:highlight w:val="none"/>
                <w:lang w:val="en-US" w:eastAsia="zh-CN" w:bidi="zh-CN"/>
              </w:rPr>
              <w:t>得1分，最多3分，不提供不得分。</w:t>
            </w:r>
          </w:p>
          <w:p w14:paraId="3FAB564F">
            <w:pPr>
              <w:keepNext w:val="0"/>
              <w:keepLines w:val="0"/>
              <w:pageBreakBefore w:val="0"/>
              <w:widowControl w:val="0"/>
              <w:kinsoku/>
              <w:wordWrap/>
              <w:overflowPunct/>
              <w:topLinePunct w:val="0"/>
              <w:bidi w:val="0"/>
              <w:adjustRightInd/>
              <w:spacing w:beforeLines="0" w:afterLines="0"/>
              <w:jc w:val="left"/>
              <w:textAlignment w:val="auto"/>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注：要求项目经理为供应商自有正式员工，需提供以上资质证书、类似业绩的证明材料，不满足不得分。</w:t>
            </w:r>
          </w:p>
        </w:tc>
      </w:tr>
      <w:tr w14:paraId="6AA0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Merge w:val="continue"/>
            <w:tcBorders>
              <w:right w:val="single" w:color="000000" w:sz="4" w:space="0"/>
            </w:tcBorders>
            <w:vAlign w:val="center"/>
          </w:tcPr>
          <w:p w14:paraId="5A1D50CA">
            <w:pPr>
              <w:pStyle w:val="22"/>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shd w:val="clear" w:color="auto" w:fill="auto"/>
            <w:vAlign w:val="top"/>
          </w:tcPr>
          <w:p w14:paraId="32001873">
            <w:pPr>
              <w:spacing w:beforeLines="0" w:afterLines="0"/>
              <w:jc w:val="center"/>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平台部署能力</w:t>
            </w:r>
          </w:p>
        </w:tc>
        <w:tc>
          <w:tcPr>
            <w:tcW w:w="567" w:type="dxa"/>
            <w:shd w:val="clear" w:color="auto" w:fill="auto"/>
            <w:vAlign w:val="top"/>
          </w:tcPr>
          <w:p w14:paraId="7948BF0C">
            <w:pPr>
              <w:spacing w:beforeLines="0" w:afterLines="0"/>
              <w:jc w:val="center"/>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5</w:t>
            </w:r>
          </w:p>
        </w:tc>
        <w:tc>
          <w:tcPr>
            <w:tcW w:w="6145" w:type="dxa"/>
            <w:shd w:val="clear" w:color="auto" w:fill="auto"/>
            <w:vAlign w:val="top"/>
          </w:tcPr>
          <w:p w14:paraId="7FCD2AD9">
            <w:pPr>
              <w:keepNext w:val="0"/>
              <w:keepLines w:val="0"/>
              <w:pageBreakBefore w:val="0"/>
              <w:widowControl w:val="0"/>
              <w:kinsoku/>
              <w:wordWrap/>
              <w:overflowPunct/>
              <w:topLinePunct w:val="0"/>
              <w:bidi w:val="0"/>
              <w:adjustRightInd/>
              <w:spacing w:beforeLines="0" w:afterLines="0"/>
              <w:jc w:val="left"/>
              <w:textAlignment w:val="auto"/>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为确保采购需求中《定制开发部署安全运营平台》、《部署蜜罐系统》的服务内容落实，供应商需提供相关平台/系统的品牌、型号、采购合同等证明资料加盖公章，原件备查。若为自行开发的软件，要求提供《软件著作权登记证书》，满足得5分，不满足不得分。</w:t>
            </w:r>
          </w:p>
        </w:tc>
      </w:tr>
    </w:tbl>
    <w:p w14:paraId="232A03BD">
      <w:pPr>
        <w:pStyle w:val="29"/>
        <w:keepNext w:val="0"/>
        <w:keepLines w:val="0"/>
        <w:pageBreakBefore w:val="0"/>
        <w:widowControl w:val="0"/>
        <w:numPr>
          <w:ilvl w:val="0"/>
          <w:numId w:val="0"/>
        </w:numPr>
        <w:shd w:val="clear"/>
        <w:kinsoku/>
        <w:wordWrap/>
        <w:overflowPunct/>
        <w:topLinePunct w:val="0"/>
        <w:bidi w:val="0"/>
        <w:adjustRightInd/>
        <w:snapToGrid/>
        <w:spacing w:line="420" w:lineRule="exact"/>
        <w:ind w:leftChars="0" w:right="0" w:rightChars="0"/>
        <w:jc w:val="center"/>
        <w:textAlignment w:val="auto"/>
        <w:rPr>
          <w:rFonts w:hint="eastAsia" w:ascii="方正仿宋_GB2312" w:hAnsi="方正仿宋_GB2312" w:eastAsia="方正仿宋_GB2312" w:cs="方正仿宋_GB2312"/>
          <w:b/>
          <w:bCs/>
          <w:highlight w:val="none"/>
          <w:lang w:val="en-US" w:eastAsia="zh-CN"/>
        </w:rPr>
      </w:pPr>
    </w:p>
    <w:p w14:paraId="049C92B4">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评审标准中应考虑下列因素：</w:t>
      </w:r>
    </w:p>
    <w:p w14:paraId="6941A157">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落实中小企业政府采购政策的价格调整：</w:t>
      </w:r>
    </w:p>
    <w:p w14:paraId="72D75B9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方正仿宋_GB2312" w:hAnsi="方正仿宋_GB2312" w:eastAsia="方正仿宋_GB2312" w:cs="方正仿宋_GB2312"/>
          <w:sz w:val="24"/>
          <w:szCs w:val="24"/>
          <w:highlight w:val="none"/>
          <w:u w:val="single"/>
          <w:lang w:val="en-US" w:eastAsia="zh-CN"/>
        </w:rPr>
        <w:t xml:space="preserve"> 10 % </w:t>
      </w:r>
      <w:r>
        <w:rPr>
          <w:rFonts w:hint="eastAsia" w:ascii="方正仿宋_GB2312" w:hAnsi="方正仿宋_GB2312" w:eastAsia="方正仿宋_GB2312" w:cs="方正仿宋_GB2312"/>
          <w:sz w:val="24"/>
          <w:szCs w:val="24"/>
          <w:highlight w:val="none"/>
          <w:lang w:val="en-US" w:eastAsia="zh-CN"/>
        </w:rPr>
        <w:t>后参与评审。对于同时属于小微企业、监狱企业或残疾人福利性单位的，不重复进行最后报价扣除。</w:t>
      </w:r>
    </w:p>
    <w:p w14:paraId="5111909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szCs w:val="24"/>
          <w:highlight w:val="none"/>
          <w:u w:val="single"/>
          <w:lang w:val="en-US" w:eastAsia="zh-CN"/>
        </w:rPr>
        <w:t xml:space="preserve"> 30 %</w:t>
      </w:r>
      <w:r>
        <w:rPr>
          <w:rFonts w:hint="eastAsia" w:ascii="方正仿宋_GB2312" w:hAnsi="方正仿宋_GB2312" w:eastAsia="方正仿宋_GB2312" w:cs="方正仿宋_GB2312"/>
          <w:sz w:val="24"/>
          <w:szCs w:val="24"/>
          <w:highlight w:val="none"/>
          <w:lang w:val="en-US" w:eastAsia="zh-CN"/>
        </w:rPr>
        <w:t>以上的联合体或者大中型企业的报价给予</w:t>
      </w:r>
      <w:r>
        <w:rPr>
          <w:rFonts w:hint="eastAsia" w:ascii="方正仿宋_GB2312" w:hAnsi="方正仿宋_GB2312" w:eastAsia="方正仿宋_GB2312" w:cs="方正仿宋_GB2312"/>
          <w:sz w:val="24"/>
          <w:szCs w:val="24"/>
          <w:highlight w:val="none"/>
          <w:u w:val="single"/>
          <w:lang w:val="en-US" w:eastAsia="zh-CN"/>
        </w:rPr>
        <w:t xml:space="preserve"> 4% </w:t>
      </w:r>
      <w:r>
        <w:rPr>
          <w:rFonts w:hint="eastAsia" w:ascii="方正仿宋_GB2312" w:hAnsi="方正仿宋_GB2312" w:eastAsia="方正仿宋_GB2312" w:cs="方正仿宋_GB2312"/>
          <w:sz w:val="24"/>
          <w:szCs w:val="24"/>
          <w:highlight w:val="none"/>
          <w:lang w:val="en-US" w:eastAsia="zh-CN"/>
        </w:rPr>
        <w:t>的扣除，用扣除后的价格参加评审。</w:t>
      </w:r>
    </w:p>
    <w:p w14:paraId="373462D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（3）组成联合体或者接受分包的小微企业与联合体内其他企业、分包企业之间存在直接控股、管理关系的，不享受价格扣除优惠政策。</w:t>
      </w:r>
    </w:p>
    <w:p w14:paraId="050E885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（4）价格扣除比例对小型企业和微型企业同等对待，不作区分。</w:t>
      </w:r>
    </w:p>
    <w:p w14:paraId="5EDCCA2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（5）中小企业参加政府采购活动，应当按照采购文件给定的格式出具《中小企业声明函》，否则不得享受相关中小企业扶持政策。</w:t>
      </w:r>
    </w:p>
    <w:p w14:paraId="658CBB0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（6）监狱企业提供了由省级以上监狱管理局、戒毒管理局（含新疆生产建设兵团）出具的属于监狱企业的证明文件的，视同小微企业。</w:t>
      </w:r>
    </w:p>
    <w:p w14:paraId="1F89C7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（7）残疾人福利性单位按采购文件要求提供了《残疾人福利性单位声明函》（见附件）的，视同小微企业。</w:t>
      </w:r>
    </w:p>
    <w:p w14:paraId="57EAE0A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（8）若供应商同时属于小型或微型企业、监狱企业、残疾人福利性单位中的两种及以上，将不重复享受小微企业价格扣减的优惠政策。</w:t>
      </w:r>
    </w:p>
    <w:p w14:paraId="62C58E0D">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highlight w:val="none"/>
          <w:lang w:val="en-US" w:eastAsia="zh-CN"/>
        </w:rPr>
        <w:t>落实</w:t>
      </w:r>
      <w:r>
        <w:rPr>
          <w:rFonts w:hint="eastAsia" w:ascii="方正仿宋_GB2312" w:hAnsi="方正仿宋_GB2312" w:eastAsia="方正仿宋_GB2312" w:cs="方正仿宋_GB2312"/>
          <w:sz w:val="24"/>
          <w:szCs w:val="24"/>
          <w:highlight w:val="none"/>
          <w:lang w:val="en-US" w:eastAsia="zh-CN"/>
        </w:rPr>
        <w:t>对本国产品的支持政策的价格调整：</w:t>
      </w:r>
    </w:p>
    <w:p w14:paraId="0FE0A1C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87E8DD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293502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5CECA4C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44A3C06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BE342F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4F6EFAD">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sz w:val="24"/>
          <w:szCs w:val="24"/>
          <w:highlight w:val="none"/>
          <w:u w:val="single"/>
          <w:lang w:val="en-US" w:eastAsia="zh-CN"/>
        </w:rPr>
        <w:t>综合得分相同时排名优先。</w:t>
      </w:r>
    </w:p>
    <w:p w14:paraId="7E0B4DC9">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sz w:val="24"/>
          <w:szCs w:val="24"/>
          <w:highlight w:val="none"/>
          <w:u w:val="single"/>
          <w:lang w:val="en-US" w:eastAsia="zh-CN"/>
        </w:rPr>
        <w:t>综合得分相同时排名优先。</w:t>
      </w:r>
    </w:p>
    <w:p w14:paraId="3FC52B0D">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7D37CE6A">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sz w:val="24"/>
          <w:szCs w:val="24"/>
          <w:highlight w:val="none"/>
          <w:u w:val="single"/>
          <w:lang w:val="en-US" w:eastAsia="zh-CN"/>
        </w:rPr>
        <w:t xml:space="preserve">  综合得分相同时排名优先。</w:t>
      </w:r>
    </w:p>
    <w:p w14:paraId="3811A581">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同品牌同型号处理办法：</w:t>
      </w:r>
    </w:p>
    <w:p w14:paraId="359EDFBD">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7F486498">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如一个分包内包含多种产品的，采购人或采购代理机构将在</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 xml:space="preserve">中载明核心产品，多家供应商提供的所有核心产品品牌型号均相同的，按前款规定处理。 </w:t>
      </w:r>
    </w:p>
    <w:p w14:paraId="27CF6CEB">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确定中标候选人名单</w:t>
      </w:r>
    </w:p>
    <w:p w14:paraId="660131B4">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707C45CC">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磋商小组要对评分汇总情况进行复核，特别是对排名第一的、报价最低的、响应文件被认定为无效的情形进行重点复核。</w:t>
      </w:r>
    </w:p>
    <w:p w14:paraId="28F14DB9">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3B7E8CB5">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77278CB2">
      <w:pPr>
        <w:pStyle w:val="29"/>
        <w:shd w:val="clear"/>
        <w:rPr>
          <w:rFonts w:hint="eastAsia" w:ascii="仿宋_GB2312" w:hAnsi="仿宋_GB2312" w:eastAsia="仿宋_GB2312" w:cs="仿宋_GB2312"/>
          <w:sz w:val="24"/>
          <w:szCs w:val="24"/>
          <w:highlight w:val="none"/>
          <w:lang w:val="en-US" w:eastAsia="zh-CN"/>
        </w:rPr>
      </w:pPr>
    </w:p>
    <w:p w14:paraId="4E2C7CDF">
      <w:pPr>
        <w:shd w:val="clear"/>
        <w:rPr>
          <w:rFonts w:hint="eastAsia"/>
          <w:highlight w:val="none"/>
          <w:lang w:val="en-US" w:eastAsia="zh-CN"/>
        </w:rPr>
      </w:pPr>
      <w:r>
        <w:rPr>
          <w:rFonts w:hint="eastAsia"/>
          <w:highlight w:val="none"/>
          <w:lang w:val="en-US" w:eastAsia="zh-CN"/>
        </w:rPr>
        <w:br w:type="page"/>
      </w:r>
    </w:p>
    <w:p w14:paraId="18F01DEF">
      <w:pPr>
        <w:pStyle w:val="29"/>
        <w:numPr>
          <w:ilvl w:val="0"/>
          <w:numId w:val="4"/>
        </w:numPr>
        <w:shd w:val="clear"/>
        <w:bidi w:val="0"/>
        <w:jc w:val="center"/>
        <w:outlineLvl w:val="0"/>
        <w:rPr>
          <w:rFonts w:hint="eastAsia" w:ascii="仿宋_GB2312" w:hAnsi="仿宋_GB2312" w:eastAsia="仿宋_GB2312" w:cs="仿宋_GB2312"/>
          <w:b/>
          <w:bCs/>
          <w:sz w:val="32"/>
          <w:szCs w:val="32"/>
          <w:highlight w:val="none"/>
          <w:lang w:val="en-US" w:eastAsia="zh-CN"/>
        </w:rPr>
      </w:pPr>
      <w:bookmarkStart w:id="33" w:name="_Toc8139"/>
      <w:r>
        <w:rPr>
          <w:rFonts w:hint="eastAsia" w:ascii="仿宋_GB2312" w:hAnsi="仿宋_GB2312" w:eastAsia="仿宋_GB2312" w:cs="仿宋_GB2312"/>
          <w:b/>
          <w:bCs/>
          <w:sz w:val="32"/>
          <w:szCs w:val="32"/>
          <w:highlight w:val="none"/>
          <w:lang w:val="en-US" w:eastAsia="zh-CN"/>
        </w:rPr>
        <w:t>响应文件格式</w:t>
      </w:r>
      <w:bookmarkEnd w:id="33"/>
    </w:p>
    <w:p w14:paraId="76E8E8C2">
      <w:pPr>
        <w:pStyle w:val="29"/>
        <w:shd w:val="clear"/>
        <w:rPr>
          <w:rFonts w:hint="eastAsia" w:ascii="仿宋_GB2312" w:hAnsi="仿宋_GB2312" w:eastAsia="仿宋_GB2312" w:cs="仿宋_GB2312"/>
          <w:highlight w:val="none"/>
          <w:lang w:val="en-US" w:eastAsia="zh-CN"/>
        </w:rPr>
      </w:pPr>
    </w:p>
    <w:p w14:paraId="7C7403B9">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供应商编制文件须知</w:t>
      </w:r>
    </w:p>
    <w:p w14:paraId="68DD1448">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1.为保证评标工作的顺利进行，各供应商需参照如下的格式，认真进行响应文件的编写工作。需建立详细的目录。</w:t>
      </w:r>
    </w:p>
    <w:p w14:paraId="11F4A8CD">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2.各供应商提交文件中涉及商业机密的，应明确标明，采购人及最终用户将给予保密处理，否则视为公开资料。</w:t>
      </w:r>
    </w:p>
    <w:p w14:paraId="2B55F0DB">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526970E">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4.“法定代表人（单位负责人）”指供应商营业执照或登记证书载明的“法定代表人”、“负责人”、“执行事务合伙人”、“投资人”等。</w:t>
      </w:r>
    </w:p>
    <w:p w14:paraId="5A2C1A65">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5.全部声明和问题的回答及所附材料必须是真实的、准确的和完整的。</w:t>
      </w:r>
    </w:p>
    <w:p w14:paraId="4A9FF093">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6.以联合体参加的，除采购文件格式中要求外，采购文件要求的供应商盖章处应按加盖联合体协议中约定的联合体牵头人公章或所有联合体成员公章。</w:t>
      </w:r>
    </w:p>
    <w:p w14:paraId="4B8AA6CE">
      <w:pPr>
        <w:shd w:val="clear"/>
        <w:rPr>
          <w:rFonts w:hint="eastAsia" w:ascii="方正仿宋_GB2312" w:hAnsi="方正仿宋_GB2312" w:eastAsia="方正仿宋_GB2312" w:cs="方正仿宋_GB2312"/>
          <w:highlight w:val="none"/>
          <w:lang w:val="en-US" w:eastAsia="zh-CN"/>
        </w:rPr>
      </w:pPr>
    </w:p>
    <w:p w14:paraId="58C0D2A0">
      <w:pPr>
        <w:pStyle w:val="29"/>
        <w:shd w:val="clear"/>
        <w:rPr>
          <w:rFonts w:hint="eastAsia" w:ascii="仿宋_GB2312" w:hAnsi="仿宋_GB2312" w:eastAsia="仿宋_GB2312" w:cs="仿宋_GB2312"/>
          <w:highlight w:val="none"/>
          <w:lang w:val="en-US" w:eastAsia="zh-CN"/>
        </w:rPr>
      </w:pPr>
    </w:p>
    <w:p w14:paraId="610A341F">
      <w:pPr>
        <w:shd w:val="clear"/>
        <w:rPr>
          <w:rFonts w:hint="eastAsia"/>
          <w:highlight w:val="none"/>
          <w:lang w:val="en-US" w:eastAsia="zh-CN"/>
        </w:rPr>
      </w:pPr>
      <w:r>
        <w:rPr>
          <w:rFonts w:hint="eastAsia"/>
          <w:highlight w:val="none"/>
          <w:lang w:val="en-US" w:eastAsia="zh-CN"/>
        </w:rPr>
        <w:br w:type="page"/>
      </w:r>
    </w:p>
    <w:p w14:paraId="46CCAE0B">
      <w:pPr>
        <w:keepNext w:val="0"/>
        <w:keepLines w:val="0"/>
        <w:widowControl/>
        <w:suppressLineNumbers w:val="0"/>
        <w:shd w:val="clear"/>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34" w:name="_Toc14175"/>
      <w:bookmarkStart w:id="35" w:name="_Toc24875"/>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34"/>
      <w:bookmarkEnd w:id="35"/>
    </w:p>
    <w:p w14:paraId="4E70AF9B">
      <w:pPr>
        <w:keepNext w:val="0"/>
        <w:keepLines w:val="0"/>
        <w:widowControl/>
        <w:suppressLineNumbers w:val="0"/>
        <w:shd w:val="clear"/>
        <w:jc w:val="left"/>
        <w:rPr>
          <w:rFonts w:hint="eastAsia" w:ascii="仿宋_GB2312" w:hAnsi="仿宋_GB2312" w:eastAsia="仿宋_GB2312" w:cs="仿宋_GB2312"/>
          <w:b/>
          <w:bCs/>
          <w:color w:val="000000"/>
          <w:kern w:val="0"/>
          <w:sz w:val="84"/>
          <w:szCs w:val="84"/>
          <w:highlight w:val="none"/>
          <w:lang w:val="en-US" w:eastAsia="zh-CN" w:bidi="ar"/>
        </w:rPr>
      </w:pPr>
    </w:p>
    <w:p w14:paraId="557127EC">
      <w:pPr>
        <w:pStyle w:val="30"/>
        <w:shd w:val="clear"/>
        <w:rPr>
          <w:rFonts w:hint="eastAsia"/>
          <w:highlight w:val="none"/>
          <w:lang w:val="en-US" w:eastAsia="zh-CN"/>
        </w:rPr>
      </w:pPr>
    </w:p>
    <w:p w14:paraId="760A6ACD">
      <w:pPr>
        <w:keepNext w:val="0"/>
        <w:keepLines w:val="0"/>
        <w:widowControl/>
        <w:suppressLineNumbers w:val="0"/>
        <w:shd w:val="clear"/>
        <w:jc w:val="center"/>
        <w:rPr>
          <w:rFonts w:hint="eastAsia" w:ascii="仿宋_GB2312" w:hAnsi="仿宋_GB2312" w:eastAsia="仿宋_GB2312" w:cs="仿宋_GB2312"/>
          <w:highlight w:val="none"/>
        </w:rPr>
      </w:pPr>
      <w:r>
        <w:rPr>
          <w:rFonts w:hint="eastAsia" w:ascii="仿宋_GB2312" w:hAnsi="仿宋_GB2312" w:cs="仿宋_GB2312"/>
          <w:b/>
          <w:bCs/>
          <w:color w:val="000000"/>
          <w:kern w:val="0"/>
          <w:sz w:val="84"/>
          <w:szCs w:val="84"/>
          <w:highlight w:val="none"/>
          <w:lang w:val="en-US" w:eastAsia="zh-CN" w:bidi="ar"/>
        </w:rPr>
        <w:t>响应</w:t>
      </w:r>
      <w:r>
        <w:rPr>
          <w:rFonts w:hint="eastAsia" w:ascii="仿宋_GB2312" w:hAnsi="仿宋_GB2312" w:eastAsia="仿宋_GB2312" w:cs="仿宋_GB2312"/>
          <w:b/>
          <w:bCs/>
          <w:color w:val="000000"/>
          <w:kern w:val="0"/>
          <w:sz w:val="84"/>
          <w:szCs w:val="84"/>
          <w:highlight w:val="none"/>
          <w:lang w:val="en-US" w:eastAsia="zh-CN" w:bidi="ar"/>
        </w:rPr>
        <w:t>文件</w:t>
      </w:r>
    </w:p>
    <w:p w14:paraId="780F446A">
      <w:pPr>
        <w:keepNext w:val="0"/>
        <w:keepLines w:val="0"/>
        <w:widowControl/>
        <w:suppressLineNumbers w:val="0"/>
        <w:shd w:val="clear"/>
        <w:jc w:val="left"/>
        <w:rPr>
          <w:rFonts w:hint="eastAsia" w:ascii="仿宋_GB2312" w:hAnsi="仿宋_GB2312" w:eastAsia="仿宋_GB2312" w:cs="仿宋_GB2312"/>
          <w:b/>
          <w:bCs/>
          <w:color w:val="000000"/>
          <w:kern w:val="0"/>
          <w:sz w:val="52"/>
          <w:szCs w:val="52"/>
          <w:highlight w:val="none"/>
          <w:lang w:val="en-US" w:eastAsia="zh-CN" w:bidi="ar"/>
        </w:rPr>
      </w:pPr>
    </w:p>
    <w:p w14:paraId="753560B4">
      <w:pPr>
        <w:keepNext w:val="0"/>
        <w:keepLines w:val="0"/>
        <w:widowControl/>
        <w:suppressLineNumbers w:val="0"/>
        <w:shd w:val="clear"/>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281E2031">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1ACA2EAC">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177101A5">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20B97C4B">
      <w:pPr>
        <w:keepNext w:val="0"/>
        <w:keepLines w:val="0"/>
        <w:widowControl/>
        <w:suppressLineNumbers w:val="0"/>
        <w:shd w:val="clear"/>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30833A78">
      <w:pPr>
        <w:keepNext w:val="0"/>
        <w:keepLines w:val="0"/>
        <w:widowControl/>
        <w:suppressLineNumbers w:val="0"/>
        <w:shd w:val="clear"/>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74AC4A2E">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08C3D5EB">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5C9B4AF5">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7A8C54EE">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供应商名称（盖公章）：</w:t>
      </w:r>
    </w:p>
    <w:p w14:paraId="29CE6C33">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w:t>
      </w:r>
      <w:r>
        <w:rPr>
          <w:rFonts w:hint="eastAsia" w:ascii="仿宋_GB2312" w:hAnsi="仿宋_GB2312" w:cs="仿宋_GB2312"/>
          <w:b/>
          <w:bCs/>
          <w:color w:val="000000"/>
          <w:kern w:val="0"/>
          <w:sz w:val="31"/>
          <w:szCs w:val="31"/>
          <w:highlight w:val="none"/>
          <w:lang w:val="en-US" w:eastAsia="zh-CN" w:bidi="ar"/>
        </w:rPr>
        <w:t>（签字或印鉴）</w:t>
      </w:r>
      <w:r>
        <w:rPr>
          <w:rFonts w:hint="eastAsia" w:ascii="仿宋_GB2312" w:hAnsi="仿宋_GB2312" w:eastAsia="仿宋_GB2312" w:cs="仿宋_GB2312"/>
          <w:b/>
          <w:bCs/>
          <w:color w:val="000000"/>
          <w:kern w:val="0"/>
          <w:sz w:val="31"/>
          <w:szCs w:val="31"/>
          <w:highlight w:val="none"/>
          <w:lang w:val="en-US" w:eastAsia="zh-CN" w:bidi="ar"/>
        </w:rPr>
        <w:t>：</w:t>
      </w:r>
    </w:p>
    <w:p w14:paraId="2412C74E">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715578FC">
      <w:pPr>
        <w:shd w:val="clear"/>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br w:type="page"/>
      </w:r>
    </w:p>
    <w:p w14:paraId="50A6476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0BF7F27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293A3A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法人或者其他组织的营业执照等证明文件或自然人的身份证明复印件;</w:t>
      </w:r>
    </w:p>
    <w:p w14:paraId="4228967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376FFD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6566B90">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1646F6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具有良好的商业信誉和健全的财务会计制度的证明文件</w:t>
      </w:r>
    </w:p>
    <w:p w14:paraId="120245E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DD8AB68">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6" w:name="_Toc17403"/>
      <w:bookmarkStart w:id="37" w:name="_Toc29059"/>
      <w:r>
        <w:rPr>
          <w:rFonts w:hint="eastAsia" w:ascii="仿宋_GB2312" w:hAnsi="仿宋_GB2312" w:eastAsia="仿宋_GB2312" w:cs="仿宋_GB2312"/>
          <w:color w:val="000000"/>
          <w:kern w:val="0"/>
          <w:sz w:val="24"/>
          <w:highlight w:val="none"/>
          <w:u w:val="none"/>
          <w:lang w:bidi="ar"/>
        </w:rPr>
        <w:t>1、</w:t>
      </w:r>
      <w:bookmarkEnd w:id="36"/>
      <w:bookmarkEnd w:id="37"/>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cs="仿宋_GB2312"/>
          <w:color w:val="000000"/>
          <w:kern w:val="0"/>
          <w:sz w:val="24"/>
          <w:highlight w:val="none"/>
          <w:u w:val="none"/>
          <w:lang w:eastAsia="zh-CN" w:bidi="ar"/>
        </w:rPr>
        <w:t>。</w:t>
      </w:r>
    </w:p>
    <w:p w14:paraId="26EB6F8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5FA77EF6">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8" w:name="_Toc4372"/>
      <w:bookmarkStart w:id="39" w:name="_Toc14987"/>
      <w:r>
        <w:rPr>
          <w:rFonts w:hint="eastAsia" w:ascii="仿宋_GB2312" w:hAnsi="仿宋_GB2312" w:eastAsia="仿宋_GB2312" w:cs="仿宋_GB2312"/>
          <w:color w:val="000000"/>
          <w:kern w:val="0"/>
          <w:sz w:val="24"/>
          <w:highlight w:val="none"/>
          <w:u w:val="none"/>
          <w:lang w:bidi="ar"/>
        </w:rPr>
        <w:t>3、如果是联合体</w:t>
      </w:r>
      <w:r>
        <w:rPr>
          <w:rFonts w:hint="eastAsia" w:ascii="仿宋_GB2312" w:hAnsi="仿宋_GB2312" w:eastAsia="仿宋_GB2312" w:cs="仿宋_GB2312"/>
          <w:color w:val="000000"/>
          <w:kern w:val="0"/>
          <w:sz w:val="24"/>
          <w:highlight w:val="none"/>
          <w:u w:val="none"/>
          <w:lang w:val="en-US" w:eastAsia="zh-CN" w:bidi="ar"/>
        </w:rPr>
        <w:t>响应</w:t>
      </w:r>
      <w:r>
        <w:rPr>
          <w:rFonts w:hint="eastAsia" w:ascii="仿宋_GB2312" w:hAnsi="仿宋_GB2312" w:eastAsia="仿宋_GB2312" w:cs="仿宋_GB2312"/>
          <w:color w:val="000000"/>
          <w:kern w:val="0"/>
          <w:sz w:val="24"/>
          <w:highlight w:val="none"/>
          <w:u w:val="none"/>
          <w:lang w:bidi="ar"/>
        </w:rPr>
        <w:t>，联合体各方均需提供上述证明。</w:t>
      </w:r>
      <w:bookmarkEnd w:id="38"/>
      <w:bookmarkEnd w:id="39"/>
    </w:p>
    <w:p w14:paraId="267105E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2E9329E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210463E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缴纳税收的证明</w:t>
      </w:r>
    </w:p>
    <w:p w14:paraId="101714A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0F7CC77">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40" w:name="_Toc27172"/>
      <w:bookmarkStart w:id="41" w:name="_Toc4614"/>
      <w:r>
        <w:rPr>
          <w:rFonts w:hint="eastAsia" w:ascii="仿宋_GB2312" w:hAnsi="仿宋_GB2312" w:eastAsia="仿宋_GB2312" w:cs="仿宋_GB2312"/>
          <w:color w:val="000000"/>
          <w:kern w:val="0"/>
          <w:sz w:val="24"/>
          <w:highlight w:val="none"/>
          <w:u w:val="none"/>
          <w:lang w:bidi="ar"/>
        </w:rPr>
        <w:t>1、扫描件并加盖本单位电子公章</w:t>
      </w:r>
      <w:r>
        <w:rPr>
          <w:rFonts w:hint="eastAsia" w:ascii="仿宋_GB2312" w:hAnsi="仿宋_GB2312" w:cs="仿宋_GB2312"/>
          <w:color w:val="000000"/>
          <w:kern w:val="0"/>
          <w:sz w:val="24"/>
          <w:highlight w:val="none"/>
          <w:u w:val="none"/>
          <w:lang w:eastAsia="zh-CN" w:bidi="ar"/>
        </w:rPr>
        <w:t>。</w:t>
      </w:r>
    </w:p>
    <w:p w14:paraId="17193AD7">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CF44E1C">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40"/>
      <w:bookmarkEnd w:id="41"/>
    </w:p>
    <w:p w14:paraId="270F572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为职工缴纳社会保险的证明</w:t>
      </w:r>
    </w:p>
    <w:p w14:paraId="46DED40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2BD1D046">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r>
        <w:rPr>
          <w:rFonts w:hint="eastAsia" w:ascii="仿宋_GB2312" w:hAnsi="仿宋_GB2312" w:eastAsia="仿宋_GB2312" w:cs="仿宋_GB2312"/>
          <w:color w:val="000000"/>
          <w:kern w:val="0"/>
          <w:sz w:val="24"/>
          <w:highlight w:val="none"/>
          <w:u w:val="none"/>
          <w:lang w:bidi="ar"/>
        </w:rPr>
        <w:t>1、扫描件并加盖本单位电子公章</w:t>
      </w:r>
      <w:r>
        <w:rPr>
          <w:rFonts w:hint="eastAsia" w:ascii="仿宋_GB2312" w:hAnsi="仿宋_GB2312" w:cs="仿宋_GB2312"/>
          <w:color w:val="000000"/>
          <w:kern w:val="0"/>
          <w:sz w:val="24"/>
          <w:highlight w:val="none"/>
          <w:u w:val="none"/>
          <w:lang w:eastAsia="zh-CN" w:bidi="ar"/>
        </w:rPr>
        <w:t>。</w:t>
      </w:r>
    </w:p>
    <w:p w14:paraId="1A87889C">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37CBE737">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3、如果是联合体投标，联合体各方均需提供上述证明。</w:t>
      </w:r>
    </w:p>
    <w:p w14:paraId="0DA30F20">
      <w:pPr>
        <w:shd w:val="clear"/>
        <w:rPr>
          <w:rFonts w:hint="eastAsia" w:ascii="仿宋_GB2312" w:hAnsi="仿宋_GB2312" w:eastAsia="仿宋_GB2312" w:cs="仿宋_GB2312"/>
          <w:color w:val="000000"/>
          <w:kern w:val="0"/>
          <w:sz w:val="24"/>
          <w:highlight w:val="none"/>
          <w:u w:val="none"/>
          <w:lang w:bidi="ar"/>
        </w:rPr>
      </w:pPr>
    </w:p>
    <w:p w14:paraId="04CD6E28">
      <w:pPr>
        <w:shd w:val="clea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E5515C3">
      <w:pPr>
        <w:shd w:val="clea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资格声明书</w:t>
      </w:r>
    </w:p>
    <w:p w14:paraId="1081BCFC">
      <w:pPr>
        <w:shd w:val="clear"/>
        <w:rPr>
          <w:rFonts w:hint="eastAsia" w:ascii="仿宋_GB2312" w:hAnsi="仿宋_GB2312" w:eastAsia="仿宋_GB2312" w:cs="仿宋_GB2312"/>
          <w:color w:val="000000"/>
          <w:kern w:val="0"/>
          <w:sz w:val="24"/>
          <w:highlight w:val="none"/>
          <w:u w:val="none"/>
          <w:lang w:bidi="ar"/>
        </w:rPr>
      </w:pPr>
    </w:p>
    <w:p w14:paraId="102F6430">
      <w:pPr>
        <w:keepNext w:val="0"/>
        <w:keepLines w:val="0"/>
        <w:widowControl/>
        <w:suppressLineNumbers w:val="0"/>
        <w:shd w:val="clear"/>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color w:val="000000"/>
          <w:kern w:val="0"/>
          <w:sz w:val="32"/>
          <w:szCs w:val="32"/>
          <w:highlight w:val="none"/>
          <w:lang w:val="en-US" w:eastAsia="zh-CN" w:bidi="ar"/>
        </w:rPr>
        <w:t>供应商资格声明书</w:t>
      </w:r>
    </w:p>
    <w:p w14:paraId="181497F2">
      <w:pPr>
        <w:keepNext w:val="0"/>
        <w:keepLines w:val="0"/>
        <w:widowControl/>
        <w:suppressLineNumbers w:val="0"/>
        <w:shd w:val="clear"/>
        <w:jc w:val="left"/>
        <w:rPr>
          <w:rFonts w:hint="eastAsia" w:ascii="仿宋_GB2312" w:hAnsi="仿宋_GB2312" w:eastAsia="仿宋_GB2312" w:cs="仿宋_GB2312"/>
          <w:color w:val="000000"/>
          <w:kern w:val="0"/>
          <w:sz w:val="24"/>
          <w:szCs w:val="24"/>
          <w:highlight w:val="none"/>
          <w:lang w:val="en-US" w:eastAsia="zh-CN" w:bidi="ar"/>
        </w:rPr>
      </w:pPr>
    </w:p>
    <w:p w14:paraId="7499CB1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4F90DB0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在参与本次项目采购活动中，我单位承诺： </w:t>
      </w:r>
    </w:p>
    <w:p w14:paraId="23E2200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25E547A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014490A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124DB81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0C637A1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1AB470B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E35328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46702F6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2BBB2D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C4C19D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45FA599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476826A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98A5BC1">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513AA1">
      <w:pPr>
        <w:shd w:val="clear"/>
        <w:rPr>
          <w:rFonts w:hint="eastAsia" w:ascii="仿宋_GB2312" w:hAnsi="仿宋_GB2312" w:eastAsia="仿宋_GB2312" w:cs="仿宋_GB2312"/>
          <w:color w:val="000000"/>
          <w:kern w:val="0"/>
          <w:sz w:val="24"/>
          <w:szCs w:val="24"/>
          <w:highlight w:val="none"/>
          <w:lang w:val="en-US" w:eastAsia="zh-CN" w:bidi="ar"/>
        </w:rPr>
      </w:pPr>
      <w:bookmarkStart w:id="42" w:name="_Toc21978"/>
      <w:bookmarkStart w:id="43" w:name="_Toc14014"/>
      <w:r>
        <w:rPr>
          <w:rFonts w:hint="eastAsia" w:ascii="仿宋_GB2312" w:hAnsi="仿宋_GB2312" w:eastAsia="仿宋_GB2312" w:cs="仿宋_GB2312"/>
          <w:color w:val="000000"/>
          <w:kern w:val="0"/>
          <w:sz w:val="24"/>
          <w:szCs w:val="24"/>
          <w:highlight w:val="none"/>
          <w:lang w:val="en-US" w:eastAsia="zh-CN" w:bidi="ar"/>
        </w:rPr>
        <w:br w:type="page"/>
      </w:r>
    </w:p>
    <w:p w14:paraId="401636A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42"/>
      <w:bookmarkEnd w:id="43"/>
      <w:r>
        <w:rPr>
          <w:rFonts w:hint="eastAsia" w:ascii="仿宋_GB2312" w:hAnsi="仿宋_GB2312" w:eastAsia="仿宋_GB2312" w:cs="仿宋_GB2312"/>
          <w:color w:val="000000"/>
          <w:kern w:val="0"/>
          <w:sz w:val="24"/>
          <w:szCs w:val="24"/>
          <w:highlight w:val="none"/>
          <w:lang w:val="en-US" w:eastAsia="zh-CN" w:bidi="ar"/>
        </w:rPr>
        <w:t xml:space="preserve"> </w:t>
      </w:r>
    </w:p>
    <w:p w14:paraId="5C8B8A2A">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0B42A944">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说明： </w:t>
      </w:r>
    </w:p>
    <w:p w14:paraId="247A50CE">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1F850F4D">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1CBC68">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588B80FC">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21A94397">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（5）中小企业声明函填写注意事项 </w:t>
      </w:r>
    </w:p>
    <w:p w14:paraId="235CB000">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6B1650C8">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2）对于联合体中由中小企业承担的部分，或者分包给中小企业的部分，必须全</w:t>
      </w:r>
    </w:p>
    <w:p w14:paraId="3B5A4B50">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部由中小企业制造、承建或者承接。供应商应当在声明函“标的名称”部分标明</w:t>
      </w:r>
    </w:p>
    <w:p w14:paraId="1E91CFB4">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联合体中中小企业承担的具体内容或者中小企业的具体分包内容。 </w:t>
      </w:r>
    </w:p>
    <w:p w14:paraId="3F828A62">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6E25E163">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DC1EAF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中小企业声明函（工程、服务）</w:t>
      </w:r>
    </w:p>
    <w:p w14:paraId="17EB6D2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B1FEFB3">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本公司（联合体）郑重声明，根据《政府采购促进中小企业发展管理办法》 </w:t>
      </w:r>
    </w:p>
    <w:p w14:paraId="5F233AD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000000"/>
          <w:kern w:val="0"/>
          <w:sz w:val="24"/>
          <w:szCs w:val="24"/>
          <w:highlight w:val="none"/>
          <w:u w:val="single"/>
          <w:lang w:val="en-US" w:eastAsia="zh-CN" w:bidi="ar"/>
        </w:rPr>
        <w:t>（单位名称）</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i/>
          <w:iCs/>
          <w:color w:val="000000"/>
          <w:kern w:val="0"/>
          <w:sz w:val="24"/>
          <w:szCs w:val="24"/>
          <w:highlight w:val="none"/>
          <w:u w:val="single"/>
          <w:lang w:val="en-US" w:eastAsia="zh-CN" w:bidi="ar"/>
        </w:rPr>
        <w:t>（项目名称）</w:t>
      </w:r>
      <w:r>
        <w:rPr>
          <w:rFonts w:hint="eastAsia" w:ascii="仿宋_GB2312" w:hAnsi="仿宋_GB2312" w:eastAsia="仿宋_GB2312" w:cs="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25DFC4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 xml:space="preserve">；承建（承接）企业 </w:t>
      </w:r>
    </w:p>
    <w:p w14:paraId="12E676A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12D3366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；承建（承接）企业</w:t>
      </w:r>
    </w:p>
    <w:p w14:paraId="44FFAF6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328F2C5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p>
    <w:p w14:paraId="19F6E00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以上企业，不属于大企业的分支机构，不存在控股股东为大企业的情形， </w:t>
      </w:r>
    </w:p>
    <w:p w14:paraId="5964BB8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也不存在与大企业的负责人为同一人的情形。 </w:t>
      </w:r>
    </w:p>
    <w:p w14:paraId="196889C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本企业对上述声明内容的真实性负责。如有虚假，将依法承担相应责任。</w:t>
      </w:r>
    </w:p>
    <w:p w14:paraId="117FAE92">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p>
    <w:p w14:paraId="2B758435">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2E95F5AD">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68FDB2F0">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79EA4A95">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2C5709A3">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7054ACAB">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3587C514">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0A8A9347">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1C6923B4">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4ED6FE7C">
      <w:pPr>
        <w:shd w:val="clea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4A50FBD5">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3BD2FF5">
      <w:pPr>
        <w:keepNext w:val="0"/>
        <w:keepLines w:val="0"/>
        <w:widowControl/>
        <w:suppressLineNumbers w:val="0"/>
        <w:shd w:val="clear"/>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6ADD5423">
      <w:pPr>
        <w:keepNext w:val="0"/>
        <w:keepLines w:val="0"/>
        <w:widowControl/>
        <w:suppressLineNumbers w:val="0"/>
        <w:shd w:val="clear"/>
        <w:jc w:val="center"/>
        <w:rPr>
          <w:rFonts w:hint="eastAsia" w:ascii="仿宋_GB2312" w:hAnsi="仿宋_GB2312" w:eastAsia="仿宋_GB2312" w:cs="仿宋_GB2312"/>
          <w:b/>
          <w:bCs/>
          <w:color w:val="000000"/>
          <w:kern w:val="0"/>
          <w:sz w:val="32"/>
          <w:szCs w:val="32"/>
          <w:highlight w:val="none"/>
          <w:lang w:val="en-US" w:eastAsia="zh-CN" w:bidi="ar"/>
        </w:rPr>
      </w:pPr>
    </w:p>
    <w:p w14:paraId="3626DA92">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5D6A64FA">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624045D6">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84922B0">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2B182F5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2EA3E4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DD2398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7277959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4576E01">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1889BE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465799C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5E66F86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1DBC16C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DD7183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559AB59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包的采购活动。拟签订分包合同的单位情况如下表所示，我单 </w:t>
      </w:r>
    </w:p>
    <w:p w14:paraId="26A1036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2F8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D97FADF">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3C20B87C">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795A8C6B">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4E278B75">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26B00F6F">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13A06368">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7123ED6B">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0C69D483">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0B3B491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4C382CF7">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18439A0C">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36E01330">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2A967A3D">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6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D5651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w:t>
            </w:r>
          </w:p>
        </w:tc>
        <w:tc>
          <w:tcPr>
            <w:tcW w:w="1323" w:type="dxa"/>
            <w:vAlign w:val="center"/>
          </w:tcPr>
          <w:p w14:paraId="7CBEBC2E">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5FCE2383">
            <w:pPr>
              <w:keepNext w:val="0"/>
              <w:keepLines w:val="0"/>
              <w:widowControl/>
              <w:suppressLineNumbers w:val="0"/>
              <w:shd w:val="clea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39F6960">
            <w:pPr>
              <w:keepNext w:val="0"/>
              <w:keepLines w:val="0"/>
              <w:widowControl/>
              <w:suppressLineNumbers w:val="0"/>
              <w:shd w:val="clear"/>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cs="仿宋_GB2312"/>
                <w:color w:val="000000"/>
                <w:kern w:val="0"/>
                <w:sz w:val="21"/>
                <w:szCs w:val="21"/>
                <w:highlight w:val="none"/>
                <w:lang w:val="en-US" w:eastAsia="zh-CN" w:bidi="ar"/>
              </w:rPr>
              <w:t>□</w:t>
            </w: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14FA3DC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5370030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41DB678">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21A695E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5E9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6644A2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2</w:t>
            </w:r>
          </w:p>
        </w:tc>
        <w:tc>
          <w:tcPr>
            <w:tcW w:w="1323" w:type="dxa"/>
            <w:vAlign w:val="center"/>
          </w:tcPr>
          <w:p w14:paraId="7C3E27D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0F9336FD">
            <w:pPr>
              <w:keepNext w:val="0"/>
              <w:keepLines w:val="0"/>
              <w:widowControl/>
              <w:suppressLineNumbers w:val="0"/>
              <w:shd w:val="clea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9E4CF75">
            <w:pPr>
              <w:keepNext w:val="0"/>
              <w:keepLines w:val="0"/>
              <w:widowControl/>
              <w:suppressLineNumbers w:val="0"/>
              <w:shd w:val="clear"/>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9BAF05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5AACE011">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A414207">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19A9980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6B7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27DBC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w:t>
            </w:r>
          </w:p>
        </w:tc>
        <w:tc>
          <w:tcPr>
            <w:tcW w:w="1323" w:type="dxa"/>
            <w:vAlign w:val="center"/>
          </w:tcPr>
          <w:p w14:paraId="37B58398">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3DC0AE8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23" w:type="dxa"/>
            <w:vAlign w:val="center"/>
          </w:tcPr>
          <w:p w14:paraId="4767AA7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3CE887C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7A8A9C1">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2FCED07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5E0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B0A9EA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合计</w:t>
            </w:r>
          </w:p>
        </w:tc>
        <w:tc>
          <w:tcPr>
            <w:tcW w:w="1439" w:type="dxa"/>
            <w:vAlign w:val="center"/>
          </w:tcPr>
          <w:p w14:paraId="12D48E65">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7BBAE842">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bl>
    <w:p w14:paraId="6B0AD4EC">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6BCEC1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3955B8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52B01D1">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D5611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4E5BD1F5">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本表仅在供应商“为落实政府采购政策”而向中小企业分包时填写。</w:t>
      </w:r>
    </w:p>
    <w:p w14:paraId="4AF14DFA">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《供应商须知资料表》载明本项目分包承担主体应具备的相应资质条件，则供应商须在本表中列明分包承担主体的资质等级，并后附资质证书复印件加盖供应商公章，否则</w:t>
      </w:r>
      <w:r>
        <w:rPr>
          <w:rFonts w:hint="eastAsia" w:ascii="仿宋_GB2312" w:hAnsi="仿宋_GB2312" w:eastAsia="仿宋_GB2312" w:cs="仿宋_GB2312"/>
          <w:b/>
          <w:bCs/>
          <w:color w:val="000000"/>
          <w:kern w:val="0"/>
          <w:sz w:val="24"/>
          <w:szCs w:val="24"/>
          <w:highlight w:val="none"/>
          <w:lang w:val="en-US" w:eastAsia="zh-CN" w:bidi="ar"/>
        </w:rPr>
        <w:t>响应无效</w:t>
      </w:r>
      <w:r>
        <w:rPr>
          <w:rFonts w:hint="eastAsia" w:ascii="仿宋_GB2312" w:hAnsi="仿宋_GB2312" w:eastAsia="仿宋_GB2312" w:cs="仿宋_GB2312"/>
          <w:color w:val="000000"/>
          <w:kern w:val="0"/>
          <w:sz w:val="24"/>
          <w:szCs w:val="24"/>
          <w:highlight w:val="none"/>
          <w:lang w:val="en-US" w:eastAsia="zh-CN" w:bidi="ar"/>
        </w:rPr>
        <w:t xml:space="preserve">。 </w:t>
      </w:r>
    </w:p>
    <w:p w14:paraId="2FCE879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CF04192">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E5682CE">
      <w:pPr>
        <w:shd w:val="clea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5AAE444A">
      <w:pPr>
        <w:keepNext w:val="0"/>
        <w:keepLines w:val="0"/>
        <w:widowControl/>
        <w:suppressLineNumbers w:val="0"/>
        <w:shd w:val="clear"/>
        <w:jc w:val="left"/>
        <w:rPr>
          <w:rFonts w:hint="eastAsia" w:ascii="仿宋_GB2312" w:hAnsi="仿宋_GB2312" w:eastAsia="仿宋_GB2312" w:cs="仿宋_GB2312"/>
          <w:color w:val="000000"/>
          <w:kern w:val="0"/>
          <w:sz w:val="24"/>
          <w:szCs w:val="24"/>
          <w:highlight w:val="none"/>
          <w:lang w:val="en-US" w:eastAsia="zh-CN" w:bidi="ar"/>
        </w:rPr>
      </w:pPr>
    </w:p>
    <w:p w14:paraId="3BF1AE43">
      <w:pPr>
        <w:keepNext w:val="0"/>
        <w:keepLines w:val="0"/>
        <w:widowControl/>
        <w:suppressLineNumbers w:val="0"/>
        <w:shd w:val="clear"/>
        <w:jc w:val="left"/>
        <w:rPr>
          <w:rFonts w:hint="eastAsia" w:ascii="仿宋_GB2312" w:hAnsi="仿宋_GB2312" w:eastAsia="仿宋_GB2312" w:cs="仿宋_GB2312"/>
          <w:color w:val="000000"/>
          <w:kern w:val="0"/>
          <w:sz w:val="24"/>
          <w:szCs w:val="24"/>
          <w:highlight w:val="none"/>
          <w:lang w:val="en-US" w:eastAsia="zh-CN" w:bidi="ar"/>
        </w:rPr>
      </w:pPr>
    </w:p>
    <w:p w14:paraId="7A02B3F2">
      <w:pPr>
        <w:widowControl w:val="0"/>
        <w:shd w:val="clear"/>
        <w:spacing w:after="120" w:line="360" w:lineRule="auto"/>
        <w:ind w:left="0" w:leftChars="0" w:firstLine="0" w:firstLineChars="0"/>
        <w:jc w:val="center"/>
        <w:rPr>
          <w:rFonts w:hint="eastAsia" w:ascii="Times New Roman" w:hAnsi="Times New Roman" w:eastAsiaTheme="minorEastAsia" w:cstheme="minorBidi"/>
          <w:b/>
          <w:bCs/>
          <w:kern w:val="0"/>
          <w:sz w:val="32"/>
          <w:szCs w:val="32"/>
          <w:highlight w:val="none"/>
          <w:lang w:val="en-US" w:eastAsia="zh-CN" w:bidi="ar-SA"/>
        </w:rPr>
      </w:pPr>
      <w:r>
        <w:rPr>
          <w:rFonts w:hint="eastAsia" w:ascii="Times New Roman" w:hAnsi="Times New Roman" w:eastAsiaTheme="minorEastAsia" w:cstheme="minorBidi"/>
          <w:b/>
          <w:bCs/>
          <w:kern w:val="0"/>
          <w:sz w:val="32"/>
          <w:szCs w:val="32"/>
          <w:highlight w:val="none"/>
          <w:lang w:val="en-US" w:eastAsia="zh-CN" w:bidi="ar-SA"/>
        </w:rPr>
        <w:t>政府采购项目分包意向协议书</w:t>
      </w:r>
    </w:p>
    <w:p w14:paraId="33EEA75C">
      <w:pPr>
        <w:keepNext w:val="0"/>
        <w:keepLines w:val="0"/>
        <w:widowControl/>
        <w:suppressLineNumbers w:val="0"/>
        <w:shd w:val="clear"/>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default"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15B33728">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法定代表人/授权委托人：</w:t>
      </w:r>
      <w:r>
        <w:rPr>
          <w:rFonts w:hint="eastAsia" w:ascii="仿宋_GB2312" w:hAnsi="仿宋_GB2312" w:eastAsia="仿宋_GB2312" w:cs="仿宋_GB2312"/>
          <w:kern w:val="2"/>
          <w:sz w:val="24"/>
          <w:szCs w:val="24"/>
          <w:highlight w:val="none"/>
          <w:u w:val="single"/>
          <w:lang w:val="en-US" w:eastAsia="zh-CN" w:bidi="zh-CN"/>
        </w:rPr>
        <w:t xml:space="preserve">          </w:t>
      </w:r>
    </w:p>
    <w:p w14:paraId="1E8D83A2">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1"/>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keepNext w:val="0"/>
        <w:keepLines w:val="0"/>
        <w:pageBreakBefore w:val="0"/>
        <w:widowControl w:val="0"/>
        <w:shd w:val="clear"/>
        <w:kinsoku/>
        <w:wordWrap/>
        <w:overflowPunct/>
        <w:topLinePunct w:val="0"/>
        <w:autoSpaceDE/>
        <w:autoSpaceDN/>
        <w:bidi w:val="0"/>
        <w:adjustRightInd/>
        <w:snapToGrid/>
        <w:spacing w:after="120" w:line="480" w:lineRule="exact"/>
        <w:ind w:left="0" w:leftChars="0"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jc w:val="left"/>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一、分包项目基本情况</w:t>
      </w:r>
    </w:p>
    <w:p w14:paraId="6C675780">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w:t>
      </w:r>
      <w:r>
        <w:rPr>
          <w:rFonts w:hint="eastAsia" w:ascii="仿宋_GB2312" w:hAnsi="仿宋_GB2312" w:cs="仿宋_GB2312"/>
          <w:color w:val="000000"/>
          <w:kern w:val="0"/>
          <w:sz w:val="24"/>
          <w:szCs w:val="24"/>
          <w:highlight w:val="none"/>
          <w:u w:val="single"/>
          <w:lang w:val="en-US" w:eastAsia="zh-CN" w:bidi="ar"/>
        </w:rPr>
        <w:t>采购文件</w:t>
      </w:r>
      <w:r>
        <w:rPr>
          <w:rFonts w:hint="eastAsia" w:ascii="仿宋_GB2312" w:hAnsi="仿宋_GB2312" w:eastAsia="仿宋_GB2312" w:cs="仿宋_GB2312"/>
          <w:color w:val="000000"/>
          <w:kern w:val="0"/>
          <w:sz w:val="24"/>
          <w:szCs w:val="24"/>
          <w:highlight w:val="none"/>
          <w:u w:val="single"/>
          <w:lang w:val="en-US" w:eastAsia="zh-CN" w:bidi="ar"/>
        </w:rPr>
        <w:t xml:space="preserve">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附件（如有可根据实际情况提供）</w:t>
      </w:r>
    </w:p>
    <w:p w14:paraId="5B4928AC">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1.  乙方《中小企业声明函》（货物/服务/工程）加盖乙方公章的扫描件（如有）；</w:t>
      </w:r>
    </w:p>
    <w:p w14:paraId="34A95EE4">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2.  乙方企业资质证明文件加盖乙方公章的扫描件（如有）；</w:t>
      </w:r>
    </w:p>
    <w:p w14:paraId="670B7A11">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3.  乙方为监狱企业/残疾人福利性单位的，提供相关证明文件加盖乙方公章扫描件（如有）；</w:t>
      </w:r>
    </w:p>
    <w:p w14:paraId="7CD77560">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说明：本协议仅在</w:t>
      </w:r>
      <w:r>
        <w:rPr>
          <w:rFonts w:hint="eastAsia" w:ascii="仿宋_GB2312" w:hAnsi="仿宋_GB2312" w:cs="仿宋_GB2312"/>
          <w:color w:val="000000"/>
          <w:kern w:val="0"/>
          <w:sz w:val="24"/>
          <w:szCs w:val="24"/>
          <w:highlight w:val="none"/>
          <w:lang w:val="en-US" w:eastAsia="zh-CN" w:bidi="ar"/>
        </w:rPr>
        <w:t>供应商</w:t>
      </w:r>
      <w:r>
        <w:rPr>
          <w:rFonts w:hint="eastAsia" w:ascii="仿宋_GB2312" w:hAnsi="仿宋_GB2312" w:eastAsia="仿宋_GB2312" w:cs="仿宋_GB2312"/>
          <w:color w:val="000000"/>
          <w:kern w:val="0"/>
          <w:sz w:val="24"/>
          <w:szCs w:val="24"/>
          <w:highlight w:val="none"/>
          <w:lang w:val="en-US" w:eastAsia="zh-CN" w:bidi="ar"/>
        </w:rPr>
        <w:t>“为落实政府采购政策”而向中小企业分包时必须提供，否则</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无效；且供应商须与所有拟分包单位分别签订《分包意向协议》，每单位签订一份，并在投标</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文件中提交全部协议原件的</w:t>
      </w:r>
      <w:r>
        <w:rPr>
          <w:rFonts w:hint="eastAsia" w:ascii="仿宋_GB2312" w:hAnsi="仿宋_GB2312" w:cs="仿宋_GB2312"/>
          <w:color w:val="000000"/>
          <w:kern w:val="0"/>
          <w:sz w:val="24"/>
          <w:szCs w:val="24"/>
          <w:highlight w:val="none"/>
          <w:lang w:val="en-US" w:eastAsia="zh-CN" w:bidi="ar"/>
        </w:rPr>
        <w:t>扫描</w:t>
      </w:r>
      <w:r>
        <w:rPr>
          <w:rFonts w:hint="eastAsia" w:ascii="仿宋_GB2312" w:hAnsi="仿宋_GB2312" w:eastAsia="仿宋_GB2312" w:cs="仿宋_GB2312"/>
          <w:color w:val="000000"/>
          <w:kern w:val="0"/>
          <w:sz w:val="24"/>
          <w:szCs w:val="24"/>
          <w:highlight w:val="none"/>
          <w:lang w:val="en-US" w:eastAsia="zh-CN" w:bidi="ar"/>
        </w:rPr>
        <w:t>件，否则投标</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无效。</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488DF6E">
      <w:pPr>
        <w:keepNext w:val="0"/>
        <w:keepLines w:val="0"/>
        <w:widowControl/>
        <w:suppressLineNumbers w:val="0"/>
        <w:shd w:val="clea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1CD52470">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82672E8">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FD8552D">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8083B09">
      <w:pPr>
        <w:keepNext w:val="0"/>
        <w:keepLines w:val="0"/>
        <w:widowControl/>
        <w:suppressLineNumbers w:val="0"/>
        <w:shd w:val="clea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7BA27001">
      <w:pPr>
        <w:keepNext/>
        <w:keepLines/>
        <w:widowControl w:val="0"/>
        <w:shd w:val="clear"/>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hd w:val="clea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hd w:val="clea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hd w:val="clea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rPr>
      </w:pPr>
    </w:p>
    <w:p w14:paraId="05C21B2B">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p>
    <w:p w14:paraId="2C6D7CFB">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keepNext w:val="0"/>
        <w:keepLines w:val="0"/>
        <w:pageBreakBefore w:val="0"/>
        <w:widowControl w:val="0"/>
        <w:shd w:val="clear"/>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shd w:val="clear"/>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7666E196">
      <w:pPr>
        <w:shd w:val="clear"/>
        <w:rPr>
          <w:rFonts w:hint="eastAsia" w:ascii="仿宋_GB2312" w:hAnsi="仿宋_GB2312" w:eastAsia="仿宋_GB2312" w:cs="仿宋_GB2312"/>
          <w:b w:val="0"/>
          <w:bCs w:val="0"/>
          <w:color w:val="000000"/>
          <w:kern w:val="0"/>
          <w:sz w:val="24"/>
          <w:szCs w:val="24"/>
          <w:highlight w:val="none"/>
          <w:lang w:val="en-US" w:eastAsia="zh-CN" w:bidi="ar"/>
        </w:rPr>
      </w:pPr>
    </w:p>
    <w:p w14:paraId="52C6F5D3">
      <w:pPr>
        <w:shd w:val="clear"/>
        <w:rPr>
          <w:rFonts w:hint="eastAsia" w:ascii="仿宋_GB2312" w:hAnsi="仿宋_GB2312" w:eastAsia="仿宋_GB2312" w:cs="仿宋_GB2312"/>
          <w:b w:val="0"/>
          <w:bCs w:val="0"/>
          <w:color w:val="000000"/>
          <w:kern w:val="0"/>
          <w:sz w:val="24"/>
          <w:szCs w:val="24"/>
          <w:highlight w:val="none"/>
          <w:lang w:val="en-US" w:eastAsia="zh-CN" w:bidi="ar"/>
        </w:rPr>
      </w:pPr>
    </w:p>
    <w:p w14:paraId="36B85302">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147CD3B">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3EA8F44E">
      <w:pPr>
        <w:keepNext w:val="0"/>
        <w:keepLines w:val="0"/>
        <w:widowControl/>
        <w:suppressLineNumbers w:val="0"/>
        <w:shd w:val="clear"/>
        <w:jc w:val="left"/>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r>
        <w:rPr>
          <w:rFonts w:hint="eastAsia" w:ascii="仿宋_GB2312" w:hAnsi="仿宋_GB2312" w:cs="仿宋_GB2312"/>
          <w:color w:val="000000"/>
          <w:kern w:val="0"/>
          <w:sz w:val="24"/>
          <w:szCs w:val="24"/>
          <w:highlight w:val="none"/>
          <w:lang w:val="en-US" w:eastAsia="zh-CN" w:bidi="ar"/>
        </w:rPr>
        <w:t>/保函</w:t>
      </w:r>
    </w:p>
    <w:p w14:paraId="109BF281">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EB9478">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5EC5E2">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C63D841">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2A099FB">
      <w:pPr>
        <w:keepNext w:val="0"/>
        <w:keepLines w:val="0"/>
        <w:widowControl/>
        <w:suppressLineNumbers w:val="0"/>
        <w:shd w:val="clear"/>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14E01D1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2C098E3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68E5E9B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54DB0A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7A75002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组织的采购活动，并对此项目进行</w:t>
      </w:r>
      <w:r>
        <w:rPr>
          <w:rFonts w:hint="eastAsia" w:ascii="仿宋_GB2312" w:hAnsi="仿宋_GB2312" w:cs="仿宋_GB2312"/>
          <w:color w:val="000000"/>
          <w:kern w:val="0"/>
          <w:sz w:val="24"/>
          <w:szCs w:val="24"/>
          <w:highlight w:val="none"/>
          <w:lang w:val="en-US" w:eastAsia="zh-CN" w:bidi="ar"/>
        </w:rPr>
        <w:t>投标</w:t>
      </w:r>
      <w:r>
        <w:rPr>
          <w:rFonts w:hint="eastAsia" w:ascii="仿宋_GB2312" w:hAnsi="仿宋_GB2312" w:eastAsia="仿宋_GB2312" w:cs="仿宋_GB2312"/>
          <w:color w:val="000000"/>
          <w:kern w:val="0"/>
          <w:sz w:val="24"/>
          <w:szCs w:val="24"/>
          <w:highlight w:val="none"/>
          <w:lang w:val="en-US" w:eastAsia="zh-CN" w:bidi="ar"/>
        </w:rPr>
        <w:t xml:space="preserve">响应。 </w:t>
      </w:r>
    </w:p>
    <w:p w14:paraId="139FBA7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4" w:name="_Toc31541"/>
      <w:bookmarkStart w:id="45" w:name="_Toc962"/>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我方已详细审查全部采购文件，自愿参与投标响应并承诺如下：</w:t>
      </w:r>
      <w:bookmarkEnd w:id="44"/>
      <w:bookmarkEnd w:id="45"/>
      <w:r>
        <w:rPr>
          <w:rFonts w:hint="eastAsia" w:ascii="仿宋_GB2312" w:hAnsi="仿宋_GB2312" w:eastAsia="仿宋_GB2312" w:cs="仿宋_GB2312"/>
          <w:color w:val="000000"/>
          <w:kern w:val="0"/>
          <w:sz w:val="24"/>
          <w:szCs w:val="24"/>
          <w:highlight w:val="none"/>
          <w:lang w:val="en-US" w:eastAsia="zh-CN" w:bidi="ar"/>
        </w:rPr>
        <w:t xml:space="preserve"> </w:t>
      </w:r>
    </w:p>
    <w:p w14:paraId="06893AE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（1）本响应有效期为自提交响应文件的截止之日起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6AD9875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1AA120E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3313763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630A45C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6" w:name="_Toc7839"/>
      <w:bookmarkStart w:id="47" w:name="_Toc30568"/>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46"/>
      <w:bookmarkEnd w:id="47"/>
      <w:r>
        <w:rPr>
          <w:rFonts w:hint="eastAsia" w:ascii="仿宋_GB2312" w:hAnsi="仿宋_GB2312" w:eastAsia="仿宋_GB2312" w:cs="仿宋_GB2312"/>
          <w:color w:val="000000"/>
          <w:kern w:val="0"/>
          <w:sz w:val="24"/>
          <w:szCs w:val="24"/>
          <w:highlight w:val="none"/>
          <w:lang w:val="en-US" w:eastAsia="zh-CN" w:bidi="ar"/>
        </w:rPr>
        <w:t xml:space="preserve"> </w:t>
      </w:r>
    </w:p>
    <w:p w14:paraId="2823F43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E134C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D7D07E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电子函件</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815384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2C1CDE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CF8238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6BB9BF4">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C53345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8" w:name="_Toc26890"/>
      <w:bookmarkStart w:id="49" w:name="_Toc19816"/>
      <w:r>
        <w:rPr>
          <w:rFonts w:hint="eastAsia" w:ascii="仿宋_GB2312" w:hAnsi="仿宋_GB2312" w:eastAsia="仿宋_GB2312" w:cs="仿宋_GB2312"/>
          <w:color w:val="000000"/>
          <w:kern w:val="0"/>
          <w:sz w:val="24"/>
          <w:szCs w:val="24"/>
          <w:highlight w:val="none"/>
          <w:lang w:val="en-US" w:eastAsia="zh-CN" w:bidi="ar"/>
        </w:rPr>
        <w:t>6  授权委托书</w:t>
      </w:r>
      <w:bookmarkEnd w:id="48"/>
      <w:bookmarkEnd w:id="49"/>
      <w:r>
        <w:rPr>
          <w:rFonts w:hint="eastAsia" w:ascii="仿宋_GB2312" w:hAnsi="仿宋_GB2312" w:eastAsia="仿宋_GB2312" w:cs="仿宋_GB2312"/>
          <w:color w:val="000000"/>
          <w:kern w:val="0"/>
          <w:sz w:val="24"/>
          <w:szCs w:val="24"/>
          <w:highlight w:val="none"/>
          <w:lang w:val="en-US" w:eastAsia="zh-CN" w:bidi="ar"/>
        </w:rPr>
        <w:t xml:space="preserve"> </w:t>
      </w:r>
    </w:p>
    <w:p w14:paraId="12872E6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E17DE2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4EE5F98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13E74E61">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（供应商名称）的法定代表人（单位负责人），现委托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响应文件和处理有关事宜，其法律后果由我方承担。 </w:t>
      </w:r>
    </w:p>
    <w:p w14:paraId="6B0C3C52">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委托期限：自本授权委托书签署之日起至响应有效期届满之日止。 </w:t>
      </w:r>
    </w:p>
    <w:p w14:paraId="4F0E7E43">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7F5199B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22554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D83780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w:t>
      </w:r>
      <w:r>
        <w:rPr>
          <w:rFonts w:hint="eastAsia" w:ascii="仿宋_GB2312" w:hAnsi="仿宋_GB2312" w:cs="仿宋_GB2312"/>
          <w:color w:val="000000"/>
          <w:kern w:val="0"/>
          <w:sz w:val="24"/>
          <w:szCs w:val="24"/>
          <w:highlight w:val="none"/>
          <w:lang w:val="en-US" w:eastAsia="zh-CN" w:bidi="ar"/>
        </w:rPr>
        <w:t>或印鉴</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E07A69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B77081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1E2242B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58516B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C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4B5379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23AA1D7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C03D84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3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947AAE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74DDD09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3499DF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说明：1.若供应商为事业单位或其他组织或分支机构（仅当</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 xml:space="preserve">注明允许分支机构投标的），则法定代表人（单位负责人）处的签署人可为单位负责人。 </w:t>
      </w:r>
    </w:p>
    <w:p w14:paraId="55D7E53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25FA61F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50" w:name="_Toc24165"/>
      <w:bookmarkStart w:id="51" w:name="_Toc19808"/>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50"/>
      <w:bookmarkEnd w:id="51"/>
    </w:p>
    <w:p w14:paraId="1F3C560D">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51B66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2123A6B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776A74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7CEECFF2">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45874650">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EBD637F">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（供应商名称）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1121C9A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1898AF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4C0BF7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B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55BCBB65">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4999AC16">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36E7BEE1">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CD7A4FD">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8F91DB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2A7B8B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94D254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0A235EB0">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C9E5CF">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17DCBE5">
      <w:pPr>
        <w:shd w:val="clear"/>
        <w:outlineLvl w:val="1"/>
        <w:rPr>
          <w:rFonts w:hint="eastAsia" w:ascii="仿宋_GB2312" w:hAnsi="仿宋_GB2312" w:eastAsia="仿宋_GB2312" w:cs="仿宋_GB2312"/>
          <w:sz w:val="24"/>
          <w:szCs w:val="24"/>
          <w:highlight w:val="none"/>
          <w:lang w:val="en-US" w:eastAsia="zh-CN"/>
        </w:rPr>
      </w:pPr>
      <w:bookmarkStart w:id="52" w:name="_Toc18742"/>
      <w:bookmarkStart w:id="53" w:name="_Toc26817"/>
      <w:r>
        <w:rPr>
          <w:rFonts w:hint="eastAsia" w:ascii="仿宋_GB2312" w:hAnsi="仿宋_GB2312" w:eastAsia="仿宋_GB2312" w:cs="仿宋_GB2312"/>
          <w:sz w:val="24"/>
          <w:szCs w:val="24"/>
          <w:highlight w:val="none"/>
          <w:lang w:val="en-US" w:eastAsia="zh-CN"/>
        </w:rPr>
        <w:t xml:space="preserve">7  </w:t>
      </w:r>
      <w:r>
        <w:rPr>
          <w:rFonts w:hint="eastAsia" w:ascii="仿宋_GB2312" w:hAnsi="仿宋_GB2312" w:cs="仿宋_GB2312"/>
          <w:sz w:val="24"/>
          <w:szCs w:val="24"/>
          <w:highlight w:val="none"/>
          <w:lang w:val="en-US" w:eastAsia="zh-CN"/>
        </w:rPr>
        <w:t>报价</w:t>
      </w:r>
      <w:r>
        <w:rPr>
          <w:rFonts w:hint="eastAsia" w:ascii="仿宋_GB2312" w:hAnsi="仿宋_GB2312" w:eastAsia="仿宋_GB2312" w:cs="仿宋_GB2312"/>
          <w:sz w:val="24"/>
          <w:szCs w:val="24"/>
          <w:highlight w:val="none"/>
          <w:lang w:val="en-US" w:eastAsia="zh-CN"/>
        </w:rPr>
        <w:t>一览表</w:t>
      </w:r>
      <w:bookmarkEnd w:id="52"/>
      <w:bookmarkEnd w:id="53"/>
    </w:p>
    <w:p w14:paraId="4FB5F192">
      <w:pPr>
        <w:shd w:val="clear"/>
        <w:rPr>
          <w:rFonts w:hint="eastAsia" w:ascii="仿宋_GB2312" w:hAnsi="仿宋_GB2312" w:eastAsia="仿宋_GB2312" w:cs="仿宋_GB2312"/>
          <w:highlight w:val="none"/>
          <w:lang w:val="en-US" w:eastAsia="zh-CN"/>
        </w:rPr>
      </w:pPr>
    </w:p>
    <w:p w14:paraId="0F523E6A">
      <w:pPr>
        <w:shd w:val="clear"/>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b/>
          <w:bCs/>
          <w:sz w:val="32"/>
          <w:szCs w:val="32"/>
          <w:highlight w:val="none"/>
          <w:lang w:val="en-US" w:eastAsia="zh-CN"/>
        </w:rPr>
        <w:t>首次报价表</w:t>
      </w:r>
    </w:p>
    <w:p w14:paraId="04D7174A">
      <w:pPr>
        <w:shd w:val="clear"/>
        <w:rPr>
          <w:rFonts w:hint="eastAsia" w:ascii="仿宋_GB2312" w:hAnsi="仿宋_GB2312" w:eastAsia="仿宋_GB2312" w:cs="仿宋_GB2312"/>
          <w:highlight w:val="none"/>
          <w:lang w:val="en-US" w:eastAsia="zh-CN"/>
        </w:rPr>
      </w:pPr>
    </w:p>
    <w:p w14:paraId="2331822E">
      <w:pPr>
        <w:shd w:val="clear"/>
        <w:rPr>
          <w:rFonts w:hint="default" w:ascii="仿宋_GB2312" w:hAnsi="仿宋_GB2312" w:eastAsia="仿宋_GB2312" w:cs="仿宋_GB2312"/>
          <w:highlight w:val="none"/>
          <w:lang w:val="en-US" w:eastAsia="zh-CN"/>
        </w:rPr>
      </w:pPr>
      <w:r>
        <w:rPr>
          <w:rFonts w:hint="eastAsia" w:ascii="仿宋_GB2312" w:hAnsi="仿宋_GB2312" w:eastAsia="仿宋_GB2312" w:cs="仿宋_GB2312"/>
          <w:sz w:val="21"/>
          <w:szCs w:val="21"/>
          <w:highlight w:val="none"/>
          <w:lang w:val="en-US" w:eastAsia="zh-CN"/>
        </w:rPr>
        <w:t>项目编号/包（标项）号：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u w:val="none"/>
          <w:lang w:val="en-US" w:eastAsia="zh-CN"/>
        </w:rPr>
        <w:t xml:space="preserve">     </w:t>
      </w:r>
      <w:r>
        <w:rPr>
          <w:rFonts w:hint="eastAsia" w:ascii="仿宋_GB2312" w:hAnsi="仿宋_GB2312" w:eastAsia="仿宋_GB2312" w:cs="仿宋_GB2312"/>
          <w:sz w:val="21"/>
          <w:szCs w:val="21"/>
          <w:highlight w:val="none"/>
          <w:lang w:val="en-US" w:eastAsia="zh-CN"/>
        </w:rPr>
        <w:t>项目名称：</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highlight w:val="none"/>
          <w:u w:val="single"/>
          <w:lang w:val="en-US" w:eastAsia="zh-CN"/>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C03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14587D44">
            <w:pPr>
              <w:pStyle w:val="30"/>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951" w:type="dxa"/>
            <w:vMerge w:val="restart"/>
            <w:vAlign w:val="center"/>
          </w:tcPr>
          <w:p w14:paraId="07F9A26F">
            <w:pPr>
              <w:pStyle w:val="30"/>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供应商名称</w:t>
            </w:r>
          </w:p>
        </w:tc>
        <w:tc>
          <w:tcPr>
            <w:tcW w:w="4262" w:type="dxa"/>
            <w:gridSpan w:val="2"/>
            <w:vAlign w:val="center"/>
          </w:tcPr>
          <w:p w14:paraId="457AAFC4">
            <w:pPr>
              <w:pStyle w:val="30"/>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响应报价（元）</w:t>
            </w:r>
          </w:p>
        </w:tc>
      </w:tr>
      <w:tr w14:paraId="6CB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7B91E8BD">
            <w:pPr>
              <w:pStyle w:val="30"/>
              <w:jc w:val="center"/>
              <w:rPr>
                <w:rFonts w:hint="eastAsia" w:ascii="仿宋_GB2312" w:hAnsi="仿宋_GB2312" w:eastAsia="仿宋_GB2312" w:cs="仿宋_GB2312"/>
                <w:b/>
                <w:bCs/>
                <w:sz w:val="21"/>
                <w:szCs w:val="21"/>
                <w:highlight w:val="none"/>
                <w:vertAlign w:val="baseline"/>
                <w:lang w:val="en-US" w:eastAsia="zh-CN"/>
              </w:rPr>
            </w:pPr>
          </w:p>
        </w:tc>
        <w:tc>
          <w:tcPr>
            <w:tcW w:w="2951" w:type="dxa"/>
            <w:vMerge w:val="continue"/>
            <w:vAlign w:val="center"/>
          </w:tcPr>
          <w:p w14:paraId="496E0DED">
            <w:pPr>
              <w:pStyle w:val="30"/>
              <w:jc w:val="center"/>
              <w:rPr>
                <w:rFonts w:hint="eastAsia" w:ascii="仿宋_GB2312" w:hAnsi="仿宋_GB2312" w:eastAsia="仿宋_GB2312" w:cs="仿宋_GB2312"/>
                <w:b/>
                <w:bCs/>
                <w:sz w:val="21"/>
                <w:szCs w:val="21"/>
                <w:highlight w:val="none"/>
                <w:vertAlign w:val="baseline"/>
                <w:lang w:val="en-US" w:eastAsia="zh-CN"/>
              </w:rPr>
            </w:pPr>
          </w:p>
        </w:tc>
        <w:tc>
          <w:tcPr>
            <w:tcW w:w="2131" w:type="dxa"/>
            <w:vAlign w:val="center"/>
          </w:tcPr>
          <w:p w14:paraId="502EEBBA">
            <w:pPr>
              <w:pStyle w:val="30"/>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大写</w:t>
            </w:r>
          </w:p>
        </w:tc>
        <w:tc>
          <w:tcPr>
            <w:tcW w:w="2131" w:type="dxa"/>
            <w:vAlign w:val="center"/>
          </w:tcPr>
          <w:p w14:paraId="723B51BC">
            <w:pPr>
              <w:pStyle w:val="30"/>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小写</w:t>
            </w:r>
          </w:p>
        </w:tc>
      </w:tr>
      <w:tr w14:paraId="5CC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AEB606">
            <w:pPr>
              <w:pStyle w:val="30"/>
              <w:jc w:val="center"/>
              <w:rPr>
                <w:rFonts w:hint="eastAsia" w:ascii="仿宋_GB2312" w:hAnsi="仿宋_GB2312" w:eastAsia="仿宋_GB2312" w:cs="仿宋_GB2312"/>
                <w:sz w:val="21"/>
                <w:szCs w:val="21"/>
                <w:highlight w:val="none"/>
                <w:vertAlign w:val="baseline"/>
                <w:lang w:val="en-US" w:eastAsia="zh-CN"/>
              </w:rPr>
            </w:pPr>
          </w:p>
        </w:tc>
        <w:tc>
          <w:tcPr>
            <w:tcW w:w="2951" w:type="dxa"/>
            <w:vAlign w:val="center"/>
          </w:tcPr>
          <w:p w14:paraId="6BC8E6A2">
            <w:pPr>
              <w:pStyle w:val="30"/>
              <w:jc w:val="center"/>
              <w:rPr>
                <w:rFonts w:hint="eastAsia" w:ascii="仿宋_GB2312" w:hAnsi="仿宋_GB2312" w:eastAsia="仿宋_GB2312" w:cs="仿宋_GB2312"/>
                <w:sz w:val="21"/>
                <w:szCs w:val="21"/>
                <w:highlight w:val="none"/>
                <w:vertAlign w:val="baseline"/>
                <w:lang w:val="en-US" w:eastAsia="zh-CN"/>
              </w:rPr>
            </w:pPr>
          </w:p>
        </w:tc>
        <w:tc>
          <w:tcPr>
            <w:tcW w:w="2131" w:type="dxa"/>
            <w:vAlign w:val="center"/>
          </w:tcPr>
          <w:p w14:paraId="326DFD8F">
            <w:pPr>
              <w:pStyle w:val="30"/>
              <w:jc w:val="center"/>
              <w:rPr>
                <w:rFonts w:hint="eastAsia" w:ascii="仿宋_GB2312" w:hAnsi="仿宋_GB2312" w:eastAsia="仿宋_GB2312" w:cs="仿宋_GB2312"/>
                <w:sz w:val="21"/>
                <w:szCs w:val="21"/>
                <w:highlight w:val="none"/>
                <w:vertAlign w:val="baseline"/>
                <w:lang w:val="en-US" w:eastAsia="zh-CN"/>
              </w:rPr>
            </w:pPr>
          </w:p>
        </w:tc>
        <w:tc>
          <w:tcPr>
            <w:tcW w:w="2131" w:type="dxa"/>
            <w:vAlign w:val="center"/>
          </w:tcPr>
          <w:p w14:paraId="03BBBD21">
            <w:pPr>
              <w:pStyle w:val="30"/>
              <w:jc w:val="center"/>
              <w:rPr>
                <w:rFonts w:hint="eastAsia" w:ascii="仿宋_GB2312" w:hAnsi="仿宋_GB2312" w:eastAsia="仿宋_GB2312" w:cs="仿宋_GB2312"/>
                <w:sz w:val="21"/>
                <w:szCs w:val="21"/>
                <w:highlight w:val="none"/>
                <w:vertAlign w:val="baseline"/>
                <w:lang w:val="en-US" w:eastAsia="zh-CN"/>
              </w:rPr>
            </w:pPr>
          </w:p>
        </w:tc>
      </w:tr>
      <w:tr w14:paraId="238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32101A74">
            <w:pPr>
              <w:pStyle w:val="30"/>
              <w:ind w:left="0" w:leftChars="0" w:firstLine="0" w:firstLineChars="0"/>
              <w:jc w:val="both"/>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备注：</w:t>
            </w:r>
          </w:p>
        </w:tc>
      </w:tr>
    </w:tbl>
    <w:p w14:paraId="743C677B">
      <w:pPr>
        <w:pStyle w:val="30"/>
        <w:shd w:val="clear"/>
        <w:ind w:left="0" w:leftChars="0" w:firstLine="0" w:firstLineChars="0"/>
        <w:rPr>
          <w:rFonts w:hint="eastAsia" w:ascii="仿宋_GB2312" w:hAnsi="仿宋_GB2312" w:eastAsia="仿宋_GB2312" w:cs="仿宋_GB2312"/>
          <w:highlight w:val="none"/>
          <w:lang w:val="en-US" w:eastAsia="zh-CN"/>
        </w:rPr>
      </w:pPr>
    </w:p>
    <w:p w14:paraId="6AC43C0E">
      <w:pPr>
        <w:widowControl w:val="0"/>
        <w:shd w:val="clear"/>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r>
        <w:rPr>
          <w:rFonts w:hint="eastAsia" w:ascii="仿宋_GB2312" w:hAnsi="仿宋_GB2312" w:eastAsia="仿宋_GB2312" w:cs="仿宋_GB2312"/>
          <w:kern w:val="2"/>
          <w:sz w:val="21"/>
          <w:szCs w:val="24"/>
          <w:highlight w:val="none"/>
          <w:lang w:val="en-US" w:eastAsia="zh-CN" w:bidi="zh-CN"/>
        </w:rPr>
        <w:t>注：1.此表中，每包（标项）的响应报价应和《分项报价表》中的总价相一致。</w:t>
      </w:r>
    </w:p>
    <w:p w14:paraId="2CB97E1B">
      <w:pPr>
        <w:widowControl w:val="0"/>
        <w:shd w:val="clear"/>
        <w:spacing w:line="360" w:lineRule="auto"/>
        <w:ind w:firstLine="210" w:firstLineChars="100"/>
        <w:jc w:val="both"/>
        <w:outlineLvl w:val="1"/>
        <w:rPr>
          <w:rFonts w:hint="eastAsia" w:ascii="仿宋_GB2312" w:hAnsi="仿宋_GB2312" w:eastAsia="仿宋_GB2312" w:cs="仿宋_GB2312"/>
          <w:kern w:val="2"/>
          <w:sz w:val="21"/>
          <w:szCs w:val="24"/>
          <w:highlight w:val="none"/>
          <w:lang w:val="en-US" w:eastAsia="zh-CN" w:bidi="zh-CN"/>
        </w:rPr>
      </w:pPr>
      <w:bookmarkStart w:id="54" w:name="_Toc28372"/>
      <w:bookmarkStart w:id="55" w:name="_Toc16486"/>
      <w:r>
        <w:rPr>
          <w:rFonts w:hint="eastAsia" w:ascii="仿宋_GB2312" w:hAnsi="仿宋_GB2312" w:eastAsia="仿宋_GB2312" w:cs="仿宋_GB2312"/>
          <w:kern w:val="2"/>
          <w:sz w:val="21"/>
          <w:szCs w:val="24"/>
          <w:highlight w:val="none"/>
          <w:lang w:val="en-US" w:eastAsia="zh-CN" w:bidi="zh-CN"/>
        </w:rPr>
        <w:t>2.本表必须按包（标项）分别填写。</w:t>
      </w:r>
      <w:bookmarkEnd w:id="54"/>
      <w:bookmarkEnd w:id="55"/>
    </w:p>
    <w:p w14:paraId="6A475658">
      <w:pPr>
        <w:widowControl w:val="0"/>
        <w:shd w:val="clear"/>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14:paraId="0F8403A6">
      <w:pPr>
        <w:widowControl w:val="0"/>
        <w:shd w:val="clear"/>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14:paraId="238057E1">
      <w:pPr>
        <w:widowControl w:val="0"/>
        <w:shd w:val="clear"/>
        <w:spacing w:line="360" w:lineRule="auto"/>
        <w:ind w:firstLine="240" w:firstLineChars="100"/>
        <w:jc w:val="both"/>
        <w:rPr>
          <w:rFonts w:hint="default"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 xml:space="preserve">供应商名称（加盖公章）： </w:t>
      </w:r>
      <w:r>
        <w:rPr>
          <w:rFonts w:hint="eastAsia" w:ascii="仿宋_GB2312" w:hAnsi="仿宋_GB2312" w:eastAsia="仿宋_GB2312" w:cs="仿宋_GB2312"/>
          <w:kern w:val="2"/>
          <w:sz w:val="24"/>
          <w:szCs w:val="24"/>
          <w:highlight w:val="none"/>
          <w:u w:val="single"/>
          <w:lang w:val="en-US" w:eastAsia="zh-CN" w:bidi="zh-CN"/>
        </w:rPr>
        <w:t xml:space="preserve">                </w:t>
      </w:r>
    </w:p>
    <w:p w14:paraId="1A96CFEC">
      <w:pPr>
        <w:widowControl w:val="0"/>
        <w:shd w:val="clear"/>
        <w:spacing w:line="360" w:lineRule="auto"/>
        <w:ind w:firstLine="240" w:firstLineChars="10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日期：</w:t>
      </w:r>
      <w:r>
        <w:rPr>
          <w:rFonts w:hint="eastAsia" w:ascii="仿宋_GB2312" w:hAnsi="仿宋_GB2312" w:eastAsia="仿宋_GB2312" w:cs="仿宋_GB2312"/>
          <w:kern w:val="2"/>
          <w:sz w:val="24"/>
          <w:szCs w:val="24"/>
          <w:highlight w:val="none"/>
          <w:u w:val="single"/>
          <w:lang w:val="en-US" w:eastAsia="zh-CN" w:bidi="zh-CN"/>
        </w:rPr>
        <w:t xml:space="preserve">     年    月    日</w:t>
      </w:r>
    </w:p>
    <w:p w14:paraId="24DE8807">
      <w:pPr>
        <w:pStyle w:val="25"/>
        <w:shd w:val="clear"/>
        <w:rPr>
          <w:rFonts w:hint="eastAsia" w:ascii="仿宋_GB2312" w:hAnsi="仿宋_GB2312" w:eastAsia="仿宋_GB2312" w:cs="仿宋_GB2312"/>
          <w:highlight w:val="none"/>
          <w:lang w:val="en-US" w:eastAsia="zh-CN"/>
        </w:rPr>
      </w:pPr>
    </w:p>
    <w:p w14:paraId="7751D12E">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300F4E95">
      <w:pPr>
        <w:pStyle w:val="30"/>
        <w:shd w:val="clear"/>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56" w:name="_Toc32732"/>
      <w:bookmarkStart w:id="57" w:name="_Toc16619"/>
      <w:r>
        <w:rPr>
          <w:rFonts w:hint="eastAsia" w:ascii="仿宋_GB2312" w:hAnsi="仿宋_GB2312" w:eastAsia="仿宋_GB2312" w:cs="仿宋_GB2312"/>
          <w:sz w:val="24"/>
          <w:szCs w:val="24"/>
          <w:highlight w:val="none"/>
          <w:lang w:val="en-US" w:eastAsia="zh-CN"/>
        </w:rPr>
        <w:t>7  分项报价表</w:t>
      </w:r>
      <w:bookmarkEnd w:id="56"/>
      <w:bookmarkEnd w:id="57"/>
    </w:p>
    <w:p w14:paraId="3EFAFAE3">
      <w:pPr>
        <w:widowControl w:val="0"/>
        <w:shd w:val="clear"/>
        <w:spacing w:after="120" w:line="360" w:lineRule="auto"/>
        <w:ind w:left="0" w:leftChars="0" w:firstLine="0" w:firstLineChars="0"/>
        <w:jc w:val="center"/>
        <w:rPr>
          <w:rFonts w:hint="eastAsia" w:ascii="仿宋_GB2312" w:hAnsi="仿宋_GB2312" w:eastAsia="仿宋_GB2312" w:cs="仿宋_GB2312"/>
          <w:b/>
          <w:bCs/>
          <w:kern w:val="0"/>
          <w:sz w:val="32"/>
          <w:szCs w:val="32"/>
          <w:highlight w:val="none"/>
          <w:lang w:val="en-US" w:eastAsia="zh-CN" w:bidi="ar-SA"/>
        </w:rPr>
      </w:pPr>
      <w:r>
        <w:rPr>
          <w:rFonts w:hint="eastAsia" w:ascii="仿宋_GB2312" w:hAnsi="仿宋_GB2312" w:eastAsia="仿宋_GB2312" w:cs="仿宋_GB2312"/>
          <w:b/>
          <w:bCs/>
          <w:kern w:val="0"/>
          <w:sz w:val="32"/>
          <w:szCs w:val="32"/>
          <w:highlight w:val="none"/>
          <w:lang w:val="en-US" w:eastAsia="zh-CN" w:bidi="ar-SA"/>
        </w:rPr>
        <w:t>投标分项报价表（服务）</w:t>
      </w:r>
    </w:p>
    <w:p w14:paraId="7A591788">
      <w:pPr>
        <w:widowControl w:val="0"/>
        <w:shd w:val="clear"/>
        <w:spacing w:after="120" w:line="360" w:lineRule="auto"/>
        <w:ind w:left="0" w:leftChars="0" w:firstLine="0" w:firstLineChars="0"/>
        <w:jc w:val="center"/>
        <w:rPr>
          <w:rFonts w:hint="default" w:ascii="仿宋_GB2312" w:hAnsi="仿宋_GB2312" w:eastAsia="仿宋_GB2312" w:cs="仿宋_GB2312"/>
          <w:kern w:val="0"/>
          <w:sz w:val="21"/>
          <w:szCs w:val="24"/>
          <w:highlight w:val="none"/>
          <w:lang w:val="en-US" w:eastAsia="zh-CN" w:bidi="ar-SA"/>
        </w:rPr>
      </w:pPr>
      <w:r>
        <w:rPr>
          <w:rFonts w:hint="eastAsia" w:ascii="仿宋_GB2312" w:hAnsi="仿宋_GB2312" w:eastAsia="仿宋_GB2312" w:cs="仿宋_GB2312"/>
          <w:kern w:val="0"/>
          <w:sz w:val="21"/>
          <w:szCs w:val="24"/>
          <w:highlight w:val="none"/>
          <w:lang w:val="en-US" w:eastAsia="zh-CN" w:bidi="ar-SA"/>
        </w:rPr>
        <w:t>项目编号/包（标项）号：</w:t>
      </w:r>
      <w:r>
        <w:rPr>
          <w:rFonts w:hint="eastAsia" w:ascii="仿宋_GB2312" w:hAnsi="仿宋_GB2312" w:eastAsia="仿宋_GB2312" w:cs="仿宋_GB2312"/>
          <w:kern w:val="0"/>
          <w:sz w:val="21"/>
          <w:szCs w:val="24"/>
          <w:highlight w:val="none"/>
          <w:u w:val="single"/>
          <w:lang w:val="en-US" w:eastAsia="zh-CN" w:bidi="ar-SA"/>
        </w:rPr>
        <w:t xml:space="preserve">            </w:t>
      </w:r>
      <w:r>
        <w:rPr>
          <w:rFonts w:hint="eastAsia" w:ascii="仿宋_GB2312" w:hAnsi="仿宋_GB2312" w:eastAsia="仿宋_GB2312" w:cs="仿宋_GB2312"/>
          <w:kern w:val="0"/>
          <w:sz w:val="21"/>
          <w:szCs w:val="24"/>
          <w:highlight w:val="none"/>
          <w:lang w:val="en-US" w:eastAsia="zh-CN" w:bidi="ar-SA"/>
        </w:rPr>
        <w:t xml:space="preserve"> 项目名称：</w:t>
      </w:r>
      <w:r>
        <w:rPr>
          <w:rFonts w:hint="eastAsia" w:ascii="仿宋_GB2312" w:hAnsi="仿宋_GB2312" w:eastAsia="仿宋_GB2312" w:cs="仿宋_GB2312"/>
          <w:kern w:val="0"/>
          <w:sz w:val="21"/>
          <w:szCs w:val="24"/>
          <w:highlight w:val="none"/>
          <w:u w:val="single"/>
          <w:lang w:val="en-US" w:eastAsia="zh-CN" w:bidi="ar-SA"/>
        </w:rPr>
        <w:t xml:space="preserve">          </w:t>
      </w:r>
      <w:r>
        <w:rPr>
          <w:rFonts w:hint="eastAsia" w:ascii="仿宋_GB2312" w:hAnsi="仿宋_GB2312" w:eastAsia="仿宋_GB2312" w:cs="仿宋_GB2312"/>
          <w:kern w:val="0"/>
          <w:sz w:val="21"/>
          <w:szCs w:val="24"/>
          <w:highlight w:val="none"/>
          <w:lang w:val="en-US" w:eastAsia="zh-CN" w:bidi="ar-SA"/>
        </w:rPr>
        <w:t xml:space="preserve">      报价单位：</w:t>
      </w:r>
      <w:r>
        <w:rPr>
          <w:rFonts w:hint="eastAsia" w:ascii="仿宋_GB2312" w:hAnsi="仿宋_GB2312" w:cs="仿宋_GB2312"/>
          <w:kern w:val="0"/>
          <w:sz w:val="21"/>
          <w:szCs w:val="24"/>
          <w:highlight w:val="none"/>
          <w:lang w:val="en-US" w:eastAsia="zh-CN" w:bidi="ar-SA"/>
        </w:rPr>
        <w:t>元</w:t>
      </w:r>
    </w:p>
    <w:tbl>
      <w:tblPr>
        <w:tblStyle w:val="32"/>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23E8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0B03D47B">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序号</w:t>
            </w:r>
          </w:p>
        </w:tc>
        <w:tc>
          <w:tcPr>
            <w:tcW w:w="1385" w:type="dxa"/>
            <w:vAlign w:val="center"/>
          </w:tcPr>
          <w:p w14:paraId="1685A6AF">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服务名称</w:t>
            </w:r>
          </w:p>
        </w:tc>
        <w:tc>
          <w:tcPr>
            <w:tcW w:w="1483" w:type="dxa"/>
            <w:vAlign w:val="center"/>
          </w:tcPr>
          <w:p w14:paraId="0475FC2A">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服务范围</w:t>
            </w:r>
          </w:p>
        </w:tc>
        <w:tc>
          <w:tcPr>
            <w:tcW w:w="1401" w:type="dxa"/>
            <w:vAlign w:val="center"/>
          </w:tcPr>
          <w:p w14:paraId="62BC5EDE">
            <w:pPr>
              <w:widowControl w:val="0"/>
              <w:spacing w:line="360" w:lineRule="auto"/>
              <w:ind w:left="0" w:leftChars="0" w:firstLine="0" w:firstLineChars="0"/>
              <w:jc w:val="center"/>
              <w:rPr>
                <w:rFonts w:hint="default" w:ascii="仿宋_GB2312" w:hAnsi="仿宋_GB2312" w:eastAsia="仿宋_GB2312" w:cs="仿宋_GB2312"/>
                <w:kern w:val="2"/>
                <w:sz w:val="21"/>
                <w:szCs w:val="21"/>
                <w:highlight w:val="none"/>
                <w:vertAlign w:val="baseline"/>
                <w:lang w:val="en-US" w:eastAsia="zh-CN" w:bidi="zh-CN"/>
              </w:rPr>
            </w:pPr>
            <w:r>
              <w:rPr>
                <w:rFonts w:hint="default" w:ascii="仿宋_GB2312" w:hAnsi="仿宋_GB2312" w:eastAsia="仿宋_GB2312" w:cs="仿宋_GB2312"/>
                <w:kern w:val="2"/>
                <w:sz w:val="21"/>
                <w:szCs w:val="21"/>
                <w:highlight w:val="none"/>
                <w:vertAlign w:val="baseline"/>
                <w:lang w:val="en-US" w:eastAsia="zh-CN" w:bidi="zh-CN"/>
              </w:rPr>
              <w:t>服务标准</w:t>
            </w:r>
          </w:p>
        </w:tc>
        <w:tc>
          <w:tcPr>
            <w:tcW w:w="1201" w:type="dxa"/>
            <w:vAlign w:val="center"/>
          </w:tcPr>
          <w:p w14:paraId="0156AB58">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单价</w:t>
            </w:r>
          </w:p>
        </w:tc>
        <w:tc>
          <w:tcPr>
            <w:tcW w:w="1260" w:type="dxa"/>
            <w:vAlign w:val="center"/>
          </w:tcPr>
          <w:p w14:paraId="43B65B0B">
            <w:pPr>
              <w:widowControl w:val="0"/>
              <w:spacing w:line="360" w:lineRule="auto"/>
              <w:ind w:left="0" w:leftChars="0" w:firstLine="0" w:firstLineChars="0"/>
              <w:jc w:val="center"/>
              <w:rPr>
                <w:rFonts w:hint="default"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数量/单位</w:t>
            </w:r>
          </w:p>
        </w:tc>
        <w:tc>
          <w:tcPr>
            <w:tcW w:w="1075" w:type="dxa"/>
            <w:vAlign w:val="center"/>
          </w:tcPr>
          <w:p w14:paraId="494B9930">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合价（元）</w:t>
            </w:r>
          </w:p>
        </w:tc>
        <w:tc>
          <w:tcPr>
            <w:tcW w:w="1417" w:type="dxa"/>
            <w:vAlign w:val="center"/>
          </w:tcPr>
          <w:p w14:paraId="619B15C6">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备注/说明</w:t>
            </w:r>
          </w:p>
        </w:tc>
      </w:tr>
      <w:tr w14:paraId="72D8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2AF83FB">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7B06FA41">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68625803">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3A035FD2">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4CA28BA">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5AA09194">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47A73BB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4CC354D2">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57CC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FC1FB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48B6C24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5AB1D02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4EDD5AD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0FF457A">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102BE3C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73D70944">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3C4337C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2B23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1260420">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2CAA7478">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48F1A7B8">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6FC2E8E7">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A148F4B">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54A3019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0245A22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03D6B2C6">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6EC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72AE61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65099795">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1A2ABC3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7CA8DCD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3E3AB6C4">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375B78E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375097C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0613D77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1D20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0B65C476">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总价（元）</w:t>
            </w:r>
          </w:p>
        </w:tc>
        <w:tc>
          <w:tcPr>
            <w:tcW w:w="2492" w:type="dxa"/>
            <w:gridSpan w:val="2"/>
            <w:vAlign w:val="center"/>
          </w:tcPr>
          <w:p w14:paraId="1BAB79B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bl>
    <w:p w14:paraId="46AF7948">
      <w:pPr>
        <w:widowControl w:val="0"/>
        <w:shd w:val="clear"/>
        <w:spacing w:line="360" w:lineRule="auto"/>
        <w:ind w:left="0" w:leftChars="0" w:firstLine="0" w:firstLineChars="0"/>
        <w:jc w:val="both"/>
        <w:rPr>
          <w:rFonts w:hint="eastAsia" w:ascii="仿宋_GB2312" w:hAnsi="仿宋_GB2312" w:eastAsia="仿宋_GB2312" w:cs="仿宋_GB2312"/>
          <w:kern w:val="2"/>
          <w:sz w:val="21"/>
          <w:szCs w:val="24"/>
          <w:highlight w:val="none"/>
          <w:lang w:val="en-US" w:eastAsia="zh-CN" w:bidi="zh-CN"/>
        </w:rPr>
      </w:pPr>
    </w:p>
    <w:p w14:paraId="4F317FEB">
      <w:pPr>
        <w:pStyle w:val="25"/>
        <w:shd w:val="clear"/>
        <w:rPr>
          <w:rFonts w:hint="eastAsia" w:ascii="仿宋_GB2312" w:hAnsi="仿宋_GB2312" w:eastAsia="仿宋_GB2312" w:cs="仿宋_GB2312"/>
          <w:highlight w:val="none"/>
          <w:lang w:val="en-US" w:eastAsia="zh-CN"/>
        </w:rPr>
      </w:pPr>
    </w:p>
    <w:p w14:paraId="4868D665">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47EC77E9">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w:t>
      </w:r>
      <w:r>
        <w:rPr>
          <w:rFonts w:hint="eastAsia" w:ascii="仿宋_GB2312" w:hAnsi="仿宋_GB2312" w:cs="仿宋_GB2312"/>
          <w:sz w:val="24"/>
          <w:szCs w:val="24"/>
          <w:highlight w:val="none"/>
          <w:lang w:val="en-US" w:eastAsia="zh-CN"/>
        </w:rPr>
        <w:t>采购文件</w:t>
      </w:r>
      <w:r>
        <w:rPr>
          <w:rFonts w:hint="eastAsia" w:ascii="仿宋_GB2312" w:hAnsi="仿宋_GB2312" w:eastAsia="仿宋_GB2312" w:cs="仿宋_GB2312"/>
          <w:sz w:val="24"/>
          <w:szCs w:val="24"/>
          <w:highlight w:val="none"/>
          <w:lang w:val="en-US" w:eastAsia="zh-CN"/>
        </w:rPr>
        <w:t>。</w:t>
      </w:r>
    </w:p>
    <w:p w14:paraId="1F92D3DA">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21F5CA79">
      <w:pPr>
        <w:shd w:val="clear"/>
        <w:spacing w:line="360" w:lineRule="auto"/>
        <w:rPr>
          <w:rFonts w:hint="eastAsia" w:ascii="仿宋_GB2312" w:hAnsi="仿宋_GB2312" w:eastAsia="仿宋_GB2312" w:cs="仿宋_GB2312"/>
          <w:sz w:val="24"/>
          <w:szCs w:val="24"/>
          <w:highlight w:val="none"/>
          <w:lang w:val="en-US" w:eastAsia="zh-CN"/>
        </w:rPr>
      </w:pPr>
    </w:p>
    <w:p w14:paraId="70F811DF">
      <w:pPr>
        <w:shd w:val="clear"/>
        <w:spacing w:line="360" w:lineRule="auto"/>
        <w:rPr>
          <w:rFonts w:hint="eastAsia" w:ascii="仿宋_GB2312" w:hAnsi="仿宋_GB2312" w:eastAsia="仿宋_GB2312" w:cs="仿宋_GB2312"/>
          <w:sz w:val="24"/>
          <w:szCs w:val="24"/>
          <w:highlight w:val="none"/>
          <w:lang w:val="en-US" w:eastAsia="zh-CN"/>
        </w:rPr>
      </w:pPr>
    </w:p>
    <w:p w14:paraId="4A1A88E3">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5C519600">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0E30B9C6">
      <w:pPr>
        <w:shd w:val="clear"/>
        <w:spacing w:line="360" w:lineRule="auto"/>
        <w:rPr>
          <w:rFonts w:hint="eastAsia" w:ascii="仿宋_GB2312" w:hAnsi="仿宋_GB2312" w:eastAsia="仿宋_GB2312" w:cs="仿宋_GB2312"/>
          <w:sz w:val="24"/>
          <w:szCs w:val="24"/>
          <w:highlight w:val="none"/>
          <w:lang w:val="en-US" w:eastAsia="zh-CN"/>
        </w:rPr>
      </w:pPr>
    </w:p>
    <w:p w14:paraId="6CE81779">
      <w:pPr>
        <w:pStyle w:val="30"/>
        <w:shd w:val="clear"/>
        <w:rPr>
          <w:rFonts w:hint="eastAsia" w:ascii="仿宋_GB2312" w:hAnsi="仿宋_GB2312" w:eastAsia="仿宋_GB2312" w:cs="仿宋_GB2312"/>
          <w:sz w:val="24"/>
          <w:szCs w:val="24"/>
          <w:highlight w:val="none"/>
          <w:lang w:val="en-US" w:eastAsia="zh-CN"/>
        </w:rPr>
      </w:pPr>
    </w:p>
    <w:p w14:paraId="1B378CDD">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40CF4DBC">
      <w:pPr>
        <w:pStyle w:val="25"/>
        <w:shd w:val="clear"/>
        <w:ind w:left="0" w:leftChars="0" w:firstLine="0" w:firstLineChars="0"/>
        <w:jc w:val="left"/>
        <w:outlineLvl w:val="1"/>
        <w:rPr>
          <w:rFonts w:hint="eastAsia" w:ascii="仿宋_GB2312" w:hAnsi="仿宋_GB2312" w:eastAsia="仿宋_GB2312" w:cs="仿宋_GB2312"/>
          <w:sz w:val="24"/>
          <w:szCs w:val="24"/>
          <w:highlight w:val="none"/>
          <w:lang w:val="en-US" w:eastAsia="zh-CN"/>
        </w:rPr>
      </w:pPr>
      <w:bookmarkStart w:id="58" w:name="_Toc27376"/>
      <w:bookmarkStart w:id="59" w:name="_Toc23182"/>
      <w:r>
        <w:rPr>
          <w:rFonts w:hint="eastAsia" w:ascii="仿宋_GB2312" w:hAnsi="仿宋_GB2312" w:eastAsia="仿宋_GB2312" w:cs="仿宋_GB2312"/>
          <w:sz w:val="24"/>
          <w:szCs w:val="24"/>
          <w:highlight w:val="none"/>
          <w:lang w:val="en-US" w:eastAsia="zh-CN"/>
        </w:rPr>
        <w:t>8  合同条款偏离表</w:t>
      </w:r>
      <w:bookmarkEnd w:id="58"/>
      <w:bookmarkEnd w:id="59"/>
    </w:p>
    <w:p w14:paraId="153DAF7E">
      <w:pPr>
        <w:pStyle w:val="25"/>
        <w:shd w:val="clear"/>
        <w:ind w:left="0" w:leftChars="0" w:firstLine="0" w:firstLineChars="0"/>
        <w:jc w:val="center"/>
        <w:rPr>
          <w:rFonts w:hint="eastAsia" w:ascii="仿宋_GB2312" w:hAnsi="仿宋_GB2312" w:eastAsia="仿宋_GB2312" w:cs="仿宋_GB2312"/>
          <w:sz w:val="32"/>
          <w:szCs w:val="32"/>
          <w:highlight w:val="none"/>
          <w:lang w:val="en-US" w:eastAsia="zh-CN"/>
        </w:rPr>
      </w:pPr>
    </w:p>
    <w:p w14:paraId="50358A47">
      <w:pPr>
        <w:pStyle w:val="25"/>
        <w:shd w:val="clear"/>
        <w:ind w:left="0" w:leftChars="0" w:firstLine="0" w:firstLineChars="0"/>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39BC85D7">
      <w:pPr>
        <w:shd w:val="clear"/>
        <w:rPr>
          <w:rFonts w:hint="eastAsia" w:ascii="仿宋_GB2312" w:hAnsi="仿宋_GB2312" w:eastAsia="仿宋_GB2312" w:cs="仿宋_GB2312"/>
          <w:highlight w:val="none"/>
          <w:lang w:val="en-US" w:eastAsia="zh-CN"/>
        </w:rPr>
      </w:pPr>
    </w:p>
    <w:p w14:paraId="7E7232A4">
      <w:pPr>
        <w:pStyle w:val="25"/>
        <w:shd w:val="clear"/>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96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0D73A5A">
            <w:pPr>
              <w:shd w:val="clear"/>
              <w:spacing w:line="24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w:t>
            </w:r>
            <w:r>
              <w:rPr>
                <w:rFonts w:hint="eastAsia" w:ascii="仿宋_GB2312" w:hAnsi="仿宋_GB2312" w:cs="仿宋_GB2312"/>
                <w:b/>
                <w:bCs/>
                <w:sz w:val="24"/>
                <w:szCs w:val="24"/>
                <w:highlight w:val="none"/>
                <w:vertAlign w:val="baseline"/>
                <w:lang w:val="en-US" w:eastAsia="zh-CN"/>
              </w:rPr>
              <w:t>合同</w:t>
            </w:r>
            <w:r>
              <w:rPr>
                <w:rFonts w:hint="eastAsia" w:ascii="仿宋_GB2312" w:hAnsi="仿宋_GB2312" w:eastAsia="仿宋_GB2312" w:cs="仿宋_GB2312"/>
                <w:b/>
                <w:bCs/>
                <w:sz w:val="24"/>
                <w:szCs w:val="24"/>
                <w:highlight w:val="none"/>
                <w:vertAlign w:val="baseline"/>
                <w:lang w:val="en-US" w:eastAsia="zh-CN"/>
              </w:rPr>
              <w:t>条款的偏离情况（请进行勾选）：</w:t>
            </w:r>
          </w:p>
          <w:p w14:paraId="505F0C26">
            <w:pPr>
              <w:shd w:val="clear"/>
              <w:spacing w:line="24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0610BDC8">
            <w:pPr>
              <w:shd w:val="clear"/>
              <w:spacing w:line="240" w:lineRule="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D6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2E1CF2">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1" w:type="dxa"/>
            <w:vAlign w:val="center"/>
          </w:tcPr>
          <w:p w14:paraId="3F14DCBF">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w:t>
            </w:r>
          </w:p>
          <w:p w14:paraId="55814100">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条目号</w:t>
            </w:r>
          </w:p>
          <w:p w14:paraId="2D7CCBC8">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（页码）</w:t>
            </w:r>
          </w:p>
        </w:tc>
        <w:tc>
          <w:tcPr>
            <w:tcW w:w="1901" w:type="dxa"/>
            <w:vAlign w:val="center"/>
          </w:tcPr>
          <w:p w14:paraId="34C8941E">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753" w:type="dxa"/>
            <w:vAlign w:val="center"/>
          </w:tcPr>
          <w:p w14:paraId="20874B8C">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561" w:type="dxa"/>
            <w:vAlign w:val="center"/>
          </w:tcPr>
          <w:p w14:paraId="0C737A6F">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052" w:type="dxa"/>
            <w:vAlign w:val="center"/>
          </w:tcPr>
          <w:p w14:paraId="64E48EA9">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14:paraId="0E3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A791769">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31C4EE19">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6FCD3964">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55208365">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13E967EC">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5469A9CF">
            <w:pPr>
              <w:shd w:val="clear"/>
              <w:rPr>
                <w:rFonts w:hint="eastAsia" w:ascii="仿宋_GB2312" w:hAnsi="仿宋_GB2312" w:eastAsia="仿宋_GB2312" w:cs="仿宋_GB2312"/>
                <w:sz w:val="21"/>
                <w:szCs w:val="21"/>
                <w:highlight w:val="none"/>
                <w:vertAlign w:val="baseline"/>
                <w:lang w:val="en-US" w:eastAsia="zh-CN"/>
              </w:rPr>
            </w:pPr>
          </w:p>
        </w:tc>
      </w:tr>
      <w:tr w14:paraId="393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2911D12">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027A4FD5">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598482EF">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42BE6F30">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2C696AFE">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2B1D2349">
            <w:pPr>
              <w:shd w:val="clear"/>
              <w:rPr>
                <w:rFonts w:hint="eastAsia" w:ascii="仿宋_GB2312" w:hAnsi="仿宋_GB2312" w:eastAsia="仿宋_GB2312" w:cs="仿宋_GB2312"/>
                <w:sz w:val="21"/>
                <w:szCs w:val="21"/>
                <w:highlight w:val="none"/>
                <w:vertAlign w:val="baseline"/>
                <w:lang w:val="en-US" w:eastAsia="zh-CN"/>
              </w:rPr>
            </w:pPr>
          </w:p>
        </w:tc>
      </w:tr>
      <w:tr w14:paraId="1BA0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83CA163">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12396A21">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271FD244">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0F26E969">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1DB4D91B">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713C2EFF">
            <w:pPr>
              <w:shd w:val="clear"/>
              <w:rPr>
                <w:rFonts w:hint="eastAsia" w:ascii="仿宋_GB2312" w:hAnsi="仿宋_GB2312" w:eastAsia="仿宋_GB2312" w:cs="仿宋_GB2312"/>
                <w:sz w:val="21"/>
                <w:szCs w:val="21"/>
                <w:highlight w:val="none"/>
                <w:vertAlign w:val="baseline"/>
                <w:lang w:val="en-US" w:eastAsia="zh-CN"/>
              </w:rPr>
            </w:pPr>
          </w:p>
        </w:tc>
      </w:tr>
      <w:tr w14:paraId="17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1DA790B">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60AF06B7">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7E2E9BBF">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49D337F0">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1A79B249">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6323F973">
            <w:pPr>
              <w:shd w:val="clear"/>
              <w:rPr>
                <w:rFonts w:hint="eastAsia" w:ascii="仿宋_GB2312" w:hAnsi="仿宋_GB2312" w:eastAsia="仿宋_GB2312" w:cs="仿宋_GB2312"/>
                <w:sz w:val="21"/>
                <w:szCs w:val="21"/>
                <w:highlight w:val="none"/>
                <w:vertAlign w:val="baseline"/>
                <w:lang w:val="en-US" w:eastAsia="zh-CN"/>
              </w:rPr>
            </w:pPr>
          </w:p>
        </w:tc>
      </w:tr>
      <w:tr w14:paraId="46AF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850108F">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1B6BF59D">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4A3DE4AF">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383BE75C">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15857B3D">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73720B83">
            <w:pPr>
              <w:shd w:val="clear"/>
              <w:rPr>
                <w:rFonts w:hint="eastAsia" w:ascii="仿宋_GB2312" w:hAnsi="仿宋_GB2312" w:eastAsia="仿宋_GB2312" w:cs="仿宋_GB2312"/>
                <w:sz w:val="21"/>
                <w:szCs w:val="21"/>
                <w:highlight w:val="none"/>
                <w:vertAlign w:val="baseline"/>
                <w:lang w:val="en-US" w:eastAsia="zh-CN"/>
              </w:rPr>
            </w:pPr>
          </w:p>
        </w:tc>
      </w:tr>
    </w:tbl>
    <w:p w14:paraId="56B0C4C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8BC22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w:t>
      </w:r>
      <w:r>
        <w:rPr>
          <w:rFonts w:hint="eastAsia" w:ascii="仿宋_GB2312" w:hAnsi="仿宋_GB2312" w:cs="仿宋_GB2312"/>
          <w:sz w:val="24"/>
          <w:szCs w:val="24"/>
          <w:highlight w:val="none"/>
          <w:lang w:val="en-US" w:eastAsia="zh-CN"/>
        </w:rPr>
        <w:t>合同</w:t>
      </w:r>
      <w:r>
        <w:rPr>
          <w:rFonts w:hint="eastAsia" w:ascii="仿宋_GB2312" w:hAnsi="仿宋_GB2312" w:eastAsia="仿宋_GB2312" w:cs="仿宋_GB2312"/>
          <w:sz w:val="24"/>
          <w:szCs w:val="24"/>
          <w:highlight w:val="none"/>
          <w:lang w:val="en-US" w:eastAsia="zh-CN"/>
        </w:rPr>
        <w:t>条款中的所有要求，除本表所列明的所有偏离外，均视作供应商已对之理解和响应。</w:t>
      </w:r>
    </w:p>
    <w:p w14:paraId="6E4EA1BF">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60" w:name="_Toc5054"/>
      <w:bookmarkStart w:id="61" w:name="_Toc30559"/>
      <w:r>
        <w:rPr>
          <w:rFonts w:hint="eastAsia" w:ascii="仿宋_GB2312" w:hAnsi="仿宋_GB2312" w:eastAsia="仿宋_GB2312" w:cs="仿宋_GB2312"/>
          <w:sz w:val="24"/>
          <w:szCs w:val="24"/>
          <w:highlight w:val="none"/>
          <w:lang w:val="en-US" w:eastAsia="zh-CN"/>
        </w:rPr>
        <w:t>2. “偏离情况”列应据实填写“正偏离”或“负偏离”。</w:t>
      </w:r>
      <w:bookmarkEnd w:id="60"/>
      <w:bookmarkEnd w:id="61"/>
    </w:p>
    <w:p w14:paraId="367E64B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160A25F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5C56234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供应商名称（加盖公章）：</w:t>
      </w:r>
      <w:r>
        <w:rPr>
          <w:rFonts w:hint="eastAsia" w:ascii="仿宋_GB2312" w:hAnsi="仿宋_GB2312" w:eastAsia="仿宋_GB2312" w:cs="仿宋_GB2312"/>
          <w:sz w:val="24"/>
          <w:szCs w:val="24"/>
          <w:highlight w:val="none"/>
          <w:u w:val="single"/>
          <w:lang w:val="en-US" w:eastAsia="zh-CN"/>
        </w:rPr>
        <w:t xml:space="preserve">                 </w:t>
      </w:r>
    </w:p>
    <w:p w14:paraId="7AAE027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14:paraId="14D7366F">
      <w:pPr>
        <w:pStyle w:val="30"/>
        <w:shd w:val="clear"/>
        <w:rPr>
          <w:rFonts w:hint="eastAsia" w:ascii="仿宋_GB2312" w:hAnsi="仿宋_GB2312" w:eastAsia="仿宋_GB2312" w:cs="仿宋_GB2312"/>
          <w:sz w:val="24"/>
          <w:szCs w:val="24"/>
          <w:highlight w:val="none"/>
          <w:lang w:val="en-US" w:eastAsia="zh-CN"/>
        </w:rPr>
      </w:pPr>
    </w:p>
    <w:p w14:paraId="05EB6812">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63415D7">
      <w:pPr>
        <w:pStyle w:val="25"/>
        <w:shd w:val="clear"/>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62" w:name="_Toc12415"/>
      <w:bookmarkStart w:id="63" w:name="_Toc3795"/>
      <w:r>
        <w:rPr>
          <w:rFonts w:hint="eastAsia" w:ascii="仿宋_GB2312" w:hAnsi="仿宋_GB2312" w:eastAsia="仿宋_GB2312" w:cs="仿宋_GB2312"/>
          <w:sz w:val="24"/>
          <w:szCs w:val="24"/>
          <w:highlight w:val="none"/>
          <w:lang w:val="en-US" w:eastAsia="zh-CN"/>
        </w:rPr>
        <w:t>9  采购需求偏离表</w:t>
      </w:r>
      <w:bookmarkEnd w:id="62"/>
      <w:bookmarkEnd w:id="63"/>
    </w:p>
    <w:p w14:paraId="3D1C909A">
      <w:pPr>
        <w:pStyle w:val="25"/>
        <w:shd w:val="clear"/>
        <w:ind w:left="0" w:leftChars="0" w:firstLine="0" w:firstLineChars="0"/>
        <w:rPr>
          <w:rFonts w:hint="eastAsia" w:ascii="仿宋_GB2312" w:hAnsi="仿宋_GB2312" w:eastAsia="仿宋_GB2312" w:cs="仿宋_GB2312"/>
          <w:sz w:val="24"/>
          <w:szCs w:val="24"/>
          <w:highlight w:val="none"/>
          <w:lang w:val="en-US" w:eastAsia="zh-CN"/>
        </w:rPr>
      </w:pPr>
    </w:p>
    <w:p w14:paraId="1DBAC2C3">
      <w:pPr>
        <w:pStyle w:val="25"/>
        <w:shd w:val="clear"/>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395F1441">
      <w:pPr>
        <w:pStyle w:val="25"/>
        <w:shd w:val="clear"/>
        <w:ind w:left="0" w:leftChars="0" w:firstLine="0" w:firstLineChars="0"/>
        <w:rPr>
          <w:rFonts w:hint="eastAsia" w:ascii="仿宋_GB2312" w:hAnsi="仿宋_GB2312" w:eastAsia="仿宋_GB2312" w:cs="仿宋_GB2312"/>
          <w:sz w:val="24"/>
          <w:szCs w:val="24"/>
          <w:highlight w:val="none"/>
          <w:lang w:val="en-US" w:eastAsia="zh-CN"/>
        </w:rPr>
      </w:pPr>
    </w:p>
    <w:p w14:paraId="5BD765DC">
      <w:pPr>
        <w:pStyle w:val="25"/>
        <w:shd w:val="clear"/>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项目编号/包（标项）号：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lang w:val="en-US" w:eastAsia="zh-CN"/>
        </w:rPr>
        <w:t xml:space="preserve"> 项目名称：</w:t>
      </w:r>
      <w:r>
        <w:rPr>
          <w:rFonts w:hint="eastAsia" w:ascii="仿宋_GB2312" w:hAnsi="仿宋_GB2312" w:eastAsia="仿宋_GB2312" w:cs="仿宋_GB2312"/>
          <w:sz w:val="21"/>
          <w:szCs w:val="21"/>
          <w:highlight w:val="none"/>
          <w:u w:val="single"/>
          <w:lang w:val="en-US" w:eastAsia="zh-CN"/>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E5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789C7AB">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2" w:type="dxa"/>
            <w:vAlign w:val="center"/>
          </w:tcPr>
          <w:p w14:paraId="33515D7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采购文件条</w:t>
            </w:r>
          </w:p>
          <w:p w14:paraId="4AB32FF0">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目号(页码)</w:t>
            </w:r>
          </w:p>
        </w:tc>
        <w:tc>
          <w:tcPr>
            <w:tcW w:w="1805" w:type="dxa"/>
            <w:vAlign w:val="center"/>
          </w:tcPr>
          <w:p w14:paraId="3A6EE2A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672" w:type="dxa"/>
            <w:vAlign w:val="center"/>
          </w:tcPr>
          <w:p w14:paraId="53C0E92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421" w:type="dxa"/>
            <w:vAlign w:val="center"/>
          </w:tcPr>
          <w:p w14:paraId="62ACCDD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421" w:type="dxa"/>
            <w:vAlign w:val="center"/>
          </w:tcPr>
          <w:p w14:paraId="5570DB30">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14:paraId="7D4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9A24B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2BBD5E4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6D0BFB1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495CECD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0B28988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297066F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472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433EB1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07F7C1E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15F0EC5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3244EFD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688A212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0DED64E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7BC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E9B7B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63F9FD8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0175766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5B08CBD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676A05A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190F70E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288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4D4BD2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10B0D8A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3867B55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7F6BE93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61B7E0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D72E5E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515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3C49A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4B81953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41351F0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58B4238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5114D2C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082729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bl>
    <w:p w14:paraId="13470866">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743BAAE">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应对</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文件第五章采购需求的内容给予逐条响应，以投标产品和服务所能达到的内容予以填写，而不得复制招标的技术要求作为响应内容，有具体参数的应填写具体参数。</w:t>
      </w:r>
    </w:p>
    <w:p w14:paraId="0754E2D4">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2.在本表中未对</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文件第五章采购需求的内容给予逐条响应的视为没有实质上响应</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文件的要求，</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无效。 此表中仅标注“全部满足”、“全部响应”等，无法体现</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实质性响应或者偏离技术要求的；或无任何文字说明，内容为空白的，其</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无效。</w:t>
      </w:r>
    </w:p>
    <w:p w14:paraId="27BE8C04">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应按照</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文件第五章采购需求中要求提供投标产品技术支持资料（或证明材料），并在采购需求响应及偏离表中给予文件名称、所处</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文件页码或位置等必要说明。</w:t>
      </w:r>
    </w:p>
    <w:p w14:paraId="6C270E1A">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4.“偏离情况”列应据实填写“正偏离”、“负偏离”或“无偏离”。</w:t>
      </w:r>
    </w:p>
    <w:p w14:paraId="3868B93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2E386BE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6B2BD8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供应商名称（加盖公章）： </w:t>
      </w:r>
      <w:r>
        <w:rPr>
          <w:rFonts w:hint="eastAsia" w:ascii="仿宋_GB2312" w:hAnsi="仿宋_GB2312" w:eastAsia="仿宋_GB2312" w:cs="仿宋_GB2312"/>
          <w:sz w:val="24"/>
          <w:szCs w:val="24"/>
          <w:highlight w:val="none"/>
          <w:u w:val="single"/>
          <w:lang w:val="en-US" w:eastAsia="zh-CN"/>
        </w:rPr>
        <w:t xml:space="preserve">              </w:t>
      </w:r>
    </w:p>
    <w:p w14:paraId="792BCC3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14:paraId="42155D68">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widowControl w:val="0"/>
        <w:numPr>
          <w:ilvl w:val="0"/>
          <w:numId w:val="0"/>
        </w:numPr>
        <w:shd w:val="clear"/>
        <w:spacing w:line="360" w:lineRule="auto"/>
        <w:ind w:left="0" w:leftChars="0" w:firstLine="0" w:firstLineChars="0"/>
        <w:jc w:val="both"/>
        <w:rPr>
          <w:rFonts w:hint="eastAsia" w:ascii="仿宋_GB2312" w:hAnsi="仿宋_GB2312" w:eastAsia="仿宋_GB2312" w:cs="仿宋_GB2312"/>
          <w:kern w:val="2"/>
          <w:sz w:val="21"/>
          <w:szCs w:val="21"/>
          <w:highlight w:val="none"/>
          <w:lang w:val="en-US" w:eastAsia="zh-CN" w:bidi="zh-CN"/>
        </w:rPr>
      </w:pPr>
      <w:r>
        <w:rPr>
          <w:rFonts w:hint="eastAsia" w:ascii="仿宋_GB2312" w:hAnsi="仿宋_GB2312" w:eastAsia="仿宋_GB2312" w:cs="仿宋_GB2312"/>
          <w:kern w:val="2"/>
          <w:sz w:val="21"/>
          <w:szCs w:val="21"/>
          <w:highlight w:val="none"/>
          <w:lang w:val="en-US" w:eastAsia="zh-CN" w:bidi="zh-CN"/>
        </w:rPr>
        <w:t>10、业绩一览表（格式）</w:t>
      </w:r>
    </w:p>
    <w:p w14:paraId="44C9C318">
      <w:pPr>
        <w:widowControl w:val="0"/>
        <w:numPr>
          <w:ilvl w:val="0"/>
          <w:numId w:val="0"/>
        </w:numPr>
        <w:shd w:val="clear"/>
        <w:spacing w:line="360" w:lineRule="auto"/>
        <w:ind w:leftChars="0" w:firstLine="240" w:firstLineChars="100"/>
        <w:jc w:val="both"/>
        <w:rPr>
          <w:rFonts w:hint="eastAsia" w:ascii="仿宋_GB2312" w:hAnsi="仿宋_GB2312" w:eastAsia="仿宋_GB2312" w:cs="仿宋_GB2312"/>
          <w:kern w:val="2"/>
          <w:sz w:val="24"/>
          <w:szCs w:val="24"/>
          <w:highlight w:val="none"/>
          <w:vertAlign w:val="baseline"/>
          <w:lang w:val="en-US" w:eastAsia="zh-CN" w:bidi="zh-CN"/>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47F386DD">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序号</w:t>
            </w:r>
          </w:p>
        </w:tc>
        <w:tc>
          <w:tcPr>
            <w:tcW w:w="1656" w:type="dxa"/>
            <w:vAlign w:val="center"/>
          </w:tcPr>
          <w:p w14:paraId="35503AF6">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合同签订时间</w:t>
            </w:r>
          </w:p>
        </w:tc>
        <w:tc>
          <w:tcPr>
            <w:tcW w:w="1645" w:type="dxa"/>
            <w:vAlign w:val="center"/>
          </w:tcPr>
          <w:p w14:paraId="52FD3924">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服务主要内容</w:t>
            </w:r>
          </w:p>
        </w:tc>
        <w:tc>
          <w:tcPr>
            <w:tcW w:w="1219" w:type="dxa"/>
            <w:vAlign w:val="center"/>
          </w:tcPr>
          <w:p w14:paraId="6467EBA8">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采购单位</w:t>
            </w:r>
          </w:p>
        </w:tc>
        <w:tc>
          <w:tcPr>
            <w:tcW w:w="1824" w:type="dxa"/>
            <w:vAlign w:val="center"/>
          </w:tcPr>
          <w:p w14:paraId="475A4952">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联系人及电话</w:t>
            </w:r>
          </w:p>
        </w:tc>
        <w:tc>
          <w:tcPr>
            <w:tcW w:w="1117" w:type="dxa"/>
            <w:vAlign w:val="center"/>
          </w:tcPr>
          <w:p w14:paraId="5EBEE564">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5E7AF5C2">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413996C0">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6AE8F531">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060E46ED">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4CE2439B">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10DC3099">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6B0C80C5">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245FBA9B">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64686D4A">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60F0C3DE">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684A816A">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3FDFFF04">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72C20741">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0BB4B9A8">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434C6787">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6DE5B735">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6DA70D23">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42D5ED56">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bl>
    <w:p w14:paraId="05F6FF6F">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 xml:space="preserve">  </w:t>
      </w:r>
    </w:p>
    <w:p w14:paraId="4BD457A9">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1.供应商应如实列出以上情况，如有虚假，一经查实将导致其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响应无效</w:t>
      </w:r>
      <w:r>
        <w:rPr>
          <w:rFonts w:hint="eastAsia" w:ascii="仿宋_GB2312" w:hAnsi="仿宋_GB2312" w:eastAsia="仿宋_GB2312" w:cs="仿宋_GB2312"/>
          <w:kern w:val="2"/>
          <w:sz w:val="24"/>
          <w:szCs w:val="24"/>
          <w:highlight w:val="none"/>
          <w:lang w:val="en-US" w:eastAsia="zh-CN" w:bidi="ar-SA"/>
        </w:rPr>
        <w:t>并被拒绝。 2.供应商应按照</w:t>
      </w:r>
      <w:r>
        <w:rPr>
          <w:rFonts w:hint="eastAsia" w:ascii="仿宋_GB2312" w:hAnsi="仿宋_GB2312" w:cs="仿宋_GB2312"/>
          <w:kern w:val="2"/>
          <w:sz w:val="24"/>
          <w:szCs w:val="24"/>
          <w:highlight w:val="none"/>
          <w:lang w:val="en-US" w:eastAsia="zh-CN" w:bidi="ar-SA"/>
        </w:rPr>
        <w:t>采购文件</w:t>
      </w:r>
      <w:r>
        <w:rPr>
          <w:rFonts w:hint="eastAsia" w:ascii="仿宋_GB2312" w:hAnsi="仿宋_GB2312" w:eastAsia="仿宋_GB2312" w:cs="仿宋_GB2312"/>
          <w:kern w:val="2"/>
          <w:sz w:val="24"/>
          <w:szCs w:val="24"/>
          <w:highlight w:val="none"/>
          <w:lang w:val="en-US" w:eastAsia="zh-CN" w:bidi="ar-SA"/>
        </w:rPr>
        <w:t>第六章评标程序、评标方法和评标标准中的要求提供业绩证明材料。</w:t>
      </w:r>
    </w:p>
    <w:p w14:paraId="2FFA81F1">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zh-CN"/>
        </w:rPr>
      </w:pPr>
    </w:p>
    <w:p w14:paraId="0E90FC33">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widowControl w:val="0"/>
        <w:shd w:val="clear"/>
        <w:spacing w:after="120" w:line="360" w:lineRule="auto"/>
        <w:ind w:left="480" w:leftChars="200" w:firstLine="420" w:firstLineChars="200"/>
        <w:jc w:val="both"/>
        <w:rPr>
          <w:rFonts w:hint="eastAsia" w:ascii="Times New Roman" w:hAnsi="Times New Roman" w:eastAsiaTheme="minorEastAsia" w:cstheme="minorBidi"/>
          <w:kern w:val="0"/>
          <w:sz w:val="21"/>
          <w:szCs w:val="24"/>
          <w:highlight w:val="none"/>
          <w:lang w:val="en-US" w:eastAsia="zh-CN" w:bidi="ar-SA"/>
        </w:rPr>
      </w:pPr>
    </w:p>
    <w:p w14:paraId="4B7DBE15">
      <w:p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shd w:val="clea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kern w:val="2"/>
          <w:sz w:val="21"/>
          <w:szCs w:val="21"/>
          <w:highlight w:val="none"/>
          <w:lang w:val="en-US" w:eastAsia="zh-CN" w:bidi="ar-SA"/>
        </w:rPr>
        <w:t>11、</w:t>
      </w:r>
      <w:r>
        <w:rPr>
          <w:rFonts w:hint="eastAsia" w:ascii="仿宋_GB2312" w:hAnsi="仿宋_GB2312" w:eastAsia="仿宋_GB2312" w:cs="仿宋_GB2312"/>
          <w:sz w:val="21"/>
          <w:szCs w:val="21"/>
          <w:highlight w:val="none"/>
          <w:lang w:val="en-US" w:eastAsia="zh-CN"/>
        </w:rPr>
        <w:t>供应商所投的产品，符合节能产品、环境标志产品政策要求的，按以下格式提供说明</w:t>
      </w:r>
    </w:p>
    <w:p w14:paraId="47DF6476">
      <w:pPr>
        <w:numPr>
          <w:ilvl w:val="0"/>
          <w:numId w:val="0"/>
        </w:numPr>
        <w:shd w:val="clear"/>
        <w:rPr>
          <w:rFonts w:hint="eastAsia" w:ascii="仿宋_GB2312" w:hAnsi="仿宋_GB2312" w:eastAsia="仿宋_GB2312" w:cs="仿宋_GB2312"/>
          <w:sz w:val="24"/>
          <w:szCs w:val="24"/>
          <w:highlight w:val="none"/>
          <w:lang w:val="en-US" w:eastAsia="zh-CN"/>
        </w:rPr>
      </w:pPr>
    </w:p>
    <w:p w14:paraId="68A255F3">
      <w:pPr>
        <w:numPr>
          <w:ilvl w:val="0"/>
          <w:numId w:val="0"/>
        </w:num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highlight w:val="none"/>
              </w:rPr>
              <w:t>对应《节能产品政府采购品目清单》的品目序号</w:t>
            </w:r>
          </w:p>
        </w:tc>
        <w:tc>
          <w:tcPr>
            <w:tcW w:w="2472" w:type="dxa"/>
            <w:vAlign w:val="center"/>
          </w:tcPr>
          <w:p w14:paraId="25982DE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shd w:val="clear"/>
        <w:rPr>
          <w:rFonts w:hint="eastAsia" w:ascii="仿宋_GB2312" w:hAnsi="仿宋_GB2312" w:eastAsia="仿宋_GB2312" w:cs="仿宋_GB2312"/>
          <w:sz w:val="24"/>
          <w:szCs w:val="24"/>
          <w:highlight w:val="none"/>
          <w:lang w:val="en-US" w:eastAsia="zh-CN"/>
        </w:rPr>
      </w:pPr>
    </w:p>
    <w:p w14:paraId="736BCE8D">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3C1BAF5D">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供应商名称（盖章）：</w:t>
      </w:r>
    </w:p>
    <w:p w14:paraId="0D7D061B">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年</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月</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日</w:t>
      </w:r>
    </w:p>
    <w:p w14:paraId="0840F5F9">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7E07D425">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61D8E7C6">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highlight w:val="none"/>
              </w:rPr>
              <w:t>对应《节能产品政府采购品目清单》的品目序号</w:t>
            </w:r>
          </w:p>
        </w:tc>
        <w:tc>
          <w:tcPr>
            <w:tcW w:w="2472" w:type="dxa"/>
            <w:vAlign w:val="center"/>
          </w:tcPr>
          <w:p w14:paraId="7E567251">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shd w:val="clea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shd w:val="clea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shd w:val="clea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shd w:val="clear"/>
        <w:rPr>
          <w:rFonts w:hint="eastAsia" w:ascii="仿宋_GB2312" w:hAnsi="仿宋_GB2312" w:eastAsia="仿宋_GB2312" w:cs="仿宋_GB2312"/>
          <w:sz w:val="24"/>
          <w:szCs w:val="24"/>
          <w:highlight w:val="none"/>
          <w:lang w:val="en-US" w:eastAsia="zh-CN"/>
        </w:rPr>
      </w:pPr>
    </w:p>
    <w:p w14:paraId="6E3E1512">
      <w:pPr>
        <w:numPr>
          <w:ilvl w:val="0"/>
          <w:numId w:val="0"/>
        </w:numPr>
        <w:shd w:val="clear"/>
        <w:rPr>
          <w:rFonts w:hint="eastAsia" w:ascii="仿宋_GB2312" w:hAnsi="仿宋_GB2312" w:eastAsia="仿宋_GB2312" w:cs="仿宋_GB2312"/>
          <w:sz w:val="24"/>
          <w:szCs w:val="24"/>
          <w:highlight w:val="none"/>
          <w:lang w:val="en-US" w:eastAsia="zh-CN"/>
        </w:rPr>
      </w:pPr>
    </w:p>
    <w:p w14:paraId="40BDEADD">
      <w:pPr>
        <w:numPr>
          <w:ilvl w:val="0"/>
          <w:numId w:val="0"/>
        </w:num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供应商名称（盖章）：</w:t>
      </w:r>
    </w:p>
    <w:p w14:paraId="4B2EFE94">
      <w:pPr>
        <w:numPr>
          <w:ilvl w:val="0"/>
          <w:numId w:val="0"/>
        </w:num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年 </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月</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日</w:t>
      </w:r>
    </w:p>
    <w:p w14:paraId="47C8C061">
      <w:pPr>
        <w:numPr>
          <w:ilvl w:val="0"/>
          <w:numId w:val="0"/>
        </w:numPr>
        <w:shd w:val="clea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shd w:val="clear"/>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shd w:val="clear"/>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shd w:val="clear"/>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3E6814E8">
      <w:pPr>
        <w:shd w:val="clea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br w:type="page"/>
      </w:r>
    </w:p>
    <w:p w14:paraId="7E5308D4">
      <w:pPr>
        <w:numPr>
          <w:ilvl w:val="0"/>
          <w:numId w:val="0"/>
        </w:numPr>
        <w:shd w:val="clea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shd w:val="clear"/>
        <w:rPr>
          <w:rFonts w:hint="eastAsia" w:ascii="仿宋_GB2312" w:hAnsi="仿宋_GB2312" w:eastAsia="仿宋_GB2312" w:cs="仿宋_GB2312"/>
          <w:sz w:val="21"/>
          <w:szCs w:val="21"/>
          <w:highlight w:val="none"/>
          <w:lang w:val="en-US" w:eastAsia="zh-CN"/>
        </w:rPr>
      </w:pPr>
    </w:p>
    <w:p w14:paraId="4F7AAA3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Style w:val="35"/>
          <w:rFonts w:hint="eastAsia" w:ascii="仿宋" w:hAnsi="仿宋" w:eastAsia="仿宋" w:cs="仿宋"/>
          <w:i w:val="0"/>
          <w:iCs w:val="0"/>
          <w:caps w:val="0"/>
          <w:color w:val="000000"/>
          <w:spacing w:val="0"/>
          <w:kern w:val="2"/>
          <w:sz w:val="24"/>
          <w:szCs w:val="24"/>
          <w:highlight w:val="none"/>
          <w:shd w:val="clear" w:fill="FFFFFF"/>
          <w:vertAlign w:val="baseline"/>
          <w:lang w:bidi="ar-SA"/>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（厂名）</w:t>
      </w:r>
      <w:r>
        <w:rPr>
          <w:rStyle w:val="35"/>
          <w:rFonts w:hint="eastAsia" w:ascii="仿宋" w:hAnsi="仿宋" w:eastAsia="仿宋" w:cs="仿宋"/>
          <w:i w:val="0"/>
          <w:iCs w:val="0"/>
          <w:caps w:val="0"/>
          <w:color w:val="000000"/>
          <w:spacing w:val="0"/>
          <w:kern w:val="2"/>
          <w:sz w:val="24"/>
          <w:szCs w:val="24"/>
          <w:highlight w:val="none"/>
          <w:shd w:val="clear" w:fill="FFFFFF"/>
          <w:vertAlign w:val="baseline"/>
          <w:lang w:bidi="ar-SA"/>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（规定比例）</w:t>
      </w:r>
      <w:r>
        <w:rPr>
          <w:rStyle w:val="35"/>
          <w:rFonts w:hint="eastAsia" w:ascii="仿宋" w:hAnsi="仿宋" w:eastAsia="仿宋" w:cs="仿宋"/>
          <w:i w:val="0"/>
          <w:iCs w:val="0"/>
          <w:caps w:val="0"/>
          <w:color w:val="000000"/>
          <w:spacing w:val="0"/>
          <w:kern w:val="2"/>
          <w:sz w:val="24"/>
          <w:szCs w:val="24"/>
          <w:highlight w:val="none"/>
          <w:shd w:val="clear" w:fill="FFFFFF"/>
          <w:vertAlign w:val="baseline"/>
          <w:lang w:bidi="ar-SA"/>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（关键组件）</w:t>
      </w:r>
      <w:r>
        <w:rPr>
          <w:rStyle w:val="35"/>
          <w:rFonts w:hint="eastAsia" w:ascii="仿宋" w:hAnsi="仿宋" w:eastAsia="仿宋" w:cs="仿宋"/>
          <w:i w:val="0"/>
          <w:iCs w:val="0"/>
          <w:caps w:val="0"/>
          <w:color w:val="000000"/>
          <w:spacing w:val="0"/>
          <w:kern w:val="2"/>
          <w:sz w:val="24"/>
          <w:szCs w:val="24"/>
          <w:highlight w:val="none"/>
          <w:shd w:val="clear" w:fill="FFFFFF"/>
          <w:vertAlign w:val="baseline"/>
          <w:lang w:bidi="ar-SA"/>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（关键工序）</w:t>
      </w:r>
      <w:r>
        <w:rPr>
          <w:rStyle w:val="35"/>
          <w:rFonts w:hint="eastAsia" w:ascii="仿宋" w:hAnsi="仿宋" w:eastAsia="仿宋" w:cs="仿宋"/>
          <w:i w:val="0"/>
          <w:iCs w:val="0"/>
          <w:caps w:val="0"/>
          <w:color w:val="000000"/>
          <w:spacing w:val="0"/>
          <w:kern w:val="2"/>
          <w:sz w:val="24"/>
          <w:szCs w:val="24"/>
          <w:highlight w:val="none"/>
          <w:shd w:val="clear" w:fill="FFFFFF"/>
          <w:vertAlign w:val="baseline"/>
          <w:lang w:bidi="ar-SA"/>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35"/>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38"/>
        <w:shd w:val="clear"/>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shd w:val="clea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38"/>
        <w:shd w:val="clear"/>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widowControl w:val="0"/>
        <w:shd w:val="clear"/>
        <w:spacing w:line="360" w:lineRule="auto"/>
        <w:ind w:left="0" w:leftChars="0" w:firstLine="0" w:firstLineChars="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13、</w:t>
      </w:r>
      <w:r>
        <w:rPr>
          <w:rFonts w:hint="eastAsia" w:ascii="仿宋_GB2312" w:hAnsi="仿宋_GB2312" w:cs="仿宋_GB2312"/>
          <w:kern w:val="2"/>
          <w:sz w:val="24"/>
          <w:szCs w:val="24"/>
          <w:highlight w:val="none"/>
          <w:lang w:val="en-US" w:eastAsia="zh-CN" w:bidi="zh-CN"/>
        </w:rPr>
        <w:t>采购文件</w:t>
      </w:r>
      <w:r>
        <w:rPr>
          <w:rFonts w:hint="eastAsia" w:ascii="仿宋_GB2312" w:hAnsi="仿宋_GB2312" w:eastAsia="仿宋_GB2312" w:cs="仿宋_GB2312"/>
          <w:kern w:val="2"/>
          <w:sz w:val="24"/>
          <w:szCs w:val="24"/>
          <w:highlight w:val="none"/>
          <w:lang w:val="en-US" w:eastAsia="zh-CN" w:bidi="zh-CN"/>
        </w:rPr>
        <w:t>要求提供或供应商认为应附的其他材料</w:t>
      </w:r>
    </w:p>
    <w:p w14:paraId="74EC9DAD">
      <w:pPr>
        <w:pStyle w:val="25"/>
        <w:shd w:val="clear"/>
        <w:rPr>
          <w:rFonts w:hint="eastAsia" w:ascii="仿宋_GB2312" w:hAnsi="仿宋_GB2312" w:eastAsia="仿宋_GB2312" w:cs="仿宋_GB2312"/>
          <w:highlight w:val="none"/>
          <w:lang w:val="en-US" w:eastAsia="zh-CN"/>
        </w:rPr>
      </w:pPr>
    </w:p>
    <w:p w14:paraId="4902779E">
      <w:pPr>
        <w:shd w:val="clear"/>
        <w:rPr>
          <w:rFonts w:hint="eastAsia" w:ascii="仿宋_GB2312" w:hAnsi="仿宋_GB2312" w:eastAsia="仿宋_GB2312" w:cs="仿宋_GB2312"/>
          <w:sz w:val="21"/>
          <w:highlight w:val="none"/>
          <w:lang w:val="en-US" w:eastAsia="zh-CN"/>
        </w:rPr>
      </w:pPr>
      <w:r>
        <w:rPr>
          <w:rFonts w:hint="eastAsia" w:ascii="仿宋_GB2312" w:hAnsi="仿宋_GB2312" w:eastAsia="仿宋_GB2312" w:cs="仿宋_GB2312"/>
          <w:sz w:val="21"/>
          <w:highlight w:val="none"/>
          <w:lang w:val="en-US" w:eastAsia="zh-CN"/>
        </w:rPr>
        <w:br w:type="page"/>
      </w:r>
    </w:p>
    <w:p w14:paraId="160BFBFE">
      <w:pPr>
        <w:keepNext/>
        <w:keepLines/>
        <w:widowControl w:val="0"/>
        <w:shd w:val="clear"/>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64" w:name="_Ref467988543"/>
      <w:bookmarkStart w:id="65" w:name="_Toc216582819"/>
      <w:bookmarkStart w:id="66" w:name="_Toc520356224"/>
      <w:bookmarkStart w:id="67" w:name="_Toc480942355"/>
      <w:bookmarkStart w:id="68" w:name="_Toc17143"/>
      <w:bookmarkStart w:id="69" w:name="_Toc9592"/>
      <w:bookmarkStart w:id="70" w:name="_Toc20238"/>
      <w:bookmarkStart w:id="71" w:name="_Toc21320"/>
      <w:bookmarkStart w:id="72" w:name="_Toc4183"/>
      <w:bookmarkStart w:id="73" w:name="_Toc15963"/>
      <w:bookmarkStart w:id="74" w:name="_Toc507399535"/>
      <w:bookmarkStart w:id="75" w:name="_Toc522"/>
      <w:bookmarkStart w:id="76" w:name="_Toc3420"/>
      <w:bookmarkStart w:id="77" w:name="_Toc8281"/>
      <w:r>
        <w:rPr>
          <w:rFonts w:hint="eastAsia" w:ascii="仿宋_GB2312" w:hAnsi="仿宋_GB2312" w:eastAsia="仿宋_GB2312" w:cs="仿宋_GB2312"/>
          <w:b/>
          <w:bCs/>
          <w:kern w:val="2"/>
          <w:sz w:val="24"/>
          <w:szCs w:val="32"/>
          <w:highlight w:val="none"/>
          <w:lang w:val="en-US" w:eastAsia="zh-CN" w:bidi="ar-SA"/>
        </w:rPr>
        <w:t xml:space="preserve">14   </w:t>
      </w:r>
      <w:bookmarkEnd w:id="64"/>
      <w:bookmarkEnd w:id="65"/>
      <w:bookmarkEnd w:id="66"/>
      <w:bookmarkEnd w:id="67"/>
      <w:bookmarkStart w:id="78" w:name="_Hlt520274911"/>
      <w:bookmarkEnd w:id="78"/>
      <w:bookmarkStart w:id="79" w:name="_Hlt520343000"/>
      <w:bookmarkEnd w:id="79"/>
      <w:bookmarkStart w:id="80" w:name="_Hlt520343392"/>
      <w:bookmarkEnd w:id="80"/>
      <w:bookmarkStart w:id="81" w:name="_Hlt520274407"/>
      <w:bookmarkEnd w:id="81"/>
      <w:bookmarkStart w:id="82" w:name="_Hlt520350918"/>
      <w:bookmarkEnd w:id="82"/>
      <w:bookmarkStart w:id="83" w:name="_Hlt520350957"/>
      <w:bookmarkEnd w:id="83"/>
      <w:bookmarkStart w:id="84" w:name="_Hlt520274065"/>
      <w:bookmarkEnd w:id="84"/>
      <w:bookmarkStart w:id="85" w:name="_Hlt520271212"/>
      <w:bookmarkEnd w:id="85"/>
      <w:bookmarkStart w:id="86" w:name="_Hlt520273711"/>
      <w:bookmarkEnd w:id="86"/>
      <w:bookmarkStart w:id="87" w:name="_Hlt520273973"/>
      <w:bookmarkEnd w:id="87"/>
      <w:bookmarkStart w:id="88" w:name="_Hlt520274393"/>
      <w:bookmarkEnd w:id="88"/>
      <w:bookmarkStart w:id="89" w:name="_Toc216513801"/>
      <w:bookmarkStart w:id="90" w:name="_Toc216582821"/>
      <w:r>
        <w:rPr>
          <w:rFonts w:hint="eastAsia" w:ascii="仿宋_GB2312" w:hAnsi="仿宋_GB2312" w:eastAsia="仿宋_GB2312" w:cs="仿宋_GB2312"/>
          <w:b/>
          <w:bCs/>
          <w:kern w:val="2"/>
          <w:sz w:val="24"/>
          <w:szCs w:val="32"/>
          <w:highlight w:val="none"/>
          <w:lang w:val="en-US" w:eastAsia="zh-CN" w:bidi="ar-SA"/>
        </w:rPr>
        <w:t>中标服务费承诺书</w:t>
      </w:r>
      <w:bookmarkEnd w:id="68"/>
      <w:bookmarkEnd w:id="69"/>
      <w:bookmarkEnd w:id="70"/>
      <w:bookmarkEnd w:id="71"/>
      <w:bookmarkEnd w:id="72"/>
      <w:bookmarkEnd w:id="73"/>
      <w:bookmarkEnd w:id="74"/>
      <w:bookmarkEnd w:id="75"/>
    </w:p>
    <w:p w14:paraId="4E67CB56">
      <w:pPr>
        <w:shd w:val="clear"/>
        <w:spacing w:line="240" w:lineRule="atLeast"/>
        <w:ind w:left="1157" w:leftChars="257" w:hanging="540"/>
        <w:rPr>
          <w:rFonts w:hint="eastAsia" w:ascii="仿宋_GB2312" w:hAnsi="仿宋_GB2312" w:eastAsia="仿宋_GB2312" w:cs="仿宋_GB2312"/>
          <w:b/>
          <w:sz w:val="24"/>
          <w:highlight w:val="none"/>
        </w:rPr>
      </w:pPr>
    </w:p>
    <w:p w14:paraId="51D19976">
      <w:pPr>
        <w:shd w:val="clear"/>
        <w:spacing w:line="240" w:lineRule="atLeast"/>
        <w:ind w:left="1157"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hd w:val="clear"/>
        <w:spacing w:line="440" w:lineRule="exact"/>
        <w:ind w:left="1080" w:hanging="1080"/>
        <w:rPr>
          <w:rFonts w:hint="eastAsia" w:ascii="仿宋_GB2312" w:hAnsi="仿宋_GB2312" w:eastAsia="仿宋_GB2312" w:cs="仿宋_GB2312"/>
          <w:sz w:val="24"/>
          <w:highlight w:val="none"/>
        </w:rPr>
      </w:pPr>
    </w:p>
    <w:p w14:paraId="7B0F7B95">
      <w:pPr>
        <w:shd w:val="clea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hd w:val="clear"/>
        <w:spacing w:line="440" w:lineRule="exact"/>
        <w:ind w:left="1157" w:leftChars="257" w:hanging="540"/>
        <w:rPr>
          <w:rFonts w:hint="eastAsia" w:ascii="仿宋_GB2312" w:hAnsi="仿宋_GB2312" w:eastAsia="仿宋_GB2312" w:cs="仿宋_GB2312"/>
          <w:sz w:val="24"/>
          <w:highlight w:val="none"/>
        </w:rPr>
      </w:pPr>
    </w:p>
    <w:p w14:paraId="03435E33">
      <w:pPr>
        <w:shd w:val="clea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hd w:val="clea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hd w:val="clear"/>
        <w:spacing w:line="440" w:lineRule="exact"/>
        <w:ind w:left="1157"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hd w:val="clear"/>
        <w:spacing w:line="440" w:lineRule="exact"/>
        <w:ind w:left="1157" w:leftChars="257" w:hanging="540"/>
        <w:rPr>
          <w:rFonts w:hint="eastAsia" w:ascii="仿宋_GB2312" w:hAnsi="仿宋_GB2312" w:eastAsia="仿宋_GB2312" w:cs="仿宋_GB2312"/>
          <w:sz w:val="24"/>
          <w:highlight w:val="none"/>
        </w:rPr>
      </w:pPr>
    </w:p>
    <w:p w14:paraId="58630916">
      <w:pPr>
        <w:shd w:val="clear"/>
        <w:spacing w:line="440" w:lineRule="exact"/>
        <w:ind w:left="1157" w:leftChars="257" w:hanging="540"/>
        <w:rPr>
          <w:rFonts w:hint="eastAsia" w:ascii="仿宋_GB2312" w:hAnsi="仿宋_GB2312" w:eastAsia="仿宋_GB2312" w:cs="仿宋_GB2312"/>
          <w:sz w:val="24"/>
          <w:highlight w:val="none"/>
        </w:rPr>
      </w:pPr>
    </w:p>
    <w:p w14:paraId="436BA01B">
      <w:pPr>
        <w:shd w:val="clear"/>
        <w:spacing w:line="440" w:lineRule="exact"/>
        <w:ind w:left="1157" w:leftChars="257" w:hanging="540"/>
        <w:rPr>
          <w:rFonts w:hint="eastAsia" w:ascii="仿宋_GB2312" w:hAnsi="仿宋_GB2312" w:eastAsia="仿宋_GB2312" w:cs="仿宋_GB2312"/>
          <w:sz w:val="24"/>
          <w:highlight w:val="none"/>
        </w:rPr>
      </w:pPr>
    </w:p>
    <w:p w14:paraId="574B7AFD">
      <w:pPr>
        <w:shd w:val="clear"/>
        <w:spacing w:line="440" w:lineRule="exact"/>
        <w:ind w:left="1157" w:leftChars="257" w:hanging="540"/>
        <w:rPr>
          <w:rFonts w:hint="eastAsia" w:ascii="仿宋_GB2312" w:hAnsi="仿宋_GB2312" w:eastAsia="仿宋_GB2312" w:cs="仿宋_GB2312"/>
          <w:sz w:val="24"/>
          <w:highlight w:val="none"/>
        </w:rPr>
      </w:pPr>
    </w:p>
    <w:p w14:paraId="0921CCAD">
      <w:pPr>
        <w:shd w:val="clear"/>
        <w:spacing w:line="440" w:lineRule="exact"/>
        <w:ind w:left="1080" w:hanging="1080"/>
        <w:rPr>
          <w:rFonts w:hint="eastAsia" w:ascii="仿宋_GB2312" w:hAnsi="仿宋_GB2312" w:eastAsia="仿宋_GB2312" w:cs="仿宋_GB2312"/>
          <w:sz w:val="24"/>
          <w:highlight w:val="none"/>
        </w:rPr>
      </w:pPr>
    </w:p>
    <w:p w14:paraId="3852A371">
      <w:pPr>
        <w:shd w:val="clear"/>
        <w:spacing w:line="440" w:lineRule="exact"/>
        <w:ind w:left="1495"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hd w:val="clea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hd w:val="clea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hd w:val="clea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hd w:val="clea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hd w:val="clear"/>
        <w:spacing w:line="440" w:lineRule="exact"/>
        <w:ind w:left="1697"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89"/>
      <w:bookmarkEnd w:id="90"/>
    </w:p>
    <w:bookmarkEnd w:id="76"/>
    <w:bookmarkEnd w:id="77"/>
    <w:p w14:paraId="0F5F0768">
      <w:pPr>
        <w:shd w:val="clear"/>
        <w:rPr>
          <w:rFonts w:hint="eastAsia" w:ascii="仿宋_GB2312" w:hAnsi="仿宋_GB2312" w:eastAsia="仿宋_GB2312" w:cs="仿宋_GB2312"/>
          <w:b w:val="0"/>
          <w:bCs w:val="0"/>
          <w:color w:val="000000"/>
          <w:kern w:val="0"/>
          <w:sz w:val="24"/>
          <w:szCs w:val="24"/>
          <w:highlight w:val="none"/>
          <w:lang w:val="en-US" w:eastAsia="zh-CN" w:bidi="ar"/>
        </w:rPr>
      </w:pPr>
    </w:p>
    <w:p w14:paraId="678096D5">
      <w:pPr>
        <w:pStyle w:val="25"/>
        <w:shd w:val="clear"/>
        <w:ind w:left="0" w:leftChars="0" w:firstLine="0" w:firstLineChars="0"/>
        <w:rPr>
          <w:rFonts w:hint="eastAsia" w:ascii="仿宋_GB2312" w:hAnsi="仿宋_GB2312" w:eastAsia="仿宋_GB2312" w:cs="仿宋_GB2312"/>
          <w:highlight w:val="none"/>
          <w:lang w:val="en-US" w:eastAsia="zh-CN"/>
        </w:rPr>
      </w:pPr>
    </w:p>
    <w:p w14:paraId="08ACA8B5">
      <w:pPr>
        <w:shd w:val="clear"/>
        <w:rPr>
          <w:rFonts w:hint="eastAsia"/>
          <w:highlight w:val="none"/>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1" w:fontKey="{71FD7E12-1D08-441F-9E00-A3B2F45067C1}"/>
  </w:font>
  <w:font w:name="仿宋">
    <w:panose1 w:val="02010609060101010101"/>
    <w:charset w:val="86"/>
    <w:family w:val="auto"/>
    <w:pitch w:val="default"/>
    <w:sig w:usb0="800002BF" w:usb1="38CF7CFA" w:usb2="00000016" w:usb3="00000000" w:csb0="00040001" w:csb1="00000000"/>
    <w:embedRegular r:id="rId2" w:fontKey="{5F8D8354-B4C3-42E5-804F-F5C7F878400D}"/>
  </w:font>
  <w:font w:name="微软雅黑">
    <w:panose1 w:val="020B0503020204020204"/>
    <w:charset w:val="86"/>
    <w:family w:val="auto"/>
    <w:pitch w:val="default"/>
    <w:sig w:usb0="80000287" w:usb1="2ACF3C50" w:usb2="00000016" w:usb3="00000000" w:csb0="0004001F" w:csb1="00000000"/>
    <w:embedRegular r:id="rId3" w:fontKey="{B9AC2D6C-604E-4F77-A584-A9FB3AABA608}"/>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8BD20852-1281-4324-8A7D-772A409AFFBE}"/>
  </w:font>
  <w:font w:name="方正仿宋_GB2312">
    <w:panose1 w:val="02000000000000000000"/>
    <w:charset w:val="86"/>
    <w:family w:val="auto"/>
    <w:pitch w:val="default"/>
    <w:sig w:usb0="A00002BF" w:usb1="184F6CFA" w:usb2="00000012" w:usb3="00000000" w:csb0="00040001" w:csb1="00000000"/>
    <w:embedRegular r:id="rId5" w:fontKey="{8E24707E-A8BD-4FAA-B09E-D1E8DC44A8B4}"/>
  </w:font>
  <w:font w:name="Microsoft JhengHei UI">
    <w:panose1 w:val="020B0604030504040204"/>
    <w:charset w:val="88"/>
    <w:family w:val="auto"/>
    <w:pitch w:val="default"/>
    <w:sig w:usb0="000002A7" w:usb1="28CF4400" w:usb2="00000016" w:usb3="00000000" w:csb0="00100009" w:csb1="00000000"/>
    <w:embedRegular r:id="rId6" w:fontKey="{049569A5-43E8-4761-973C-16E16ED0B5DB}"/>
  </w:font>
  <w:font w:name="方正小标宋简体">
    <w:panose1 w:val="02000000000000000000"/>
    <w:charset w:val="86"/>
    <w:family w:val="auto"/>
    <w:pitch w:val="default"/>
    <w:sig w:usb0="00000001" w:usb1="08000000" w:usb2="00000000" w:usb3="00000000" w:csb0="00040000" w:csb1="00000000"/>
    <w:embedRegular r:id="rId7" w:fontKey="{7BA3960C-2BD9-4892-A6F6-705CFC569D3B}"/>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23AE">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9B8CC">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9B8CC">
                    <w:pPr>
                      <w:pStyle w:val="2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D2404">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C0EB">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3BEE4">
                          <w:pPr>
                            <w:pStyle w:val="22"/>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3BEE4">
                    <w:pPr>
                      <w:pStyle w:val="22"/>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9636">
    <w:pPr>
      <w:pStyle w:val="23"/>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52271041">
    <w:pPr>
      <w:pStyle w:val="23"/>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99ED0745"/>
    <w:multiLevelType w:val="singleLevel"/>
    <w:tmpl w:val="99ED0745"/>
    <w:lvl w:ilvl="0" w:tentative="0">
      <w:start w:val="6"/>
      <w:numFmt w:val="chineseCounting"/>
      <w:suff w:val="nothing"/>
      <w:lvlText w:val="（%1）"/>
      <w:lvlJc w:val="left"/>
      <w:rPr>
        <w:rFonts w:hint="eastAsia"/>
      </w:rPr>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E659DE8"/>
    <w:multiLevelType w:val="singleLevel"/>
    <w:tmpl w:val="3E659DE8"/>
    <w:lvl w:ilvl="0" w:tentative="0">
      <w:start w:val="1"/>
      <w:numFmt w:val="decimal"/>
      <w:lvlText w:val="(%1)"/>
      <w:lvlJc w:val="left"/>
      <w:pPr>
        <w:tabs>
          <w:tab w:val="left" w:pos="312"/>
        </w:tabs>
      </w:pPr>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6CA4CBC7"/>
    <w:multiLevelType w:val="singleLevel"/>
    <w:tmpl w:val="6CA4CBC7"/>
    <w:lvl w:ilvl="0" w:tentative="0">
      <w:start w:val="1"/>
      <w:numFmt w:val="decimal"/>
      <w:suff w:val="nothing"/>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3"/>
  </w:num>
  <w:num w:numId="5">
    <w:abstractNumId w:val="14"/>
  </w:num>
  <w:num w:numId="6">
    <w:abstractNumId w:val="11"/>
  </w:num>
  <w:num w:numId="7">
    <w:abstractNumId w:val="6"/>
  </w:num>
  <w:num w:numId="8">
    <w:abstractNumId w:val="3"/>
  </w:num>
  <w:num w:numId="9">
    <w:abstractNumId w:val="9"/>
  </w:num>
  <w:num w:numId="10">
    <w:abstractNumId w:val="4"/>
  </w:num>
  <w:num w:numId="11">
    <w:abstractNumId w:val="1"/>
  </w:num>
  <w:num w:numId="12">
    <w:abstractNumId w:val="5"/>
  </w:num>
  <w:num w:numId="13">
    <w:abstractNumId w:val="7"/>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0C823C4"/>
    <w:rsid w:val="01956663"/>
    <w:rsid w:val="01BB3C2F"/>
    <w:rsid w:val="01C800A7"/>
    <w:rsid w:val="02353A89"/>
    <w:rsid w:val="030A23FA"/>
    <w:rsid w:val="034F484F"/>
    <w:rsid w:val="03711A83"/>
    <w:rsid w:val="04071455"/>
    <w:rsid w:val="040A30FF"/>
    <w:rsid w:val="04100C9A"/>
    <w:rsid w:val="041932E9"/>
    <w:rsid w:val="04C93671"/>
    <w:rsid w:val="05CC7873"/>
    <w:rsid w:val="061B1E9A"/>
    <w:rsid w:val="0634204E"/>
    <w:rsid w:val="06BC4F18"/>
    <w:rsid w:val="06C4362D"/>
    <w:rsid w:val="06E25B2B"/>
    <w:rsid w:val="07011CC2"/>
    <w:rsid w:val="071751E8"/>
    <w:rsid w:val="07644792"/>
    <w:rsid w:val="07BE71A8"/>
    <w:rsid w:val="0822060B"/>
    <w:rsid w:val="08E17110"/>
    <w:rsid w:val="090F06A4"/>
    <w:rsid w:val="09284798"/>
    <w:rsid w:val="09353BD7"/>
    <w:rsid w:val="099153F6"/>
    <w:rsid w:val="09BC4A90"/>
    <w:rsid w:val="0B9571A8"/>
    <w:rsid w:val="0BD2782B"/>
    <w:rsid w:val="0C4103B6"/>
    <w:rsid w:val="0C5D0751"/>
    <w:rsid w:val="0C6E02C3"/>
    <w:rsid w:val="0D6A1561"/>
    <w:rsid w:val="0D8A6C86"/>
    <w:rsid w:val="0D9037A8"/>
    <w:rsid w:val="0D9F625A"/>
    <w:rsid w:val="0DD71E42"/>
    <w:rsid w:val="0E0407B3"/>
    <w:rsid w:val="0F2B6FD9"/>
    <w:rsid w:val="0F6459AD"/>
    <w:rsid w:val="0FD20B69"/>
    <w:rsid w:val="10240C99"/>
    <w:rsid w:val="11286567"/>
    <w:rsid w:val="125D0492"/>
    <w:rsid w:val="1294398E"/>
    <w:rsid w:val="1324792E"/>
    <w:rsid w:val="1393060F"/>
    <w:rsid w:val="14EB7563"/>
    <w:rsid w:val="15113EE2"/>
    <w:rsid w:val="1585667E"/>
    <w:rsid w:val="16175528"/>
    <w:rsid w:val="16C62AAA"/>
    <w:rsid w:val="170B3BD8"/>
    <w:rsid w:val="17363E85"/>
    <w:rsid w:val="181A30AD"/>
    <w:rsid w:val="183C240D"/>
    <w:rsid w:val="18EE62E8"/>
    <w:rsid w:val="19202D8B"/>
    <w:rsid w:val="194E5372"/>
    <w:rsid w:val="19822160"/>
    <w:rsid w:val="1A7D3DC7"/>
    <w:rsid w:val="1A824F3A"/>
    <w:rsid w:val="1A8607B2"/>
    <w:rsid w:val="1AA24D9F"/>
    <w:rsid w:val="1AA9696A"/>
    <w:rsid w:val="1AF220BF"/>
    <w:rsid w:val="1B1B552D"/>
    <w:rsid w:val="1B723BA2"/>
    <w:rsid w:val="1B8A0B76"/>
    <w:rsid w:val="1B8D0258"/>
    <w:rsid w:val="1C094640"/>
    <w:rsid w:val="1C274BC0"/>
    <w:rsid w:val="1C6923AC"/>
    <w:rsid w:val="1DCA359A"/>
    <w:rsid w:val="1DCB5CE7"/>
    <w:rsid w:val="1F267997"/>
    <w:rsid w:val="1FB05EDF"/>
    <w:rsid w:val="20074B9B"/>
    <w:rsid w:val="21991C9F"/>
    <w:rsid w:val="22491B20"/>
    <w:rsid w:val="22FD7853"/>
    <w:rsid w:val="23CF5A1D"/>
    <w:rsid w:val="244200FD"/>
    <w:rsid w:val="24753C1B"/>
    <w:rsid w:val="28DA2E89"/>
    <w:rsid w:val="29225E53"/>
    <w:rsid w:val="29722552"/>
    <w:rsid w:val="2A4254F9"/>
    <w:rsid w:val="2A6C2D91"/>
    <w:rsid w:val="2B065713"/>
    <w:rsid w:val="2C0C0B07"/>
    <w:rsid w:val="2D1F32F4"/>
    <w:rsid w:val="2E53199A"/>
    <w:rsid w:val="2E872958"/>
    <w:rsid w:val="2FBB1B81"/>
    <w:rsid w:val="30A37245"/>
    <w:rsid w:val="323B4D81"/>
    <w:rsid w:val="32742892"/>
    <w:rsid w:val="32974F27"/>
    <w:rsid w:val="32DA370D"/>
    <w:rsid w:val="32E4458C"/>
    <w:rsid w:val="34B70380"/>
    <w:rsid w:val="34DA6293"/>
    <w:rsid w:val="357D06FA"/>
    <w:rsid w:val="35C33AEE"/>
    <w:rsid w:val="35E13004"/>
    <w:rsid w:val="36491084"/>
    <w:rsid w:val="365C69BF"/>
    <w:rsid w:val="366754AB"/>
    <w:rsid w:val="366D4898"/>
    <w:rsid w:val="36C31C10"/>
    <w:rsid w:val="3783605E"/>
    <w:rsid w:val="37AC0AB0"/>
    <w:rsid w:val="392A6C14"/>
    <w:rsid w:val="39517AEF"/>
    <w:rsid w:val="39F75D2A"/>
    <w:rsid w:val="3A53331A"/>
    <w:rsid w:val="3AE174A3"/>
    <w:rsid w:val="3B133C60"/>
    <w:rsid w:val="3B810614"/>
    <w:rsid w:val="3C6109FB"/>
    <w:rsid w:val="3C807303"/>
    <w:rsid w:val="3CA61E79"/>
    <w:rsid w:val="3CF94F41"/>
    <w:rsid w:val="3D1B32A0"/>
    <w:rsid w:val="3F172BE7"/>
    <w:rsid w:val="3F3314F0"/>
    <w:rsid w:val="3F6455D5"/>
    <w:rsid w:val="40434668"/>
    <w:rsid w:val="406C6E42"/>
    <w:rsid w:val="40BE2AD0"/>
    <w:rsid w:val="421F113C"/>
    <w:rsid w:val="42AC04F6"/>
    <w:rsid w:val="42B71375"/>
    <w:rsid w:val="43110750"/>
    <w:rsid w:val="43446334"/>
    <w:rsid w:val="448C5F4F"/>
    <w:rsid w:val="448D3378"/>
    <w:rsid w:val="44A84E71"/>
    <w:rsid w:val="47186264"/>
    <w:rsid w:val="477172B3"/>
    <w:rsid w:val="47721D0E"/>
    <w:rsid w:val="477DCE1E"/>
    <w:rsid w:val="47A2531C"/>
    <w:rsid w:val="48575D8F"/>
    <w:rsid w:val="48D6451F"/>
    <w:rsid w:val="4A1D0E89"/>
    <w:rsid w:val="4B4F7634"/>
    <w:rsid w:val="4C1D097D"/>
    <w:rsid w:val="4C2061DD"/>
    <w:rsid w:val="4C5333E5"/>
    <w:rsid w:val="4C577725"/>
    <w:rsid w:val="4E9C3B15"/>
    <w:rsid w:val="4EB33D51"/>
    <w:rsid w:val="4EC72940"/>
    <w:rsid w:val="4ED626E7"/>
    <w:rsid w:val="4F1418FD"/>
    <w:rsid w:val="4F7936D8"/>
    <w:rsid w:val="4FEE65F2"/>
    <w:rsid w:val="505952D7"/>
    <w:rsid w:val="50867997"/>
    <w:rsid w:val="50A5310D"/>
    <w:rsid w:val="50D737EC"/>
    <w:rsid w:val="50EC1DD2"/>
    <w:rsid w:val="51070996"/>
    <w:rsid w:val="510850A0"/>
    <w:rsid w:val="51416E8D"/>
    <w:rsid w:val="51A52CE0"/>
    <w:rsid w:val="5253098E"/>
    <w:rsid w:val="525C3CE7"/>
    <w:rsid w:val="535C4392"/>
    <w:rsid w:val="536A4041"/>
    <w:rsid w:val="54581294"/>
    <w:rsid w:val="54BB1B13"/>
    <w:rsid w:val="54F87CB3"/>
    <w:rsid w:val="56557314"/>
    <w:rsid w:val="56C230C9"/>
    <w:rsid w:val="56E60023"/>
    <w:rsid w:val="57037009"/>
    <w:rsid w:val="570D1A54"/>
    <w:rsid w:val="573E1E21"/>
    <w:rsid w:val="57AA1E3C"/>
    <w:rsid w:val="58C61EBA"/>
    <w:rsid w:val="592A2449"/>
    <w:rsid w:val="59307BF2"/>
    <w:rsid w:val="593D0B75"/>
    <w:rsid w:val="596A0CE7"/>
    <w:rsid w:val="5A571512"/>
    <w:rsid w:val="5B44356A"/>
    <w:rsid w:val="5B487E91"/>
    <w:rsid w:val="5C553C81"/>
    <w:rsid w:val="5CF9550F"/>
    <w:rsid w:val="5D6B74D4"/>
    <w:rsid w:val="5E2A7236"/>
    <w:rsid w:val="5E4C10B3"/>
    <w:rsid w:val="5E781EA8"/>
    <w:rsid w:val="5E955F07"/>
    <w:rsid w:val="5EA84152"/>
    <w:rsid w:val="5EFEBDE8"/>
    <w:rsid w:val="5F0C6A39"/>
    <w:rsid w:val="5F4B3119"/>
    <w:rsid w:val="5FC27E85"/>
    <w:rsid w:val="60243B12"/>
    <w:rsid w:val="60755DA6"/>
    <w:rsid w:val="6085265B"/>
    <w:rsid w:val="60FD0443"/>
    <w:rsid w:val="6155202D"/>
    <w:rsid w:val="617C76A0"/>
    <w:rsid w:val="619B0311"/>
    <w:rsid w:val="625B691D"/>
    <w:rsid w:val="625E0258"/>
    <w:rsid w:val="626D784A"/>
    <w:rsid w:val="642B176B"/>
    <w:rsid w:val="64B90F17"/>
    <w:rsid w:val="64FD3107"/>
    <w:rsid w:val="65CB45EA"/>
    <w:rsid w:val="661D7AD8"/>
    <w:rsid w:val="663B0CC9"/>
    <w:rsid w:val="663D5D3E"/>
    <w:rsid w:val="673853DA"/>
    <w:rsid w:val="67662E07"/>
    <w:rsid w:val="67E61C31"/>
    <w:rsid w:val="68CA2609"/>
    <w:rsid w:val="68CC1AED"/>
    <w:rsid w:val="69190A3A"/>
    <w:rsid w:val="692A0243"/>
    <w:rsid w:val="694C3BBA"/>
    <w:rsid w:val="69BB0F42"/>
    <w:rsid w:val="6A637494"/>
    <w:rsid w:val="6AD23432"/>
    <w:rsid w:val="6B1308BC"/>
    <w:rsid w:val="6B9F68EC"/>
    <w:rsid w:val="6BB81877"/>
    <w:rsid w:val="6BCF62E6"/>
    <w:rsid w:val="6C0D6CD2"/>
    <w:rsid w:val="6C8639E2"/>
    <w:rsid w:val="6CD3A16D"/>
    <w:rsid w:val="6D535020"/>
    <w:rsid w:val="6D594C53"/>
    <w:rsid w:val="6E265660"/>
    <w:rsid w:val="6E5F49A6"/>
    <w:rsid w:val="6E975CD5"/>
    <w:rsid w:val="6F23376B"/>
    <w:rsid w:val="6FBE656C"/>
    <w:rsid w:val="6FE0165C"/>
    <w:rsid w:val="6FF637CB"/>
    <w:rsid w:val="6FFF37D2"/>
    <w:rsid w:val="7005484D"/>
    <w:rsid w:val="70127B77"/>
    <w:rsid w:val="70DA1D6D"/>
    <w:rsid w:val="70DE2EF1"/>
    <w:rsid w:val="71520337"/>
    <w:rsid w:val="71AA1F21"/>
    <w:rsid w:val="71F44E84"/>
    <w:rsid w:val="7221658E"/>
    <w:rsid w:val="72A02971"/>
    <w:rsid w:val="72DC0379"/>
    <w:rsid w:val="73BF43B6"/>
    <w:rsid w:val="73D3652A"/>
    <w:rsid w:val="74186674"/>
    <w:rsid w:val="75203B28"/>
    <w:rsid w:val="7523330F"/>
    <w:rsid w:val="75B51BA2"/>
    <w:rsid w:val="760413D7"/>
    <w:rsid w:val="76047BAD"/>
    <w:rsid w:val="76057F95"/>
    <w:rsid w:val="76181E56"/>
    <w:rsid w:val="76437269"/>
    <w:rsid w:val="7664278D"/>
    <w:rsid w:val="767B4F55"/>
    <w:rsid w:val="7681190A"/>
    <w:rsid w:val="769413F2"/>
    <w:rsid w:val="76AA29C3"/>
    <w:rsid w:val="76C65E8E"/>
    <w:rsid w:val="780D6D66"/>
    <w:rsid w:val="782064CA"/>
    <w:rsid w:val="78CA1276"/>
    <w:rsid w:val="79D815F5"/>
    <w:rsid w:val="7A5F4F53"/>
    <w:rsid w:val="7A6D3E2A"/>
    <w:rsid w:val="7B436597"/>
    <w:rsid w:val="7B600D27"/>
    <w:rsid w:val="7BA0082D"/>
    <w:rsid w:val="7BB75966"/>
    <w:rsid w:val="7C0B2906"/>
    <w:rsid w:val="7C5F4108"/>
    <w:rsid w:val="7CCF6CE0"/>
    <w:rsid w:val="7D156A85"/>
    <w:rsid w:val="7D332F7E"/>
    <w:rsid w:val="7D6C5E78"/>
    <w:rsid w:val="7DE42847"/>
    <w:rsid w:val="7DF86D11"/>
    <w:rsid w:val="7E213C73"/>
    <w:rsid w:val="7E687DD8"/>
    <w:rsid w:val="7EF764F1"/>
    <w:rsid w:val="7F79C282"/>
    <w:rsid w:val="7F7B6CAE"/>
    <w:rsid w:val="7FB126CD"/>
    <w:rsid w:val="7FBF6DD0"/>
    <w:rsid w:val="7FCD17FE"/>
    <w:rsid w:val="7FD7E9A0"/>
    <w:rsid w:val="7FE9FBB2"/>
    <w:rsid w:val="7FEBCC06"/>
    <w:rsid w:val="7FF93840"/>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4">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5">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6">
    <w:name w:val="heading 4"/>
    <w:basedOn w:val="1"/>
    <w:next w:val="7"/>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8">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9">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10">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1">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2">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33">
    <w:name w:val="Default Paragraph Font"/>
    <w:autoRedefine/>
    <w:qFormat/>
    <w:uiPriority w:val="0"/>
    <w:rPr>
      <w:rFonts w:eastAsia="微软雅黑" w:asciiTheme="minorAscii" w:hAnsiTheme="minorAscii"/>
    </w:rPr>
  </w:style>
  <w:style w:type="table" w:default="1" w:styleId="31">
    <w:name w:val="Normal Table"/>
    <w:autoRedefine/>
    <w:semiHidden/>
    <w:qFormat/>
    <w:uiPriority w:val="0"/>
    <w:tblPr>
      <w:tblCellMar>
        <w:top w:w="0" w:type="dxa"/>
        <w:left w:w="108" w:type="dxa"/>
        <w:bottom w:w="0" w:type="dxa"/>
        <w:right w:w="108" w:type="dxa"/>
      </w:tblCellMar>
    </w:tblPr>
  </w:style>
  <w:style w:type="paragraph" w:styleId="2">
    <w:name w:val="footnote text"/>
    <w:basedOn w:val="1"/>
    <w:qFormat/>
    <w:uiPriority w:val="0"/>
    <w:pPr>
      <w:snapToGrid w:val="0"/>
      <w:spacing w:line="240" w:lineRule="auto"/>
      <w:jc w:val="left"/>
    </w:pPr>
    <w:rPr>
      <w:kern w:val="0"/>
      <w:sz w:val="18"/>
      <w:szCs w:val="18"/>
    </w:rPr>
  </w:style>
  <w:style w:type="paragraph" w:styleId="7">
    <w:name w:val="Normal Indent"/>
    <w:basedOn w:val="1"/>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3">
    <w:name w:val="toa heading"/>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4">
    <w:name w:val="annotation text"/>
    <w:basedOn w:val="1"/>
    <w:qFormat/>
    <w:uiPriority w:val="0"/>
    <w:pPr>
      <w:jc w:val="left"/>
    </w:pPr>
    <w:rPr>
      <w:rFonts w:ascii="Times New Roman" w:hAnsi="Times New Roman" w:eastAsia="宋体"/>
      <w:sz w:val="21"/>
      <w:szCs w:val="22"/>
    </w:rPr>
  </w:style>
  <w:style w:type="paragraph" w:styleId="15">
    <w:name w:val="index 6"/>
    <w:basedOn w:val="1"/>
    <w:next w:val="1"/>
    <w:qFormat/>
    <w:uiPriority w:val="0"/>
    <w:pPr>
      <w:ind w:left="1000" w:leftChars="1000"/>
    </w:pPr>
    <w:rPr>
      <w:rFonts w:ascii="Times New Roman" w:hAnsi="Times New Roman" w:eastAsia="宋体" w:cs="Times New Roman"/>
      <w:szCs w:val="24"/>
    </w:rPr>
  </w:style>
  <w:style w:type="paragraph" w:styleId="16">
    <w:name w:val="Body Text"/>
    <w:basedOn w:val="1"/>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7">
    <w:name w:val="Body Text Indent"/>
    <w:next w:val="18"/>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8">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9">
    <w:name w:val="index 4"/>
    <w:basedOn w:val="1"/>
    <w:next w:val="1"/>
    <w:unhideWhenUsed/>
    <w:qFormat/>
    <w:uiPriority w:val="99"/>
    <w:pPr>
      <w:ind w:left="600" w:leftChars="600"/>
    </w:pPr>
    <w:rPr>
      <w:rFonts w:ascii="Times New Roman" w:hAnsi="Times New Roman" w:eastAsia="宋体" w:cs="Times New Roman"/>
    </w:rPr>
  </w:style>
  <w:style w:type="paragraph" w:styleId="20">
    <w:name w:val="Plain Text"/>
    <w:basedOn w:val="1"/>
    <w:qFormat/>
    <w:uiPriority w:val="0"/>
    <w:rPr>
      <w:rFonts w:ascii="宋体" w:hAnsi="Courier New"/>
    </w:rPr>
  </w:style>
  <w:style w:type="paragraph" w:styleId="21">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22">
    <w:name w:val="footer"/>
    <w:basedOn w:val="1"/>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4">
    <w:name w:val="toc 1"/>
    <w:basedOn w:val="1"/>
    <w:next w:val="1"/>
    <w:autoRedefine/>
    <w:qFormat/>
    <w:uiPriority w:val="0"/>
  </w:style>
  <w:style w:type="paragraph" w:styleId="25">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6">
    <w:name w:val="toc 2"/>
    <w:basedOn w:val="1"/>
    <w:next w:val="1"/>
    <w:autoRedefine/>
    <w:qFormat/>
    <w:uiPriority w:val="0"/>
    <w:pPr>
      <w:ind w:left="420" w:leftChars="200"/>
    </w:pPr>
  </w:style>
  <w:style w:type="paragraph" w:styleId="27">
    <w:name w:val="HTML Preformatted"/>
    <w:basedOn w:val="1"/>
    <w:unhideWhenUsed/>
    <w:qFormat/>
    <w:uiPriority w:val="0"/>
    <w:rPr>
      <w:rFonts w:ascii="Courier New" w:hAnsi="Courier New" w:cs="Courier New"/>
      <w:sz w:val="20"/>
      <w:szCs w:val="20"/>
    </w:rPr>
  </w:style>
  <w:style w:type="paragraph" w:styleId="28">
    <w:name w:val="Normal (Web)"/>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9">
    <w:name w:val="Body Text First Indent"/>
    <w:basedOn w:val="16"/>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30">
    <w:name w:val="Body Text First Indent 2"/>
    <w:next w:val="29"/>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32">
    <w:name w:val="Table Grid"/>
    <w:basedOn w:val="31"/>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rPr>
  </w:style>
  <w:style w:type="character" w:styleId="35">
    <w:name w:val="Emphasis"/>
    <w:qFormat/>
    <w:uiPriority w:val="0"/>
    <w:rPr>
      <w:i/>
    </w:rPr>
  </w:style>
  <w:style w:type="paragraph" w:customStyle="1" w:styleId="36">
    <w:name w:val="WPSOffice手动目录 1"/>
    <w:autoRedefine/>
    <w:qFormat/>
    <w:uiPriority w:val="0"/>
    <w:pPr>
      <w:ind w:leftChars="0"/>
    </w:pPr>
    <w:rPr>
      <w:rFonts w:ascii="Times New Roman" w:hAnsi="Times New Roman" w:eastAsia="宋体" w:cs="Times New Roman"/>
      <w:sz w:val="20"/>
      <w:szCs w:val="20"/>
    </w:rPr>
  </w:style>
  <w:style w:type="paragraph" w:customStyle="1" w:styleId="37">
    <w:name w:val="WPSOffice手动目录 2"/>
    <w:autoRedefine/>
    <w:qFormat/>
    <w:uiPriority w:val="0"/>
    <w:pPr>
      <w:ind w:leftChars="200"/>
    </w:pPr>
    <w:rPr>
      <w:rFonts w:ascii="Times New Roman" w:hAnsi="Times New Roman" w:eastAsia="宋体" w:cs="Times New Roman"/>
      <w:sz w:val="20"/>
      <w:szCs w:val="20"/>
    </w:rPr>
  </w:style>
  <w:style w:type="paragraph" w:customStyle="1" w:styleId="38">
    <w:name w:val="null3"/>
    <w:hidden/>
    <w:qFormat/>
    <w:uiPriority w:val="0"/>
    <w:rPr>
      <w:rFonts w:hint="eastAsia" w:asciiTheme="minorHAnsi" w:hAnsiTheme="minorHAnsi" w:eastAsiaTheme="minorEastAsia" w:cstheme="minorBidi"/>
      <w:lang w:val="en-US" w:eastAsia="zh-Hans"/>
    </w:rPr>
  </w:style>
  <w:style w:type="paragraph" w:customStyle="1" w:styleId="39">
    <w:name w:val="样式 89 10 磅"/>
    <w:qFormat/>
    <w:uiPriority w:val="0"/>
    <w:pPr>
      <w:widowControl w:val="0"/>
      <w:jc w:val="both"/>
    </w:pPr>
    <w:rPr>
      <w:rFonts w:ascii="等线" w:hAnsi="Times New Roman" w:eastAsia="等线" w:cs="Arial"/>
      <w:kern w:val="2"/>
      <w:sz w:val="21"/>
      <w:szCs w:val="22"/>
      <w:lang w:val="en-US" w:eastAsia="zh-CN" w:bidi="ar-SA"/>
    </w:rPr>
  </w:style>
  <w:style w:type="paragraph" w:customStyle="1" w:styleId="40">
    <w:name w:val="Table Paragraph"/>
    <w:basedOn w:val="1"/>
    <w:qFormat/>
    <w:uiPriority w:val="1"/>
    <w:pPr>
      <w:autoSpaceDE w:val="0"/>
      <w:autoSpaceDN w:val="0"/>
      <w:jc w:val="left"/>
    </w:pPr>
    <w:rPr>
      <w:rFonts w:ascii="楷体" w:hAnsi="楷体" w:eastAsia="楷体" w:cs="楷体"/>
      <w:kern w:val="0"/>
      <w:sz w:val="22"/>
      <w:szCs w:val="22"/>
      <w:lang w:val="zh-CN" w:bidi="zh-CN"/>
    </w:rPr>
  </w:style>
  <w:style w:type="paragraph" w:customStyle="1" w:styleId="41">
    <w:name w:val="Default Text"/>
    <w:qFormat/>
    <w:uiPriority w:val="6"/>
    <w:pPr>
      <w:widowControl w:val="0"/>
      <w:autoSpaceDE w:val="0"/>
    </w:pPr>
    <w:rPr>
      <w:rFonts w:ascii="Times New Roman" w:hAnsi="Times New Roman" w:eastAsia="宋体" w:cs="Times New Roman"/>
      <w:color w:val="000000"/>
      <w:sz w:val="24"/>
      <w:szCs w:val="24"/>
      <w:lang w:val="en-US" w:eastAsia="zh-CN" w:bidi="ar-SA"/>
    </w:rPr>
  </w:style>
  <w:style w:type="paragraph" w:customStyle="1" w:styleId="42">
    <w:name w:val="Table Text"/>
    <w:basedOn w:val="1"/>
    <w:semiHidden/>
    <w:qFormat/>
    <w:uiPriority w:val="0"/>
    <w:rPr>
      <w:rFonts w:ascii="仿宋" w:hAnsi="仿宋" w:eastAsia="仿宋" w:cs="仿宋"/>
      <w:sz w:val="26"/>
      <w:szCs w:val="26"/>
      <w:lang w:val="en-US" w:eastAsia="en-US" w:bidi="ar-SA"/>
    </w:rPr>
  </w:style>
  <w:style w:type="table" w:customStyle="1" w:styleId="43">
    <w:name w:val="Table Normal"/>
    <w:unhideWhenUsed/>
    <w:qFormat/>
    <w:uiPriority w:val="0"/>
    <w:tblPr>
      <w:tblCellMar>
        <w:top w:w="0" w:type="dxa"/>
        <w:left w:w="0" w:type="dxa"/>
        <w:bottom w:w="0" w:type="dxa"/>
        <w:right w:w="0" w:type="dxa"/>
      </w:tblCellMar>
    </w:tblPr>
  </w:style>
  <w:style w:type="paragraph" w:styleId="44">
    <w:name w:val="No Spacing"/>
    <w:qFormat/>
    <w:uiPriority w:val="1"/>
    <w:pPr>
      <w:widowControl w:val="0"/>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90</Pages>
  <Words>2318</Words>
  <Characters>2705</Characters>
  <Lines>0</Lines>
  <Paragraphs>0</Paragraphs>
  <TotalTime>56</TotalTime>
  <ScaleCrop>false</ScaleCrop>
  <LinksUpToDate>false</LinksUpToDate>
  <CharactersWithSpaces>2847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2018-05-28T01:24:00Z</dcterms:created>
  <dc:creator>lihang</dc:creator>
  <cp:lastModifiedBy>李梦媛</cp:lastModifiedBy>
  <dcterms:modified xsi:type="dcterms:W3CDTF">2026-05-14T04:42:06Z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48414EA9D0504C0BBE62FBFA7C5EE620_13</vt:lpwstr>
  </property>
  <property fmtid="{D5CDD505-2E9C-101B-9397-08002B2CF9AE}" pid="6" name="KSOTemplateDocerSaveRecord">
    <vt:lpwstr>eyJoZGlkIjoiYTY0ZGVhMzY2Mjc2ZTVmNTg0OTc4MWEzZmNmZjdjMjUiLCJ1c2VySWQiOiI0NTE3ODAxODIifQ==</vt:lpwstr>
  </property>
</Properties>
</file>