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B6BE">
      <w:pPr>
        <w:adjustRightInd w:val="0"/>
        <w:snapToGrid w:val="0"/>
        <w:spacing w:line="276" w:lineRule="auto"/>
        <w:jc w:val="left"/>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sz w:val="24"/>
          <w:szCs w:val="24"/>
          <w:highlight w:val="none"/>
          <w:shd w:val="clear" w:color="auto" w:fill="FFFFFF" w:themeFill="background1"/>
        </w:rPr>
        <w:t xml:space="preserve"> </w:t>
      </w:r>
    </w:p>
    <w:p w14:paraId="48A5AD2C">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rPr>
      </w:pPr>
    </w:p>
    <w:p w14:paraId="56E9C053">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lang w:val="en-US" w:eastAsia="zh-CN"/>
        </w:rPr>
      </w:pPr>
      <w:r>
        <w:rPr>
          <w:rFonts w:hint="eastAsia" w:ascii="仿宋" w:hAnsi="仿宋" w:eastAsia="仿宋" w:cs="仿宋"/>
          <w:b/>
          <w:bCs/>
          <w:color w:val="auto"/>
          <w:sz w:val="52"/>
          <w:szCs w:val="28"/>
          <w:highlight w:val="none"/>
          <w:shd w:val="clear" w:color="auto" w:fill="FFFFFF" w:themeFill="background1"/>
          <w:lang w:val="en-US" w:eastAsia="zh-CN"/>
        </w:rPr>
        <w:t>采 购 文 件</w:t>
      </w:r>
    </w:p>
    <w:p w14:paraId="0CAA0BB0">
      <w:pPr>
        <w:pStyle w:val="28"/>
        <w:jc w:val="center"/>
        <w:rPr>
          <w:rFonts w:hint="eastAsia" w:ascii="仿宋" w:hAnsi="仿宋" w:eastAsia="仿宋" w:cs="仿宋"/>
          <w:color w:val="auto"/>
          <w:sz w:val="16"/>
          <w:szCs w:val="16"/>
          <w:highlight w:val="none"/>
        </w:rPr>
      </w:pPr>
      <w:r>
        <w:rPr>
          <w:rFonts w:hint="eastAsia" w:ascii="仿宋" w:hAnsi="仿宋" w:eastAsia="仿宋" w:cs="仿宋"/>
          <w:b/>
          <w:bCs/>
          <w:color w:val="auto"/>
          <w:sz w:val="28"/>
          <w:szCs w:val="16"/>
          <w:highlight w:val="none"/>
          <w:shd w:val="clear" w:color="auto" w:fill="FFFFFF" w:themeFill="background1"/>
          <w:lang w:val="en-US" w:eastAsia="zh-CN"/>
        </w:rPr>
        <w:t>（竞争性磋商-服务）</w:t>
      </w:r>
    </w:p>
    <w:p w14:paraId="005CE09B">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1E5F915">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779FC9EC">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75C6934">
      <w:pPr>
        <w:spacing w:line="276" w:lineRule="auto"/>
        <w:ind w:left="1574" w:right="-191" w:rightChars="-91" w:hanging="1574" w:hangingChars="492"/>
        <w:rPr>
          <w:rFonts w:hint="eastAsia" w:ascii="仿宋" w:hAnsi="仿宋" w:eastAsia="仿宋" w:cs="仿宋"/>
          <w:bCs/>
          <w:color w:val="auto"/>
          <w:sz w:val="32"/>
          <w:szCs w:val="24"/>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kern w:val="0"/>
          <w:sz w:val="32"/>
          <w:szCs w:val="32"/>
          <w:highlight w:val="none"/>
          <w:lang w:eastAsia="zh-CN"/>
        </w:rPr>
        <w:t>新疆农业大学智慧校园软件运维项目（2026年）</w:t>
      </w:r>
    </w:p>
    <w:p w14:paraId="30521B80">
      <w:pPr>
        <w:adjustRightInd w:val="0"/>
        <w:snapToGrid w:val="0"/>
        <w:spacing w:line="276" w:lineRule="auto"/>
        <w:jc w:val="center"/>
        <w:rPr>
          <w:rFonts w:hint="eastAsia" w:ascii="仿宋" w:hAnsi="仿宋" w:eastAsia="仿宋" w:cs="仿宋"/>
          <w:bCs/>
          <w:color w:val="auto"/>
          <w:sz w:val="32"/>
          <w:szCs w:val="24"/>
          <w:highlight w:val="none"/>
          <w:shd w:val="clear" w:color="auto" w:fill="FFFFFF" w:themeFill="background1"/>
        </w:rPr>
      </w:pPr>
    </w:p>
    <w:p w14:paraId="6DD801E8">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新疆农业大学</w:t>
      </w:r>
    </w:p>
    <w:p w14:paraId="7C1A42F2">
      <w:pPr>
        <w:adjustRightInd w:val="0"/>
        <w:snapToGrid w:val="0"/>
        <w:spacing w:line="480" w:lineRule="exact"/>
        <w:rPr>
          <w:rFonts w:hint="eastAsia" w:ascii="仿宋" w:hAnsi="仿宋" w:eastAsia="仿宋" w:cs="仿宋"/>
          <w:bCs/>
          <w:color w:val="auto"/>
          <w:sz w:val="32"/>
          <w:szCs w:val="32"/>
          <w:highlight w:val="none"/>
        </w:rPr>
      </w:pPr>
    </w:p>
    <w:p w14:paraId="79154B15">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赵老师</w:t>
      </w:r>
      <w:r>
        <w:rPr>
          <w:rFonts w:hint="eastAsia" w:ascii="仿宋" w:hAnsi="仿宋" w:eastAsia="仿宋" w:cs="仿宋"/>
          <w:bCs/>
          <w:color w:val="auto"/>
          <w:sz w:val="32"/>
          <w:szCs w:val="32"/>
          <w:highlight w:val="none"/>
        </w:rPr>
        <w:t xml:space="preserve"> </w:t>
      </w:r>
    </w:p>
    <w:p w14:paraId="712B16E4">
      <w:pPr>
        <w:adjustRightInd w:val="0"/>
        <w:snapToGrid w:val="0"/>
        <w:spacing w:line="480" w:lineRule="exact"/>
        <w:rPr>
          <w:rFonts w:hint="eastAsia" w:ascii="仿宋" w:hAnsi="仿宋" w:eastAsia="仿宋" w:cs="仿宋"/>
          <w:bCs/>
          <w:color w:val="auto"/>
          <w:sz w:val="32"/>
          <w:szCs w:val="32"/>
          <w:highlight w:val="none"/>
        </w:rPr>
      </w:pPr>
    </w:p>
    <w:p w14:paraId="349F1BCA">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电话：</w:t>
      </w:r>
      <w:r>
        <w:rPr>
          <w:rFonts w:hint="eastAsia" w:ascii="仿宋" w:hAnsi="仿宋" w:eastAsia="仿宋" w:cs="仿宋"/>
          <w:bCs/>
          <w:color w:val="auto"/>
          <w:sz w:val="32"/>
          <w:szCs w:val="32"/>
          <w:highlight w:val="none"/>
          <w:lang w:eastAsia="zh-CN"/>
        </w:rPr>
        <w:t>15160884655</w:t>
      </w:r>
      <w:bookmarkStart w:id="218" w:name="_GoBack"/>
      <w:bookmarkEnd w:id="218"/>
    </w:p>
    <w:p w14:paraId="6779A676">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p>
    <w:p w14:paraId="0169925A">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p>
    <w:p w14:paraId="5F403989">
      <w:pPr>
        <w:adjustRightInd w:val="0"/>
        <w:snapToGrid w:val="0"/>
        <w:spacing w:line="480" w:lineRule="exact"/>
        <w:rPr>
          <w:rFonts w:hint="eastAsia" w:ascii="仿宋" w:hAnsi="仿宋" w:eastAsia="仿宋" w:cs="仿宋"/>
          <w:bCs/>
          <w:color w:val="auto"/>
          <w:kern w:val="0"/>
          <w:sz w:val="32"/>
          <w:szCs w:val="32"/>
          <w:highlight w:val="none"/>
        </w:rPr>
      </w:pPr>
    </w:p>
    <w:p w14:paraId="1019C600">
      <w:pPr>
        <w:adjustRightInd w:val="0"/>
        <w:snapToGrid w:val="0"/>
        <w:spacing w:line="480" w:lineRule="exact"/>
        <w:rPr>
          <w:rFonts w:hint="eastAsia" w:ascii="仿宋" w:hAnsi="仿宋" w:eastAsia="仿宋" w:cs="仿宋"/>
          <w:bCs/>
          <w:color w:val="auto"/>
          <w:kern w:val="0"/>
          <w:sz w:val="32"/>
          <w:szCs w:val="32"/>
          <w:highlight w:val="none"/>
        </w:rPr>
      </w:pPr>
    </w:p>
    <w:p w14:paraId="6E0EDD5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3AD2AFC4">
      <w:pPr>
        <w:adjustRightInd w:val="0"/>
        <w:snapToGrid w:val="0"/>
        <w:spacing w:line="480" w:lineRule="exact"/>
        <w:rPr>
          <w:rFonts w:hint="eastAsia" w:ascii="仿宋" w:hAnsi="仿宋" w:eastAsia="仿宋" w:cs="仿宋"/>
          <w:bCs/>
          <w:color w:val="auto"/>
          <w:sz w:val="32"/>
          <w:szCs w:val="32"/>
          <w:highlight w:val="none"/>
        </w:rPr>
      </w:pPr>
    </w:p>
    <w:p w14:paraId="7BD0E10F">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马丹阳</w:t>
      </w:r>
      <w:r>
        <w:rPr>
          <w:rFonts w:hint="eastAsia" w:ascii="仿宋" w:hAnsi="仿宋" w:eastAsia="仿宋" w:cs="仿宋"/>
          <w:bCs/>
          <w:color w:val="auto"/>
          <w:sz w:val="32"/>
          <w:szCs w:val="32"/>
          <w:highlight w:val="none"/>
        </w:rPr>
        <w:t xml:space="preserve"> </w:t>
      </w:r>
    </w:p>
    <w:p w14:paraId="27C9BDFA">
      <w:pPr>
        <w:adjustRightInd w:val="0"/>
        <w:snapToGrid w:val="0"/>
        <w:spacing w:line="480" w:lineRule="exact"/>
        <w:jc w:val="center"/>
        <w:rPr>
          <w:rFonts w:hint="eastAsia" w:ascii="仿宋" w:hAnsi="仿宋" w:eastAsia="仿宋" w:cs="仿宋"/>
          <w:bCs/>
          <w:color w:val="auto"/>
          <w:sz w:val="32"/>
          <w:szCs w:val="32"/>
          <w:highlight w:val="none"/>
        </w:rPr>
      </w:pPr>
    </w:p>
    <w:p w14:paraId="336D6EA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229DFD">
      <w:pPr>
        <w:adjustRightInd w:val="0"/>
        <w:snapToGrid w:val="0"/>
        <w:spacing w:line="480" w:lineRule="exact"/>
        <w:jc w:val="center"/>
        <w:rPr>
          <w:rFonts w:hint="eastAsia" w:ascii="仿宋" w:hAnsi="仿宋" w:eastAsia="仿宋" w:cs="仿宋"/>
          <w:bCs/>
          <w:color w:val="auto"/>
          <w:sz w:val="32"/>
          <w:szCs w:val="32"/>
          <w:highlight w:val="none"/>
        </w:rPr>
      </w:pPr>
    </w:p>
    <w:p w14:paraId="7D9E12C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地址：乌鲁木齐市新兴街20号凤凰科技大厦五楼</w:t>
      </w:r>
    </w:p>
    <w:p w14:paraId="670AA78A">
      <w:pPr>
        <w:widowControl/>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21169A2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59FE6C35">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themeFill="background1"/>
        </w:rPr>
        <w:fldChar w:fldCharType="begin"/>
      </w:r>
      <w:r>
        <w:rPr>
          <w:rFonts w:hint="eastAsia" w:ascii="仿宋" w:hAnsi="仿宋" w:eastAsia="仿宋" w:cs="仿宋"/>
          <w:color w:val="auto"/>
          <w:sz w:val="24"/>
          <w:highlight w:val="none"/>
          <w:shd w:val="clear" w:color="auto" w:fill="FFFFFF" w:themeFill="background1"/>
        </w:rPr>
        <w:instrText xml:space="preserve">TOC \o "1-3" \h \u </w:instrText>
      </w:r>
      <w:r>
        <w:rPr>
          <w:rFonts w:hint="eastAsia" w:ascii="仿宋" w:hAnsi="仿宋" w:eastAsia="仿宋" w:cs="仿宋"/>
          <w:color w:val="auto"/>
          <w:sz w:val="24"/>
          <w:highlight w:val="none"/>
          <w:shd w:val="clear" w:color="auto" w:fill="FFFFFF" w:themeFill="background1"/>
        </w:rPr>
        <w:fldChar w:fldCharType="separate"/>
      </w:r>
      <w:r>
        <w:rPr>
          <w:rFonts w:hint="eastAsia" w:ascii="仿宋" w:hAnsi="仿宋" w:eastAsia="仿宋" w:cs="仿宋"/>
          <w:color w:val="auto"/>
          <w:highlight w:val="none"/>
          <w:shd w:val="clear" w:color="auto" w:fill="FFFFFF" w:themeFill="background1"/>
        </w:rPr>
        <w:fldChar w:fldCharType="begin"/>
      </w:r>
      <w:r>
        <w:rPr>
          <w:rFonts w:hint="eastAsia" w:ascii="仿宋" w:hAnsi="仿宋" w:eastAsia="仿宋" w:cs="仿宋"/>
          <w:color w:val="auto"/>
          <w:highlight w:val="none"/>
          <w:shd w:val="clear" w:color="auto" w:fill="FFFFFF" w:themeFill="background1"/>
        </w:rPr>
        <w:instrText xml:space="preserve"> HYPERLINK \l _Toc32592 </w:instrText>
      </w:r>
      <w:r>
        <w:rPr>
          <w:rFonts w:hint="eastAsia" w:ascii="仿宋" w:hAnsi="仿宋" w:eastAsia="仿宋" w:cs="仿宋"/>
          <w:color w:val="auto"/>
          <w:highlight w:val="none"/>
          <w:shd w:val="clear" w:color="auto" w:fill="FFFFFF" w:themeFill="background1"/>
        </w:rPr>
        <w:fldChar w:fldCharType="separate"/>
      </w:r>
      <w:r>
        <w:rPr>
          <w:rFonts w:hint="eastAsia" w:ascii="仿宋" w:hAnsi="仿宋" w:eastAsia="仿宋" w:cs="仿宋"/>
          <w:bCs/>
          <w:color w:val="auto"/>
          <w:szCs w:val="32"/>
          <w:highlight w:val="none"/>
          <w:lang w:val="en-US" w:eastAsia="zh-CN"/>
        </w:rPr>
        <w:t>竞争性</w:t>
      </w:r>
      <w:r>
        <w:rPr>
          <w:rFonts w:hint="eastAsia" w:ascii="仿宋" w:hAnsi="仿宋" w:eastAsia="仿宋" w:cs="仿宋"/>
          <w:bCs/>
          <w:color w:val="auto"/>
          <w:szCs w:val="32"/>
          <w:highlight w:val="none"/>
        </w:rPr>
        <w:t>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shd w:val="clear" w:color="auto" w:fill="FFFFFF" w:themeFill="background1"/>
        </w:rPr>
        <w:fldChar w:fldCharType="end"/>
      </w:r>
    </w:p>
    <w:p w14:paraId="3D08E25B">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_Toc10649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_Toc10649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2A0529F">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_Toc32670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第一章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3F77281">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_Toc6429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D3F30BA">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7EC91AF">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F5BD218">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四、</w:t>
      </w:r>
      <w:r>
        <w:rPr>
          <w:rFonts w:hint="eastAsia" w:ascii="仿宋" w:hAnsi="仿宋" w:eastAsia="仿宋" w:cs="仿宋"/>
          <w:color w:val="auto"/>
          <w:szCs w:val="24"/>
          <w:highlight w:val="none"/>
          <w:shd w:val="clear" w:color="auto" w:fill="FFFFFF" w:themeFill="background1"/>
          <w:lang w:val="en-US" w:eastAsia="zh-CN"/>
        </w:rPr>
        <w:t>响应</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F3F645">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_Toc16294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五、</w:t>
      </w:r>
      <w:r>
        <w:rPr>
          <w:rFonts w:hint="eastAsia" w:ascii="仿宋" w:hAnsi="仿宋" w:eastAsia="仿宋" w:cs="仿宋"/>
          <w:color w:val="auto"/>
          <w:szCs w:val="24"/>
          <w:highlight w:val="none"/>
          <w:shd w:val="clear" w:color="auto" w:fill="FFFFFF" w:themeFill="background1"/>
          <w:lang w:eastAsia="zh-CN"/>
        </w:rPr>
        <w:t>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C8BB47F">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_Toc10172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六、评审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_Toc10172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95FAB3">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39C5B5F">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_Toc22638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1645A46">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_Toc26123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第二章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_Toc26123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50AEF7A">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_Toc2233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01E346">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_Toc16659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一、评审方法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8D3074">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_Toc28167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_Toc28167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C467CB1">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_Toc32655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三、评审程序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EA458E">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_Toc29306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10F9633">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_Toc4387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 xml:space="preserve">第四章 </w:t>
      </w:r>
      <w:r>
        <w:rPr>
          <w:rFonts w:hint="eastAsia" w:ascii="仿宋" w:hAnsi="仿宋" w:eastAsia="仿宋" w:cs="仿宋"/>
          <w:color w:val="auto"/>
          <w:szCs w:val="24"/>
          <w:highlight w:val="none"/>
          <w:shd w:val="clear" w:color="auto" w:fill="FFFFFF" w:themeFill="background1"/>
          <w:lang w:eastAsia="zh-CN"/>
        </w:rPr>
        <w:t>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_Toc4387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478EE5">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_Toc17696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4CA8388">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_Toc22190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w:t>
      </w:r>
      <w:r>
        <w:rPr>
          <w:rFonts w:hint="eastAsia" w:ascii="仿宋" w:hAnsi="仿宋" w:eastAsia="仿宋" w:cs="仿宋"/>
          <w:color w:val="auto"/>
          <w:szCs w:val="24"/>
          <w:highlight w:val="none"/>
          <w:lang w:val="en-US" w:eastAsia="zh-CN"/>
        </w:rPr>
        <w:t>启</w:t>
      </w:r>
      <w:r>
        <w:rPr>
          <w:rFonts w:hint="eastAsia" w:ascii="仿宋" w:hAnsi="仿宋" w:eastAsia="仿宋" w:cs="仿宋"/>
          <w:color w:val="auto"/>
          <w:szCs w:val="24"/>
          <w:highlight w:val="none"/>
        </w:rPr>
        <w:t>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75CC90E">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_Toc16674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0E7E5DA">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_Toc27997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响应价格</w:t>
      </w:r>
      <w:r>
        <w:rPr>
          <w:rFonts w:hint="eastAsia" w:ascii="仿宋" w:hAnsi="仿宋" w:eastAsia="仿宋" w:cs="仿宋"/>
          <w:color w:val="auto"/>
          <w:szCs w:val="24"/>
          <w:highlight w:val="none"/>
          <w:shd w:val="clear" w:color="auto" w:fill="FFFFFF" w:themeFill="background1"/>
        </w:rPr>
        <w:t>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D3B36B">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_Toc2836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四</w:t>
      </w:r>
      <w:r>
        <w:rPr>
          <w:rFonts w:hint="eastAsia" w:ascii="仿宋" w:hAnsi="仿宋" w:eastAsia="仿宋" w:cs="仿宋"/>
          <w:color w:val="auto"/>
          <w:szCs w:val="24"/>
          <w:highlight w:val="none"/>
          <w:shd w:val="clear" w:color="auto" w:fill="FFFFFF" w:themeFill="background1"/>
        </w:rPr>
        <w:t>、商务条款偏离表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9FC3E6">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_Toc23331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五</w:t>
      </w:r>
      <w:r>
        <w:rPr>
          <w:rFonts w:hint="eastAsia" w:ascii="仿宋" w:hAnsi="仿宋" w:eastAsia="仿宋" w:cs="仿宋"/>
          <w:color w:val="auto"/>
          <w:szCs w:val="24"/>
          <w:highlight w:val="none"/>
          <w:shd w:val="clear" w:color="auto" w:fill="FFFFFF" w:themeFill="background1"/>
        </w:rPr>
        <w:t>、技术条款偏离表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EB194E6">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_Toc32267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六</w:t>
      </w:r>
      <w:r>
        <w:rPr>
          <w:rFonts w:hint="eastAsia" w:ascii="仿宋" w:hAnsi="仿宋" w:eastAsia="仿宋" w:cs="仿宋"/>
          <w:color w:val="auto"/>
          <w:szCs w:val="24"/>
          <w:highlight w:val="none"/>
          <w:shd w:val="clear" w:color="auto" w:fill="FFFFFF" w:themeFill="background1"/>
        </w:rPr>
        <w:t>、法定代表人身份证明书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D141B8C">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七</w:t>
      </w:r>
      <w:r>
        <w:rPr>
          <w:rFonts w:hint="eastAsia" w:ascii="仿宋" w:hAnsi="仿宋" w:eastAsia="仿宋" w:cs="仿宋"/>
          <w:color w:val="auto"/>
          <w:szCs w:val="24"/>
          <w:highlight w:val="none"/>
          <w:shd w:val="clear" w:color="auto" w:fill="FFFFFF" w:themeFill="background1"/>
        </w:rPr>
        <w:t>、法定代表人授权委托书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BC4CAE">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_Toc3624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F89E08">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_Toc2804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.1、法人或者其他组织的营业执照等证明文件，自然人的身份证明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090DDB">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.2、财务状况报告，依法缴纳税收和社会保障资金的相关材料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CA8CDC3">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_Toc9702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.3、具备履行合同所必需的设备和专业技术能力的证明材料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C1D442">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_Toc23067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.4、参加政府采购活动前3年内在经营活动中没有重大违法记录的书面声明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A3D34B6">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_Toc27822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.5、具备法律、行政法规规定的其他条件的证明材料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DD990DF">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_Toc5131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供应商近年类似项目业绩表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_Toc5131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7891C70">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_Toc31395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lang w:eastAsia="zh-CN"/>
        </w:rPr>
        <w:t>项目负责人</w:t>
      </w:r>
      <w:r>
        <w:rPr>
          <w:rFonts w:hint="eastAsia" w:ascii="仿宋" w:hAnsi="仿宋" w:eastAsia="仿宋" w:cs="仿宋"/>
          <w:bCs/>
          <w:color w:val="auto"/>
          <w:szCs w:val="24"/>
          <w:highlight w:val="none"/>
          <w:shd w:val="clear" w:color="auto" w:fill="FFFFFF" w:themeFill="background1"/>
        </w:rPr>
        <w:t>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4E1551">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bCs/>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lang w:val="en-US" w:eastAsia="zh-CN"/>
        </w:rPr>
        <w:t>一</w:t>
      </w:r>
      <w:r>
        <w:rPr>
          <w:rFonts w:hint="eastAsia" w:ascii="仿宋" w:hAnsi="仿宋" w:eastAsia="仿宋" w:cs="仿宋"/>
          <w:bCs/>
          <w:color w:val="auto"/>
          <w:szCs w:val="24"/>
          <w:highlight w:val="none"/>
          <w:shd w:val="clear" w:color="auto" w:fill="FFFFFF" w:themeFill="background1"/>
        </w:rPr>
        <w:t>、拟派主要服务人员</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91CE13">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_Toc32498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4DE6A7C">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_Toc12216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9C39E9F">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_Toc17524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3FA850">
      <w:pPr>
        <w:pStyle w:val="25"/>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fill="FFFFFF" w:themeFill="background1"/>
        </w:rPr>
        <w:t xml:space="preserve">第六章 </w:t>
      </w:r>
      <w:r>
        <w:rPr>
          <w:rFonts w:hint="eastAsia" w:ascii="仿宋" w:hAnsi="仿宋" w:eastAsia="仿宋" w:cs="仿宋"/>
          <w:color w:val="auto"/>
          <w:szCs w:val="24"/>
          <w:highlight w:val="none"/>
          <w:shd w:val="clear" w:color="auto" w:fill="FFFFFF" w:themeFill="background1"/>
        </w:rPr>
        <w:t>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FFF495">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4280B74">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_Toc30202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D5D4DD8">
      <w:pPr>
        <w:pStyle w:val="32"/>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_Toc13048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4C68DE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fldChar w:fldCharType="end"/>
      </w:r>
    </w:p>
    <w:p w14:paraId="6C91AC47">
      <w:pPr>
        <w:spacing w:line="360" w:lineRule="auto"/>
        <w:rPr>
          <w:rFonts w:hint="eastAsia" w:ascii="仿宋" w:hAnsi="仿宋" w:eastAsia="仿宋" w:cs="仿宋"/>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40" w:right="1080" w:bottom="1440" w:left="1080" w:header="0" w:footer="1178" w:gutter="0"/>
          <w:cols w:space="720" w:num="1"/>
        </w:sectPr>
      </w:pPr>
    </w:p>
    <w:p w14:paraId="11D178DE">
      <w:pPr>
        <w:spacing w:line="360" w:lineRule="auto"/>
        <w:jc w:val="center"/>
        <w:outlineLvl w:val="0"/>
        <w:rPr>
          <w:rFonts w:hint="eastAsia" w:ascii="仿宋" w:hAnsi="仿宋" w:eastAsia="仿宋" w:cs="仿宋"/>
          <w:b/>
          <w:bCs/>
          <w:color w:val="auto"/>
          <w:sz w:val="28"/>
          <w:szCs w:val="32"/>
          <w:highlight w:val="none"/>
        </w:rPr>
      </w:pPr>
      <w:bookmarkStart w:id="0" w:name="_Toc1597"/>
      <w:bookmarkStart w:id="1" w:name="_Toc32592"/>
      <w:r>
        <w:rPr>
          <w:rFonts w:hint="eastAsia" w:ascii="仿宋" w:hAnsi="仿宋" w:eastAsia="仿宋" w:cs="仿宋"/>
          <w:b/>
          <w:bCs/>
          <w:color w:val="auto"/>
          <w:sz w:val="28"/>
          <w:szCs w:val="32"/>
          <w:highlight w:val="none"/>
          <w:lang w:val="en-US" w:eastAsia="zh-CN"/>
        </w:rPr>
        <w:t>竞争性</w:t>
      </w:r>
      <w:r>
        <w:rPr>
          <w:rFonts w:hint="eastAsia" w:ascii="仿宋" w:hAnsi="仿宋" w:eastAsia="仿宋" w:cs="仿宋"/>
          <w:b/>
          <w:bCs/>
          <w:color w:val="auto"/>
          <w:sz w:val="28"/>
          <w:szCs w:val="32"/>
          <w:highlight w:val="none"/>
        </w:rPr>
        <w:t>磋商公告</w:t>
      </w:r>
      <w:bookmarkEnd w:id="0"/>
      <w:bookmarkEnd w:id="1"/>
    </w:p>
    <w:p w14:paraId="34B628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项目概况</w:t>
      </w:r>
    </w:p>
    <w:p w14:paraId="1DEE8F5E">
      <w:pPr>
        <w:spacing w:line="360" w:lineRule="auto"/>
        <w:ind w:firstLine="335"/>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新疆农业大学智慧校园软件运维项目（2026年）</w:t>
      </w:r>
      <w:r>
        <w:rPr>
          <w:rFonts w:hint="eastAsia" w:ascii="仿宋" w:hAnsi="仿宋" w:eastAsia="仿宋" w:cs="仿宋"/>
          <w:color w:val="auto"/>
          <w:sz w:val="24"/>
          <w:szCs w:val="32"/>
          <w:highlight w:val="none"/>
        </w:rPr>
        <w:t>采购项目的潜在供应商应在政采云平台线上获取采购文件，并于</w:t>
      </w:r>
      <w:r>
        <w:rPr>
          <w:rFonts w:hint="eastAsia" w:ascii="仿宋" w:hAnsi="仿宋" w:eastAsia="仿宋" w:cs="仿宋"/>
          <w:color w:val="auto"/>
          <w:sz w:val="24"/>
          <w:szCs w:val="32"/>
          <w:highlight w:val="none"/>
          <w:lang w:eastAsia="zh-CN"/>
        </w:rPr>
        <w:t>2026年</w:t>
      </w:r>
      <w:r>
        <w:rPr>
          <w:rFonts w:hint="eastAsia" w:ascii="仿宋" w:hAnsi="仿宋" w:eastAsia="仿宋" w:cs="仿宋"/>
          <w:color w:val="auto"/>
          <w:sz w:val="24"/>
          <w:szCs w:val="32"/>
          <w:highlight w:val="none"/>
          <w:lang w:val="en-US" w:eastAsia="zh-CN"/>
        </w:rPr>
        <w:t>06</w:t>
      </w:r>
      <w:r>
        <w:rPr>
          <w:rFonts w:hint="eastAsia" w:ascii="仿宋" w:hAnsi="仿宋" w:eastAsia="仿宋" w:cs="仿宋"/>
          <w:color w:val="auto"/>
          <w:sz w:val="24"/>
          <w:szCs w:val="32"/>
          <w:highlight w:val="none"/>
          <w:lang w:eastAsia="zh-CN"/>
        </w:rPr>
        <w:t>月</w:t>
      </w:r>
      <w:r>
        <w:rPr>
          <w:rFonts w:hint="eastAsia" w:ascii="仿宋" w:hAnsi="仿宋" w:eastAsia="仿宋" w:cs="仿宋"/>
          <w:color w:val="auto"/>
          <w:sz w:val="24"/>
          <w:szCs w:val="32"/>
          <w:highlight w:val="none"/>
          <w:lang w:val="en-US" w:eastAsia="zh-CN"/>
        </w:rPr>
        <w:t>11</w:t>
      </w:r>
      <w:r>
        <w:rPr>
          <w:rFonts w:hint="eastAsia" w:ascii="仿宋" w:hAnsi="仿宋" w:eastAsia="仿宋" w:cs="仿宋"/>
          <w:color w:val="auto"/>
          <w:sz w:val="24"/>
          <w:szCs w:val="32"/>
          <w:highlight w:val="none"/>
          <w:lang w:eastAsia="zh-CN"/>
        </w:rPr>
        <w:t>日 1</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（北京时间）前提交响应文件。</w:t>
      </w:r>
    </w:p>
    <w:p w14:paraId="6DC1411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一、项目基本情况</w:t>
      </w:r>
    </w:p>
    <w:p w14:paraId="062E498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24"/>
          <w:highlight w:val="none"/>
          <w:lang w:eastAsia="zh-CN"/>
        </w:rPr>
        <w:t>XJXSJ-2026（ZC）-303</w:t>
      </w:r>
      <w:r>
        <w:rPr>
          <w:rFonts w:hint="eastAsia" w:ascii="仿宋" w:hAnsi="仿宋" w:eastAsia="仿宋" w:cs="仿宋"/>
          <w:color w:val="auto"/>
          <w:sz w:val="24"/>
          <w:szCs w:val="24"/>
          <w:highlight w:val="none"/>
          <w:lang w:val="en-US" w:eastAsia="zh-CN"/>
        </w:rPr>
        <w:t xml:space="preserve"> </w:t>
      </w:r>
    </w:p>
    <w:p w14:paraId="187DE9BF">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eastAsia="zh-CN"/>
        </w:rPr>
        <w:t>新疆农业大学智慧校园软件运维项目（2026年）</w:t>
      </w:r>
      <w:r>
        <w:rPr>
          <w:rFonts w:hint="eastAsia" w:ascii="仿宋" w:hAnsi="仿宋" w:eastAsia="仿宋" w:cs="仿宋"/>
          <w:color w:val="auto"/>
          <w:sz w:val="24"/>
          <w:szCs w:val="32"/>
          <w:highlight w:val="none"/>
        </w:rPr>
        <w:t> </w:t>
      </w:r>
    </w:p>
    <w:p w14:paraId="01A41B61">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采购方式：</w:t>
      </w:r>
      <w:r>
        <w:rPr>
          <w:rFonts w:hint="eastAsia" w:ascii="仿宋" w:hAnsi="仿宋" w:eastAsia="仿宋" w:cs="仿宋"/>
          <w:color w:val="auto"/>
          <w:sz w:val="24"/>
          <w:szCs w:val="32"/>
          <w:highlight w:val="none"/>
        </w:rPr>
        <w:t>竞争性磋商 </w:t>
      </w:r>
    </w:p>
    <w:p w14:paraId="64B0A97B">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lang w:val="en-US" w:eastAsia="zh-CN"/>
        </w:rPr>
        <w:t>327000.00</w:t>
      </w:r>
      <w:r>
        <w:rPr>
          <w:rFonts w:hint="eastAsia" w:ascii="仿宋" w:hAnsi="仿宋" w:eastAsia="仿宋" w:cs="仿宋"/>
          <w:color w:val="auto"/>
          <w:sz w:val="24"/>
          <w:szCs w:val="32"/>
          <w:highlight w:val="none"/>
        </w:rPr>
        <w:t> </w:t>
      </w:r>
    </w:p>
    <w:p w14:paraId="18F42C4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lang w:val="en-US" w:eastAsia="zh-CN"/>
        </w:rPr>
        <w:t>327000.00</w:t>
      </w:r>
    </w:p>
    <w:p w14:paraId="0F799F97">
      <w:pPr>
        <w:spacing w:line="360" w:lineRule="auto"/>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u w:val="none"/>
        </w:rPr>
        <w:t>简要规格描述：</w:t>
      </w:r>
      <w:r>
        <w:rPr>
          <w:rFonts w:hint="eastAsia" w:ascii="仿宋" w:hAnsi="仿宋" w:eastAsia="仿宋" w:cs="仿宋"/>
          <w:color w:val="auto"/>
          <w:sz w:val="24"/>
          <w:szCs w:val="32"/>
          <w:highlight w:val="none"/>
          <w:lang w:eastAsia="zh-CN"/>
        </w:rPr>
        <w:t>新疆农业大学智慧校园软件运维（2026年）</w:t>
      </w:r>
    </w:p>
    <w:p w14:paraId="519CB1A9">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合同履约期限：</w:t>
      </w:r>
      <w:r>
        <w:rPr>
          <w:rFonts w:hint="eastAsia" w:ascii="仿宋" w:hAnsi="仿宋" w:eastAsia="仿宋" w:cs="仿宋"/>
          <w:color w:val="auto"/>
          <w:sz w:val="24"/>
          <w:szCs w:val="32"/>
          <w:highlight w:val="none"/>
          <w:u w:val="none"/>
          <w:lang w:val="en-US" w:eastAsia="zh-CN"/>
        </w:rPr>
        <w:t>①办公软件正版化场地授权：合同签订后提供1年授权；②业务应用开发服务：需在合同签订后30个工作日内完成系统建设，提供1年质保服务。</w:t>
      </w:r>
    </w:p>
    <w:p w14:paraId="23714E5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本项目（</w:t>
      </w:r>
      <w:r>
        <w:rPr>
          <w:rFonts w:hint="eastAsia" w:ascii="仿宋" w:hAnsi="仿宋" w:eastAsia="仿宋" w:cs="仿宋"/>
          <w:color w:val="auto"/>
          <w:sz w:val="24"/>
          <w:szCs w:val="32"/>
          <w:highlight w:val="none"/>
          <w:lang w:val="en-US" w:eastAsia="zh-CN"/>
        </w:rPr>
        <w:t>否</w:t>
      </w:r>
      <w:r>
        <w:rPr>
          <w:rFonts w:hint="eastAsia" w:ascii="仿宋" w:hAnsi="仿宋" w:eastAsia="仿宋" w:cs="仿宋"/>
          <w:color w:val="auto"/>
          <w:sz w:val="24"/>
          <w:szCs w:val="32"/>
          <w:highlight w:val="none"/>
        </w:rPr>
        <w:t>）接受联合体</w:t>
      </w:r>
      <w:r>
        <w:rPr>
          <w:rFonts w:hint="eastAsia" w:ascii="仿宋" w:hAnsi="仿宋" w:eastAsia="仿宋" w:cs="仿宋"/>
          <w:color w:val="auto"/>
          <w:sz w:val="24"/>
          <w:szCs w:val="32"/>
          <w:highlight w:val="none"/>
          <w:lang w:val="en-US" w:eastAsia="zh-CN"/>
        </w:rPr>
        <w:t>响应</w:t>
      </w:r>
      <w:r>
        <w:rPr>
          <w:rFonts w:hint="eastAsia" w:ascii="仿宋" w:hAnsi="仿宋" w:eastAsia="仿宋" w:cs="仿宋"/>
          <w:color w:val="auto"/>
          <w:sz w:val="24"/>
          <w:szCs w:val="32"/>
          <w:highlight w:val="none"/>
        </w:rPr>
        <w:t>。</w:t>
      </w:r>
    </w:p>
    <w:p w14:paraId="2E612019">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二、供应商的资格要求：</w:t>
      </w:r>
    </w:p>
    <w:p w14:paraId="66C918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D03D3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2" w:name="OLE_LINK2"/>
      <w:bookmarkStart w:id="3" w:name="OLE_LINK1"/>
      <w:r>
        <w:rPr>
          <w:rFonts w:hint="eastAsia" w:ascii="仿宋" w:hAnsi="仿宋" w:eastAsia="仿宋" w:cs="仿宋"/>
          <w:color w:val="auto"/>
          <w:sz w:val="24"/>
          <w:szCs w:val="24"/>
          <w:highlight w:val="none"/>
        </w:rPr>
        <w:t>供应商为中小企业。</w:t>
      </w:r>
      <w:bookmarkEnd w:id="2"/>
      <w:bookmarkEnd w:id="3"/>
    </w:p>
    <w:p w14:paraId="4AE59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如在“信用中国”网站（www.creditchina.gov.cn）、中国政府采购网（www.ccgp.gov.cn）等渠道被列入失信被执行人、重大税收违法失信主体、政府采购严重违法失信行为记录名单，尚在处罚期内的将被拒绝参加本次采购活动。</w:t>
      </w:r>
    </w:p>
    <w:p w14:paraId="265C84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p>
    <w:p w14:paraId="13E35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日，每天上午00:00至14:00，下午14:00至23:59（北京时间，法定节假日除外）</w:t>
      </w:r>
    </w:p>
    <w:p w14:paraId="13BA5CF9">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地点：政采云平台线上 </w:t>
      </w:r>
    </w:p>
    <w:p w14:paraId="302CF1BA">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29318E5">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售价（元）： 0 </w:t>
      </w:r>
    </w:p>
    <w:p w14:paraId="5D7F86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四、响应文件提交 </w:t>
      </w:r>
    </w:p>
    <w:p w14:paraId="3212431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截止时间：</w:t>
      </w:r>
      <w:r>
        <w:rPr>
          <w:rFonts w:hint="eastAsia" w:ascii="仿宋" w:hAnsi="仿宋" w:eastAsia="仿宋" w:cs="仿宋"/>
          <w:color w:val="auto"/>
          <w:sz w:val="24"/>
          <w:szCs w:val="32"/>
          <w:highlight w:val="none"/>
          <w:lang w:eastAsia="zh-CN"/>
        </w:rPr>
        <w:t>2026年</w:t>
      </w:r>
      <w:r>
        <w:rPr>
          <w:rFonts w:hint="eastAsia" w:ascii="仿宋" w:hAnsi="仿宋" w:eastAsia="仿宋" w:cs="仿宋"/>
          <w:color w:val="auto"/>
          <w:sz w:val="24"/>
          <w:szCs w:val="32"/>
          <w:highlight w:val="none"/>
          <w:lang w:val="en-US" w:eastAsia="zh-CN"/>
        </w:rPr>
        <w:t>06</w:t>
      </w:r>
      <w:r>
        <w:rPr>
          <w:rFonts w:hint="eastAsia" w:ascii="仿宋" w:hAnsi="仿宋" w:eastAsia="仿宋" w:cs="仿宋"/>
          <w:color w:val="auto"/>
          <w:sz w:val="24"/>
          <w:szCs w:val="32"/>
          <w:highlight w:val="none"/>
          <w:lang w:eastAsia="zh-CN"/>
        </w:rPr>
        <w:t>月</w:t>
      </w:r>
      <w:r>
        <w:rPr>
          <w:rFonts w:hint="eastAsia" w:ascii="仿宋" w:hAnsi="仿宋" w:eastAsia="仿宋" w:cs="仿宋"/>
          <w:color w:val="auto"/>
          <w:sz w:val="24"/>
          <w:szCs w:val="32"/>
          <w:highlight w:val="none"/>
          <w:lang w:val="en-US" w:eastAsia="zh-CN"/>
        </w:rPr>
        <w:t>11</w:t>
      </w:r>
      <w:r>
        <w:rPr>
          <w:rFonts w:hint="eastAsia" w:ascii="仿宋" w:hAnsi="仿宋" w:eastAsia="仿宋" w:cs="仿宋"/>
          <w:color w:val="auto"/>
          <w:sz w:val="24"/>
          <w:szCs w:val="32"/>
          <w:highlight w:val="none"/>
          <w:lang w:eastAsia="zh-CN"/>
        </w:rPr>
        <w:t>日 1</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（北京时间）</w:t>
      </w:r>
    </w:p>
    <w:p w14:paraId="6DC020D8">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地点：请登录政采云投标客户端投标 </w:t>
      </w:r>
    </w:p>
    <w:p w14:paraId="0730FD9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五、响应文件开启 </w:t>
      </w:r>
    </w:p>
    <w:p w14:paraId="4E35D82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开启时间：</w:t>
      </w:r>
      <w:r>
        <w:rPr>
          <w:rFonts w:hint="eastAsia" w:ascii="仿宋" w:hAnsi="仿宋" w:eastAsia="仿宋" w:cs="仿宋"/>
          <w:color w:val="auto"/>
          <w:sz w:val="24"/>
          <w:szCs w:val="32"/>
          <w:highlight w:val="none"/>
          <w:lang w:eastAsia="zh-CN"/>
        </w:rPr>
        <w:t>2026年</w:t>
      </w:r>
      <w:r>
        <w:rPr>
          <w:rFonts w:hint="eastAsia" w:ascii="仿宋" w:hAnsi="仿宋" w:eastAsia="仿宋" w:cs="仿宋"/>
          <w:color w:val="auto"/>
          <w:sz w:val="24"/>
          <w:szCs w:val="32"/>
          <w:highlight w:val="none"/>
          <w:lang w:val="en-US" w:eastAsia="zh-CN"/>
        </w:rPr>
        <w:t>06</w:t>
      </w:r>
      <w:r>
        <w:rPr>
          <w:rFonts w:hint="eastAsia" w:ascii="仿宋" w:hAnsi="仿宋" w:eastAsia="仿宋" w:cs="仿宋"/>
          <w:color w:val="auto"/>
          <w:sz w:val="24"/>
          <w:szCs w:val="32"/>
          <w:highlight w:val="none"/>
          <w:lang w:eastAsia="zh-CN"/>
        </w:rPr>
        <w:t>月</w:t>
      </w:r>
      <w:r>
        <w:rPr>
          <w:rFonts w:hint="eastAsia" w:ascii="仿宋" w:hAnsi="仿宋" w:eastAsia="仿宋" w:cs="仿宋"/>
          <w:color w:val="auto"/>
          <w:sz w:val="24"/>
          <w:szCs w:val="32"/>
          <w:highlight w:val="none"/>
          <w:lang w:val="en-US" w:eastAsia="zh-CN"/>
        </w:rPr>
        <w:t>11</w:t>
      </w:r>
      <w:r>
        <w:rPr>
          <w:rFonts w:hint="eastAsia" w:ascii="仿宋" w:hAnsi="仿宋" w:eastAsia="仿宋" w:cs="仿宋"/>
          <w:color w:val="auto"/>
          <w:sz w:val="24"/>
          <w:szCs w:val="32"/>
          <w:highlight w:val="none"/>
          <w:lang w:eastAsia="zh-CN"/>
        </w:rPr>
        <w:t>日 1</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 （北京时间）</w:t>
      </w:r>
    </w:p>
    <w:p w14:paraId="4CD1EA3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地点：</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rPr>
        <w:t>登录政采云平台https://www.zcygov.cn/，进入“项目采购-开标评标-右边选择对应项目点击“进入项目”进入开标大厅。 </w:t>
      </w:r>
    </w:p>
    <w:p w14:paraId="606AC1B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六、公告期限</w:t>
      </w:r>
    </w:p>
    <w:p w14:paraId="7D096B5C">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自本公告发布之日起3个工作日。</w:t>
      </w:r>
    </w:p>
    <w:p w14:paraId="68CAA1C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七、凡对本次</w:t>
      </w:r>
      <w:r>
        <w:rPr>
          <w:rFonts w:hint="eastAsia" w:ascii="仿宋" w:hAnsi="仿宋" w:eastAsia="仿宋" w:cs="仿宋"/>
          <w:color w:val="auto"/>
          <w:sz w:val="24"/>
          <w:szCs w:val="32"/>
          <w:highlight w:val="none"/>
          <w:lang w:eastAsia="zh-CN"/>
        </w:rPr>
        <w:t>采购</w:t>
      </w:r>
      <w:r>
        <w:rPr>
          <w:rFonts w:hint="eastAsia" w:ascii="仿宋" w:hAnsi="仿宋" w:eastAsia="仿宋" w:cs="仿宋"/>
          <w:color w:val="auto"/>
          <w:sz w:val="24"/>
          <w:szCs w:val="32"/>
          <w:highlight w:val="none"/>
        </w:rPr>
        <w:t>提出询问，请按以下方式联系</w:t>
      </w:r>
    </w:p>
    <w:p w14:paraId="372E23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8ED0CC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新疆农业大学</w:t>
      </w:r>
    </w:p>
    <w:p w14:paraId="15337808">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乌鲁木齐市农大东路311号</w:t>
      </w:r>
    </w:p>
    <w:p w14:paraId="7764686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15160884655</w:t>
      </w:r>
    </w:p>
    <w:p w14:paraId="72B163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E4192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05F4E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bookmarkStart w:id="4" w:name="OLE_LINK7"/>
      <w:bookmarkStart w:id="5" w:name="OLE_LINK8"/>
      <w:r>
        <w:rPr>
          <w:rFonts w:hint="eastAsia" w:ascii="仿宋" w:hAnsi="仿宋" w:eastAsia="仿宋" w:cs="仿宋"/>
          <w:color w:val="auto"/>
          <w:sz w:val="24"/>
          <w:szCs w:val="24"/>
          <w:highlight w:val="none"/>
        </w:rPr>
        <w:t>乌鲁木齐市新兴街20号</w:t>
      </w:r>
      <w:bookmarkEnd w:id="4"/>
      <w:bookmarkEnd w:id="5"/>
    </w:p>
    <w:p w14:paraId="167596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18690890996</w:t>
      </w:r>
    </w:p>
    <w:p w14:paraId="2E0B72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606F01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马丹阳</w:t>
      </w:r>
    </w:p>
    <w:p w14:paraId="7BE15590">
      <w:pPr>
        <w:spacing w:line="360" w:lineRule="auto"/>
        <w:ind w:firstLine="480" w:firstLineChars="200"/>
        <w:rPr>
          <w:rFonts w:hint="eastAsia" w:ascii="仿宋" w:hAnsi="仿宋" w:eastAsia="仿宋" w:cs="仿宋"/>
          <w:color w:val="auto"/>
          <w:highlight w:val="none"/>
        </w:rPr>
        <w:sectPr>
          <w:footerReference r:id="rId7" w:type="default"/>
          <w:pgSz w:w="11910" w:h="16840"/>
          <w:pgMar w:top="1440" w:right="1080" w:bottom="1440" w:left="1080" w:header="850" w:footer="850" w:gutter="0"/>
          <w:pgNumType w:fmt="decimal" w:start="1"/>
          <w:cols w:space="720" w:num="1"/>
        </w:sectPr>
      </w:pPr>
      <w:r>
        <w:rPr>
          <w:rFonts w:hint="eastAsia" w:ascii="仿宋" w:hAnsi="仿宋" w:eastAsia="仿宋" w:cs="仿宋"/>
          <w:color w:val="auto"/>
          <w:sz w:val="24"/>
          <w:szCs w:val="24"/>
          <w:highlight w:val="none"/>
        </w:rPr>
        <w:t>电 话：0991-4661782</w:t>
      </w:r>
    </w:p>
    <w:p w14:paraId="4C8B8492">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bookmarkStart w:id="6" w:name="_Toc10649"/>
      <w:r>
        <w:rPr>
          <w:rFonts w:hint="eastAsia" w:ascii="仿宋" w:hAnsi="仿宋" w:eastAsia="仿宋" w:cs="仿宋"/>
          <w:b/>
          <w:color w:val="auto"/>
          <w:sz w:val="24"/>
          <w:szCs w:val="24"/>
          <w:highlight w:val="none"/>
          <w:shd w:val="clear" w:color="auto" w:fill="FFFFFF" w:themeFill="background1"/>
        </w:rPr>
        <w:t>供应商须知前附表</w:t>
      </w:r>
      <w:bookmarkEnd w:id="6"/>
    </w:p>
    <w:tbl>
      <w:tblPr>
        <w:tblStyle w:val="4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1512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5E9F88">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550842B2">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45A1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6A8813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0824E4C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688" w:type="dxa"/>
            <w:vAlign w:val="center"/>
          </w:tcPr>
          <w:p w14:paraId="1BAA433D">
            <w:pPr>
              <w:spacing w:line="288" w:lineRule="auto"/>
              <w:jc w:val="left"/>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shd w:val="clear" w:color="auto" w:fill="FFFFFF" w:themeFill="background1"/>
                <w:lang w:eastAsia="zh-CN"/>
              </w:rPr>
              <w:t>新疆农业大学智慧校园软件运维项目（2026年）</w:t>
            </w:r>
          </w:p>
        </w:tc>
      </w:tr>
      <w:tr w14:paraId="65EE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B09C1">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FEBF63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6688" w:type="dxa"/>
            <w:vAlign w:val="center"/>
          </w:tcPr>
          <w:p w14:paraId="3298096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eastAsia="zh-CN"/>
              </w:rPr>
              <w:t>XJXSJ-2026（ZC）-303</w:t>
            </w:r>
          </w:p>
        </w:tc>
      </w:tr>
      <w:tr w14:paraId="0EE9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0A7C7">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0A85A8A">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6688" w:type="dxa"/>
            <w:vAlign w:val="center"/>
          </w:tcPr>
          <w:p w14:paraId="116B579A">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新疆农业大学</w:t>
            </w:r>
          </w:p>
        </w:tc>
      </w:tr>
      <w:tr w14:paraId="057B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57CCF8">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991419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6688" w:type="dxa"/>
            <w:vAlign w:val="center"/>
          </w:tcPr>
          <w:p w14:paraId="6070584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726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FD10C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ACD3C3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6688" w:type="dxa"/>
            <w:vAlign w:val="center"/>
          </w:tcPr>
          <w:p w14:paraId="202FA07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乌鲁木齐市</w:t>
            </w:r>
          </w:p>
        </w:tc>
      </w:tr>
      <w:tr w14:paraId="35D6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B38DD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808D7F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6688" w:type="dxa"/>
            <w:vAlign w:val="center"/>
          </w:tcPr>
          <w:p w14:paraId="086A486A">
            <w:pPr>
              <w:keepLines w:val="0"/>
              <w:pageBreakBefore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校级日常运转经费</w:t>
            </w:r>
          </w:p>
        </w:tc>
      </w:tr>
      <w:tr w14:paraId="3A83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F27B9">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480BD2D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6688" w:type="dxa"/>
            <w:vAlign w:val="center"/>
          </w:tcPr>
          <w:p w14:paraId="2EEF0E10">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327000.00</w:t>
            </w:r>
            <w:r>
              <w:rPr>
                <w:rFonts w:hint="eastAsia" w:ascii="仿宋" w:hAnsi="仿宋" w:eastAsia="仿宋" w:cs="仿宋"/>
                <w:color w:val="auto"/>
                <w:kern w:val="0"/>
                <w:szCs w:val="21"/>
                <w:highlight w:val="none"/>
                <w:shd w:val="clear" w:color="auto" w:fill="FFFFFF" w:themeFill="background1"/>
                <w:lang w:eastAsia="zh-CN"/>
              </w:rPr>
              <w:t>元</w:t>
            </w:r>
          </w:p>
        </w:tc>
      </w:tr>
      <w:tr w14:paraId="1900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E2ED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348028F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6688" w:type="dxa"/>
            <w:vAlign w:val="center"/>
          </w:tcPr>
          <w:p w14:paraId="7045FA74">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327000.00</w:t>
            </w:r>
            <w:r>
              <w:rPr>
                <w:rFonts w:hint="eastAsia" w:ascii="仿宋" w:hAnsi="仿宋" w:eastAsia="仿宋" w:cs="仿宋"/>
                <w:color w:val="auto"/>
                <w:kern w:val="0"/>
                <w:szCs w:val="21"/>
                <w:highlight w:val="none"/>
                <w:shd w:val="clear" w:color="auto" w:fill="FFFFFF" w:themeFill="background1"/>
                <w:lang w:eastAsia="zh-CN"/>
              </w:rPr>
              <w:t>元</w:t>
            </w:r>
          </w:p>
        </w:tc>
      </w:tr>
      <w:tr w14:paraId="1341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FF20F5">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49EF31C">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6688" w:type="dxa"/>
            <w:vAlign w:val="center"/>
          </w:tcPr>
          <w:p w14:paraId="51B1AE46">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①办公软件正版化场地授权：合同签订后提供1年授权；</w:t>
            </w:r>
          </w:p>
          <w:p w14:paraId="22F1A2AE">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②业务应用开发服务：需在合同签订后30个工作日内完成系统建设，提供1年质保服务。</w:t>
            </w:r>
          </w:p>
        </w:tc>
      </w:tr>
      <w:tr w14:paraId="5506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C7C1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1CA8D13">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服务地点</w:t>
            </w:r>
          </w:p>
        </w:tc>
        <w:tc>
          <w:tcPr>
            <w:tcW w:w="6688" w:type="dxa"/>
            <w:vAlign w:val="center"/>
          </w:tcPr>
          <w:p w14:paraId="448DE3E4">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采购人指定地点</w:t>
            </w:r>
          </w:p>
        </w:tc>
      </w:tr>
      <w:tr w14:paraId="3AA5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98EEC6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7CE7F28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6688" w:type="dxa"/>
            <w:vAlign w:val="center"/>
          </w:tcPr>
          <w:p w14:paraId="13F2345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新疆农业大学智慧校园软件运维项目（2026年）</w:t>
            </w:r>
            <w:r>
              <w:rPr>
                <w:rFonts w:hint="eastAsia" w:ascii="仿宋" w:hAnsi="仿宋" w:eastAsia="仿宋" w:cs="仿宋"/>
                <w:color w:val="auto"/>
                <w:kern w:val="0"/>
                <w:szCs w:val="21"/>
                <w:highlight w:val="none"/>
              </w:rPr>
              <w:t>范围内的所有工作内容，关于</w:t>
            </w:r>
            <w:r>
              <w:rPr>
                <w:rFonts w:hint="eastAsia" w:ascii="仿宋" w:hAnsi="仿宋" w:eastAsia="仿宋" w:cs="仿宋"/>
                <w:color w:val="auto"/>
                <w:kern w:val="0"/>
                <w:szCs w:val="21"/>
                <w:highlight w:val="none"/>
                <w:lang w:eastAsia="zh-CN"/>
              </w:rPr>
              <w:t>采购</w:t>
            </w:r>
            <w:r>
              <w:rPr>
                <w:rFonts w:hint="eastAsia" w:ascii="仿宋" w:hAnsi="仿宋" w:eastAsia="仿宋" w:cs="仿宋"/>
                <w:color w:val="auto"/>
                <w:kern w:val="0"/>
                <w:szCs w:val="21"/>
                <w:highlight w:val="none"/>
              </w:rPr>
              <w:t>范围的详细说明见</w:t>
            </w: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3E01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487EFF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6DD230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6688" w:type="dxa"/>
            <w:vAlign w:val="center"/>
          </w:tcPr>
          <w:p w14:paraId="7FDE446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1D6D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DCBCDD">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C5DBFFE">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6688" w:type="dxa"/>
            <w:vAlign w:val="center"/>
          </w:tcPr>
          <w:p w14:paraId="215BBA0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51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B448E62">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39B21D7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6688" w:type="dxa"/>
            <w:vAlign w:val="center"/>
          </w:tcPr>
          <w:p w14:paraId="0D1CB9FF">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78F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068FF">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E57270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6688" w:type="dxa"/>
            <w:vAlign w:val="center"/>
          </w:tcPr>
          <w:p w14:paraId="5403B393">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0D0C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372308B">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vAlign w:val="center"/>
          </w:tcPr>
          <w:p w14:paraId="3A3AA866">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供应商的资格要求</w:t>
            </w:r>
          </w:p>
        </w:tc>
        <w:tc>
          <w:tcPr>
            <w:tcW w:w="6688" w:type="dxa"/>
            <w:vAlign w:val="center"/>
          </w:tcPr>
          <w:p w14:paraId="07266BC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1、满足《中华人民共和国政府采购法》第二十二条规定。</w:t>
            </w:r>
          </w:p>
          <w:p w14:paraId="0557B81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2、供应商为中小企业。</w:t>
            </w:r>
          </w:p>
          <w:p w14:paraId="172468CA">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如在“信用中国”网站（www.creditchina.gov.cn）、中国政府采购网（www.ccgp.gov.cn）等渠道被列入失信被执行人、重大税收违法失信主体、政府采购严重违法失信行为记录名单，尚在处罚期内的将被拒绝参加本次采购活动。</w:t>
            </w:r>
          </w:p>
        </w:tc>
      </w:tr>
      <w:tr w14:paraId="7814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C6183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vAlign w:val="center"/>
          </w:tcPr>
          <w:p w14:paraId="7D36721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供应商不得存在的情形</w:t>
            </w:r>
          </w:p>
        </w:tc>
        <w:tc>
          <w:tcPr>
            <w:tcW w:w="6688" w:type="dxa"/>
            <w:vAlign w:val="center"/>
          </w:tcPr>
          <w:p w14:paraId="3180F4B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42A8C36D">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2、为采购项目提供整体设计、规范编制或者项目管理、监理、检测等服务的供应商，不得再参加该采购项目的其他采购活动。</w:t>
            </w:r>
          </w:p>
          <w:p w14:paraId="0424072B">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3、单位负责人为同一人或者存在直接控股、管理关系的不同供应商不得参加本项目同一包的采购活动。</w:t>
            </w:r>
          </w:p>
          <w:p w14:paraId="6D321CBF">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4、供应商处于被责令停业、财产被接管、冻结和破产状态，以及</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资格被取消或者被暂停且在暂停期内。</w:t>
            </w:r>
          </w:p>
          <w:p w14:paraId="6347740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5、法律法规及</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规定的其他情形。</w:t>
            </w:r>
          </w:p>
        </w:tc>
      </w:tr>
      <w:tr w14:paraId="391F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60F2620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w:t>
            </w:r>
          </w:p>
        </w:tc>
        <w:tc>
          <w:tcPr>
            <w:tcW w:w="1795" w:type="dxa"/>
            <w:vAlign w:val="center"/>
          </w:tcPr>
          <w:p w14:paraId="06B6B8D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费</w:t>
            </w:r>
          </w:p>
        </w:tc>
        <w:tc>
          <w:tcPr>
            <w:tcW w:w="6688" w:type="dxa"/>
            <w:vAlign w:val="center"/>
          </w:tcPr>
          <w:p w14:paraId="2CFA41D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60C0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91AB0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8</w:t>
            </w:r>
          </w:p>
        </w:tc>
        <w:tc>
          <w:tcPr>
            <w:tcW w:w="1795" w:type="dxa"/>
            <w:vAlign w:val="center"/>
          </w:tcPr>
          <w:p w14:paraId="559BE8B8">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响应保证金</w:t>
            </w:r>
          </w:p>
        </w:tc>
        <w:tc>
          <w:tcPr>
            <w:tcW w:w="6688" w:type="dxa"/>
            <w:vAlign w:val="center"/>
          </w:tcPr>
          <w:p w14:paraId="16EEA75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val="en-US" w:eastAsia="zh-CN"/>
              </w:rPr>
              <w:t>响应保证金</w:t>
            </w:r>
            <w:r>
              <w:rPr>
                <w:rFonts w:hint="eastAsia" w:ascii="仿宋" w:hAnsi="仿宋" w:eastAsia="仿宋" w:cs="仿宋"/>
                <w:color w:val="auto"/>
                <w:kern w:val="0"/>
                <w:szCs w:val="21"/>
                <w:highlight w:val="none"/>
                <w:shd w:val="clear" w:color="auto" w:fill="FFFFFF" w:themeFill="background1"/>
              </w:rPr>
              <w:t>金额：</w:t>
            </w:r>
            <w:r>
              <w:rPr>
                <w:rFonts w:hint="eastAsia" w:ascii="仿宋" w:hAnsi="仿宋" w:eastAsia="仿宋" w:cs="仿宋"/>
                <w:color w:val="auto"/>
                <w:kern w:val="0"/>
                <w:szCs w:val="21"/>
                <w:highlight w:val="none"/>
                <w:shd w:val="clear" w:color="auto" w:fill="FFFFFF" w:themeFill="background1"/>
                <w:lang w:val="en-US" w:eastAsia="zh-CN"/>
              </w:rPr>
              <w:t>6500.00元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w:t>
            </w:r>
            <w:r>
              <w:rPr>
                <w:rFonts w:hint="eastAsia" w:ascii="仿宋" w:hAnsi="仿宋" w:eastAsia="仿宋" w:cs="仿宋"/>
                <w:color w:val="auto"/>
                <w:kern w:val="0"/>
                <w:szCs w:val="21"/>
                <w:highlight w:val="none"/>
                <w:shd w:val="clear" w:color="auto" w:fill="FFFFFF" w:themeFill="background1"/>
                <w:lang w:eastAsia="zh-CN"/>
              </w:rPr>
              <w:t>响应文件</w:t>
            </w:r>
            <w:r>
              <w:rPr>
                <w:rFonts w:hint="eastAsia" w:ascii="仿宋" w:hAnsi="仿宋" w:eastAsia="仿宋" w:cs="仿宋"/>
                <w:color w:val="auto"/>
                <w:kern w:val="0"/>
                <w:szCs w:val="21"/>
                <w:highlight w:val="none"/>
                <w:shd w:val="clear" w:color="auto" w:fill="FFFFFF" w:themeFill="background1"/>
              </w:rPr>
              <w:t>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2FA8D833">
            <w:pPr>
              <w:keepNext/>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r>
              <w:rPr>
                <w:rFonts w:hint="eastAsia" w:ascii="仿宋" w:hAnsi="仿宋" w:eastAsia="仿宋" w:cs="仿宋"/>
                <w:color w:val="auto"/>
                <w:kern w:val="0"/>
                <w:szCs w:val="21"/>
                <w:highlight w:val="none"/>
                <w:shd w:val="clear" w:color="auto" w:fill="FFFFFF" w:themeFill="background1"/>
                <w:lang w:eastAsia="zh-CN"/>
              </w:rPr>
              <w:t>供应商</w:t>
            </w:r>
            <w:r>
              <w:rPr>
                <w:rFonts w:hint="eastAsia" w:ascii="仿宋" w:hAnsi="仿宋" w:eastAsia="仿宋" w:cs="仿宋"/>
                <w:color w:val="auto"/>
                <w:kern w:val="0"/>
                <w:szCs w:val="21"/>
                <w:highlight w:val="none"/>
                <w:shd w:val="clear" w:color="auto" w:fill="FFFFFF" w:themeFill="background1"/>
              </w:rPr>
              <w:t>在提交</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时需备注项目名称简称。</w:t>
            </w:r>
          </w:p>
        </w:tc>
      </w:tr>
      <w:tr w14:paraId="7144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DFC48F">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9</w:t>
            </w:r>
          </w:p>
        </w:tc>
        <w:tc>
          <w:tcPr>
            <w:tcW w:w="1795" w:type="dxa"/>
            <w:vAlign w:val="center"/>
          </w:tcPr>
          <w:p w14:paraId="04ECA9F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6688" w:type="dxa"/>
            <w:vAlign w:val="center"/>
          </w:tcPr>
          <w:p w14:paraId="632A8DD7">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0D2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5E725">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10</w:t>
            </w:r>
          </w:p>
        </w:tc>
        <w:tc>
          <w:tcPr>
            <w:tcW w:w="1795" w:type="dxa"/>
            <w:vAlign w:val="center"/>
          </w:tcPr>
          <w:p w14:paraId="6E617D9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采购答疑</w:t>
            </w:r>
          </w:p>
        </w:tc>
        <w:tc>
          <w:tcPr>
            <w:tcW w:w="6688" w:type="dxa"/>
            <w:vAlign w:val="center"/>
          </w:tcPr>
          <w:p w14:paraId="35561904">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1、提出询问的，应当在响应文件递交截止时间6日前以书面形式（加盖公章）递交至新疆新世纪招标有限公司，否则采购人不作任何解释。</w:t>
            </w:r>
          </w:p>
          <w:p w14:paraId="1E7DFC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提出质疑的，应当在获取</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或者</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公告期限届满之日起7个工作日内一次性以书面形式（按照财政部制定的质疑函范本编写）提出并递交至采购代理机构。</w:t>
            </w:r>
          </w:p>
          <w:p w14:paraId="4C2A87E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w:t>
            </w:r>
            <w:r>
              <w:rPr>
                <w:rFonts w:hint="eastAsia" w:ascii="仿宋" w:hAnsi="仿宋" w:eastAsia="仿宋" w:cs="仿宋"/>
                <w:color w:val="auto"/>
                <w:kern w:val="0"/>
                <w:szCs w:val="21"/>
                <w:highlight w:val="none"/>
                <w:shd w:val="clear" w:color="auto" w:fill="FFFFFF" w:themeFill="background1"/>
                <w:lang w:eastAsia="zh-CN"/>
              </w:rPr>
              <w:t>马丹阳</w:t>
            </w:r>
            <w:r>
              <w:rPr>
                <w:rFonts w:hint="eastAsia" w:ascii="仿宋" w:hAnsi="仿宋" w:eastAsia="仿宋" w:cs="仿宋"/>
                <w:color w:val="auto"/>
                <w:kern w:val="0"/>
                <w:szCs w:val="21"/>
                <w:highlight w:val="none"/>
                <w:shd w:val="clear" w:color="auto" w:fill="FFFFFF" w:themeFill="background1"/>
              </w:rPr>
              <w:t>；联系方式：0991-4661782。</w:t>
            </w:r>
          </w:p>
          <w:p w14:paraId="2EC6B9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的服务要求、资格条件、评审方法、合同文本等所有内容无异议。</w:t>
            </w:r>
          </w:p>
        </w:tc>
      </w:tr>
      <w:tr w14:paraId="7629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A46A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11</w:t>
            </w:r>
          </w:p>
        </w:tc>
        <w:tc>
          <w:tcPr>
            <w:tcW w:w="1795" w:type="dxa"/>
            <w:vAlign w:val="center"/>
          </w:tcPr>
          <w:p w14:paraId="7217BC8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响应文件份数</w:t>
            </w:r>
          </w:p>
        </w:tc>
        <w:tc>
          <w:tcPr>
            <w:tcW w:w="6688" w:type="dxa"/>
            <w:vAlign w:val="center"/>
          </w:tcPr>
          <w:p w14:paraId="1B5691C9">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或</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 xml:space="preserve">失败等后果由供应商自行承担。 </w:t>
            </w:r>
          </w:p>
          <w:p w14:paraId="74DF9C2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639C16AE">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前须提前配置好电脑浏览器，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时请使用制作加密电子响应文件的CA锁进行解密及报价确认。本项目响应文件解密时间定为30分钟，如因自身原因导致无法正常解密，后果由供应商自行承担。</w:t>
            </w:r>
          </w:p>
          <w:p w14:paraId="684029C1">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4、如遇电子交易平台的交易规则调整，以最新要求为准。</w:t>
            </w:r>
          </w:p>
        </w:tc>
      </w:tr>
      <w:tr w14:paraId="0AE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45192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12</w:t>
            </w:r>
          </w:p>
        </w:tc>
        <w:tc>
          <w:tcPr>
            <w:tcW w:w="1795" w:type="dxa"/>
            <w:vAlign w:val="center"/>
          </w:tcPr>
          <w:p w14:paraId="42BF96AC">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响应文件递交</w:t>
            </w:r>
          </w:p>
        </w:tc>
        <w:tc>
          <w:tcPr>
            <w:tcW w:w="6688" w:type="dxa"/>
            <w:vAlign w:val="center"/>
          </w:tcPr>
          <w:p w14:paraId="22BAFB0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2026年</w:t>
            </w:r>
            <w:r>
              <w:rPr>
                <w:rFonts w:hint="eastAsia" w:ascii="仿宋" w:hAnsi="仿宋" w:eastAsia="仿宋" w:cs="仿宋"/>
                <w:color w:val="auto"/>
                <w:kern w:val="0"/>
                <w:szCs w:val="21"/>
                <w:highlight w:val="none"/>
                <w:u w:val="single"/>
                <w:shd w:val="clear" w:color="auto" w:fill="FFFFFF" w:themeFill="background1"/>
                <w:lang w:val="en-US" w:eastAsia="zh-CN"/>
              </w:rPr>
              <w:t>06</w:t>
            </w:r>
            <w:r>
              <w:rPr>
                <w:rFonts w:hint="eastAsia" w:ascii="仿宋" w:hAnsi="仿宋" w:eastAsia="仿宋" w:cs="仿宋"/>
                <w:color w:val="auto"/>
                <w:kern w:val="0"/>
                <w:szCs w:val="21"/>
                <w:highlight w:val="none"/>
                <w:u w:val="single"/>
                <w:shd w:val="clear" w:color="auto" w:fill="FFFFFF" w:themeFill="background1"/>
                <w:lang w:eastAsia="zh-CN"/>
              </w:rPr>
              <w:t>月</w:t>
            </w:r>
            <w:r>
              <w:rPr>
                <w:rFonts w:hint="eastAsia" w:ascii="仿宋" w:hAnsi="仿宋" w:eastAsia="仿宋" w:cs="仿宋"/>
                <w:color w:val="auto"/>
                <w:kern w:val="0"/>
                <w:szCs w:val="21"/>
                <w:highlight w:val="none"/>
                <w:u w:val="single"/>
                <w:shd w:val="clear" w:color="auto" w:fill="FFFFFF" w:themeFill="background1"/>
                <w:lang w:val="en-US" w:eastAsia="zh-CN"/>
              </w:rPr>
              <w:t>11</w:t>
            </w:r>
            <w:r>
              <w:rPr>
                <w:rFonts w:hint="eastAsia" w:ascii="仿宋" w:hAnsi="仿宋" w:eastAsia="仿宋" w:cs="仿宋"/>
                <w:color w:val="auto"/>
                <w:kern w:val="0"/>
                <w:szCs w:val="21"/>
                <w:highlight w:val="none"/>
                <w:u w:val="single"/>
                <w:shd w:val="clear" w:color="auto" w:fill="FFFFFF" w:themeFill="background1"/>
                <w:lang w:eastAsia="zh-CN"/>
              </w:rPr>
              <w:t>日 1</w:t>
            </w:r>
            <w:r>
              <w:rPr>
                <w:rFonts w:hint="eastAsia" w:ascii="仿宋" w:hAnsi="仿宋" w:eastAsia="仿宋" w:cs="仿宋"/>
                <w:color w:val="auto"/>
                <w:kern w:val="0"/>
                <w:szCs w:val="21"/>
                <w:highlight w:val="none"/>
                <w:u w:val="single"/>
                <w:shd w:val="clear" w:color="auto" w:fill="FFFFFF" w:themeFill="background1"/>
                <w:lang w:val="en-US" w:eastAsia="zh-CN"/>
              </w:rPr>
              <w:t>6</w:t>
            </w:r>
            <w:r>
              <w:rPr>
                <w:rFonts w:hint="eastAsia" w:ascii="仿宋" w:hAnsi="仿宋" w:eastAsia="仿宋" w:cs="仿宋"/>
                <w:color w:val="auto"/>
                <w:kern w:val="0"/>
                <w:szCs w:val="21"/>
                <w:highlight w:val="none"/>
                <w:u w:val="single"/>
                <w:shd w:val="clear" w:color="auto" w:fill="FFFFFF" w:themeFill="background1"/>
                <w:lang w:eastAsia="zh-CN"/>
              </w:rPr>
              <w:t>:00</w:t>
            </w:r>
            <w:r>
              <w:rPr>
                <w:rFonts w:hint="eastAsia" w:ascii="仿宋" w:hAnsi="仿宋" w:eastAsia="仿宋" w:cs="仿宋"/>
                <w:color w:val="auto"/>
                <w:kern w:val="0"/>
                <w:szCs w:val="21"/>
                <w:highlight w:val="none"/>
                <w:shd w:val="clear" w:color="auto" w:fill="FFFFFF" w:themeFill="background1"/>
              </w:rPr>
              <w:t>（北京时间）</w:t>
            </w:r>
          </w:p>
          <w:p w14:paraId="64EC48D0">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BFD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C16EB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13</w:t>
            </w:r>
          </w:p>
        </w:tc>
        <w:tc>
          <w:tcPr>
            <w:tcW w:w="1795" w:type="dxa"/>
            <w:vAlign w:val="center"/>
          </w:tcPr>
          <w:p w14:paraId="351F0390">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开启</w:t>
            </w:r>
          </w:p>
        </w:tc>
        <w:tc>
          <w:tcPr>
            <w:tcW w:w="6688" w:type="dxa"/>
            <w:vAlign w:val="center"/>
          </w:tcPr>
          <w:p w14:paraId="13A8E394">
            <w:pPr>
              <w:spacing w:line="288" w:lineRule="auto"/>
              <w:jc w:val="left"/>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2026年</w:t>
            </w:r>
            <w:r>
              <w:rPr>
                <w:rFonts w:hint="eastAsia" w:ascii="仿宋" w:hAnsi="仿宋" w:eastAsia="仿宋" w:cs="仿宋"/>
                <w:color w:val="auto"/>
                <w:kern w:val="0"/>
                <w:szCs w:val="21"/>
                <w:highlight w:val="none"/>
                <w:u w:val="single"/>
                <w:shd w:val="clear" w:color="auto" w:fill="FFFFFF" w:themeFill="background1"/>
                <w:lang w:val="en-US" w:eastAsia="zh-CN"/>
              </w:rPr>
              <w:t>06</w:t>
            </w:r>
            <w:r>
              <w:rPr>
                <w:rFonts w:hint="eastAsia" w:ascii="仿宋" w:hAnsi="仿宋" w:eastAsia="仿宋" w:cs="仿宋"/>
                <w:color w:val="auto"/>
                <w:kern w:val="0"/>
                <w:szCs w:val="21"/>
                <w:highlight w:val="none"/>
                <w:u w:val="single"/>
                <w:shd w:val="clear" w:color="auto" w:fill="FFFFFF" w:themeFill="background1"/>
                <w:lang w:eastAsia="zh-CN"/>
              </w:rPr>
              <w:t>月</w:t>
            </w:r>
            <w:r>
              <w:rPr>
                <w:rFonts w:hint="eastAsia" w:ascii="仿宋" w:hAnsi="仿宋" w:eastAsia="仿宋" w:cs="仿宋"/>
                <w:color w:val="auto"/>
                <w:kern w:val="0"/>
                <w:szCs w:val="21"/>
                <w:highlight w:val="none"/>
                <w:u w:val="single"/>
                <w:shd w:val="clear" w:color="auto" w:fill="FFFFFF" w:themeFill="background1"/>
                <w:lang w:val="en-US" w:eastAsia="zh-CN"/>
              </w:rPr>
              <w:t>11</w:t>
            </w:r>
            <w:r>
              <w:rPr>
                <w:rFonts w:hint="eastAsia" w:ascii="仿宋" w:hAnsi="仿宋" w:eastAsia="仿宋" w:cs="仿宋"/>
                <w:color w:val="auto"/>
                <w:kern w:val="0"/>
                <w:szCs w:val="21"/>
                <w:highlight w:val="none"/>
                <w:u w:val="single"/>
                <w:shd w:val="clear" w:color="auto" w:fill="FFFFFF" w:themeFill="background1"/>
                <w:lang w:eastAsia="zh-CN"/>
              </w:rPr>
              <w:t>日 1</w:t>
            </w:r>
            <w:r>
              <w:rPr>
                <w:rFonts w:hint="eastAsia" w:ascii="仿宋" w:hAnsi="仿宋" w:eastAsia="仿宋" w:cs="仿宋"/>
                <w:color w:val="auto"/>
                <w:kern w:val="0"/>
                <w:szCs w:val="21"/>
                <w:highlight w:val="none"/>
                <w:u w:val="single"/>
                <w:shd w:val="clear" w:color="auto" w:fill="FFFFFF" w:themeFill="background1"/>
                <w:lang w:val="en-US" w:eastAsia="zh-CN"/>
              </w:rPr>
              <w:t>6</w:t>
            </w:r>
            <w:r>
              <w:rPr>
                <w:rFonts w:hint="eastAsia" w:ascii="仿宋" w:hAnsi="仿宋" w:eastAsia="仿宋" w:cs="仿宋"/>
                <w:color w:val="auto"/>
                <w:kern w:val="0"/>
                <w:szCs w:val="21"/>
                <w:highlight w:val="none"/>
                <w:u w:val="single"/>
                <w:shd w:val="clear" w:color="auto" w:fill="FFFFFF" w:themeFill="background1"/>
                <w:lang w:eastAsia="zh-CN"/>
              </w:rPr>
              <w:t>:00</w:t>
            </w:r>
            <w:r>
              <w:rPr>
                <w:rFonts w:hint="eastAsia" w:ascii="仿宋" w:hAnsi="仿宋" w:eastAsia="仿宋" w:cs="仿宋"/>
                <w:color w:val="auto"/>
                <w:kern w:val="0"/>
                <w:szCs w:val="21"/>
                <w:highlight w:val="none"/>
                <w:shd w:val="clear" w:color="auto" w:fill="FFFFFF" w:themeFill="background1"/>
              </w:rPr>
              <w:t>（北京时间）</w:t>
            </w:r>
          </w:p>
          <w:p w14:paraId="115FBE6D">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63E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7B3CDD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14</w:t>
            </w:r>
          </w:p>
        </w:tc>
        <w:tc>
          <w:tcPr>
            <w:tcW w:w="1795" w:type="dxa"/>
            <w:vAlign w:val="center"/>
          </w:tcPr>
          <w:p w14:paraId="410F5AB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响应有效期</w:t>
            </w:r>
          </w:p>
        </w:tc>
        <w:tc>
          <w:tcPr>
            <w:tcW w:w="6688" w:type="dxa"/>
            <w:vAlign w:val="center"/>
          </w:tcPr>
          <w:p w14:paraId="2852D299">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截止之日90日历日</w:t>
            </w:r>
          </w:p>
        </w:tc>
      </w:tr>
      <w:tr w14:paraId="3D55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56E58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15</w:t>
            </w:r>
          </w:p>
        </w:tc>
        <w:tc>
          <w:tcPr>
            <w:tcW w:w="1795" w:type="dxa"/>
            <w:vAlign w:val="center"/>
          </w:tcPr>
          <w:p w14:paraId="5ED3E92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6688" w:type="dxa"/>
            <w:vAlign w:val="center"/>
          </w:tcPr>
          <w:p w14:paraId="72884FA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新疆政府采购网（http://www.ccgp-xinjiang.gov.cn/home.html）</w:t>
            </w:r>
          </w:p>
        </w:tc>
      </w:tr>
      <w:tr w14:paraId="5A1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D9BA9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16</w:t>
            </w:r>
          </w:p>
        </w:tc>
        <w:tc>
          <w:tcPr>
            <w:tcW w:w="1795" w:type="dxa"/>
            <w:vAlign w:val="center"/>
          </w:tcPr>
          <w:p w14:paraId="00880C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6688" w:type="dxa"/>
            <w:vAlign w:val="center"/>
          </w:tcPr>
          <w:p w14:paraId="4811CF55">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highlight w:val="none"/>
              </w:rPr>
              <w:t>要求提供</w:t>
            </w:r>
          </w:p>
          <w:p w14:paraId="29C1D9C1">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highlight w:val="none"/>
              </w:rPr>
              <w:t>不要求提供</w:t>
            </w:r>
          </w:p>
        </w:tc>
      </w:tr>
      <w:tr w14:paraId="2A9D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BB1F34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17</w:t>
            </w:r>
          </w:p>
        </w:tc>
        <w:tc>
          <w:tcPr>
            <w:tcW w:w="1795" w:type="dxa"/>
            <w:vAlign w:val="center"/>
          </w:tcPr>
          <w:p w14:paraId="4F9815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6688" w:type="dxa"/>
            <w:vAlign w:val="center"/>
          </w:tcPr>
          <w:p w14:paraId="6E765F32">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w:t>
            </w:r>
          </w:p>
          <w:p w14:paraId="576AF5E6">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2、符合中小企业划分标准的个体工商户，在政府采购活动中视同中小企业；残疾人福利性单位和监狱企业视同小型、微型企业。</w:t>
            </w:r>
          </w:p>
          <w:p w14:paraId="1288B277">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3、根据“关于印发中小企业划型标准规定的通知(工信部联企业〔2011〕300号)”等有关规定，本项目标的所属行业为</w:t>
            </w:r>
            <w:r>
              <w:rPr>
                <w:rFonts w:hint="eastAsia" w:ascii="仿宋" w:hAnsi="仿宋" w:eastAsia="仿宋" w:cs="仿宋"/>
                <w:color w:val="auto"/>
                <w:kern w:val="0"/>
                <w:szCs w:val="21"/>
                <w:highlight w:val="none"/>
                <w:shd w:val="clear" w:color="auto" w:fill="FFFFFF" w:themeFill="background1"/>
                <w:lang w:eastAsia="zh-CN"/>
              </w:rPr>
              <w:t>软件和信息技术服务业</w:t>
            </w:r>
            <w:r>
              <w:rPr>
                <w:rFonts w:hint="eastAsia" w:ascii="仿宋" w:hAnsi="仿宋" w:eastAsia="仿宋" w:cs="仿宋"/>
                <w:color w:val="auto"/>
                <w:kern w:val="0"/>
                <w:szCs w:val="21"/>
                <w:highlight w:val="none"/>
                <w:shd w:val="clear" w:color="auto" w:fill="FFFFFF" w:themeFill="background1"/>
              </w:rPr>
              <w:t>。</w:t>
            </w:r>
          </w:p>
        </w:tc>
      </w:tr>
      <w:tr w14:paraId="7EB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CA1001">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18</w:t>
            </w:r>
          </w:p>
        </w:tc>
        <w:tc>
          <w:tcPr>
            <w:tcW w:w="1795" w:type="dxa"/>
            <w:vAlign w:val="center"/>
          </w:tcPr>
          <w:p w14:paraId="672B4F15">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是否允许分包</w:t>
            </w:r>
          </w:p>
        </w:tc>
        <w:tc>
          <w:tcPr>
            <w:tcW w:w="6688" w:type="dxa"/>
            <w:vAlign w:val="center"/>
          </w:tcPr>
          <w:p w14:paraId="0E8719FF">
            <w:pPr>
              <w:keepNext/>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94904B2">
            <w:pPr>
              <w:keepNext/>
              <w:widowControl/>
              <w:spacing w:line="288" w:lineRule="auto"/>
              <w:ind w:firstLine="420" w:firstLineChars="200"/>
              <w:jc w:val="left"/>
              <w:rPr>
                <w:rFonts w:hint="eastAsia" w:ascii="仿宋" w:hAnsi="仿宋" w:eastAsia="仿宋" w:cs="仿宋"/>
                <w:color w:val="auto"/>
                <w:kern w:val="0"/>
                <w:szCs w:val="21"/>
                <w:highlight w:val="none"/>
                <w:u w:val="single"/>
                <w:shd w:val="clear" w:color="auto" w:fill="FFFFFF" w:themeFill="background1"/>
                <w:lang w:val="en-US" w:eastAsia="zh-CN"/>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p>
        </w:tc>
      </w:tr>
      <w:tr w14:paraId="7B34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829365E">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19</w:t>
            </w:r>
          </w:p>
        </w:tc>
        <w:tc>
          <w:tcPr>
            <w:tcW w:w="1795" w:type="dxa"/>
            <w:vAlign w:val="center"/>
          </w:tcPr>
          <w:p w14:paraId="091DD29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6688" w:type="dxa"/>
            <w:vAlign w:val="center"/>
          </w:tcPr>
          <w:p w14:paraId="1E4722B0">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lang w:val="en-US" w:eastAsia="zh-CN"/>
              </w:rPr>
              <w:t>采购文件中所述政策法规、标准规范等文件，如有新文件则按新文件执行，如已废止则仅为参考。</w:t>
            </w:r>
          </w:p>
          <w:p w14:paraId="2712D73A">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Cs w:val="21"/>
                <w:highlight w:val="none"/>
                <w:lang w:val="en-US" w:eastAsia="zh-CN"/>
              </w:rPr>
              <w:t>供应商须根据采购文件要求在响应文件中提供评审所需的相应证明材料扫描件。</w:t>
            </w:r>
          </w:p>
          <w:p w14:paraId="696075F5">
            <w:pPr>
              <w:keepNext/>
              <w:widowControl/>
              <w:numPr>
                <w:ilvl w:val="0"/>
                <w:numId w:val="0"/>
              </w:numPr>
              <w:ind w:firstLine="420" w:firstLineChars="200"/>
              <w:jc w:val="left"/>
              <w:rPr>
                <w:rFonts w:hint="eastAsia" w:ascii="仿宋" w:hAnsi="仿宋" w:eastAsia="仿宋" w:cs="仿宋"/>
                <w:color w:val="auto"/>
                <w:kern w:val="0"/>
                <w:sz w:val="21"/>
                <w:szCs w:val="21"/>
                <w:highlight w:val="none"/>
                <w:shd w:val="clear" w:fill="FFFFFF" w:themeFill="background1"/>
                <w:lang w:val="en-US" w:eastAsia="zh-CN" w:bidi="ar-SA"/>
              </w:rPr>
            </w:pPr>
            <w:r>
              <w:rPr>
                <w:rFonts w:hint="eastAsia" w:ascii="仿宋" w:hAnsi="仿宋" w:eastAsia="仿宋" w:cs="仿宋"/>
                <w:color w:val="auto"/>
                <w:kern w:val="0"/>
                <w:sz w:val="21"/>
                <w:szCs w:val="21"/>
                <w:highlight w:val="none"/>
                <w:shd w:val="clear" w:fill="FFFFFF" w:themeFill="background1"/>
                <w:lang w:val="en-US" w:eastAsia="zh-CN" w:bidi="ar-SA"/>
              </w:rPr>
              <w:t>3、</w:t>
            </w:r>
            <w:r>
              <w:rPr>
                <w:rFonts w:hint="eastAsia" w:ascii="仿宋" w:hAnsi="仿宋" w:eastAsia="仿宋" w:cs="仿宋"/>
                <w:color w:val="auto"/>
                <w:kern w:val="0"/>
                <w:szCs w:val="21"/>
                <w:highlight w:val="none"/>
                <w:lang w:val="en-US" w:eastAsia="zh-CN"/>
              </w:rPr>
              <w:t>最低报价不能作为中标的保证。</w:t>
            </w:r>
          </w:p>
          <w:p w14:paraId="393C2011">
            <w:pPr>
              <w:keepNext/>
              <w:widowControl/>
              <w:numPr>
                <w:ilvl w:val="0"/>
                <w:numId w:val="0"/>
              </w:numPr>
              <w:ind w:firstLine="420" w:firstLineChars="200"/>
              <w:jc w:val="left"/>
              <w:rPr>
                <w:rFonts w:hint="eastAsia" w:ascii="仿宋" w:hAnsi="仿宋" w:eastAsia="仿宋" w:cs="仿宋"/>
                <w:color w:val="auto"/>
                <w:highlight w:val="none"/>
                <w:lang w:val="en-US"/>
              </w:rPr>
            </w:pPr>
            <w:r>
              <w:rPr>
                <w:rFonts w:hint="eastAsia" w:ascii="仿宋" w:hAnsi="仿宋" w:eastAsia="仿宋" w:cs="仿宋"/>
                <w:color w:val="auto"/>
                <w:kern w:val="0"/>
                <w:sz w:val="21"/>
                <w:szCs w:val="21"/>
                <w:highlight w:val="none"/>
                <w:shd w:val="clear" w:fill="FFFFFF" w:themeFill="background1"/>
                <w:lang w:val="en-US" w:eastAsia="zh-CN" w:bidi="ar-SA"/>
              </w:rPr>
              <w:t>4、</w:t>
            </w:r>
            <w:r>
              <w:rPr>
                <w:rFonts w:hint="eastAsia" w:ascii="仿宋" w:hAnsi="仿宋" w:eastAsia="仿宋" w:cs="仿宋"/>
                <w:color w:val="auto"/>
                <w:kern w:val="0"/>
                <w:szCs w:val="21"/>
                <w:highlight w:val="none"/>
                <w:lang w:val="en-US" w:eastAsia="zh-CN"/>
              </w:rPr>
              <w:t>本表内容如与后文内容不一致处，以本表为准。</w:t>
            </w:r>
          </w:p>
        </w:tc>
      </w:tr>
    </w:tbl>
    <w:p w14:paraId="15470D41">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7" w:name="_BookMark_3"/>
      <w:bookmarkEnd w:id="7"/>
      <w:r>
        <w:rPr>
          <w:rFonts w:hint="eastAsia" w:ascii="仿宋" w:hAnsi="仿宋" w:eastAsia="仿宋" w:cs="仿宋"/>
          <w:color w:val="auto"/>
          <w:kern w:val="0"/>
          <w:sz w:val="24"/>
          <w:szCs w:val="24"/>
          <w:highlight w:val="none"/>
          <w:shd w:val="clear" w:color="auto" w:fill="FFFFFF" w:themeFill="background1"/>
        </w:rPr>
        <w:br w:type="page"/>
      </w:r>
      <w:bookmarkStart w:id="8" w:name="_Toc32670"/>
      <w:r>
        <w:rPr>
          <w:rFonts w:hint="eastAsia" w:ascii="仿宋" w:hAnsi="仿宋" w:eastAsia="仿宋" w:cs="仿宋"/>
          <w:b/>
          <w:color w:val="auto"/>
          <w:sz w:val="24"/>
          <w:szCs w:val="24"/>
          <w:highlight w:val="none"/>
          <w:shd w:val="clear" w:color="auto" w:fill="FFFFFF" w:themeFill="background1"/>
        </w:rPr>
        <w:t>第一章 供应商须知</w:t>
      </w:r>
      <w:bookmarkEnd w:id="8"/>
      <w:bookmarkStart w:id="9" w:name="_BookMark_2"/>
      <w:bookmarkEnd w:id="9"/>
    </w:p>
    <w:p w14:paraId="4B91F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0" w:name="_Toc6429"/>
      <w:r>
        <w:rPr>
          <w:rFonts w:hint="eastAsia" w:ascii="仿宋" w:hAnsi="仿宋" w:eastAsia="仿宋" w:cs="仿宋"/>
          <w:b/>
          <w:color w:val="auto"/>
          <w:sz w:val="24"/>
          <w:szCs w:val="24"/>
          <w:highlight w:val="none"/>
          <w:shd w:val="clear" w:color="auto" w:fill="FFFFFF" w:themeFill="background1"/>
        </w:rPr>
        <w:t>一、总则</w:t>
      </w:r>
      <w:bookmarkEnd w:id="10"/>
    </w:p>
    <w:p w14:paraId="651AD5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 采购项目概况</w:t>
      </w:r>
    </w:p>
    <w:p w14:paraId="030EB1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1.1.1项目名称：见供应商须知前附表。</w:t>
      </w:r>
    </w:p>
    <w:p w14:paraId="2D0E13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1.1.2项目编号：见供应商须知前附表。</w:t>
      </w:r>
    </w:p>
    <w:p w14:paraId="152A6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1.1.3采购人：见供应商须知前附表。</w:t>
      </w:r>
    </w:p>
    <w:p w14:paraId="5BBB2C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1.1.4采购代理机构：见供应商须知前附表。</w:t>
      </w:r>
    </w:p>
    <w:p w14:paraId="7DA0B6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1.1.5项目地点：见供应商须知前附表。</w:t>
      </w:r>
    </w:p>
    <w:p w14:paraId="1E0D73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1.1.6资金来源：见供应商须知前附表。</w:t>
      </w:r>
    </w:p>
    <w:p w14:paraId="2D037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1.1.7采购预算金额：见供应商须知前附表。</w:t>
      </w:r>
    </w:p>
    <w:p w14:paraId="2DCB97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1.1.8</w:t>
      </w:r>
      <w:r>
        <w:rPr>
          <w:rFonts w:hint="eastAsia" w:ascii="仿宋" w:hAnsi="仿宋" w:eastAsia="仿宋" w:cs="仿宋"/>
          <w:color w:val="auto"/>
          <w:kern w:val="0"/>
          <w:sz w:val="24"/>
          <w:szCs w:val="24"/>
          <w:highlight w:val="none"/>
          <w:shd w:val="clear" w:color="auto" w:fill="FFFFFF" w:themeFill="background1"/>
          <w:lang w:val="en-US" w:eastAsia="zh-CN"/>
        </w:rPr>
        <w:t>最高限价</w:t>
      </w:r>
      <w:r>
        <w:rPr>
          <w:rFonts w:hint="eastAsia" w:ascii="仿宋" w:hAnsi="仿宋" w:eastAsia="仿宋" w:cs="仿宋"/>
          <w:color w:val="auto"/>
          <w:kern w:val="0"/>
          <w:sz w:val="24"/>
          <w:szCs w:val="24"/>
          <w:highlight w:val="none"/>
          <w:shd w:val="clear" w:color="auto" w:fill="FFFFFF" w:themeFill="background1"/>
        </w:rPr>
        <w:t>：见供应商须知前附表。</w:t>
      </w:r>
    </w:p>
    <w:p w14:paraId="1985A3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lang w:eastAsia="zh-CN"/>
        </w:rPr>
        <w:t>合同履约期限</w:t>
      </w:r>
      <w:r>
        <w:rPr>
          <w:rFonts w:hint="eastAsia" w:ascii="仿宋" w:hAnsi="仿宋" w:eastAsia="仿宋" w:cs="仿宋"/>
          <w:color w:val="auto"/>
          <w:kern w:val="0"/>
          <w:sz w:val="24"/>
          <w:szCs w:val="24"/>
          <w:highlight w:val="none"/>
          <w:shd w:val="clear" w:color="auto" w:fill="FFFFFF" w:themeFill="background1"/>
        </w:rPr>
        <w:t>：见供应商须知前附表。</w:t>
      </w:r>
    </w:p>
    <w:p w14:paraId="30EE5A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服务地点：见供应商须知前附表。</w:t>
      </w:r>
    </w:p>
    <w:p w14:paraId="6B54F6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1.2采购范围：见供应商须知前附表。</w:t>
      </w:r>
    </w:p>
    <w:p w14:paraId="1BB24B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 采购方式和资格审查方式</w:t>
      </w:r>
    </w:p>
    <w:p w14:paraId="6230ED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1.3.1 采购方式：见供应商须知前附表。</w:t>
      </w:r>
    </w:p>
    <w:p w14:paraId="7F576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1.3.2 资格审查方式：见供应商须知前附表。</w:t>
      </w:r>
    </w:p>
    <w:p w14:paraId="653E71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 评审办法及定标方法</w:t>
      </w:r>
    </w:p>
    <w:p w14:paraId="6392E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1.4.1 评审办法：见供应商须知前附表。</w:t>
      </w:r>
    </w:p>
    <w:p w14:paraId="58396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1.4.2 定标方法：见供应商须知前附表。</w:t>
      </w:r>
    </w:p>
    <w:p w14:paraId="3B28A4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1.5 </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：见供应商须知前附表。</w:t>
      </w:r>
    </w:p>
    <w:p w14:paraId="051C9F04">
      <w:pPr>
        <w:widowControl/>
        <w:shd w:val="clear" w:color="auto" w:fill="FFFFFF"/>
        <w:snapToGrid w:val="0"/>
        <w:spacing w:line="360" w:lineRule="auto"/>
        <w:ind w:firstLine="480" w:firstLineChars="200"/>
        <w:rPr>
          <w:rFonts w:hint="eastAsia" w:ascii="仿宋" w:hAnsi="仿宋" w:eastAsia="仿宋" w:cs="仿宋"/>
          <w:b/>
          <w:bCs/>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1.6 供应商不得存在的情形：见供应商须知前附表。</w:t>
      </w:r>
    </w:p>
    <w:p w14:paraId="18D3DF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1.7费用承担</w:t>
      </w:r>
    </w:p>
    <w:p w14:paraId="54BD8A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费：见供应商须知前附表。</w:t>
      </w:r>
    </w:p>
    <w:p w14:paraId="2D9885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1.7.2供应商应承担其编制响应文件与递交响应文件所涉及的一切费用，无论</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结果如何，采购人及采购代理机构对上述费用不作任何补偿。</w:t>
      </w:r>
      <w:r>
        <w:rPr>
          <w:rFonts w:hint="eastAsia" w:ascii="仿宋" w:hAnsi="仿宋" w:eastAsia="仿宋" w:cs="仿宋"/>
          <w:color w:val="auto"/>
          <w:kern w:val="0"/>
          <w:sz w:val="24"/>
          <w:szCs w:val="24"/>
          <w:highlight w:val="none"/>
          <w:shd w:val="clear" w:color="auto" w:fill="FFFFFF" w:themeFill="background1"/>
          <w:lang w:eastAsia="zh-CN"/>
        </w:rPr>
        <w:t>代理服务费</w:t>
      </w:r>
      <w:r>
        <w:rPr>
          <w:rFonts w:hint="eastAsia" w:ascii="仿宋" w:hAnsi="仿宋" w:eastAsia="仿宋" w:cs="仿宋"/>
          <w:color w:val="auto"/>
          <w:kern w:val="0"/>
          <w:sz w:val="24"/>
          <w:szCs w:val="24"/>
          <w:highlight w:val="none"/>
          <w:shd w:val="clear" w:color="auto" w:fill="FFFFFF" w:themeFill="background1"/>
        </w:rPr>
        <w:t>由成交供应商支付。</w:t>
      </w:r>
    </w:p>
    <w:p w14:paraId="26BDD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1.8</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：见供应商须知前附表。</w:t>
      </w:r>
    </w:p>
    <w:p w14:paraId="185FDF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1.9现场踏勘</w:t>
      </w:r>
    </w:p>
    <w:p w14:paraId="0C5F3A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1.9.1 供应商须知前附表规定组织踏勘现场的，采购人或采购代理机构按供应商须知前附表规定的时间、地点组织供应商踏勘项目现场。 </w:t>
      </w:r>
    </w:p>
    <w:p w14:paraId="65A8B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1.9.2 供应商踏勘现场发生的费用自理。</w:t>
      </w:r>
    </w:p>
    <w:p w14:paraId="1EA03C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1.9.3 除采购人或采购代理机构的原因外，供应商自行负责在踏勘现场中所发生的人员伤亡和财产损失。</w:t>
      </w:r>
    </w:p>
    <w:p w14:paraId="4CDC45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1.9.4 采购人或采购代理机构在踏勘现场中介绍的项目有关情况，供应商在编制响应文件时参考，采购人或采购代理机构不对供应商据此作出的判断和决策负责。</w:t>
      </w:r>
    </w:p>
    <w:p w14:paraId="371337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 采购答疑</w:t>
      </w:r>
    </w:p>
    <w:p w14:paraId="5E573F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1.10.1 供应商若有疑问，应按规定的时间、方式向采购人或采购代理机构提出，要求采购人对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6B17FF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1.10.2 采购人或采购代理机构将按规定的时间方式对供应商的疑问作出统一的解答。</w:t>
      </w:r>
    </w:p>
    <w:p w14:paraId="3F2A2C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1.11响应文件份数：见供应商须知前附表。</w:t>
      </w:r>
    </w:p>
    <w:p w14:paraId="783B1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1.12响应文件递交：见供应商须知前附表。</w:t>
      </w:r>
    </w:p>
    <w:p w14:paraId="460BB0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：见供应商须知前附表。</w:t>
      </w:r>
    </w:p>
    <w:p w14:paraId="2F476D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1.14响应有效期：见供应商须知前附表。</w:t>
      </w:r>
    </w:p>
    <w:p w14:paraId="15ECE7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1.15公告发布媒体：见供应商须知前附表。</w:t>
      </w:r>
    </w:p>
    <w:p w14:paraId="29AAEA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1.16履约保证金：见供应商须知前附表。</w:t>
      </w:r>
    </w:p>
    <w:p w14:paraId="519907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1.17中小企业政策说明：见供应商须知前附表。</w:t>
      </w:r>
    </w:p>
    <w:p w14:paraId="5DAE75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1.18是否允许分包：见供应商须知前附表。</w:t>
      </w:r>
    </w:p>
    <w:p w14:paraId="27416E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1.19保密</w:t>
      </w:r>
    </w:p>
    <w:p w14:paraId="20B8F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参与</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的各方应当对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和响应文件中的商业和技术等秘密保密，否则应当承担相应的法律责任。</w:t>
      </w:r>
    </w:p>
    <w:p w14:paraId="38D4DF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1.20语言文字</w:t>
      </w:r>
    </w:p>
    <w:p w14:paraId="087F31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除专用术语外，与</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有关的语言均应当使用中文。必要时专用术语应附有中文注释。</w:t>
      </w:r>
    </w:p>
    <w:p w14:paraId="305259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1.21 计量单位</w:t>
      </w:r>
    </w:p>
    <w:p w14:paraId="1BB5E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所有计量均采用中华人民共和国法定计量单位。</w:t>
      </w:r>
    </w:p>
    <w:p w14:paraId="1AB0C2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1.22 偏离</w:t>
      </w:r>
    </w:p>
    <w:p w14:paraId="6C954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响应文件与</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某些要求产生偏离的，偏离应当符合</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规定的偏离范围和幅度。</w:t>
      </w:r>
    </w:p>
    <w:p w14:paraId="00811E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1" w:name="_Toc27496"/>
      <w:r>
        <w:rPr>
          <w:rFonts w:hint="eastAsia" w:ascii="仿宋" w:hAnsi="仿宋" w:eastAsia="仿宋" w:cs="仿宋"/>
          <w:b/>
          <w:color w:val="auto"/>
          <w:sz w:val="24"/>
          <w:szCs w:val="24"/>
          <w:highlight w:val="none"/>
          <w:shd w:val="clear" w:color="auto" w:fill="FFFFFF" w:themeFill="background1"/>
        </w:rPr>
        <w:t>二、</w:t>
      </w:r>
      <w:r>
        <w:rPr>
          <w:rFonts w:hint="eastAsia" w:ascii="仿宋" w:hAnsi="仿宋" w:eastAsia="仿宋" w:cs="仿宋"/>
          <w:b/>
          <w:color w:val="auto"/>
          <w:sz w:val="24"/>
          <w:szCs w:val="24"/>
          <w:highlight w:val="none"/>
          <w:shd w:val="clear" w:color="auto" w:fill="FFFFFF" w:themeFill="background1"/>
          <w:lang w:eastAsia="zh-CN"/>
        </w:rPr>
        <w:t>采购文件</w:t>
      </w:r>
      <w:bookmarkEnd w:id="11"/>
    </w:p>
    <w:p w14:paraId="19B72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w:t>
      </w:r>
    </w:p>
    <w:p w14:paraId="34628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（1）磋商公告</w:t>
      </w:r>
    </w:p>
    <w:p w14:paraId="376D4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72627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707364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（4）评审办法</w:t>
      </w:r>
    </w:p>
    <w:p w14:paraId="286E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5775E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FF967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（7）响应文件格式；</w:t>
      </w:r>
    </w:p>
    <w:p w14:paraId="2A3493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7E6AE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根据本章第2.3款和第2.4款对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所作的澄清、修改，构成</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w:t>
      </w:r>
    </w:p>
    <w:p w14:paraId="77A588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的获取</w:t>
      </w:r>
    </w:p>
    <w:p w14:paraId="2188F2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凡有意参加并符合供应商须知前附表“</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”的供应商，均可获取</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68884F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w:t>
      </w:r>
    </w:p>
    <w:p w14:paraId="6FEEFB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 供应商应当仔细阅读和检查</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5D035D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的澄清将按照供应商须知前附表规定的时间、方式发布，但不指明澄清问题的来源。</w:t>
      </w:r>
    </w:p>
    <w:p w14:paraId="7BCB5C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w:t>
      </w:r>
    </w:p>
    <w:p w14:paraId="39FE5B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的修改将按照供应商须知前附表规定的时间、方式发布，但不指明澄清问题的来源。</w:t>
      </w:r>
    </w:p>
    <w:p w14:paraId="6C1556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进行修改。</w:t>
      </w:r>
    </w:p>
    <w:p w14:paraId="649ACC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的修改部分是</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的组成部分对供应商具有约束力。</w:t>
      </w:r>
    </w:p>
    <w:p w14:paraId="4E623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时有充分时间对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的修改部分进行研究，采购人可适当推迟</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043705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的答疑文件、修改文件、补充文件前后不一致，发生矛盾情况时，以最后发出的为准。</w:t>
      </w:r>
    </w:p>
    <w:p w14:paraId="4F94BE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65147E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74C248F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2" w:name="_BookMark_6"/>
      <w:bookmarkEnd w:id="12"/>
      <w:bookmarkStart w:id="13" w:name="_Toc994"/>
      <w:r>
        <w:rPr>
          <w:rFonts w:hint="eastAsia" w:ascii="仿宋" w:hAnsi="仿宋" w:eastAsia="仿宋" w:cs="仿宋"/>
          <w:b/>
          <w:color w:val="auto"/>
          <w:sz w:val="24"/>
          <w:szCs w:val="24"/>
          <w:highlight w:val="none"/>
          <w:shd w:val="clear" w:color="auto" w:fill="FFFFFF" w:themeFill="background1"/>
        </w:rPr>
        <w:t>三、响应文件</w:t>
      </w:r>
      <w:bookmarkEnd w:id="13"/>
    </w:p>
    <w:p w14:paraId="02806D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响应文件的组成</w:t>
      </w:r>
    </w:p>
    <w:p w14:paraId="18CD37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3.1.1响应文件应包括下列内容：</w:t>
      </w:r>
    </w:p>
    <w:p w14:paraId="4BD70EF4">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w:t>
      </w:r>
      <w:r>
        <w:rPr>
          <w:rFonts w:hint="eastAsia" w:ascii="仿宋" w:hAnsi="仿宋" w:eastAsia="仿宋" w:cs="仿宋"/>
          <w:color w:val="auto"/>
          <w:kern w:val="0"/>
          <w:sz w:val="24"/>
          <w:szCs w:val="24"/>
          <w:highlight w:val="none"/>
          <w:shd w:val="clear" w:color="auto" w:fill="FFFFFF" w:themeFill="background1"/>
          <w:lang w:val="en-US" w:eastAsia="zh-CN"/>
        </w:rPr>
        <w:t>启</w:t>
      </w:r>
      <w:r>
        <w:rPr>
          <w:rFonts w:hint="eastAsia" w:ascii="仿宋" w:hAnsi="仿宋" w:eastAsia="仿宋" w:cs="仿宋"/>
          <w:color w:val="auto"/>
          <w:kern w:val="0"/>
          <w:sz w:val="24"/>
          <w:szCs w:val="24"/>
          <w:highlight w:val="none"/>
          <w:shd w:val="clear" w:color="auto" w:fill="FFFFFF" w:themeFill="background1"/>
        </w:rPr>
        <w:t>一览表</w:t>
      </w:r>
    </w:p>
    <w:p w14:paraId="7B77848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、响应函</w:t>
      </w:r>
    </w:p>
    <w:p w14:paraId="7050342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价格明细表</w:t>
      </w:r>
    </w:p>
    <w:p w14:paraId="6B55EA1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商务条款偏离表</w:t>
      </w:r>
    </w:p>
    <w:p w14:paraId="57DEFD6D">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技术条款偏离表</w:t>
      </w:r>
    </w:p>
    <w:p w14:paraId="64103B9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法定代表人身份证明书</w:t>
      </w:r>
    </w:p>
    <w:p w14:paraId="6B245D90">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法定代表人授权委托书</w:t>
      </w:r>
    </w:p>
    <w:p w14:paraId="0E479437">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资格条件证明材料</w:t>
      </w:r>
    </w:p>
    <w:p w14:paraId="3E53CF5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近年类似项目情况表</w:t>
      </w:r>
    </w:p>
    <w:p w14:paraId="7D0BA9F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项目负责人简历表</w:t>
      </w:r>
    </w:p>
    <w:p w14:paraId="7290DAB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拟派主要服务人员情况表</w:t>
      </w:r>
    </w:p>
    <w:p w14:paraId="5E10021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服务方案</w:t>
      </w:r>
    </w:p>
    <w:p w14:paraId="07E4798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保证金缴纳证明材料</w:t>
      </w:r>
    </w:p>
    <w:p w14:paraId="564FEC66">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其它需要提交的资料</w:t>
      </w:r>
    </w:p>
    <w:p w14:paraId="7FB361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3.2 </w:t>
      </w:r>
      <w:r>
        <w:rPr>
          <w:rFonts w:hint="eastAsia" w:ascii="仿宋" w:hAnsi="仿宋" w:eastAsia="仿宋" w:cs="仿宋"/>
          <w:color w:val="auto"/>
          <w:kern w:val="0"/>
          <w:sz w:val="24"/>
          <w:szCs w:val="24"/>
          <w:highlight w:val="none"/>
          <w:shd w:val="clear" w:color="auto" w:fill="FFFFFF" w:themeFill="background1"/>
          <w:lang w:eastAsia="zh-CN"/>
        </w:rPr>
        <w:t>响应价格</w:t>
      </w:r>
    </w:p>
    <w:p w14:paraId="7F2576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 供应商应当按第四章“</w:t>
      </w:r>
      <w:r>
        <w:rPr>
          <w:rFonts w:hint="eastAsia" w:ascii="仿宋" w:hAnsi="仿宋" w:eastAsia="仿宋" w:cs="仿宋"/>
          <w:color w:val="auto"/>
          <w:kern w:val="0"/>
          <w:sz w:val="24"/>
          <w:szCs w:val="24"/>
          <w:highlight w:val="none"/>
          <w:shd w:val="clear" w:color="auto" w:fill="FFFFFF" w:themeFill="background1"/>
          <w:lang w:eastAsia="zh-CN"/>
        </w:rPr>
        <w:t>服务标准和要求</w:t>
      </w:r>
      <w:r>
        <w:rPr>
          <w:rFonts w:hint="eastAsia" w:ascii="仿宋" w:hAnsi="仿宋" w:eastAsia="仿宋" w:cs="仿宋"/>
          <w:color w:val="auto"/>
          <w:kern w:val="0"/>
          <w:sz w:val="24"/>
          <w:szCs w:val="24"/>
          <w:highlight w:val="none"/>
          <w:shd w:val="clear" w:color="auto" w:fill="FFFFFF" w:themeFill="background1"/>
        </w:rPr>
        <w:t>”的规定进行报价，并填写第五章“响应文件格式”中的</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明细表。</w:t>
      </w:r>
    </w:p>
    <w:p w14:paraId="76C131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3.2.2本次磋商采用二轮报价法，第二轮报价时长由磋商小组成员根据现场情况设定，供应商必须在规定时间内报价，超时无效；若供应商未进行第二轮报价，视为放弃响应资格；其响应无效；不在参与后续评审。</w:t>
      </w:r>
    </w:p>
    <w:p w14:paraId="53FEA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3.2.3供应商递交的响应文件中的报价为第一轮报价，第一轮报价与第二轮报价超出本项目</w:t>
      </w:r>
      <w:r>
        <w:rPr>
          <w:rFonts w:hint="eastAsia" w:ascii="仿宋" w:hAnsi="仿宋" w:eastAsia="仿宋" w:cs="仿宋"/>
          <w:color w:val="auto"/>
          <w:kern w:val="0"/>
          <w:sz w:val="24"/>
          <w:szCs w:val="24"/>
          <w:highlight w:val="none"/>
          <w:shd w:val="clear" w:color="auto" w:fill="FFFFFF" w:themeFill="background1"/>
          <w:lang w:eastAsia="zh-CN"/>
        </w:rPr>
        <w:t>最高限价</w:t>
      </w:r>
      <w:r>
        <w:rPr>
          <w:rFonts w:hint="eastAsia" w:ascii="仿宋" w:hAnsi="仿宋" w:eastAsia="仿宋" w:cs="仿宋"/>
          <w:color w:val="auto"/>
          <w:kern w:val="0"/>
          <w:sz w:val="24"/>
          <w:szCs w:val="24"/>
          <w:highlight w:val="none"/>
          <w:shd w:val="clear" w:color="auto" w:fill="FFFFFF" w:themeFill="background1"/>
        </w:rPr>
        <w:t>的视为无效磋商。</w:t>
      </w:r>
    </w:p>
    <w:p w14:paraId="6EEB7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3.2.4供应商提供的服务一律用人民币报价。</w:t>
      </w:r>
    </w:p>
    <w:p w14:paraId="3422AD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3.2.5供应商的服务只允许有一个报价，采购人不接受有任何选择的报价。</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中。</w:t>
      </w:r>
    </w:p>
    <w:p w14:paraId="6059DB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 响应有效期</w:t>
      </w:r>
    </w:p>
    <w:p w14:paraId="1A032F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3.3.1 在供应商须知前附表规定的响应有效期内，供应商不得要求撤销或修改其响应文件。</w:t>
      </w:r>
    </w:p>
    <w:p w14:paraId="271DF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3.3.2 出现特殊情况需要延长响应有效期的，采购人将通知所有供应商延长响应有效期。供应商同意延长的，应当相应延长其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的有效期，但不得要求或被允许修改或撤销其响应文件；供应商拒绝延长的，其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失效，但供应商有权收回其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 xml:space="preserve">。 </w:t>
      </w:r>
    </w:p>
    <w:p w14:paraId="1C4C24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3.4 </w:t>
      </w:r>
      <w:r>
        <w:rPr>
          <w:rFonts w:hint="eastAsia" w:ascii="仿宋" w:hAnsi="仿宋" w:eastAsia="仿宋" w:cs="仿宋"/>
          <w:color w:val="auto"/>
          <w:kern w:val="0"/>
          <w:sz w:val="24"/>
          <w:szCs w:val="24"/>
          <w:highlight w:val="none"/>
          <w:shd w:val="clear" w:color="auto" w:fill="FFFFFF" w:themeFill="background1"/>
          <w:lang w:eastAsia="zh-CN"/>
        </w:rPr>
        <w:t>响应保证金</w:t>
      </w:r>
    </w:p>
    <w:p w14:paraId="28B7C3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供应商应于响应文件递交截止时间前按供应商须知前附表规定数额提交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。未提交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的，将被视为非响应性</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而予以拒绝。联合体磋商</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的，其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由牵头人递交，并应符合供应商须知前附表的规定。</w:t>
      </w:r>
    </w:p>
    <w:p w14:paraId="4ABB288A">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w:t>
      </w:r>
      <w:r>
        <w:rPr>
          <w:rFonts w:hint="eastAsia" w:ascii="仿宋" w:hAnsi="仿宋" w:eastAsia="仿宋" w:cs="仿宋"/>
          <w:color w:val="auto"/>
          <w:sz w:val="24"/>
          <w:szCs w:val="24"/>
          <w:highlight w:val="none"/>
          <w:shd w:val="clear" w:color="auto" w:fill="FFFFFF" w:themeFill="background1"/>
          <w:lang w:eastAsia="zh-CN"/>
        </w:rPr>
        <w:t>响应保证金</w:t>
      </w:r>
      <w:r>
        <w:rPr>
          <w:rFonts w:hint="eastAsia" w:ascii="仿宋" w:hAnsi="仿宋" w:eastAsia="仿宋" w:cs="仿宋"/>
          <w:color w:val="auto"/>
          <w:sz w:val="24"/>
          <w:szCs w:val="24"/>
          <w:highlight w:val="none"/>
          <w:shd w:val="clear" w:color="auto" w:fill="FFFFFF" w:themeFill="background1"/>
        </w:rPr>
        <w:t>以支票、汇票、本票或者金融机构、担保机构出具的保函等非现金形式提交至采购代理机构。</w:t>
      </w:r>
    </w:p>
    <w:p w14:paraId="1818A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3.4.3 </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是为了保护采购人免遭因供应商的行为而蒙受损失。采购人在因供应商的行为受到损害时可根据相关法律规定没收供应商的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135BE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3.4.4 采购人或者采购代理机构应当自成交通知书发出之日起5个工作日内退还未成交供应商的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，自采购合同签订之日起5个工作日内退还成交供应商的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41F4F5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3.4.5</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有效期与响应有效期一致。</w:t>
      </w:r>
    </w:p>
    <w:p w14:paraId="7F591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3.4.6有下列情形之一的，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不予退还：</w:t>
      </w:r>
    </w:p>
    <w:p w14:paraId="6D7037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（1）供应商在规定的响应有效期内撤销或修改其响应文件的；</w:t>
      </w:r>
    </w:p>
    <w:p w14:paraId="1BF604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EB551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（3）未按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规定提交履约保证金的。</w:t>
      </w:r>
    </w:p>
    <w:p w14:paraId="34007D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4" w:name="_BookMark_7"/>
      <w:bookmarkEnd w:id="14"/>
      <w:bookmarkStart w:id="15" w:name="_Toc139809021"/>
      <w:bookmarkStart w:id="16" w:name="_Toc10597"/>
      <w:r>
        <w:rPr>
          <w:rFonts w:hint="eastAsia" w:ascii="仿宋" w:hAnsi="仿宋" w:eastAsia="仿宋" w:cs="仿宋"/>
          <w:color w:val="auto"/>
          <w:kern w:val="0"/>
          <w:sz w:val="24"/>
          <w:szCs w:val="24"/>
          <w:highlight w:val="none"/>
          <w:shd w:val="clear" w:color="auto" w:fill="FFFFFF" w:themeFill="background1"/>
        </w:rPr>
        <w:t>3.5 响应文件的编制</w:t>
      </w:r>
    </w:p>
    <w:p w14:paraId="1A53AC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710EDD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3.5.2响应文件应当对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有关采购范围、技术与服务要求等实质性内容做出响应。</w:t>
      </w:r>
    </w:p>
    <w:p w14:paraId="59717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3.5.3电子响应文件使用政采云平台响应文件制作工具以及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要求进行制作编制。响应文件制作时，按照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中明确的响应文件目录和格式进行编制，保证目录清晰、内容完整。</w:t>
      </w:r>
    </w:p>
    <w:p w14:paraId="50168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具有法律效力，与其他形式的招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在内容和格式上等同，若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与招标文件要求不一致，其内容影响成交结果时，责任由</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自行承担。</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递交的电子</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因</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自身原因而导致无法导入电子辅助评标系统，该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视为无效</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，将导致其投标被拒绝</w:t>
      </w:r>
      <w:r>
        <w:rPr>
          <w:rFonts w:hint="eastAsia" w:ascii="仿宋" w:hAnsi="仿宋" w:eastAsia="仿宋" w:cs="仿宋"/>
          <w:color w:val="auto"/>
          <w:sz w:val="24"/>
          <w:highlight w:val="none"/>
          <w:shd w:val="clear" w:color="auto" w:fill="FFFFFF" w:themeFill="background1"/>
        </w:rPr>
        <w:t>。</w:t>
      </w:r>
    </w:p>
    <w:p w14:paraId="5DEA7B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7" w:name="_Toc2388"/>
      <w:r>
        <w:rPr>
          <w:rFonts w:hint="eastAsia" w:ascii="仿宋" w:hAnsi="仿宋" w:eastAsia="仿宋" w:cs="仿宋"/>
          <w:b/>
          <w:color w:val="auto"/>
          <w:sz w:val="24"/>
          <w:szCs w:val="24"/>
          <w:highlight w:val="none"/>
          <w:shd w:val="clear" w:color="auto" w:fill="FFFFFF" w:themeFill="background1"/>
        </w:rPr>
        <w:t>四、</w:t>
      </w:r>
      <w:bookmarkEnd w:id="15"/>
      <w:r>
        <w:rPr>
          <w:rFonts w:hint="eastAsia" w:ascii="仿宋" w:hAnsi="仿宋" w:eastAsia="仿宋" w:cs="仿宋"/>
          <w:b/>
          <w:color w:val="auto"/>
          <w:sz w:val="24"/>
          <w:szCs w:val="24"/>
          <w:highlight w:val="none"/>
          <w:shd w:val="clear" w:color="auto" w:fill="FFFFFF" w:themeFill="background1"/>
          <w:lang w:val="en-US" w:eastAsia="zh-CN"/>
        </w:rPr>
        <w:t>响应</w:t>
      </w:r>
      <w:bookmarkEnd w:id="17"/>
    </w:p>
    <w:p w14:paraId="1BC011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 xml:space="preserve">失败等后果由供应商自行承担。 </w:t>
      </w:r>
    </w:p>
    <w:p w14:paraId="3C58D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D6E7E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4.3响应文件的递交</w:t>
      </w:r>
    </w:p>
    <w:p w14:paraId="322087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0AA30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4.3.2采购人事先约定延长响应文件递交截止时间的，采购人与供应商以前的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截止期方面的全部权利、责任和义务，将适用延长至新的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74EC6C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4.3.3供应商或其响应文件存在下列情形之一的，采购人对其响应文件不予受理：</w:t>
      </w:r>
    </w:p>
    <w:p w14:paraId="7759B1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（1）逾期上传的响应文件；</w:t>
      </w:r>
    </w:p>
    <w:p w14:paraId="05D59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（2）未按本章第4.3.1款要求加密的响应文件。</w:t>
      </w:r>
    </w:p>
    <w:p w14:paraId="07384D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8" w:name="_BookMark_8"/>
      <w:bookmarkEnd w:id="18"/>
      <w:r>
        <w:rPr>
          <w:rFonts w:hint="eastAsia" w:ascii="仿宋" w:hAnsi="仿宋" w:eastAsia="仿宋" w:cs="仿宋"/>
          <w:color w:val="auto"/>
          <w:kern w:val="0"/>
          <w:sz w:val="24"/>
          <w:szCs w:val="24"/>
          <w:highlight w:val="none"/>
          <w:shd w:val="clear" w:color="auto" w:fill="FFFFFF" w:themeFill="background1"/>
        </w:rPr>
        <w:t>4.4响应文件的修改与撤回</w:t>
      </w:r>
    </w:p>
    <w:p w14:paraId="4AE5A228">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4.4.1</w:t>
      </w:r>
      <w:r>
        <w:rPr>
          <w:rFonts w:hint="eastAsia" w:ascii="仿宋" w:hAnsi="仿宋" w:eastAsia="仿宋" w:cs="仿宋"/>
          <w:color w:val="auto"/>
          <w:sz w:val="24"/>
          <w:highlight w:val="none"/>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0A5F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4.5响应文件格式</w:t>
      </w:r>
    </w:p>
    <w:p w14:paraId="06950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4.5.1响应文件格式见第五章。</w:t>
      </w:r>
    </w:p>
    <w:p w14:paraId="240605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4.5.2供应商应使用本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后面提供的响应文件格式填写，如不够用时，供应商可按同样格式自行编制和填补，如果本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未提供格式的，供应商可自行编制。</w:t>
      </w:r>
    </w:p>
    <w:bookmarkEnd w:id="16"/>
    <w:p w14:paraId="1EBA0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9" w:name="_Toc16294"/>
      <w:r>
        <w:rPr>
          <w:rFonts w:hint="eastAsia" w:ascii="仿宋" w:hAnsi="仿宋" w:eastAsia="仿宋" w:cs="仿宋"/>
          <w:b/>
          <w:color w:val="auto"/>
          <w:sz w:val="24"/>
          <w:szCs w:val="24"/>
          <w:highlight w:val="none"/>
          <w:shd w:val="clear" w:color="auto" w:fill="FFFFFF" w:themeFill="background1"/>
        </w:rPr>
        <w:t>五、</w:t>
      </w:r>
      <w:r>
        <w:rPr>
          <w:rFonts w:hint="eastAsia" w:ascii="仿宋" w:hAnsi="仿宋" w:eastAsia="仿宋" w:cs="仿宋"/>
          <w:b/>
          <w:color w:val="auto"/>
          <w:sz w:val="24"/>
          <w:szCs w:val="24"/>
          <w:highlight w:val="none"/>
          <w:shd w:val="clear" w:color="auto" w:fill="FFFFFF" w:themeFill="background1"/>
          <w:lang w:eastAsia="zh-CN"/>
        </w:rPr>
        <w:t>开启</w:t>
      </w:r>
      <w:bookmarkEnd w:id="19"/>
    </w:p>
    <w:p w14:paraId="438F067B">
      <w:pPr>
        <w:spacing w:line="360" w:lineRule="auto"/>
        <w:ind w:firstLine="480" w:firstLineChars="200"/>
        <w:rPr>
          <w:rFonts w:hint="eastAsia" w:ascii="仿宋" w:hAnsi="仿宋" w:eastAsia="仿宋" w:cs="仿宋"/>
          <w:color w:val="auto"/>
          <w:sz w:val="24"/>
          <w:szCs w:val="28"/>
          <w:highlight w:val="none"/>
        </w:rPr>
      </w:pPr>
      <w:bookmarkStart w:id="20" w:name="_BookMark_9"/>
      <w:bookmarkEnd w:id="20"/>
      <w:r>
        <w:rPr>
          <w:rFonts w:hint="eastAsia" w:ascii="仿宋" w:hAnsi="仿宋" w:eastAsia="仿宋" w:cs="仿宋"/>
          <w:color w:val="auto"/>
          <w:sz w:val="24"/>
          <w:szCs w:val="28"/>
          <w:highlight w:val="none"/>
        </w:rPr>
        <w:t>5.1</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时间和地点</w:t>
      </w:r>
    </w:p>
    <w:p w14:paraId="4CF2AC9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，并邀请所有供应商的法定代表人或其授权委托人参加。</w:t>
      </w:r>
    </w:p>
    <w:p w14:paraId="544B3BEA">
      <w:pPr>
        <w:widowControl/>
        <w:shd w:val="clear" w:color="auto" w:fill="FFFFFF"/>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1AEED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注：根据政府采购法及有关政策规定，竞争性磋商采购方式不能公开供应商的技术资料、价格和其他信息，因此对于上述内容不予唱标。</w:t>
      </w:r>
    </w:p>
    <w:p w14:paraId="49857E9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1" w:name="_Toc10172"/>
      <w:r>
        <w:rPr>
          <w:rFonts w:hint="eastAsia" w:ascii="仿宋" w:hAnsi="仿宋" w:eastAsia="仿宋" w:cs="仿宋"/>
          <w:b/>
          <w:color w:val="auto"/>
          <w:sz w:val="24"/>
          <w:szCs w:val="24"/>
          <w:highlight w:val="none"/>
          <w:shd w:val="clear" w:color="auto" w:fill="FFFFFF" w:themeFill="background1"/>
        </w:rPr>
        <w:t>六、评审</w:t>
      </w:r>
      <w:bookmarkEnd w:id="21"/>
    </w:p>
    <w:p w14:paraId="132403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 磋商小组</w:t>
      </w:r>
    </w:p>
    <w:p w14:paraId="19E81A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C25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6.2 评审原则 </w:t>
      </w:r>
    </w:p>
    <w:p w14:paraId="667333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评审活动遵循公平、公正、科学和择优的原则。</w:t>
      </w:r>
    </w:p>
    <w:p w14:paraId="67F82F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6.3 评审</w:t>
      </w:r>
    </w:p>
    <w:p w14:paraId="431FB9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中规定的方法、评审因素、标准和程序对响应文件进行评审。</w:t>
      </w:r>
    </w:p>
    <w:p w14:paraId="5FA1BF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2" w:name="_BookMark_10"/>
      <w:bookmarkEnd w:id="22"/>
      <w:bookmarkStart w:id="23" w:name="_Toc113902767"/>
      <w:bookmarkStart w:id="24" w:name="_Toc1096"/>
      <w:r>
        <w:rPr>
          <w:rFonts w:hint="eastAsia" w:ascii="仿宋" w:hAnsi="仿宋" w:eastAsia="仿宋" w:cs="仿宋"/>
          <w:b/>
          <w:color w:val="auto"/>
          <w:sz w:val="24"/>
          <w:szCs w:val="24"/>
          <w:highlight w:val="none"/>
          <w:shd w:val="clear" w:color="auto" w:fill="FFFFFF" w:themeFill="background1"/>
        </w:rPr>
        <w:t>七、定标及合同授予</w:t>
      </w:r>
      <w:bookmarkEnd w:id="23"/>
      <w:bookmarkEnd w:id="24"/>
    </w:p>
    <w:p w14:paraId="655145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按照招标文件中规定的方法、评标因素、标准和程序对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进行评标，并按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须知前附表的规定向采购人推荐</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。采购人依据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确定</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中确定出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的原则：采购人应当确定排名第一的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、因不可抗力不能履行合同、拒绝与采购人签订合同，不按照招标文件要求提交履约保证金、或者被查实存在影响</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结果的违法行为等情形，不符合</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条件的，采购人可以按照</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名单排名依次确定其他</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结果的同时，采购人或者采购代理机构向</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发出</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通知书；对未通过资格审查的</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须知前附表规定的金额、形式向采购人提交履约保证金。联合体</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的，其履约保证金由牵头人提交，并应符合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未按要求提交履约保证金的，视为放弃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通知书发出之日起30日内，按照招标文件和</w:t>
      </w:r>
      <w:r>
        <w:rPr>
          <w:rFonts w:hint="eastAsia" w:ascii="仿宋" w:hAnsi="仿宋" w:eastAsia="仿宋" w:cs="仿宋"/>
          <w:color w:val="auto"/>
          <w:kern w:val="0"/>
          <w:sz w:val="24"/>
          <w:szCs w:val="24"/>
          <w:highlight w:val="none"/>
          <w:lang w:eastAsia="zh-CN"/>
        </w:rPr>
        <w:t>成交供应商响应文件</w:t>
      </w:r>
      <w:r>
        <w:rPr>
          <w:rFonts w:hint="eastAsia" w:ascii="仿宋" w:hAnsi="仿宋" w:eastAsia="仿宋" w:cs="仿宋"/>
          <w:color w:val="auto"/>
          <w:kern w:val="0"/>
          <w:sz w:val="24"/>
          <w:szCs w:val="24"/>
          <w:highlight w:val="none"/>
        </w:rPr>
        <w:t>的规定，与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通知书后，采购人无正当理由拒签合同的，给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造成损失的，还应当赔偿</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无正当理由拒签合同的，采购人将取消其</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资格，其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拒绝与采购人签订合同的，采购人可以按照评标报告推荐的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名单排序，确定下一候选人为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，也可以重新开展政府采购活动。</w:t>
      </w:r>
    </w:p>
    <w:p w14:paraId="5B0E76E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5" w:name="_BookMark_11"/>
      <w:bookmarkEnd w:id="25"/>
      <w:bookmarkStart w:id="26" w:name="_Toc22638"/>
      <w:r>
        <w:rPr>
          <w:rFonts w:hint="eastAsia" w:ascii="仿宋" w:hAnsi="仿宋" w:eastAsia="仿宋" w:cs="仿宋"/>
          <w:b/>
          <w:color w:val="auto"/>
          <w:sz w:val="24"/>
          <w:szCs w:val="24"/>
          <w:highlight w:val="none"/>
          <w:shd w:val="clear" w:color="auto" w:fill="FFFFFF" w:themeFill="background1"/>
        </w:rPr>
        <w:t>八、纪律和监督</w:t>
      </w:r>
      <w:bookmarkEnd w:id="26"/>
    </w:p>
    <w:p w14:paraId="3FA20E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45A2F9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2798B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或者与采购人串通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，不得向采购人或者磋商小组成员行贿谋取中标（成交），不得以他人名义</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7FE075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7A066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49F0B38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及其相关当事人应当接受有管辖权的监督部门依法实施的监督。</w:t>
      </w:r>
      <w:bookmarkStart w:id="27" w:name="_BookMark_12"/>
      <w:bookmarkEnd w:id="27"/>
    </w:p>
    <w:p w14:paraId="570C0649">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0CAB81">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8" w:name="_Toc26123"/>
      <w:r>
        <w:rPr>
          <w:rFonts w:hint="eastAsia" w:ascii="仿宋" w:hAnsi="仿宋" w:eastAsia="仿宋" w:cs="仿宋"/>
          <w:b/>
          <w:color w:val="auto"/>
          <w:sz w:val="24"/>
          <w:szCs w:val="24"/>
          <w:highlight w:val="none"/>
          <w:shd w:val="clear" w:color="auto" w:fill="FFFFFF" w:themeFill="background1"/>
        </w:rPr>
        <w:t>第二章 评审办法</w:t>
      </w:r>
      <w:bookmarkEnd w:id="28"/>
    </w:p>
    <w:p w14:paraId="4521741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29" w:name="_BookMark_1"/>
      <w:bookmarkEnd w:id="29"/>
      <w:bookmarkStart w:id="30" w:name="_Toc2233"/>
      <w:bookmarkStart w:id="31" w:name="_Toc501719166"/>
      <w:r>
        <w:rPr>
          <w:rFonts w:hint="eastAsia" w:ascii="仿宋" w:hAnsi="仿宋" w:eastAsia="仿宋" w:cs="仿宋"/>
          <w:b/>
          <w:color w:val="auto"/>
          <w:sz w:val="24"/>
          <w:szCs w:val="24"/>
          <w:highlight w:val="none"/>
          <w:shd w:val="clear" w:color="auto" w:fill="FFFFFF" w:themeFill="background1"/>
        </w:rPr>
        <w:t>评审办法前附表</w:t>
      </w:r>
      <w:bookmarkEnd w:id="30"/>
    </w:p>
    <w:tbl>
      <w:tblPr>
        <w:tblStyle w:val="43"/>
        <w:tblpPr w:leftFromText="180" w:rightFromText="180" w:vertAnchor="text" w:horzAnchor="page" w:tblpX="1359" w:tblpY="455"/>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27B5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610" w:type="dxa"/>
            <w:tcMar>
              <w:top w:w="0" w:type="dxa"/>
              <w:left w:w="28" w:type="dxa"/>
              <w:bottom w:w="0" w:type="dxa"/>
              <w:right w:w="28" w:type="dxa"/>
            </w:tcMar>
            <w:vAlign w:val="center"/>
          </w:tcPr>
          <w:p w14:paraId="62AE1C8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47FC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3859697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759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10" w:type="dxa"/>
            <w:tcMar>
              <w:top w:w="0" w:type="dxa"/>
              <w:left w:w="28" w:type="dxa"/>
              <w:bottom w:w="0" w:type="dxa"/>
              <w:right w:w="28" w:type="dxa"/>
            </w:tcMar>
            <w:vAlign w:val="center"/>
          </w:tcPr>
          <w:p w14:paraId="3A4D34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3D57727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0BBB693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5832" w:type="dxa"/>
            <w:shd w:val="clear" w:color="auto" w:fill="auto"/>
            <w:tcMar>
              <w:top w:w="0" w:type="dxa"/>
              <w:left w:w="28" w:type="dxa"/>
              <w:bottom w:w="0" w:type="dxa"/>
              <w:right w:w="28" w:type="dxa"/>
            </w:tcMar>
            <w:vAlign w:val="center"/>
          </w:tcPr>
          <w:p w14:paraId="06397AE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w:t>
            </w:r>
            <w:r>
              <w:rPr>
                <w:rFonts w:hint="eastAsia" w:ascii="仿宋" w:hAnsi="仿宋" w:eastAsia="仿宋" w:cs="仿宋"/>
                <w:color w:val="auto"/>
                <w:szCs w:val="21"/>
                <w:highlight w:val="none"/>
                <w:shd w:val="clear" w:color="auto" w:fill="FFFFFF" w:themeFill="background1"/>
                <w:lang w:val="en-US" w:eastAsia="zh-CN"/>
              </w:rPr>
              <w:t>70</w:t>
            </w:r>
            <w:r>
              <w:rPr>
                <w:rFonts w:hint="eastAsia" w:ascii="仿宋" w:hAnsi="仿宋" w:eastAsia="仿宋" w:cs="仿宋"/>
                <w:color w:val="auto"/>
                <w:szCs w:val="21"/>
                <w:highlight w:val="none"/>
                <w:shd w:val="clear" w:color="auto" w:fill="FFFFFF" w:themeFill="background1"/>
              </w:rPr>
              <w:t>分</w:t>
            </w:r>
          </w:p>
          <w:p w14:paraId="675459B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r>
              <w:rPr>
                <w:rFonts w:hint="eastAsia" w:ascii="仿宋" w:hAnsi="仿宋" w:eastAsia="仿宋" w:cs="仿宋"/>
                <w:color w:val="auto"/>
                <w:szCs w:val="21"/>
                <w:highlight w:val="none"/>
                <w:shd w:val="clear" w:color="auto" w:fill="FFFFFF" w:themeFill="background1"/>
                <w:lang w:eastAsia="zh-CN"/>
              </w:rPr>
              <w:t>响应报价</w:t>
            </w:r>
            <w:r>
              <w:rPr>
                <w:rFonts w:hint="eastAsia" w:ascii="仿宋" w:hAnsi="仿宋" w:eastAsia="仿宋" w:cs="仿宋"/>
                <w:color w:val="auto"/>
                <w:szCs w:val="21"/>
                <w:highlight w:val="none"/>
                <w:shd w:val="clear" w:color="auto" w:fill="FFFFFF" w:themeFill="background1"/>
              </w:rPr>
              <w:t>部分</w:t>
            </w:r>
            <w:r>
              <w:rPr>
                <w:rFonts w:hint="eastAsia" w:ascii="仿宋" w:hAnsi="仿宋" w:eastAsia="仿宋" w:cs="仿宋"/>
                <w:color w:val="auto"/>
                <w:szCs w:val="21"/>
                <w:highlight w:val="none"/>
                <w:shd w:val="clear" w:color="auto" w:fill="FFFFFF" w:themeFill="background1"/>
                <w:lang w:val="en-US" w:eastAsia="zh-CN"/>
              </w:rPr>
              <w:t>30</w:t>
            </w:r>
            <w:r>
              <w:rPr>
                <w:rFonts w:hint="eastAsia" w:ascii="仿宋" w:hAnsi="仿宋" w:eastAsia="仿宋" w:cs="仿宋"/>
                <w:color w:val="auto"/>
                <w:szCs w:val="21"/>
                <w:highlight w:val="none"/>
                <w:shd w:val="clear" w:color="auto" w:fill="FFFFFF" w:themeFill="background1"/>
              </w:rPr>
              <w:t>分</w:t>
            </w:r>
          </w:p>
        </w:tc>
      </w:tr>
      <w:tr w14:paraId="03A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610" w:type="dxa"/>
            <w:tcMar>
              <w:top w:w="0" w:type="dxa"/>
              <w:left w:w="28" w:type="dxa"/>
              <w:bottom w:w="0" w:type="dxa"/>
              <w:right w:w="28" w:type="dxa"/>
            </w:tcMar>
            <w:vAlign w:val="center"/>
          </w:tcPr>
          <w:p w14:paraId="3165330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9861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3AA0976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3466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tcMar>
              <w:top w:w="0" w:type="dxa"/>
              <w:left w:w="28" w:type="dxa"/>
              <w:bottom w:w="0" w:type="dxa"/>
              <w:right w:w="28" w:type="dxa"/>
            </w:tcMar>
            <w:vAlign w:val="center"/>
          </w:tcPr>
          <w:p w14:paraId="2191008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5078FA6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2B4A8F2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4EE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shd w:val="clear" w:color="auto" w:fill="auto"/>
            <w:tcMar>
              <w:top w:w="0" w:type="dxa"/>
              <w:left w:w="28" w:type="dxa"/>
              <w:bottom w:w="0" w:type="dxa"/>
              <w:right w:w="28" w:type="dxa"/>
            </w:tcMar>
            <w:vAlign w:val="center"/>
          </w:tcPr>
          <w:p w14:paraId="276599D5">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2770" w:type="dxa"/>
            <w:shd w:val="clear" w:color="auto" w:fill="auto"/>
            <w:tcMar>
              <w:top w:w="0" w:type="dxa"/>
              <w:left w:w="28" w:type="dxa"/>
              <w:bottom w:w="0" w:type="dxa"/>
              <w:right w:w="28" w:type="dxa"/>
            </w:tcMar>
            <w:vAlign w:val="center"/>
          </w:tcPr>
          <w:p w14:paraId="4746DBD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5C5793BC">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bl>
    <w:p w14:paraId="42C9BED6">
      <w:pPr>
        <w:widowControl/>
        <w:shd w:val="clear" w:color="auto" w:fill="FFFFFF"/>
        <w:snapToGrid w:val="0"/>
        <w:spacing w:line="360" w:lineRule="auto"/>
        <w:rPr>
          <w:rFonts w:hint="eastAsia" w:ascii="仿宋" w:hAnsi="仿宋" w:eastAsia="仿宋" w:cs="仿宋"/>
          <w:b/>
          <w:color w:val="auto"/>
          <w:kern w:val="0"/>
          <w:szCs w:val="21"/>
          <w:highlight w:val="none"/>
          <w:shd w:val="clear" w:color="auto" w:fill="FFFFFF" w:themeFill="background1"/>
        </w:rPr>
      </w:pPr>
    </w:p>
    <w:p w14:paraId="4038BFEA">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p>
    <w:p w14:paraId="6706AE96">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《资格审查标准》</w:t>
      </w:r>
      <w:bookmarkEnd w:id="31"/>
    </w:p>
    <w:tbl>
      <w:tblPr>
        <w:tblStyle w:val="4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1D96974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17100CC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E2EADF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是企业（包括合伙企业)，应提供在工商部门注册的有效“企业法人营业执照”或“营业执照”;</w:t>
            </w:r>
          </w:p>
          <w:p w14:paraId="478C250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是事业单位，应提供有效的“事业单位法人证书”;</w:t>
            </w:r>
          </w:p>
          <w:p w14:paraId="032F170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是非企业专业服务机构的，应提供执业许可证等证明文件;</w:t>
            </w:r>
          </w:p>
          <w:p w14:paraId="780EA58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是个体工商户，应提供有效的“个体工商户营业执照”;</w:t>
            </w:r>
          </w:p>
          <w:p w14:paraId="5C18509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是自然人，应提供有效的自然人身份证明。</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D77A81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满足下述一条要求即可：</w:t>
            </w:r>
          </w:p>
          <w:p w14:paraId="6CB5900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要求1、经审计的财务报告（</w:t>
            </w:r>
            <w:r>
              <w:rPr>
                <w:rFonts w:hint="eastAsia" w:ascii="仿宋" w:hAnsi="仿宋" w:eastAsia="仿宋" w:cs="仿宋"/>
                <w:color w:val="auto"/>
                <w:kern w:val="0"/>
                <w:szCs w:val="21"/>
                <w:highlight w:val="none"/>
                <w:lang w:eastAsia="zh-CN"/>
              </w:rPr>
              <w:t>2024年度或2025年度</w:t>
            </w:r>
            <w:r>
              <w:rPr>
                <w:rFonts w:hint="eastAsia" w:ascii="仿宋" w:hAnsi="仿宋" w:eastAsia="仿宋" w:cs="仿宋"/>
                <w:color w:val="auto"/>
                <w:kern w:val="0"/>
                <w:szCs w:val="21"/>
                <w:highlight w:val="none"/>
              </w:rPr>
              <w:t>，包括“四表-注”，即资产负债表、利润表、现金流量表、所有者权益变动表及其附注）或银行出具的资信证明（响应文件递交截止之日前六个月内任意一个月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1"/>
                <w:highlight w:val="none"/>
              </w:rPr>
              <w:t>）。</w:t>
            </w:r>
          </w:p>
          <w:p w14:paraId="4925A70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要求2、成立不足六个月（以</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递交截止之日为期限）的</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6A9B9F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提供《具有履行合同所必需的设备和专业技术能力的承诺函》，加盖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D5562A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DE3CC6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递交截止之日前六个月内任一个月）内缴纳税收的完税凭证（指各种完税证、缴款书、印花税票、扣（收）税凭证以及其他完税证明，提供上述任意一种即可）。</w:t>
            </w:r>
          </w:p>
          <w:p w14:paraId="5B5A103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1627149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递交截止之日前六个月内任一个月）内缴纳社会保险的凭据，其他组织和自然人也需要提供缴纳税收的凭据和缴纳社会保险的凭据。</w:t>
            </w:r>
          </w:p>
          <w:p w14:paraId="4B65DF3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w:t>
            </w: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763C2B3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提供《参加政府采购活动前3年内在经营活动中没有重大违法记录的书面声明》，加盖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供应商为中小企业。</w:t>
            </w:r>
          </w:p>
        </w:tc>
        <w:tc>
          <w:tcPr>
            <w:tcW w:w="4935" w:type="dxa"/>
            <w:shd w:val="clear" w:color="auto" w:fill="auto"/>
            <w:vAlign w:val="center"/>
          </w:tcPr>
          <w:p w14:paraId="02F6EE4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4"/>
                <w:highlight w:val="none"/>
                <w:lang w:val="en-US" w:eastAsia="zh-CN" w:bidi="ar-SA"/>
              </w:rPr>
              <w:t>按采购文件要求提供声明函，</w:t>
            </w:r>
            <w:r>
              <w:rPr>
                <w:rFonts w:hint="eastAsia" w:ascii="仿宋" w:hAnsi="仿宋" w:eastAsia="仿宋" w:cs="仿宋"/>
                <w:color w:val="auto"/>
                <w:kern w:val="0"/>
                <w:szCs w:val="21"/>
                <w:highlight w:val="none"/>
              </w:rPr>
              <w:t>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 w:val="21"/>
                <w:szCs w:val="24"/>
                <w:highlight w:val="none"/>
                <w:lang w:val="en-US" w:eastAsia="zh-CN" w:bidi="ar-SA"/>
              </w:rPr>
              <w:t>。</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3659" w:type="dxa"/>
            <w:shd w:val="clear" w:color="auto" w:fill="auto"/>
            <w:vAlign w:val="center"/>
          </w:tcPr>
          <w:p w14:paraId="034FA33B">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1936D7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08CAF33D">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bookmarkStart w:id="32" w:name="_Toc501719167"/>
    </w:p>
    <w:p w14:paraId="7E863419">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《完备性及符合性审查标准》</w:t>
      </w:r>
      <w:bookmarkEnd w:id="32"/>
    </w:p>
    <w:tbl>
      <w:tblPr>
        <w:tblStyle w:val="4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4922"/>
        <w:gridCol w:w="3457"/>
      </w:tblGrid>
      <w:tr w14:paraId="7C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3EB272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4922" w:type="dxa"/>
            <w:vAlign w:val="center"/>
          </w:tcPr>
          <w:p w14:paraId="65D7DA6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3457" w:type="dxa"/>
            <w:vAlign w:val="center"/>
          </w:tcPr>
          <w:p w14:paraId="5ED69B3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C3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FC6174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4922" w:type="dxa"/>
            <w:vAlign w:val="center"/>
          </w:tcPr>
          <w:p w14:paraId="2023D90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响应文件必须按</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要求加盖</w:t>
            </w:r>
            <w:r>
              <w:rPr>
                <w:rFonts w:hint="eastAsia" w:ascii="仿宋" w:hAnsi="仿宋" w:eastAsia="仿宋" w:cs="仿宋"/>
                <w:color w:val="auto"/>
                <w:szCs w:val="21"/>
                <w:highlight w:val="none"/>
                <w:shd w:val="clear" w:color="auto" w:fill="FFFFFF" w:themeFill="background1"/>
                <w:lang w:eastAsia="zh-CN"/>
              </w:rPr>
              <w:t>供应商章</w:t>
            </w:r>
            <w:r>
              <w:rPr>
                <w:rFonts w:hint="eastAsia" w:ascii="仿宋" w:hAnsi="仿宋" w:eastAsia="仿宋" w:cs="仿宋"/>
                <w:color w:val="auto"/>
                <w:szCs w:val="21"/>
                <w:highlight w:val="none"/>
                <w:shd w:val="clear" w:color="auto" w:fill="FFFFFF" w:themeFill="background1"/>
              </w:rPr>
              <w:t>、</w:t>
            </w:r>
            <w:r>
              <w:rPr>
                <w:rFonts w:hint="eastAsia" w:ascii="仿宋" w:hAnsi="仿宋" w:eastAsia="仿宋" w:cs="仿宋"/>
                <w:color w:val="auto"/>
                <w:szCs w:val="21"/>
                <w:highlight w:val="none"/>
                <w:shd w:val="clear" w:color="auto" w:fill="FFFFFF" w:themeFill="background1"/>
                <w:lang w:eastAsia="zh-CN"/>
              </w:rPr>
              <w:t>法定代表人章（或签字）</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5365F37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9F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vAlign w:val="center"/>
          </w:tcPr>
          <w:p w14:paraId="5CA66B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4922" w:type="dxa"/>
            <w:vAlign w:val="center"/>
          </w:tcPr>
          <w:p w14:paraId="0B664427">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项目负责人</w:t>
            </w:r>
            <w:r>
              <w:rPr>
                <w:rFonts w:hint="eastAsia" w:ascii="仿宋" w:hAnsi="仿宋" w:eastAsia="仿宋" w:cs="仿宋"/>
                <w:color w:val="auto"/>
                <w:szCs w:val="21"/>
                <w:highlight w:val="none"/>
                <w:shd w:val="clear" w:color="auto" w:fill="FFFFFF" w:themeFill="background1"/>
              </w:rPr>
              <w:t>简历表必须提供。</w:t>
            </w:r>
          </w:p>
        </w:tc>
        <w:tc>
          <w:tcPr>
            <w:tcW w:w="3457" w:type="dxa"/>
            <w:vAlign w:val="center"/>
          </w:tcPr>
          <w:p w14:paraId="54CF4F4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6EE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35DAA3E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4922" w:type="dxa"/>
            <w:vAlign w:val="center"/>
          </w:tcPr>
          <w:p w14:paraId="5262203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合同履约期限</w:t>
            </w:r>
            <w:r>
              <w:rPr>
                <w:rFonts w:hint="eastAsia" w:ascii="仿宋" w:hAnsi="仿宋" w:eastAsia="仿宋" w:cs="仿宋"/>
                <w:color w:val="auto"/>
                <w:szCs w:val="21"/>
                <w:highlight w:val="none"/>
                <w:shd w:val="clear" w:color="auto" w:fill="FFFFFF" w:themeFill="background1"/>
              </w:rPr>
              <w:t>必须满足</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w:t>
            </w:r>
          </w:p>
        </w:tc>
        <w:tc>
          <w:tcPr>
            <w:tcW w:w="3457" w:type="dxa"/>
            <w:vAlign w:val="center"/>
          </w:tcPr>
          <w:p w14:paraId="30BD786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3D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25D5176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4922" w:type="dxa"/>
            <w:vAlign w:val="center"/>
          </w:tcPr>
          <w:p w14:paraId="6258FC1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响应价格</w:t>
            </w:r>
            <w:r>
              <w:rPr>
                <w:rFonts w:hint="eastAsia" w:ascii="仿宋" w:hAnsi="仿宋" w:eastAsia="仿宋" w:cs="仿宋"/>
                <w:color w:val="auto"/>
                <w:szCs w:val="21"/>
                <w:highlight w:val="none"/>
                <w:shd w:val="clear" w:color="auto" w:fill="FFFFFF" w:themeFill="background1"/>
              </w:rPr>
              <w:t>不得超过供应商须知前附表中的</w:t>
            </w:r>
            <w:r>
              <w:rPr>
                <w:rFonts w:hint="eastAsia" w:ascii="仿宋" w:hAnsi="仿宋" w:eastAsia="仿宋" w:cs="仿宋"/>
                <w:color w:val="auto"/>
                <w:szCs w:val="21"/>
                <w:highlight w:val="none"/>
                <w:shd w:val="clear" w:color="auto" w:fill="FFFFFF" w:themeFill="background1"/>
                <w:lang w:eastAsia="zh-CN"/>
              </w:rPr>
              <w:t>最高限价</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6DD410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E4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676" w:type="dxa"/>
            <w:vAlign w:val="center"/>
          </w:tcPr>
          <w:p w14:paraId="5EEA6E8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4922" w:type="dxa"/>
            <w:shd w:val="clear" w:color="auto" w:fill="auto"/>
            <w:vAlign w:val="center"/>
          </w:tcPr>
          <w:p w14:paraId="22B8E4E7">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rPr>
              <w:t>必须按照</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要求缴纳。</w:t>
            </w:r>
          </w:p>
        </w:tc>
        <w:tc>
          <w:tcPr>
            <w:tcW w:w="3457" w:type="dxa"/>
            <w:shd w:val="clear" w:color="auto" w:fill="auto"/>
            <w:vAlign w:val="center"/>
          </w:tcPr>
          <w:p w14:paraId="4E8A4BF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4F9E0C07">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shd w:val="clear" w:color="auto" w:fill="FFFFFF" w:themeFill="background1"/>
                <w:lang w:val="en-US" w:eastAsia="zh-CN"/>
              </w:rPr>
              <w:t>注：采用电汇方式缴纳</w:t>
            </w: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lang w:val="en-US" w:eastAsia="zh-CN"/>
              </w:rPr>
              <w:t>的，以采购代理机构查询结果为准。</w:t>
            </w:r>
          </w:p>
        </w:tc>
      </w:tr>
      <w:tr w14:paraId="3AD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0A7EE060">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4922" w:type="dxa"/>
            <w:shd w:val="clear" w:color="auto" w:fill="auto"/>
            <w:vAlign w:val="center"/>
          </w:tcPr>
          <w:p w14:paraId="2D04D59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响应文件符合</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全部实质性要求。</w:t>
            </w:r>
          </w:p>
        </w:tc>
        <w:tc>
          <w:tcPr>
            <w:tcW w:w="3457" w:type="dxa"/>
            <w:shd w:val="clear" w:color="auto" w:fill="auto"/>
            <w:vAlign w:val="center"/>
          </w:tcPr>
          <w:p w14:paraId="282D439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351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55" w:type="dxa"/>
            <w:gridSpan w:val="3"/>
            <w:vAlign w:val="center"/>
          </w:tcPr>
          <w:p w14:paraId="702762F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17A6AEC0">
      <w:pPr>
        <w:rPr>
          <w:rFonts w:hint="eastAsia" w:ascii="仿宋" w:hAnsi="仿宋" w:eastAsia="仿宋" w:cs="仿宋"/>
          <w:b/>
          <w:color w:val="auto"/>
          <w:kern w:val="0"/>
          <w:szCs w:val="21"/>
          <w:highlight w:val="none"/>
          <w:shd w:val="clear" w:color="auto" w:fill="FFFFFF" w:themeFill="background1"/>
        </w:rPr>
      </w:pPr>
    </w:p>
    <w:p w14:paraId="618B19DB">
      <w:pPr>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《详细评审标准》</w:t>
      </w:r>
    </w:p>
    <w:tbl>
      <w:tblPr>
        <w:tblStyle w:val="43"/>
        <w:tblW w:w="4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8"/>
        <w:gridCol w:w="1997"/>
        <w:gridCol w:w="1170"/>
        <w:gridCol w:w="5709"/>
      </w:tblGrid>
      <w:tr w14:paraId="52EE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546" w:type="pct"/>
            <w:vAlign w:val="center"/>
          </w:tcPr>
          <w:p w14:paraId="7D50D30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序号</w:t>
            </w:r>
          </w:p>
        </w:tc>
        <w:tc>
          <w:tcPr>
            <w:tcW w:w="1002" w:type="pct"/>
            <w:vAlign w:val="center"/>
          </w:tcPr>
          <w:p w14:paraId="78C7B8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highlight w:val="none"/>
              </w:rPr>
              <w:t>评审项目</w:t>
            </w:r>
          </w:p>
        </w:tc>
        <w:tc>
          <w:tcPr>
            <w:tcW w:w="587" w:type="pct"/>
            <w:shd w:val="clear" w:color="auto" w:fill="auto"/>
            <w:vAlign w:val="center"/>
          </w:tcPr>
          <w:p w14:paraId="2104D4A8">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标准分</w:t>
            </w:r>
          </w:p>
        </w:tc>
        <w:tc>
          <w:tcPr>
            <w:tcW w:w="2863" w:type="pct"/>
            <w:vAlign w:val="center"/>
          </w:tcPr>
          <w:p w14:paraId="6B0C6DC5">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评审标准</w:t>
            </w:r>
          </w:p>
        </w:tc>
      </w:tr>
      <w:tr w14:paraId="10EB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46" w:type="pct"/>
            <w:shd w:val="clear" w:color="auto" w:fill="auto"/>
            <w:vAlign w:val="center"/>
          </w:tcPr>
          <w:p w14:paraId="6BB6DA31">
            <w:pPr>
              <w:spacing w:line="360" w:lineRule="auto"/>
              <w:jc w:val="center"/>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highlight w:val="none"/>
              </w:rPr>
              <w:t>1</w:t>
            </w:r>
          </w:p>
        </w:tc>
        <w:tc>
          <w:tcPr>
            <w:tcW w:w="1002" w:type="pct"/>
            <w:shd w:val="clear" w:color="auto" w:fill="auto"/>
            <w:vAlign w:val="center"/>
          </w:tcPr>
          <w:p w14:paraId="6AA6D8A0">
            <w:pPr>
              <w:spacing w:line="360" w:lineRule="auto"/>
              <w:ind w:firstLine="0" w:firstLineChars="0"/>
              <w:jc w:val="center"/>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highlight w:val="none"/>
                <w:lang w:val="en-US" w:eastAsia="zh-CN"/>
              </w:rPr>
              <w:t>响应报价</w:t>
            </w:r>
          </w:p>
        </w:tc>
        <w:tc>
          <w:tcPr>
            <w:tcW w:w="587" w:type="pct"/>
            <w:shd w:val="clear" w:color="auto" w:fill="auto"/>
            <w:vAlign w:val="center"/>
          </w:tcPr>
          <w:p w14:paraId="3A976F65">
            <w:pPr>
              <w:spacing w:line="360" w:lineRule="auto"/>
              <w:ind w:firstLine="0" w:firstLineChars="0"/>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30</w:t>
            </w:r>
          </w:p>
        </w:tc>
        <w:tc>
          <w:tcPr>
            <w:tcW w:w="2863" w:type="pct"/>
            <w:shd w:val="clear" w:color="auto" w:fill="auto"/>
            <w:vAlign w:val="center"/>
          </w:tcPr>
          <w:p w14:paraId="067B50C6">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响应报价得分计算方法：</w:t>
            </w:r>
          </w:p>
          <w:p w14:paraId="3A9E5142">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1.响应报价的确定</w:t>
            </w:r>
          </w:p>
          <w:p w14:paraId="79A58DE5">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响应报价是指经评审的且不超过最高限价的响应价格</w:t>
            </w:r>
          </w:p>
          <w:p w14:paraId="6135A380">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2.基准价的确定</w:t>
            </w:r>
          </w:p>
          <w:p w14:paraId="4105DAE0">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满足采购文件要求且最后响应报价最低的供应商的价格为基准价</w:t>
            </w:r>
          </w:p>
          <w:p w14:paraId="1B1A44CB">
            <w:p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3.响应报价得分=(基准价／响应报价)×30</w:t>
            </w:r>
          </w:p>
          <w:p w14:paraId="23E5911F">
            <w:pPr>
              <w:spacing w:line="360" w:lineRule="auto"/>
              <w:ind w:firstLine="420" w:firstLineChars="2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highlight w:val="none"/>
                <w:lang w:val="en-US" w:eastAsia="zh-CN"/>
              </w:rPr>
              <w:t>4.分值计算保留小数点后两位，小数点后三位“四舍五入”。</w:t>
            </w:r>
          </w:p>
        </w:tc>
      </w:tr>
      <w:tr w14:paraId="5266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546" w:type="pct"/>
            <w:shd w:val="clear" w:color="auto" w:fill="auto"/>
            <w:vAlign w:val="center"/>
          </w:tcPr>
          <w:p w14:paraId="7E7CA13C">
            <w:pPr>
              <w:spacing w:line="36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highlight w:val="none"/>
                <w:lang w:val="en-US" w:eastAsia="zh-CN"/>
              </w:rPr>
              <w:t>2</w:t>
            </w:r>
          </w:p>
        </w:tc>
        <w:tc>
          <w:tcPr>
            <w:tcW w:w="1002" w:type="pct"/>
            <w:shd w:val="clear" w:color="auto" w:fill="auto"/>
            <w:vAlign w:val="center"/>
          </w:tcPr>
          <w:p w14:paraId="6520E8E9">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企业</w:t>
            </w:r>
            <w:r>
              <w:rPr>
                <w:rFonts w:hint="eastAsia" w:ascii="仿宋" w:hAnsi="仿宋" w:eastAsia="仿宋" w:cs="仿宋"/>
                <w:color w:val="auto"/>
                <w:szCs w:val="21"/>
                <w:highlight w:val="none"/>
                <w:shd w:val="clear" w:color="auto" w:fill="FFFFFF" w:themeFill="background1"/>
              </w:rPr>
              <w:t>类似业绩</w:t>
            </w:r>
          </w:p>
        </w:tc>
        <w:tc>
          <w:tcPr>
            <w:tcW w:w="587" w:type="pct"/>
            <w:shd w:val="clear" w:color="auto" w:fill="auto"/>
            <w:vAlign w:val="center"/>
          </w:tcPr>
          <w:p w14:paraId="47D10DE4">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8</w:t>
            </w:r>
          </w:p>
        </w:tc>
        <w:tc>
          <w:tcPr>
            <w:tcW w:w="2863" w:type="pct"/>
            <w:shd w:val="clear" w:color="auto" w:fill="auto"/>
            <w:vAlign w:val="center"/>
          </w:tcPr>
          <w:p w14:paraId="2F1362D2">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近三年（2023年1月1日-至今，以合同签订时间为准）承接的类似业绩，每提供一项得</w:t>
            </w:r>
            <w:r>
              <w:rPr>
                <w:rFonts w:hint="eastAsia" w:ascii="仿宋" w:hAnsi="仿宋" w:eastAsia="仿宋" w:cs="仿宋"/>
                <w:color w:val="auto"/>
                <w:szCs w:val="21"/>
                <w:highlight w:val="none"/>
                <w:shd w:val="clear" w:color="auto" w:fill="FFFFFF" w:themeFill="background1"/>
                <w:lang w:val="en-US" w:eastAsia="zh-CN"/>
              </w:rPr>
              <w:t>2</w:t>
            </w:r>
            <w:r>
              <w:rPr>
                <w:rFonts w:hint="eastAsia" w:ascii="仿宋" w:hAnsi="仿宋" w:eastAsia="仿宋" w:cs="仿宋"/>
                <w:color w:val="auto"/>
                <w:szCs w:val="21"/>
                <w:highlight w:val="none"/>
                <w:shd w:val="clear" w:color="auto" w:fill="FFFFFF" w:themeFill="background1"/>
              </w:rPr>
              <w:t>分，最多计</w:t>
            </w:r>
            <w:r>
              <w:rPr>
                <w:rFonts w:hint="eastAsia" w:ascii="仿宋" w:hAnsi="仿宋" w:eastAsia="仿宋" w:cs="仿宋"/>
                <w:color w:val="auto"/>
                <w:szCs w:val="21"/>
                <w:highlight w:val="none"/>
                <w:shd w:val="clear" w:color="auto" w:fill="FFFFFF" w:themeFill="background1"/>
                <w:lang w:val="en-US" w:eastAsia="zh-CN"/>
              </w:rPr>
              <w:t>4</w:t>
            </w:r>
            <w:r>
              <w:rPr>
                <w:rFonts w:hint="eastAsia" w:ascii="仿宋" w:hAnsi="仿宋" w:eastAsia="仿宋" w:cs="仿宋"/>
                <w:color w:val="auto"/>
                <w:szCs w:val="21"/>
                <w:highlight w:val="none"/>
                <w:shd w:val="clear" w:color="auto" w:fill="FFFFFF" w:themeFill="background1"/>
              </w:rPr>
              <w:t>项（须提供合同首页、签字盖章页及主要服务内容页等）。</w:t>
            </w:r>
          </w:p>
        </w:tc>
      </w:tr>
      <w:tr w14:paraId="428B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546" w:type="pct"/>
            <w:shd w:val="clear" w:color="auto" w:fill="auto"/>
            <w:vAlign w:val="center"/>
          </w:tcPr>
          <w:p w14:paraId="2758DEEF">
            <w:pPr>
              <w:spacing w:line="360" w:lineRule="auto"/>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1002" w:type="pct"/>
            <w:shd w:val="clear" w:color="auto" w:fill="auto"/>
            <w:vAlign w:val="center"/>
          </w:tcPr>
          <w:p w14:paraId="64F86224">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技术要求响应</w:t>
            </w:r>
          </w:p>
        </w:tc>
        <w:tc>
          <w:tcPr>
            <w:tcW w:w="587" w:type="pct"/>
            <w:shd w:val="clear" w:color="auto" w:fill="auto"/>
            <w:vAlign w:val="center"/>
          </w:tcPr>
          <w:p w14:paraId="66E45E79">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40</w:t>
            </w:r>
          </w:p>
        </w:tc>
        <w:tc>
          <w:tcPr>
            <w:tcW w:w="2863" w:type="pct"/>
            <w:shd w:val="clear" w:color="auto" w:fill="auto"/>
            <w:vAlign w:val="center"/>
          </w:tcPr>
          <w:p w14:paraId="50E98688">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对照第四章“服务标准与要求”的技术要求（技术要求前标注标注“▲”的为主要技术要求，未标注的为一般技术要求），根据投标人提供的服务与技术性能指标的响应情况进行评审。</w:t>
            </w:r>
          </w:p>
          <w:p w14:paraId="0C127546">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1.投标人所投产品技术要求完全响应招标文件要求的，得40分；</w:t>
            </w:r>
          </w:p>
          <w:p w14:paraId="393F7A05">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2.主要技术要求存在负偏离的，每一条扣4分，一般技术要求存在负偏离的，每一条扣2分，扣完为止。</w:t>
            </w:r>
          </w:p>
          <w:p w14:paraId="5BA1E5ED">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注：需提供主要参数的相应证明材料；</w:t>
            </w:r>
          </w:p>
        </w:tc>
      </w:tr>
      <w:tr w14:paraId="4AF0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546" w:type="pct"/>
            <w:shd w:val="clear" w:color="auto" w:fill="auto"/>
            <w:vAlign w:val="center"/>
          </w:tcPr>
          <w:p w14:paraId="3F59FFF9">
            <w:pPr>
              <w:spacing w:line="360" w:lineRule="auto"/>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1002" w:type="pct"/>
            <w:shd w:val="clear" w:color="auto" w:fill="auto"/>
            <w:vAlign w:val="center"/>
          </w:tcPr>
          <w:p w14:paraId="239B7C1F">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项目团队人员</w:t>
            </w:r>
          </w:p>
        </w:tc>
        <w:tc>
          <w:tcPr>
            <w:tcW w:w="587" w:type="pct"/>
            <w:shd w:val="clear" w:color="auto" w:fill="auto"/>
            <w:vAlign w:val="center"/>
          </w:tcPr>
          <w:p w14:paraId="06D0E23A">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4</w:t>
            </w:r>
          </w:p>
        </w:tc>
        <w:tc>
          <w:tcPr>
            <w:tcW w:w="2863" w:type="pct"/>
            <w:shd w:val="clear" w:color="auto" w:fill="auto"/>
            <w:vAlign w:val="center"/>
          </w:tcPr>
          <w:p w14:paraId="04E65EBC">
            <w:pPr>
              <w:spacing w:line="360" w:lineRule="auto"/>
              <w:ind w:firstLine="210" w:firstLineChars="100"/>
              <w:jc w:val="left"/>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供应商为本项目拟配备1名服务人员得1分，最多计4人。</w:t>
            </w:r>
          </w:p>
          <w:p w14:paraId="26022C11">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注：须提供人员身份证、相应证书及本单位近半年任意一月社保缴纳证明或劳动合同；同一人员的不同证书只计取一次。</w:t>
            </w:r>
          </w:p>
        </w:tc>
      </w:tr>
      <w:tr w14:paraId="6351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546" w:type="pct"/>
            <w:shd w:val="clear" w:color="auto" w:fill="auto"/>
            <w:vAlign w:val="center"/>
          </w:tcPr>
          <w:p w14:paraId="711190B4">
            <w:pPr>
              <w:spacing w:line="360" w:lineRule="auto"/>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1002" w:type="pct"/>
            <w:shd w:val="clear" w:color="auto" w:fill="auto"/>
            <w:vAlign w:val="center"/>
          </w:tcPr>
          <w:p w14:paraId="4A59FB46">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项目实施方案</w:t>
            </w:r>
          </w:p>
        </w:tc>
        <w:tc>
          <w:tcPr>
            <w:tcW w:w="587" w:type="pct"/>
            <w:shd w:val="clear" w:color="auto" w:fill="auto"/>
            <w:vAlign w:val="center"/>
          </w:tcPr>
          <w:p w14:paraId="7BF78490">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4</w:t>
            </w:r>
          </w:p>
        </w:tc>
        <w:tc>
          <w:tcPr>
            <w:tcW w:w="2863" w:type="pct"/>
            <w:shd w:val="clear" w:color="auto" w:fill="auto"/>
            <w:vAlign w:val="center"/>
          </w:tcPr>
          <w:p w14:paraId="6C8E83D0">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项目实施方案包括但不限于：①项目进度计划，②实施过程管理文档；2部分要素。</w:t>
            </w:r>
          </w:p>
          <w:p w14:paraId="4638771E">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所有要素齐全且完全满足项目要求得4分，每缺一个要素扣2分，每个要素里每有一处内容缺陷扣1分（扣完为止）。</w:t>
            </w:r>
          </w:p>
        </w:tc>
      </w:tr>
      <w:tr w14:paraId="608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546" w:type="pct"/>
            <w:shd w:val="clear" w:color="auto" w:fill="auto"/>
            <w:vAlign w:val="center"/>
          </w:tcPr>
          <w:p w14:paraId="7E49045F">
            <w:pPr>
              <w:spacing w:line="360" w:lineRule="auto"/>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002" w:type="pct"/>
            <w:shd w:val="clear" w:color="auto" w:fill="auto"/>
            <w:vAlign w:val="center"/>
          </w:tcPr>
          <w:p w14:paraId="00E02338">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项目管理方案</w:t>
            </w:r>
          </w:p>
        </w:tc>
        <w:tc>
          <w:tcPr>
            <w:tcW w:w="587" w:type="pct"/>
            <w:shd w:val="clear" w:color="auto" w:fill="auto"/>
            <w:vAlign w:val="center"/>
          </w:tcPr>
          <w:p w14:paraId="1DE48CE8">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2863" w:type="pct"/>
            <w:shd w:val="clear" w:color="auto" w:fill="auto"/>
            <w:vAlign w:val="center"/>
          </w:tcPr>
          <w:p w14:paraId="72F97D02">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项目管理方案包括但不限于：①内部管理制度（包含但不限于日常管理制度、整体运营管理服务理念、管理思路、自查自检制度）②针对本项目设置的项目组织机构（管理组织机构、工作职能运行图、管理体系流程图）③服务响应时间安排；3部分要素。</w:t>
            </w:r>
          </w:p>
          <w:p w14:paraId="2E44D739">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所有要素齐全且完全满足项目要求得6分，每缺一个要素扣2分，每个要素里每有一处内容缺陷扣1分（扣完为止）。</w:t>
            </w:r>
          </w:p>
        </w:tc>
      </w:tr>
      <w:tr w14:paraId="410D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546" w:type="pct"/>
            <w:shd w:val="clear" w:color="auto" w:fill="auto"/>
            <w:vAlign w:val="center"/>
          </w:tcPr>
          <w:p w14:paraId="33157BCE">
            <w:pPr>
              <w:spacing w:line="360" w:lineRule="auto"/>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002" w:type="pct"/>
            <w:shd w:val="clear" w:color="auto" w:fill="auto"/>
            <w:vAlign w:val="center"/>
          </w:tcPr>
          <w:p w14:paraId="6E8A2FDC">
            <w:pPr>
              <w:spacing w:line="360" w:lineRule="auto"/>
              <w:ind w:firstLine="0" w:firstLineChars="0"/>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应急方案</w:t>
            </w:r>
          </w:p>
        </w:tc>
        <w:tc>
          <w:tcPr>
            <w:tcW w:w="587" w:type="pct"/>
            <w:shd w:val="clear" w:color="auto" w:fill="auto"/>
            <w:vAlign w:val="center"/>
          </w:tcPr>
          <w:p w14:paraId="5D7C7BBC">
            <w:pPr>
              <w:spacing w:line="360" w:lineRule="auto"/>
              <w:ind w:firstLine="0" w:firstLineChars="0"/>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8</w:t>
            </w:r>
          </w:p>
        </w:tc>
        <w:tc>
          <w:tcPr>
            <w:tcW w:w="2863" w:type="pct"/>
            <w:shd w:val="clear" w:color="auto" w:fill="auto"/>
            <w:vAlign w:val="center"/>
          </w:tcPr>
          <w:p w14:paraId="460C971B">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应急方案包括但不限于：①应急管理制度，②应急响应及报告机制，③应急处置流程，④突发事件应急预案；4部分要素。</w:t>
            </w:r>
          </w:p>
          <w:p w14:paraId="01099144">
            <w:pPr>
              <w:spacing w:line="360" w:lineRule="auto"/>
              <w:ind w:firstLine="210" w:firstLineChars="100"/>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2"/>
                <w:sz w:val="21"/>
                <w:szCs w:val="21"/>
                <w:highlight w:val="none"/>
                <w:shd w:val="clear" w:color="auto" w:fill="FFFFFF" w:themeFill="background1"/>
                <w:lang w:val="en-US" w:eastAsia="zh-CN" w:bidi="ar-SA"/>
              </w:rPr>
              <w:t>所有要素齐全且完全满足项目要求得8分，每缺一个要素扣2分，每个要素里每有一处内容缺陷扣1分（扣完为止）。</w:t>
            </w:r>
          </w:p>
        </w:tc>
      </w:tr>
      <w:tr w14:paraId="6A3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1548" w:type="pct"/>
            <w:gridSpan w:val="2"/>
            <w:vAlign w:val="center"/>
          </w:tcPr>
          <w:p w14:paraId="47F732E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合计</w:t>
            </w:r>
          </w:p>
        </w:tc>
        <w:tc>
          <w:tcPr>
            <w:tcW w:w="587" w:type="pct"/>
            <w:shd w:val="clear" w:color="auto" w:fill="auto"/>
            <w:vAlign w:val="center"/>
          </w:tcPr>
          <w:p w14:paraId="7BBFED44">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100</w:t>
            </w:r>
          </w:p>
        </w:tc>
        <w:tc>
          <w:tcPr>
            <w:tcW w:w="2863" w:type="pct"/>
            <w:vAlign w:val="center"/>
          </w:tcPr>
          <w:p w14:paraId="00222886">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p>
        </w:tc>
      </w:tr>
      <w:tr w14:paraId="244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5000" w:type="pct"/>
            <w:gridSpan w:val="4"/>
            <w:vAlign w:val="center"/>
          </w:tcPr>
          <w:p w14:paraId="5B2E7D03">
            <w:pPr>
              <w:spacing w:line="360" w:lineRule="auto"/>
              <w:ind w:firstLine="210" w:firstLineChars="10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4352987">
      <w:pPr>
        <w:rPr>
          <w:rFonts w:hint="eastAsia" w:ascii="仿宋" w:hAnsi="仿宋" w:eastAsia="仿宋" w:cs="仿宋"/>
          <w:color w:val="auto"/>
          <w:highlight w:val="none"/>
        </w:rPr>
      </w:pPr>
    </w:p>
    <w:p w14:paraId="4D03BB7B">
      <w:pPr>
        <w:tabs>
          <w:tab w:val="center" w:pos="4832"/>
          <w:tab w:val="left" w:pos="7140"/>
        </w:tabs>
        <w:spacing w:line="360" w:lineRule="auto"/>
        <w:ind w:firstLine="472" w:firstLineChars="196"/>
        <w:jc w:val="left"/>
        <w:outlineLvl w:val="1"/>
        <w:rPr>
          <w:rFonts w:hint="eastAsia" w:ascii="仿宋" w:hAnsi="仿宋" w:eastAsia="仿宋" w:cs="仿宋"/>
          <w:color w:val="auto"/>
          <w:highlight w:val="none"/>
        </w:rPr>
      </w:pPr>
      <w:bookmarkStart w:id="33" w:name="_Toc16659"/>
      <w:r>
        <w:rPr>
          <w:rFonts w:hint="eastAsia" w:ascii="仿宋" w:hAnsi="仿宋" w:eastAsia="仿宋" w:cs="仿宋"/>
          <w:b/>
          <w:color w:val="auto"/>
          <w:sz w:val="24"/>
          <w:szCs w:val="24"/>
          <w:highlight w:val="none"/>
          <w:shd w:val="clear" w:color="auto" w:fill="FFFFFF" w:themeFill="background1"/>
        </w:rPr>
        <w:t>一、评审方法</w:t>
      </w:r>
      <w:bookmarkEnd w:id="33"/>
    </w:p>
    <w:p w14:paraId="297C5F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20525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4" w:name="_Toc28167"/>
      <w:r>
        <w:rPr>
          <w:rFonts w:hint="eastAsia" w:ascii="仿宋" w:hAnsi="仿宋" w:eastAsia="仿宋" w:cs="仿宋"/>
          <w:b/>
          <w:color w:val="auto"/>
          <w:sz w:val="24"/>
          <w:szCs w:val="24"/>
          <w:highlight w:val="none"/>
          <w:shd w:val="clear" w:color="auto" w:fill="FFFFFF" w:themeFill="background1"/>
        </w:rPr>
        <w:t>二、评审标准</w:t>
      </w:r>
      <w:bookmarkEnd w:id="34"/>
    </w:p>
    <w:p w14:paraId="1E3633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23C2CC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6890D3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44353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1C028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评分标准：</w:t>
      </w:r>
    </w:p>
    <w:p w14:paraId="07F0EB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51F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（2）基准价计算：见评审办法前附表。</w:t>
      </w:r>
    </w:p>
    <w:p w14:paraId="0C3062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得分的计算：见评审办法前附表。</w:t>
      </w:r>
    </w:p>
    <w:p w14:paraId="7DBFC3A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5" w:name="_Toc32655"/>
      <w:r>
        <w:rPr>
          <w:rFonts w:hint="eastAsia" w:ascii="仿宋" w:hAnsi="仿宋" w:eastAsia="仿宋" w:cs="仿宋"/>
          <w:b/>
          <w:color w:val="auto"/>
          <w:sz w:val="24"/>
          <w:szCs w:val="24"/>
          <w:highlight w:val="none"/>
          <w:shd w:val="clear" w:color="auto" w:fill="FFFFFF" w:themeFill="background1"/>
        </w:rPr>
        <w:t>三、评审程序</w:t>
      </w:r>
      <w:bookmarkEnd w:id="35"/>
    </w:p>
    <w:p w14:paraId="7BCCB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569B9E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7F1DE51E">
      <w:pPr>
        <w:pStyle w:val="68"/>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2B74B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3E534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577AEE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4C7F17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6867A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00C7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04B4EF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864AF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175E60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956A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69C62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4F65D0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08B19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2DEF34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DC08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2D84CA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6B936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77CC2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347332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028F6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2BFB9D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，了解和熟悉</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E5AF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69F87E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补充；</w:t>
      </w:r>
    </w:p>
    <w:p w14:paraId="7CB05D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会上当场拒绝的各响应文件；</w:t>
      </w:r>
    </w:p>
    <w:p w14:paraId="3BBC9B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会记录；</w:t>
      </w:r>
    </w:p>
    <w:p w14:paraId="6136A0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197035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7B9E82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484349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19916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349F7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AFAF4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的其他供应商的竞争地位产生不公正的影响。</w:t>
      </w:r>
    </w:p>
    <w:p w14:paraId="265C49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277F2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12BADC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3.5.1、按照供应商递交响应文件的逆顺序，由磋商小组与各供应商进行磋商，对响应文件中的漏项、错误等问题进行统一补充和修正并告知供应商，在此基础上进行第二轮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w:t>
      </w:r>
    </w:p>
    <w:p w14:paraId="0A76C0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，作为最终</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的依据。若供应商未进行第二轮报价，视为放弃响应资格；其响应无效；不在参与后续评审。</w:t>
      </w:r>
    </w:p>
    <w:p w14:paraId="27F884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7C722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 只有通过了第二轮报价方可进入详细评审。</w:t>
      </w:r>
    </w:p>
    <w:p w14:paraId="6118FF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 澄清、说明和补正</w:t>
      </w:r>
    </w:p>
    <w:p w14:paraId="72524B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的算术性错误、错漏项、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构成不合理、不平衡报价等存在明显异常的问题。</w:t>
      </w:r>
    </w:p>
    <w:p w14:paraId="6F923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98AB2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550BCE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66D5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65E4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1DA36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一览表与响应文件中相应内容不一致的，以开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一览表为准；</w:t>
      </w:r>
    </w:p>
    <w:p w14:paraId="44BDC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一览表的总价为准，并修改单价；</w:t>
      </w:r>
    </w:p>
    <w:p w14:paraId="70264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37C6EF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修正后的报价经供应商确认后产生约束力，供应商不确认或不接受的，其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rPr>
        <w:t>无效。</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9F2C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58EE2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汇总评分结果，评分分值计算保留小数点后两位，小数点后第三位“四舍五入”。</w:t>
      </w:r>
    </w:p>
    <w:p w14:paraId="79DF4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36E123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69B4E8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647471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.3总得分相同</w:t>
      </w:r>
      <w:r>
        <w:rPr>
          <w:rFonts w:hint="eastAsia" w:ascii="仿宋" w:hAnsi="仿宋" w:eastAsia="仿宋" w:cs="仿宋"/>
          <w:color w:val="auto"/>
          <w:kern w:val="0"/>
          <w:sz w:val="24"/>
          <w:szCs w:val="24"/>
          <w:highlight w:val="none"/>
        </w:rPr>
        <w:t>且报价相同</w:t>
      </w:r>
      <w:r>
        <w:rPr>
          <w:rFonts w:hint="eastAsia" w:ascii="仿宋" w:hAnsi="仿宋" w:eastAsia="仿宋" w:cs="仿宋"/>
          <w:color w:val="auto"/>
          <w:kern w:val="0"/>
          <w:sz w:val="24"/>
          <w:szCs w:val="24"/>
          <w:highlight w:val="none"/>
          <w:shd w:val="clear" w:color="auto" w:fill="FFFFFF" w:themeFill="background1"/>
        </w:rPr>
        <w:t>的供应商，</w:t>
      </w:r>
      <w:r>
        <w:rPr>
          <w:rFonts w:hint="eastAsia" w:ascii="仿宋" w:hAnsi="仿宋" w:eastAsia="仿宋" w:cs="仿宋"/>
          <w:color w:val="auto"/>
          <w:kern w:val="0"/>
          <w:sz w:val="24"/>
          <w:szCs w:val="24"/>
          <w:highlight w:val="none"/>
        </w:rPr>
        <w:t>采取随机抽取方式确定排序顺序。</w:t>
      </w:r>
    </w:p>
    <w:p w14:paraId="65740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p>
    <w:p w14:paraId="1DE034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3.7.1磋商小组推荐成交候选人，总得分排序第一的供应商将被确定为第一成交候选人，以此类推确定出规定数量的的成交候选人。</w:t>
      </w:r>
    </w:p>
    <w:p w14:paraId="7CBF67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w:t>
      </w:r>
    </w:p>
    <w:p w14:paraId="12F6A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52685A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1F124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4517FE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B514F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469C8E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3565AC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02ACC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468486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1212D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7275AC7C">
      <w:pPr>
        <w:widowControl/>
        <w:spacing w:line="360" w:lineRule="auto"/>
        <w:jc w:val="left"/>
        <w:rPr>
          <w:rFonts w:hint="eastAsia" w:ascii="仿宋" w:hAnsi="仿宋" w:eastAsia="仿宋" w:cs="仿宋"/>
          <w:b/>
          <w:color w:val="auto"/>
          <w:sz w:val="24"/>
          <w:szCs w:val="24"/>
          <w:highlight w:val="none"/>
          <w:shd w:val="clear" w:color="auto" w:fill="FFFFFF" w:themeFill="background1"/>
        </w:rPr>
      </w:pPr>
      <w:bookmarkStart w:id="36" w:name="_Toc485312286"/>
      <w:r>
        <w:rPr>
          <w:rFonts w:hint="eastAsia" w:ascii="仿宋" w:hAnsi="仿宋" w:eastAsia="仿宋" w:cs="仿宋"/>
          <w:b/>
          <w:color w:val="auto"/>
          <w:sz w:val="24"/>
          <w:szCs w:val="24"/>
          <w:highlight w:val="none"/>
          <w:shd w:val="clear" w:color="auto" w:fill="FFFFFF" w:themeFill="background1"/>
        </w:rPr>
        <w:br w:type="page"/>
      </w:r>
    </w:p>
    <w:p w14:paraId="0FA33D26">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24A4A0AB">
      <w:pPr>
        <w:spacing w:line="360" w:lineRule="auto"/>
        <w:rPr>
          <w:rFonts w:hint="eastAsia" w:ascii="仿宋" w:hAnsi="仿宋" w:eastAsia="仿宋" w:cs="仿宋"/>
          <w:color w:val="auto"/>
          <w:sz w:val="24"/>
          <w:szCs w:val="24"/>
          <w:highlight w:val="none"/>
          <w:shd w:val="clear" w:color="auto" w:fill="FFFFFF" w:themeFill="background1"/>
        </w:rPr>
      </w:pPr>
    </w:p>
    <w:p w14:paraId="3CDEAB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43F9FB6A">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的磋商小组，对你方的响应文件进行了仔细的审查，现需你方对本通知所附质疑问卷中的问题以书面形式予以澄清、说明或者补正。</w:t>
      </w:r>
    </w:p>
    <w:p w14:paraId="1DB3CD0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66B6287D">
      <w:pPr>
        <w:spacing w:line="360" w:lineRule="auto"/>
        <w:rPr>
          <w:rFonts w:hint="eastAsia" w:ascii="仿宋" w:hAnsi="仿宋" w:eastAsia="仿宋" w:cs="仿宋"/>
          <w:color w:val="auto"/>
          <w:kern w:val="0"/>
          <w:sz w:val="24"/>
          <w:szCs w:val="24"/>
          <w:highlight w:val="none"/>
          <w:shd w:val="clear" w:color="auto" w:fill="FFFFFF" w:themeFill="background1"/>
        </w:rPr>
      </w:pPr>
    </w:p>
    <w:p w14:paraId="612A90D3">
      <w:pPr>
        <w:spacing w:line="360" w:lineRule="auto"/>
        <w:rPr>
          <w:rFonts w:hint="eastAsia" w:ascii="仿宋" w:hAnsi="仿宋" w:eastAsia="仿宋" w:cs="仿宋"/>
          <w:color w:val="auto"/>
          <w:kern w:val="0"/>
          <w:sz w:val="24"/>
          <w:szCs w:val="24"/>
          <w:highlight w:val="none"/>
          <w:shd w:val="clear" w:color="auto" w:fill="FFFFFF" w:themeFill="background1"/>
        </w:rPr>
      </w:pPr>
    </w:p>
    <w:p w14:paraId="2B9B9385">
      <w:pPr>
        <w:spacing w:line="360" w:lineRule="auto"/>
        <w:rPr>
          <w:rFonts w:hint="eastAsia" w:ascii="仿宋" w:hAnsi="仿宋" w:eastAsia="仿宋" w:cs="仿宋"/>
          <w:color w:val="auto"/>
          <w:kern w:val="0"/>
          <w:sz w:val="24"/>
          <w:szCs w:val="24"/>
          <w:highlight w:val="none"/>
          <w:shd w:val="clear" w:color="auto" w:fill="FFFFFF" w:themeFill="background1"/>
        </w:rPr>
      </w:pPr>
    </w:p>
    <w:p w14:paraId="4DE6DF67">
      <w:pPr>
        <w:spacing w:line="360" w:lineRule="auto"/>
        <w:rPr>
          <w:rFonts w:hint="eastAsia" w:ascii="仿宋" w:hAnsi="仿宋" w:eastAsia="仿宋" w:cs="仿宋"/>
          <w:color w:val="auto"/>
          <w:kern w:val="0"/>
          <w:sz w:val="24"/>
          <w:szCs w:val="24"/>
          <w:highlight w:val="none"/>
          <w:shd w:val="clear" w:color="auto" w:fill="FFFFFF" w:themeFill="background1"/>
        </w:rPr>
      </w:pPr>
    </w:p>
    <w:p w14:paraId="15314702">
      <w:pPr>
        <w:spacing w:line="360" w:lineRule="auto"/>
        <w:rPr>
          <w:rFonts w:hint="eastAsia" w:ascii="仿宋" w:hAnsi="仿宋" w:eastAsia="仿宋" w:cs="仿宋"/>
          <w:color w:val="auto"/>
          <w:kern w:val="0"/>
          <w:sz w:val="24"/>
          <w:szCs w:val="24"/>
          <w:highlight w:val="none"/>
          <w:shd w:val="clear" w:color="auto" w:fill="FFFFFF" w:themeFill="background1"/>
        </w:rPr>
      </w:pPr>
    </w:p>
    <w:p w14:paraId="5FC13D46">
      <w:pPr>
        <w:spacing w:line="360" w:lineRule="auto"/>
        <w:rPr>
          <w:rFonts w:hint="eastAsia" w:ascii="仿宋" w:hAnsi="仿宋" w:eastAsia="仿宋" w:cs="仿宋"/>
          <w:color w:val="auto"/>
          <w:kern w:val="0"/>
          <w:sz w:val="24"/>
          <w:szCs w:val="24"/>
          <w:highlight w:val="none"/>
          <w:shd w:val="clear" w:color="auto" w:fill="FFFFFF" w:themeFill="background1"/>
        </w:rPr>
      </w:pPr>
    </w:p>
    <w:p w14:paraId="16CE3047">
      <w:pPr>
        <w:spacing w:line="360" w:lineRule="auto"/>
        <w:rPr>
          <w:rFonts w:hint="eastAsia" w:ascii="仿宋" w:hAnsi="仿宋" w:eastAsia="仿宋" w:cs="仿宋"/>
          <w:color w:val="auto"/>
          <w:kern w:val="0"/>
          <w:sz w:val="24"/>
          <w:szCs w:val="24"/>
          <w:highlight w:val="none"/>
          <w:shd w:val="clear" w:color="auto" w:fill="FFFFFF" w:themeFill="background1"/>
        </w:rPr>
      </w:pPr>
    </w:p>
    <w:p w14:paraId="19765679">
      <w:pPr>
        <w:spacing w:line="360" w:lineRule="auto"/>
        <w:rPr>
          <w:rFonts w:hint="eastAsia" w:ascii="仿宋" w:hAnsi="仿宋" w:eastAsia="仿宋" w:cs="仿宋"/>
          <w:color w:val="auto"/>
          <w:kern w:val="0"/>
          <w:sz w:val="24"/>
          <w:szCs w:val="24"/>
          <w:highlight w:val="none"/>
          <w:shd w:val="clear" w:color="auto" w:fill="FFFFFF" w:themeFill="background1"/>
        </w:rPr>
      </w:pPr>
    </w:p>
    <w:p w14:paraId="75D80367">
      <w:pPr>
        <w:spacing w:line="360" w:lineRule="auto"/>
        <w:rPr>
          <w:rFonts w:hint="eastAsia" w:ascii="仿宋" w:hAnsi="仿宋" w:eastAsia="仿宋" w:cs="仿宋"/>
          <w:color w:val="auto"/>
          <w:kern w:val="0"/>
          <w:sz w:val="24"/>
          <w:szCs w:val="24"/>
          <w:highlight w:val="none"/>
          <w:shd w:val="clear" w:color="auto" w:fill="FFFFFF" w:themeFill="background1"/>
        </w:rPr>
      </w:pPr>
    </w:p>
    <w:p w14:paraId="34025378">
      <w:pPr>
        <w:spacing w:line="360" w:lineRule="auto"/>
        <w:rPr>
          <w:rFonts w:hint="eastAsia" w:ascii="仿宋" w:hAnsi="仿宋" w:eastAsia="仿宋" w:cs="仿宋"/>
          <w:color w:val="auto"/>
          <w:kern w:val="0"/>
          <w:sz w:val="24"/>
          <w:szCs w:val="24"/>
          <w:highlight w:val="none"/>
          <w:shd w:val="clear" w:color="auto" w:fill="FFFFFF" w:themeFill="background1"/>
        </w:rPr>
      </w:pPr>
    </w:p>
    <w:p w14:paraId="03DA27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0D811D1B">
      <w:pPr>
        <w:spacing w:line="360" w:lineRule="auto"/>
        <w:rPr>
          <w:rFonts w:hint="eastAsia" w:ascii="仿宋" w:hAnsi="仿宋" w:eastAsia="仿宋" w:cs="仿宋"/>
          <w:color w:val="auto"/>
          <w:kern w:val="0"/>
          <w:sz w:val="24"/>
          <w:szCs w:val="24"/>
          <w:highlight w:val="none"/>
          <w:shd w:val="clear" w:color="auto" w:fill="FFFFFF" w:themeFill="background1"/>
        </w:rPr>
      </w:pPr>
    </w:p>
    <w:p w14:paraId="3C0573D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71563130">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795FF43B">
      <w:pPr>
        <w:spacing w:line="360" w:lineRule="auto"/>
        <w:rPr>
          <w:rFonts w:hint="eastAsia" w:ascii="仿宋" w:hAnsi="仿宋" w:eastAsia="仿宋" w:cs="仿宋"/>
          <w:color w:val="auto"/>
          <w:kern w:val="0"/>
          <w:sz w:val="24"/>
          <w:szCs w:val="24"/>
          <w:highlight w:val="none"/>
          <w:shd w:val="clear" w:color="auto" w:fill="FFFFFF" w:themeFill="background1"/>
        </w:rPr>
      </w:pPr>
    </w:p>
    <w:p w14:paraId="013E5D7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0891D86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513B454A">
      <w:pPr>
        <w:spacing w:line="360" w:lineRule="auto"/>
        <w:rPr>
          <w:rFonts w:hint="eastAsia" w:ascii="仿宋" w:hAnsi="仿宋" w:eastAsia="仿宋" w:cs="仿宋"/>
          <w:color w:val="auto"/>
          <w:kern w:val="0"/>
          <w:sz w:val="24"/>
          <w:szCs w:val="24"/>
          <w:highlight w:val="none"/>
          <w:shd w:val="clear" w:color="auto" w:fill="FFFFFF" w:themeFill="background1"/>
        </w:rPr>
      </w:pPr>
    </w:p>
    <w:p w14:paraId="31CDAEAB">
      <w:pPr>
        <w:spacing w:line="360" w:lineRule="auto"/>
        <w:rPr>
          <w:rFonts w:hint="eastAsia" w:ascii="仿宋" w:hAnsi="仿宋" w:eastAsia="仿宋" w:cs="仿宋"/>
          <w:color w:val="auto"/>
          <w:kern w:val="0"/>
          <w:sz w:val="24"/>
          <w:szCs w:val="24"/>
          <w:highlight w:val="none"/>
          <w:shd w:val="clear" w:color="auto" w:fill="FFFFFF" w:themeFill="background1"/>
        </w:rPr>
      </w:pPr>
    </w:p>
    <w:p w14:paraId="30F0FC98">
      <w:pPr>
        <w:spacing w:line="360" w:lineRule="auto"/>
        <w:rPr>
          <w:rFonts w:hint="eastAsia" w:ascii="仿宋" w:hAnsi="仿宋" w:eastAsia="仿宋" w:cs="仿宋"/>
          <w:color w:val="auto"/>
          <w:kern w:val="0"/>
          <w:sz w:val="24"/>
          <w:szCs w:val="24"/>
          <w:highlight w:val="none"/>
          <w:shd w:val="clear" w:color="auto" w:fill="FFFFFF" w:themeFill="background1"/>
        </w:rPr>
      </w:pPr>
    </w:p>
    <w:p w14:paraId="36D1BFA9">
      <w:pPr>
        <w:spacing w:line="360" w:lineRule="auto"/>
        <w:rPr>
          <w:rFonts w:hint="eastAsia" w:ascii="仿宋" w:hAnsi="仿宋" w:eastAsia="仿宋" w:cs="仿宋"/>
          <w:color w:val="auto"/>
          <w:kern w:val="0"/>
          <w:sz w:val="24"/>
          <w:szCs w:val="24"/>
          <w:highlight w:val="none"/>
          <w:shd w:val="clear" w:color="auto" w:fill="FFFFFF" w:themeFill="background1"/>
        </w:rPr>
      </w:pPr>
    </w:p>
    <w:p w14:paraId="675E3224">
      <w:pPr>
        <w:spacing w:line="360" w:lineRule="auto"/>
        <w:rPr>
          <w:rFonts w:hint="eastAsia" w:ascii="仿宋" w:hAnsi="仿宋" w:eastAsia="仿宋" w:cs="仿宋"/>
          <w:color w:val="auto"/>
          <w:kern w:val="0"/>
          <w:sz w:val="24"/>
          <w:szCs w:val="24"/>
          <w:highlight w:val="none"/>
          <w:shd w:val="clear" w:color="auto" w:fill="FFFFFF" w:themeFill="background1"/>
        </w:rPr>
      </w:pPr>
    </w:p>
    <w:p w14:paraId="3521B9F9">
      <w:pPr>
        <w:spacing w:line="360" w:lineRule="auto"/>
        <w:rPr>
          <w:rFonts w:hint="eastAsia" w:ascii="仿宋" w:hAnsi="仿宋" w:eastAsia="仿宋" w:cs="仿宋"/>
          <w:color w:val="auto"/>
          <w:kern w:val="0"/>
          <w:sz w:val="24"/>
          <w:szCs w:val="24"/>
          <w:highlight w:val="none"/>
          <w:shd w:val="clear" w:color="auto" w:fill="FFFFFF" w:themeFill="background1"/>
        </w:rPr>
      </w:pPr>
    </w:p>
    <w:p w14:paraId="5E106A18">
      <w:pPr>
        <w:spacing w:line="360" w:lineRule="auto"/>
        <w:rPr>
          <w:rFonts w:hint="eastAsia" w:ascii="仿宋" w:hAnsi="仿宋" w:eastAsia="仿宋" w:cs="仿宋"/>
          <w:color w:val="auto"/>
          <w:kern w:val="0"/>
          <w:sz w:val="24"/>
          <w:szCs w:val="24"/>
          <w:highlight w:val="none"/>
          <w:shd w:val="clear" w:color="auto" w:fill="FFFFFF" w:themeFill="background1"/>
        </w:rPr>
      </w:pPr>
    </w:p>
    <w:p w14:paraId="674988AE">
      <w:pPr>
        <w:spacing w:line="360" w:lineRule="auto"/>
        <w:rPr>
          <w:rFonts w:hint="eastAsia" w:ascii="仿宋" w:hAnsi="仿宋" w:eastAsia="仿宋" w:cs="仿宋"/>
          <w:color w:val="auto"/>
          <w:kern w:val="0"/>
          <w:sz w:val="24"/>
          <w:szCs w:val="24"/>
          <w:highlight w:val="none"/>
          <w:shd w:val="clear" w:color="auto" w:fill="FFFFFF" w:themeFill="background1"/>
        </w:rPr>
      </w:pPr>
    </w:p>
    <w:p w14:paraId="5D32AFC2">
      <w:pPr>
        <w:spacing w:line="360" w:lineRule="auto"/>
        <w:rPr>
          <w:rFonts w:hint="eastAsia" w:ascii="仿宋" w:hAnsi="仿宋" w:eastAsia="仿宋" w:cs="仿宋"/>
          <w:color w:val="auto"/>
          <w:kern w:val="0"/>
          <w:sz w:val="24"/>
          <w:szCs w:val="24"/>
          <w:highlight w:val="none"/>
          <w:shd w:val="clear" w:color="auto" w:fill="FFFFFF" w:themeFill="background1"/>
        </w:rPr>
      </w:pPr>
    </w:p>
    <w:p w14:paraId="507F6784">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72C1E1F1">
      <w:pPr>
        <w:spacing w:line="360" w:lineRule="auto"/>
        <w:rPr>
          <w:rFonts w:hint="eastAsia" w:ascii="仿宋" w:hAnsi="仿宋" w:eastAsia="仿宋" w:cs="仿宋"/>
          <w:color w:val="auto"/>
          <w:kern w:val="0"/>
          <w:sz w:val="24"/>
          <w:szCs w:val="24"/>
          <w:highlight w:val="none"/>
          <w:shd w:val="clear" w:color="auto" w:fill="FFFFFF" w:themeFill="background1"/>
        </w:rPr>
      </w:pPr>
    </w:p>
    <w:p w14:paraId="505C39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9A757EE">
      <w:pPr>
        <w:widowControl/>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br w:type="page"/>
      </w:r>
      <w:bookmarkEnd w:id="36"/>
      <w:bookmarkStart w:id="37" w:name="_Toc507586162"/>
      <w:bookmarkStart w:id="38" w:name="_Toc38446459"/>
      <w:bookmarkStart w:id="39" w:name="_Toc29306"/>
      <w:r>
        <w:rPr>
          <w:rFonts w:hint="eastAsia" w:ascii="仿宋" w:hAnsi="仿宋" w:eastAsia="仿宋" w:cs="仿宋"/>
          <w:b/>
          <w:color w:val="auto"/>
          <w:sz w:val="24"/>
          <w:szCs w:val="24"/>
          <w:highlight w:val="none"/>
          <w:shd w:val="clear" w:color="auto" w:fill="FFFFFF" w:themeFill="background1"/>
        </w:rPr>
        <w:t xml:space="preserve">第三章 </w:t>
      </w:r>
      <w:bookmarkEnd w:id="37"/>
      <w:bookmarkEnd w:id="38"/>
      <w:r>
        <w:rPr>
          <w:rFonts w:hint="eastAsia" w:ascii="仿宋" w:hAnsi="仿宋" w:eastAsia="仿宋" w:cs="仿宋"/>
          <w:b/>
          <w:color w:val="auto"/>
          <w:sz w:val="24"/>
          <w:szCs w:val="24"/>
          <w:highlight w:val="none"/>
          <w:shd w:val="clear" w:color="auto" w:fill="FFFFFF" w:themeFill="background1"/>
        </w:rPr>
        <w:t>合同文本</w:t>
      </w:r>
      <w:bookmarkEnd w:id="39"/>
    </w:p>
    <w:p w14:paraId="68530622">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注：本合同文本供参考，具体内容以双方签订的为准。</w:t>
      </w:r>
    </w:p>
    <w:p w14:paraId="7D7ED934">
      <w:pPr>
        <w:spacing w:line="360" w:lineRule="auto"/>
        <w:jc w:val="both"/>
        <w:rPr>
          <w:rFonts w:hint="eastAsia" w:ascii="仿宋" w:hAnsi="仿宋" w:eastAsia="仿宋" w:cs="仿宋"/>
          <w:b w:val="0"/>
          <w:bCs w:val="0"/>
          <w:color w:val="auto"/>
          <w:sz w:val="24"/>
          <w:szCs w:val="24"/>
          <w:highlight w:val="none"/>
        </w:rPr>
      </w:pPr>
    </w:p>
    <w:p w14:paraId="5F3D68B0">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政府采购合同编号：</w:t>
      </w:r>
    </w:p>
    <w:p w14:paraId="600F06E5">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w:t>
      </w:r>
    </w:p>
    <w:p w14:paraId="51082B7B">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新疆农业大学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（以下简称需方）和</w:t>
      </w:r>
      <w:r>
        <w:rPr>
          <w:rFonts w:hint="eastAsia" w:ascii="仿宋" w:hAnsi="仿宋" w:eastAsia="仿宋" w:cs="仿宋"/>
          <w:color w:val="auto"/>
          <w:sz w:val="24"/>
          <w:szCs w:val="24"/>
          <w:highlight w:val="none"/>
          <w:u w:val="single"/>
        </w:rPr>
        <w:t xml:space="preserve">   (供方名称)    </w:t>
      </w:r>
      <w:r>
        <w:rPr>
          <w:rFonts w:hint="eastAsia" w:ascii="仿宋" w:hAnsi="仿宋" w:eastAsia="仿宋" w:cs="仿宋"/>
          <w:color w:val="auto"/>
          <w:sz w:val="24"/>
          <w:szCs w:val="24"/>
          <w:highlight w:val="none"/>
        </w:rPr>
        <w:t xml:space="preserve"> （以下简称供方）根据《中华人民共和国民法典》和有关法律法规，遵循平等、自愿、公平和诚实信用原则，同意按照下面的条款和条件订立本政府采购合同，共同信守。</w:t>
      </w:r>
    </w:p>
    <w:p w14:paraId="056D915F">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一、政府采购合同文件</w:t>
      </w:r>
    </w:p>
    <w:p w14:paraId="3F8A9D58">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本政府采购合同所附下列文件是构成本政府采购合同不可分割的部分：</w:t>
      </w:r>
    </w:p>
    <w:p w14:paraId="6FF0ECDF">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1.采购文件；</w:t>
      </w:r>
    </w:p>
    <w:p w14:paraId="30F080C0">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2.采购文件的更正公告、变更公告；</w:t>
      </w:r>
    </w:p>
    <w:p w14:paraId="247D4086">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3.中标供应商提交的响应文件；</w:t>
      </w:r>
    </w:p>
    <w:p w14:paraId="085CE301">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4.政府采购合同条款；</w:t>
      </w:r>
    </w:p>
    <w:p w14:paraId="28F09E8E">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5.中标通知书；</w:t>
      </w:r>
    </w:p>
    <w:p w14:paraId="164BE09B">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6.政府采购合同的其它附件。</w:t>
      </w:r>
    </w:p>
    <w:p w14:paraId="21715FF3">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二、政府采购合同范围和条件</w:t>
      </w:r>
    </w:p>
    <w:p w14:paraId="515F4718">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本政府采购合同的范围和条件与上述政府采购合同文件的规定相一致。</w:t>
      </w:r>
    </w:p>
    <w:p w14:paraId="41484521">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三、政府采购合同标的</w:t>
      </w:r>
    </w:p>
    <w:p w14:paraId="668978B6">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本政府采购合同的标的为采购文件中所列相关服务。</w:t>
      </w:r>
    </w:p>
    <w:p w14:paraId="7367E84B">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四、政府采购合同金额</w:t>
      </w:r>
    </w:p>
    <w:p w14:paraId="53B38BB3">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根据上述政府采购合同文件要求，政府采购合同的总金额为人民币</w:t>
      </w:r>
      <w:r>
        <w:rPr>
          <w:rFonts w:hint="eastAsia" w:ascii="仿宋" w:hAnsi="仿宋" w:eastAsia="仿宋" w:cs="仿宋"/>
          <w:color w:val="auto"/>
          <w:sz w:val="24"/>
          <w:szCs w:val="24"/>
          <w:highlight w:val="none"/>
          <w:u w:val="single"/>
        </w:rPr>
        <w:t xml:space="preserve">  （大写）                </w:t>
      </w:r>
      <w:r>
        <w:rPr>
          <w:rFonts w:hint="eastAsia" w:ascii="仿宋" w:hAnsi="仿宋" w:eastAsia="仿宋" w:cs="仿宋"/>
          <w:color w:val="auto"/>
          <w:sz w:val="24"/>
          <w:szCs w:val="24"/>
          <w:highlight w:val="none"/>
        </w:rPr>
        <w:t xml:space="preserve"> 元。</w:t>
      </w:r>
    </w:p>
    <w:p w14:paraId="468CD94B">
      <w:pPr>
        <w:numPr>
          <w:ilvl w:val="0"/>
          <w:numId w:val="0"/>
        </w:numPr>
        <w:adjustRightInd w:val="0"/>
        <w:snapToGrid w:val="0"/>
        <w:spacing w:line="360" w:lineRule="auto"/>
        <w:ind w:left="962"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szCs w:val="24"/>
          <w:highlight w:val="none"/>
        </w:rPr>
        <w:t>付款方式及条件</w:t>
      </w:r>
    </w:p>
    <w:p w14:paraId="1100AAA9">
      <w:pPr>
        <w:numPr>
          <w:ilvl w:val="0"/>
          <w:numId w:val="0"/>
        </w:num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签订合同付</w:t>
      </w: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rPr>
        <w:t>%，验收后付</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p>
    <w:p w14:paraId="039AEA9A">
      <w:pPr>
        <w:numPr>
          <w:ilvl w:val="0"/>
          <w:numId w:val="0"/>
        </w:numPr>
        <w:adjustRightInd w:val="0"/>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如无法按期完成，甲方有权部分或全部解除合同并要求乙方赔偿由此造成的损失及甲方因此产生的对第三方的责任。此时甲方可采取必要的补救措施，相关费用由乙方承担，提供1年质保服务。</w:t>
      </w:r>
    </w:p>
    <w:p w14:paraId="205EEF10">
      <w:pPr>
        <w:adjustRightInd w:val="0"/>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六、服务时间和服务地点</w:t>
      </w:r>
      <w:r>
        <w:rPr>
          <w:rFonts w:hint="eastAsia" w:ascii="仿宋" w:hAnsi="仿宋" w:eastAsia="仿宋" w:cs="仿宋"/>
          <w:color w:val="auto"/>
          <w:sz w:val="24"/>
          <w:szCs w:val="24"/>
          <w:highlight w:val="none"/>
        </w:rPr>
        <w:t xml:space="preserve">   </w:t>
      </w:r>
    </w:p>
    <w:p w14:paraId="5B1C1BD1">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1.服务时间：</w:t>
      </w:r>
      <w:r>
        <w:rPr>
          <w:rFonts w:hint="eastAsia" w:ascii="仿宋" w:hAnsi="仿宋" w:eastAsia="仿宋" w:cs="仿宋"/>
          <w:color w:val="auto"/>
          <w:sz w:val="24"/>
          <w:szCs w:val="24"/>
          <w:highlight w:val="none"/>
          <w:u w:val="single"/>
        </w:rPr>
        <w:t xml:space="preserve">        </w:t>
      </w:r>
    </w:p>
    <w:p w14:paraId="21A41526">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2.服务地点：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新疆农业大学</w:t>
      </w:r>
      <w:r>
        <w:rPr>
          <w:rFonts w:hint="eastAsia" w:ascii="仿宋" w:hAnsi="仿宋" w:eastAsia="仿宋" w:cs="仿宋"/>
          <w:color w:val="auto"/>
          <w:sz w:val="24"/>
          <w:szCs w:val="24"/>
          <w:highlight w:val="none"/>
          <w:u w:val="single"/>
        </w:rPr>
        <w:t xml:space="preserve">      </w:t>
      </w:r>
    </w:p>
    <w:p w14:paraId="1349D0BE">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七、验收要求</w:t>
      </w:r>
    </w:p>
    <w:p w14:paraId="21B44B11">
      <w:pPr>
        <w:adjustRightInd w:val="0"/>
        <w:snapToGrid w:val="0"/>
        <w:spacing w:line="360" w:lineRule="auto"/>
        <w:ind w:firstLine="482"/>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供方完全履行合同义务后，需方或需方的最终用户按照上述政府采购合同文件列明的标准进行验收，验收不合格的，供方需按照第八条的约定承担相应违约责任。</w:t>
      </w:r>
    </w:p>
    <w:p w14:paraId="04451B42">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八、违约责任</w:t>
      </w:r>
    </w:p>
    <w:p w14:paraId="7E328047">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1.供方逾期提供服务的，每逾期一天向需方支付合同金额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%的违约金，逾期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日的，需方有权单方面解除本协议。</w:t>
      </w:r>
    </w:p>
    <w:p w14:paraId="1FC26E7C">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2.供方提供的服务不符合约定的，需方有权向供方书面提出整改意见，供方需无条件整改至符合约定，自需方向供方提出书面意见之日起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日内，供方仍未整改或整改后服务仍不符合约定的，需方有权单方面解除本协议。</w:t>
      </w:r>
    </w:p>
    <w:p w14:paraId="2AB65DC7">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3.需方逾期付款的，每逾期一天向供方支付逾期金额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%的违约金，逾期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日的，供方有权单方面解除本协议。</w:t>
      </w:r>
    </w:p>
    <w:p w14:paraId="56D076D5">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九、争议解决</w:t>
      </w:r>
    </w:p>
    <w:p w14:paraId="2135F353">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双方因履行本协议而产生的争议，应友好协商解决，协商不成的，任何一方可向需方所在地的人民法院提起诉讼。</w:t>
      </w:r>
    </w:p>
    <w:p w14:paraId="3601031F">
      <w:pPr>
        <w:adjustRightInd w:val="0"/>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十、合同生效</w:t>
      </w:r>
    </w:p>
    <w:p w14:paraId="67BC0EDA">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本政府采购合同经双方授权代表签字盖章后生效。</w:t>
      </w:r>
    </w:p>
    <w:p w14:paraId="169AAF69">
      <w:pPr>
        <w:adjustRightInd w:val="0"/>
        <w:snapToGrid w:val="0"/>
        <w:spacing w:line="360" w:lineRule="auto"/>
        <w:ind w:firstLine="480"/>
        <w:rPr>
          <w:rFonts w:hint="eastAsia" w:ascii="仿宋" w:hAnsi="仿宋" w:eastAsia="仿宋" w:cs="仿宋"/>
          <w:color w:val="auto"/>
          <w:sz w:val="24"/>
          <w:szCs w:val="24"/>
          <w:highlight w:val="none"/>
        </w:rPr>
      </w:pPr>
    </w:p>
    <w:p w14:paraId="522B3728">
      <w:pPr>
        <w:adjustRightInd w:val="0"/>
        <w:snapToGrid w:val="0"/>
        <w:spacing w:line="360" w:lineRule="auto"/>
        <w:ind w:firstLine="480"/>
        <w:rPr>
          <w:rFonts w:hint="eastAsia" w:ascii="仿宋" w:hAnsi="仿宋" w:eastAsia="仿宋" w:cs="仿宋"/>
          <w:color w:val="auto"/>
          <w:sz w:val="24"/>
          <w:szCs w:val="24"/>
          <w:highlight w:val="none"/>
        </w:rPr>
      </w:pPr>
    </w:p>
    <w:p w14:paraId="5619C6DC">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需方（公章）:                       供方(公章):</w:t>
      </w:r>
    </w:p>
    <w:p w14:paraId="3E835FC8">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法定代表人或授权代表人(签字):       法定代表人或授权代表人(签字):</w:t>
      </w:r>
    </w:p>
    <w:p w14:paraId="06BC9EF4">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乌市沙区农大东路311号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rPr>
        <w:t xml:space="preserve">                          </w:t>
      </w:r>
    </w:p>
    <w:p w14:paraId="1692D3F4">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联系人：</w:t>
      </w:r>
      <w:r>
        <w:rPr>
          <w:rFonts w:hint="eastAsia" w:ascii="仿宋" w:hAnsi="仿宋" w:eastAsia="仿宋" w:cs="仿宋"/>
          <w:color w:val="auto"/>
          <w:sz w:val="24"/>
          <w:szCs w:val="24"/>
          <w:highlight w:val="none"/>
          <w:u w:val="single"/>
        </w:rPr>
        <w:t xml:space="preserve">                        </w:t>
      </w:r>
    </w:p>
    <w:p w14:paraId="39707575">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p>
    <w:p w14:paraId="44EA2EED">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7885487">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p>
    <w:p w14:paraId="40E891C7">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年      月     日</w:t>
      </w:r>
    </w:p>
    <w:p w14:paraId="28EAF034">
      <w:pPr>
        <w:pStyle w:val="17"/>
        <w:numPr>
          <w:ilvl w:val="0"/>
          <w:numId w:val="3"/>
        </w:numPr>
        <w:spacing w:line="360" w:lineRule="auto"/>
        <w:ind w:left="0"/>
        <w:rPr>
          <w:rFonts w:hint="eastAsia" w:ascii="仿宋" w:hAnsi="仿宋" w:eastAsia="仿宋" w:cs="仿宋"/>
          <w:i w:val="0"/>
          <w:iCs w:val="0"/>
          <w:color w:val="auto"/>
          <w:sz w:val="24"/>
          <w:szCs w:val="24"/>
          <w:highlight w:val="none"/>
          <w:lang w:val="en-US"/>
        </w:rPr>
        <w:sectPr>
          <w:headerReference r:id="rId8" w:type="default"/>
          <w:footerReference r:id="rId9" w:type="default"/>
          <w:pgSz w:w="11910" w:h="16840"/>
          <w:pgMar w:top="1134" w:right="1134" w:bottom="1134" w:left="1134" w:header="878" w:footer="1052" w:gutter="0"/>
          <w:pgNumType w:fmt="decimal"/>
          <w:cols w:equalWidth="0" w:num="1">
            <w:col w:w="10590"/>
          </w:cols>
        </w:sectPr>
      </w:pPr>
      <w:r>
        <w:rPr>
          <w:rFonts w:hint="eastAsia" w:ascii="仿宋" w:hAnsi="仿宋" w:eastAsia="仿宋" w:cs="仿宋"/>
          <w:b/>
          <w:bCs w:val="0"/>
          <w:color w:val="auto"/>
          <w:sz w:val="24"/>
          <w:szCs w:val="24"/>
          <w:highlight w:val="none"/>
          <w:lang w:val="en-US" w:eastAsia="zh-CN"/>
        </w:rPr>
        <w:br w:type="page"/>
      </w:r>
    </w:p>
    <w:p w14:paraId="610CD24B">
      <w:pPr>
        <w:spacing w:line="360" w:lineRule="auto"/>
        <w:jc w:val="center"/>
        <w:outlineLvl w:val="0"/>
        <w:rPr>
          <w:rFonts w:hint="eastAsia" w:ascii="仿宋" w:hAnsi="仿宋" w:eastAsia="仿宋" w:cs="仿宋"/>
          <w:b/>
          <w:color w:val="auto"/>
          <w:sz w:val="24"/>
          <w:szCs w:val="24"/>
          <w:highlight w:val="none"/>
          <w:shd w:val="clear" w:color="auto" w:fill="FFFFFF" w:themeFill="background1"/>
          <w:lang w:eastAsia="zh-CN"/>
        </w:rPr>
      </w:pPr>
      <w:bookmarkStart w:id="40" w:name="_Toc4387"/>
      <w:r>
        <w:rPr>
          <w:rFonts w:hint="eastAsia" w:ascii="仿宋" w:hAnsi="仿宋" w:eastAsia="仿宋" w:cs="仿宋"/>
          <w:b/>
          <w:color w:val="auto"/>
          <w:sz w:val="24"/>
          <w:szCs w:val="24"/>
          <w:highlight w:val="none"/>
          <w:shd w:val="clear" w:color="auto" w:fill="FFFFFF" w:themeFill="background1"/>
        </w:rPr>
        <w:t xml:space="preserve">第四章 </w:t>
      </w:r>
      <w:r>
        <w:rPr>
          <w:rFonts w:hint="eastAsia" w:ascii="仿宋" w:hAnsi="仿宋" w:eastAsia="仿宋" w:cs="仿宋"/>
          <w:b/>
          <w:color w:val="auto"/>
          <w:sz w:val="24"/>
          <w:szCs w:val="24"/>
          <w:highlight w:val="none"/>
          <w:shd w:val="clear" w:color="auto" w:fill="FFFFFF" w:themeFill="background1"/>
          <w:lang w:eastAsia="zh-CN"/>
        </w:rPr>
        <w:t>服务标准和要求</w:t>
      </w:r>
      <w:bookmarkEnd w:id="40"/>
    </w:p>
    <w:p w14:paraId="4FF8946E">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采购需求</w:t>
      </w:r>
    </w:p>
    <w:p w14:paraId="146CC8DA">
      <w:pPr>
        <w:spacing w:line="360" w:lineRule="auto"/>
        <w:ind w:firstLine="6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1.项目简要介绍</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5744"/>
        <w:gridCol w:w="1689"/>
        <w:gridCol w:w="1344"/>
      </w:tblGrid>
      <w:tr w14:paraId="1B8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noWrap w:val="0"/>
            <w:vAlign w:val="center"/>
          </w:tcPr>
          <w:p w14:paraId="3B178427">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81" w:type="pct"/>
            <w:noWrap w:val="0"/>
            <w:vAlign w:val="center"/>
          </w:tcPr>
          <w:p w14:paraId="05B3C9FF">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846" w:type="pct"/>
            <w:noWrap w:val="0"/>
            <w:vAlign w:val="center"/>
          </w:tcPr>
          <w:p w14:paraId="62DBBED9">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674" w:type="pct"/>
            <w:noWrap w:val="0"/>
            <w:vAlign w:val="center"/>
          </w:tcPr>
          <w:p w14:paraId="2A9776A8">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0A1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noWrap w:val="0"/>
            <w:vAlign w:val="center"/>
          </w:tcPr>
          <w:p w14:paraId="68B61386">
            <w:pPr>
              <w:pStyle w:val="18"/>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81" w:type="pct"/>
            <w:noWrap w:val="0"/>
            <w:vAlign w:val="top"/>
          </w:tcPr>
          <w:p w14:paraId="1F3EA76E">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办公软件正版化场地授权</w:t>
            </w:r>
          </w:p>
        </w:tc>
        <w:tc>
          <w:tcPr>
            <w:tcW w:w="846" w:type="pct"/>
            <w:noWrap w:val="0"/>
            <w:vAlign w:val="center"/>
          </w:tcPr>
          <w:p w14:paraId="7455E446">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1年</w:t>
            </w:r>
          </w:p>
        </w:tc>
        <w:tc>
          <w:tcPr>
            <w:tcW w:w="674" w:type="pct"/>
            <w:noWrap w:val="0"/>
            <w:vAlign w:val="center"/>
          </w:tcPr>
          <w:p w14:paraId="39E6ABD9">
            <w:pPr>
              <w:pStyle w:val="18"/>
              <w:spacing w:line="360" w:lineRule="auto"/>
              <w:outlineLvl w:val="9"/>
              <w:rPr>
                <w:rFonts w:hint="eastAsia" w:ascii="仿宋" w:hAnsi="仿宋" w:eastAsia="仿宋" w:cs="仿宋"/>
                <w:color w:val="auto"/>
                <w:sz w:val="24"/>
                <w:szCs w:val="24"/>
                <w:highlight w:val="none"/>
              </w:rPr>
            </w:pPr>
          </w:p>
        </w:tc>
      </w:tr>
      <w:tr w14:paraId="1211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noWrap w:val="0"/>
            <w:vAlign w:val="center"/>
          </w:tcPr>
          <w:p w14:paraId="3DBE2FD7">
            <w:pPr>
              <w:pStyle w:val="18"/>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881" w:type="pct"/>
            <w:shd w:val="clear" w:color="auto" w:fill="auto"/>
            <w:noWrap w:val="0"/>
            <w:vAlign w:val="top"/>
          </w:tcPr>
          <w:p w14:paraId="732125E3">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业务应用开发服务</w:t>
            </w:r>
          </w:p>
        </w:tc>
        <w:tc>
          <w:tcPr>
            <w:tcW w:w="846" w:type="pct"/>
            <w:shd w:val="clear" w:color="auto" w:fill="auto"/>
            <w:noWrap w:val="0"/>
            <w:vAlign w:val="center"/>
          </w:tcPr>
          <w:p w14:paraId="76787089">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1组</w:t>
            </w:r>
          </w:p>
        </w:tc>
        <w:tc>
          <w:tcPr>
            <w:tcW w:w="674" w:type="pct"/>
            <w:noWrap w:val="0"/>
            <w:vAlign w:val="center"/>
          </w:tcPr>
          <w:p w14:paraId="402631F6">
            <w:pPr>
              <w:pStyle w:val="18"/>
              <w:spacing w:line="360" w:lineRule="auto"/>
              <w:outlineLvl w:val="9"/>
              <w:rPr>
                <w:rFonts w:hint="eastAsia" w:ascii="仿宋" w:hAnsi="仿宋" w:eastAsia="仿宋" w:cs="仿宋"/>
                <w:color w:val="auto"/>
                <w:sz w:val="24"/>
                <w:szCs w:val="24"/>
                <w:highlight w:val="none"/>
              </w:rPr>
            </w:pPr>
          </w:p>
        </w:tc>
      </w:tr>
      <w:tr w14:paraId="3C1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pct"/>
            <w:gridSpan w:val="3"/>
            <w:noWrap w:val="0"/>
            <w:vAlign w:val="center"/>
          </w:tcPr>
          <w:p w14:paraId="6F602964">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74" w:type="pct"/>
            <w:noWrap w:val="0"/>
            <w:vAlign w:val="center"/>
          </w:tcPr>
          <w:p w14:paraId="3F787C4A">
            <w:pPr>
              <w:pStyle w:val="18"/>
              <w:spacing w:line="360" w:lineRule="auto"/>
              <w:outlineLvl w:val="9"/>
              <w:rPr>
                <w:rFonts w:hint="eastAsia" w:ascii="仿宋" w:hAnsi="仿宋" w:eastAsia="仿宋" w:cs="仿宋"/>
                <w:color w:val="auto"/>
                <w:sz w:val="24"/>
                <w:szCs w:val="24"/>
                <w:highlight w:val="none"/>
              </w:rPr>
            </w:pPr>
          </w:p>
        </w:tc>
      </w:tr>
    </w:tbl>
    <w:p w14:paraId="4169B05F">
      <w:pPr>
        <w:spacing w:line="360" w:lineRule="auto"/>
        <w:ind w:firstLine="6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2、参数：</w:t>
      </w:r>
    </w:p>
    <w:p w14:paraId="66CE31C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一．总体要求</w:t>
      </w:r>
    </w:p>
    <w:p w14:paraId="2E32C93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一、建设规范依据</w:t>
      </w:r>
    </w:p>
    <w:p w14:paraId="4700E876">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（一）政策文件</w:t>
      </w:r>
    </w:p>
    <w:p w14:paraId="13BBDCE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（1）《中华人民共和国网络安全法》</w:t>
      </w:r>
    </w:p>
    <w:p w14:paraId="39716932">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（2）《中华人民共和国密码法》</w:t>
      </w:r>
    </w:p>
    <w:p w14:paraId="0A998B30">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（3）《新疆农业大学信息化项目建设管理办法（试行）》</w:t>
      </w:r>
    </w:p>
    <w:p w14:paraId="172098A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（4）《新疆农业大学信息（软件）系统验收规范（试行）》</w:t>
      </w:r>
    </w:p>
    <w:p w14:paraId="0748F78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（5）《新疆农业大学职称评审实施办法（试行）》</w:t>
      </w:r>
    </w:p>
    <w:p w14:paraId="2477F35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（6）《新疆农业大学中层领导班子和处级干部年度综合考核评价办法（修订）》</w:t>
      </w:r>
    </w:p>
    <w:p w14:paraId="06244426">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（7）《新疆农业大学教职工考核实施办法（修订）》</w:t>
      </w:r>
    </w:p>
    <w:p w14:paraId="660A355B">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（8）《新疆农业大学信息系统集成标准规范（试行）》</w:t>
      </w:r>
    </w:p>
    <w:p w14:paraId="21288ABA">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（9）《新疆农业大学信息化基础数据管理办法（试行）》</w:t>
      </w:r>
    </w:p>
    <w:p w14:paraId="1595718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（10）新疆农业大学数据可视化大屏设计规范（试行）</w:t>
      </w:r>
    </w:p>
    <w:p w14:paraId="7FF530E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（二）技术规范文件</w:t>
      </w:r>
    </w:p>
    <w:p w14:paraId="1771EC4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项目建设过程中应符合现行国家、自治区以及高校行业有关规范和标准最新版本要求，如在项目建设过程有新出台的标准和规范，也应遵循。本项目应遵循的标准规范包含但不限于以下内容：</w:t>
      </w:r>
    </w:p>
    <w:p w14:paraId="01E507DB">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（1）《密码模块安全技术要求》‌GM/T 0028-2024；</w:t>
      </w:r>
    </w:p>
    <w:p w14:paraId="33348F5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（2）《信息系统密码应用基本要求》GB/T 39786-2021；</w:t>
      </w:r>
    </w:p>
    <w:p w14:paraId="35EA81D3">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（3）《信息安全技术 云计算服务安全指南》GB/T 31167-2023；</w:t>
      </w:r>
    </w:p>
    <w:p w14:paraId="5B5575D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（4）《信息安全技术 云计算服务安全能力要求》GB/T 31168-2023；</w:t>
      </w:r>
    </w:p>
    <w:p w14:paraId="194204E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（5）《信息安全技术 网络安全等级保护基本要求》GB/T 22239-2019；</w:t>
      </w:r>
    </w:p>
    <w:p w14:paraId="1CF051C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（6）《信息安全技术 网络安全等级保护测评要求》GB/T 28448-2019；</w:t>
      </w:r>
    </w:p>
    <w:p w14:paraId="1196A7A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（7）《信息安全技术 网络安全等级保护安全设计技术要求》GB/T 25070-2019。</w:t>
      </w:r>
    </w:p>
    <w:p w14:paraId="78537532">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（8）教技厅〔2019〕3号《教育移动互联网应用程序备案管理办法》</w:t>
      </w:r>
    </w:p>
    <w:p w14:paraId="49028BF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（9）新农大办发〔2024〕16 号《新疆农业大学信息化建设规范V2.0》</w:t>
      </w:r>
    </w:p>
    <w:p w14:paraId="15A4AC7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（10）新农大办发〔2021〕31号《新疆农业大学信息化基础数据管理办法》（试行）</w:t>
      </w:r>
    </w:p>
    <w:p w14:paraId="4C35F5D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（11）新农大办发〔2021〕32号《新疆农业大学信息化项目建设管理办法》（试行）</w:t>
      </w:r>
    </w:p>
    <w:p w14:paraId="276B849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（12）《新疆农业大学信息(软件)系统验收规范(试行)》新农大发[2023] 47 号</w:t>
      </w:r>
    </w:p>
    <w:p w14:paraId="2C4DEC2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二、集成费用要求</w:t>
      </w:r>
    </w:p>
    <w:p w14:paraId="2C595BE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中标厂商须承担与数字化校园平台集成相关费用，包含中标厂商系统自身开发费用及平台厂商对接集成费用。</w:t>
      </w:r>
    </w:p>
    <w:p w14:paraId="55621AF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三、系统集成要求：</w:t>
      </w:r>
    </w:p>
    <w:p w14:paraId="10265F0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新疆农业大学“十四五”校园信息化建设发展规划》为基本纲要，按照学校要求提供公共服务的接口设计，提供完整使用文档，并配合学校完成与智慧校园基础平台及各应用系统集成。须提供完整的表结构，在服务期内，免费提供全数据接口。需与学校已有的平台及业务的无缝对接，主要从应用集成、数据集成、服务集成进行要求。</w:t>
      </w:r>
    </w:p>
    <w:p w14:paraId="382CF3A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（一）应用集成</w:t>
      </w:r>
    </w:p>
    <w:p w14:paraId="2E64BC5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1、统一身份认证集成</w:t>
      </w:r>
    </w:p>
    <w:p w14:paraId="61A0B6B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业务系统须与校方现有认证平台进行统一身份认证集成。参照校方认证平台提供的认证接口，进行认证集成开发，实现统一身份认证集成，教职工、学生等各类用户通过信息门户平台即可直接登录供应商业务系统而无需二次认证。</w:t>
      </w:r>
    </w:p>
    <w:p w14:paraId="1398D98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实现统一认证和单点登录提供接口和通道，须支持跨平台和各种开发语言的应用系统接入平台，如目前学校各类应用系统所使用的.net、JAVA、PHP等多种开发语言；支持CAS4.0、SAML1.1协议，能将各类应用纳入认证范围，实现集中统一的认证。身份、授权、认证功能相互独立，可以灵活的与第三方产品对接。支持底层多种通用结构的认证技术协议，至少包括LDAP等。</w:t>
      </w:r>
    </w:p>
    <w:p w14:paraId="1A7B5FE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（3）取消本地认证。如需开通本地认证，通过申请审核批准方可执行。</w:t>
      </w:r>
    </w:p>
    <w:p w14:paraId="2E3B585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2、信息门户集成</w:t>
      </w:r>
    </w:p>
    <w:p w14:paraId="028A2BA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在校方信息门户平台中，增加供应商系统入口，通过单点登录地址即可登录供应商业务系统。</w:t>
      </w:r>
    </w:p>
    <w:p w14:paraId="3C4BA25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3、移动门户集成</w:t>
      </w:r>
    </w:p>
    <w:p w14:paraId="347480DB">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业务系统须与校方现有移动门户进行应用集成。系统必须提供H5移动客户端集成服务，包含但不限于APP（IOS、Android）、微信企业号。供应商业务系统中功能独立的模块和服务（包含服务端和管理端），需支持拆分成微服务，可以独立上架到信息门户或移动门户中，在门户中点击后可直接访问，无需从该系统首页进入。</w:t>
      </w:r>
    </w:p>
    <w:p w14:paraId="7EAA25C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4、学校基础数据集成</w:t>
      </w:r>
    </w:p>
    <w:p w14:paraId="4AAF79D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涉及学校组织岗位、教职工、学生、各类编码信息由学校组织岗位中心提供和维护，业务系统不得自行建设维护，以保证组织岗位信息统一。</w:t>
      </w:r>
    </w:p>
    <w:p w14:paraId="520B938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（二）数据集成</w:t>
      </w:r>
    </w:p>
    <w:p w14:paraId="02CA8D1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1、数据标准</w:t>
      </w:r>
    </w:p>
    <w:p w14:paraId="2B67CFB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循教育部2012年最新发布的《教育管理信息化标准》和《高等学校管理信息标准》等信息标准，参照《新疆农业大学信息标准规范V2.0》及《新疆农业大学信息标准代码》等文件，统一并完善涉及业务信息部分的数据信息标准的接入与下发，达到数据建模、信息采集、加工处理、数据交换过程中的规范化。</w:t>
      </w:r>
    </w:p>
    <w:p w14:paraId="2B8A8DA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（2）提供数据库设计规范、完整的数据库字典（表结构、视图、表之间关联关系等）。</w:t>
      </w:r>
    </w:p>
    <w:p w14:paraId="3FAF5D9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2、数据集成</w:t>
      </w:r>
    </w:p>
    <w:p w14:paraId="23A3FC2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（1）供应商业务系统采集、传输、使用、存储的数据均为校方资产。须实现与学校数据中心对接，同步复制全部业务数据至学校数据中心，为学校数据分析应用提供基础数据。</w:t>
      </w:r>
    </w:p>
    <w:p w14:paraId="5477D4B0">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（2）供应商须提供系统完整数据表结构、数据字典说明文档，项目实施及售后服务期间，须需免费配合校方进行数据集成并提供技术支持。</w:t>
      </w:r>
    </w:p>
    <w:p w14:paraId="4C3BC5AA">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（3）要求供应商免费完成对我校原业务系统数据的平滑迁移（用户纸质数据和历史数据），并确保迁移到新系统中数据的准确性。</w:t>
      </w:r>
    </w:p>
    <w:p w14:paraId="469E4C9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（4）支持以视图、推送中间库、webservice等多种形式提供数据共享及交换，并提供完整使用文档。</w:t>
      </w:r>
    </w:p>
    <w:p w14:paraId="0482C173">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（5）提供API接口及接口管理授权功能，供第三方对接或调用。数据集成接口必须支持包括JMS Topic、JMS Queue、Web Service、Tabled-Txt文件、XML文件、支持操作系统的网络协议，包括FTP。</w:t>
      </w:r>
    </w:p>
    <w:p w14:paraId="49531E83">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（三）服务集成</w:t>
      </w:r>
    </w:p>
    <w:p w14:paraId="48EDBAD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1.消息集成</w:t>
      </w:r>
    </w:p>
    <w:p w14:paraId="5C5C8C6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基于校园各类应用系统信息统一收发要求，所有业务系统待办任务、消息需通过短信、微信、邮件等通道发送的消息均须对接校园统一通信平台，由统一通信平台负责发送，包括回执消息的接收。</w:t>
      </w:r>
    </w:p>
    <w:p w14:paraId="5BF7BAA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信息发送须严格遵守各通信运营商对信息安全管理和企业用户授权的相关要求，包括但不限于信息审计、黑白名单设置和信息模板管理等要求。</w:t>
      </w:r>
    </w:p>
    <w:p w14:paraId="68B1DA4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四、系统管理要求：</w:t>
      </w:r>
    </w:p>
    <w:p w14:paraId="0AAD6FC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（一）信创要求</w:t>
      </w:r>
    </w:p>
    <w:p w14:paraId="25A9A32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为了确保系统的稳定性和安全性，本项目要求系统采用国产化的操作系统、算法、中间件和数据库，以确保系统的可靠性和安全性。具体要求如下：</w:t>
      </w:r>
    </w:p>
    <w:p w14:paraId="631DE8C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1.操作系统</w:t>
      </w:r>
    </w:p>
    <w:p w14:paraId="09396E5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系统应采用国产化的操作系统，以确保系统的稳定性和安全性。</w:t>
      </w:r>
    </w:p>
    <w:p w14:paraId="52D1EE8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2.算法</w:t>
      </w:r>
    </w:p>
    <w:p w14:paraId="786144D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系统应采用国产化的加密算法，以确保系统的高效性和准确性。</w:t>
      </w:r>
    </w:p>
    <w:p w14:paraId="19ACB873">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3.中间件</w:t>
      </w:r>
    </w:p>
    <w:p w14:paraId="58D6717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系统应采用国产化的中间件，以确保系统的可扩展性和高并发性。</w:t>
      </w:r>
    </w:p>
    <w:p w14:paraId="12E4C8B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4.数据库</w:t>
      </w:r>
    </w:p>
    <w:p w14:paraId="43690D5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系统应采用国产化的数据库。</w:t>
      </w:r>
    </w:p>
    <w:p w14:paraId="6513014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（二）界面风格要求</w:t>
      </w:r>
    </w:p>
    <w:p w14:paraId="0E2A07E1">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操作流程清晰简洁，用户界面风格统一美观大方，整体色调应与新疆农业大学主页保持一致，如主色、辅助色等。图标等UI设计风格应与移动门户（“智慧新农大”企业微信）和服务大厅保持一致。打开菜单窗口并行排列，给用户提供良好的操作体验。可自定义表单字段显示的位置及顺序，避免出现预留信息点过多，导致数据显示不直观的情况。  </w:t>
      </w:r>
    </w:p>
    <w:p w14:paraId="2C08F21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（三）可靠性、稳定性</w:t>
      </w:r>
    </w:p>
    <w:p w14:paraId="4AFA409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运行保障体系，提供完善的存储、备份手段，提供故障恢复手段，确保系统的稳定性，应用系统生产的数据、数据库数据，必须定期备份，备份周期不得小于7天，重要数据必须每天备份。要求基于Linux环境进行系统部署，数据库要求采用主流数据库。中标厂商须提供正版软件授权。</w:t>
      </w:r>
    </w:p>
    <w:p w14:paraId="102C2649">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（四）安全性、保密性：</w:t>
      </w:r>
    </w:p>
    <w:p w14:paraId="2D0463DD">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设计时必须考虑整体的安全性，从数据访问操作、用户认证、数据加密等多个方面进行安全性设计，提高系统的安全性。系统应分别针对不同的应用和不同的环境，采取不同的措施，包括系统安全机制、数据存取权限控制和数据存储加密机制。</w:t>
      </w:r>
    </w:p>
    <w:p w14:paraId="0EFC2EA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（1）遵守《中华人民共和国网络安全法》《中华人民共和国数据安全法》《中华人民共和国保守国家秘密法》《中华人民共和国个人信息保护法相关规定，满足国家相关法律法规的要求。</w:t>
      </w:r>
    </w:p>
    <w:p w14:paraId="05C10C34">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（2）符合信息系统等级保护要求，符合信息系统风险评估要求。</w:t>
      </w:r>
    </w:p>
    <w:p w14:paraId="26D5D07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（3）重要或敏感信息须加密存储，且采用加密方式进行传输，不得以明文形式存储及在网络中传输。</w:t>
      </w:r>
    </w:p>
    <w:p w14:paraId="267FABA9">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（4）需使用加密锁对软件进行保护的，必须采用电子加密锁，不得使用硬件加密锁。</w:t>
      </w:r>
    </w:p>
    <w:p w14:paraId="07DF1EC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（5）应用系统安全由软件开发方负责，必须及时进行漏洞检测和修补。</w:t>
      </w:r>
    </w:p>
    <w:p w14:paraId="665AC39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（6）应用系统数据由校方所有，未经学校允许，软件提供方不得获取、传播任何数据。</w:t>
      </w:r>
    </w:p>
    <w:p w14:paraId="3D6D9F3F">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（五）可管理性</w:t>
      </w:r>
    </w:p>
    <w:p w14:paraId="41B0BF4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的设计必须符合学校实际业务处理流程，有很好的可管理性，业务流程清晰，权限划分合理，提供便捷的搜索功能、工作流控制功能、查询统计功能，满足用户业务的功能需求，能够支撑用户部门完成相应业务工作。</w:t>
      </w:r>
    </w:p>
    <w:p w14:paraId="595391CB">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（六）敏感数据追踪</w:t>
      </w:r>
    </w:p>
    <w:p w14:paraId="30959490">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能清晰记录系统日志，需做到内部敏感数据的详细操作等可见、可查询、可追踪，日志存储时间不得小于90天。</w:t>
      </w:r>
    </w:p>
    <w:p w14:paraId="3B11A40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二、功能描述</w:t>
      </w:r>
    </w:p>
    <w:p w14:paraId="62FE5BF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（一）办公软件正版化场地授权</w:t>
      </w:r>
    </w:p>
    <w:p w14:paraId="330BF9C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授权版本及内容</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2866"/>
        <w:gridCol w:w="1562"/>
        <w:gridCol w:w="1714"/>
      </w:tblGrid>
      <w:tr w14:paraId="1BDF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tcPr>
          <w:p w14:paraId="0A244601">
            <w:pPr>
              <w:bidi w:val="0"/>
              <w:spacing w:line="360" w:lineRule="auto"/>
              <w:jc w:val="center"/>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w:t>
            </w:r>
          </w:p>
        </w:tc>
        <w:tc>
          <w:tcPr>
            <w:tcW w:w="2866" w:type="dxa"/>
          </w:tcPr>
          <w:p w14:paraId="7FEFCFB0">
            <w:pPr>
              <w:bidi w:val="0"/>
              <w:spacing w:line="360" w:lineRule="auto"/>
              <w:jc w:val="center"/>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对应产品</w:t>
            </w:r>
          </w:p>
        </w:tc>
        <w:tc>
          <w:tcPr>
            <w:tcW w:w="1562" w:type="dxa"/>
          </w:tcPr>
          <w:p w14:paraId="1C625CB5">
            <w:pPr>
              <w:bidi w:val="0"/>
              <w:spacing w:line="360" w:lineRule="auto"/>
              <w:jc w:val="center"/>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714" w:type="dxa"/>
          </w:tcPr>
          <w:p w14:paraId="0DDB0D49">
            <w:pPr>
              <w:bidi w:val="0"/>
              <w:spacing w:line="360" w:lineRule="auto"/>
              <w:jc w:val="center"/>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7AD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vAlign w:val="center"/>
          </w:tcPr>
          <w:p w14:paraId="00BA1417">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教师办公AI权益服务</w:t>
            </w:r>
          </w:p>
        </w:tc>
        <w:tc>
          <w:tcPr>
            <w:tcW w:w="2866" w:type="dxa"/>
            <w:vAlign w:val="center"/>
          </w:tcPr>
          <w:p w14:paraId="5D1A623A">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WPS 智慧教育平台</w:t>
            </w:r>
          </w:p>
        </w:tc>
        <w:tc>
          <w:tcPr>
            <w:tcW w:w="1562" w:type="dxa"/>
            <w:vAlign w:val="center"/>
          </w:tcPr>
          <w:p w14:paraId="30CD4283">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400，根据实际可扩容至800</w:t>
            </w:r>
          </w:p>
        </w:tc>
        <w:tc>
          <w:tcPr>
            <w:tcW w:w="1714" w:type="dxa"/>
            <w:vAlign w:val="center"/>
          </w:tcPr>
          <w:p w14:paraId="5683F1BD">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订阅服务</w:t>
            </w:r>
          </w:p>
        </w:tc>
      </w:tr>
      <w:tr w14:paraId="15DE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vAlign w:val="center"/>
          </w:tcPr>
          <w:p w14:paraId="0A7AE68E">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正版化Office客户端</w:t>
            </w:r>
          </w:p>
        </w:tc>
        <w:tc>
          <w:tcPr>
            <w:tcW w:w="2866" w:type="dxa"/>
            <w:vAlign w:val="center"/>
          </w:tcPr>
          <w:p w14:paraId="580D9C13">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WPS office2023教育版</w:t>
            </w:r>
          </w:p>
        </w:tc>
        <w:tc>
          <w:tcPr>
            <w:tcW w:w="1562" w:type="dxa"/>
            <w:vAlign w:val="center"/>
          </w:tcPr>
          <w:p w14:paraId="1990EA03">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不限使用数量</w:t>
            </w:r>
          </w:p>
        </w:tc>
        <w:tc>
          <w:tcPr>
            <w:tcW w:w="1714" w:type="dxa"/>
            <w:vAlign w:val="center"/>
          </w:tcPr>
          <w:p w14:paraId="42F8BB63">
            <w:pPr>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订阅服务</w:t>
            </w:r>
          </w:p>
        </w:tc>
      </w:tr>
    </w:tbl>
    <w:p w14:paraId="3B673CC5">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2.具体参数：</w:t>
      </w:r>
    </w:p>
    <w:tbl>
      <w:tblPr>
        <w:tblStyle w:val="43"/>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9105"/>
      </w:tblGrid>
      <w:tr w14:paraId="740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18" w:type="pct"/>
            <w:noWrap w:val="0"/>
            <w:vAlign w:val="center"/>
          </w:tcPr>
          <w:p w14:paraId="7B8FFE12">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指标项</w:t>
            </w:r>
          </w:p>
        </w:tc>
        <w:tc>
          <w:tcPr>
            <w:tcW w:w="4481" w:type="pct"/>
            <w:noWrap w:val="0"/>
            <w:vAlign w:val="center"/>
          </w:tcPr>
          <w:p w14:paraId="3671008B">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指标要求</w:t>
            </w:r>
          </w:p>
        </w:tc>
      </w:tr>
      <w:tr w14:paraId="2D70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518" w:type="pct"/>
            <w:noWrap w:val="0"/>
            <w:vAlign w:val="center"/>
          </w:tcPr>
          <w:p w14:paraId="3EE4AA4A">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w:t>
            </w:r>
            <w:r>
              <w:rPr>
                <w:rFonts w:hint="eastAsia" w:ascii="仿宋" w:hAnsi="仿宋" w:eastAsia="仿宋" w:cs="仿宋"/>
                <w:color w:val="auto"/>
                <w:sz w:val="24"/>
                <w:szCs w:val="24"/>
                <w:highlight w:val="none"/>
                <w:lang w:val="en-US" w:eastAsia="zh-CN"/>
              </w:rPr>
              <w:t>基础性能</w:t>
            </w:r>
          </w:p>
        </w:tc>
        <w:tc>
          <w:tcPr>
            <w:tcW w:w="4481" w:type="pct"/>
            <w:noWrap w:val="0"/>
            <w:vAlign w:val="center"/>
          </w:tcPr>
          <w:p w14:paraId="341933C8">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1.投标产品提供运行在Windows操作系统上运行的office办公软件产品，包含文字处理、表格计算、幻灯片演示三个组件。</w:t>
            </w:r>
          </w:p>
          <w:p w14:paraId="61242A3F">
            <w:pPr>
              <w:pStyle w:val="18"/>
              <w:spacing w:line="360" w:lineRule="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2.▲文件格式要求：所投办公软件能打开并生成.doc/.docx/.dot/.wps/.xls/.xlxs/.xlt/.et/.ppt/.pptx/.pps/.dps等主流文件格式。</w:t>
            </w:r>
            <w:r>
              <w:rPr>
                <w:rFonts w:hint="eastAsia" w:ascii="仿宋" w:hAnsi="仿宋" w:eastAsia="仿宋" w:cs="仿宋"/>
                <w:b/>
                <w:bCs/>
                <w:color w:val="auto"/>
                <w:sz w:val="24"/>
                <w:szCs w:val="24"/>
                <w:highlight w:val="none"/>
              </w:rPr>
              <w:t>（需提供有效证明文件或者截图进行证明</w:t>
            </w:r>
            <w:r>
              <w:rPr>
                <w:rFonts w:hint="eastAsia" w:ascii="仿宋" w:hAnsi="仿宋" w:eastAsia="仿宋" w:cs="仿宋"/>
                <w:b/>
                <w:bCs/>
                <w:color w:val="auto"/>
                <w:sz w:val="24"/>
                <w:szCs w:val="24"/>
                <w:highlight w:val="none"/>
                <w:lang w:eastAsia="zh-CN"/>
              </w:rPr>
              <w:t>）</w:t>
            </w:r>
          </w:p>
          <w:p w14:paraId="2EDF8D6C">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3.投标产品能配合全国计算机等级考试（NCRE）教学。</w:t>
            </w:r>
          </w:p>
          <w:p w14:paraId="6DA156B6">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投标时需提供来源渠道的合法证明和售后服务承诺。例如：合作协议、代理协议、授权书、委托函等。</w:t>
            </w:r>
          </w:p>
        </w:tc>
      </w:tr>
      <w:tr w14:paraId="33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18" w:type="pct"/>
            <w:vMerge w:val="restart"/>
            <w:noWrap w:val="0"/>
            <w:vAlign w:val="center"/>
          </w:tcPr>
          <w:p w14:paraId="03434115">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文字模块指标</w:t>
            </w:r>
          </w:p>
        </w:tc>
        <w:tc>
          <w:tcPr>
            <w:tcW w:w="4481" w:type="pct"/>
            <w:noWrap w:val="0"/>
            <w:vAlign w:val="center"/>
          </w:tcPr>
          <w:p w14:paraId="77084A2A">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1.文字模块提供段落布局工具，通过拖动方式直观调整悬挂缩进、段落间距等格式。</w:t>
            </w:r>
          </w:p>
          <w:p w14:paraId="003D1C37">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▲文字模块智能目录导航，自动识别文档结构，实时调整文档目录；标题格式不用调整样式，也可智能自动生成目录。</w:t>
            </w:r>
            <w:r>
              <w:rPr>
                <w:rFonts w:hint="eastAsia" w:ascii="仿宋" w:hAnsi="仿宋" w:eastAsia="仿宋" w:cs="仿宋"/>
                <w:b/>
                <w:bCs/>
                <w:color w:val="auto"/>
                <w:sz w:val="24"/>
                <w:szCs w:val="24"/>
                <w:highlight w:val="none"/>
              </w:rPr>
              <w:t>（需提供有效证明文件或者截图进行证明）</w:t>
            </w:r>
          </w:p>
        </w:tc>
      </w:tr>
      <w:tr w14:paraId="0744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518" w:type="pct"/>
            <w:vMerge w:val="restart"/>
            <w:noWrap w:val="0"/>
            <w:vAlign w:val="center"/>
          </w:tcPr>
          <w:p w14:paraId="599B5FC0">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表格模块指标</w:t>
            </w:r>
          </w:p>
        </w:tc>
        <w:tc>
          <w:tcPr>
            <w:tcW w:w="4481" w:type="pct"/>
            <w:noWrap w:val="0"/>
            <w:vAlign w:val="center"/>
          </w:tcPr>
          <w:p w14:paraId="36895406">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1.表格模块支持在表格中一键插入求和、计数、平均值等常用公式。支持多列数据合并操作。支持单元格数据的循环引用。</w:t>
            </w:r>
          </w:p>
          <w:p w14:paraId="0FDE8FE0">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2.▲表格模块支持表格的快速合并选择，支持教师用户一键选择合并居中、合并单元格、合并相同单元格、合并内容、取消合并单元格、拆分并填充内容。</w:t>
            </w:r>
            <w:r>
              <w:rPr>
                <w:rFonts w:hint="eastAsia" w:ascii="仿宋" w:hAnsi="仿宋" w:eastAsia="仿宋" w:cs="仿宋"/>
                <w:b/>
                <w:bCs/>
                <w:color w:val="auto"/>
                <w:sz w:val="24"/>
                <w:szCs w:val="24"/>
                <w:highlight w:val="none"/>
              </w:rPr>
              <w:t>（需提供有效证明文件或者截图进行证明）</w:t>
            </w:r>
          </w:p>
        </w:tc>
      </w:tr>
      <w:tr w14:paraId="71F1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18" w:type="pct"/>
            <w:vMerge w:val="restart"/>
            <w:noWrap w:val="0"/>
            <w:vAlign w:val="center"/>
          </w:tcPr>
          <w:p w14:paraId="41E1CB95">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演示模块</w:t>
            </w:r>
            <w:r>
              <w:rPr>
                <w:rFonts w:hint="eastAsia" w:ascii="仿宋" w:hAnsi="仿宋" w:eastAsia="仿宋" w:cs="仿宋"/>
                <w:color w:val="auto"/>
                <w:sz w:val="24"/>
                <w:szCs w:val="24"/>
                <w:highlight w:val="none"/>
              </w:rPr>
              <w:t>指标</w:t>
            </w:r>
          </w:p>
        </w:tc>
        <w:tc>
          <w:tcPr>
            <w:tcW w:w="4481" w:type="pct"/>
            <w:noWrap w:val="0"/>
            <w:vAlign w:val="center"/>
          </w:tcPr>
          <w:p w14:paraId="4C917EF0">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1.演示模块支持双击幻灯片页启动播放的功能。</w:t>
            </w:r>
          </w:p>
          <w:p w14:paraId="0741DD26">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演示模块，可支持手机移动OFFICE客户端进行控制PC端OFFICE放映的演示文档，实现把手机变成遥控器，便于演讲人能随时切换演示文档。</w:t>
            </w:r>
          </w:p>
        </w:tc>
      </w:tr>
      <w:tr w14:paraId="08AF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18" w:type="pct"/>
            <w:vMerge w:val="restart"/>
            <w:noWrap w:val="0"/>
            <w:vAlign w:val="center"/>
          </w:tcPr>
          <w:p w14:paraId="7C445285">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权益服务指标</w:t>
            </w:r>
          </w:p>
        </w:tc>
        <w:tc>
          <w:tcPr>
            <w:tcW w:w="4481" w:type="pct"/>
            <w:shd w:val="clear" w:color="auto" w:fill="auto"/>
            <w:noWrap w:val="0"/>
            <w:vAlign w:val="center"/>
          </w:tcPr>
          <w:p w14:paraId="44668E71">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1.所投服务</w:t>
            </w:r>
            <w:r>
              <w:rPr>
                <w:rFonts w:hint="eastAsia" w:ascii="仿宋" w:hAnsi="仿宋" w:eastAsia="仿宋" w:cs="仿宋"/>
                <w:color w:val="auto"/>
                <w:kern w:val="2"/>
                <w:sz w:val="24"/>
                <w:szCs w:val="24"/>
                <w:highlight w:val="none"/>
                <w:lang w:val="en-US" w:eastAsia="zh-CN" w:bidi="ar-SA"/>
              </w:rPr>
              <w:t>需提供教师办公AI权益服务不少于400个账号，可根据使用情况扩容至800个。</w:t>
            </w:r>
          </w:p>
          <w:p w14:paraId="05955CB0">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2.教师办公AI权益服务文字、表格、演示三大组件。</w:t>
            </w:r>
          </w:p>
          <w:p w14:paraId="1553E4E7">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3.需支持教师在使用Office的文字模块、表格模块、幻灯片模块中直接一键开启AI功能。支持包括但不限于：AI写作、AI阅读、AI分析、AI设计等能力。</w:t>
            </w:r>
          </w:p>
          <w:p w14:paraId="20FCF9BF">
            <w:pPr>
              <w:pStyle w:val="18"/>
              <w:spacing w:line="360" w:lineRule="auto"/>
              <w:ind w:firstLine="0" w:firstLineChars="0"/>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4.▲支持教师在文字模块编辑文档时直接启用AI写作，支持提供模板类选集库，选集库中提供多种创作场景样例</w:t>
            </w:r>
            <w:r>
              <w:rPr>
                <w:rFonts w:hint="eastAsia" w:ascii="仿宋" w:hAnsi="仿宋" w:eastAsia="仿宋" w:cs="仿宋"/>
                <w:color w:val="auto"/>
                <w:kern w:val="2"/>
                <w:sz w:val="24"/>
                <w:szCs w:val="24"/>
                <w:highlight w:val="none"/>
                <w:lang w:val="en-US" w:eastAsia="zh-CN" w:bidi="ar-SA"/>
              </w:rPr>
              <w:t>，包括但不限于：办公、行政、教学、法律、社交、策划、运营、面试、分析等。选集库中场景支持提供预设内容提示词，支持使用预设提示词直接创作内容，支持根据教师实际需求编辑修改提示词内容。</w:t>
            </w:r>
            <w:r>
              <w:rPr>
                <w:rFonts w:hint="eastAsia" w:ascii="仿宋" w:hAnsi="仿宋" w:eastAsia="仿宋" w:cs="仿宋"/>
                <w:b/>
                <w:bCs/>
                <w:color w:val="auto"/>
                <w:kern w:val="2"/>
                <w:sz w:val="24"/>
                <w:szCs w:val="24"/>
                <w:highlight w:val="none"/>
                <w:lang w:val="en-US" w:eastAsia="zh-CN" w:bidi="ar-SA"/>
              </w:rPr>
              <w:t>（需提供有效证明文件或者截图进行证明）</w:t>
            </w:r>
          </w:p>
          <w:p w14:paraId="57B4B272">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5.▲支持教师在文字模块对已经写好的文档进行更多创作，支持选中文档后对文档进行AI缩写、续写、扩写、重写和润色改写。其中润色改写时支持AI优化文档风格为口语化、学术化、党政化等。</w:t>
            </w:r>
            <w:r>
              <w:rPr>
                <w:rFonts w:hint="eastAsia" w:ascii="仿宋" w:hAnsi="仿宋" w:eastAsia="仿宋" w:cs="仿宋"/>
                <w:b/>
                <w:bCs/>
                <w:color w:val="auto"/>
                <w:kern w:val="2"/>
                <w:sz w:val="24"/>
                <w:szCs w:val="24"/>
                <w:highlight w:val="none"/>
                <w:lang w:val="en-US" w:eastAsia="zh-CN" w:bidi="ar-SA"/>
              </w:rPr>
              <w:t>（需提供有效证明文件或者截图进行证明）</w:t>
            </w:r>
          </w:p>
          <w:p w14:paraId="58659250">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6.▲支持教师在文字模块一边编辑文档一边直接使用AI陪伴式创作文档。支持选择陪伴写作的AI角色，支持上传陪伴写作的文献资料，支持陪伴写作的内容可以切换查看更多的写作建议。</w:t>
            </w:r>
            <w:r>
              <w:rPr>
                <w:rFonts w:hint="eastAsia" w:ascii="仿宋" w:hAnsi="仿宋" w:eastAsia="仿宋" w:cs="仿宋"/>
                <w:b/>
                <w:bCs/>
                <w:color w:val="auto"/>
                <w:kern w:val="2"/>
                <w:sz w:val="24"/>
                <w:szCs w:val="24"/>
                <w:highlight w:val="none"/>
                <w:lang w:val="en-US" w:eastAsia="zh-CN" w:bidi="ar-SA"/>
              </w:rPr>
              <w:t>（需提供有效证明文件或者截图进行证明）</w:t>
            </w:r>
          </w:p>
          <w:p w14:paraId="5F60F434">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7.支持教师在查看文档或者PDF文档时直接开启AI阅读，支持文档问答，通过AI快速解答文档，支持全文总结，通过AI提炼文档主旨内容，支持文档脑图，通过AI将文档转变成脑图，按照文档结构提炼重点。</w:t>
            </w:r>
          </w:p>
          <w:p w14:paraId="47D5D728">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8.支持教师使用表格模块进行表格计算处理时启用AI分析，支持通过文字指令AI编写公式、AI条件格式处理、AI阅读表格数据等。</w:t>
            </w:r>
          </w:p>
          <w:p w14:paraId="7F1BDD38">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9.支持教师制作幻灯片时启用AI设计，支持根据提示语生成PPT,支持导入文字文档、思维导图等生成PPT,支持粘贴大纲生成PPT。</w:t>
            </w:r>
          </w:p>
          <w:p w14:paraId="0D9BBB96">
            <w:pPr>
              <w:pStyle w:val="18"/>
              <w:spacing w:line="360" w:lineRule="auto"/>
              <w:ind w:firstLine="0" w:firstLineChars="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支持教师编辑文字文档时启用AI设计，一键完成文档格式整理和排版。支持格式排版分类包括但不限于：学位论文、合同协议、党政公文、招标文书等。使用学位论文排版时，可以直接输入学校名称，即可按需选择使用。</w:t>
            </w:r>
            <w:r>
              <w:rPr>
                <w:rFonts w:hint="eastAsia" w:ascii="仿宋" w:hAnsi="仿宋" w:eastAsia="仿宋" w:cs="仿宋"/>
                <w:b/>
                <w:bCs/>
                <w:color w:val="auto"/>
                <w:kern w:val="2"/>
                <w:sz w:val="24"/>
                <w:szCs w:val="24"/>
                <w:highlight w:val="none"/>
                <w:lang w:val="en-US" w:eastAsia="zh-CN" w:bidi="ar-SA"/>
              </w:rPr>
              <w:t>（需提供有效证明文件或者截图进行证明）</w:t>
            </w:r>
          </w:p>
        </w:tc>
      </w:tr>
      <w:tr w14:paraId="2AD7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18" w:type="pct"/>
            <w:vMerge w:val="restart"/>
            <w:noWrap w:val="0"/>
            <w:vAlign w:val="center"/>
          </w:tcPr>
          <w:p w14:paraId="4941A25C">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云端存储指标</w:t>
            </w:r>
          </w:p>
        </w:tc>
        <w:tc>
          <w:tcPr>
            <w:tcW w:w="4481" w:type="pct"/>
            <w:shd w:val="clear" w:color="auto" w:fill="auto"/>
            <w:noWrap w:val="0"/>
            <w:vAlign w:val="center"/>
          </w:tcPr>
          <w:p w14:paraId="5536199D">
            <w:pPr>
              <w:pStyle w:val="18"/>
              <w:spacing w:line="360" w:lineRule="auto"/>
              <w:ind w:firstLine="0" w:firstLine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1.▲旗舰教师云文档空间具备不少于1TB/人的存储容量，还可以根据教师使用情况进行分配。</w:t>
            </w:r>
            <w:r>
              <w:rPr>
                <w:rFonts w:hint="eastAsia" w:ascii="仿宋" w:hAnsi="仿宋" w:eastAsia="仿宋" w:cs="仿宋"/>
                <w:b/>
                <w:bCs/>
                <w:color w:val="auto"/>
                <w:sz w:val="24"/>
                <w:szCs w:val="24"/>
                <w:highlight w:val="none"/>
                <w:lang w:eastAsia="zh-CN"/>
              </w:rPr>
              <w:t>（需提供有效证明文件或者截图进行证明）</w:t>
            </w:r>
          </w:p>
          <w:p w14:paraId="543DD124">
            <w:pPr>
              <w:pStyle w:val="18"/>
              <w:spacing w:line="360" w:lineRule="auto"/>
              <w:ind w:firstLine="0" w:firstLine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▲支持云文档调用本地office客户端打开，支持office客户端编辑文档内容同步上云。</w:t>
            </w:r>
            <w:r>
              <w:rPr>
                <w:rFonts w:hint="eastAsia" w:ascii="仿宋" w:hAnsi="仿宋" w:eastAsia="仿宋" w:cs="仿宋"/>
                <w:b/>
                <w:bCs/>
                <w:color w:val="auto"/>
                <w:sz w:val="24"/>
                <w:szCs w:val="24"/>
                <w:highlight w:val="none"/>
                <w:lang w:eastAsia="zh-CN"/>
              </w:rPr>
              <w:t>（需提供有效证明文件或者截图进行证明）</w:t>
            </w:r>
          </w:p>
        </w:tc>
      </w:tr>
      <w:tr w14:paraId="77A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18" w:type="pct"/>
            <w:vMerge w:val="restart"/>
            <w:noWrap w:val="0"/>
            <w:vAlign w:val="center"/>
          </w:tcPr>
          <w:p w14:paraId="18B7FFC1">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功能应用指标</w:t>
            </w:r>
          </w:p>
        </w:tc>
        <w:tc>
          <w:tcPr>
            <w:tcW w:w="4481" w:type="pct"/>
            <w:shd w:val="clear" w:color="auto" w:fill="auto"/>
            <w:noWrap w:val="0"/>
            <w:vAlign w:val="center"/>
          </w:tcPr>
          <w:p w14:paraId="242FD3B4">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1.▲支持PDF版式文件格式互转功能，可与Word、Excel、PPT格式文档相互转换。</w:t>
            </w:r>
            <w:r>
              <w:rPr>
                <w:rFonts w:hint="eastAsia" w:ascii="仿宋" w:hAnsi="仿宋" w:eastAsia="仿宋" w:cs="仿宋"/>
                <w:b/>
                <w:bCs/>
                <w:color w:val="auto"/>
                <w:sz w:val="24"/>
                <w:szCs w:val="24"/>
                <w:highlight w:val="none"/>
              </w:rPr>
              <w:t>（需提供有效证明文件或者截图进行证明）</w:t>
            </w:r>
          </w:p>
          <w:p w14:paraId="7A32AF40">
            <w:pPr>
              <w:pStyle w:val="18"/>
              <w:spacing w:line="360" w:lineRule="auto"/>
              <w:ind w:firstLine="0" w:firstLineChars="0"/>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支持实时通讯能力，支持编辑在线智能文档格式时基于文档开启组织内成员的会话聊天，支持传统IM工具界面的一对一单聊会话和创建群聊会话；会话支持设置消息免打扰、聊天列表置顶等功能。支持会议功能，可基于文档发起会议功能，并邀请其他成员参与；支持单独创建会议，通过会议ID或者链接可进行在线会议，可提供云文档共享、屏幕共享多种内容共享方式。</w:t>
            </w:r>
            <w:r>
              <w:rPr>
                <w:rFonts w:hint="eastAsia" w:ascii="仿宋" w:hAnsi="仿宋" w:eastAsia="仿宋" w:cs="仿宋"/>
                <w:b/>
                <w:bCs/>
                <w:color w:val="auto"/>
                <w:sz w:val="24"/>
                <w:szCs w:val="24"/>
                <w:highlight w:val="none"/>
              </w:rPr>
              <w:t>（需提供有效证明文件或者截图进行证明）</w:t>
            </w:r>
          </w:p>
          <w:p w14:paraId="388F9567">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3.支持表单功能，可创建基础表单、考试、打卡、接龙等多种常用信息采集表，提供多种常用模板，并且支持链接、二维码、海报、微信、QQ等方式进行邀请填写，后台自动生成Excel表格和填报情况汇总。</w:t>
            </w:r>
          </w:p>
          <w:p w14:paraId="34E40D79">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▲支持教学功能，为方便教师备课、教研、办公，提供教学辅助功能，可以选择教师或者学生角色身份，支持教师身份进行备课、资源调用、便捷工具使用；支持学生进入计算机等级考试进行模拟训练。</w:t>
            </w:r>
            <w:r>
              <w:rPr>
                <w:rFonts w:hint="eastAsia" w:ascii="仿宋" w:hAnsi="仿宋" w:eastAsia="仿宋" w:cs="仿宋"/>
                <w:b/>
                <w:bCs/>
                <w:color w:val="auto"/>
                <w:sz w:val="24"/>
                <w:szCs w:val="24"/>
                <w:highlight w:val="none"/>
              </w:rPr>
              <w:t>（需提供有效证明文件或者截图进行证明）</w:t>
            </w:r>
          </w:p>
        </w:tc>
      </w:tr>
      <w:tr w14:paraId="241A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18" w:type="pct"/>
            <w:vMerge w:val="restart"/>
            <w:noWrap w:val="0"/>
            <w:vAlign w:val="center"/>
          </w:tcPr>
          <w:p w14:paraId="76AC6ADB">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后台管理指标</w:t>
            </w:r>
          </w:p>
        </w:tc>
        <w:tc>
          <w:tcPr>
            <w:tcW w:w="4481" w:type="pct"/>
            <w:shd w:val="clear" w:color="auto" w:fill="auto"/>
            <w:noWrap w:val="0"/>
            <w:vAlign w:val="center"/>
          </w:tcPr>
          <w:p w14:paraId="07C1B0B4">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1.提供文档安全管理能力，支持团队文档水印、团队文档加密保护、团队文档分享范围管控的能力。</w:t>
            </w:r>
          </w:p>
          <w:p w14:paraId="3B6EC5F6">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2.支持从AD域同步/钉钉同步/API同步的通讯录同步方式，同步账号信息源调整后可自动同步。</w:t>
            </w:r>
          </w:p>
          <w:p w14:paraId="25E39CDF">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▲可实现与学校统一身份证认对接功能，满足全校师生以统一身份认证信息访问对应文档内容的能力。</w:t>
            </w:r>
          </w:p>
        </w:tc>
      </w:tr>
      <w:tr w14:paraId="1C0C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vMerge w:val="restart"/>
            <w:noWrap w:val="0"/>
            <w:vAlign w:val="center"/>
          </w:tcPr>
          <w:p w14:paraId="6040F88F">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4481" w:type="pct"/>
            <w:noWrap w:val="0"/>
            <w:vAlign w:val="center"/>
          </w:tcPr>
          <w:p w14:paraId="38E04D7B">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要求提供产品部署和应用推广实施服务。</w:t>
            </w:r>
          </w:p>
        </w:tc>
      </w:tr>
      <w:tr w14:paraId="46D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vMerge w:val="continue"/>
            <w:noWrap w:val="0"/>
            <w:vAlign w:val="top"/>
          </w:tcPr>
          <w:p w14:paraId="1203C4C3">
            <w:pPr>
              <w:pStyle w:val="18"/>
              <w:spacing w:line="360" w:lineRule="auto"/>
              <w:outlineLvl w:val="9"/>
              <w:rPr>
                <w:rFonts w:hint="eastAsia" w:ascii="仿宋" w:hAnsi="仿宋" w:eastAsia="仿宋" w:cs="仿宋"/>
                <w:color w:val="auto"/>
                <w:sz w:val="24"/>
                <w:szCs w:val="24"/>
                <w:highlight w:val="none"/>
              </w:rPr>
            </w:pPr>
          </w:p>
        </w:tc>
        <w:tc>
          <w:tcPr>
            <w:tcW w:w="4481" w:type="pct"/>
            <w:noWrap w:val="0"/>
            <w:vAlign w:val="center"/>
          </w:tcPr>
          <w:p w14:paraId="2484BD94">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要求提供产品问题的技术响应和技术支持服务,包含免费上门服务、免人工费服务。售后服务期自验收合格意见之日起算。</w:t>
            </w:r>
          </w:p>
        </w:tc>
      </w:tr>
      <w:tr w14:paraId="6FE5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vMerge w:val="continue"/>
            <w:noWrap w:val="0"/>
            <w:vAlign w:val="top"/>
          </w:tcPr>
          <w:p w14:paraId="6768A5EE">
            <w:pPr>
              <w:pStyle w:val="18"/>
              <w:spacing w:line="360" w:lineRule="auto"/>
              <w:outlineLvl w:val="9"/>
              <w:rPr>
                <w:rFonts w:hint="eastAsia" w:ascii="仿宋" w:hAnsi="仿宋" w:eastAsia="仿宋" w:cs="仿宋"/>
                <w:color w:val="auto"/>
                <w:sz w:val="24"/>
                <w:szCs w:val="24"/>
                <w:highlight w:val="none"/>
              </w:rPr>
            </w:pPr>
          </w:p>
        </w:tc>
        <w:tc>
          <w:tcPr>
            <w:tcW w:w="4481" w:type="pct"/>
            <w:noWrap w:val="0"/>
            <w:vAlign w:val="center"/>
          </w:tcPr>
          <w:p w14:paraId="64E2D429">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要求提供产品的培训服务。</w:t>
            </w:r>
          </w:p>
        </w:tc>
      </w:tr>
      <w:tr w14:paraId="2555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vMerge w:val="continue"/>
            <w:noWrap w:val="0"/>
            <w:vAlign w:val="top"/>
          </w:tcPr>
          <w:p w14:paraId="234EBB4E">
            <w:pPr>
              <w:pStyle w:val="18"/>
              <w:spacing w:line="360" w:lineRule="auto"/>
              <w:outlineLvl w:val="9"/>
              <w:rPr>
                <w:rFonts w:hint="eastAsia" w:ascii="仿宋" w:hAnsi="仿宋" w:eastAsia="仿宋" w:cs="仿宋"/>
                <w:color w:val="auto"/>
                <w:sz w:val="24"/>
                <w:szCs w:val="24"/>
                <w:highlight w:val="none"/>
              </w:rPr>
            </w:pPr>
          </w:p>
        </w:tc>
        <w:tc>
          <w:tcPr>
            <w:tcW w:w="4481" w:type="pct"/>
            <w:noWrap w:val="0"/>
            <w:vAlign w:val="center"/>
          </w:tcPr>
          <w:p w14:paraId="3473BBD1">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要求提供产品的免费升级服务。</w:t>
            </w:r>
          </w:p>
        </w:tc>
      </w:tr>
    </w:tbl>
    <w:p w14:paraId="0D58F704">
      <w:pPr>
        <w:numPr>
          <w:ilvl w:val="0"/>
          <w:numId w:val="0"/>
        </w:numPr>
        <w:spacing w:line="360" w:lineRule="auto"/>
        <w:ind w:leftChars="0"/>
        <w:outlineLvl w:val="9"/>
        <w:rPr>
          <w:rFonts w:hint="eastAsia" w:ascii="仿宋" w:hAnsi="仿宋" w:eastAsia="仿宋" w:cs="仿宋"/>
          <w:color w:val="auto"/>
          <w:sz w:val="24"/>
          <w:szCs w:val="24"/>
          <w:highlight w:val="none"/>
        </w:rPr>
      </w:pPr>
    </w:p>
    <w:p w14:paraId="1E7FF4D5">
      <w:pPr>
        <w:numPr>
          <w:ilvl w:val="0"/>
          <w:numId w:val="4"/>
        </w:numPr>
        <w:spacing w:line="360" w:lineRule="auto"/>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业务应用开发服务</w:t>
      </w:r>
    </w:p>
    <w:p w14:paraId="4DC6220A">
      <w:pPr>
        <w:pStyle w:val="272"/>
        <w:spacing w:line="360" w:lineRule="auto"/>
        <w:ind w:firstLine="48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1.云短信网关接入服务</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8643"/>
      </w:tblGrid>
      <w:tr w14:paraId="18D6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noWrap w:val="0"/>
            <w:vAlign w:val="top"/>
          </w:tcPr>
          <w:p w14:paraId="6523106F">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功能指标</w:t>
            </w:r>
          </w:p>
        </w:tc>
        <w:tc>
          <w:tcPr>
            <w:tcW w:w="4336" w:type="pct"/>
            <w:noWrap w:val="0"/>
            <w:vAlign w:val="top"/>
          </w:tcPr>
          <w:p w14:paraId="419EC1A0">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功能要求</w:t>
            </w:r>
          </w:p>
        </w:tc>
      </w:tr>
      <w:tr w14:paraId="656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noWrap w:val="0"/>
            <w:vAlign w:val="center"/>
          </w:tcPr>
          <w:p w14:paraId="365C014C">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短信网关服务</w:t>
            </w:r>
          </w:p>
        </w:tc>
        <w:tc>
          <w:tcPr>
            <w:tcW w:w="4336" w:type="pct"/>
            <w:noWrap w:val="0"/>
            <w:vAlign w:val="top"/>
          </w:tcPr>
          <w:p w14:paraId="15892D7A">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提供至少</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0万条云短信发送服务，保障学校应用业务不中断。</w:t>
            </w:r>
          </w:p>
          <w:p w14:paraId="4B2C82DC">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短信类型包括验证码、通知类以及营销短信。</w:t>
            </w:r>
          </w:p>
        </w:tc>
      </w:tr>
      <w:tr w14:paraId="5E11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noWrap w:val="0"/>
            <w:vAlign w:val="center"/>
          </w:tcPr>
          <w:p w14:paraId="60A6C98C">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通信质量</w:t>
            </w:r>
          </w:p>
        </w:tc>
        <w:tc>
          <w:tcPr>
            <w:tcW w:w="4336" w:type="pct"/>
            <w:noWrap w:val="0"/>
            <w:vAlign w:val="top"/>
          </w:tcPr>
          <w:p w14:paraId="181355C4">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到达率高达99%（空号或不在服务区除外），超低时延，90%以上短信10秒内触达，同时服务 QQ、微信等用户平台。</w:t>
            </w:r>
          </w:p>
        </w:tc>
      </w:tr>
      <w:tr w14:paraId="0F20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noWrap w:val="0"/>
            <w:vAlign w:val="center"/>
          </w:tcPr>
          <w:p w14:paraId="08CBD010">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实时监控</w:t>
            </w:r>
          </w:p>
        </w:tc>
        <w:tc>
          <w:tcPr>
            <w:tcW w:w="4336" w:type="pct"/>
            <w:noWrap w:val="0"/>
            <w:vAlign w:val="top"/>
          </w:tcPr>
          <w:p w14:paraId="0E259A20">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支持分地区、运营商、通道等多维度实时跟踪，掌握短信发送状态，监控异常发送任务，实现短信监控闭环。</w:t>
            </w:r>
          </w:p>
        </w:tc>
      </w:tr>
      <w:tr w14:paraId="79C5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noWrap w:val="0"/>
            <w:vAlign w:val="center"/>
          </w:tcPr>
          <w:p w14:paraId="4B7987F5">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容灾备份智能调度</w:t>
            </w:r>
          </w:p>
        </w:tc>
        <w:tc>
          <w:tcPr>
            <w:tcW w:w="4336" w:type="pct"/>
            <w:noWrap w:val="0"/>
            <w:vAlign w:val="top"/>
          </w:tcPr>
          <w:p w14:paraId="2D2C0E1E">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多家企业专属通道服务，短信后台进行智能调度，根据不同使用场景实时切换，多地区、多运营商服务部署，容灾备份有保障。</w:t>
            </w:r>
          </w:p>
        </w:tc>
      </w:tr>
      <w:tr w14:paraId="6711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noWrap w:val="0"/>
            <w:vAlign w:val="center"/>
          </w:tcPr>
          <w:p w14:paraId="45B1DC49">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简单集成快速接入</w:t>
            </w:r>
          </w:p>
        </w:tc>
        <w:tc>
          <w:tcPr>
            <w:tcW w:w="4336" w:type="pct"/>
            <w:noWrap w:val="0"/>
            <w:vAlign w:val="top"/>
          </w:tcPr>
          <w:p w14:paraId="2C11C615">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提供详尽、完善的短信接入文档，简单易懂，支持快速接入上线。支持腾讯云控制台、API 和 SDK 等多种方式接入。</w:t>
            </w:r>
          </w:p>
        </w:tc>
      </w:tr>
      <w:tr w14:paraId="1B90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noWrap w:val="0"/>
            <w:vAlign w:val="center"/>
          </w:tcPr>
          <w:p w14:paraId="2D906574">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统计分析</w:t>
            </w:r>
          </w:p>
        </w:tc>
        <w:tc>
          <w:tcPr>
            <w:tcW w:w="4336" w:type="pct"/>
            <w:noWrap w:val="0"/>
            <w:vAlign w:val="top"/>
          </w:tcPr>
          <w:p w14:paraId="3DD591C4">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提供多维度时间段的短信发送量、发送成功率、失败分析以及回执分析等报表，提供指定手机号在指定时间段内的短信下发记录、指定模板在指定时间段内的短信发送量和发送成功率等。</w:t>
            </w:r>
          </w:p>
        </w:tc>
      </w:tr>
    </w:tbl>
    <w:p w14:paraId="45BF8586">
      <w:pPr>
        <w:pStyle w:val="272"/>
        <w:spacing w:line="360" w:lineRule="auto"/>
        <w:ind w:firstLine="48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SSL证书服务</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8704"/>
      </w:tblGrid>
      <w:tr w14:paraId="3518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noWrap w:val="0"/>
            <w:vAlign w:val="top"/>
          </w:tcPr>
          <w:p w14:paraId="7B40C8CA">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功能指标</w:t>
            </w:r>
          </w:p>
        </w:tc>
        <w:tc>
          <w:tcPr>
            <w:tcW w:w="7443" w:type="dxa"/>
            <w:noWrap w:val="0"/>
            <w:vAlign w:val="top"/>
          </w:tcPr>
          <w:p w14:paraId="04375979">
            <w:pPr>
              <w:pStyle w:val="18"/>
              <w:spacing w:line="36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功能要求</w:t>
            </w:r>
          </w:p>
        </w:tc>
      </w:tr>
      <w:tr w14:paraId="5446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33" w:type="pct"/>
            <w:noWrap w:val="0"/>
            <w:vAlign w:val="center"/>
          </w:tcPr>
          <w:p w14:paraId="04F93110">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SSL证书授权</w:t>
            </w:r>
          </w:p>
        </w:tc>
        <w:tc>
          <w:tcPr>
            <w:tcW w:w="4366" w:type="pct"/>
            <w:noWrap w:val="0"/>
            <w:vAlign w:val="top"/>
          </w:tcPr>
          <w:p w14:paraId="2E3F14B3">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1.域名绑定：支持主域名下所有二级子域名免费加载https；</w:t>
            </w:r>
          </w:p>
          <w:p w14:paraId="3C410FED">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2.加密强度：支持128-256位（支持2048/3072/4096公钥加密）加密；</w:t>
            </w:r>
          </w:p>
          <w:p w14:paraId="1EB316E9">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3.加密算法：支持RSA/ECC以及SHA256签名算法，支持最新TLS1.3版本；</w:t>
            </w:r>
          </w:p>
          <w:p w14:paraId="12038E2B">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4.兼容性：支持99.9%电脑和手机浏览器、系统，支持5G、IPV4和IPV6加密访问；</w:t>
            </w:r>
          </w:p>
          <w:p w14:paraId="312AAAC6">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5.网站可信度：提高网站信任转化，避免发生网络信息安全泄露，保障信息安全；</w:t>
            </w:r>
          </w:p>
          <w:p w14:paraId="06E1B8F0">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6.浏览器：去除各个浏览器不安全提示；</w:t>
            </w:r>
          </w:p>
          <w:p w14:paraId="05FBFBE0">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7.在多台服务器上安装证书，无额外费用；</w:t>
            </w:r>
          </w:p>
          <w:p w14:paraId="2699E9A7">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8.网站安全强化防护：提供7*24小时SSL网站安全检测；</w:t>
            </w:r>
          </w:p>
          <w:p w14:paraId="57FD360E">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9.全服务周期免费无限次签发：（1）加密有效期内不限次，重复签发（2）免费无限次服务器安装授权；</w:t>
            </w:r>
          </w:p>
          <w:p w14:paraId="38044396">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10.贴合国产化改造要求，支持后期增加SM2国密算法，rsa算法及SM2国密算法证书需为同一证书颁发机构</w:t>
            </w:r>
          </w:p>
          <w:p w14:paraId="38C38712">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11.提供7×24小时技术服务。</w:t>
            </w:r>
          </w:p>
        </w:tc>
      </w:tr>
    </w:tbl>
    <w:p w14:paraId="20AE7DCC">
      <w:pPr>
        <w:numPr>
          <w:ilvl w:val="0"/>
          <w:numId w:val="0"/>
        </w:numPr>
        <w:spacing w:line="360" w:lineRule="auto"/>
        <w:ind w:leftChars="0"/>
        <w:outlineLvl w:val="9"/>
        <w:rPr>
          <w:rFonts w:hint="eastAsia" w:ascii="仿宋" w:hAnsi="仿宋" w:eastAsia="仿宋" w:cs="仿宋"/>
          <w:color w:val="auto"/>
          <w:sz w:val="24"/>
          <w:szCs w:val="24"/>
          <w:highlight w:val="none"/>
          <w:lang w:val="en-US" w:eastAsia="zh-CN"/>
        </w:rPr>
      </w:pPr>
    </w:p>
    <w:p w14:paraId="76A6C242">
      <w:pPr>
        <w:pStyle w:val="272"/>
        <w:spacing w:line="360" w:lineRule="auto"/>
        <w:ind w:firstLine="48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.应用服务</w:t>
      </w:r>
      <w:r>
        <w:rPr>
          <w:rFonts w:hint="eastAsia" w:ascii="仿宋" w:hAnsi="仿宋" w:eastAsia="仿宋" w:cs="仿宋"/>
          <w:b/>
          <w:bCs/>
          <w:color w:val="auto"/>
          <w:sz w:val="24"/>
          <w:szCs w:val="24"/>
          <w:highlight w:val="none"/>
          <w:lang w:val="en-US" w:eastAsia="zh-CN"/>
        </w:rPr>
        <w:t>开发</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8704"/>
      </w:tblGrid>
      <w:tr w14:paraId="36B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pct"/>
            <w:noWrap w:val="0"/>
            <w:vAlign w:val="top"/>
          </w:tcPr>
          <w:p w14:paraId="2075979E">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应用服务</w:t>
            </w:r>
          </w:p>
        </w:tc>
        <w:tc>
          <w:tcPr>
            <w:tcW w:w="4366" w:type="pct"/>
            <w:noWrap w:val="0"/>
            <w:vAlign w:val="top"/>
          </w:tcPr>
          <w:p w14:paraId="6BAF1F82">
            <w:pPr>
              <w:pStyle w:val="18"/>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功能要求</w:t>
            </w:r>
          </w:p>
        </w:tc>
      </w:tr>
      <w:tr w14:paraId="27E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33" w:type="pct"/>
            <w:noWrap w:val="0"/>
            <w:vAlign w:val="center"/>
          </w:tcPr>
          <w:p w14:paraId="19887BED">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处级干部请销假对接电子签章服务</w:t>
            </w:r>
          </w:p>
        </w:tc>
        <w:tc>
          <w:tcPr>
            <w:tcW w:w="4366" w:type="pct"/>
            <w:noWrap w:val="0"/>
            <w:vAlign w:val="top"/>
          </w:tcPr>
          <w:p w14:paraId="1FF5E860">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基于学校处级干部请销假系统，完成与电子签章平台的对接工作，实现申请人及各级审批人自动调用电子签名功能，并支持在线打印、下载（仅支持pdf）存档等功能。</w:t>
            </w:r>
          </w:p>
        </w:tc>
      </w:tr>
      <w:tr w14:paraId="5B70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33" w:type="pct"/>
            <w:noWrap w:val="0"/>
            <w:vAlign w:val="center"/>
          </w:tcPr>
          <w:p w14:paraId="2420CDE4">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校园邮箱申请服务</w:t>
            </w:r>
          </w:p>
        </w:tc>
        <w:tc>
          <w:tcPr>
            <w:tcW w:w="4366" w:type="pct"/>
            <w:noWrap w:val="0"/>
            <w:vAlign w:val="top"/>
          </w:tcPr>
          <w:p w14:paraId="7A726E4C">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基于学校低代码开发平台，完成校园邮箱申请服务开发工作，实现功能包括以下内容：</w:t>
            </w:r>
          </w:p>
          <w:p w14:paraId="1BFEAE03">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1.用户申请邮箱。核心字段：申请人信息、申请时间、预申请邮箱账号、邮箱名称、邮箱用途、申请理由。</w:t>
            </w:r>
          </w:p>
          <w:p w14:paraId="3F588595">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2.审批人审批申请。不同身份用户的申请由不同的审批人负责审批，支持简易看板(如看板视图)展示任务流转状态。</w:t>
            </w:r>
          </w:p>
          <w:p w14:paraId="69F6E9B2">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3.用户查询申请状态。系统生成唯一工单号，用户可通过该编号查询进度。</w:t>
            </w:r>
          </w:p>
          <w:p w14:paraId="513B9C77">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4.管理者管理数据。在管理端生成邮箱申请数据，管理者可查看、检索、导出等操作。</w:t>
            </w:r>
          </w:p>
          <w:p w14:paraId="469B3C0E">
            <w:pPr>
              <w:pStyle w:val="18"/>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5.消息提醒。申请人与审批人都可在网上办事大厅以及企业微信中收到审批相关信息。</w:t>
            </w:r>
          </w:p>
        </w:tc>
      </w:tr>
    </w:tbl>
    <w:p w14:paraId="46E4CD3A">
      <w:pPr>
        <w:numPr>
          <w:ilvl w:val="0"/>
          <w:numId w:val="0"/>
        </w:numPr>
        <w:spacing w:line="360" w:lineRule="auto"/>
        <w:ind w:leftChars="0"/>
        <w:outlineLvl w:val="9"/>
        <w:rPr>
          <w:rFonts w:hint="eastAsia" w:ascii="仿宋" w:hAnsi="仿宋" w:eastAsia="仿宋" w:cs="仿宋"/>
          <w:color w:val="auto"/>
          <w:sz w:val="24"/>
          <w:szCs w:val="24"/>
          <w:highlight w:val="none"/>
          <w:lang w:val="en-US" w:eastAsia="zh-CN"/>
        </w:rPr>
      </w:pPr>
    </w:p>
    <w:p w14:paraId="341DCB96">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3、验收标准及方法： </w:t>
      </w:r>
    </w:p>
    <w:p w14:paraId="562C8CA3">
      <w:pPr>
        <w:pStyle w:val="272"/>
        <w:spacing w:line="360" w:lineRule="auto"/>
        <w:ind w:firstLine="48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需遵照《新疆农业大学信息化项目建设管理办法（试行）》和《新疆农业大学信息（软件）系统验收规范（试行）》执行</w:t>
      </w:r>
      <w:r>
        <w:rPr>
          <w:rFonts w:hint="eastAsia" w:ascii="仿宋" w:hAnsi="仿宋" w:eastAsia="仿宋" w:cs="仿宋"/>
          <w:color w:val="auto"/>
          <w:sz w:val="24"/>
          <w:szCs w:val="24"/>
          <w:highlight w:val="none"/>
          <w:lang w:eastAsia="zh-CN"/>
        </w:rPr>
        <w:t>。</w:t>
      </w:r>
    </w:p>
    <w:p w14:paraId="1BC57C65">
      <w:pPr>
        <w:pStyle w:val="272"/>
        <w:spacing w:line="360" w:lineRule="auto"/>
        <w:ind w:firstLine="48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4、安装调试及技术服务要求：具体详见服务、功能要求</w:t>
      </w:r>
      <w:r>
        <w:rPr>
          <w:rFonts w:hint="eastAsia" w:ascii="仿宋" w:hAnsi="仿宋" w:eastAsia="仿宋" w:cs="仿宋"/>
          <w:color w:val="auto"/>
          <w:sz w:val="24"/>
          <w:szCs w:val="24"/>
          <w:highlight w:val="none"/>
          <w:lang w:eastAsia="zh-CN"/>
        </w:rPr>
        <w:t>。</w:t>
      </w:r>
    </w:p>
    <w:p w14:paraId="344D80DB">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付款方式：签订合同付</w:t>
      </w: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rPr>
        <w:t>%，验收后付</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p>
    <w:p w14:paraId="00BB3E9C">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5、售后服务要求：</w:t>
      </w:r>
    </w:p>
    <w:p w14:paraId="01FF9A43">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提供专业的技术支持工程师，对反馈的产品问题及时迅速响应，服务期内提供7*24免费技术支持。</w:t>
      </w:r>
    </w:p>
    <w:p w14:paraId="5B6AA742">
      <w:pPr>
        <w:pStyle w:val="272"/>
        <w:spacing w:line="360" w:lineRule="auto"/>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6、其他需要说明的事项：</w:t>
      </w:r>
      <w:r>
        <w:rPr>
          <w:rFonts w:hint="eastAsia" w:ascii="仿宋" w:hAnsi="仿宋" w:eastAsia="仿宋" w:cs="仿宋"/>
          <w:color w:val="auto"/>
          <w:sz w:val="24"/>
          <w:szCs w:val="24"/>
          <w:highlight w:val="none"/>
          <w:lang w:val="en-US" w:eastAsia="zh-CN"/>
        </w:rPr>
        <w:t>无</w:t>
      </w:r>
    </w:p>
    <w:p w14:paraId="100323FE">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二：履约要求                 </w:t>
      </w:r>
    </w:p>
    <w:p w14:paraId="38DC5F9A">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1、工期：</w:t>
      </w:r>
    </w:p>
    <w:p w14:paraId="10318255">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1.1办公软件正版化场地授权：合同签订后提供1年授权；</w:t>
      </w:r>
    </w:p>
    <w:p w14:paraId="157A1AD7">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1.2业务应用开发服务：需在合同签订后</w:t>
      </w:r>
      <w:r>
        <w:rPr>
          <w:rFonts w:hint="eastAsia" w:ascii="仿宋" w:hAnsi="仿宋" w:eastAsia="仿宋" w:cs="仿宋"/>
          <w:color w:val="auto"/>
          <w:sz w:val="24"/>
          <w:szCs w:val="24"/>
          <w:highlight w:val="none"/>
          <w:lang w:val="en-US" w:eastAsia="zh-CN"/>
        </w:rPr>
        <w:t>30个工作日</w:t>
      </w:r>
      <w:r>
        <w:rPr>
          <w:rFonts w:hint="eastAsia" w:ascii="仿宋" w:hAnsi="仿宋" w:eastAsia="仿宋" w:cs="仿宋"/>
          <w:color w:val="auto"/>
          <w:sz w:val="24"/>
          <w:szCs w:val="24"/>
          <w:highlight w:val="none"/>
        </w:rPr>
        <w:t>内完成系统建设。如无法按期完成，甲方有权部分或全部解除合同并要求乙方赔偿由此造成的损失及甲方因此产生的对第三方的责任。此时甲方可采取必要的补救措施，相关费用由乙方承担，提供1年质保服务。</w:t>
      </w:r>
    </w:p>
    <w:p w14:paraId="1BA1B190">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、交付或实施的地点：新疆农业大学</w:t>
      </w:r>
    </w:p>
    <w:p w14:paraId="11C53F78">
      <w:pPr>
        <w:pStyle w:val="27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、发生故障做出响应的时间：2小时内响应</w:t>
      </w:r>
    </w:p>
    <w:p w14:paraId="02D7F608">
      <w:pPr>
        <w:rPr>
          <w:rFonts w:hint="eastAsia" w:ascii="仿宋" w:hAnsi="仿宋" w:eastAsia="仿宋" w:cs="仿宋"/>
          <w:color w:val="auto"/>
          <w:highlight w:val="none"/>
          <w:lang w:eastAsia="zh-CN"/>
        </w:rPr>
      </w:pPr>
    </w:p>
    <w:p w14:paraId="21A8E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br w:type="page"/>
      </w:r>
    </w:p>
    <w:p w14:paraId="1FC9BAA4">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41" w:name="_Toc17696"/>
      <w:r>
        <w:rPr>
          <w:rFonts w:hint="eastAsia" w:ascii="仿宋" w:hAnsi="仿宋" w:eastAsia="仿宋" w:cs="仿宋"/>
          <w:b/>
          <w:color w:val="auto"/>
          <w:sz w:val="24"/>
          <w:szCs w:val="24"/>
          <w:highlight w:val="none"/>
          <w:shd w:val="clear" w:color="auto" w:fill="FFFFFF" w:themeFill="background1"/>
        </w:rPr>
        <w:t>第五章 响应文件格式</w:t>
      </w:r>
      <w:bookmarkEnd w:id="41"/>
    </w:p>
    <w:p w14:paraId="58DA57B4">
      <w:pPr>
        <w:spacing w:line="360" w:lineRule="auto"/>
        <w:rPr>
          <w:rFonts w:hint="eastAsia" w:ascii="仿宋" w:hAnsi="仿宋" w:eastAsia="仿宋" w:cs="仿宋"/>
          <w:b/>
          <w:color w:val="auto"/>
          <w:sz w:val="24"/>
          <w:szCs w:val="24"/>
          <w:highlight w:val="none"/>
          <w:shd w:val="clear" w:color="auto" w:fill="FFFFFF" w:themeFill="background1"/>
        </w:rPr>
      </w:pPr>
    </w:p>
    <w:p w14:paraId="2153CF87">
      <w:pPr>
        <w:spacing w:line="360" w:lineRule="auto"/>
        <w:rPr>
          <w:rFonts w:hint="eastAsia" w:ascii="仿宋" w:hAnsi="仿宋" w:eastAsia="仿宋" w:cs="仿宋"/>
          <w:b/>
          <w:color w:val="auto"/>
          <w:sz w:val="24"/>
          <w:szCs w:val="24"/>
          <w:highlight w:val="none"/>
          <w:shd w:val="clear" w:color="auto" w:fill="FFFFFF" w:themeFill="background1"/>
        </w:rPr>
      </w:pPr>
    </w:p>
    <w:p w14:paraId="006F246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197A03D3">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CA3008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1B693C00">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3CCD6B3">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2EF415F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08870">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56BA818B">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30F9A47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2ED13C2B">
      <w:pPr>
        <w:spacing w:line="360" w:lineRule="auto"/>
        <w:rPr>
          <w:rFonts w:hint="eastAsia" w:ascii="仿宋" w:hAnsi="仿宋" w:eastAsia="仿宋" w:cs="仿宋"/>
          <w:color w:val="auto"/>
          <w:sz w:val="24"/>
          <w:szCs w:val="24"/>
          <w:highlight w:val="none"/>
          <w:shd w:val="clear" w:color="auto" w:fill="FFFFFF" w:themeFill="background1"/>
        </w:rPr>
      </w:pPr>
    </w:p>
    <w:p w14:paraId="309368BC">
      <w:pPr>
        <w:spacing w:line="360" w:lineRule="auto"/>
        <w:rPr>
          <w:rFonts w:hint="eastAsia" w:ascii="仿宋" w:hAnsi="仿宋" w:eastAsia="仿宋" w:cs="仿宋"/>
          <w:color w:val="auto"/>
          <w:sz w:val="24"/>
          <w:szCs w:val="24"/>
          <w:highlight w:val="none"/>
          <w:shd w:val="clear" w:color="auto" w:fill="FFFFFF" w:themeFill="background1"/>
        </w:rPr>
      </w:pPr>
    </w:p>
    <w:p w14:paraId="7A990FA7">
      <w:pPr>
        <w:spacing w:line="360" w:lineRule="auto"/>
        <w:rPr>
          <w:rFonts w:hint="eastAsia" w:ascii="仿宋" w:hAnsi="仿宋" w:eastAsia="仿宋" w:cs="仿宋"/>
          <w:color w:val="auto"/>
          <w:sz w:val="24"/>
          <w:szCs w:val="24"/>
          <w:highlight w:val="none"/>
          <w:shd w:val="clear" w:color="auto" w:fill="FFFFFF" w:themeFill="background1"/>
        </w:rPr>
      </w:pPr>
    </w:p>
    <w:p w14:paraId="53A078E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3FF4D81A">
      <w:pPr>
        <w:spacing w:line="360" w:lineRule="auto"/>
        <w:rPr>
          <w:rFonts w:hint="eastAsia" w:ascii="仿宋" w:hAnsi="仿宋" w:eastAsia="仿宋" w:cs="仿宋"/>
          <w:color w:val="auto"/>
          <w:sz w:val="24"/>
          <w:szCs w:val="24"/>
          <w:highlight w:val="none"/>
          <w:shd w:val="clear" w:color="auto" w:fill="FFFFFF" w:themeFill="background1"/>
        </w:rPr>
      </w:pPr>
    </w:p>
    <w:p w14:paraId="6244285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0EB9A3F">
      <w:pPr>
        <w:spacing w:line="360" w:lineRule="auto"/>
        <w:rPr>
          <w:rFonts w:hint="eastAsia" w:ascii="仿宋" w:hAnsi="仿宋" w:eastAsia="仿宋" w:cs="仿宋"/>
          <w:color w:val="auto"/>
          <w:sz w:val="24"/>
          <w:szCs w:val="24"/>
          <w:highlight w:val="none"/>
          <w:shd w:val="clear" w:color="auto" w:fill="FFFFFF" w:themeFill="background1"/>
        </w:rPr>
      </w:pPr>
    </w:p>
    <w:p w14:paraId="1E8BD01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232168C5">
      <w:pPr>
        <w:spacing w:line="360" w:lineRule="auto"/>
        <w:rPr>
          <w:rFonts w:hint="eastAsia" w:ascii="仿宋" w:hAnsi="仿宋" w:eastAsia="仿宋" w:cs="仿宋"/>
          <w:color w:val="auto"/>
          <w:sz w:val="24"/>
          <w:szCs w:val="24"/>
          <w:highlight w:val="none"/>
          <w:shd w:val="clear" w:color="auto" w:fill="FFFFFF" w:themeFill="background1"/>
        </w:rPr>
      </w:pPr>
    </w:p>
    <w:p w14:paraId="71FED771">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32335CD0">
      <w:pPr>
        <w:spacing w:line="360" w:lineRule="auto"/>
        <w:rPr>
          <w:rFonts w:hint="eastAsia" w:ascii="仿宋" w:hAnsi="仿宋" w:eastAsia="仿宋" w:cs="仿宋"/>
          <w:color w:val="auto"/>
          <w:sz w:val="24"/>
          <w:szCs w:val="24"/>
          <w:highlight w:val="none"/>
          <w:shd w:val="clear" w:color="auto" w:fill="FFFFFF" w:themeFill="background1"/>
        </w:rPr>
      </w:pPr>
    </w:p>
    <w:p w14:paraId="6EA937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7BD9C36A">
      <w:pPr>
        <w:spacing w:line="360" w:lineRule="auto"/>
        <w:rPr>
          <w:rFonts w:hint="eastAsia" w:ascii="仿宋" w:hAnsi="仿宋" w:eastAsia="仿宋" w:cs="仿宋"/>
          <w:color w:val="auto"/>
          <w:sz w:val="24"/>
          <w:szCs w:val="24"/>
          <w:highlight w:val="none"/>
          <w:shd w:val="clear" w:color="auto" w:fill="FFFFFF" w:themeFill="background1"/>
        </w:rPr>
      </w:pPr>
    </w:p>
    <w:p w14:paraId="4592903B">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26B7992">
      <w:pPr>
        <w:spacing w:line="360" w:lineRule="auto"/>
        <w:rPr>
          <w:rFonts w:hint="eastAsia" w:ascii="仿宋" w:hAnsi="仿宋" w:eastAsia="仿宋" w:cs="仿宋"/>
          <w:color w:val="auto"/>
          <w:sz w:val="24"/>
          <w:szCs w:val="24"/>
          <w:highlight w:val="none"/>
          <w:shd w:val="clear" w:color="auto" w:fill="FFFFFF" w:themeFill="background1"/>
        </w:rPr>
      </w:pPr>
    </w:p>
    <w:p w14:paraId="671CF031">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67F3C657">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337F41B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2" w:name="_Toc38446469"/>
      <w:bookmarkStart w:id="43" w:name="_Toc38910521"/>
      <w:r>
        <w:rPr>
          <w:rFonts w:hint="eastAsia" w:ascii="仿宋" w:hAnsi="仿宋" w:eastAsia="仿宋" w:cs="仿宋"/>
          <w:color w:val="auto"/>
          <w:sz w:val="24"/>
          <w:szCs w:val="24"/>
          <w:highlight w:val="none"/>
          <w:shd w:val="clear" w:color="auto" w:fill="FFFFFF" w:themeFill="background1"/>
        </w:rPr>
        <w:t>目录</w:t>
      </w:r>
      <w:bookmarkEnd w:id="42"/>
      <w:bookmarkEnd w:id="43"/>
    </w:p>
    <w:p w14:paraId="57062FE9">
      <w:pPr>
        <w:spacing w:line="360" w:lineRule="auto"/>
        <w:rPr>
          <w:rFonts w:hint="eastAsia" w:ascii="仿宋" w:hAnsi="仿宋" w:eastAsia="仿宋" w:cs="仿宋"/>
          <w:bCs/>
          <w:color w:val="auto"/>
          <w:sz w:val="24"/>
          <w:szCs w:val="24"/>
          <w:highlight w:val="none"/>
          <w:shd w:val="clear" w:color="auto" w:fill="FFFFFF" w:themeFill="background1"/>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r>
        <w:rPr>
          <w:rFonts w:hint="eastAsia" w:ascii="仿宋" w:hAnsi="仿宋" w:eastAsia="仿宋" w:cs="仿宋"/>
          <w:bCs/>
          <w:color w:val="auto"/>
          <w:sz w:val="24"/>
          <w:szCs w:val="24"/>
          <w:highlight w:val="none"/>
          <w:shd w:val="clear" w:color="auto" w:fill="FFFFFF" w:themeFill="background1"/>
          <w:lang w:eastAsia="zh-CN"/>
        </w:rPr>
        <w:t>响应函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w:t>
      </w:r>
      <w:r>
        <w:rPr>
          <w:rFonts w:hint="eastAsia" w:ascii="仿宋" w:hAnsi="仿宋" w:eastAsia="仿宋" w:cs="仿宋"/>
          <w:bCs/>
          <w:color w:val="auto"/>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rPr>
        <w:t>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02D8371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ab/>
      </w:r>
    </w:p>
    <w:p w14:paraId="6505B67D">
      <w:pPr>
        <w:spacing w:line="360" w:lineRule="auto"/>
        <w:rPr>
          <w:rFonts w:hint="eastAsia" w:ascii="仿宋" w:hAnsi="仿宋" w:eastAsia="仿宋" w:cs="仿宋"/>
          <w:bCs/>
          <w:color w:val="auto"/>
          <w:sz w:val="24"/>
          <w:szCs w:val="24"/>
          <w:highlight w:val="none"/>
          <w:shd w:val="clear" w:color="auto" w:fill="FFFFFF" w:themeFill="background1"/>
        </w:rPr>
      </w:pPr>
    </w:p>
    <w:p w14:paraId="5BACEB8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61C54233">
      <w:pP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br w:type="page"/>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bookmarkStart w:id="44" w:name="_Toc22190"/>
      <w:bookmarkStart w:id="45" w:name="_Toc6644"/>
      <w:bookmarkStart w:id="46" w:name="_Toc1962"/>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eastAsia="zh-CN"/>
        </w:rPr>
        <w:t>启</w:t>
      </w:r>
      <w:r>
        <w:rPr>
          <w:rFonts w:hint="eastAsia" w:ascii="仿宋" w:hAnsi="仿宋" w:eastAsia="仿宋" w:cs="仿宋"/>
          <w:b/>
          <w:color w:val="auto"/>
          <w:sz w:val="24"/>
          <w:szCs w:val="24"/>
          <w:highlight w:val="none"/>
        </w:rPr>
        <w:t>一览表</w:t>
      </w:r>
      <w:bookmarkEnd w:id="44"/>
      <w:bookmarkEnd w:id="45"/>
      <w:bookmarkEnd w:id="46"/>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3"/>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2"/>
              <w:ind w:left="0" w:leftChars="0" w:firstLine="0" w:firstLineChars="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AED564">
            <w:pPr>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2417CEBA">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①办公软件正版化场地授权：合同签订后提供1年授权；</w:t>
            </w:r>
          </w:p>
          <w:p w14:paraId="4189FC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0"/>
                <w:szCs w:val="21"/>
                <w:highlight w:val="none"/>
                <w:shd w:val="clear" w:color="auto" w:fill="FFFFFF" w:themeFill="background1"/>
                <w:lang w:val="en-US" w:eastAsia="zh-CN"/>
              </w:rPr>
              <w:t>②业务应用开发服务：需在合同签订后30个工作日内完成系统建设，提供1年质保服务。</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自响应截止之日</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42"/>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C23F43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47" w:name="_Toc38446470"/>
      <w:bookmarkStart w:id="48" w:name="_Toc533503181"/>
      <w:bookmarkStart w:id="49" w:name="_Toc507586166"/>
      <w:bookmarkStart w:id="50" w:name="_Toc16674"/>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47"/>
      <w:bookmarkEnd w:id="48"/>
      <w:bookmarkEnd w:id="49"/>
      <w:r>
        <w:rPr>
          <w:rFonts w:hint="eastAsia" w:ascii="仿宋" w:hAnsi="仿宋" w:eastAsia="仿宋" w:cs="仿宋"/>
          <w:b/>
          <w:color w:val="auto"/>
          <w:sz w:val="24"/>
          <w:szCs w:val="24"/>
          <w:highlight w:val="none"/>
          <w:shd w:val="clear" w:color="auto" w:fill="FFFFFF" w:themeFill="background1"/>
          <w:lang w:eastAsia="zh-CN"/>
        </w:rPr>
        <w:t>响应函</w:t>
      </w:r>
      <w:bookmarkEnd w:id="50"/>
    </w:p>
    <w:p w14:paraId="12F1D0C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，遵照《中华人民共和国政府采购法》等有关法律法规的规定，经考察现场和充分研究贵方的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有效期内对我方具有约束力，如果我方在</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有效期内撤销</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8、我方愿意提供贵方可能要求的与采购有关的一切数据或资料，完全理解贵方不一定接受最低报价的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24289400">
      <w:pP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1" w:name="_Toc38446474"/>
      <w:bookmarkStart w:id="52" w:name="_Toc507586169"/>
      <w:bookmarkStart w:id="53" w:name="_Toc533503184"/>
    </w:p>
    <w:p w14:paraId="0077770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4" w:name="_Toc27997"/>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eastAsia="zh-CN"/>
        </w:rPr>
        <w:t>响应价格</w:t>
      </w:r>
      <w:r>
        <w:rPr>
          <w:rFonts w:hint="eastAsia" w:ascii="仿宋" w:hAnsi="仿宋" w:eastAsia="仿宋" w:cs="仿宋"/>
          <w:b/>
          <w:color w:val="auto"/>
          <w:sz w:val="24"/>
          <w:szCs w:val="24"/>
          <w:highlight w:val="none"/>
          <w:shd w:val="clear" w:color="auto" w:fill="FFFFFF" w:themeFill="background1"/>
        </w:rPr>
        <w:t>明细表</w:t>
      </w:r>
      <w:bookmarkEnd w:id="54"/>
    </w:p>
    <w:tbl>
      <w:tblPr>
        <w:tblStyle w:val="4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EFB527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5653C1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6DDB210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0875F1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D7BB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C5522E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C9D0E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E9B42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3A3053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3A2CBEA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40CD96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A8FB1F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AFA7F8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60570C5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F8808D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53D322D6">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1DBEB1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5576394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87977D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01ED9E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C91A64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05BC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77DE4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08BC9AB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6887679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p>
        </w:tc>
        <w:tc>
          <w:tcPr>
            <w:tcW w:w="2194" w:type="dxa"/>
            <w:vAlign w:val="center"/>
          </w:tcPr>
          <w:p w14:paraId="763DD20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5C7F45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47AE9F4">
      <w:pPr>
        <w:spacing w:line="360" w:lineRule="auto"/>
        <w:rPr>
          <w:rFonts w:hint="eastAsia" w:ascii="仿宋" w:hAnsi="仿宋" w:eastAsia="仿宋" w:cs="仿宋"/>
          <w:color w:val="auto"/>
          <w:highlight w:val="none"/>
          <w:shd w:val="clear" w:color="auto" w:fill="FFFFFF" w:themeFill="background1"/>
        </w:rPr>
      </w:pPr>
    </w:p>
    <w:p w14:paraId="4B1A5A59">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注：</w:t>
      </w:r>
    </w:p>
    <w:p w14:paraId="5AB18B59">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1、供应商填报</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合计应与</w:t>
      </w:r>
      <w:r>
        <w:rPr>
          <w:rFonts w:hint="eastAsia" w:ascii="仿宋" w:hAnsi="仿宋" w:eastAsia="仿宋" w:cs="仿宋"/>
          <w:color w:val="auto"/>
          <w:highlight w:val="none"/>
          <w:shd w:val="clear" w:color="auto" w:fill="FFFFFF" w:themeFill="background1"/>
          <w:lang w:eastAsia="zh-CN"/>
        </w:rPr>
        <w:t>响应函</w:t>
      </w:r>
      <w:r>
        <w:rPr>
          <w:rFonts w:hint="eastAsia" w:ascii="仿宋" w:hAnsi="仿宋" w:eastAsia="仿宋" w:cs="仿宋"/>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2、供应商的服务只允许有一个报价，采购人不接受有任何选择的报价。</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中。</w:t>
      </w:r>
    </w:p>
    <w:p w14:paraId="60479090">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84AE30E">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C37369D">
      <w:pPr>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917A5EC">
      <w:pP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DDAB73B">
      <w:pPr>
        <w:rPr>
          <w:rFonts w:hint="eastAsia" w:ascii="仿宋" w:hAnsi="仿宋" w:eastAsia="仿宋" w:cs="仿宋"/>
          <w:color w:val="auto"/>
          <w:highlight w:val="none"/>
          <w:lang w:val="en-US" w:eastAsia="zh-CN"/>
        </w:rPr>
        <w:sectPr>
          <w:footerReference r:id="rId10" w:type="default"/>
          <w:pgSz w:w="11910" w:h="16840"/>
          <w:pgMar w:top="1440" w:right="1080" w:bottom="1440" w:left="1080" w:header="0" w:footer="1036" w:gutter="0"/>
          <w:pgNumType w:fmt="decimal"/>
          <w:cols w:space="720" w:num="1"/>
        </w:sectPr>
      </w:pPr>
    </w:p>
    <w:p w14:paraId="765377C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5" w:name="_Toc2836"/>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、商务条款偏离表</w:t>
      </w:r>
      <w:bookmarkEnd w:id="51"/>
      <w:bookmarkEnd w:id="52"/>
      <w:bookmarkEnd w:id="53"/>
      <w:bookmarkEnd w:id="55"/>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E9C479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5610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758D134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6C3787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4023B4F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BF2A9A">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65C4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AA954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7A0E5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2E7A1B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3C067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A721C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49609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0DA44F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71C2F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F714D4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96DCC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5587D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79B9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A55C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573CE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ED40CE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0B268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349A7F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95952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E5447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7DBF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A18F9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18B51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18A0D5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97D1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AF59DB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2E2DD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D0791E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6E6B01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31E081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32F7FA2">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133A362">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105F65B">
      <w:pPr>
        <w:spacing w:line="360" w:lineRule="auto"/>
        <w:jc w:val="left"/>
        <w:rPr>
          <w:rFonts w:hint="eastAsia" w:ascii="仿宋" w:hAnsi="仿宋" w:eastAsia="仿宋" w:cs="仿宋"/>
          <w:color w:val="auto"/>
          <w:sz w:val="24"/>
          <w:szCs w:val="24"/>
          <w:highlight w:val="none"/>
          <w:shd w:val="clear" w:color="auto" w:fill="FFFFFF" w:themeFill="background1"/>
        </w:rPr>
      </w:pPr>
    </w:p>
    <w:p w14:paraId="078786B6">
      <w:pPr>
        <w:spacing w:line="360" w:lineRule="auto"/>
        <w:jc w:val="left"/>
        <w:rPr>
          <w:rFonts w:hint="eastAsia" w:ascii="仿宋" w:hAnsi="仿宋" w:eastAsia="仿宋" w:cs="仿宋"/>
          <w:color w:val="auto"/>
          <w:sz w:val="24"/>
          <w:szCs w:val="24"/>
          <w:highlight w:val="none"/>
          <w:shd w:val="clear" w:color="auto" w:fill="FFFFFF" w:themeFill="background1"/>
        </w:rPr>
      </w:pPr>
    </w:p>
    <w:p w14:paraId="21FE42AE">
      <w:pPr>
        <w:spacing w:line="360" w:lineRule="auto"/>
        <w:jc w:val="left"/>
        <w:rPr>
          <w:rFonts w:hint="eastAsia" w:ascii="仿宋" w:hAnsi="仿宋" w:eastAsia="仿宋" w:cs="仿宋"/>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20CE190">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6" w:name="_Toc23331"/>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、技术条款偏离表</w:t>
      </w:r>
      <w:bookmarkEnd w:id="56"/>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98742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CB02C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5A1AC8D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7FA4950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3BB147E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68436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57C6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F86DB6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D75A48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7A80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6343A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06F6C5">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D2296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CF98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78D22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DAAD4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23FE63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26020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3F8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073897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354A9F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3C1DD5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6A7CC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14078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B8492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D6E10A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812C3A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AFF503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E62E0E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057F72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E42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F6494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A7D6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F592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9D0C0B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F462C5">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6868626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A2ECC4D">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FC40B80">
      <w:pPr>
        <w:spacing w:line="360" w:lineRule="auto"/>
        <w:jc w:val="left"/>
        <w:rPr>
          <w:rFonts w:hint="eastAsia" w:ascii="仿宋" w:hAnsi="仿宋" w:eastAsia="仿宋" w:cs="仿宋"/>
          <w:color w:val="auto"/>
          <w:sz w:val="24"/>
          <w:szCs w:val="24"/>
          <w:highlight w:val="none"/>
          <w:shd w:val="clear" w:color="auto" w:fill="FFFFFF" w:themeFill="background1"/>
        </w:rPr>
      </w:pPr>
    </w:p>
    <w:p w14:paraId="28FBC943">
      <w:pPr>
        <w:spacing w:line="360" w:lineRule="auto"/>
        <w:jc w:val="left"/>
        <w:rPr>
          <w:rFonts w:hint="eastAsia" w:ascii="仿宋" w:hAnsi="仿宋" w:eastAsia="仿宋" w:cs="仿宋"/>
          <w:color w:val="auto"/>
          <w:sz w:val="24"/>
          <w:szCs w:val="24"/>
          <w:highlight w:val="none"/>
          <w:shd w:val="clear" w:color="auto" w:fill="FFFFFF" w:themeFill="background1"/>
        </w:rPr>
      </w:pPr>
    </w:p>
    <w:p w14:paraId="50FE12D4">
      <w:pPr>
        <w:spacing w:line="360" w:lineRule="auto"/>
        <w:jc w:val="left"/>
        <w:rPr>
          <w:rFonts w:hint="eastAsia" w:ascii="仿宋" w:hAnsi="仿宋" w:eastAsia="仿宋" w:cs="仿宋"/>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602672D">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57" w:name="_Toc507586170"/>
      <w:bookmarkStart w:id="58" w:name="_Toc533503185"/>
      <w:bookmarkStart w:id="59" w:name="_Toc32267"/>
      <w:bookmarkStart w:id="60" w:name="_Toc38446475"/>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57"/>
      <w:bookmarkEnd w:id="58"/>
      <w:bookmarkEnd w:id="59"/>
      <w:bookmarkEnd w:id="60"/>
    </w:p>
    <w:p w14:paraId="504D0D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BC8F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ABD29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531BAC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A9CF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0B27A94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185B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616E2A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4331D71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04090F5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AA7A25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00965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C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88DFB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p w14:paraId="09EF157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3"/>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B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CC0E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19FF5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740D00C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CCFB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D0071F">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958253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88F907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2449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1739C6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61" w:name="_Toc507586171"/>
      <w:bookmarkStart w:id="62" w:name="_Toc38446476"/>
      <w:bookmarkStart w:id="63" w:name="_Toc533503186"/>
      <w:bookmarkStart w:id="64" w:name="_Toc28679"/>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、法定代表人授权委托书</w:t>
      </w:r>
      <w:bookmarkEnd w:id="61"/>
      <w:bookmarkEnd w:id="62"/>
      <w:bookmarkEnd w:id="63"/>
      <w:bookmarkEnd w:id="64"/>
    </w:p>
    <w:p w14:paraId="0F58F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562C63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项目名称）的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，以本公司名义处理一切与之有关的事务，其法律后果由我方承担。</w:t>
      </w:r>
    </w:p>
    <w:p w14:paraId="1B201CC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E7A7E4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9944F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CB7AD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8218A6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81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10748C">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tbl>
      <w:tblPr>
        <w:tblStyle w:val="43"/>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7D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BE8828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217791E">
      <w:pPr>
        <w:spacing w:line="360" w:lineRule="auto"/>
        <w:rPr>
          <w:rFonts w:hint="eastAsia" w:ascii="仿宋" w:hAnsi="仿宋" w:eastAsia="仿宋" w:cs="仿宋"/>
          <w:vanish/>
          <w:color w:val="auto"/>
          <w:sz w:val="24"/>
          <w:szCs w:val="24"/>
          <w:highlight w:val="none"/>
          <w:shd w:val="clear" w:color="auto" w:fill="FFFFFF" w:themeFill="background1"/>
        </w:rPr>
      </w:pPr>
    </w:p>
    <w:p w14:paraId="28366B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740841A">
      <w:pPr>
        <w:widowControl/>
        <w:shd w:val="clear" w:color="auto" w:fill="FFFFFF"/>
        <w:snapToGrid w:val="0"/>
        <w:spacing w:line="360" w:lineRule="auto"/>
        <w:jc w:val="left"/>
        <w:rPr>
          <w:rFonts w:hint="eastAsia" w:ascii="仿宋" w:hAnsi="仿宋" w:eastAsia="仿宋" w:cs="仿宋"/>
          <w:b/>
          <w:bCs/>
          <w:color w:val="auto"/>
          <w:kern w:val="0"/>
          <w:sz w:val="24"/>
          <w:szCs w:val="24"/>
          <w:highlight w:val="none"/>
          <w:shd w:val="clear" w:color="auto" w:fill="FFFFFF" w:themeFill="background1"/>
        </w:rPr>
      </w:pPr>
    </w:p>
    <w:p w14:paraId="5DB811E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BA280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93F20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DE0AD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3F7BC1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763D5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58ABC4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75A9D0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5" w:name="_Toc507586173"/>
      <w:r>
        <w:rPr>
          <w:rFonts w:hint="eastAsia" w:ascii="仿宋" w:hAnsi="仿宋" w:eastAsia="仿宋" w:cs="仿宋"/>
          <w:b/>
          <w:color w:val="auto"/>
          <w:sz w:val="24"/>
          <w:szCs w:val="24"/>
          <w:highlight w:val="none"/>
          <w:shd w:val="clear" w:color="auto" w:fill="FFFFFF" w:themeFill="background1"/>
        </w:rPr>
        <w:br w:type="page"/>
      </w:r>
      <w:bookmarkStart w:id="66" w:name="_Toc3624"/>
      <w:bookmarkStart w:id="67" w:name="_Toc533503189"/>
      <w:bookmarkStart w:id="68" w:name="_Toc38446478"/>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供应商资格条件证明材料</w:t>
      </w:r>
      <w:bookmarkEnd w:id="65"/>
      <w:bookmarkEnd w:id="66"/>
      <w:bookmarkEnd w:id="67"/>
      <w:bookmarkEnd w:id="68"/>
    </w:p>
    <w:p w14:paraId="2B4E6D9D">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7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FD67D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508E7D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068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1067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2CBE02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7EF09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421860B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9F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BFE36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D5FFA4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8CEE49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FE384C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E3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ACDA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2A203CA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5DC874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554A2D8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9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DB4F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583D53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3411EC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DF1C63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0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AD7B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17C5CF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EE9CEE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7DCCB1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A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3BC7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1612D67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D35E8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2BCF878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C0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9C0C2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46F2E0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92F649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60A4F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3B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632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51E3B65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BD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49C6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3B255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6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F45FB5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0833449C">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2EE31FDC">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CDC569C">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B9E3FB6">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B740391">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1FC3216B">
      <w:pPr>
        <w:rPr>
          <w:rFonts w:hint="eastAsia" w:ascii="仿宋" w:hAnsi="仿宋" w:eastAsia="仿宋" w:cs="仿宋"/>
          <w:color w:val="auto"/>
          <w:highlight w:val="none"/>
          <w:shd w:val="clear" w:color="auto" w:fill="FFFFFF" w:themeFill="background1"/>
        </w:rPr>
      </w:pPr>
      <w:bookmarkStart w:id="69" w:name="_Toc32366"/>
      <w:bookmarkStart w:id="70" w:name="_Toc107422184"/>
      <w:bookmarkStart w:id="71" w:name="_Toc109143671"/>
      <w:bookmarkStart w:id="72" w:name="_Toc11207"/>
      <w:bookmarkStart w:id="73" w:name="_Toc111556487"/>
    </w:p>
    <w:p w14:paraId="2E4ADFE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4" w:name="_Toc11608"/>
      <w:bookmarkStart w:id="75" w:name="_Toc128476878"/>
      <w:bookmarkStart w:id="76" w:name="_Toc18683"/>
      <w:bookmarkStart w:id="77" w:name="_Toc18532"/>
      <w:bookmarkStart w:id="78" w:name="_Toc9314"/>
      <w:bookmarkStart w:id="79" w:name="_Toc17516"/>
      <w:bookmarkStart w:id="80" w:name="_Toc24572"/>
      <w:bookmarkStart w:id="81" w:name="_Toc22428"/>
      <w:bookmarkStart w:id="82" w:name="_Toc29377"/>
      <w:bookmarkStart w:id="83" w:name="_Toc20057"/>
      <w:bookmarkStart w:id="84" w:name="_Toc15861"/>
      <w:bookmarkStart w:id="85" w:name="_Toc8342"/>
      <w:bookmarkStart w:id="86" w:name="_Toc113901849"/>
      <w:bookmarkStart w:id="87" w:name="_Toc19929"/>
      <w:bookmarkStart w:id="88" w:name="_Toc156750399"/>
      <w:bookmarkStart w:id="89" w:name="_Toc2804"/>
      <w:bookmarkStart w:id="90" w:name="_Toc1895"/>
      <w:bookmarkStart w:id="91" w:name="_Toc6417"/>
      <w:bookmarkStart w:id="92" w:name="_Toc20683"/>
      <w:bookmarkStart w:id="93" w:name="_Toc3068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.1、</w:t>
      </w:r>
      <w:bookmarkEnd w:id="69"/>
      <w:bookmarkEnd w:id="70"/>
      <w:bookmarkEnd w:id="71"/>
      <w:bookmarkEnd w:id="72"/>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E9BE812">
      <w:pPr>
        <w:spacing w:line="360" w:lineRule="auto"/>
        <w:rPr>
          <w:rFonts w:hint="eastAsia" w:ascii="仿宋" w:hAnsi="仿宋" w:eastAsia="仿宋" w:cs="仿宋"/>
          <w:color w:val="auto"/>
          <w:sz w:val="24"/>
          <w:szCs w:val="24"/>
          <w:highlight w:val="none"/>
          <w:shd w:val="clear" w:color="auto" w:fill="FFFFFF" w:themeFill="background1"/>
        </w:rPr>
      </w:pPr>
    </w:p>
    <w:p w14:paraId="19EF005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2226D53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1DC5C9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611FF4D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3469A60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52B99C1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A82D7A">
      <w:pPr>
        <w:spacing w:line="360" w:lineRule="auto"/>
        <w:rPr>
          <w:rFonts w:hint="eastAsia" w:ascii="仿宋" w:hAnsi="仿宋" w:eastAsia="仿宋" w:cs="仿宋"/>
          <w:color w:val="auto"/>
          <w:sz w:val="24"/>
          <w:szCs w:val="24"/>
          <w:highlight w:val="none"/>
          <w:shd w:val="clear" w:color="auto" w:fill="FFFFFF" w:themeFill="background1"/>
        </w:rPr>
      </w:pPr>
    </w:p>
    <w:p w14:paraId="48EBA028">
      <w:pPr>
        <w:spacing w:line="360" w:lineRule="auto"/>
        <w:rPr>
          <w:rFonts w:hint="eastAsia" w:ascii="仿宋" w:hAnsi="仿宋" w:eastAsia="仿宋" w:cs="仿宋"/>
          <w:color w:val="auto"/>
          <w:sz w:val="24"/>
          <w:szCs w:val="24"/>
          <w:highlight w:val="none"/>
          <w:shd w:val="clear" w:color="auto" w:fill="FFFFFF" w:themeFill="background1"/>
        </w:rPr>
      </w:pPr>
    </w:p>
    <w:p w14:paraId="48BE3BA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9992F3">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94" w:name="_Toc9294"/>
      <w:bookmarkStart w:id="95" w:name="_Toc4484"/>
      <w:bookmarkStart w:id="96" w:name="_Toc156750400"/>
      <w:bookmarkStart w:id="97" w:name="_Toc15683"/>
      <w:bookmarkStart w:id="98" w:name="_Toc25980"/>
      <w:bookmarkStart w:id="99" w:name="_Toc13496"/>
      <w:bookmarkStart w:id="100" w:name="_Toc11592"/>
      <w:bookmarkStart w:id="101" w:name="_Toc22474"/>
      <w:bookmarkStart w:id="102" w:name="_Toc113901850"/>
      <w:bookmarkStart w:id="103" w:name="_Toc32279"/>
      <w:bookmarkStart w:id="104" w:name="_Toc128476879"/>
      <w:bookmarkStart w:id="105" w:name="_Toc24966"/>
      <w:bookmarkStart w:id="106" w:name="_Toc10441"/>
      <w:bookmarkStart w:id="107" w:name="_Toc31191"/>
      <w:bookmarkStart w:id="108" w:name="_Toc20271"/>
      <w:bookmarkStart w:id="109" w:name="_Toc18504"/>
      <w:bookmarkStart w:id="110" w:name="_Toc21646"/>
      <w:bookmarkStart w:id="111" w:name="_Toc2389"/>
      <w:bookmarkStart w:id="112" w:name="_Toc18595"/>
      <w:bookmarkStart w:id="113" w:name="_Toc1001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.2、</w:t>
      </w:r>
      <w:bookmarkEnd w:id="73"/>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0CC6935">
      <w:pPr>
        <w:pStyle w:val="2"/>
        <w:spacing w:after="0" w:line="360" w:lineRule="auto"/>
        <w:rPr>
          <w:rFonts w:hint="eastAsia" w:ascii="仿宋" w:hAnsi="仿宋" w:eastAsia="仿宋" w:cs="仿宋"/>
          <w:color w:val="auto"/>
          <w:spacing w:val="10"/>
          <w:szCs w:val="24"/>
          <w:highlight w:val="none"/>
          <w:shd w:val="clear" w:color="auto" w:fill="FFFFFF" w:themeFill="background1"/>
        </w:rPr>
      </w:pPr>
    </w:p>
    <w:p w14:paraId="230E55BA">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69E3D49E">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w:t>
      </w:r>
      <w:r>
        <w:rPr>
          <w:rFonts w:hint="eastAsia" w:ascii="仿宋" w:hAnsi="仿宋" w:eastAsia="仿宋" w:cs="仿宋"/>
          <w:color w:val="auto"/>
          <w:spacing w:val="10"/>
          <w:szCs w:val="24"/>
          <w:highlight w:val="none"/>
          <w:shd w:val="clear" w:color="auto" w:fill="FFFFFF" w:themeFill="background1"/>
          <w:lang w:eastAsia="zh-CN"/>
        </w:rPr>
        <w:t>银行出具的资信证明（响应文件递交截止之日前六个月内任意一个月，不限制采购人主体）</w:t>
      </w:r>
      <w:r>
        <w:rPr>
          <w:rFonts w:hint="eastAsia" w:ascii="仿宋" w:hAnsi="仿宋" w:eastAsia="仿宋" w:cs="仿宋"/>
          <w:color w:val="auto"/>
          <w:spacing w:val="10"/>
          <w:szCs w:val="24"/>
          <w:highlight w:val="none"/>
          <w:shd w:val="clear" w:color="auto" w:fill="FFFFFF" w:themeFill="background1"/>
        </w:rPr>
        <w:t>。</w:t>
      </w:r>
    </w:p>
    <w:p w14:paraId="0B81C351">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kern w:val="0"/>
          <w:szCs w:val="21"/>
          <w:highlight w:val="none"/>
        </w:rPr>
        <w:t>六</w:t>
      </w:r>
      <w:r>
        <w:rPr>
          <w:rFonts w:hint="eastAsia" w:ascii="仿宋" w:hAnsi="仿宋" w:eastAsia="仿宋" w:cs="仿宋"/>
          <w:color w:val="auto"/>
          <w:spacing w:val="10"/>
          <w:szCs w:val="24"/>
          <w:highlight w:val="none"/>
          <w:shd w:val="clear" w:color="auto" w:fill="FFFFFF" w:themeFill="background1"/>
        </w:rPr>
        <w:t>个月（以响应文件递交截止之日为期限）的供应商无需提供。</w:t>
      </w:r>
    </w:p>
    <w:p w14:paraId="5DC6259D">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145BCBE7">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AB1D9AD">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2F06A9A0">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7579B10">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8DE1185">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4C9968B">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595FC5B9">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794E0A6B">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393C13A">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161DFE6">
      <w:pPr>
        <w:pStyle w:val="2"/>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E44C0E6">
      <w:pPr>
        <w:widowControl/>
        <w:jc w:val="left"/>
        <w:rPr>
          <w:rFonts w:hint="eastAsia" w:ascii="仿宋" w:hAnsi="仿宋" w:eastAsia="仿宋" w:cs="仿宋"/>
          <w:b/>
          <w:color w:val="auto"/>
          <w:sz w:val="24"/>
          <w:szCs w:val="24"/>
          <w:highlight w:val="none"/>
          <w:shd w:val="clear" w:color="auto" w:fill="FFFFFF" w:themeFill="background1"/>
        </w:rPr>
      </w:pPr>
      <w:bookmarkStart w:id="114" w:name="_Toc113901851"/>
      <w:bookmarkStart w:id="115" w:name="_Toc128476880"/>
      <w:bookmarkStart w:id="116" w:name="_Toc30348"/>
      <w:bookmarkStart w:id="117" w:name="_Toc111556488"/>
      <w:r>
        <w:rPr>
          <w:rFonts w:hint="eastAsia" w:ascii="仿宋" w:hAnsi="仿宋" w:eastAsia="仿宋" w:cs="仿宋"/>
          <w:b/>
          <w:color w:val="auto"/>
          <w:sz w:val="24"/>
          <w:szCs w:val="24"/>
          <w:highlight w:val="none"/>
          <w:shd w:val="clear" w:color="auto" w:fill="FFFFFF" w:themeFill="background1"/>
        </w:rPr>
        <w:br w:type="page"/>
      </w:r>
    </w:p>
    <w:p w14:paraId="5A8C16C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8" w:name="_Toc25022"/>
      <w:bookmarkStart w:id="119" w:name="_Toc25066"/>
      <w:bookmarkStart w:id="120" w:name="_Toc15227"/>
      <w:bookmarkStart w:id="121" w:name="_Toc26412"/>
      <w:bookmarkStart w:id="122" w:name="_Toc26275"/>
      <w:bookmarkStart w:id="123" w:name="_Toc19026"/>
      <w:bookmarkStart w:id="124" w:name="_Toc31257"/>
      <w:bookmarkStart w:id="125" w:name="_Toc10802"/>
      <w:bookmarkStart w:id="126" w:name="_Toc19442"/>
      <w:bookmarkStart w:id="127" w:name="_Toc12437"/>
      <w:bookmarkStart w:id="128" w:name="_Toc14318"/>
      <w:bookmarkStart w:id="129" w:name="_Toc30026"/>
      <w:bookmarkStart w:id="130" w:name="_Toc156750401"/>
      <w:bookmarkStart w:id="131" w:name="_Toc11771"/>
      <w:bookmarkStart w:id="132" w:name="_Toc9702"/>
      <w:bookmarkStart w:id="133" w:name="_Toc6914"/>
      <w:bookmarkStart w:id="134" w:name="_Toc10694"/>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114"/>
      <w:bookmarkEnd w:id="115"/>
      <w:bookmarkEnd w:id="11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20B5F29">
      <w:pPr>
        <w:spacing w:line="360" w:lineRule="auto"/>
        <w:rPr>
          <w:rFonts w:hint="eastAsia" w:ascii="仿宋" w:hAnsi="仿宋" w:eastAsia="仿宋" w:cs="仿宋"/>
          <w:color w:val="auto"/>
          <w:sz w:val="24"/>
          <w:szCs w:val="24"/>
          <w:highlight w:val="none"/>
          <w:shd w:val="clear" w:color="auto" w:fill="FFFFFF" w:themeFill="background1"/>
        </w:rPr>
      </w:pPr>
    </w:p>
    <w:p w14:paraId="17E15A21">
      <w:pPr>
        <w:spacing w:line="360" w:lineRule="auto"/>
        <w:rPr>
          <w:rFonts w:hint="eastAsia" w:ascii="仿宋" w:hAnsi="仿宋" w:eastAsia="仿宋" w:cs="仿宋"/>
          <w:color w:val="auto"/>
          <w:sz w:val="24"/>
          <w:szCs w:val="24"/>
          <w:highlight w:val="none"/>
          <w:shd w:val="clear" w:color="auto" w:fill="FFFFFF" w:themeFill="background1"/>
        </w:rPr>
      </w:pPr>
    </w:p>
    <w:p w14:paraId="2302CC0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17"/>
      <w:r>
        <w:rPr>
          <w:rFonts w:hint="eastAsia" w:ascii="仿宋" w:hAnsi="仿宋" w:eastAsia="仿宋" w:cs="仿宋"/>
          <w:b/>
          <w:color w:val="auto"/>
          <w:sz w:val="24"/>
          <w:szCs w:val="24"/>
          <w:highlight w:val="none"/>
          <w:shd w:val="clear" w:color="auto" w:fill="FFFFFF" w:themeFill="background1"/>
        </w:rPr>
        <w:t>函</w:t>
      </w:r>
    </w:p>
    <w:p w14:paraId="7B76D96A">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5099C83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9336BB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23B94D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6E5BC8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609653C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3702713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DA1E66E">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5AA773D">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F2A4C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0F63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2D4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45819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9B293E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705479A">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F1319F6">
      <w:pPr>
        <w:spacing w:line="360" w:lineRule="auto"/>
        <w:rPr>
          <w:rFonts w:hint="eastAsia" w:ascii="仿宋" w:hAnsi="仿宋" w:eastAsia="仿宋" w:cs="仿宋"/>
          <w:color w:val="auto"/>
          <w:sz w:val="24"/>
          <w:szCs w:val="24"/>
          <w:highlight w:val="none"/>
          <w:shd w:val="clear" w:color="auto" w:fill="FFFFFF" w:themeFill="background1"/>
        </w:rPr>
      </w:pPr>
    </w:p>
    <w:p w14:paraId="317B0A14">
      <w:pPr>
        <w:spacing w:line="360" w:lineRule="auto"/>
        <w:rPr>
          <w:rFonts w:hint="eastAsia" w:ascii="仿宋" w:hAnsi="仿宋" w:eastAsia="仿宋" w:cs="仿宋"/>
          <w:color w:val="auto"/>
          <w:sz w:val="24"/>
          <w:szCs w:val="24"/>
          <w:highlight w:val="none"/>
          <w:shd w:val="clear" w:color="auto" w:fill="FFFFFF" w:themeFill="background1"/>
        </w:rPr>
      </w:pPr>
    </w:p>
    <w:p w14:paraId="45BED777">
      <w:pPr>
        <w:spacing w:line="360" w:lineRule="auto"/>
        <w:rPr>
          <w:rFonts w:hint="eastAsia" w:ascii="仿宋" w:hAnsi="仿宋" w:eastAsia="仿宋" w:cs="仿宋"/>
          <w:color w:val="auto"/>
          <w:sz w:val="24"/>
          <w:szCs w:val="24"/>
          <w:highlight w:val="none"/>
          <w:shd w:val="clear" w:color="auto" w:fill="FFFFFF" w:themeFill="background1"/>
        </w:rPr>
      </w:pPr>
    </w:p>
    <w:p w14:paraId="09059CD9">
      <w:pPr>
        <w:spacing w:line="360" w:lineRule="auto"/>
        <w:rPr>
          <w:rFonts w:hint="eastAsia" w:ascii="仿宋" w:hAnsi="仿宋" w:eastAsia="仿宋" w:cs="仿宋"/>
          <w:color w:val="auto"/>
          <w:sz w:val="24"/>
          <w:szCs w:val="24"/>
          <w:highlight w:val="none"/>
          <w:shd w:val="clear" w:color="auto" w:fill="FFFFFF" w:themeFill="background1"/>
        </w:rPr>
      </w:pPr>
    </w:p>
    <w:p w14:paraId="78A165AA">
      <w:pPr>
        <w:spacing w:line="360" w:lineRule="auto"/>
        <w:rPr>
          <w:rFonts w:hint="eastAsia" w:ascii="仿宋" w:hAnsi="仿宋" w:eastAsia="仿宋" w:cs="仿宋"/>
          <w:color w:val="auto"/>
          <w:sz w:val="24"/>
          <w:szCs w:val="24"/>
          <w:highlight w:val="none"/>
          <w:shd w:val="clear" w:color="auto" w:fill="FFFFFF" w:themeFill="background1"/>
        </w:rPr>
      </w:pPr>
    </w:p>
    <w:p w14:paraId="189A1248">
      <w:pPr>
        <w:spacing w:line="360" w:lineRule="auto"/>
        <w:rPr>
          <w:rFonts w:hint="eastAsia" w:ascii="仿宋" w:hAnsi="仿宋" w:eastAsia="仿宋" w:cs="仿宋"/>
          <w:color w:val="auto"/>
          <w:sz w:val="24"/>
          <w:szCs w:val="24"/>
          <w:highlight w:val="none"/>
          <w:shd w:val="clear" w:color="auto" w:fill="FFFFFF" w:themeFill="background1"/>
        </w:rPr>
      </w:pPr>
    </w:p>
    <w:p w14:paraId="307DD524">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7D72BDFA">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5" w:name="_Toc128476881"/>
      <w:bookmarkStart w:id="136" w:name="_Toc30447"/>
      <w:bookmarkStart w:id="137" w:name="_Toc24077"/>
      <w:bookmarkStart w:id="138" w:name="_Toc5703"/>
      <w:bookmarkStart w:id="139" w:name="_Toc16084"/>
      <w:bookmarkStart w:id="140" w:name="_Toc113901852"/>
      <w:bookmarkStart w:id="141" w:name="_Toc23067"/>
      <w:bookmarkStart w:id="142" w:name="_Toc29214"/>
      <w:bookmarkStart w:id="143" w:name="_Toc9191"/>
      <w:bookmarkStart w:id="144" w:name="_Toc2931"/>
      <w:bookmarkStart w:id="145" w:name="_Toc156750402"/>
      <w:bookmarkStart w:id="146" w:name="_Toc2437"/>
      <w:bookmarkStart w:id="147" w:name="_Toc8030"/>
      <w:bookmarkStart w:id="148" w:name="_Toc18306"/>
      <w:bookmarkStart w:id="149" w:name="_Toc16519"/>
      <w:bookmarkStart w:id="150" w:name="_Toc18842"/>
      <w:bookmarkStart w:id="151" w:name="_Toc25190"/>
      <w:bookmarkStart w:id="152" w:name="_Toc24173"/>
      <w:bookmarkStart w:id="153" w:name="_Toc27352"/>
      <w:bookmarkStart w:id="154" w:name="_Toc16168"/>
      <w:bookmarkStart w:id="155" w:name="_Toc11155649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bookmarkEnd w:id="155"/>
    <w:p w14:paraId="13E7692B">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A80F3C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1F8F1F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389163A">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43718B14">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sz w:val="24"/>
          <w:szCs w:val="24"/>
          <w:highlight w:val="none"/>
          <w:shd w:val="clear" w:color="auto" w:fill="FFFFFF" w:themeFill="background1"/>
        </w:rPr>
        <w:t>，并承担因此引起的一切后果。我方对此声明负全部法律责任。</w:t>
      </w:r>
    </w:p>
    <w:p w14:paraId="16E1F87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19D7AA01">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5C8B34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414758">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w:t>
      </w:r>
    </w:p>
    <w:p w14:paraId="78E59336">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3C9A8A85">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5CC600E3">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65DFE9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C04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4043847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4971FA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CAB78E2">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D45087E">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9D1EB40">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56" w:name="_Toc3248"/>
      <w:bookmarkStart w:id="157" w:name="_Toc21901"/>
      <w:bookmarkStart w:id="158" w:name="_Toc22191"/>
      <w:bookmarkStart w:id="159" w:name="_Toc1758"/>
      <w:bookmarkStart w:id="160" w:name="_Toc156750403"/>
      <w:bookmarkStart w:id="161" w:name="_Toc113901853"/>
      <w:bookmarkStart w:id="162" w:name="_Toc6166"/>
      <w:bookmarkStart w:id="163" w:name="_Toc27822"/>
      <w:bookmarkStart w:id="164" w:name="_Toc16785"/>
      <w:bookmarkStart w:id="165" w:name="_Toc16470"/>
      <w:bookmarkStart w:id="166" w:name="_Toc10130"/>
      <w:bookmarkStart w:id="167" w:name="_Toc15699"/>
      <w:bookmarkStart w:id="168" w:name="_Toc31476"/>
      <w:bookmarkStart w:id="169" w:name="_Toc4228"/>
      <w:bookmarkStart w:id="170" w:name="_Toc22511"/>
      <w:bookmarkStart w:id="171" w:name="_Toc128476882"/>
      <w:bookmarkStart w:id="172" w:name="_Toc5886"/>
      <w:bookmarkStart w:id="173" w:name="_Toc8918"/>
      <w:bookmarkStart w:id="174" w:name="_Toc25682"/>
      <w:bookmarkStart w:id="175" w:name="_Toc23458"/>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B79E490">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AE2489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1、国家有关主管部门的行政许可（如有时）。</w:t>
      </w:r>
    </w:p>
    <w:p w14:paraId="5E37EAC3">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rPr>
        <w:t>2、中小企业声明函/残疾人福利性单位声明函/监狱企业证明文件（如有时）。</w:t>
      </w:r>
      <w:r>
        <w:rPr>
          <w:rFonts w:hint="eastAsia" w:ascii="仿宋" w:hAnsi="仿宋" w:eastAsia="仿宋" w:cs="仿宋"/>
          <w:color w:val="auto"/>
          <w:sz w:val="24"/>
          <w:szCs w:val="24"/>
          <w:highlight w:val="none"/>
        </w:rPr>
        <w:br w:type="page"/>
      </w:r>
    </w:p>
    <w:p w14:paraId="51216385">
      <w:pPr>
        <w:pStyle w:val="37"/>
        <w:spacing w:before="0" w:beforeAutospacing="0" w:after="0" w:afterAutospacing="0" w:line="360" w:lineRule="auto"/>
        <w:rPr>
          <w:rStyle w:val="46"/>
          <w:rFonts w:hint="eastAsia" w:ascii="仿宋" w:hAnsi="仿宋" w:eastAsia="仿宋" w:cs="仿宋"/>
          <w:color w:val="auto"/>
          <w:highlight w:val="none"/>
          <w:shd w:val="clear" w:color="auto" w:fill="FFFFFF" w:themeFill="background1"/>
        </w:rPr>
      </w:pPr>
      <w:r>
        <w:rPr>
          <w:rStyle w:val="46"/>
          <w:rFonts w:hint="eastAsia" w:ascii="仿宋" w:hAnsi="仿宋" w:eastAsia="仿宋" w:cs="仿宋"/>
          <w:color w:val="auto"/>
          <w:highlight w:val="none"/>
          <w:shd w:val="clear" w:color="auto" w:fill="FFFFFF" w:themeFill="background1"/>
        </w:rPr>
        <w:t xml:space="preserve">附表一、                  </w:t>
      </w:r>
    </w:p>
    <w:p w14:paraId="67B0BCD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6A7478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C7C534">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09CEDF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 xml:space="preserve">  （联合体）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 xml:space="preserve">   （单位名称）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 xml:space="preserve">   （项目名称）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FAA2E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25B5AAB">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5BC08F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46E624A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3C5E39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6D758188">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p>
    <w:p w14:paraId="43C34824">
      <w:pPr>
        <w:spacing w:line="360" w:lineRule="auto"/>
        <w:ind w:firstLine="480" w:firstLineChars="20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企业名称（盖章）：</w:t>
      </w:r>
    </w:p>
    <w:p w14:paraId="109233E8">
      <w:pPr>
        <w:spacing w:line="360" w:lineRule="auto"/>
        <w:ind w:right="480" w:firstLine="480" w:firstLineChars="200"/>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w:t>
      </w:r>
    </w:p>
    <w:p w14:paraId="4D53F36A">
      <w:pPr>
        <w:spacing w:line="360" w:lineRule="auto"/>
        <w:rPr>
          <w:rFonts w:hint="eastAsia" w:ascii="仿宋" w:hAnsi="仿宋" w:eastAsia="仿宋" w:cs="仿宋"/>
          <w:color w:val="auto"/>
          <w:kern w:val="0"/>
          <w:sz w:val="24"/>
          <w:szCs w:val="24"/>
          <w:highlight w:val="none"/>
          <w:shd w:val="clear" w:color="auto" w:fill="FFFFFF" w:themeFill="background1"/>
        </w:rPr>
      </w:pPr>
    </w:p>
    <w:p w14:paraId="188F74CF">
      <w:pPr>
        <w:spacing w:line="360" w:lineRule="auto"/>
        <w:rPr>
          <w:rStyle w:val="46"/>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7FC77F9B">
      <w:pPr>
        <w:pStyle w:val="2"/>
        <w:spacing w:after="0"/>
        <w:ind w:firstLine="480" w:firstLineChars="200"/>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p>
    <w:p w14:paraId="344A281D">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附表二、</w:t>
      </w:r>
    </w:p>
    <w:p w14:paraId="185417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621CCFCA">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444BB2C2">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0159A5EB">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399A51D9">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5A2426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B8E1CAC">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66DCA1EB">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175A8D2D">
      <w:pPr>
        <w:spacing w:line="360" w:lineRule="auto"/>
        <w:rPr>
          <w:rFonts w:hint="eastAsia" w:ascii="仿宋" w:hAnsi="仿宋" w:eastAsia="仿宋" w:cs="仿宋"/>
          <w:color w:val="auto"/>
          <w:sz w:val="24"/>
          <w:szCs w:val="24"/>
          <w:highlight w:val="none"/>
          <w:shd w:val="clear" w:color="auto" w:fill="FFFFFF" w:themeFill="background1"/>
        </w:rPr>
      </w:pPr>
    </w:p>
    <w:p w14:paraId="4A8BD7CA">
      <w:pPr>
        <w:spacing w:line="360" w:lineRule="auto"/>
        <w:rPr>
          <w:rFonts w:hint="eastAsia" w:ascii="仿宋" w:hAnsi="仿宋" w:eastAsia="仿宋" w:cs="仿宋"/>
          <w:color w:val="auto"/>
          <w:sz w:val="24"/>
          <w:szCs w:val="24"/>
          <w:highlight w:val="none"/>
          <w:shd w:val="clear" w:color="auto" w:fill="FFFFFF" w:themeFill="background1"/>
        </w:rPr>
      </w:pPr>
    </w:p>
    <w:p w14:paraId="118C2B6D">
      <w:pPr>
        <w:spacing w:line="360" w:lineRule="auto"/>
        <w:rPr>
          <w:rFonts w:hint="eastAsia" w:ascii="仿宋" w:hAnsi="仿宋" w:eastAsia="仿宋" w:cs="仿宋"/>
          <w:color w:val="auto"/>
          <w:sz w:val="24"/>
          <w:szCs w:val="24"/>
          <w:highlight w:val="none"/>
          <w:shd w:val="clear" w:color="auto" w:fill="FFFFFF" w:themeFill="background1"/>
        </w:rPr>
      </w:pPr>
    </w:p>
    <w:p w14:paraId="4053A49F">
      <w:pPr>
        <w:widowControl/>
        <w:spacing w:line="360" w:lineRule="auto"/>
        <w:jc w:val="left"/>
        <w:rPr>
          <w:rStyle w:val="46"/>
          <w:rFonts w:hint="eastAsia" w:ascii="仿宋" w:hAnsi="仿宋" w:eastAsia="仿宋" w:cs="仿宋"/>
          <w:b w:val="0"/>
          <w:color w:val="auto"/>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附表三、</w:t>
      </w:r>
    </w:p>
    <w:p w14:paraId="2AB43E7F">
      <w:pPr>
        <w:spacing w:line="360" w:lineRule="auto"/>
        <w:jc w:val="center"/>
        <w:rPr>
          <w:rStyle w:val="46"/>
          <w:rFonts w:hint="eastAsia" w:ascii="仿宋" w:hAnsi="仿宋" w:eastAsia="仿宋" w:cs="仿宋"/>
          <w:b w:val="0"/>
          <w:color w:val="auto"/>
          <w:kern w:val="0"/>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监狱企业证明文件</w:t>
      </w:r>
    </w:p>
    <w:p w14:paraId="2EDBF17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6454E1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438C638">
      <w:pPr>
        <w:rPr>
          <w:rFonts w:hint="eastAsia" w:ascii="仿宋" w:hAnsi="仿宋" w:eastAsia="仿宋" w:cs="仿宋"/>
          <w:b/>
          <w:color w:val="auto"/>
          <w:sz w:val="24"/>
          <w:szCs w:val="24"/>
          <w:highlight w:val="none"/>
          <w:shd w:val="clear" w:color="auto" w:fill="FFFFFF" w:themeFill="background1"/>
        </w:rPr>
      </w:pPr>
    </w:p>
    <w:p w14:paraId="1B6F49D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4FF9F8B6">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8E84925">
      <w:pPr>
        <w:rPr>
          <w:rFonts w:hint="eastAsia" w:ascii="仿宋" w:hAnsi="仿宋" w:eastAsia="仿宋" w:cs="仿宋"/>
          <w:b/>
          <w:color w:val="auto"/>
          <w:sz w:val="24"/>
          <w:szCs w:val="24"/>
          <w:highlight w:val="none"/>
          <w:shd w:val="clear" w:color="auto" w:fill="FFFFFF" w:themeFill="background1"/>
        </w:rPr>
      </w:pPr>
      <w:bookmarkStart w:id="176" w:name="_Toc507586174"/>
      <w:bookmarkStart w:id="177" w:name="_Toc533503190"/>
      <w:bookmarkStart w:id="178" w:name="_Toc38446479"/>
      <w:r>
        <w:rPr>
          <w:rFonts w:hint="eastAsia" w:ascii="仿宋" w:hAnsi="仿宋" w:eastAsia="仿宋" w:cs="仿宋"/>
          <w:b/>
          <w:color w:val="auto"/>
          <w:sz w:val="24"/>
          <w:szCs w:val="24"/>
          <w:highlight w:val="none"/>
          <w:shd w:val="clear" w:color="auto" w:fill="FFFFFF" w:themeFill="background1"/>
        </w:rPr>
        <w:br w:type="page"/>
      </w:r>
    </w:p>
    <w:p w14:paraId="0A94C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79" w:name="_Toc5131"/>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供应商近年类似项目业绩表</w:t>
      </w:r>
      <w:bookmarkEnd w:id="176"/>
      <w:bookmarkEnd w:id="177"/>
      <w:bookmarkEnd w:id="178"/>
      <w:bookmarkEnd w:id="179"/>
    </w:p>
    <w:p w14:paraId="3B143F0C">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020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E0E94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CC8987C">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D4279">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80426B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4F3795F4">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FAA5BA3">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A39BC7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807B26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0E007F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00A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F3D688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9096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2761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085B0C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2B8233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3D5DB2">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CDD28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8960C06">
            <w:pPr>
              <w:jc w:val="center"/>
              <w:rPr>
                <w:rFonts w:hint="eastAsia" w:ascii="仿宋" w:hAnsi="仿宋" w:eastAsia="仿宋" w:cs="仿宋"/>
                <w:color w:val="auto"/>
                <w:kern w:val="0"/>
                <w:sz w:val="24"/>
                <w:szCs w:val="24"/>
                <w:highlight w:val="none"/>
                <w:shd w:val="clear" w:color="auto" w:fill="FFFFFF" w:themeFill="background1"/>
              </w:rPr>
            </w:pPr>
          </w:p>
        </w:tc>
      </w:tr>
      <w:tr w14:paraId="5E7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0A8720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CD670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8A92A">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E2B8A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CD90D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97E64">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66D5">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32F20E">
            <w:pPr>
              <w:jc w:val="center"/>
              <w:rPr>
                <w:rFonts w:hint="eastAsia" w:ascii="仿宋" w:hAnsi="仿宋" w:eastAsia="仿宋" w:cs="仿宋"/>
                <w:color w:val="auto"/>
                <w:kern w:val="0"/>
                <w:sz w:val="24"/>
                <w:szCs w:val="24"/>
                <w:highlight w:val="none"/>
                <w:shd w:val="clear" w:color="auto" w:fill="FFFFFF" w:themeFill="background1"/>
              </w:rPr>
            </w:pPr>
          </w:p>
        </w:tc>
      </w:tr>
      <w:tr w14:paraId="6C63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B02D30">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046382">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1418BF">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DD4E7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0B3BF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42EF3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22B20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F1DDE4">
            <w:pPr>
              <w:jc w:val="center"/>
              <w:rPr>
                <w:rFonts w:hint="eastAsia" w:ascii="仿宋" w:hAnsi="仿宋" w:eastAsia="仿宋" w:cs="仿宋"/>
                <w:color w:val="auto"/>
                <w:kern w:val="0"/>
                <w:sz w:val="24"/>
                <w:szCs w:val="24"/>
                <w:highlight w:val="none"/>
                <w:shd w:val="clear" w:color="auto" w:fill="FFFFFF" w:themeFill="background1"/>
              </w:rPr>
            </w:pPr>
          </w:p>
        </w:tc>
      </w:tr>
      <w:tr w14:paraId="1E41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C53402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B0E04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F554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33F4F8">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14B2C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C432E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57245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97A4A">
            <w:pPr>
              <w:jc w:val="center"/>
              <w:rPr>
                <w:rFonts w:hint="eastAsia" w:ascii="仿宋" w:hAnsi="仿宋" w:eastAsia="仿宋" w:cs="仿宋"/>
                <w:color w:val="auto"/>
                <w:kern w:val="0"/>
                <w:sz w:val="24"/>
                <w:szCs w:val="24"/>
                <w:highlight w:val="none"/>
                <w:shd w:val="clear" w:color="auto" w:fill="FFFFFF" w:themeFill="background1"/>
              </w:rPr>
            </w:pPr>
          </w:p>
        </w:tc>
      </w:tr>
      <w:tr w14:paraId="3942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8EA7E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20085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1BF34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2293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8AD17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1F983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B7E96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C1F95B">
            <w:pPr>
              <w:jc w:val="center"/>
              <w:rPr>
                <w:rFonts w:hint="eastAsia" w:ascii="仿宋" w:hAnsi="仿宋" w:eastAsia="仿宋" w:cs="仿宋"/>
                <w:color w:val="auto"/>
                <w:kern w:val="0"/>
                <w:sz w:val="24"/>
                <w:szCs w:val="24"/>
                <w:highlight w:val="none"/>
                <w:shd w:val="clear" w:color="auto" w:fill="FFFFFF" w:themeFill="background1"/>
              </w:rPr>
            </w:pPr>
          </w:p>
        </w:tc>
      </w:tr>
    </w:tbl>
    <w:p w14:paraId="0340220D">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49093C1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2B92E538">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36640A7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0" w:name="_Toc38446480"/>
      <w:bookmarkStart w:id="181" w:name="_Toc31395"/>
      <w:bookmarkStart w:id="182" w:name="_Toc533503191"/>
      <w:bookmarkStart w:id="183" w:name="_Toc507586175"/>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项目负责人</w:t>
      </w:r>
      <w:r>
        <w:rPr>
          <w:rFonts w:hint="eastAsia" w:ascii="仿宋" w:hAnsi="仿宋" w:eastAsia="仿宋" w:cs="仿宋"/>
          <w:b/>
          <w:bCs/>
          <w:color w:val="auto"/>
          <w:sz w:val="24"/>
          <w:szCs w:val="24"/>
          <w:highlight w:val="none"/>
          <w:shd w:val="clear" w:color="auto" w:fill="FFFFFF" w:themeFill="background1"/>
        </w:rPr>
        <w:t>简历表</w:t>
      </w:r>
      <w:bookmarkEnd w:id="180"/>
      <w:bookmarkEnd w:id="181"/>
      <w:bookmarkEnd w:id="182"/>
      <w:bookmarkEnd w:id="183"/>
    </w:p>
    <w:p w14:paraId="5ED9ACC1">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F4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9A56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3AEC9B4">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6BF29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0514D785">
            <w:pPr>
              <w:spacing w:line="360" w:lineRule="auto"/>
              <w:jc w:val="center"/>
              <w:rPr>
                <w:rFonts w:hint="eastAsia" w:ascii="仿宋" w:hAnsi="仿宋" w:eastAsia="仿宋" w:cs="仿宋"/>
                <w:color w:val="auto"/>
                <w:szCs w:val="21"/>
                <w:highlight w:val="none"/>
                <w:shd w:val="clear" w:color="auto" w:fill="FFFFFF" w:themeFill="background1"/>
              </w:rPr>
            </w:pPr>
          </w:p>
        </w:tc>
      </w:tr>
      <w:tr w14:paraId="15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C4B22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541D95D">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1B318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76643739">
            <w:pPr>
              <w:spacing w:line="360" w:lineRule="auto"/>
              <w:jc w:val="center"/>
              <w:rPr>
                <w:rFonts w:hint="eastAsia" w:ascii="仿宋" w:hAnsi="仿宋" w:eastAsia="仿宋" w:cs="仿宋"/>
                <w:color w:val="auto"/>
                <w:szCs w:val="21"/>
                <w:highlight w:val="none"/>
                <w:shd w:val="clear" w:color="auto" w:fill="FFFFFF" w:themeFill="background1"/>
              </w:rPr>
            </w:pPr>
          </w:p>
        </w:tc>
      </w:tr>
      <w:tr w14:paraId="423E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D6F0A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0C8EB69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B64415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0BB476D">
            <w:pPr>
              <w:spacing w:line="360" w:lineRule="auto"/>
              <w:jc w:val="center"/>
              <w:rPr>
                <w:rFonts w:hint="eastAsia" w:ascii="仿宋" w:hAnsi="仿宋" w:eastAsia="仿宋" w:cs="仿宋"/>
                <w:color w:val="auto"/>
                <w:szCs w:val="21"/>
                <w:highlight w:val="none"/>
                <w:shd w:val="clear" w:color="auto" w:fill="FFFFFF" w:themeFill="background1"/>
              </w:rPr>
            </w:pPr>
          </w:p>
        </w:tc>
      </w:tr>
      <w:tr w14:paraId="63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2C604E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6B12526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8E758B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从事相关工作年限</w:t>
            </w:r>
          </w:p>
        </w:tc>
        <w:tc>
          <w:tcPr>
            <w:tcW w:w="2639" w:type="dxa"/>
            <w:gridSpan w:val="2"/>
            <w:vAlign w:val="center"/>
          </w:tcPr>
          <w:p w14:paraId="27CE47E3">
            <w:pPr>
              <w:spacing w:line="360" w:lineRule="auto"/>
              <w:jc w:val="center"/>
              <w:rPr>
                <w:rFonts w:hint="eastAsia" w:ascii="仿宋" w:hAnsi="仿宋" w:eastAsia="仿宋" w:cs="仿宋"/>
                <w:color w:val="auto"/>
                <w:szCs w:val="21"/>
                <w:highlight w:val="none"/>
                <w:shd w:val="clear" w:color="auto" w:fill="FFFFFF" w:themeFill="background1"/>
              </w:rPr>
            </w:pPr>
          </w:p>
        </w:tc>
      </w:tr>
      <w:tr w14:paraId="1CD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87208D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7A94A04B">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816565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DD8D28">
            <w:pPr>
              <w:spacing w:line="360" w:lineRule="auto"/>
              <w:jc w:val="center"/>
              <w:rPr>
                <w:rFonts w:hint="eastAsia" w:ascii="仿宋" w:hAnsi="仿宋" w:eastAsia="仿宋" w:cs="仿宋"/>
                <w:color w:val="auto"/>
                <w:szCs w:val="21"/>
                <w:highlight w:val="none"/>
                <w:shd w:val="clear" w:color="auto" w:fill="FFFFFF" w:themeFill="background1"/>
              </w:rPr>
            </w:pPr>
          </w:p>
        </w:tc>
      </w:tr>
      <w:tr w14:paraId="460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D489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0E0473F5">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007C8C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235B4271">
            <w:pPr>
              <w:spacing w:line="360" w:lineRule="auto"/>
              <w:jc w:val="center"/>
              <w:rPr>
                <w:rFonts w:hint="eastAsia" w:ascii="仿宋" w:hAnsi="仿宋" w:eastAsia="仿宋" w:cs="仿宋"/>
                <w:color w:val="auto"/>
                <w:szCs w:val="21"/>
                <w:highlight w:val="none"/>
                <w:shd w:val="clear" w:color="auto" w:fill="FFFFFF" w:themeFill="background1"/>
              </w:rPr>
            </w:pPr>
          </w:p>
        </w:tc>
      </w:tr>
      <w:tr w14:paraId="48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BD2322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144B05D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3617510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6DC984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6A8DC84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B07C28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08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B211774">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2AC098E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CB193D9">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4B942B89">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10134AE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2DE8A1D">
            <w:pPr>
              <w:spacing w:line="360" w:lineRule="auto"/>
              <w:jc w:val="center"/>
              <w:rPr>
                <w:rFonts w:hint="eastAsia" w:ascii="仿宋" w:hAnsi="仿宋" w:eastAsia="仿宋" w:cs="仿宋"/>
                <w:color w:val="auto"/>
                <w:szCs w:val="21"/>
                <w:highlight w:val="none"/>
                <w:shd w:val="clear" w:color="auto" w:fill="FFFFFF" w:themeFill="background1"/>
              </w:rPr>
            </w:pPr>
          </w:p>
        </w:tc>
      </w:tr>
      <w:tr w14:paraId="26C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7AA0A">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505EDD78">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339585B">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59D3404E">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27D4681">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35FCFE31">
            <w:pPr>
              <w:spacing w:line="360" w:lineRule="auto"/>
              <w:jc w:val="center"/>
              <w:rPr>
                <w:rFonts w:hint="eastAsia" w:ascii="仿宋" w:hAnsi="仿宋" w:eastAsia="仿宋" w:cs="仿宋"/>
                <w:color w:val="auto"/>
                <w:szCs w:val="21"/>
                <w:highlight w:val="none"/>
                <w:shd w:val="clear" w:color="auto" w:fill="FFFFFF" w:themeFill="background1"/>
              </w:rPr>
            </w:pPr>
          </w:p>
        </w:tc>
      </w:tr>
      <w:tr w14:paraId="171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00D42C">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74DAB23A">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D9515ED">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AF974B5">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7A2EEE4">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7AB52F63">
            <w:pPr>
              <w:spacing w:line="360" w:lineRule="auto"/>
              <w:jc w:val="center"/>
              <w:rPr>
                <w:rFonts w:hint="eastAsia" w:ascii="仿宋" w:hAnsi="仿宋" w:eastAsia="仿宋" w:cs="仿宋"/>
                <w:color w:val="auto"/>
                <w:szCs w:val="21"/>
                <w:highlight w:val="none"/>
                <w:shd w:val="clear" w:color="auto" w:fill="FFFFFF" w:themeFill="background1"/>
              </w:rPr>
            </w:pPr>
          </w:p>
        </w:tc>
      </w:tr>
      <w:tr w14:paraId="447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114BA2B">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4ABF2AA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9C67E9E">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06065733">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6E14E9C7">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CC6C006">
            <w:pPr>
              <w:spacing w:line="360" w:lineRule="auto"/>
              <w:jc w:val="center"/>
              <w:rPr>
                <w:rFonts w:hint="eastAsia" w:ascii="仿宋" w:hAnsi="仿宋" w:eastAsia="仿宋" w:cs="仿宋"/>
                <w:color w:val="auto"/>
                <w:szCs w:val="21"/>
                <w:highlight w:val="none"/>
                <w:shd w:val="clear" w:color="auto" w:fill="FFFFFF" w:themeFill="background1"/>
              </w:rPr>
            </w:pPr>
          </w:p>
        </w:tc>
      </w:tr>
      <w:tr w14:paraId="635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F5997EF">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00C78B2B">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1E3D1BA">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1540F324">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624513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2F7F6ADB">
            <w:pPr>
              <w:spacing w:line="360" w:lineRule="auto"/>
              <w:jc w:val="center"/>
              <w:rPr>
                <w:rFonts w:hint="eastAsia" w:ascii="仿宋" w:hAnsi="仿宋" w:eastAsia="仿宋" w:cs="仿宋"/>
                <w:color w:val="auto"/>
                <w:szCs w:val="21"/>
                <w:highlight w:val="none"/>
                <w:shd w:val="clear" w:color="auto" w:fill="FFFFFF" w:themeFill="background1"/>
              </w:rPr>
            </w:pPr>
          </w:p>
        </w:tc>
      </w:tr>
    </w:tbl>
    <w:p w14:paraId="072A4860">
      <w:pPr>
        <w:spacing w:line="360" w:lineRule="auto"/>
        <w:ind w:firstLine="420" w:firstLineChars="200"/>
        <w:rPr>
          <w:rFonts w:hint="eastAsia" w:ascii="仿宋" w:hAnsi="仿宋" w:eastAsia="仿宋" w:cs="仿宋"/>
          <w:color w:val="auto"/>
          <w:sz w:val="22"/>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注：附身份证等其它相关材料扫描件</w:t>
      </w:r>
      <w:r>
        <w:rPr>
          <w:rFonts w:hint="eastAsia" w:ascii="仿宋" w:hAnsi="仿宋" w:eastAsia="仿宋" w:cs="仿宋"/>
          <w:color w:val="auto"/>
          <w:sz w:val="22"/>
          <w:highlight w:val="none"/>
          <w:shd w:val="clear" w:color="auto" w:fill="FFFFFF" w:themeFill="background1"/>
        </w:rPr>
        <w:t>。</w:t>
      </w:r>
    </w:p>
    <w:p w14:paraId="23FAB982">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4" w:name="_Toc507586176"/>
      <w:r>
        <w:rPr>
          <w:rFonts w:hint="eastAsia" w:ascii="仿宋" w:hAnsi="仿宋" w:eastAsia="仿宋" w:cs="仿宋"/>
          <w:b/>
          <w:bCs/>
          <w:color w:val="auto"/>
          <w:sz w:val="24"/>
          <w:szCs w:val="24"/>
          <w:highlight w:val="none"/>
          <w:shd w:val="clear" w:color="auto" w:fill="FFFFFF" w:themeFill="background1"/>
        </w:rPr>
        <w:br w:type="page"/>
      </w:r>
      <w:bookmarkStart w:id="185" w:name="_Toc144993319"/>
      <w:bookmarkStart w:id="186" w:name="_Toc767"/>
      <w:bookmarkStart w:id="187" w:name="_Toc533503192"/>
      <w:bookmarkStart w:id="188" w:name="_Toc38446481"/>
      <w:r>
        <w:rPr>
          <w:rFonts w:hint="eastAsia" w:ascii="仿宋" w:hAnsi="仿宋" w:eastAsia="仿宋" w:cs="仿宋"/>
          <w:b/>
          <w:bCs/>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lang w:val="en-US" w:eastAsia="zh-CN"/>
        </w:rPr>
        <w:t>一</w:t>
      </w:r>
      <w:r>
        <w:rPr>
          <w:rFonts w:hint="eastAsia" w:ascii="仿宋" w:hAnsi="仿宋" w:eastAsia="仿宋" w:cs="仿宋"/>
          <w:b/>
          <w:bCs/>
          <w:color w:val="auto"/>
          <w:sz w:val="24"/>
          <w:szCs w:val="24"/>
          <w:highlight w:val="none"/>
          <w:shd w:val="clear" w:color="auto" w:fill="FFFFFF" w:themeFill="background1"/>
        </w:rPr>
        <w:t>、</w:t>
      </w:r>
      <w:bookmarkEnd w:id="185"/>
      <w:r>
        <w:rPr>
          <w:rFonts w:hint="eastAsia" w:ascii="仿宋" w:hAnsi="仿宋" w:eastAsia="仿宋" w:cs="仿宋"/>
          <w:b/>
          <w:bCs/>
          <w:color w:val="auto"/>
          <w:sz w:val="24"/>
          <w:szCs w:val="24"/>
          <w:highlight w:val="none"/>
          <w:shd w:val="clear" w:color="auto" w:fill="FFFFFF" w:themeFill="background1"/>
        </w:rPr>
        <w:t>拟派主要服务人员</w:t>
      </w:r>
      <w:bookmarkEnd w:id="186"/>
    </w:p>
    <w:p w14:paraId="42BBCBC8">
      <w:pPr>
        <w:rPr>
          <w:rFonts w:hint="eastAsia" w:ascii="仿宋" w:hAnsi="仿宋" w:eastAsia="仿宋" w:cs="仿宋"/>
          <w:color w:val="auto"/>
          <w:sz w:val="24"/>
          <w:szCs w:val="24"/>
          <w:highlight w:val="none"/>
        </w:rPr>
      </w:pPr>
    </w:p>
    <w:tbl>
      <w:tblPr>
        <w:tblStyle w:val="4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0"/>
        <w:gridCol w:w="1172"/>
        <w:gridCol w:w="1144"/>
        <w:gridCol w:w="1172"/>
        <w:gridCol w:w="1172"/>
        <w:gridCol w:w="1146"/>
        <w:gridCol w:w="1172"/>
        <w:gridCol w:w="1138"/>
      </w:tblGrid>
      <w:tr w14:paraId="236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5B2F6D7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70" w:type="dxa"/>
            <w:vAlign w:val="center"/>
          </w:tcPr>
          <w:p w14:paraId="522B36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72" w:type="dxa"/>
            <w:vAlign w:val="center"/>
          </w:tcPr>
          <w:p w14:paraId="7D1FC4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4" w:type="dxa"/>
            <w:vAlign w:val="center"/>
          </w:tcPr>
          <w:p w14:paraId="48C494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72" w:type="dxa"/>
            <w:vAlign w:val="center"/>
          </w:tcPr>
          <w:p w14:paraId="64ECDE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72" w:type="dxa"/>
            <w:vAlign w:val="center"/>
          </w:tcPr>
          <w:p w14:paraId="1C346C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46" w:type="dxa"/>
            <w:vAlign w:val="center"/>
          </w:tcPr>
          <w:p w14:paraId="32DC8D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172" w:type="dxa"/>
            <w:vAlign w:val="center"/>
          </w:tcPr>
          <w:p w14:paraId="437E3A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从事相关工作年限</w:t>
            </w:r>
          </w:p>
        </w:tc>
        <w:tc>
          <w:tcPr>
            <w:tcW w:w="1138" w:type="dxa"/>
            <w:vAlign w:val="center"/>
          </w:tcPr>
          <w:p w14:paraId="79DFC28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4D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EF93878">
            <w:pPr>
              <w:jc w:val="center"/>
              <w:rPr>
                <w:rFonts w:hint="eastAsia" w:ascii="仿宋" w:hAnsi="仿宋" w:eastAsia="仿宋" w:cs="仿宋"/>
                <w:color w:val="auto"/>
                <w:sz w:val="24"/>
                <w:szCs w:val="24"/>
                <w:highlight w:val="none"/>
              </w:rPr>
            </w:pPr>
          </w:p>
        </w:tc>
        <w:tc>
          <w:tcPr>
            <w:tcW w:w="1170" w:type="dxa"/>
            <w:vAlign w:val="center"/>
          </w:tcPr>
          <w:p w14:paraId="75A04231">
            <w:pPr>
              <w:jc w:val="center"/>
              <w:rPr>
                <w:rFonts w:hint="eastAsia" w:ascii="仿宋" w:hAnsi="仿宋" w:eastAsia="仿宋" w:cs="仿宋"/>
                <w:color w:val="auto"/>
                <w:sz w:val="24"/>
                <w:szCs w:val="24"/>
                <w:highlight w:val="none"/>
              </w:rPr>
            </w:pPr>
          </w:p>
        </w:tc>
        <w:tc>
          <w:tcPr>
            <w:tcW w:w="1172" w:type="dxa"/>
            <w:vAlign w:val="center"/>
          </w:tcPr>
          <w:p w14:paraId="3B8C21D2">
            <w:pPr>
              <w:jc w:val="center"/>
              <w:rPr>
                <w:rFonts w:hint="eastAsia" w:ascii="仿宋" w:hAnsi="仿宋" w:eastAsia="仿宋" w:cs="仿宋"/>
                <w:color w:val="auto"/>
                <w:sz w:val="24"/>
                <w:szCs w:val="24"/>
                <w:highlight w:val="none"/>
              </w:rPr>
            </w:pPr>
          </w:p>
        </w:tc>
        <w:tc>
          <w:tcPr>
            <w:tcW w:w="1144" w:type="dxa"/>
            <w:vAlign w:val="center"/>
          </w:tcPr>
          <w:p w14:paraId="4287A37A">
            <w:pPr>
              <w:jc w:val="center"/>
              <w:rPr>
                <w:rFonts w:hint="eastAsia" w:ascii="仿宋" w:hAnsi="仿宋" w:eastAsia="仿宋" w:cs="仿宋"/>
                <w:color w:val="auto"/>
                <w:sz w:val="24"/>
                <w:szCs w:val="24"/>
                <w:highlight w:val="none"/>
              </w:rPr>
            </w:pPr>
          </w:p>
        </w:tc>
        <w:tc>
          <w:tcPr>
            <w:tcW w:w="1172" w:type="dxa"/>
            <w:vAlign w:val="center"/>
          </w:tcPr>
          <w:p w14:paraId="285A2486">
            <w:pPr>
              <w:jc w:val="center"/>
              <w:rPr>
                <w:rFonts w:hint="eastAsia" w:ascii="仿宋" w:hAnsi="仿宋" w:eastAsia="仿宋" w:cs="仿宋"/>
                <w:color w:val="auto"/>
                <w:sz w:val="24"/>
                <w:szCs w:val="24"/>
                <w:highlight w:val="none"/>
              </w:rPr>
            </w:pPr>
          </w:p>
        </w:tc>
        <w:tc>
          <w:tcPr>
            <w:tcW w:w="1172" w:type="dxa"/>
            <w:vAlign w:val="center"/>
          </w:tcPr>
          <w:p w14:paraId="052B5100">
            <w:pPr>
              <w:jc w:val="center"/>
              <w:rPr>
                <w:rFonts w:hint="eastAsia" w:ascii="仿宋" w:hAnsi="仿宋" w:eastAsia="仿宋" w:cs="仿宋"/>
                <w:color w:val="auto"/>
                <w:sz w:val="24"/>
                <w:szCs w:val="24"/>
                <w:highlight w:val="none"/>
              </w:rPr>
            </w:pPr>
          </w:p>
        </w:tc>
        <w:tc>
          <w:tcPr>
            <w:tcW w:w="1146" w:type="dxa"/>
            <w:vAlign w:val="center"/>
          </w:tcPr>
          <w:p w14:paraId="571BB2B3">
            <w:pPr>
              <w:jc w:val="center"/>
              <w:rPr>
                <w:rFonts w:hint="eastAsia" w:ascii="仿宋" w:hAnsi="仿宋" w:eastAsia="仿宋" w:cs="仿宋"/>
                <w:color w:val="auto"/>
                <w:sz w:val="24"/>
                <w:szCs w:val="24"/>
                <w:highlight w:val="none"/>
              </w:rPr>
            </w:pPr>
          </w:p>
        </w:tc>
        <w:tc>
          <w:tcPr>
            <w:tcW w:w="1172" w:type="dxa"/>
            <w:vAlign w:val="center"/>
          </w:tcPr>
          <w:p w14:paraId="0BC7CBC9">
            <w:pPr>
              <w:jc w:val="center"/>
              <w:rPr>
                <w:rFonts w:hint="eastAsia" w:ascii="仿宋" w:hAnsi="仿宋" w:eastAsia="仿宋" w:cs="仿宋"/>
                <w:color w:val="auto"/>
                <w:sz w:val="24"/>
                <w:szCs w:val="24"/>
                <w:highlight w:val="none"/>
              </w:rPr>
            </w:pPr>
          </w:p>
        </w:tc>
        <w:tc>
          <w:tcPr>
            <w:tcW w:w="1138" w:type="dxa"/>
            <w:vAlign w:val="center"/>
          </w:tcPr>
          <w:p w14:paraId="11CFBF76">
            <w:pPr>
              <w:jc w:val="center"/>
              <w:rPr>
                <w:rFonts w:hint="eastAsia" w:ascii="仿宋" w:hAnsi="仿宋" w:eastAsia="仿宋" w:cs="仿宋"/>
                <w:color w:val="auto"/>
                <w:sz w:val="24"/>
                <w:szCs w:val="24"/>
                <w:highlight w:val="none"/>
              </w:rPr>
            </w:pPr>
          </w:p>
        </w:tc>
      </w:tr>
      <w:tr w14:paraId="12E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CA88E1F">
            <w:pPr>
              <w:jc w:val="center"/>
              <w:rPr>
                <w:rFonts w:hint="eastAsia" w:ascii="仿宋" w:hAnsi="仿宋" w:eastAsia="仿宋" w:cs="仿宋"/>
                <w:color w:val="auto"/>
                <w:sz w:val="24"/>
                <w:szCs w:val="24"/>
                <w:highlight w:val="none"/>
              </w:rPr>
            </w:pPr>
          </w:p>
        </w:tc>
        <w:tc>
          <w:tcPr>
            <w:tcW w:w="1170" w:type="dxa"/>
            <w:vAlign w:val="center"/>
          </w:tcPr>
          <w:p w14:paraId="6BCA6F34">
            <w:pPr>
              <w:jc w:val="center"/>
              <w:rPr>
                <w:rFonts w:hint="eastAsia" w:ascii="仿宋" w:hAnsi="仿宋" w:eastAsia="仿宋" w:cs="仿宋"/>
                <w:color w:val="auto"/>
                <w:sz w:val="24"/>
                <w:szCs w:val="24"/>
                <w:highlight w:val="none"/>
              </w:rPr>
            </w:pPr>
          </w:p>
        </w:tc>
        <w:tc>
          <w:tcPr>
            <w:tcW w:w="1172" w:type="dxa"/>
            <w:vAlign w:val="center"/>
          </w:tcPr>
          <w:p w14:paraId="3B3AA379">
            <w:pPr>
              <w:jc w:val="center"/>
              <w:rPr>
                <w:rFonts w:hint="eastAsia" w:ascii="仿宋" w:hAnsi="仿宋" w:eastAsia="仿宋" w:cs="仿宋"/>
                <w:color w:val="auto"/>
                <w:sz w:val="24"/>
                <w:szCs w:val="24"/>
                <w:highlight w:val="none"/>
              </w:rPr>
            </w:pPr>
          </w:p>
        </w:tc>
        <w:tc>
          <w:tcPr>
            <w:tcW w:w="1144" w:type="dxa"/>
            <w:vAlign w:val="center"/>
          </w:tcPr>
          <w:p w14:paraId="4D29F78D">
            <w:pPr>
              <w:jc w:val="center"/>
              <w:rPr>
                <w:rFonts w:hint="eastAsia" w:ascii="仿宋" w:hAnsi="仿宋" w:eastAsia="仿宋" w:cs="仿宋"/>
                <w:color w:val="auto"/>
                <w:sz w:val="24"/>
                <w:szCs w:val="24"/>
                <w:highlight w:val="none"/>
              </w:rPr>
            </w:pPr>
          </w:p>
        </w:tc>
        <w:tc>
          <w:tcPr>
            <w:tcW w:w="1172" w:type="dxa"/>
            <w:vAlign w:val="center"/>
          </w:tcPr>
          <w:p w14:paraId="5ACA7401">
            <w:pPr>
              <w:jc w:val="center"/>
              <w:rPr>
                <w:rFonts w:hint="eastAsia" w:ascii="仿宋" w:hAnsi="仿宋" w:eastAsia="仿宋" w:cs="仿宋"/>
                <w:color w:val="auto"/>
                <w:sz w:val="24"/>
                <w:szCs w:val="24"/>
                <w:highlight w:val="none"/>
              </w:rPr>
            </w:pPr>
          </w:p>
        </w:tc>
        <w:tc>
          <w:tcPr>
            <w:tcW w:w="1172" w:type="dxa"/>
            <w:vAlign w:val="center"/>
          </w:tcPr>
          <w:p w14:paraId="36E5E1C7">
            <w:pPr>
              <w:jc w:val="center"/>
              <w:rPr>
                <w:rFonts w:hint="eastAsia" w:ascii="仿宋" w:hAnsi="仿宋" w:eastAsia="仿宋" w:cs="仿宋"/>
                <w:color w:val="auto"/>
                <w:sz w:val="24"/>
                <w:szCs w:val="24"/>
                <w:highlight w:val="none"/>
              </w:rPr>
            </w:pPr>
          </w:p>
        </w:tc>
        <w:tc>
          <w:tcPr>
            <w:tcW w:w="1146" w:type="dxa"/>
            <w:vAlign w:val="center"/>
          </w:tcPr>
          <w:p w14:paraId="08F804C0">
            <w:pPr>
              <w:jc w:val="center"/>
              <w:rPr>
                <w:rFonts w:hint="eastAsia" w:ascii="仿宋" w:hAnsi="仿宋" w:eastAsia="仿宋" w:cs="仿宋"/>
                <w:color w:val="auto"/>
                <w:sz w:val="24"/>
                <w:szCs w:val="24"/>
                <w:highlight w:val="none"/>
              </w:rPr>
            </w:pPr>
          </w:p>
        </w:tc>
        <w:tc>
          <w:tcPr>
            <w:tcW w:w="1172" w:type="dxa"/>
            <w:vAlign w:val="center"/>
          </w:tcPr>
          <w:p w14:paraId="4870EE3F">
            <w:pPr>
              <w:jc w:val="center"/>
              <w:rPr>
                <w:rFonts w:hint="eastAsia" w:ascii="仿宋" w:hAnsi="仿宋" w:eastAsia="仿宋" w:cs="仿宋"/>
                <w:color w:val="auto"/>
                <w:sz w:val="24"/>
                <w:szCs w:val="24"/>
                <w:highlight w:val="none"/>
              </w:rPr>
            </w:pPr>
          </w:p>
        </w:tc>
        <w:tc>
          <w:tcPr>
            <w:tcW w:w="1138" w:type="dxa"/>
            <w:vAlign w:val="center"/>
          </w:tcPr>
          <w:p w14:paraId="41C3FBA8">
            <w:pPr>
              <w:jc w:val="center"/>
              <w:rPr>
                <w:rFonts w:hint="eastAsia" w:ascii="仿宋" w:hAnsi="仿宋" w:eastAsia="仿宋" w:cs="仿宋"/>
                <w:color w:val="auto"/>
                <w:sz w:val="24"/>
                <w:szCs w:val="24"/>
                <w:highlight w:val="none"/>
              </w:rPr>
            </w:pPr>
          </w:p>
        </w:tc>
      </w:tr>
      <w:tr w14:paraId="118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3151C07">
            <w:pPr>
              <w:jc w:val="center"/>
              <w:rPr>
                <w:rFonts w:hint="eastAsia" w:ascii="仿宋" w:hAnsi="仿宋" w:eastAsia="仿宋" w:cs="仿宋"/>
                <w:color w:val="auto"/>
                <w:sz w:val="24"/>
                <w:szCs w:val="24"/>
                <w:highlight w:val="none"/>
              </w:rPr>
            </w:pPr>
          </w:p>
        </w:tc>
        <w:tc>
          <w:tcPr>
            <w:tcW w:w="1170" w:type="dxa"/>
            <w:vAlign w:val="center"/>
          </w:tcPr>
          <w:p w14:paraId="6C221815">
            <w:pPr>
              <w:jc w:val="center"/>
              <w:rPr>
                <w:rFonts w:hint="eastAsia" w:ascii="仿宋" w:hAnsi="仿宋" w:eastAsia="仿宋" w:cs="仿宋"/>
                <w:color w:val="auto"/>
                <w:sz w:val="24"/>
                <w:szCs w:val="24"/>
                <w:highlight w:val="none"/>
              </w:rPr>
            </w:pPr>
          </w:p>
        </w:tc>
        <w:tc>
          <w:tcPr>
            <w:tcW w:w="1172" w:type="dxa"/>
            <w:vAlign w:val="center"/>
          </w:tcPr>
          <w:p w14:paraId="093BCBDF">
            <w:pPr>
              <w:jc w:val="center"/>
              <w:rPr>
                <w:rFonts w:hint="eastAsia" w:ascii="仿宋" w:hAnsi="仿宋" w:eastAsia="仿宋" w:cs="仿宋"/>
                <w:color w:val="auto"/>
                <w:sz w:val="24"/>
                <w:szCs w:val="24"/>
                <w:highlight w:val="none"/>
              </w:rPr>
            </w:pPr>
          </w:p>
        </w:tc>
        <w:tc>
          <w:tcPr>
            <w:tcW w:w="1144" w:type="dxa"/>
            <w:vAlign w:val="center"/>
          </w:tcPr>
          <w:p w14:paraId="3431A0AD">
            <w:pPr>
              <w:jc w:val="center"/>
              <w:rPr>
                <w:rFonts w:hint="eastAsia" w:ascii="仿宋" w:hAnsi="仿宋" w:eastAsia="仿宋" w:cs="仿宋"/>
                <w:color w:val="auto"/>
                <w:sz w:val="24"/>
                <w:szCs w:val="24"/>
                <w:highlight w:val="none"/>
              </w:rPr>
            </w:pPr>
          </w:p>
        </w:tc>
        <w:tc>
          <w:tcPr>
            <w:tcW w:w="1172" w:type="dxa"/>
            <w:vAlign w:val="center"/>
          </w:tcPr>
          <w:p w14:paraId="538781AB">
            <w:pPr>
              <w:jc w:val="center"/>
              <w:rPr>
                <w:rFonts w:hint="eastAsia" w:ascii="仿宋" w:hAnsi="仿宋" w:eastAsia="仿宋" w:cs="仿宋"/>
                <w:color w:val="auto"/>
                <w:sz w:val="24"/>
                <w:szCs w:val="24"/>
                <w:highlight w:val="none"/>
              </w:rPr>
            </w:pPr>
          </w:p>
        </w:tc>
        <w:tc>
          <w:tcPr>
            <w:tcW w:w="1172" w:type="dxa"/>
            <w:vAlign w:val="center"/>
          </w:tcPr>
          <w:p w14:paraId="37FCE958">
            <w:pPr>
              <w:jc w:val="center"/>
              <w:rPr>
                <w:rFonts w:hint="eastAsia" w:ascii="仿宋" w:hAnsi="仿宋" w:eastAsia="仿宋" w:cs="仿宋"/>
                <w:color w:val="auto"/>
                <w:sz w:val="24"/>
                <w:szCs w:val="24"/>
                <w:highlight w:val="none"/>
              </w:rPr>
            </w:pPr>
          </w:p>
        </w:tc>
        <w:tc>
          <w:tcPr>
            <w:tcW w:w="1146" w:type="dxa"/>
            <w:vAlign w:val="center"/>
          </w:tcPr>
          <w:p w14:paraId="09E08CD8">
            <w:pPr>
              <w:jc w:val="center"/>
              <w:rPr>
                <w:rFonts w:hint="eastAsia" w:ascii="仿宋" w:hAnsi="仿宋" w:eastAsia="仿宋" w:cs="仿宋"/>
                <w:color w:val="auto"/>
                <w:sz w:val="24"/>
                <w:szCs w:val="24"/>
                <w:highlight w:val="none"/>
              </w:rPr>
            </w:pPr>
          </w:p>
        </w:tc>
        <w:tc>
          <w:tcPr>
            <w:tcW w:w="1172" w:type="dxa"/>
            <w:vAlign w:val="center"/>
          </w:tcPr>
          <w:p w14:paraId="4B6FE918">
            <w:pPr>
              <w:jc w:val="center"/>
              <w:rPr>
                <w:rFonts w:hint="eastAsia" w:ascii="仿宋" w:hAnsi="仿宋" w:eastAsia="仿宋" w:cs="仿宋"/>
                <w:color w:val="auto"/>
                <w:sz w:val="24"/>
                <w:szCs w:val="24"/>
                <w:highlight w:val="none"/>
              </w:rPr>
            </w:pPr>
          </w:p>
        </w:tc>
        <w:tc>
          <w:tcPr>
            <w:tcW w:w="1138" w:type="dxa"/>
            <w:vAlign w:val="center"/>
          </w:tcPr>
          <w:p w14:paraId="4893DE94">
            <w:pPr>
              <w:jc w:val="center"/>
              <w:rPr>
                <w:rFonts w:hint="eastAsia" w:ascii="仿宋" w:hAnsi="仿宋" w:eastAsia="仿宋" w:cs="仿宋"/>
                <w:color w:val="auto"/>
                <w:sz w:val="24"/>
                <w:szCs w:val="24"/>
                <w:highlight w:val="none"/>
              </w:rPr>
            </w:pPr>
          </w:p>
        </w:tc>
      </w:tr>
      <w:tr w14:paraId="701B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290C9335">
            <w:pPr>
              <w:jc w:val="center"/>
              <w:rPr>
                <w:rFonts w:hint="eastAsia" w:ascii="仿宋" w:hAnsi="仿宋" w:eastAsia="仿宋" w:cs="仿宋"/>
                <w:color w:val="auto"/>
                <w:sz w:val="24"/>
                <w:szCs w:val="24"/>
                <w:highlight w:val="none"/>
              </w:rPr>
            </w:pPr>
          </w:p>
        </w:tc>
        <w:tc>
          <w:tcPr>
            <w:tcW w:w="1170" w:type="dxa"/>
            <w:vAlign w:val="center"/>
          </w:tcPr>
          <w:p w14:paraId="649319EB">
            <w:pPr>
              <w:jc w:val="center"/>
              <w:rPr>
                <w:rFonts w:hint="eastAsia" w:ascii="仿宋" w:hAnsi="仿宋" w:eastAsia="仿宋" w:cs="仿宋"/>
                <w:color w:val="auto"/>
                <w:sz w:val="24"/>
                <w:szCs w:val="24"/>
                <w:highlight w:val="none"/>
              </w:rPr>
            </w:pPr>
          </w:p>
        </w:tc>
        <w:tc>
          <w:tcPr>
            <w:tcW w:w="1172" w:type="dxa"/>
            <w:vAlign w:val="center"/>
          </w:tcPr>
          <w:p w14:paraId="2096C2B0">
            <w:pPr>
              <w:jc w:val="center"/>
              <w:rPr>
                <w:rFonts w:hint="eastAsia" w:ascii="仿宋" w:hAnsi="仿宋" w:eastAsia="仿宋" w:cs="仿宋"/>
                <w:color w:val="auto"/>
                <w:sz w:val="24"/>
                <w:szCs w:val="24"/>
                <w:highlight w:val="none"/>
              </w:rPr>
            </w:pPr>
          </w:p>
        </w:tc>
        <w:tc>
          <w:tcPr>
            <w:tcW w:w="1144" w:type="dxa"/>
            <w:vAlign w:val="center"/>
          </w:tcPr>
          <w:p w14:paraId="0A1A163A">
            <w:pPr>
              <w:jc w:val="center"/>
              <w:rPr>
                <w:rFonts w:hint="eastAsia" w:ascii="仿宋" w:hAnsi="仿宋" w:eastAsia="仿宋" w:cs="仿宋"/>
                <w:color w:val="auto"/>
                <w:sz w:val="24"/>
                <w:szCs w:val="24"/>
                <w:highlight w:val="none"/>
              </w:rPr>
            </w:pPr>
          </w:p>
        </w:tc>
        <w:tc>
          <w:tcPr>
            <w:tcW w:w="1172" w:type="dxa"/>
            <w:vAlign w:val="center"/>
          </w:tcPr>
          <w:p w14:paraId="369EF209">
            <w:pPr>
              <w:jc w:val="center"/>
              <w:rPr>
                <w:rFonts w:hint="eastAsia" w:ascii="仿宋" w:hAnsi="仿宋" w:eastAsia="仿宋" w:cs="仿宋"/>
                <w:color w:val="auto"/>
                <w:sz w:val="24"/>
                <w:szCs w:val="24"/>
                <w:highlight w:val="none"/>
              </w:rPr>
            </w:pPr>
          </w:p>
        </w:tc>
        <w:tc>
          <w:tcPr>
            <w:tcW w:w="1172" w:type="dxa"/>
            <w:vAlign w:val="center"/>
          </w:tcPr>
          <w:p w14:paraId="76C78B0F">
            <w:pPr>
              <w:jc w:val="center"/>
              <w:rPr>
                <w:rFonts w:hint="eastAsia" w:ascii="仿宋" w:hAnsi="仿宋" w:eastAsia="仿宋" w:cs="仿宋"/>
                <w:color w:val="auto"/>
                <w:sz w:val="24"/>
                <w:szCs w:val="24"/>
                <w:highlight w:val="none"/>
              </w:rPr>
            </w:pPr>
          </w:p>
        </w:tc>
        <w:tc>
          <w:tcPr>
            <w:tcW w:w="1146" w:type="dxa"/>
            <w:vAlign w:val="center"/>
          </w:tcPr>
          <w:p w14:paraId="331BA356">
            <w:pPr>
              <w:jc w:val="center"/>
              <w:rPr>
                <w:rFonts w:hint="eastAsia" w:ascii="仿宋" w:hAnsi="仿宋" w:eastAsia="仿宋" w:cs="仿宋"/>
                <w:color w:val="auto"/>
                <w:sz w:val="24"/>
                <w:szCs w:val="24"/>
                <w:highlight w:val="none"/>
              </w:rPr>
            </w:pPr>
          </w:p>
        </w:tc>
        <w:tc>
          <w:tcPr>
            <w:tcW w:w="1172" w:type="dxa"/>
            <w:vAlign w:val="center"/>
          </w:tcPr>
          <w:p w14:paraId="3976FFD5">
            <w:pPr>
              <w:jc w:val="center"/>
              <w:rPr>
                <w:rFonts w:hint="eastAsia" w:ascii="仿宋" w:hAnsi="仿宋" w:eastAsia="仿宋" w:cs="仿宋"/>
                <w:color w:val="auto"/>
                <w:sz w:val="24"/>
                <w:szCs w:val="24"/>
                <w:highlight w:val="none"/>
              </w:rPr>
            </w:pPr>
          </w:p>
        </w:tc>
        <w:tc>
          <w:tcPr>
            <w:tcW w:w="1138" w:type="dxa"/>
            <w:vAlign w:val="center"/>
          </w:tcPr>
          <w:p w14:paraId="03AF2E43">
            <w:pPr>
              <w:jc w:val="center"/>
              <w:rPr>
                <w:rFonts w:hint="eastAsia" w:ascii="仿宋" w:hAnsi="仿宋" w:eastAsia="仿宋" w:cs="仿宋"/>
                <w:color w:val="auto"/>
                <w:sz w:val="24"/>
                <w:szCs w:val="24"/>
                <w:highlight w:val="none"/>
              </w:rPr>
            </w:pPr>
          </w:p>
        </w:tc>
      </w:tr>
      <w:tr w14:paraId="47A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2946EC96">
            <w:pPr>
              <w:jc w:val="center"/>
              <w:rPr>
                <w:rFonts w:hint="eastAsia" w:ascii="仿宋" w:hAnsi="仿宋" w:eastAsia="仿宋" w:cs="仿宋"/>
                <w:color w:val="auto"/>
                <w:sz w:val="24"/>
                <w:szCs w:val="24"/>
                <w:highlight w:val="none"/>
              </w:rPr>
            </w:pPr>
          </w:p>
        </w:tc>
        <w:tc>
          <w:tcPr>
            <w:tcW w:w="1170" w:type="dxa"/>
            <w:vAlign w:val="center"/>
          </w:tcPr>
          <w:p w14:paraId="25C3CBC5">
            <w:pPr>
              <w:jc w:val="center"/>
              <w:rPr>
                <w:rFonts w:hint="eastAsia" w:ascii="仿宋" w:hAnsi="仿宋" w:eastAsia="仿宋" w:cs="仿宋"/>
                <w:color w:val="auto"/>
                <w:sz w:val="24"/>
                <w:szCs w:val="24"/>
                <w:highlight w:val="none"/>
              </w:rPr>
            </w:pPr>
          </w:p>
        </w:tc>
        <w:tc>
          <w:tcPr>
            <w:tcW w:w="1172" w:type="dxa"/>
            <w:vAlign w:val="center"/>
          </w:tcPr>
          <w:p w14:paraId="43B38D58">
            <w:pPr>
              <w:jc w:val="center"/>
              <w:rPr>
                <w:rFonts w:hint="eastAsia" w:ascii="仿宋" w:hAnsi="仿宋" w:eastAsia="仿宋" w:cs="仿宋"/>
                <w:color w:val="auto"/>
                <w:sz w:val="24"/>
                <w:szCs w:val="24"/>
                <w:highlight w:val="none"/>
              </w:rPr>
            </w:pPr>
          </w:p>
        </w:tc>
        <w:tc>
          <w:tcPr>
            <w:tcW w:w="1144" w:type="dxa"/>
            <w:vAlign w:val="center"/>
          </w:tcPr>
          <w:p w14:paraId="49E58810">
            <w:pPr>
              <w:jc w:val="center"/>
              <w:rPr>
                <w:rFonts w:hint="eastAsia" w:ascii="仿宋" w:hAnsi="仿宋" w:eastAsia="仿宋" w:cs="仿宋"/>
                <w:color w:val="auto"/>
                <w:sz w:val="24"/>
                <w:szCs w:val="24"/>
                <w:highlight w:val="none"/>
              </w:rPr>
            </w:pPr>
          </w:p>
        </w:tc>
        <w:tc>
          <w:tcPr>
            <w:tcW w:w="1172" w:type="dxa"/>
            <w:vAlign w:val="center"/>
          </w:tcPr>
          <w:p w14:paraId="4BFE7ED0">
            <w:pPr>
              <w:jc w:val="center"/>
              <w:rPr>
                <w:rFonts w:hint="eastAsia" w:ascii="仿宋" w:hAnsi="仿宋" w:eastAsia="仿宋" w:cs="仿宋"/>
                <w:color w:val="auto"/>
                <w:sz w:val="24"/>
                <w:szCs w:val="24"/>
                <w:highlight w:val="none"/>
              </w:rPr>
            </w:pPr>
          </w:p>
        </w:tc>
        <w:tc>
          <w:tcPr>
            <w:tcW w:w="1172" w:type="dxa"/>
            <w:vAlign w:val="center"/>
          </w:tcPr>
          <w:p w14:paraId="6F5C977B">
            <w:pPr>
              <w:jc w:val="center"/>
              <w:rPr>
                <w:rFonts w:hint="eastAsia" w:ascii="仿宋" w:hAnsi="仿宋" w:eastAsia="仿宋" w:cs="仿宋"/>
                <w:color w:val="auto"/>
                <w:sz w:val="24"/>
                <w:szCs w:val="24"/>
                <w:highlight w:val="none"/>
              </w:rPr>
            </w:pPr>
          </w:p>
        </w:tc>
        <w:tc>
          <w:tcPr>
            <w:tcW w:w="1146" w:type="dxa"/>
            <w:vAlign w:val="center"/>
          </w:tcPr>
          <w:p w14:paraId="18057A9B">
            <w:pPr>
              <w:jc w:val="center"/>
              <w:rPr>
                <w:rFonts w:hint="eastAsia" w:ascii="仿宋" w:hAnsi="仿宋" w:eastAsia="仿宋" w:cs="仿宋"/>
                <w:color w:val="auto"/>
                <w:sz w:val="24"/>
                <w:szCs w:val="24"/>
                <w:highlight w:val="none"/>
              </w:rPr>
            </w:pPr>
          </w:p>
        </w:tc>
        <w:tc>
          <w:tcPr>
            <w:tcW w:w="1172" w:type="dxa"/>
            <w:vAlign w:val="center"/>
          </w:tcPr>
          <w:p w14:paraId="38537B33">
            <w:pPr>
              <w:jc w:val="center"/>
              <w:rPr>
                <w:rFonts w:hint="eastAsia" w:ascii="仿宋" w:hAnsi="仿宋" w:eastAsia="仿宋" w:cs="仿宋"/>
                <w:color w:val="auto"/>
                <w:sz w:val="24"/>
                <w:szCs w:val="24"/>
                <w:highlight w:val="none"/>
              </w:rPr>
            </w:pPr>
          </w:p>
        </w:tc>
        <w:tc>
          <w:tcPr>
            <w:tcW w:w="1138" w:type="dxa"/>
            <w:vAlign w:val="center"/>
          </w:tcPr>
          <w:p w14:paraId="668CB84D">
            <w:pPr>
              <w:jc w:val="center"/>
              <w:rPr>
                <w:rFonts w:hint="eastAsia" w:ascii="仿宋" w:hAnsi="仿宋" w:eastAsia="仿宋" w:cs="仿宋"/>
                <w:color w:val="auto"/>
                <w:sz w:val="24"/>
                <w:szCs w:val="24"/>
                <w:highlight w:val="none"/>
              </w:rPr>
            </w:pPr>
          </w:p>
        </w:tc>
      </w:tr>
      <w:tr w14:paraId="7CB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419F4779">
            <w:pPr>
              <w:jc w:val="center"/>
              <w:rPr>
                <w:rFonts w:hint="eastAsia" w:ascii="仿宋" w:hAnsi="仿宋" w:eastAsia="仿宋" w:cs="仿宋"/>
                <w:color w:val="auto"/>
                <w:sz w:val="24"/>
                <w:szCs w:val="24"/>
                <w:highlight w:val="none"/>
              </w:rPr>
            </w:pPr>
          </w:p>
        </w:tc>
        <w:tc>
          <w:tcPr>
            <w:tcW w:w="1170" w:type="dxa"/>
            <w:vAlign w:val="center"/>
          </w:tcPr>
          <w:p w14:paraId="4F8549B8">
            <w:pPr>
              <w:jc w:val="center"/>
              <w:rPr>
                <w:rFonts w:hint="eastAsia" w:ascii="仿宋" w:hAnsi="仿宋" w:eastAsia="仿宋" w:cs="仿宋"/>
                <w:color w:val="auto"/>
                <w:sz w:val="24"/>
                <w:szCs w:val="24"/>
                <w:highlight w:val="none"/>
              </w:rPr>
            </w:pPr>
          </w:p>
        </w:tc>
        <w:tc>
          <w:tcPr>
            <w:tcW w:w="1172" w:type="dxa"/>
            <w:vAlign w:val="center"/>
          </w:tcPr>
          <w:p w14:paraId="6B2452EF">
            <w:pPr>
              <w:jc w:val="center"/>
              <w:rPr>
                <w:rFonts w:hint="eastAsia" w:ascii="仿宋" w:hAnsi="仿宋" w:eastAsia="仿宋" w:cs="仿宋"/>
                <w:color w:val="auto"/>
                <w:sz w:val="24"/>
                <w:szCs w:val="24"/>
                <w:highlight w:val="none"/>
              </w:rPr>
            </w:pPr>
          </w:p>
        </w:tc>
        <w:tc>
          <w:tcPr>
            <w:tcW w:w="1144" w:type="dxa"/>
            <w:vAlign w:val="center"/>
          </w:tcPr>
          <w:p w14:paraId="20ADC356">
            <w:pPr>
              <w:jc w:val="center"/>
              <w:rPr>
                <w:rFonts w:hint="eastAsia" w:ascii="仿宋" w:hAnsi="仿宋" w:eastAsia="仿宋" w:cs="仿宋"/>
                <w:color w:val="auto"/>
                <w:sz w:val="24"/>
                <w:szCs w:val="24"/>
                <w:highlight w:val="none"/>
              </w:rPr>
            </w:pPr>
          </w:p>
        </w:tc>
        <w:tc>
          <w:tcPr>
            <w:tcW w:w="1172" w:type="dxa"/>
            <w:vAlign w:val="center"/>
          </w:tcPr>
          <w:p w14:paraId="1BA825B4">
            <w:pPr>
              <w:jc w:val="center"/>
              <w:rPr>
                <w:rFonts w:hint="eastAsia" w:ascii="仿宋" w:hAnsi="仿宋" w:eastAsia="仿宋" w:cs="仿宋"/>
                <w:color w:val="auto"/>
                <w:sz w:val="24"/>
                <w:szCs w:val="24"/>
                <w:highlight w:val="none"/>
              </w:rPr>
            </w:pPr>
          </w:p>
        </w:tc>
        <w:tc>
          <w:tcPr>
            <w:tcW w:w="1172" w:type="dxa"/>
            <w:vAlign w:val="center"/>
          </w:tcPr>
          <w:p w14:paraId="645ED0C1">
            <w:pPr>
              <w:jc w:val="center"/>
              <w:rPr>
                <w:rFonts w:hint="eastAsia" w:ascii="仿宋" w:hAnsi="仿宋" w:eastAsia="仿宋" w:cs="仿宋"/>
                <w:color w:val="auto"/>
                <w:sz w:val="24"/>
                <w:szCs w:val="24"/>
                <w:highlight w:val="none"/>
              </w:rPr>
            </w:pPr>
          </w:p>
        </w:tc>
        <w:tc>
          <w:tcPr>
            <w:tcW w:w="1146" w:type="dxa"/>
            <w:vAlign w:val="center"/>
          </w:tcPr>
          <w:p w14:paraId="47E66508">
            <w:pPr>
              <w:jc w:val="center"/>
              <w:rPr>
                <w:rFonts w:hint="eastAsia" w:ascii="仿宋" w:hAnsi="仿宋" w:eastAsia="仿宋" w:cs="仿宋"/>
                <w:color w:val="auto"/>
                <w:sz w:val="24"/>
                <w:szCs w:val="24"/>
                <w:highlight w:val="none"/>
              </w:rPr>
            </w:pPr>
          </w:p>
        </w:tc>
        <w:tc>
          <w:tcPr>
            <w:tcW w:w="1172" w:type="dxa"/>
            <w:vAlign w:val="center"/>
          </w:tcPr>
          <w:p w14:paraId="2990FAD8">
            <w:pPr>
              <w:jc w:val="center"/>
              <w:rPr>
                <w:rFonts w:hint="eastAsia" w:ascii="仿宋" w:hAnsi="仿宋" w:eastAsia="仿宋" w:cs="仿宋"/>
                <w:color w:val="auto"/>
                <w:sz w:val="24"/>
                <w:szCs w:val="24"/>
                <w:highlight w:val="none"/>
              </w:rPr>
            </w:pPr>
          </w:p>
        </w:tc>
        <w:tc>
          <w:tcPr>
            <w:tcW w:w="1138" w:type="dxa"/>
            <w:vAlign w:val="center"/>
          </w:tcPr>
          <w:p w14:paraId="17C066CF">
            <w:pPr>
              <w:jc w:val="center"/>
              <w:rPr>
                <w:rFonts w:hint="eastAsia" w:ascii="仿宋" w:hAnsi="仿宋" w:eastAsia="仿宋" w:cs="仿宋"/>
                <w:color w:val="auto"/>
                <w:sz w:val="24"/>
                <w:szCs w:val="24"/>
                <w:highlight w:val="none"/>
              </w:rPr>
            </w:pPr>
          </w:p>
        </w:tc>
      </w:tr>
      <w:tr w14:paraId="70A5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75069363">
            <w:pPr>
              <w:jc w:val="center"/>
              <w:rPr>
                <w:rFonts w:hint="eastAsia" w:ascii="仿宋" w:hAnsi="仿宋" w:eastAsia="仿宋" w:cs="仿宋"/>
                <w:color w:val="auto"/>
                <w:sz w:val="24"/>
                <w:szCs w:val="24"/>
                <w:highlight w:val="none"/>
              </w:rPr>
            </w:pPr>
          </w:p>
        </w:tc>
        <w:tc>
          <w:tcPr>
            <w:tcW w:w="1170" w:type="dxa"/>
            <w:vAlign w:val="center"/>
          </w:tcPr>
          <w:p w14:paraId="3FACC929">
            <w:pPr>
              <w:jc w:val="center"/>
              <w:rPr>
                <w:rFonts w:hint="eastAsia" w:ascii="仿宋" w:hAnsi="仿宋" w:eastAsia="仿宋" w:cs="仿宋"/>
                <w:color w:val="auto"/>
                <w:sz w:val="24"/>
                <w:szCs w:val="24"/>
                <w:highlight w:val="none"/>
              </w:rPr>
            </w:pPr>
          </w:p>
        </w:tc>
        <w:tc>
          <w:tcPr>
            <w:tcW w:w="1172" w:type="dxa"/>
            <w:vAlign w:val="center"/>
          </w:tcPr>
          <w:p w14:paraId="44F72460">
            <w:pPr>
              <w:jc w:val="center"/>
              <w:rPr>
                <w:rFonts w:hint="eastAsia" w:ascii="仿宋" w:hAnsi="仿宋" w:eastAsia="仿宋" w:cs="仿宋"/>
                <w:color w:val="auto"/>
                <w:sz w:val="24"/>
                <w:szCs w:val="24"/>
                <w:highlight w:val="none"/>
              </w:rPr>
            </w:pPr>
          </w:p>
        </w:tc>
        <w:tc>
          <w:tcPr>
            <w:tcW w:w="1144" w:type="dxa"/>
            <w:vAlign w:val="center"/>
          </w:tcPr>
          <w:p w14:paraId="78C5E60B">
            <w:pPr>
              <w:jc w:val="center"/>
              <w:rPr>
                <w:rFonts w:hint="eastAsia" w:ascii="仿宋" w:hAnsi="仿宋" w:eastAsia="仿宋" w:cs="仿宋"/>
                <w:color w:val="auto"/>
                <w:sz w:val="24"/>
                <w:szCs w:val="24"/>
                <w:highlight w:val="none"/>
              </w:rPr>
            </w:pPr>
          </w:p>
        </w:tc>
        <w:tc>
          <w:tcPr>
            <w:tcW w:w="1172" w:type="dxa"/>
            <w:vAlign w:val="center"/>
          </w:tcPr>
          <w:p w14:paraId="116AE6E6">
            <w:pPr>
              <w:jc w:val="center"/>
              <w:rPr>
                <w:rFonts w:hint="eastAsia" w:ascii="仿宋" w:hAnsi="仿宋" w:eastAsia="仿宋" w:cs="仿宋"/>
                <w:color w:val="auto"/>
                <w:sz w:val="24"/>
                <w:szCs w:val="24"/>
                <w:highlight w:val="none"/>
              </w:rPr>
            </w:pPr>
          </w:p>
        </w:tc>
        <w:tc>
          <w:tcPr>
            <w:tcW w:w="1172" w:type="dxa"/>
            <w:vAlign w:val="center"/>
          </w:tcPr>
          <w:p w14:paraId="780D9D60">
            <w:pPr>
              <w:jc w:val="center"/>
              <w:rPr>
                <w:rFonts w:hint="eastAsia" w:ascii="仿宋" w:hAnsi="仿宋" w:eastAsia="仿宋" w:cs="仿宋"/>
                <w:color w:val="auto"/>
                <w:sz w:val="24"/>
                <w:szCs w:val="24"/>
                <w:highlight w:val="none"/>
              </w:rPr>
            </w:pPr>
          </w:p>
        </w:tc>
        <w:tc>
          <w:tcPr>
            <w:tcW w:w="1146" w:type="dxa"/>
            <w:vAlign w:val="center"/>
          </w:tcPr>
          <w:p w14:paraId="3DF4FABD">
            <w:pPr>
              <w:jc w:val="center"/>
              <w:rPr>
                <w:rFonts w:hint="eastAsia" w:ascii="仿宋" w:hAnsi="仿宋" w:eastAsia="仿宋" w:cs="仿宋"/>
                <w:color w:val="auto"/>
                <w:sz w:val="24"/>
                <w:szCs w:val="24"/>
                <w:highlight w:val="none"/>
              </w:rPr>
            </w:pPr>
          </w:p>
        </w:tc>
        <w:tc>
          <w:tcPr>
            <w:tcW w:w="1172" w:type="dxa"/>
            <w:vAlign w:val="center"/>
          </w:tcPr>
          <w:p w14:paraId="40AAE4B6">
            <w:pPr>
              <w:jc w:val="center"/>
              <w:rPr>
                <w:rFonts w:hint="eastAsia" w:ascii="仿宋" w:hAnsi="仿宋" w:eastAsia="仿宋" w:cs="仿宋"/>
                <w:color w:val="auto"/>
                <w:sz w:val="24"/>
                <w:szCs w:val="24"/>
                <w:highlight w:val="none"/>
              </w:rPr>
            </w:pPr>
          </w:p>
        </w:tc>
        <w:tc>
          <w:tcPr>
            <w:tcW w:w="1138" w:type="dxa"/>
            <w:vAlign w:val="center"/>
          </w:tcPr>
          <w:p w14:paraId="7BFF1135">
            <w:pPr>
              <w:jc w:val="center"/>
              <w:rPr>
                <w:rFonts w:hint="eastAsia" w:ascii="仿宋" w:hAnsi="仿宋" w:eastAsia="仿宋" w:cs="仿宋"/>
                <w:color w:val="auto"/>
                <w:sz w:val="24"/>
                <w:szCs w:val="24"/>
                <w:highlight w:val="none"/>
              </w:rPr>
            </w:pPr>
          </w:p>
        </w:tc>
      </w:tr>
    </w:tbl>
    <w:p w14:paraId="6893455A">
      <w:pPr>
        <w:widowControl/>
        <w:jc w:val="left"/>
        <w:rPr>
          <w:rFonts w:hint="eastAsia" w:ascii="仿宋" w:hAnsi="仿宋" w:eastAsia="仿宋" w:cs="仿宋"/>
          <w:color w:val="auto"/>
          <w:highlight w:val="none"/>
        </w:rPr>
      </w:pPr>
    </w:p>
    <w:p w14:paraId="52839E32">
      <w:pPr>
        <w:spacing w:line="360" w:lineRule="auto"/>
        <w:ind w:firstLine="420" w:firstLineChars="200"/>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供应商</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4DFF263D">
      <w:pPr>
        <w:spacing w:line="360" w:lineRule="auto"/>
        <w:ind w:firstLine="482" w:firstLineChars="20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br w:type="page"/>
      </w:r>
    </w:p>
    <w:bookmarkEnd w:id="184"/>
    <w:bookmarkEnd w:id="187"/>
    <w:bookmarkEnd w:id="188"/>
    <w:p w14:paraId="43012606">
      <w:pPr>
        <w:tabs>
          <w:tab w:val="center" w:pos="4832"/>
          <w:tab w:val="left" w:pos="7140"/>
        </w:tabs>
        <w:spacing w:line="360" w:lineRule="auto"/>
        <w:ind w:firstLine="482" w:firstLineChars="200"/>
        <w:jc w:val="center"/>
        <w:outlineLvl w:val="1"/>
        <w:rPr>
          <w:rFonts w:hint="eastAsia" w:ascii="仿宋" w:hAnsi="仿宋" w:eastAsia="仿宋" w:cs="仿宋"/>
          <w:b/>
          <w:color w:val="auto"/>
          <w:sz w:val="24"/>
          <w:szCs w:val="24"/>
          <w:highlight w:val="none"/>
          <w:shd w:val="clear" w:color="auto" w:fill="FFFFFF" w:themeFill="background1"/>
        </w:rPr>
      </w:pPr>
      <w:bookmarkStart w:id="189" w:name="_Toc533503193"/>
      <w:bookmarkStart w:id="190" w:name="_Toc507586177"/>
      <w:bookmarkStart w:id="191" w:name="_Toc32498"/>
      <w:bookmarkStart w:id="192" w:name="_Toc38446482"/>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服务方案</w:t>
      </w:r>
      <w:bookmarkEnd w:id="189"/>
      <w:bookmarkEnd w:id="190"/>
      <w:bookmarkEnd w:id="191"/>
      <w:bookmarkEnd w:id="192"/>
    </w:p>
    <w:p w14:paraId="0C4C81D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3A16DC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根据本项目的具体情况自行拟定。</w:t>
      </w:r>
    </w:p>
    <w:p w14:paraId="1A447725">
      <w:pPr>
        <w:rPr>
          <w:rFonts w:hint="eastAsia" w:ascii="仿宋" w:hAnsi="仿宋" w:eastAsia="仿宋" w:cs="仿宋"/>
          <w:b/>
          <w:color w:val="auto"/>
          <w:sz w:val="24"/>
          <w:szCs w:val="24"/>
          <w:highlight w:val="none"/>
          <w:shd w:val="clear" w:color="auto" w:fill="FFFFFF" w:themeFill="background1"/>
        </w:rPr>
      </w:pPr>
      <w:bookmarkStart w:id="193" w:name="_Toc38446484"/>
      <w:bookmarkStart w:id="194" w:name="_Toc507586178"/>
      <w:bookmarkStart w:id="195" w:name="_Toc533503194"/>
    </w:p>
    <w:p w14:paraId="77C65BEB">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bookmarkEnd w:id="193"/>
    <w:bookmarkEnd w:id="194"/>
    <w:bookmarkEnd w:id="195"/>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196" w:name="_Toc12468"/>
      <w:bookmarkStart w:id="197" w:name="_Toc12216"/>
      <w:bookmarkStart w:id="198" w:name="_Toc77455658"/>
      <w:bookmarkStart w:id="199" w:name="_Toc6092566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196"/>
      <w:bookmarkEnd w:id="197"/>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200" w:name="_Toc109921168"/>
      <w:bookmarkStart w:id="201" w:name="_Toc24108"/>
      <w:bookmarkStart w:id="202" w:name="_Toc110707975"/>
      <w:bookmarkStart w:id="203" w:name="_Toc14156"/>
      <w:bookmarkStart w:id="204" w:name="_Toc130252630"/>
      <w:bookmarkStart w:id="205" w:name="_Toc109941775"/>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206" w:name="_Toc17524"/>
      <w:bookmarkStart w:id="207" w:name="_Toc2908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200"/>
      <w:bookmarkEnd w:id="201"/>
      <w:bookmarkEnd w:id="202"/>
      <w:bookmarkEnd w:id="203"/>
      <w:bookmarkEnd w:id="204"/>
      <w:bookmarkEnd w:id="205"/>
      <w:bookmarkEnd w:id="206"/>
      <w:bookmarkEnd w:id="207"/>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认为需要提供的资料</w:t>
      </w:r>
      <w:r>
        <w:rPr>
          <w:rFonts w:hint="eastAsia" w:ascii="仿宋" w:hAnsi="仿宋" w:eastAsia="仿宋" w:cs="仿宋"/>
          <w:color w:val="auto"/>
          <w:sz w:val="24"/>
          <w:szCs w:val="24"/>
          <w:highlight w:val="none"/>
          <w:lang w:val="en-US" w:eastAsia="zh-CN"/>
        </w:rPr>
        <w:t>。</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EC4C6">
      <w:pPr>
        <w:numPr>
          <w:ilvl w:val="0"/>
          <w:numId w:val="5"/>
        </w:num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08" w:name="_Toc4679"/>
      <w:r>
        <w:rPr>
          <w:rFonts w:hint="eastAsia" w:ascii="仿宋" w:hAnsi="仿宋" w:eastAsia="仿宋" w:cs="仿宋"/>
          <w:b/>
          <w:color w:val="auto"/>
          <w:sz w:val="24"/>
          <w:szCs w:val="24"/>
          <w:highlight w:val="none"/>
          <w:shd w:val="clear" w:color="auto" w:fill="FFFFFF" w:themeFill="background1"/>
        </w:rPr>
        <w:t>补充条款</w:t>
      </w:r>
      <w:bookmarkEnd w:id="198"/>
      <w:bookmarkEnd w:id="199"/>
      <w:bookmarkEnd w:id="208"/>
    </w:p>
    <w:p w14:paraId="54CBE0F5">
      <w:pPr>
        <w:spacing w:line="360" w:lineRule="auto"/>
        <w:outlineLvl w:val="1"/>
        <w:rPr>
          <w:rFonts w:hint="eastAsia" w:ascii="仿宋" w:hAnsi="仿宋" w:eastAsia="仿宋" w:cs="仿宋"/>
          <w:color w:val="auto"/>
          <w:spacing w:val="6"/>
          <w:sz w:val="24"/>
          <w:szCs w:val="24"/>
          <w:highlight w:val="none"/>
        </w:rPr>
      </w:pPr>
      <w:bookmarkStart w:id="209" w:name="_Toc15921"/>
      <w:bookmarkStart w:id="210" w:name="_Toc16688"/>
      <w:bookmarkStart w:id="211" w:name="_Toc559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209"/>
      <w:bookmarkEnd w:id="210"/>
      <w:bookmarkEnd w:id="211"/>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12" w:name="_Toc20667"/>
      <w:bookmarkStart w:id="213" w:name="_Toc30202"/>
      <w:bookmarkStart w:id="214" w:name="_Toc37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12"/>
      <w:bookmarkEnd w:id="213"/>
      <w:bookmarkEnd w:id="214"/>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10"/>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215" w:name="_Toc11453"/>
      <w:bookmarkStart w:id="216" w:name="_Toc244"/>
      <w:bookmarkStart w:id="217" w:name="_Toc1304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15"/>
      <w:bookmarkEnd w:id="216"/>
      <w:bookmarkEnd w:id="217"/>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10"/>
        <w:rPr>
          <w:rFonts w:hint="eastAsia" w:ascii="仿宋" w:hAnsi="仿宋" w:eastAsia="仿宋" w:cs="仿宋"/>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51B58EF">
      <w:pPr>
        <w:spacing w:line="360" w:lineRule="auto"/>
        <w:rPr>
          <w:rFonts w:hint="eastAsia" w:ascii="仿宋" w:hAnsi="仿宋" w:eastAsia="仿宋" w:cs="仿宋"/>
          <w:color w:val="auto"/>
          <w:sz w:val="24"/>
          <w:szCs w:val="24"/>
          <w:highlight w:val="none"/>
          <w:shd w:val="clear" w:color="auto" w:fill="FFFFFF" w:themeFill="background1"/>
        </w:rPr>
      </w:pPr>
    </w:p>
    <w:p w14:paraId="0540D77B">
      <w:pPr>
        <w:rPr>
          <w:rFonts w:hint="eastAsia" w:ascii="仿宋" w:hAnsi="仿宋" w:eastAsia="仿宋" w:cs="仿宋"/>
          <w:color w:val="auto"/>
          <w:highlight w:val="none"/>
        </w:rPr>
      </w:pPr>
    </w:p>
    <w:sectPr>
      <w:headerReference r:id="rId11" w:type="default"/>
      <w:footerReference r:id="rId12"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726">
    <w:pPr>
      <w:pStyle w:val="23"/>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612F">
    <w:pPr>
      <w:pStyle w:val="23"/>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69FDF088">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63">
    <w:pPr>
      <w:pStyle w:val="23"/>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C45">
    <w:pPr>
      <w:pStyle w:val="23"/>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3AE3">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33AE3">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D556">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4F659">
                          <w:pPr>
                            <w:pStyle w:val="2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14F659">
                    <w:pPr>
                      <w:pStyle w:val="2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502">
                          <w:pPr>
                            <w:pStyle w:val="2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35E502">
                    <w:pPr>
                      <w:pStyle w:val="2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270">
    <w:pPr>
      <w:pStyle w:val="23"/>
      <w:ind w:right="360"/>
      <w:rPr>
        <w:rFonts w:ascii="仿宋" w:hAnsi="仿宋" w:eastAsia="仿宋" w:cs="仿宋"/>
        <w:sz w:val="24"/>
        <w:szCs w:val="24"/>
        <w:lang w:val="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88C92">
                          <w:pPr>
                            <w:pStyle w:val="2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C88C92">
                    <w:pPr>
                      <w:pStyle w:val="2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BADA">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0344">
    <w:pPr>
      <w:pStyle w:val="24"/>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6D5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5FB1"/>
    <w:multiLevelType w:val="singleLevel"/>
    <w:tmpl w:val="E7995FB1"/>
    <w:lvl w:ilvl="0" w:tentative="0">
      <w:start w:val="6"/>
      <w:numFmt w:val="chineseCounting"/>
      <w:suff w:val="space"/>
      <w:lvlText w:val="第%1章"/>
      <w:lvlJc w:val="left"/>
      <w:rPr>
        <w:rFonts w:hint="eastAsia"/>
      </w:rPr>
    </w:lvl>
  </w:abstractNum>
  <w:abstractNum w:abstractNumId="1">
    <w:nsid w:val="1D06C167"/>
    <w:multiLevelType w:val="singleLevel"/>
    <w:tmpl w:val="1D06C167"/>
    <w:lvl w:ilvl="0" w:tentative="0">
      <w:start w:val="2"/>
      <w:numFmt w:val="chineseCounting"/>
      <w:suff w:val="nothing"/>
      <w:lvlText w:val="（%1）"/>
      <w:lvlJc w:val="left"/>
      <w:rPr>
        <w:rFonts w:hint="eastAsia"/>
      </w:rPr>
    </w:lvl>
  </w:abstractNum>
  <w:abstractNum w:abstractNumId="2">
    <w:nsid w:val="34A453A2"/>
    <w:multiLevelType w:val="singleLevel"/>
    <w:tmpl w:val="34A453A2"/>
    <w:lvl w:ilvl="0" w:tentative="0">
      <w:start w:val="5"/>
      <w:numFmt w:val="chineseCounting"/>
      <w:suff w:val="space"/>
      <w:lvlText w:val="第%1章"/>
      <w:lvlJc w:val="left"/>
      <w:rPr>
        <w:rFonts w:hint="eastAsia"/>
      </w:rPr>
    </w:lvl>
  </w:abstractNum>
  <w:abstractNum w:abstractNumId="3">
    <w:nsid w:val="51D3F462"/>
    <w:multiLevelType w:val="singleLevel"/>
    <w:tmpl w:val="51D3F462"/>
    <w:lvl w:ilvl="0" w:tentative="0">
      <w:start w:val="1"/>
      <w:numFmt w:val="decimal"/>
      <w:suff w:val="nothing"/>
      <w:lvlText w:val="（%1）"/>
      <w:lvlJc w:val="left"/>
    </w:lvl>
  </w:abstractNum>
  <w:abstractNum w:abstractNumId="4">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6244"/>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0A1"/>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27C7"/>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2B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70F"/>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2D64"/>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5EA1"/>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07DA"/>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CDB"/>
    <w:rsid w:val="0072037A"/>
    <w:rsid w:val="00721DA0"/>
    <w:rsid w:val="00722364"/>
    <w:rsid w:val="00725381"/>
    <w:rsid w:val="0072662D"/>
    <w:rsid w:val="007277B0"/>
    <w:rsid w:val="00727EAB"/>
    <w:rsid w:val="007306DD"/>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389A"/>
    <w:rsid w:val="007C5747"/>
    <w:rsid w:val="007C5ABC"/>
    <w:rsid w:val="007C66D2"/>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76"/>
    <w:rsid w:val="00892DE8"/>
    <w:rsid w:val="008931EB"/>
    <w:rsid w:val="008946FE"/>
    <w:rsid w:val="00894F41"/>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366A1"/>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6DB8"/>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4C1B"/>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A54C7"/>
    <w:rsid w:val="00CA7EEA"/>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24"/>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2BF"/>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12E2284"/>
    <w:rsid w:val="014A102B"/>
    <w:rsid w:val="01541EA9"/>
    <w:rsid w:val="018362EB"/>
    <w:rsid w:val="018F2EE2"/>
    <w:rsid w:val="019422A6"/>
    <w:rsid w:val="01AC5842"/>
    <w:rsid w:val="02377801"/>
    <w:rsid w:val="02741E8A"/>
    <w:rsid w:val="029307AF"/>
    <w:rsid w:val="02AB78A7"/>
    <w:rsid w:val="02B32C00"/>
    <w:rsid w:val="02C44E0D"/>
    <w:rsid w:val="030376E3"/>
    <w:rsid w:val="03415CF6"/>
    <w:rsid w:val="03465822"/>
    <w:rsid w:val="034877EC"/>
    <w:rsid w:val="03791753"/>
    <w:rsid w:val="03F23E6F"/>
    <w:rsid w:val="04702B56"/>
    <w:rsid w:val="048815E2"/>
    <w:rsid w:val="04B862AB"/>
    <w:rsid w:val="04BC368C"/>
    <w:rsid w:val="04C3537C"/>
    <w:rsid w:val="04FD5688"/>
    <w:rsid w:val="051A5D86"/>
    <w:rsid w:val="054B35C3"/>
    <w:rsid w:val="0580326D"/>
    <w:rsid w:val="05816FE5"/>
    <w:rsid w:val="05C64F69"/>
    <w:rsid w:val="05D62C76"/>
    <w:rsid w:val="06B50CF4"/>
    <w:rsid w:val="06CA0F4B"/>
    <w:rsid w:val="06CB684B"/>
    <w:rsid w:val="0701218C"/>
    <w:rsid w:val="07397B77"/>
    <w:rsid w:val="07403B48"/>
    <w:rsid w:val="078B42EC"/>
    <w:rsid w:val="07E01DA1"/>
    <w:rsid w:val="07FC5C4D"/>
    <w:rsid w:val="0884412C"/>
    <w:rsid w:val="08B5190C"/>
    <w:rsid w:val="08DD4532"/>
    <w:rsid w:val="090546AC"/>
    <w:rsid w:val="091B505B"/>
    <w:rsid w:val="096802A0"/>
    <w:rsid w:val="096909F8"/>
    <w:rsid w:val="099F5881"/>
    <w:rsid w:val="09CD0A4B"/>
    <w:rsid w:val="09EB7C1C"/>
    <w:rsid w:val="0A4A3E4A"/>
    <w:rsid w:val="0A5D7472"/>
    <w:rsid w:val="0A6B478F"/>
    <w:rsid w:val="0A7C0731"/>
    <w:rsid w:val="0AAA48E8"/>
    <w:rsid w:val="0AD11E75"/>
    <w:rsid w:val="0B5A00BC"/>
    <w:rsid w:val="0B8A6024"/>
    <w:rsid w:val="0BC67500"/>
    <w:rsid w:val="0BE12CEF"/>
    <w:rsid w:val="0BF73B5D"/>
    <w:rsid w:val="0C0F70F9"/>
    <w:rsid w:val="0C1069CD"/>
    <w:rsid w:val="0C442D39"/>
    <w:rsid w:val="0C774C9E"/>
    <w:rsid w:val="0CF137AD"/>
    <w:rsid w:val="0D38442D"/>
    <w:rsid w:val="0D6916C7"/>
    <w:rsid w:val="0DF20A80"/>
    <w:rsid w:val="0E4868F2"/>
    <w:rsid w:val="0E5E1C72"/>
    <w:rsid w:val="0E7E40C2"/>
    <w:rsid w:val="0E8B5099"/>
    <w:rsid w:val="0EF84D38"/>
    <w:rsid w:val="0F5D017B"/>
    <w:rsid w:val="0F83329A"/>
    <w:rsid w:val="0FB71F81"/>
    <w:rsid w:val="0FC3503C"/>
    <w:rsid w:val="0FCE32B0"/>
    <w:rsid w:val="103203DE"/>
    <w:rsid w:val="10710382"/>
    <w:rsid w:val="10A62E44"/>
    <w:rsid w:val="10B62239"/>
    <w:rsid w:val="1125116C"/>
    <w:rsid w:val="114C494B"/>
    <w:rsid w:val="11553800"/>
    <w:rsid w:val="11934328"/>
    <w:rsid w:val="11943BFC"/>
    <w:rsid w:val="11A80796"/>
    <w:rsid w:val="11BC011F"/>
    <w:rsid w:val="11CE710E"/>
    <w:rsid w:val="11E62C1D"/>
    <w:rsid w:val="11E903EC"/>
    <w:rsid w:val="120945EA"/>
    <w:rsid w:val="120E39AF"/>
    <w:rsid w:val="12255CB7"/>
    <w:rsid w:val="12371157"/>
    <w:rsid w:val="123F24AA"/>
    <w:rsid w:val="125A2040"/>
    <w:rsid w:val="12785A55"/>
    <w:rsid w:val="1283439D"/>
    <w:rsid w:val="12902616"/>
    <w:rsid w:val="12D86756"/>
    <w:rsid w:val="135C4810"/>
    <w:rsid w:val="137B1518"/>
    <w:rsid w:val="139B5716"/>
    <w:rsid w:val="13A20852"/>
    <w:rsid w:val="14551D69"/>
    <w:rsid w:val="14643D5A"/>
    <w:rsid w:val="146855F8"/>
    <w:rsid w:val="14702016"/>
    <w:rsid w:val="148E7DB7"/>
    <w:rsid w:val="14AD5701"/>
    <w:rsid w:val="14C64A14"/>
    <w:rsid w:val="15175213"/>
    <w:rsid w:val="15545B7C"/>
    <w:rsid w:val="15D90A9B"/>
    <w:rsid w:val="160E6673"/>
    <w:rsid w:val="16526560"/>
    <w:rsid w:val="16EF0253"/>
    <w:rsid w:val="16FE2244"/>
    <w:rsid w:val="17101F77"/>
    <w:rsid w:val="172D2B29"/>
    <w:rsid w:val="17544559"/>
    <w:rsid w:val="17793FC0"/>
    <w:rsid w:val="17996410"/>
    <w:rsid w:val="17A45E25"/>
    <w:rsid w:val="17B44FF8"/>
    <w:rsid w:val="17EE6794"/>
    <w:rsid w:val="1816180F"/>
    <w:rsid w:val="18421C82"/>
    <w:rsid w:val="1853036D"/>
    <w:rsid w:val="18932E60"/>
    <w:rsid w:val="18F71640"/>
    <w:rsid w:val="19742C91"/>
    <w:rsid w:val="199B021E"/>
    <w:rsid w:val="19AD646C"/>
    <w:rsid w:val="19B90EF2"/>
    <w:rsid w:val="19E219A9"/>
    <w:rsid w:val="1A02029D"/>
    <w:rsid w:val="1A2E40E5"/>
    <w:rsid w:val="1A6352C4"/>
    <w:rsid w:val="1A89451A"/>
    <w:rsid w:val="1A961EAB"/>
    <w:rsid w:val="1AAB623F"/>
    <w:rsid w:val="1AB62CA6"/>
    <w:rsid w:val="1B040045"/>
    <w:rsid w:val="1B661967"/>
    <w:rsid w:val="1BA550D1"/>
    <w:rsid w:val="1BA96177"/>
    <w:rsid w:val="1C00080C"/>
    <w:rsid w:val="1C016E0E"/>
    <w:rsid w:val="1C44694B"/>
    <w:rsid w:val="1C5D5C5E"/>
    <w:rsid w:val="1C6A7A58"/>
    <w:rsid w:val="1C76287C"/>
    <w:rsid w:val="1CAB5593"/>
    <w:rsid w:val="1CC21F65"/>
    <w:rsid w:val="1CDB1137"/>
    <w:rsid w:val="1CDC489E"/>
    <w:rsid w:val="1CF739BD"/>
    <w:rsid w:val="1CFA525B"/>
    <w:rsid w:val="1CFE623E"/>
    <w:rsid w:val="1D1B1F25"/>
    <w:rsid w:val="1D1C78C7"/>
    <w:rsid w:val="1D2207B9"/>
    <w:rsid w:val="1D4026A8"/>
    <w:rsid w:val="1D436C02"/>
    <w:rsid w:val="1D4448D9"/>
    <w:rsid w:val="1D6A0633"/>
    <w:rsid w:val="1D8B2357"/>
    <w:rsid w:val="1DD12460"/>
    <w:rsid w:val="1E1665EA"/>
    <w:rsid w:val="1E19760E"/>
    <w:rsid w:val="1E2277E6"/>
    <w:rsid w:val="1E2A35D7"/>
    <w:rsid w:val="1E37603B"/>
    <w:rsid w:val="1E522E75"/>
    <w:rsid w:val="1EC15C9C"/>
    <w:rsid w:val="1F106FB8"/>
    <w:rsid w:val="1F2111C5"/>
    <w:rsid w:val="1F861028"/>
    <w:rsid w:val="1FBA5176"/>
    <w:rsid w:val="1FBF278C"/>
    <w:rsid w:val="200331E0"/>
    <w:rsid w:val="20071E19"/>
    <w:rsid w:val="200F101E"/>
    <w:rsid w:val="20286583"/>
    <w:rsid w:val="203543E6"/>
    <w:rsid w:val="2040730C"/>
    <w:rsid w:val="208F03B0"/>
    <w:rsid w:val="20994D8B"/>
    <w:rsid w:val="209B4FA7"/>
    <w:rsid w:val="20A918DB"/>
    <w:rsid w:val="20C938C2"/>
    <w:rsid w:val="20DA787E"/>
    <w:rsid w:val="20EA3839"/>
    <w:rsid w:val="213F3B84"/>
    <w:rsid w:val="21457AA6"/>
    <w:rsid w:val="215F5FD5"/>
    <w:rsid w:val="2160757F"/>
    <w:rsid w:val="21617F9F"/>
    <w:rsid w:val="2169425B"/>
    <w:rsid w:val="21701F90"/>
    <w:rsid w:val="21817CF9"/>
    <w:rsid w:val="21DC13D3"/>
    <w:rsid w:val="220821C8"/>
    <w:rsid w:val="224F6049"/>
    <w:rsid w:val="22633F3F"/>
    <w:rsid w:val="22661210"/>
    <w:rsid w:val="229C1B6E"/>
    <w:rsid w:val="22A719E1"/>
    <w:rsid w:val="22B44975"/>
    <w:rsid w:val="22C27D0B"/>
    <w:rsid w:val="22EB2BDA"/>
    <w:rsid w:val="230B2DFF"/>
    <w:rsid w:val="233C481F"/>
    <w:rsid w:val="23566F63"/>
    <w:rsid w:val="236E69A3"/>
    <w:rsid w:val="23827D58"/>
    <w:rsid w:val="23DF164F"/>
    <w:rsid w:val="23FA0237"/>
    <w:rsid w:val="244871F4"/>
    <w:rsid w:val="24586AC6"/>
    <w:rsid w:val="24732C75"/>
    <w:rsid w:val="24816262"/>
    <w:rsid w:val="24A00DDE"/>
    <w:rsid w:val="24A51F50"/>
    <w:rsid w:val="24B0423F"/>
    <w:rsid w:val="24CF417D"/>
    <w:rsid w:val="24DD17C0"/>
    <w:rsid w:val="24E65B35"/>
    <w:rsid w:val="24E707BB"/>
    <w:rsid w:val="25085E72"/>
    <w:rsid w:val="25237319"/>
    <w:rsid w:val="255676EF"/>
    <w:rsid w:val="2566249D"/>
    <w:rsid w:val="25696723"/>
    <w:rsid w:val="25EF714A"/>
    <w:rsid w:val="25FA2770"/>
    <w:rsid w:val="261F3F85"/>
    <w:rsid w:val="2629095F"/>
    <w:rsid w:val="26345C82"/>
    <w:rsid w:val="26393298"/>
    <w:rsid w:val="269D1521"/>
    <w:rsid w:val="26A12BEB"/>
    <w:rsid w:val="26C03072"/>
    <w:rsid w:val="26F25034"/>
    <w:rsid w:val="26F2791B"/>
    <w:rsid w:val="278F0C96"/>
    <w:rsid w:val="27B9274C"/>
    <w:rsid w:val="27E9484A"/>
    <w:rsid w:val="27FF5E1C"/>
    <w:rsid w:val="284B5B2B"/>
    <w:rsid w:val="2852419D"/>
    <w:rsid w:val="28AA222B"/>
    <w:rsid w:val="28C21D69"/>
    <w:rsid w:val="290D4D9A"/>
    <w:rsid w:val="2946482C"/>
    <w:rsid w:val="2963618A"/>
    <w:rsid w:val="29870F46"/>
    <w:rsid w:val="2989303D"/>
    <w:rsid w:val="29E51041"/>
    <w:rsid w:val="2A1E44A1"/>
    <w:rsid w:val="2A24600D"/>
    <w:rsid w:val="2A4E308A"/>
    <w:rsid w:val="2A9A62D0"/>
    <w:rsid w:val="2AF52EA6"/>
    <w:rsid w:val="2B2F07C6"/>
    <w:rsid w:val="2B7345A8"/>
    <w:rsid w:val="2B8A00F2"/>
    <w:rsid w:val="2BB94533"/>
    <w:rsid w:val="2BDB094E"/>
    <w:rsid w:val="2C1520B2"/>
    <w:rsid w:val="2C167BD8"/>
    <w:rsid w:val="2C73041D"/>
    <w:rsid w:val="2C792640"/>
    <w:rsid w:val="2CA174A1"/>
    <w:rsid w:val="2CAD22EA"/>
    <w:rsid w:val="2CD258AD"/>
    <w:rsid w:val="2CD87B57"/>
    <w:rsid w:val="2D1759B5"/>
    <w:rsid w:val="2D1B68AA"/>
    <w:rsid w:val="2D537B81"/>
    <w:rsid w:val="2D662499"/>
    <w:rsid w:val="2D8172D3"/>
    <w:rsid w:val="2D856CCB"/>
    <w:rsid w:val="2D9E1C33"/>
    <w:rsid w:val="2DBD030B"/>
    <w:rsid w:val="2DC93154"/>
    <w:rsid w:val="2E0028ED"/>
    <w:rsid w:val="2E031E2E"/>
    <w:rsid w:val="2E04418C"/>
    <w:rsid w:val="2E130F54"/>
    <w:rsid w:val="2E4B1DBB"/>
    <w:rsid w:val="2E5A0250"/>
    <w:rsid w:val="2E5E1B7B"/>
    <w:rsid w:val="2E8048AF"/>
    <w:rsid w:val="2EA4771D"/>
    <w:rsid w:val="2EA65A14"/>
    <w:rsid w:val="2EB96AE5"/>
    <w:rsid w:val="2EF97A69"/>
    <w:rsid w:val="2F083808"/>
    <w:rsid w:val="2F1C4306"/>
    <w:rsid w:val="2F266384"/>
    <w:rsid w:val="2F3E7229"/>
    <w:rsid w:val="2FE37DD1"/>
    <w:rsid w:val="30140C31"/>
    <w:rsid w:val="306B04F2"/>
    <w:rsid w:val="30977539"/>
    <w:rsid w:val="309D2676"/>
    <w:rsid w:val="30A41222"/>
    <w:rsid w:val="31085D41"/>
    <w:rsid w:val="31321010"/>
    <w:rsid w:val="313F54DB"/>
    <w:rsid w:val="31556AAC"/>
    <w:rsid w:val="3175714F"/>
    <w:rsid w:val="31B41A25"/>
    <w:rsid w:val="31B62D44"/>
    <w:rsid w:val="322E7A29"/>
    <w:rsid w:val="324816C4"/>
    <w:rsid w:val="3262491A"/>
    <w:rsid w:val="326F3B9E"/>
    <w:rsid w:val="327318E0"/>
    <w:rsid w:val="32B53CA7"/>
    <w:rsid w:val="32C53F54"/>
    <w:rsid w:val="32C959A4"/>
    <w:rsid w:val="33024A12"/>
    <w:rsid w:val="331035D3"/>
    <w:rsid w:val="33174961"/>
    <w:rsid w:val="331E1B39"/>
    <w:rsid w:val="33324FAE"/>
    <w:rsid w:val="3337078A"/>
    <w:rsid w:val="33A501AB"/>
    <w:rsid w:val="33F16F60"/>
    <w:rsid w:val="34104626"/>
    <w:rsid w:val="34125129"/>
    <w:rsid w:val="34465710"/>
    <w:rsid w:val="3450057F"/>
    <w:rsid w:val="345D45F6"/>
    <w:rsid w:val="34A57D4B"/>
    <w:rsid w:val="34B03AD6"/>
    <w:rsid w:val="34E24AFB"/>
    <w:rsid w:val="35150A2C"/>
    <w:rsid w:val="35337105"/>
    <w:rsid w:val="353D61D5"/>
    <w:rsid w:val="35571045"/>
    <w:rsid w:val="35777939"/>
    <w:rsid w:val="35846E2F"/>
    <w:rsid w:val="35935DF5"/>
    <w:rsid w:val="3598300D"/>
    <w:rsid w:val="359E6B64"/>
    <w:rsid w:val="35A95619"/>
    <w:rsid w:val="35ED7BFB"/>
    <w:rsid w:val="35FB40C6"/>
    <w:rsid w:val="3656754F"/>
    <w:rsid w:val="36716136"/>
    <w:rsid w:val="36820344"/>
    <w:rsid w:val="36B64491"/>
    <w:rsid w:val="36E27034"/>
    <w:rsid w:val="36E96615"/>
    <w:rsid w:val="37103BA1"/>
    <w:rsid w:val="371442C0"/>
    <w:rsid w:val="37585548"/>
    <w:rsid w:val="37672E6A"/>
    <w:rsid w:val="37B95FE7"/>
    <w:rsid w:val="37BB6822"/>
    <w:rsid w:val="37CD77F5"/>
    <w:rsid w:val="37D72911"/>
    <w:rsid w:val="380D6333"/>
    <w:rsid w:val="383438BF"/>
    <w:rsid w:val="38431D54"/>
    <w:rsid w:val="38445935"/>
    <w:rsid w:val="387704DC"/>
    <w:rsid w:val="387719FE"/>
    <w:rsid w:val="3894435E"/>
    <w:rsid w:val="38ED3A6E"/>
    <w:rsid w:val="3909523B"/>
    <w:rsid w:val="39A405D1"/>
    <w:rsid w:val="39A64349"/>
    <w:rsid w:val="39A84849"/>
    <w:rsid w:val="39AE1450"/>
    <w:rsid w:val="39B50A30"/>
    <w:rsid w:val="3A0948D8"/>
    <w:rsid w:val="3A63223A"/>
    <w:rsid w:val="3A6D30B9"/>
    <w:rsid w:val="3A7A7584"/>
    <w:rsid w:val="3AFE262F"/>
    <w:rsid w:val="3B3E6803"/>
    <w:rsid w:val="3BA23236"/>
    <w:rsid w:val="3BB05953"/>
    <w:rsid w:val="3BC62A80"/>
    <w:rsid w:val="3BD66A3C"/>
    <w:rsid w:val="3BF45E43"/>
    <w:rsid w:val="3C0435A9"/>
    <w:rsid w:val="3C1F6635"/>
    <w:rsid w:val="3C3F2403"/>
    <w:rsid w:val="3C3F4AE6"/>
    <w:rsid w:val="3C5A58BF"/>
    <w:rsid w:val="3CC6146E"/>
    <w:rsid w:val="3CFC24D2"/>
    <w:rsid w:val="3D2F28A7"/>
    <w:rsid w:val="3D6844FA"/>
    <w:rsid w:val="3D6D7F4C"/>
    <w:rsid w:val="3D7F382F"/>
    <w:rsid w:val="3DF00289"/>
    <w:rsid w:val="3E5D4C7A"/>
    <w:rsid w:val="3E9458E4"/>
    <w:rsid w:val="3E990920"/>
    <w:rsid w:val="3E99447C"/>
    <w:rsid w:val="3E9A0E65"/>
    <w:rsid w:val="3EDB51F8"/>
    <w:rsid w:val="3F0062A9"/>
    <w:rsid w:val="3F0A0758"/>
    <w:rsid w:val="3F0C172B"/>
    <w:rsid w:val="3F2C0AE5"/>
    <w:rsid w:val="3F516B05"/>
    <w:rsid w:val="3F7D5B4C"/>
    <w:rsid w:val="3FAC00F9"/>
    <w:rsid w:val="3FCF3A3E"/>
    <w:rsid w:val="3FCF3ECE"/>
    <w:rsid w:val="4024421A"/>
    <w:rsid w:val="40503261"/>
    <w:rsid w:val="40525E10"/>
    <w:rsid w:val="4070547F"/>
    <w:rsid w:val="408D0011"/>
    <w:rsid w:val="408D6263"/>
    <w:rsid w:val="408E5B37"/>
    <w:rsid w:val="409A0980"/>
    <w:rsid w:val="409C46F8"/>
    <w:rsid w:val="40A73392"/>
    <w:rsid w:val="40A80AB7"/>
    <w:rsid w:val="40B530C4"/>
    <w:rsid w:val="40F33877"/>
    <w:rsid w:val="40F956A6"/>
    <w:rsid w:val="41043009"/>
    <w:rsid w:val="41320BB8"/>
    <w:rsid w:val="41E9571B"/>
    <w:rsid w:val="421D53C4"/>
    <w:rsid w:val="4258464E"/>
    <w:rsid w:val="425863FC"/>
    <w:rsid w:val="42B75819"/>
    <w:rsid w:val="42BA70B7"/>
    <w:rsid w:val="42F00D2B"/>
    <w:rsid w:val="430D368B"/>
    <w:rsid w:val="43662FA4"/>
    <w:rsid w:val="43860D47"/>
    <w:rsid w:val="43882D11"/>
    <w:rsid w:val="43B9111D"/>
    <w:rsid w:val="43D1290A"/>
    <w:rsid w:val="43F03E56"/>
    <w:rsid w:val="43F6411F"/>
    <w:rsid w:val="440D2025"/>
    <w:rsid w:val="44207E0E"/>
    <w:rsid w:val="44316C9F"/>
    <w:rsid w:val="44701859"/>
    <w:rsid w:val="44BC4DD3"/>
    <w:rsid w:val="44C50125"/>
    <w:rsid w:val="44D41900"/>
    <w:rsid w:val="44DF6E38"/>
    <w:rsid w:val="44DF74EB"/>
    <w:rsid w:val="44E64193"/>
    <w:rsid w:val="44F51BD1"/>
    <w:rsid w:val="450B59A8"/>
    <w:rsid w:val="455455A1"/>
    <w:rsid w:val="45561319"/>
    <w:rsid w:val="456826CA"/>
    <w:rsid w:val="45BB5620"/>
    <w:rsid w:val="45C51FFB"/>
    <w:rsid w:val="45C83899"/>
    <w:rsid w:val="45CD0EAF"/>
    <w:rsid w:val="4650424D"/>
    <w:rsid w:val="46C04255"/>
    <w:rsid w:val="471C7AE0"/>
    <w:rsid w:val="47451645"/>
    <w:rsid w:val="47685334"/>
    <w:rsid w:val="476A10AC"/>
    <w:rsid w:val="47B642F1"/>
    <w:rsid w:val="481D7ECC"/>
    <w:rsid w:val="482A4397"/>
    <w:rsid w:val="482C6361"/>
    <w:rsid w:val="482D19C9"/>
    <w:rsid w:val="482E032B"/>
    <w:rsid w:val="48345216"/>
    <w:rsid w:val="48355EC6"/>
    <w:rsid w:val="483D056E"/>
    <w:rsid w:val="48541414"/>
    <w:rsid w:val="485E04E5"/>
    <w:rsid w:val="486378A9"/>
    <w:rsid w:val="486908F2"/>
    <w:rsid w:val="492359B6"/>
    <w:rsid w:val="492434DC"/>
    <w:rsid w:val="49325BF9"/>
    <w:rsid w:val="4989333F"/>
    <w:rsid w:val="49E63B8C"/>
    <w:rsid w:val="4A3A6AD6"/>
    <w:rsid w:val="4A3E412A"/>
    <w:rsid w:val="4A4C4A99"/>
    <w:rsid w:val="4A5D6CA6"/>
    <w:rsid w:val="4A7B537E"/>
    <w:rsid w:val="4AC5484B"/>
    <w:rsid w:val="4AD131F0"/>
    <w:rsid w:val="4AF64A04"/>
    <w:rsid w:val="4B0709C0"/>
    <w:rsid w:val="4B1706C2"/>
    <w:rsid w:val="4B374E90"/>
    <w:rsid w:val="4B5005B9"/>
    <w:rsid w:val="4B5700E4"/>
    <w:rsid w:val="4B5F25AA"/>
    <w:rsid w:val="4B991F60"/>
    <w:rsid w:val="4BBF1EF3"/>
    <w:rsid w:val="4BD93CC9"/>
    <w:rsid w:val="4C1B2975"/>
    <w:rsid w:val="4C3457E4"/>
    <w:rsid w:val="4C762224"/>
    <w:rsid w:val="4CE03BBE"/>
    <w:rsid w:val="4D1B1945"/>
    <w:rsid w:val="4D2373BA"/>
    <w:rsid w:val="4D673998"/>
    <w:rsid w:val="4D73233C"/>
    <w:rsid w:val="4D7E765F"/>
    <w:rsid w:val="4D827EB9"/>
    <w:rsid w:val="4D9662FF"/>
    <w:rsid w:val="4E045E55"/>
    <w:rsid w:val="4ECC61A8"/>
    <w:rsid w:val="4EE86E84"/>
    <w:rsid w:val="4EF61477"/>
    <w:rsid w:val="4F1E0688"/>
    <w:rsid w:val="4F4B3D3E"/>
    <w:rsid w:val="4F7A5C04"/>
    <w:rsid w:val="4F9D18F3"/>
    <w:rsid w:val="4FB235F0"/>
    <w:rsid w:val="4FB56C3C"/>
    <w:rsid w:val="4FC2067F"/>
    <w:rsid w:val="4FDA48F5"/>
    <w:rsid w:val="4FE31FFC"/>
    <w:rsid w:val="4FEB6B02"/>
    <w:rsid w:val="50175B49"/>
    <w:rsid w:val="50412BC6"/>
    <w:rsid w:val="50B41558"/>
    <w:rsid w:val="51581F75"/>
    <w:rsid w:val="516A7EFA"/>
    <w:rsid w:val="51750D79"/>
    <w:rsid w:val="517D3175"/>
    <w:rsid w:val="519A07DF"/>
    <w:rsid w:val="51C846F3"/>
    <w:rsid w:val="51D174B1"/>
    <w:rsid w:val="51DC2BA6"/>
    <w:rsid w:val="522B58DB"/>
    <w:rsid w:val="524B3888"/>
    <w:rsid w:val="52742DDF"/>
    <w:rsid w:val="527F631B"/>
    <w:rsid w:val="5283316D"/>
    <w:rsid w:val="528943B0"/>
    <w:rsid w:val="52AA6A41"/>
    <w:rsid w:val="52D910E5"/>
    <w:rsid w:val="52DB0D18"/>
    <w:rsid w:val="52F65BC8"/>
    <w:rsid w:val="53193986"/>
    <w:rsid w:val="534A1D91"/>
    <w:rsid w:val="538C4158"/>
    <w:rsid w:val="53EC4BF7"/>
    <w:rsid w:val="53F35F85"/>
    <w:rsid w:val="54065CB8"/>
    <w:rsid w:val="541D7610"/>
    <w:rsid w:val="542425E2"/>
    <w:rsid w:val="543547EF"/>
    <w:rsid w:val="549459BA"/>
    <w:rsid w:val="549B3399"/>
    <w:rsid w:val="54B61B71"/>
    <w:rsid w:val="54DB0444"/>
    <w:rsid w:val="550348EE"/>
    <w:rsid w:val="5503669C"/>
    <w:rsid w:val="55197C6D"/>
    <w:rsid w:val="552B25EE"/>
    <w:rsid w:val="55525C11"/>
    <w:rsid w:val="556C4241"/>
    <w:rsid w:val="55986DE4"/>
    <w:rsid w:val="55B81234"/>
    <w:rsid w:val="55CF47D0"/>
    <w:rsid w:val="55CF5EF1"/>
    <w:rsid w:val="5622559B"/>
    <w:rsid w:val="562875A6"/>
    <w:rsid w:val="563C00B7"/>
    <w:rsid w:val="56462CE4"/>
    <w:rsid w:val="56CD6F61"/>
    <w:rsid w:val="56FE35BF"/>
    <w:rsid w:val="57081D47"/>
    <w:rsid w:val="57193F55"/>
    <w:rsid w:val="571C57F3"/>
    <w:rsid w:val="57200B83"/>
    <w:rsid w:val="57555DE6"/>
    <w:rsid w:val="57711FE2"/>
    <w:rsid w:val="57B123DF"/>
    <w:rsid w:val="57B74395"/>
    <w:rsid w:val="57B95737"/>
    <w:rsid w:val="57C87729"/>
    <w:rsid w:val="57E427B4"/>
    <w:rsid w:val="57F535F0"/>
    <w:rsid w:val="58101160"/>
    <w:rsid w:val="58663728"/>
    <w:rsid w:val="58B27195"/>
    <w:rsid w:val="58E40592"/>
    <w:rsid w:val="58FC1D80"/>
    <w:rsid w:val="596811C3"/>
    <w:rsid w:val="598A113A"/>
    <w:rsid w:val="59D6437F"/>
    <w:rsid w:val="59E06FAB"/>
    <w:rsid w:val="59E36A9C"/>
    <w:rsid w:val="59FD5DAF"/>
    <w:rsid w:val="5A4C6CD8"/>
    <w:rsid w:val="5A4E03B9"/>
    <w:rsid w:val="5A58296B"/>
    <w:rsid w:val="5A5D23AA"/>
    <w:rsid w:val="5A7823A2"/>
    <w:rsid w:val="5AD56B5A"/>
    <w:rsid w:val="5B2F1F99"/>
    <w:rsid w:val="5B555777"/>
    <w:rsid w:val="5B597015"/>
    <w:rsid w:val="5BA364E3"/>
    <w:rsid w:val="5BBB1A7E"/>
    <w:rsid w:val="5BC22E0D"/>
    <w:rsid w:val="5BD20B76"/>
    <w:rsid w:val="5BE977B3"/>
    <w:rsid w:val="5BF15A06"/>
    <w:rsid w:val="5BF25068"/>
    <w:rsid w:val="5C030AA8"/>
    <w:rsid w:val="5C084598"/>
    <w:rsid w:val="5C090F2F"/>
    <w:rsid w:val="5C693288"/>
    <w:rsid w:val="5C6E4DC9"/>
    <w:rsid w:val="5CA50038"/>
    <w:rsid w:val="5CB94A17"/>
    <w:rsid w:val="5CFF3BED"/>
    <w:rsid w:val="5D221689"/>
    <w:rsid w:val="5D414205"/>
    <w:rsid w:val="5D50269A"/>
    <w:rsid w:val="5D7E1EC0"/>
    <w:rsid w:val="5DA87DE0"/>
    <w:rsid w:val="5DFE5C52"/>
    <w:rsid w:val="5E4919D3"/>
    <w:rsid w:val="5EB32EE1"/>
    <w:rsid w:val="5EE96902"/>
    <w:rsid w:val="5EFF6126"/>
    <w:rsid w:val="5F08322C"/>
    <w:rsid w:val="5F092B01"/>
    <w:rsid w:val="5F1A4D0E"/>
    <w:rsid w:val="5F323AA6"/>
    <w:rsid w:val="5F4E6765"/>
    <w:rsid w:val="5F7C1524"/>
    <w:rsid w:val="5F9C5723"/>
    <w:rsid w:val="5FAF18FA"/>
    <w:rsid w:val="600532C8"/>
    <w:rsid w:val="6036191B"/>
    <w:rsid w:val="6040150D"/>
    <w:rsid w:val="60477D84"/>
    <w:rsid w:val="606E3563"/>
    <w:rsid w:val="609603C4"/>
    <w:rsid w:val="60A96349"/>
    <w:rsid w:val="60F82E2D"/>
    <w:rsid w:val="60FD48E7"/>
    <w:rsid w:val="61001CE1"/>
    <w:rsid w:val="6118527D"/>
    <w:rsid w:val="612F6320"/>
    <w:rsid w:val="61734BA9"/>
    <w:rsid w:val="61AD3C17"/>
    <w:rsid w:val="61B45646"/>
    <w:rsid w:val="61EE40B9"/>
    <w:rsid w:val="62214205"/>
    <w:rsid w:val="623F6839"/>
    <w:rsid w:val="627E7362"/>
    <w:rsid w:val="62B15989"/>
    <w:rsid w:val="62E3561A"/>
    <w:rsid w:val="62E52BF0"/>
    <w:rsid w:val="630006BE"/>
    <w:rsid w:val="63500CFE"/>
    <w:rsid w:val="63A4104A"/>
    <w:rsid w:val="63BA261B"/>
    <w:rsid w:val="63BC2837"/>
    <w:rsid w:val="63C16BEA"/>
    <w:rsid w:val="63DC4C88"/>
    <w:rsid w:val="642E107D"/>
    <w:rsid w:val="642F1B54"/>
    <w:rsid w:val="645C1924"/>
    <w:rsid w:val="6477675E"/>
    <w:rsid w:val="6490560B"/>
    <w:rsid w:val="64942E6C"/>
    <w:rsid w:val="64EA33D4"/>
    <w:rsid w:val="64FC57C2"/>
    <w:rsid w:val="651B7271"/>
    <w:rsid w:val="657C2D0E"/>
    <w:rsid w:val="659417A4"/>
    <w:rsid w:val="659D726C"/>
    <w:rsid w:val="65B37C6A"/>
    <w:rsid w:val="65C94540"/>
    <w:rsid w:val="65F8742B"/>
    <w:rsid w:val="65FF2424"/>
    <w:rsid w:val="664D59C9"/>
    <w:rsid w:val="6663130C"/>
    <w:rsid w:val="668F6040"/>
    <w:rsid w:val="66B028AC"/>
    <w:rsid w:val="66B73179"/>
    <w:rsid w:val="66C11F13"/>
    <w:rsid w:val="66D103A8"/>
    <w:rsid w:val="66EF082E"/>
    <w:rsid w:val="66F67E0E"/>
    <w:rsid w:val="674F5770"/>
    <w:rsid w:val="677953F6"/>
    <w:rsid w:val="6784541A"/>
    <w:rsid w:val="67CA4DF7"/>
    <w:rsid w:val="67F500C6"/>
    <w:rsid w:val="6804655B"/>
    <w:rsid w:val="68250567"/>
    <w:rsid w:val="688D47A2"/>
    <w:rsid w:val="68AA5354"/>
    <w:rsid w:val="68AB69D7"/>
    <w:rsid w:val="68E1689C"/>
    <w:rsid w:val="690D7691"/>
    <w:rsid w:val="691B3B5C"/>
    <w:rsid w:val="69205616"/>
    <w:rsid w:val="69231D99"/>
    <w:rsid w:val="69531548"/>
    <w:rsid w:val="697B45FB"/>
    <w:rsid w:val="6981521F"/>
    <w:rsid w:val="6996429D"/>
    <w:rsid w:val="69A51678"/>
    <w:rsid w:val="6A541451"/>
    <w:rsid w:val="6A8C11F2"/>
    <w:rsid w:val="6AAB7162"/>
    <w:rsid w:val="6ADE12E5"/>
    <w:rsid w:val="6B431148"/>
    <w:rsid w:val="6B594B7D"/>
    <w:rsid w:val="6B6F018F"/>
    <w:rsid w:val="6BA73DCD"/>
    <w:rsid w:val="6BF3491C"/>
    <w:rsid w:val="6C2E180A"/>
    <w:rsid w:val="6C3F4E4E"/>
    <w:rsid w:val="6C560CAF"/>
    <w:rsid w:val="6C5D26DE"/>
    <w:rsid w:val="6CB30550"/>
    <w:rsid w:val="6CB57E24"/>
    <w:rsid w:val="6CBF6EF4"/>
    <w:rsid w:val="6D095228"/>
    <w:rsid w:val="6D1D48B7"/>
    <w:rsid w:val="6D4425D2"/>
    <w:rsid w:val="6D920165"/>
    <w:rsid w:val="6D9D5488"/>
    <w:rsid w:val="6DDB33BB"/>
    <w:rsid w:val="6E1F2C65"/>
    <w:rsid w:val="6E9C573F"/>
    <w:rsid w:val="6EE844E0"/>
    <w:rsid w:val="6EFC61DE"/>
    <w:rsid w:val="6F0D2199"/>
    <w:rsid w:val="6FF46EB5"/>
    <w:rsid w:val="6FFD045F"/>
    <w:rsid w:val="702C664F"/>
    <w:rsid w:val="704240C4"/>
    <w:rsid w:val="70721977"/>
    <w:rsid w:val="708B5A6B"/>
    <w:rsid w:val="708F2650"/>
    <w:rsid w:val="70B14DA6"/>
    <w:rsid w:val="70C66AA3"/>
    <w:rsid w:val="70D958BC"/>
    <w:rsid w:val="713A08A9"/>
    <w:rsid w:val="71866233"/>
    <w:rsid w:val="71A010A2"/>
    <w:rsid w:val="71B96608"/>
    <w:rsid w:val="71C34D91"/>
    <w:rsid w:val="71E929E5"/>
    <w:rsid w:val="72231CD3"/>
    <w:rsid w:val="7229553C"/>
    <w:rsid w:val="722A12B4"/>
    <w:rsid w:val="7235379B"/>
    <w:rsid w:val="723D2D95"/>
    <w:rsid w:val="72402057"/>
    <w:rsid w:val="72451C4A"/>
    <w:rsid w:val="724A3704"/>
    <w:rsid w:val="727A2DEB"/>
    <w:rsid w:val="72AE77EF"/>
    <w:rsid w:val="72B1108D"/>
    <w:rsid w:val="7346211D"/>
    <w:rsid w:val="73504D4A"/>
    <w:rsid w:val="73614861"/>
    <w:rsid w:val="737A5923"/>
    <w:rsid w:val="7393283D"/>
    <w:rsid w:val="73B88F80"/>
    <w:rsid w:val="73C03C7E"/>
    <w:rsid w:val="73D86C91"/>
    <w:rsid w:val="73EF00BF"/>
    <w:rsid w:val="741E09A4"/>
    <w:rsid w:val="74212243"/>
    <w:rsid w:val="749649DF"/>
    <w:rsid w:val="749857BF"/>
    <w:rsid w:val="74AB0A44"/>
    <w:rsid w:val="74AD776E"/>
    <w:rsid w:val="74C652C4"/>
    <w:rsid w:val="74C94E19"/>
    <w:rsid w:val="75054F76"/>
    <w:rsid w:val="759251A6"/>
    <w:rsid w:val="760D6F22"/>
    <w:rsid w:val="76263B40"/>
    <w:rsid w:val="76937428"/>
    <w:rsid w:val="769431A0"/>
    <w:rsid w:val="769A6A08"/>
    <w:rsid w:val="76C16F73"/>
    <w:rsid w:val="76DD69CC"/>
    <w:rsid w:val="76E01F41"/>
    <w:rsid w:val="77A318EC"/>
    <w:rsid w:val="77E15F71"/>
    <w:rsid w:val="78025A15"/>
    <w:rsid w:val="78767001"/>
    <w:rsid w:val="787A073D"/>
    <w:rsid w:val="789254BD"/>
    <w:rsid w:val="78947487"/>
    <w:rsid w:val="78CD4747"/>
    <w:rsid w:val="78DE6954"/>
    <w:rsid w:val="78E04567"/>
    <w:rsid w:val="790A14F7"/>
    <w:rsid w:val="791D56CF"/>
    <w:rsid w:val="7931117A"/>
    <w:rsid w:val="793D7B1F"/>
    <w:rsid w:val="798C1249"/>
    <w:rsid w:val="7A0643B5"/>
    <w:rsid w:val="7A4078C7"/>
    <w:rsid w:val="7A523156"/>
    <w:rsid w:val="7A85352B"/>
    <w:rsid w:val="7A8C43C6"/>
    <w:rsid w:val="7AA2698F"/>
    <w:rsid w:val="7AAC0AB8"/>
    <w:rsid w:val="7AAD65DE"/>
    <w:rsid w:val="7AE00762"/>
    <w:rsid w:val="7AFB3B2F"/>
    <w:rsid w:val="7B783090"/>
    <w:rsid w:val="7BAE6AB2"/>
    <w:rsid w:val="7BB340C8"/>
    <w:rsid w:val="7BE25154"/>
    <w:rsid w:val="7BE7708B"/>
    <w:rsid w:val="7BF73FB5"/>
    <w:rsid w:val="7C1032C9"/>
    <w:rsid w:val="7C350F81"/>
    <w:rsid w:val="7C43369E"/>
    <w:rsid w:val="7C851F6D"/>
    <w:rsid w:val="7CB974BC"/>
    <w:rsid w:val="7D1B4C74"/>
    <w:rsid w:val="7D4C20DE"/>
    <w:rsid w:val="7D503278"/>
    <w:rsid w:val="7D6A5E50"/>
    <w:rsid w:val="7D8C6BBD"/>
    <w:rsid w:val="7DA963CF"/>
    <w:rsid w:val="7DD16A88"/>
    <w:rsid w:val="7DF804B8"/>
    <w:rsid w:val="7DFA7D8C"/>
    <w:rsid w:val="7E1A3F8B"/>
    <w:rsid w:val="7EB02B41"/>
    <w:rsid w:val="7F8E2E8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3"/>
    <w:qFormat/>
    <w:uiPriority w:val="9"/>
    <w:pPr>
      <w:keepNext/>
      <w:widowControl/>
      <w:spacing w:before="340" w:after="330" w:line="576" w:lineRule="auto"/>
    </w:pPr>
    <w:rPr>
      <w:rFonts w:ascii="???" w:hAnsi="???" w:eastAsia="宋体" w:cs="Arial"/>
      <w:color w:val="020000"/>
      <w:kern w:val="36"/>
      <w:sz w:val="44"/>
      <w:szCs w:val="44"/>
    </w:rPr>
  </w:style>
  <w:style w:type="paragraph" w:styleId="4">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4"/>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7">
    <w:name w:val="heading 5"/>
    <w:basedOn w:val="1"/>
    <w:next w:val="1"/>
    <w:link w:val="221"/>
    <w:unhideWhenUsed/>
    <w:qFormat/>
    <w:uiPriority w:val="0"/>
    <w:pPr>
      <w:keepNext/>
      <w:keepLines/>
      <w:spacing w:before="280" w:after="290" w:line="376" w:lineRule="auto"/>
      <w:outlineLvl w:val="4"/>
    </w:pPr>
    <w:rPr>
      <w:b/>
      <w:bCs/>
      <w:sz w:val="28"/>
      <w:szCs w:val="2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6"/>
    <w:qFormat/>
    <w:uiPriority w:val="99"/>
    <w:pPr>
      <w:spacing w:after="120"/>
    </w:pPr>
    <w:rPr>
      <w:rFonts w:ascii="Calibri" w:hAnsi="Calibri"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next w:val="1"/>
    <w:link w:val="115"/>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33"/>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61"/>
    <w:qFormat/>
    <w:uiPriority w:val="0"/>
    <w:pPr>
      <w:jc w:val="left"/>
    </w:pPr>
  </w:style>
  <w:style w:type="paragraph" w:styleId="14">
    <w:name w:val="Salutation"/>
    <w:basedOn w:val="1"/>
    <w:next w:val="1"/>
    <w:link w:val="222"/>
    <w:qFormat/>
    <w:uiPriority w:val="0"/>
    <w:rPr>
      <w:rFonts w:ascii="宋体" w:hAnsi="Times New Roman" w:eastAsia="宋体" w:cs="Times New Roman"/>
      <w:b/>
      <w:sz w:val="28"/>
      <w:szCs w:val="24"/>
    </w:rPr>
  </w:style>
  <w:style w:type="paragraph" w:styleId="15">
    <w:name w:val="Body Text Indent"/>
    <w:basedOn w:val="1"/>
    <w:link w:val="67"/>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9"/>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6"/>
    <w:qFormat/>
    <w:uiPriority w:val="0"/>
    <w:rPr>
      <w:szCs w:val="21"/>
    </w:rPr>
  </w:style>
  <w:style w:type="paragraph" w:styleId="21">
    <w:name w:val="Body Text Indent 2"/>
    <w:basedOn w:val="1"/>
    <w:link w:val="12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9"/>
    <w:qFormat/>
    <w:uiPriority w:val="0"/>
    <w:rPr>
      <w:rFonts w:ascii="Calibri" w:hAnsi="Calibri" w:eastAsia="宋体" w:cs="Times New Roman"/>
      <w:sz w:val="18"/>
      <w:szCs w:val="18"/>
    </w:rPr>
  </w:style>
  <w:style w:type="paragraph" w:styleId="23">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Subtitle"/>
    <w:basedOn w:val="1"/>
    <w:next w:val="1"/>
    <w:link w:val="223"/>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8">
    <w:name w:val="footnote text"/>
    <w:basedOn w:val="1"/>
    <w:link w:val="173"/>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1"/>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Body Text 2"/>
    <w:basedOn w:val="1"/>
    <w:link w:val="206"/>
    <w:unhideWhenUsed/>
    <w:qFormat/>
    <w:uiPriority w:val="99"/>
    <w:pPr>
      <w:spacing w:after="120" w:line="480" w:lineRule="auto"/>
    </w:p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HTML Preformatted"/>
    <w:basedOn w:val="1"/>
    <w:link w:val="2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9">
    <w:name w:val="Title"/>
    <w:basedOn w:val="1"/>
    <w:next w:val="1"/>
    <w:link w:val="159"/>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3"/>
    <w:next w:val="13"/>
    <w:link w:val="166"/>
    <w:qFormat/>
    <w:uiPriority w:val="0"/>
    <w:rPr>
      <w:b/>
      <w:bCs/>
    </w:rPr>
  </w:style>
  <w:style w:type="paragraph" w:styleId="41">
    <w:name w:val="Body Text First Indent"/>
    <w:basedOn w:val="2"/>
    <w:link w:val="224"/>
    <w:qFormat/>
    <w:uiPriority w:val="0"/>
    <w:pPr>
      <w:autoSpaceDE w:val="0"/>
      <w:autoSpaceDN w:val="0"/>
      <w:adjustRightInd w:val="0"/>
      <w:spacing w:line="360" w:lineRule="auto"/>
      <w:ind w:firstLine="420" w:firstLineChars="200"/>
    </w:pPr>
    <w:rPr>
      <w:rFonts w:ascii="Arial" w:hAnsi="Arial"/>
      <w:sz w:val="20"/>
      <w:szCs w:val="21"/>
    </w:rPr>
  </w:style>
  <w:style w:type="paragraph" w:styleId="42">
    <w:name w:val="Body Text First Indent 2"/>
    <w:basedOn w:val="15"/>
    <w:next w:val="2"/>
    <w:link w:val="20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rFonts w:cs="Times New Roman"/>
      <w:b/>
    </w:rPr>
  </w:style>
  <w:style w:type="character" w:styleId="47">
    <w:name w:val="page number"/>
    <w:basedOn w:val="45"/>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qFormat/>
    <w:uiPriority w:val="0"/>
    <w:rPr>
      <w:rFonts w:cs="Times New Roman"/>
      <w:i/>
    </w:rPr>
  </w:style>
  <w:style w:type="character" w:styleId="50">
    <w:name w:val="HTML Definition"/>
    <w:basedOn w:val="45"/>
    <w:qFormat/>
    <w:uiPriority w:val="99"/>
    <w:rPr>
      <w:rFonts w:cs="Times New Roman"/>
    </w:rPr>
  </w:style>
  <w:style w:type="character" w:styleId="51">
    <w:name w:val="HTML Acronym"/>
    <w:basedOn w:val="45"/>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qFormat/>
    <w:uiPriority w:val="0"/>
    <w:rPr>
      <w:sz w:val="21"/>
      <w:szCs w:val="21"/>
    </w:rPr>
  </w:style>
  <w:style w:type="character" w:styleId="56">
    <w:name w:val="HTML Cite"/>
    <w:basedOn w:val="45"/>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正文首行缩进1"/>
    <w:basedOn w:val="2"/>
    <w:qFormat/>
    <w:uiPriority w:val="0"/>
    <w:pPr>
      <w:ind w:firstLine="420" w:firstLineChars="100"/>
    </w:pPr>
    <w:rPr>
      <w:rFonts w:ascii="宋体" w:hAnsi="宋体"/>
      <w:sz w:val="21"/>
      <w:szCs w:val="18"/>
    </w:rPr>
  </w:style>
  <w:style w:type="paragraph" w:customStyle="1" w:styleId="61">
    <w:name w:val="目录 81"/>
    <w:basedOn w:val="1"/>
    <w:next w:val="1"/>
    <w:qFormat/>
    <w:uiPriority w:val="99"/>
    <w:pPr>
      <w:ind w:left="1470"/>
      <w:jc w:val="left"/>
    </w:pPr>
  </w:style>
  <w:style w:type="character" w:customStyle="1" w:styleId="62">
    <w:name w:val="标题 2 Char"/>
    <w:basedOn w:val="45"/>
    <w:link w:val="4"/>
    <w:qFormat/>
    <w:uiPriority w:val="99"/>
    <w:rPr>
      <w:rFonts w:ascii="???" w:hAnsi="???" w:eastAsia="宋体" w:cs="Arial"/>
      <w:b/>
      <w:bCs/>
      <w:color w:val="020000"/>
      <w:kern w:val="0"/>
      <w:sz w:val="32"/>
      <w:szCs w:val="32"/>
    </w:rPr>
  </w:style>
  <w:style w:type="character" w:customStyle="1" w:styleId="63">
    <w:name w:val="标题 1 Char"/>
    <w:basedOn w:val="45"/>
    <w:link w:val="3"/>
    <w:qFormat/>
    <w:uiPriority w:val="9"/>
    <w:rPr>
      <w:rFonts w:ascii="???" w:hAnsi="???" w:eastAsia="宋体" w:cs="Arial"/>
      <w:b/>
      <w:bCs/>
      <w:color w:val="020000"/>
      <w:kern w:val="36"/>
      <w:sz w:val="44"/>
      <w:szCs w:val="44"/>
    </w:rPr>
  </w:style>
  <w:style w:type="character" w:customStyle="1" w:styleId="64">
    <w:name w:val="标题 3 Char"/>
    <w:basedOn w:val="45"/>
    <w:link w:val="5"/>
    <w:qFormat/>
    <w:uiPriority w:val="99"/>
    <w:rPr>
      <w:rFonts w:ascii="??" w:hAnsi="??" w:eastAsia="宋体" w:cs="Arial"/>
      <w:b/>
      <w:bCs/>
      <w:color w:val="000000"/>
      <w:kern w:val="0"/>
      <w:sz w:val="32"/>
      <w:szCs w:val="32"/>
    </w:rPr>
  </w:style>
  <w:style w:type="character" w:customStyle="1" w:styleId="65">
    <w:name w:val="页眉 Char"/>
    <w:basedOn w:val="45"/>
    <w:link w:val="24"/>
    <w:qFormat/>
    <w:uiPriority w:val="99"/>
    <w:rPr>
      <w:rFonts w:ascii="Calibri" w:hAnsi="Calibri" w:eastAsia="宋体" w:cs="Times New Roman"/>
      <w:sz w:val="18"/>
      <w:szCs w:val="18"/>
    </w:rPr>
  </w:style>
  <w:style w:type="character" w:customStyle="1" w:styleId="66">
    <w:name w:val="页脚 Char"/>
    <w:basedOn w:val="45"/>
    <w:link w:val="23"/>
    <w:qFormat/>
    <w:uiPriority w:val="99"/>
    <w:rPr>
      <w:rFonts w:ascii="Calibri" w:hAnsi="Calibri" w:eastAsia="宋体" w:cs="Times New Roman"/>
      <w:sz w:val="18"/>
      <w:szCs w:val="18"/>
    </w:rPr>
  </w:style>
  <w:style w:type="character" w:customStyle="1" w:styleId="67">
    <w:name w:val="正文文本缩进 Char"/>
    <w:basedOn w:val="45"/>
    <w:link w:val="15"/>
    <w:qFormat/>
    <w:uiPriority w:val="0"/>
    <w:rPr>
      <w:rFonts w:ascii="??" w:hAnsi="??" w:eastAsia="宋体" w:cs="Arial"/>
      <w:kern w:val="0"/>
      <w:sz w:val="24"/>
      <w:szCs w:val="24"/>
    </w:rPr>
  </w:style>
  <w:style w:type="paragraph" w:customStyle="1" w:styleId="68">
    <w:name w:val="列出段落1"/>
    <w:basedOn w:val="1"/>
    <w:link w:val="209"/>
    <w:qFormat/>
    <w:uiPriority w:val="0"/>
    <w:pPr>
      <w:ind w:firstLine="420" w:firstLineChars="200"/>
    </w:pPr>
    <w:rPr>
      <w:rFonts w:ascii="Calibri" w:hAnsi="Calibri" w:eastAsia="宋体" w:cs="Times New Roman"/>
    </w:rPr>
  </w:style>
  <w:style w:type="character" w:customStyle="1" w:styleId="69">
    <w:name w:val="标题 2 Char Char"/>
    <w:qFormat/>
    <w:uiPriority w:val="99"/>
    <w:rPr>
      <w:rFonts w:ascii="Arial" w:hAnsi="Arial" w:eastAsia="黑体"/>
      <w:b/>
      <w:kern w:val="2"/>
      <w:sz w:val="32"/>
      <w:lang w:val="en-US" w:eastAsia="zh-CN"/>
    </w:rPr>
  </w:style>
  <w:style w:type="character" w:customStyle="1" w:styleId="70">
    <w:name w:val="2charchar"/>
    <w:basedOn w:val="45"/>
    <w:qFormat/>
    <w:uiPriority w:val="99"/>
    <w:rPr>
      <w:rFonts w:cs="Times New Roman"/>
    </w:rPr>
  </w:style>
  <w:style w:type="paragraph" w:customStyle="1" w:styleId="71">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5"/>
    <w:link w:val="72"/>
    <w:semiHidden/>
    <w:qFormat/>
    <w:uiPriority w:val="99"/>
    <w:rPr>
      <w:rFonts w:ascii="Arial" w:hAnsi="Arial" w:eastAsia="宋体" w:cs="Arial"/>
      <w:vanish/>
      <w:kern w:val="0"/>
      <w:sz w:val="16"/>
      <w:szCs w:val="16"/>
    </w:rPr>
  </w:style>
  <w:style w:type="paragraph" w:customStyle="1" w:styleId="74">
    <w:name w:val="z-窗体底端1"/>
    <w:basedOn w:val="1"/>
    <w:next w:val="1"/>
    <w:link w:val="7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5"/>
    <w:link w:val="74"/>
    <w:semiHidden/>
    <w:qFormat/>
    <w:uiPriority w:val="99"/>
    <w:rPr>
      <w:rFonts w:ascii="Arial" w:hAnsi="Arial" w:eastAsia="宋体" w:cs="Arial"/>
      <w:vanish/>
      <w:kern w:val="0"/>
      <w:sz w:val="16"/>
      <w:szCs w:val="16"/>
    </w:rPr>
  </w:style>
  <w:style w:type="paragraph" w:customStyle="1" w:styleId="76">
    <w:name w:val="hu正文"/>
    <w:basedOn w:val="1"/>
    <w:link w:val="7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qFormat/>
    <w:locked/>
    <w:uiPriority w:val="99"/>
    <w:rPr>
      <w:rFonts w:ascii="Times New Roman" w:hAnsi="Times New Roman" w:eastAsia="宋体" w:cs="Times New Roman"/>
      <w:kern w:val="0"/>
      <w:sz w:val="24"/>
      <w:szCs w:val="20"/>
    </w:rPr>
  </w:style>
  <w:style w:type="paragraph" w:customStyle="1" w:styleId="7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Char"/>
    <w:basedOn w:val="45"/>
    <w:link w:val="22"/>
    <w:qFormat/>
    <w:uiPriority w:val="0"/>
    <w:rPr>
      <w:rFonts w:ascii="Calibri" w:hAnsi="Calibri" w:eastAsia="宋体" w:cs="Times New Roman"/>
      <w:sz w:val="18"/>
      <w:szCs w:val="18"/>
    </w:rPr>
  </w:style>
  <w:style w:type="character" w:customStyle="1" w:styleId="80">
    <w:name w:val="ui-bz-bg-hover1"/>
    <w:basedOn w:val="45"/>
    <w:qFormat/>
    <w:uiPriority w:val="99"/>
    <w:rPr>
      <w:rFonts w:cs="Times New Roman"/>
    </w:rPr>
  </w:style>
  <w:style w:type="character" w:customStyle="1" w:styleId="81">
    <w:name w:val="批注框文本 Char1"/>
    <w:qFormat/>
    <w:uiPriority w:val="99"/>
    <w:rPr>
      <w:rFonts w:ascii="Times New Roman" w:hAnsi="Times New Roman" w:eastAsia="宋体"/>
      <w:sz w:val="18"/>
    </w:rPr>
  </w:style>
  <w:style w:type="character" w:customStyle="1" w:styleId="82">
    <w:name w:val="bds_nopic"/>
    <w:basedOn w:val="45"/>
    <w:qFormat/>
    <w:uiPriority w:val="99"/>
    <w:rPr>
      <w:rFonts w:cs="Times New Roman"/>
    </w:rPr>
  </w:style>
  <w:style w:type="character" w:customStyle="1" w:styleId="83">
    <w:name w:val="tip12"/>
    <w:qFormat/>
    <w:uiPriority w:val="99"/>
    <w:rPr>
      <w:vanish/>
      <w:color w:val="FF0000"/>
      <w:sz w:val="18"/>
    </w:rPr>
  </w:style>
  <w:style w:type="character" w:customStyle="1" w:styleId="84">
    <w:name w:val="Body Text Indent 3 Char"/>
    <w:qFormat/>
    <w:locked/>
    <w:uiPriority w:val="99"/>
    <w:rPr>
      <w:rFonts w:ascii="宋体" w:eastAsia="宋体"/>
    </w:rPr>
  </w:style>
  <w:style w:type="character" w:customStyle="1" w:styleId="85">
    <w:name w:val="HTML Markup"/>
    <w:qFormat/>
    <w:uiPriority w:val="99"/>
    <w:rPr>
      <w:vanish/>
      <w:color w:val="FF0000"/>
    </w:rPr>
  </w:style>
  <w:style w:type="character" w:customStyle="1" w:styleId="86">
    <w:name w:val="tip7"/>
    <w:qFormat/>
    <w:uiPriority w:val="99"/>
    <w:rPr>
      <w:vanish/>
      <w:color w:val="FF0000"/>
      <w:sz w:val="18"/>
    </w:rPr>
  </w:style>
  <w:style w:type="character" w:customStyle="1" w:styleId="87">
    <w:name w:val="f-star"/>
    <w:qFormat/>
    <w:uiPriority w:val="99"/>
    <w:rPr>
      <w:color w:val="999999"/>
      <w:sz w:val="21"/>
    </w:rPr>
  </w:style>
  <w:style w:type="character" w:customStyle="1" w:styleId="88">
    <w:name w:val="Document Map Char1"/>
    <w:qFormat/>
    <w:uiPriority w:val="99"/>
    <w:rPr>
      <w:rFonts w:ascii="Times New Roman" w:hAnsi="Times New Roman"/>
      <w:kern w:val="2"/>
      <w:sz w:val="2"/>
    </w:rPr>
  </w:style>
  <w:style w:type="character" w:customStyle="1" w:styleId="89">
    <w:name w:val="my-class2"/>
    <w:basedOn w:val="45"/>
    <w:qFormat/>
    <w:uiPriority w:val="99"/>
    <w:rPr>
      <w:rFonts w:cs="Times New Roman"/>
    </w:rPr>
  </w:style>
  <w:style w:type="character" w:customStyle="1" w:styleId="90">
    <w:name w:val="no52"/>
    <w:basedOn w:val="45"/>
    <w:qFormat/>
    <w:uiPriority w:val="99"/>
    <w:rPr>
      <w:rFonts w:cs="Times New Roman"/>
    </w:rPr>
  </w:style>
  <w:style w:type="character" w:customStyle="1" w:styleId="91">
    <w:name w:val="no4"/>
    <w:basedOn w:val="45"/>
    <w:qFormat/>
    <w:uiPriority w:val="99"/>
    <w:rPr>
      <w:rFonts w:cs="Times New Roman"/>
    </w:rPr>
  </w:style>
  <w:style w:type="character" w:customStyle="1" w:styleId="92">
    <w:name w:val="my-notice"/>
    <w:basedOn w:val="45"/>
    <w:qFormat/>
    <w:uiPriority w:val="99"/>
    <w:rPr>
      <w:rFonts w:cs="Times New Roman"/>
    </w:rPr>
  </w:style>
  <w:style w:type="character" w:customStyle="1" w:styleId="93">
    <w:name w:val="ico-jiang"/>
    <w:basedOn w:val="45"/>
    <w:qFormat/>
    <w:uiPriority w:val="99"/>
    <w:rPr>
      <w:rFonts w:cs="Times New Roman"/>
    </w:rPr>
  </w:style>
  <w:style w:type="character" w:customStyle="1" w:styleId="94">
    <w:name w:val="ico-jiang2"/>
    <w:basedOn w:val="45"/>
    <w:qFormat/>
    <w:uiPriority w:val="99"/>
    <w:rPr>
      <w:rFonts w:cs="Times New Roman"/>
    </w:rPr>
  </w:style>
  <w:style w:type="character" w:customStyle="1" w:styleId="95">
    <w:name w:val="bds_more1"/>
    <w:qFormat/>
    <w:uiPriority w:val="99"/>
    <w:rPr>
      <w:rFonts w:ascii="宋体" w:hAnsi="宋体" w:eastAsia="宋体"/>
    </w:rPr>
  </w:style>
  <w:style w:type="character" w:customStyle="1" w:styleId="96">
    <w:name w:val="Body Text Indent 2 Char"/>
    <w:qFormat/>
    <w:locked/>
    <w:uiPriority w:val="99"/>
    <w:rPr>
      <w:rFonts w:ascii="宋体" w:eastAsia="宋体"/>
      <w:sz w:val="24"/>
    </w:rPr>
  </w:style>
  <w:style w:type="character" w:customStyle="1" w:styleId="97">
    <w:name w:val="org_name"/>
    <w:basedOn w:val="45"/>
    <w:qFormat/>
    <w:uiPriority w:val="99"/>
    <w:rPr>
      <w:rFonts w:cs="Times New Roman"/>
    </w:rPr>
  </w:style>
  <w:style w:type="character" w:customStyle="1" w:styleId="98">
    <w:name w:val="org_name2"/>
    <w:basedOn w:val="45"/>
    <w:qFormat/>
    <w:uiPriority w:val="99"/>
    <w:rPr>
      <w:rFonts w:cs="Times New Roman"/>
    </w:rPr>
  </w:style>
  <w:style w:type="character" w:customStyle="1" w:styleId="99">
    <w:name w:val="tip10"/>
    <w:qFormat/>
    <w:uiPriority w:val="99"/>
    <w:rPr>
      <w:vanish/>
      <w:color w:val="FF0000"/>
      <w:sz w:val="18"/>
    </w:rPr>
  </w:style>
  <w:style w:type="character" w:customStyle="1" w:styleId="100">
    <w:name w:val="orange"/>
    <w:qFormat/>
    <w:uiPriority w:val="99"/>
    <w:rPr>
      <w:color w:val="3FB58F"/>
    </w:rPr>
  </w:style>
  <w:style w:type="character" w:customStyle="1" w:styleId="101">
    <w:name w:val="bds_more"/>
    <w:basedOn w:val="45"/>
    <w:qFormat/>
    <w:uiPriority w:val="99"/>
    <w:rPr>
      <w:rFonts w:cs="Times New Roman"/>
    </w:rPr>
  </w:style>
  <w:style w:type="character" w:customStyle="1" w:styleId="102">
    <w:name w:val="t-tag"/>
    <w:qFormat/>
    <w:uiPriority w:val="99"/>
    <w:rPr>
      <w:color w:val="FFFFFF"/>
      <w:sz w:val="18"/>
      <w:shd w:val="clear" w:color="auto" w:fill="FE8833"/>
    </w:rPr>
  </w:style>
  <w:style w:type="character" w:customStyle="1" w:styleId="103">
    <w:name w:val="top-icon"/>
    <w:basedOn w:val="45"/>
    <w:qFormat/>
    <w:uiPriority w:val="99"/>
    <w:rPr>
      <w:rFonts w:cs="Times New Roman"/>
    </w:rPr>
  </w:style>
  <w:style w:type="character" w:customStyle="1" w:styleId="104">
    <w:name w:val="Body Text Char"/>
    <w:qFormat/>
    <w:locked/>
    <w:uiPriority w:val="99"/>
    <w:rPr>
      <w:sz w:val="24"/>
    </w:rPr>
  </w:style>
  <w:style w:type="character" w:customStyle="1" w:styleId="105">
    <w:name w:val="no72"/>
    <w:basedOn w:val="45"/>
    <w:qFormat/>
    <w:uiPriority w:val="99"/>
    <w:rPr>
      <w:rFonts w:cs="Times New Roman"/>
    </w:rPr>
  </w:style>
  <w:style w:type="character" w:customStyle="1" w:styleId="106">
    <w:name w:val="bds_nopic2"/>
    <w:basedOn w:val="45"/>
    <w:qFormat/>
    <w:uiPriority w:val="99"/>
    <w:rPr>
      <w:rFonts w:cs="Times New Roman"/>
    </w:rPr>
  </w:style>
  <w:style w:type="character" w:customStyle="1" w:styleId="107">
    <w:name w:val="Document Map Char"/>
    <w:qFormat/>
    <w:uiPriority w:val="99"/>
    <w:rPr>
      <w:rFonts w:ascii="宋体"/>
      <w:sz w:val="18"/>
    </w:rPr>
  </w:style>
  <w:style w:type="character" w:customStyle="1" w:styleId="108">
    <w:name w:val="no6"/>
    <w:basedOn w:val="45"/>
    <w:qFormat/>
    <w:uiPriority w:val="99"/>
    <w:rPr>
      <w:rFonts w:cs="Times New Roman"/>
    </w:rPr>
  </w:style>
  <w:style w:type="character" w:customStyle="1" w:styleId="109">
    <w:name w:val="tip"/>
    <w:qFormat/>
    <w:uiPriority w:val="99"/>
    <w:rPr>
      <w:vanish/>
      <w:color w:val="FF0000"/>
      <w:sz w:val="18"/>
    </w:rPr>
  </w:style>
  <w:style w:type="character" w:customStyle="1" w:styleId="110">
    <w:name w:val="apple-converted-space"/>
    <w:basedOn w:val="45"/>
    <w:qFormat/>
    <w:uiPriority w:val="99"/>
    <w:rPr>
      <w:rFonts w:cs="Times New Roman"/>
    </w:rPr>
  </w:style>
  <w:style w:type="character" w:customStyle="1" w:styleId="111">
    <w:name w:val="bds_more2"/>
    <w:basedOn w:val="45"/>
    <w:qFormat/>
    <w:uiPriority w:val="99"/>
    <w:rPr>
      <w:rFonts w:cs="Times New Roman"/>
    </w:rPr>
  </w:style>
  <w:style w:type="character" w:customStyle="1" w:styleId="112">
    <w:name w:val="my-class"/>
    <w:basedOn w:val="45"/>
    <w:qFormat/>
    <w:uiPriority w:val="99"/>
    <w:rPr>
      <w:rFonts w:cs="Times New Roman"/>
    </w:rPr>
  </w:style>
  <w:style w:type="character" w:customStyle="1" w:styleId="113">
    <w:name w:val="ui-bz-bg-hover"/>
    <w:qFormat/>
    <w:uiPriority w:val="99"/>
    <w:rPr>
      <w:shd w:val="clear" w:color="auto" w:fill="000000"/>
    </w:rPr>
  </w:style>
  <w:style w:type="character" w:customStyle="1" w:styleId="114">
    <w:name w:val="no7"/>
    <w:basedOn w:val="45"/>
    <w:qFormat/>
    <w:uiPriority w:val="99"/>
    <w:rPr>
      <w:rFonts w:cs="Times New Roman"/>
    </w:rPr>
  </w:style>
  <w:style w:type="character" w:customStyle="1" w:styleId="115">
    <w:name w:val="正文缩进 Char"/>
    <w:link w:val="10"/>
    <w:qFormat/>
    <w:locked/>
    <w:uiPriority w:val="0"/>
    <w:rPr>
      <w:rFonts w:ascii="Times New Roman" w:hAnsi="Times New Roman" w:eastAsia="宋体" w:cs="Times New Roman"/>
      <w:kern w:val="0"/>
      <w:sz w:val="24"/>
      <w:szCs w:val="20"/>
    </w:rPr>
  </w:style>
  <w:style w:type="character" w:customStyle="1" w:styleId="116">
    <w:name w:val="ico-jiang1"/>
    <w:basedOn w:val="45"/>
    <w:qFormat/>
    <w:uiPriority w:val="99"/>
    <w:rPr>
      <w:rFonts w:cs="Times New Roman"/>
    </w:rPr>
  </w:style>
  <w:style w:type="character" w:customStyle="1" w:styleId="117">
    <w:name w:val="no62"/>
    <w:basedOn w:val="45"/>
    <w:qFormat/>
    <w:uiPriority w:val="99"/>
    <w:rPr>
      <w:rFonts w:cs="Times New Roman"/>
    </w:rPr>
  </w:style>
  <w:style w:type="character" w:customStyle="1" w:styleId="118">
    <w:name w:val="orange5"/>
    <w:qFormat/>
    <w:uiPriority w:val="99"/>
    <w:rPr>
      <w:color w:val="3FB58F"/>
    </w:rPr>
  </w:style>
  <w:style w:type="character" w:customStyle="1" w:styleId="119">
    <w:name w:val="bds_more4"/>
    <w:basedOn w:val="45"/>
    <w:qFormat/>
    <w:uiPriority w:val="99"/>
    <w:rPr>
      <w:rFonts w:cs="Times New Roman"/>
    </w:rPr>
  </w:style>
  <w:style w:type="character" w:customStyle="1" w:styleId="120">
    <w:name w:val="no5"/>
    <w:basedOn w:val="45"/>
    <w:qFormat/>
    <w:uiPriority w:val="99"/>
    <w:rPr>
      <w:rFonts w:cs="Times New Roman"/>
    </w:rPr>
  </w:style>
  <w:style w:type="character" w:customStyle="1" w:styleId="121">
    <w:name w:val="bds_more3"/>
    <w:basedOn w:val="45"/>
    <w:qFormat/>
    <w:uiPriority w:val="99"/>
    <w:rPr>
      <w:rFonts w:cs="Times New Roman"/>
    </w:rPr>
  </w:style>
  <w:style w:type="character" w:customStyle="1" w:styleId="122">
    <w:name w:val="no42"/>
    <w:basedOn w:val="45"/>
    <w:qFormat/>
    <w:uiPriority w:val="99"/>
    <w:rPr>
      <w:rFonts w:cs="Times New Roman"/>
    </w:rPr>
  </w:style>
  <w:style w:type="character" w:customStyle="1" w:styleId="123">
    <w:name w:val="bds_nopic1"/>
    <w:basedOn w:val="45"/>
    <w:qFormat/>
    <w:uiPriority w:val="99"/>
    <w:rPr>
      <w:rFonts w:cs="Times New Roman"/>
    </w:rPr>
  </w:style>
  <w:style w:type="character" w:customStyle="1" w:styleId="124">
    <w:name w:val="my-notice1"/>
    <w:basedOn w:val="45"/>
    <w:qFormat/>
    <w:uiPriority w:val="99"/>
    <w:rPr>
      <w:rFonts w:cs="Times New Roman"/>
    </w:rPr>
  </w:style>
  <w:style w:type="character" w:customStyle="1" w:styleId="125">
    <w:name w:val="orange6"/>
    <w:qFormat/>
    <w:uiPriority w:val="99"/>
    <w:rPr>
      <w:color w:val="3FB58F"/>
    </w:rPr>
  </w:style>
  <w:style w:type="character" w:customStyle="1" w:styleId="126">
    <w:name w:val="Document Map Char2"/>
    <w:qFormat/>
    <w:locked/>
    <w:uiPriority w:val="99"/>
    <w:rPr>
      <w:rFonts w:ascii="宋体"/>
      <w:sz w:val="18"/>
    </w:rPr>
  </w:style>
  <w:style w:type="character" w:customStyle="1" w:styleId="127">
    <w:name w:val="ico-jiang3"/>
    <w:basedOn w:val="45"/>
    <w:qFormat/>
    <w:uiPriority w:val="99"/>
    <w:rPr>
      <w:rFonts w:cs="Times New Roman"/>
    </w:rPr>
  </w:style>
  <w:style w:type="character" w:customStyle="1" w:styleId="128">
    <w:name w:val="tip13"/>
    <w:qFormat/>
    <w:uiPriority w:val="99"/>
    <w:rPr>
      <w:vanish/>
      <w:color w:val="FF0000"/>
      <w:sz w:val="18"/>
    </w:rPr>
  </w:style>
  <w:style w:type="character" w:customStyle="1" w:styleId="129">
    <w:name w:val="正文文本缩进 2 Char"/>
    <w:basedOn w:val="45"/>
    <w:link w:val="21"/>
    <w:qFormat/>
    <w:uiPriority w:val="99"/>
    <w:rPr>
      <w:rFonts w:ascii="宋体" w:hAnsi="Calibri" w:eastAsia="宋体" w:cs="Times New Roman"/>
      <w:kern w:val="0"/>
      <w:sz w:val="24"/>
      <w:szCs w:val="20"/>
    </w:rPr>
  </w:style>
  <w:style w:type="character" w:customStyle="1" w:styleId="130">
    <w:name w:val="Body Text Indent 2 Char1"/>
    <w:basedOn w:val="45"/>
    <w:semiHidden/>
    <w:qFormat/>
    <w:locked/>
    <w:uiPriority w:val="99"/>
    <w:rPr>
      <w:rFonts w:cs="Times New Roman"/>
    </w:rPr>
  </w:style>
  <w:style w:type="character" w:customStyle="1" w:styleId="131">
    <w:name w:val="正文文本缩进 3 Char"/>
    <w:basedOn w:val="45"/>
    <w:link w:val="30"/>
    <w:qFormat/>
    <w:uiPriority w:val="99"/>
    <w:rPr>
      <w:rFonts w:ascii="宋体" w:hAnsi="Calibri" w:eastAsia="宋体" w:cs="Times New Roman"/>
      <w:kern w:val="0"/>
      <w:sz w:val="20"/>
      <w:szCs w:val="20"/>
    </w:rPr>
  </w:style>
  <w:style w:type="character" w:customStyle="1" w:styleId="132">
    <w:name w:val="Body Text Indent 3 Char1"/>
    <w:basedOn w:val="45"/>
    <w:semiHidden/>
    <w:qFormat/>
    <w:locked/>
    <w:uiPriority w:val="99"/>
    <w:rPr>
      <w:rFonts w:cs="Times New Roman"/>
      <w:sz w:val="16"/>
      <w:szCs w:val="16"/>
    </w:rPr>
  </w:style>
  <w:style w:type="character" w:customStyle="1" w:styleId="133">
    <w:name w:val="文档结构图 Char"/>
    <w:basedOn w:val="45"/>
    <w:link w:val="11"/>
    <w:qFormat/>
    <w:uiPriority w:val="99"/>
    <w:rPr>
      <w:rFonts w:ascii="宋体" w:hAnsi="Calibri" w:eastAsia="宋体" w:cs="Times New Roman"/>
      <w:kern w:val="0"/>
      <w:sz w:val="18"/>
      <w:szCs w:val="20"/>
    </w:rPr>
  </w:style>
  <w:style w:type="character" w:customStyle="1" w:styleId="134">
    <w:name w:val="Document Map Char3"/>
    <w:basedOn w:val="45"/>
    <w:semiHidden/>
    <w:qFormat/>
    <w:locked/>
    <w:uiPriority w:val="99"/>
    <w:rPr>
      <w:rFonts w:ascii="Times New Roman" w:hAnsi="Times New Roman" w:cs="Times New Roman"/>
      <w:sz w:val="2"/>
    </w:rPr>
  </w:style>
  <w:style w:type="paragraph" w:customStyle="1" w:styleId="135">
    <w:name w:val="_Style 1"/>
    <w:basedOn w:val="1"/>
    <w:qFormat/>
    <w:uiPriority w:val="99"/>
    <w:pPr>
      <w:ind w:firstLine="420" w:firstLineChars="200"/>
    </w:pPr>
    <w:rPr>
      <w:rFonts w:ascii="Times New Roman" w:hAnsi="Times New Roman" w:eastAsia="宋体" w:cs="Times New Roman"/>
      <w:szCs w:val="24"/>
    </w:rPr>
  </w:style>
  <w:style w:type="character" w:customStyle="1" w:styleId="136">
    <w:name w:val="正文文本 Char"/>
    <w:basedOn w:val="45"/>
    <w:link w:val="2"/>
    <w:qFormat/>
    <w:uiPriority w:val="99"/>
    <w:rPr>
      <w:rFonts w:ascii="Calibri" w:hAnsi="Calibri" w:eastAsia="宋体" w:cs="Times New Roman"/>
      <w:kern w:val="0"/>
      <w:sz w:val="24"/>
      <w:szCs w:val="20"/>
    </w:rPr>
  </w:style>
  <w:style w:type="character" w:customStyle="1" w:styleId="137">
    <w:name w:val="Body Text Char1"/>
    <w:basedOn w:val="45"/>
    <w:semiHidden/>
    <w:qFormat/>
    <w:locked/>
    <w:uiPriority w:val="99"/>
    <w:rPr>
      <w:rFonts w:cs="Times New Roman"/>
    </w:rPr>
  </w:style>
  <w:style w:type="paragraph" w:customStyle="1" w:styleId="138">
    <w:name w:val="_Style 21"/>
    <w:basedOn w:val="1"/>
    <w:qFormat/>
    <w:uiPriority w:val="99"/>
    <w:rPr>
      <w:rFonts w:ascii="Times New Roman" w:hAnsi="Times New Roman" w:eastAsia="宋体" w:cs="Times New Roman"/>
      <w:szCs w:val="20"/>
    </w:rPr>
  </w:style>
  <w:style w:type="paragraph" w:customStyle="1" w:styleId="139">
    <w:name w:val="p0"/>
    <w:basedOn w:val="1"/>
    <w:qFormat/>
    <w:uiPriority w:val="0"/>
    <w:pPr>
      <w:widowControl/>
    </w:pPr>
    <w:rPr>
      <w:rFonts w:ascii="Times New Roman" w:hAnsi="Times New Roman" w:eastAsia="宋体" w:cs="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5">
    <w:name w:val="_Style 2"/>
    <w:basedOn w:val="1"/>
    <w:qFormat/>
    <w:uiPriority w:val="34"/>
    <w:pPr>
      <w:ind w:firstLine="420" w:firstLineChars="200"/>
    </w:pPr>
    <w:rPr>
      <w:rFonts w:ascii="Calibri" w:hAnsi="Calibri" w:eastAsia="宋体" w:cs="Times New Roman"/>
    </w:rPr>
  </w:style>
  <w:style w:type="paragraph" w:customStyle="1" w:styleId="14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qFormat/>
    <w:uiPriority w:val="99"/>
    <w:rPr>
      <w:rFonts w:ascii="Times New Roman" w:hAnsi="Times New Roman" w:eastAsia="宋体" w:cs="Times New Roman"/>
      <w:szCs w:val="24"/>
    </w:rPr>
  </w:style>
  <w:style w:type="paragraph" w:customStyle="1" w:styleId="148">
    <w:name w:val="Char"/>
    <w:basedOn w:val="1"/>
    <w:qFormat/>
    <w:uiPriority w:val="99"/>
    <w:rPr>
      <w:rFonts w:ascii="Times New Roman" w:hAnsi="Times New Roman" w:eastAsia="宋体" w:cs="Times New Roman"/>
      <w:szCs w:val="21"/>
    </w:rPr>
  </w:style>
  <w:style w:type="paragraph" w:customStyle="1" w:styleId="149">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0">
    <w:name w:val="列出段落2"/>
    <w:basedOn w:val="1"/>
    <w:qFormat/>
    <w:uiPriority w:val="99"/>
    <w:pPr>
      <w:ind w:firstLine="420" w:firstLineChars="200"/>
    </w:pPr>
    <w:rPr>
      <w:rFonts w:ascii="Times New Roman" w:hAnsi="Times New Roman" w:eastAsia="宋体" w:cs="Times New Roman"/>
      <w:szCs w:val="24"/>
    </w:rPr>
  </w:style>
  <w:style w:type="paragraph" w:customStyle="1" w:styleId="151">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3">
    <w:name w:val="font41"/>
    <w:qFormat/>
    <w:uiPriority w:val="99"/>
    <w:rPr>
      <w:rFonts w:hint="eastAsia" w:ascii="宋体" w:hAnsi="宋体" w:eastAsia="宋体" w:cs="宋体"/>
      <w:b/>
      <w:color w:val="000000"/>
      <w:sz w:val="22"/>
      <w:szCs w:val="22"/>
      <w:u w:val="none"/>
    </w:rPr>
  </w:style>
  <w:style w:type="character" w:customStyle="1" w:styleId="154">
    <w:name w:val="font81"/>
    <w:qFormat/>
    <w:uiPriority w:val="0"/>
    <w:rPr>
      <w:rFonts w:hint="eastAsia" w:ascii="宋体" w:hAnsi="宋体" w:eastAsia="宋体" w:cs="宋体"/>
      <w:b/>
      <w:color w:val="000000"/>
      <w:sz w:val="22"/>
      <w:szCs w:val="22"/>
      <w:u w:val="none"/>
    </w:rPr>
  </w:style>
  <w:style w:type="character" w:customStyle="1" w:styleId="155">
    <w:name w:val="font21"/>
    <w:qFormat/>
    <w:uiPriority w:val="0"/>
    <w:rPr>
      <w:rFonts w:hint="eastAsia" w:ascii="宋体" w:hAnsi="宋体" w:eastAsia="宋体" w:cs="宋体"/>
      <w:color w:val="000000"/>
      <w:sz w:val="18"/>
      <w:szCs w:val="18"/>
      <w:u w:val="none"/>
    </w:rPr>
  </w:style>
  <w:style w:type="character" w:customStyle="1" w:styleId="156">
    <w:name w:val="日期 Char"/>
    <w:link w:val="20"/>
    <w:qFormat/>
    <w:uiPriority w:val="0"/>
    <w:rPr>
      <w:szCs w:val="21"/>
    </w:rPr>
  </w:style>
  <w:style w:type="character" w:customStyle="1" w:styleId="157">
    <w:name w:val="font01"/>
    <w:qFormat/>
    <w:uiPriority w:val="99"/>
    <w:rPr>
      <w:rFonts w:hint="eastAsia" w:ascii="宋体" w:hAnsi="宋体" w:eastAsia="宋体" w:cs="宋体"/>
      <w:color w:val="000000"/>
      <w:sz w:val="22"/>
      <w:szCs w:val="22"/>
      <w:u w:val="none"/>
    </w:rPr>
  </w:style>
  <w:style w:type="character" w:customStyle="1" w:styleId="158">
    <w:name w:val="Char Char1"/>
    <w:qFormat/>
    <w:uiPriority w:val="0"/>
    <w:rPr>
      <w:rFonts w:eastAsia="宋体"/>
      <w:kern w:val="2"/>
      <w:sz w:val="18"/>
      <w:szCs w:val="18"/>
      <w:lang w:val="en-US" w:eastAsia="zh-CN" w:bidi="ar-SA"/>
    </w:rPr>
  </w:style>
  <w:style w:type="character" w:customStyle="1" w:styleId="159">
    <w:name w:val="标题 Char"/>
    <w:link w:val="39"/>
    <w:qFormat/>
    <w:uiPriority w:val="0"/>
    <w:rPr>
      <w:rFonts w:ascii="Cambria" w:hAnsi="Cambria" w:cs="Times New Roman"/>
      <w:b/>
      <w:bCs/>
      <w:sz w:val="32"/>
      <w:szCs w:val="32"/>
    </w:rPr>
  </w:style>
  <w:style w:type="character" w:customStyle="1" w:styleId="160">
    <w:name w:val="hei141"/>
    <w:qFormat/>
    <w:uiPriority w:val="0"/>
    <w:rPr>
      <w:rFonts w:hint="eastAsia" w:ascii="宋体" w:hAnsi="宋体" w:eastAsia="宋体"/>
      <w:color w:val="000000"/>
      <w:sz w:val="19"/>
      <w:szCs w:val="19"/>
      <w:u w:val="none"/>
    </w:rPr>
  </w:style>
  <w:style w:type="character" w:customStyle="1" w:styleId="161">
    <w:name w:val="批注文字 Char"/>
    <w:link w:val="13"/>
    <w:qFormat/>
    <w:uiPriority w:val="0"/>
  </w:style>
  <w:style w:type="character" w:customStyle="1" w:styleId="162">
    <w:name w:val="apple-style-span"/>
    <w:basedOn w:val="45"/>
    <w:qFormat/>
    <w:uiPriority w:val="0"/>
  </w:style>
  <w:style w:type="character" w:customStyle="1" w:styleId="163">
    <w:name w:val="param-value"/>
    <w:qFormat/>
    <w:uiPriority w:val="99"/>
    <w:rPr>
      <w:rFonts w:cs="Times New Roman"/>
    </w:rPr>
  </w:style>
  <w:style w:type="character" w:customStyle="1" w:styleId="164">
    <w:name w:val="font61"/>
    <w:qFormat/>
    <w:uiPriority w:val="0"/>
    <w:rPr>
      <w:rFonts w:hint="eastAsia" w:ascii="宋体" w:hAnsi="宋体" w:eastAsia="宋体" w:cs="宋体"/>
      <w:color w:val="000000"/>
      <w:sz w:val="22"/>
      <w:szCs w:val="22"/>
      <w:u w:val="none"/>
    </w:rPr>
  </w:style>
  <w:style w:type="character" w:customStyle="1" w:styleId="165">
    <w:name w:val="font11"/>
    <w:qFormat/>
    <w:uiPriority w:val="0"/>
    <w:rPr>
      <w:rFonts w:hint="eastAsia" w:ascii="宋体" w:hAnsi="宋体" w:eastAsia="宋体" w:cs="宋体"/>
      <w:color w:val="FF0000"/>
      <w:sz w:val="22"/>
      <w:szCs w:val="22"/>
      <w:u w:val="none"/>
    </w:rPr>
  </w:style>
  <w:style w:type="character" w:customStyle="1" w:styleId="166">
    <w:name w:val="批注主题 Char"/>
    <w:link w:val="40"/>
    <w:qFormat/>
    <w:uiPriority w:val="0"/>
    <w:rPr>
      <w:b/>
      <w:bCs/>
    </w:rPr>
  </w:style>
  <w:style w:type="character" w:customStyle="1" w:styleId="167">
    <w:name w:val="批注文字 Char1"/>
    <w:basedOn w:val="45"/>
    <w:semiHidden/>
    <w:qFormat/>
    <w:uiPriority w:val="99"/>
  </w:style>
  <w:style w:type="paragraph" w:customStyle="1" w:styleId="16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semiHidden/>
    <w:qFormat/>
    <w:uiPriority w:val="99"/>
    <w:rPr>
      <w:b/>
      <w:bCs/>
    </w:rPr>
  </w:style>
  <w:style w:type="paragraph" w:customStyle="1" w:styleId="17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5"/>
    <w:semiHidden/>
    <w:qFormat/>
    <w:uiPriority w:val="99"/>
  </w:style>
  <w:style w:type="paragraph" w:customStyle="1" w:styleId="17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Char"/>
    <w:basedOn w:val="45"/>
    <w:link w:val="28"/>
    <w:semiHidden/>
    <w:qFormat/>
    <w:uiPriority w:val="0"/>
    <w:rPr>
      <w:rFonts w:ascii="Times New Roman" w:hAnsi="Times New Roman" w:eastAsia="宋体" w:cs="Times New Roman"/>
      <w:sz w:val="18"/>
      <w:szCs w:val="18"/>
    </w:rPr>
  </w:style>
  <w:style w:type="paragraph" w:customStyle="1" w:styleId="17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5"/>
    <w:qFormat/>
    <w:uiPriority w:val="10"/>
    <w:rPr>
      <w:rFonts w:eastAsia="宋体" w:asciiTheme="majorHAnsi" w:hAnsiTheme="majorHAnsi" w:cstheme="majorBidi"/>
      <w:b/>
      <w:bCs/>
      <w:sz w:val="32"/>
      <w:szCs w:val="32"/>
    </w:rPr>
  </w:style>
  <w:style w:type="paragraph" w:customStyle="1" w:styleId="17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0">
    <w:name w:val="Default"/>
    <w:basedOn w:val="39"/>
    <w:next w:val="3"/>
    <w:qFormat/>
    <w:uiPriority w:val="0"/>
    <w:pPr>
      <w:autoSpaceDE w:val="0"/>
      <w:autoSpaceDN w:val="0"/>
      <w:adjustRightInd w:val="0"/>
      <w:jc w:val="both"/>
    </w:pPr>
    <w:rPr>
      <w:rFonts w:ascii="黑体" w:hAnsi="黑体" w:eastAsia="宋体" w:cs="黑体"/>
      <w:color w:val="000000"/>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bookmark-item"/>
    <w:basedOn w:val="45"/>
    <w:qFormat/>
    <w:uiPriority w:val="0"/>
  </w:style>
  <w:style w:type="paragraph" w:customStyle="1" w:styleId="198">
    <w:name w:val="列出段落6"/>
    <w:basedOn w:val="1"/>
    <w:qFormat/>
    <w:uiPriority w:val="34"/>
    <w:pPr>
      <w:ind w:firstLine="420" w:firstLineChars="200"/>
    </w:pPr>
    <w:rPr>
      <w:rFonts w:ascii="Calibri" w:hAnsi="Calibri" w:eastAsia="宋体" w:cs="Times New Roman"/>
    </w:rPr>
  </w:style>
  <w:style w:type="character" w:customStyle="1" w:styleId="199">
    <w:name w:val="纯文本 Char"/>
    <w:basedOn w:val="45"/>
    <w:link w:val="18"/>
    <w:qFormat/>
    <w:uiPriority w:val="0"/>
    <w:rPr>
      <w:rFonts w:ascii="宋体" w:hAnsi="Courier New" w:eastAsia="宋体" w:cs="宋体"/>
      <w:kern w:val="2"/>
      <w:sz w:val="21"/>
      <w:szCs w:val="21"/>
    </w:rPr>
  </w:style>
  <w:style w:type="paragraph" w:customStyle="1" w:styleId="200">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1">
    <w:name w:val="Table Paragraph"/>
    <w:basedOn w:val="1"/>
    <w:qFormat/>
    <w:uiPriority w:val="1"/>
    <w:pPr>
      <w:jc w:val="left"/>
    </w:pPr>
    <w:rPr>
      <w:rFonts w:ascii="Calibri" w:hAnsi="Calibri" w:eastAsia="Calibri" w:cs="Times New Roman"/>
      <w:kern w:val="0"/>
      <w:sz w:val="22"/>
      <w:lang w:eastAsia="en-US"/>
    </w:rPr>
  </w:style>
  <w:style w:type="paragraph" w:customStyle="1" w:styleId="202">
    <w:name w:val="_Style 3"/>
    <w:basedOn w:val="1"/>
    <w:qFormat/>
    <w:uiPriority w:val="34"/>
    <w:pPr>
      <w:ind w:firstLine="420" w:firstLineChars="200"/>
    </w:pPr>
    <w:rPr>
      <w:rFonts w:ascii="Times New Roman" w:hAnsi="Times New Roman" w:eastAsia="宋体" w:cs="黑体"/>
      <w:szCs w:val="24"/>
    </w:rPr>
  </w:style>
  <w:style w:type="character" w:customStyle="1" w:styleId="203">
    <w:name w:val="正文首行缩进 2 Char"/>
    <w:basedOn w:val="67"/>
    <w:link w:val="42"/>
    <w:semiHidden/>
    <w:qFormat/>
    <w:uiPriority w:val="99"/>
    <w:rPr>
      <w:rFonts w:ascii="??" w:hAnsi="??" w:eastAsia="宋体" w:cs="Arial"/>
      <w:kern w:val="2"/>
      <w:sz w:val="21"/>
      <w:szCs w:val="22"/>
    </w:rPr>
  </w:style>
  <w:style w:type="paragraph" w:customStyle="1" w:styleId="204">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正文文本 2 Char"/>
    <w:basedOn w:val="45"/>
    <w:link w:val="34"/>
    <w:semiHidden/>
    <w:qFormat/>
    <w:uiPriority w:val="99"/>
    <w:rPr>
      <w:rFonts w:asciiTheme="minorHAnsi" w:hAnsiTheme="minorHAnsi" w:eastAsiaTheme="minorEastAsia" w:cstheme="minorBidi"/>
      <w:kern w:val="2"/>
      <w:sz w:val="21"/>
      <w:szCs w:val="22"/>
    </w:rPr>
  </w:style>
  <w:style w:type="paragraph" w:customStyle="1" w:styleId="2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8">
    <w:name w:val="列表段落1"/>
    <w:basedOn w:val="1"/>
    <w:qFormat/>
    <w:uiPriority w:val="0"/>
    <w:pPr>
      <w:ind w:firstLine="420" w:firstLineChars="200"/>
    </w:pPr>
    <w:rPr>
      <w:rFonts w:ascii="Times New Roman" w:hAnsi="Times New Roman" w:eastAsia="宋体" w:cs="Times New Roman"/>
    </w:rPr>
  </w:style>
  <w:style w:type="character" w:customStyle="1" w:styleId="209">
    <w:name w:val="列表段落 字符"/>
    <w:link w:val="68"/>
    <w:qFormat/>
    <w:uiPriority w:val="0"/>
    <w:rPr>
      <w:rFonts w:ascii="Calibri" w:hAnsi="Calibri"/>
      <w:kern w:val="2"/>
      <w:sz w:val="21"/>
      <w:szCs w:val="22"/>
    </w:rPr>
  </w:style>
  <w:style w:type="paragraph" w:customStyle="1" w:styleId="210">
    <w:name w:val="列出段落7"/>
    <w:basedOn w:val="1"/>
    <w:unhideWhenUsed/>
    <w:qFormat/>
    <w:uiPriority w:val="99"/>
    <w:pPr>
      <w:ind w:firstLine="420" w:firstLineChars="200"/>
    </w:pPr>
  </w:style>
  <w:style w:type="character" w:customStyle="1" w:styleId="211">
    <w:name w:val="HTML 预设格式 Char"/>
    <w:basedOn w:val="45"/>
    <w:link w:val="36"/>
    <w:qFormat/>
    <w:uiPriority w:val="0"/>
    <w:rPr>
      <w:rFonts w:ascii="Arial" w:hAnsi="Arial" w:cs="Arial" w:eastAsiaTheme="minorEastAsia"/>
      <w:sz w:val="28"/>
      <w:szCs w:val="28"/>
    </w:rPr>
  </w:style>
  <w:style w:type="paragraph" w:customStyle="1" w:styleId="212">
    <w:name w:val="BodyText"/>
    <w:basedOn w:val="1"/>
    <w:next w:val="213"/>
    <w:qFormat/>
    <w:uiPriority w:val="0"/>
    <w:pPr>
      <w:spacing w:line="300" w:lineRule="auto"/>
      <w:jc w:val="center"/>
      <w:textAlignment w:val="baseline"/>
    </w:pPr>
    <w:rPr>
      <w:rFonts w:ascii="宋体" w:hAnsi="宋体" w:eastAsia="宋体"/>
      <w:sz w:val="24"/>
      <w:szCs w:val="24"/>
    </w:rPr>
  </w:style>
  <w:style w:type="paragraph" w:customStyle="1" w:styleId="213">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4">
    <w:name w:val="纯文本 Char1"/>
    <w:qFormat/>
    <w:uiPriority w:val="0"/>
    <w:rPr>
      <w:rFonts w:eastAsia="宋体"/>
      <w:kern w:val="2"/>
      <w:sz w:val="24"/>
      <w:lang w:val="en-US" w:eastAsia="zh-CN" w:bidi="ar-SA"/>
    </w:rPr>
  </w:style>
  <w:style w:type="character" w:customStyle="1" w:styleId="215">
    <w:name w:val="页脚 Char1"/>
    <w:qFormat/>
    <w:uiPriority w:val="0"/>
    <w:rPr>
      <w:rFonts w:eastAsia="宋体"/>
      <w:kern w:val="2"/>
      <w:sz w:val="18"/>
      <w:szCs w:val="18"/>
      <w:lang w:val="en-US" w:eastAsia="zh-CN" w:bidi="ar-SA"/>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正文缩进 Char1"/>
    <w:link w:val="218"/>
    <w:qFormat/>
    <w:uiPriority w:val="0"/>
    <w:rPr>
      <w:rFonts w:ascii="宋体"/>
      <w:sz w:val="24"/>
    </w:rPr>
  </w:style>
  <w:style w:type="paragraph" w:customStyle="1" w:styleId="218">
    <w:name w:val="正文缩进1"/>
    <w:basedOn w:val="1"/>
    <w:link w:val="217"/>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0">
    <w:name w:val="纯文本1"/>
    <w:basedOn w:val="1"/>
    <w:qFormat/>
    <w:uiPriority w:val="0"/>
    <w:rPr>
      <w:rFonts w:ascii="宋体" w:hAnsi="Courier New" w:eastAsia="宋体" w:cs="Times New Roman"/>
      <w:kern w:val="0"/>
      <w:sz w:val="20"/>
      <w:szCs w:val="20"/>
    </w:rPr>
  </w:style>
  <w:style w:type="character" w:customStyle="1" w:styleId="221">
    <w:name w:val="标题 5 Char"/>
    <w:basedOn w:val="45"/>
    <w:link w:val="7"/>
    <w:semiHidden/>
    <w:qFormat/>
    <w:uiPriority w:val="9"/>
    <w:rPr>
      <w:rFonts w:asciiTheme="minorHAnsi" w:hAnsiTheme="minorHAnsi" w:eastAsiaTheme="minorEastAsia" w:cstheme="minorBidi"/>
      <w:b/>
      <w:bCs/>
      <w:kern w:val="2"/>
      <w:sz w:val="28"/>
      <w:szCs w:val="28"/>
    </w:rPr>
  </w:style>
  <w:style w:type="character" w:customStyle="1" w:styleId="222">
    <w:name w:val="称呼 Char"/>
    <w:basedOn w:val="45"/>
    <w:link w:val="14"/>
    <w:qFormat/>
    <w:uiPriority w:val="0"/>
    <w:rPr>
      <w:rFonts w:ascii="宋体"/>
      <w:b/>
      <w:kern w:val="2"/>
      <w:sz w:val="28"/>
      <w:szCs w:val="24"/>
    </w:rPr>
  </w:style>
  <w:style w:type="character" w:customStyle="1" w:styleId="223">
    <w:name w:val="副标题 Char"/>
    <w:basedOn w:val="45"/>
    <w:link w:val="27"/>
    <w:qFormat/>
    <w:uiPriority w:val="11"/>
    <w:rPr>
      <w:rFonts w:ascii="Cambria" w:hAnsi="Cambria" w:eastAsia="仿宋"/>
      <w:b/>
      <w:bCs/>
      <w:kern w:val="28"/>
      <w:sz w:val="32"/>
      <w:szCs w:val="32"/>
    </w:rPr>
  </w:style>
  <w:style w:type="character" w:customStyle="1" w:styleId="224">
    <w:name w:val="正文首行缩进 Char"/>
    <w:basedOn w:val="136"/>
    <w:link w:val="41"/>
    <w:qFormat/>
    <w:uiPriority w:val="0"/>
    <w:rPr>
      <w:rFonts w:ascii="Arial" w:hAnsi="Arial" w:eastAsia="宋体" w:cs="Times New Roman"/>
      <w:kern w:val="0"/>
      <w:sz w:val="24"/>
      <w:szCs w:val="21"/>
    </w:rPr>
  </w:style>
  <w:style w:type="paragraph" w:customStyle="1" w:styleId="225">
    <w:name w:val="测评方案正文"/>
    <w:basedOn w:val="226"/>
    <w:qFormat/>
    <w:uiPriority w:val="0"/>
    <w:pPr>
      <w:ind w:firstLine="200" w:firstLineChars="200"/>
    </w:pPr>
    <w:rPr>
      <w:b w:val="0"/>
      <w:sz w:val="21"/>
    </w:rPr>
  </w:style>
  <w:style w:type="paragraph" w:customStyle="1" w:styleId="226">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7">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8">
    <w:name w:val="测评方案3级"/>
    <w:basedOn w:val="226"/>
    <w:qFormat/>
    <w:uiPriority w:val="0"/>
    <w:pPr>
      <w:spacing w:before="156" w:after="156"/>
    </w:pPr>
    <w:rPr>
      <w:rFonts w:ascii="黑体" w:eastAsia="黑体"/>
      <w:sz w:val="24"/>
    </w:rPr>
  </w:style>
  <w:style w:type="paragraph" w:customStyle="1" w:styleId="229">
    <w:name w:val="Body text|7"/>
    <w:basedOn w:val="1"/>
    <w:qFormat/>
    <w:uiPriority w:val="0"/>
    <w:rPr>
      <w:rFonts w:ascii="Times New Roman" w:hAnsi="Times New Roman" w:eastAsia="宋体" w:cs="Times New Roman"/>
      <w:sz w:val="32"/>
      <w:szCs w:val="32"/>
      <w:shd w:val="clear" w:color="auto" w:fill="FFFFFF"/>
    </w:rPr>
  </w:style>
  <w:style w:type="paragraph" w:customStyle="1" w:styleId="230">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1">
    <w:name w:val="Body text|2"/>
    <w:basedOn w:val="1"/>
    <w:qFormat/>
    <w:uiPriority w:val="0"/>
    <w:pPr>
      <w:spacing w:after="60"/>
    </w:pPr>
    <w:rPr>
      <w:rFonts w:ascii="宋体" w:hAnsi="宋体" w:eastAsia="宋体" w:cs="宋体"/>
      <w:sz w:val="54"/>
      <w:szCs w:val="54"/>
    </w:rPr>
  </w:style>
  <w:style w:type="paragraph" w:customStyle="1" w:styleId="232">
    <w:name w:val="Body text|6"/>
    <w:basedOn w:val="1"/>
    <w:qFormat/>
    <w:uiPriority w:val="0"/>
    <w:rPr>
      <w:rFonts w:ascii="Times New Roman" w:hAnsi="Times New Roman" w:eastAsia="宋体" w:cs="Times New Roman"/>
      <w:b/>
      <w:bCs/>
      <w:sz w:val="36"/>
      <w:szCs w:val="36"/>
      <w:shd w:val="clear" w:color="auto" w:fill="FFFFFF"/>
    </w:rPr>
  </w:style>
  <w:style w:type="table" w:customStyle="1" w:styleId="233">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4">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5">
    <w:name w:val="null3"/>
    <w:qFormat/>
    <w:uiPriority w:val="0"/>
    <w:rPr>
      <w:rFonts w:hint="eastAsia" w:ascii="Calibri" w:hAnsi="Calibri" w:eastAsia="宋体" w:cs="Times New Roman"/>
      <w:lang w:val="en-US" w:eastAsia="zh-Hans" w:bidi="ar-SA"/>
    </w:rPr>
  </w:style>
  <w:style w:type="character" w:customStyle="1" w:styleId="236">
    <w:name w:val="15"/>
    <w:qFormat/>
    <w:uiPriority w:val="0"/>
    <w:rPr>
      <w:rFonts w:hint="eastAsia" w:ascii="宋体" w:hAnsi="宋体" w:eastAsia="宋体"/>
      <w:color w:val="000000"/>
      <w:sz w:val="22"/>
      <w:szCs w:val="22"/>
    </w:rPr>
  </w:style>
  <w:style w:type="paragraph" w:customStyle="1" w:styleId="237">
    <w:name w:val="答复表头"/>
    <w:basedOn w:val="238"/>
    <w:next w:val="1"/>
    <w:qFormat/>
    <w:uiPriority w:val="0"/>
    <w:pPr>
      <w:tabs>
        <w:tab w:val="left" w:pos="480"/>
      </w:tabs>
    </w:pPr>
    <w:rPr>
      <w:b/>
    </w:rPr>
  </w:style>
  <w:style w:type="paragraph" w:customStyle="1" w:styleId="238">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39">
    <w:name w:val="表格文字2"/>
    <w:basedOn w:val="240"/>
    <w:qFormat/>
    <w:uiPriority w:val="99"/>
    <w:pPr>
      <w:spacing w:before="25" w:after="25"/>
      <w:jc w:val="left"/>
    </w:pPr>
    <w:rPr>
      <w:bCs/>
      <w:spacing w:val="10"/>
      <w:kern w:val="0"/>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41">
    <w:name w:val="Table Normal"/>
    <w:unhideWhenUsed/>
    <w:qFormat/>
    <w:uiPriority w:val="0"/>
    <w:tblPr>
      <w:tblCellMar>
        <w:top w:w="0" w:type="dxa"/>
        <w:left w:w="0" w:type="dxa"/>
        <w:bottom w:w="0" w:type="dxa"/>
        <w:right w:w="0" w:type="dxa"/>
      </w:tblCellMar>
    </w:tblPr>
  </w:style>
  <w:style w:type="paragraph" w:customStyle="1" w:styleId="242">
    <w:name w:val="Normal_6"/>
    <w:qFormat/>
    <w:uiPriority w:val="0"/>
    <w:rPr>
      <w:rFonts w:ascii="宋体" w:hAnsi="宋体" w:eastAsia="宋体" w:cs="Times New Roman"/>
      <w:sz w:val="24"/>
      <w:szCs w:val="24"/>
      <w:lang w:val="en-US" w:eastAsia="zh-CN" w:bidi="ar-SA"/>
    </w:rPr>
  </w:style>
  <w:style w:type="paragraph" w:customStyle="1" w:styleId="243">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44">
    <w:name w:val="No Spacing"/>
    <w:qFormat/>
    <w:uiPriority w:val="1"/>
    <w:pPr>
      <w:jc w:val="both"/>
    </w:pPr>
    <w:rPr>
      <w:rFonts w:ascii="Times New Roman" w:hAnsi="Times New Roman" w:eastAsia="宋体" w:cs="Times New Roman"/>
      <w:kern w:val="2"/>
      <w:sz w:val="21"/>
      <w:szCs w:val="21"/>
      <w:lang w:val="en-US" w:eastAsia="zh-CN" w:bidi="ar-SA"/>
    </w:rPr>
  </w:style>
  <w:style w:type="paragraph" w:customStyle="1" w:styleId="245">
    <w:name w:val="Table Text"/>
    <w:basedOn w:val="1"/>
    <w:semiHidden/>
    <w:qFormat/>
    <w:uiPriority w:val="0"/>
    <w:pPr>
      <w:widowControl w:val="0"/>
      <w:jc w:val="both"/>
    </w:pPr>
    <w:rPr>
      <w:rFonts w:ascii="仿宋" w:hAnsi="仿宋" w:eastAsia="仿宋" w:cs="仿宋"/>
      <w:kern w:val="2"/>
      <w:sz w:val="28"/>
      <w:szCs w:val="28"/>
      <w:lang w:eastAsia="en-US"/>
    </w:rPr>
  </w:style>
  <w:style w:type="paragraph" w:customStyle="1" w:styleId="246">
    <w:name w:val="目录 62"/>
    <w:next w:val="1"/>
    <w:qFormat/>
    <w:uiPriority w:val="0"/>
    <w:rPr>
      <w:rFonts w:ascii="Times New Roman" w:hAnsi="Times New Roman" w:eastAsia="宋体" w:cs="Times New Roman"/>
      <w:sz w:val="21"/>
      <w:lang w:val="en-US" w:eastAsia="zh-CN" w:bidi="ar-SA"/>
    </w:rPr>
  </w:style>
  <w:style w:type="character" w:customStyle="1" w:styleId="247">
    <w:name w:val="font212"/>
    <w:basedOn w:val="45"/>
    <w:qFormat/>
    <w:uiPriority w:val="0"/>
    <w:rPr>
      <w:rFonts w:hint="eastAsia" w:ascii="宋体" w:hAnsi="宋体" w:eastAsia="宋体" w:cs="宋体"/>
      <w:color w:val="000000"/>
      <w:sz w:val="22"/>
      <w:szCs w:val="22"/>
      <w:u w:val="none"/>
    </w:rPr>
  </w:style>
  <w:style w:type="character" w:customStyle="1" w:styleId="248">
    <w:name w:val="font241"/>
    <w:basedOn w:val="45"/>
    <w:qFormat/>
    <w:uiPriority w:val="0"/>
    <w:rPr>
      <w:rFonts w:hint="eastAsia" w:ascii="方正小标宋简体" w:hAnsi="方正小标宋简体" w:eastAsia="方正小标宋简体" w:cs="方正小标宋简体"/>
      <w:color w:val="000000"/>
      <w:sz w:val="40"/>
      <w:szCs w:val="40"/>
      <w:u w:val="single"/>
    </w:rPr>
  </w:style>
  <w:style w:type="character" w:customStyle="1" w:styleId="249">
    <w:name w:val="font51"/>
    <w:basedOn w:val="45"/>
    <w:qFormat/>
    <w:uiPriority w:val="0"/>
    <w:rPr>
      <w:rFonts w:hint="default" w:ascii="Times New Roman" w:hAnsi="Times New Roman" w:cs="Times New Roman"/>
      <w:color w:val="000000"/>
      <w:sz w:val="20"/>
      <w:szCs w:val="20"/>
      <w:u w:val="none"/>
    </w:rPr>
  </w:style>
  <w:style w:type="character" w:customStyle="1" w:styleId="250">
    <w:name w:val="font101"/>
    <w:basedOn w:val="45"/>
    <w:qFormat/>
    <w:uiPriority w:val="0"/>
    <w:rPr>
      <w:rFonts w:hint="eastAsia" w:ascii="宋体" w:hAnsi="宋体" w:eastAsia="宋体" w:cs="宋体"/>
      <w:color w:val="000000"/>
      <w:sz w:val="20"/>
      <w:szCs w:val="20"/>
      <w:u w:val="none"/>
    </w:rPr>
  </w:style>
  <w:style w:type="character" w:customStyle="1" w:styleId="251">
    <w:name w:val="font251"/>
    <w:basedOn w:val="45"/>
    <w:qFormat/>
    <w:uiPriority w:val="0"/>
    <w:rPr>
      <w:rFonts w:hint="eastAsia" w:ascii="宋体" w:hAnsi="宋体" w:eastAsia="宋体" w:cs="宋体"/>
      <w:color w:val="000000"/>
      <w:sz w:val="20"/>
      <w:szCs w:val="20"/>
      <w:u w:val="none"/>
      <w:vertAlign w:val="superscript"/>
    </w:rPr>
  </w:style>
  <w:style w:type="character" w:customStyle="1" w:styleId="252">
    <w:name w:val="font91"/>
    <w:basedOn w:val="45"/>
    <w:qFormat/>
    <w:uiPriority w:val="0"/>
    <w:rPr>
      <w:rFonts w:hint="eastAsia" w:ascii="宋体" w:hAnsi="宋体" w:eastAsia="宋体" w:cs="宋体"/>
      <w:color w:val="000000"/>
      <w:sz w:val="20"/>
      <w:szCs w:val="20"/>
      <w:u w:val="none"/>
    </w:rPr>
  </w:style>
  <w:style w:type="character" w:customStyle="1" w:styleId="253">
    <w:name w:val="font261"/>
    <w:basedOn w:val="45"/>
    <w:qFormat/>
    <w:uiPriority w:val="0"/>
    <w:rPr>
      <w:rFonts w:hint="eastAsia" w:ascii="宋体" w:hAnsi="宋体" w:eastAsia="宋体" w:cs="宋体"/>
      <w:color w:val="000000"/>
      <w:sz w:val="20"/>
      <w:szCs w:val="20"/>
      <w:u w:val="none"/>
      <w:vertAlign w:val="superscript"/>
    </w:rPr>
  </w:style>
  <w:style w:type="character" w:customStyle="1" w:styleId="254">
    <w:name w:val="font271"/>
    <w:basedOn w:val="45"/>
    <w:qFormat/>
    <w:uiPriority w:val="0"/>
    <w:rPr>
      <w:rFonts w:hint="eastAsia" w:ascii="宋体" w:hAnsi="宋体" w:eastAsia="宋体" w:cs="宋体"/>
      <w:color w:val="000000"/>
      <w:sz w:val="20"/>
      <w:szCs w:val="20"/>
      <w:u w:val="none"/>
      <w:vertAlign w:val="subscript"/>
    </w:rPr>
  </w:style>
  <w:style w:type="character" w:customStyle="1" w:styleId="255">
    <w:name w:val="font161"/>
    <w:basedOn w:val="45"/>
    <w:qFormat/>
    <w:uiPriority w:val="0"/>
    <w:rPr>
      <w:rFonts w:hint="eastAsia" w:ascii="仿宋" w:hAnsi="仿宋" w:eastAsia="仿宋" w:cs="仿宋"/>
      <w:color w:val="000000"/>
      <w:sz w:val="20"/>
      <w:szCs w:val="20"/>
      <w:u w:val="none"/>
    </w:rPr>
  </w:style>
  <w:style w:type="character" w:customStyle="1" w:styleId="256">
    <w:name w:val="font151"/>
    <w:basedOn w:val="45"/>
    <w:qFormat/>
    <w:uiPriority w:val="0"/>
    <w:rPr>
      <w:rFonts w:hint="eastAsia" w:ascii="仿宋" w:hAnsi="仿宋" w:eastAsia="仿宋" w:cs="仿宋"/>
      <w:color w:val="000000"/>
      <w:sz w:val="20"/>
      <w:szCs w:val="20"/>
      <w:u w:val="none"/>
    </w:rPr>
  </w:style>
  <w:style w:type="character" w:customStyle="1" w:styleId="257">
    <w:name w:val="font171"/>
    <w:basedOn w:val="45"/>
    <w:qFormat/>
    <w:uiPriority w:val="0"/>
    <w:rPr>
      <w:rFonts w:hint="default" w:ascii="Arial" w:hAnsi="Arial" w:cs="Arial"/>
      <w:color w:val="000000"/>
      <w:sz w:val="20"/>
      <w:szCs w:val="20"/>
      <w:u w:val="none"/>
    </w:rPr>
  </w:style>
  <w:style w:type="character" w:customStyle="1" w:styleId="258">
    <w:name w:val="font281"/>
    <w:basedOn w:val="45"/>
    <w:qFormat/>
    <w:uiPriority w:val="0"/>
    <w:rPr>
      <w:rFonts w:hint="eastAsia" w:ascii="仿宋" w:hAnsi="仿宋" w:eastAsia="仿宋" w:cs="仿宋"/>
      <w:color w:val="000000"/>
      <w:sz w:val="20"/>
      <w:szCs w:val="20"/>
      <w:u w:val="none"/>
      <w:vertAlign w:val="subscript"/>
    </w:rPr>
  </w:style>
  <w:style w:type="character" w:customStyle="1" w:styleId="259">
    <w:name w:val="font291"/>
    <w:basedOn w:val="45"/>
    <w:qFormat/>
    <w:uiPriority w:val="0"/>
    <w:rPr>
      <w:rFonts w:hint="default" w:ascii="Arial" w:hAnsi="Arial" w:cs="Arial"/>
      <w:color w:val="000000"/>
      <w:sz w:val="20"/>
      <w:szCs w:val="20"/>
      <w:u w:val="none"/>
    </w:rPr>
  </w:style>
  <w:style w:type="character" w:customStyle="1" w:styleId="260">
    <w:name w:val="font181"/>
    <w:basedOn w:val="45"/>
    <w:qFormat/>
    <w:uiPriority w:val="0"/>
    <w:rPr>
      <w:rFonts w:hint="eastAsia" w:ascii="仿宋" w:hAnsi="仿宋" w:eastAsia="仿宋" w:cs="仿宋"/>
      <w:color w:val="000000"/>
      <w:sz w:val="20"/>
      <w:szCs w:val="20"/>
      <w:u w:val="none"/>
    </w:rPr>
  </w:style>
  <w:style w:type="character" w:customStyle="1" w:styleId="261">
    <w:name w:val="font301"/>
    <w:basedOn w:val="45"/>
    <w:qFormat/>
    <w:uiPriority w:val="0"/>
    <w:rPr>
      <w:rFonts w:ascii="微软雅黑" w:hAnsi="微软雅黑" w:eastAsia="微软雅黑" w:cs="微软雅黑"/>
      <w:color w:val="000000"/>
      <w:sz w:val="22"/>
      <w:szCs w:val="22"/>
      <w:u w:val="none"/>
    </w:rPr>
  </w:style>
  <w:style w:type="character" w:customStyle="1" w:styleId="262">
    <w:name w:val="font312"/>
    <w:basedOn w:val="45"/>
    <w:qFormat/>
    <w:uiPriority w:val="0"/>
    <w:rPr>
      <w:rFonts w:hint="eastAsia" w:ascii="微软雅黑" w:hAnsi="微软雅黑" w:eastAsia="微软雅黑" w:cs="微软雅黑"/>
      <w:color w:val="000000"/>
      <w:sz w:val="20"/>
      <w:szCs w:val="20"/>
      <w:u w:val="none"/>
    </w:rPr>
  </w:style>
  <w:style w:type="character" w:customStyle="1" w:styleId="263">
    <w:name w:val="font221"/>
    <w:basedOn w:val="45"/>
    <w:qFormat/>
    <w:uiPriority w:val="0"/>
    <w:rPr>
      <w:rFonts w:hint="default" w:ascii="Times New Roman" w:hAnsi="Times New Roman" w:cs="Times New Roman"/>
      <w:color w:val="000000"/>
      <w:sz w:val="20"/>
      <w:szCs w:val="20"/>
      <w:u w:val="none"/>
    </w:rPr>
  </w:style>
  <w:style w:type="character" w:customStyle="1" w:styleId="264">
    <w:name w:val="font321"/>
    <w:basedOn w:val="45"/>
    <w:qFormat/>
    <w:uiPriority w:val="0"/>
    <w:rPr>
      <w:rFonts w:hint="eastAsia" w:ascii="仿宋" w:hAnsi="仿宋" w:eastAsia="仿宋" w:cs="仿宋"/>
      <w:color w:val="000000"/>
      <w:sz w:val="20"/>
      <w:szCs w:val="20"/>
      <w:u w:val="none"/>
    </w:rPr>
  </w:style>
  <w:style w:type="character" w:customStyle="1" w:styleId="265">
    <w:name w:val="font191"/>
    <w:basedOn w:val="45"/>
    <w:qFormat/>
    <w:uiPriority w:val="0"/>
    <w:rPr>
      <w:rFonts w:hint="eastAsia" w:ascii="仿宋" w:hAnsi="仿宋" w:eastAsia="仿宋" w:cs="仿宋"/>
      <w:color w:val="000000"/>
      <w:sz w:val="20"/>
      <w:szCs w:val="20"/>
      <w:u w:val="none"/>
    </w:rPr>
  </w:style>
  <w:style w:type="character" w:customStyle="1" w:styleId="266">
    <w:name w:val="font331"/>
    <w:basedOn w:val="45"/>
    <w:qFormat/>
    <w:uiPriority w:val="0"/>
    <w:rPr>
      <w:rFonts w:hint="eastAsia" w:ascii="仿宋" w:hAnsi="仿宋" w:eastAsia="仿宋" w:cs="仿宋"/>
      <w:color w:val="000000"/>
      <w:sz w:val="20"/>
      <w:szCs w:val="20"/>
      <w:u w:val="none"/>
      <w:vertAlign w:val="superscript"/>
    </w:rPr>
  </w:style>
  <w:style w:type="paragraph" w:styleId="267">
    <w:name w:val="List Paragraph"/>
    <w:basedOn w:val="1"/>
    <w:qFormat/>
    <w:uiPriority w:val="0"/>
    <w:pPr>
      <w:ind w:firstLine="420" w:firstLineChars="200"/>
    </w:pPr>
  </w:style>
  <w:style w:type="character" w:customStyle="1" w:styleId="268">
    <w:name w:val="font341"/>
    <w:basedOn w:val="45"/>
    <w:qFormat/>
    <w:uiPriority w:val="0"/>
    <w:rPr>
      <w:rFonts w:hint="eastAsia" w:ascii="仿宋" w:hAnsi="仿宋" w:eastAsia="仿宋" w:cs="仿宋"/>
      <w:color w:val="000000"/>
      <w:sz w:val="20"/>
      <w:szCs w:val="20"/>
      <w:u w:val="none"/>
    </w:rPr>
  </w:style>
  <w:style w:type="character" w:customStyle="1" w:styleId="269">
    <w:name w:val="font351"/>
    <w:basedOn w:val="45"/>
    <w:qFormat/>
    <w:uiPriority w:val="0"/>
    <w:rPr>
      <w:rFonts w:hint="eastAsia" w:ascii="仿宋" w:hAnsi="仿宋" w:eastAsia="仿宋" w:cs="仿宋"/>
      <w:color w:val="000000"/>
      <w:sz w:val="20"/>
      <w:szCs w:val="20"/>
      <w:u w:val="none"/>
      <w:vertAlign w:val="superscript"/>
    </w:rPr>
  </w:style>
  <w:style w:type="paragraph" w:customStyle="1" w:styleId="270">
    <w:name w:val="正文_2"/>
    <w:basedOn w:val="271"/>
    <w:qFormat/>
    <w:uiPriority w:val="0"/>
    <w:pPr>
      <w:widowControl w:val="0"/>
      <w:jc w:val="both"/>
    </w:pPr>
    <w:rPr>
      <w:rFonts w:ascii="Calibri" w:hAnsi="Calibri"/>
      <w:kern w:val="2"/>
      <w:sz w:val="21"/>
      <w:szCs w:val="22"/>
      <w:lang w:val="en-US" w:eastAsia="zh-CN" w:bidi="ar-SA"/>
    </w:rPr>
  </w:style>
  <w:style w:type="paragraph" w:customStyle="1" w:styleId="271">
    <w:name w:val="正文_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采购正文"/>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32564</Words>
  <Characters>34743</Characters>
  <Lines>245</Lines>
  <Paragraphs>68</Paragraphs>
  <TotalTime>43</TotalTime>
  <ScaleCrop>false</ScaleCrop>
  <LinksUpToDate>false</LinksUpToDate>
  <CharactersWithSpaces>37556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2026-03-12T08:30:00Z</cp:lastPrinted>
  <dcterms:modified xsi:type="dcterms:W3CDTF">2026-05-25T17:16:15Z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F16BF4ABACD74E3D8FF42B6E7A7AFE88_13</vt:lpwstr>
  </property>
  <property fmtid="{D5CDD505-2E9C-101B-9397-08002B2CF9AE}" pid="4" name="KSOTemplateDocerSaveRecord">
    <vt:lpwstr>eyJoZGlkIjoiYzE5M2NlMWI0ZmI4MTMyOTFjNDg1ODY2YTdiMDE0NzAiLCJ1c2VySWQiOiIyMDc2NjcyMDcifQ==</vt:lpwstr>
  </property>
</Properties>
</file>